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ascii="仿宋_GB2312" w:hAnsi="宋体" w:eastAsia="仿宋_GB2312" w:cs="宋体"/>
          <w:b/>
          <w:color w:val="auto"/>
          <w:kern w:val="0"/>
          <w:sz w:val="32"/>
          <w:szCs w:val="32"/>
        </w:rPr>
      </w:pPr>
      <w:r>
        <w:rPr>
          <w:rFonts w:hint="eastAsia" w:ascii="仿宋_GB2312" w:hAnsi="宋体" w:eastAsia="仿宋_GB2312" w:cs="宋体"/>
          <w:b/>
          <w:color w:val="auto"/>
          <w:kern w:val="0"/>
          <w:sz w:val="32"/>
          <w:szCs w:val="32"/>
        </w:rPr>
        <w:t>采购需求方案及市场价格调查情况申报表</w:t>
      </w:r>
    </w:p>
    <w:p>
      <w:pPr>
        <w:pStyle w:val="4"/>
        <w:ind w:left="0" w:leftChars="0" w:firstLine="0" w:firstLineChars="0"/>
        <w:jc w:val="center"/>
        <w:rPr>
          <w:rFonts w:hint="eastAsia" w:ascii="宋体" w:hAnsi="宋体" w:eastAsia="宋体" w:cs="Times New Roman"/>
          <w:b/>
          <w:sz w:val="28"/>
          <w:szCs w:val="28"/>
          <w:lang w:eastAsia="zh-CN"/>
        </w:rPr>
      </w:pPr>
      <w:r>
        <w:rPr>
          <w:rFonts w:hint="eastAsia" w:ascii="宋体" w:hAnsi="宋体" w:eastAsia="宋体" w:cs="Times New Roman"/>
          <w:b/>
          <w:sz w:val="28"/>
          <w:szCs w:val="28"/>
          <w:lang w:eastAsia="zh-CN"/>
        </w:rPr>
        <w:t>【填写要求：</w:t>
      </w:r>
      <w:r>
        <w:rPr>
          <w:rFonts w:hint="eastAsia" w:ascii="宋体" w:hAnsi="宋体" w:eastAsia="宋体" w:cs="Times New Roman"/>
          <w:b/>
          <w:color w:val="FF0000"/>
          <w:sz w:val="28"/>
          <w:szCs w:val="28"/>
          <w:lang w:eastAsia="zh-CN"/>
        </w:rPr>
        <w:t>红字标题</w:t>
      </w:r>
      <w:r>
        <w:rPr>
          <w:rFonts w:hint="eastAsia" w:ascii="宋体" w:hAnsi="宋体" w:eastAsia="宋体" w:cs="Times New Roman"/>
          <w:b/>
          <w:sz w:val="28"/>
          <w:szCs w:val="28"/>
          <w:lang w:eastAsia="zh-CN"/>
        </w:rPr>
        <w:t>为必填项，请科室按照</w:t>
      </w:r>
      <w:r>
        <w:rPr>
          <w:rFonts w:hint="eastAsia" w:ascii="宋体" w:hAnsi="宋体" w:eastAsia="宋体" w:cs="Times New Roman"/>
          <w:b/>
          <w:color w:val="00B050"/>
          <w:sz w:val="28"/>
          <w:szCs w:val="28"/>
          <w:lang w:eastAsia="zh-CN"/>
        </w:rPr>
        <w:t>绿字备注建议</w:t>
      </w:r>
      <w:r>
        <w:rPr>
          <w:rFonts w:hint="eastAsia" w:ascii="宋体" w:hAnsi="宋体" w:eastAsia="宋体" w:cs="Times New Roman"/>
          <w:b/>
          <w:sz w:val="28"/>
          <w:szCs w:val="28"/>
          <w:lang w:eastAsia="zh-CN"/>
        </w:rPr>
        <w:t>进行填写】</w:t>
      </w:r>
    </w:p>
    <w:tbl>
      <w:tblPr>
        <w:tblStyle w:val="10"/>
        <w:tblW w:w="10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752"/>
        <w:gridCol w:w="731"/>
        <w:gridCol w:w="1653"/>
        <w:gridCol w:w="846"/>
        <w:gridCol w:w="1118"/>
        <w:gridCol w:w="805"/>
        <w:gridCol w:w="1022"/>
        <w:gridCol w:w="750"/>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0800"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eastAsia="zh-CN"/>
                <w14:textFill>
                  <w14:solidFill>
                    <w14:schemeClr w14:val="tx1"/>
                  </w14:solidFill>
                </w14:textFill>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FF0000"/>
                <w:highlight w:val="none"/>
                <w:lang w:eastAsia="zh-CN"/>
              </w:rPr>
            </w:pPr>
            <w:r>
              <w:rPr>
                <w:rFonts w:hint="eastAsia" w:ascii="宋体" w:hAnsi="宋体"/>
                <w:b/>
                <w:color w:val="FF0000"/>
                <w:kern w:val="0"/>
                <w:szCs w:val="21"/>
                <w:highlight w:val="none"/>
              </w:rPr>
              <w:t>项目名称</w:t>
            </w:r>
          </w:p>
        </w:tc>
        <w:tc>
          <w:tcPr>
            <w:tcW w:w="8792" w:type="dxa"/>
            <w:gridSpan w:val="9"/>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非接触眼压计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FF0000"/>
                <w:highlight w:val="none"/>
                <w:lang w:eastAsia="zh-CN"/>
              </w:rPr>
            </w:pPr>
            <w:r>
              <w:rPr>
                <w:rFonts w:hint="eastAsia" w:ascii="宋体" w:hAnsi="宋体"/>
                <w:b/>
                <w:color w:val="FF0000"/>
                <w:kern w:val="0"/>
                <w:szCs w:val="21"/>
                <w:highlight w:val="none"/>
              </w:rPr>
              <w:t>数量</w:t>
            </w:r>
            <w:r>
              <w:rPr>
                <w:rFonts w:hint="eastAsia" w:ascii="宋体" w:hAnsi="宋体"/>
                <w:b/>
                <w:color w:val="FF0000"/>
                <w:kern w:val="0"/>
                <w:szCs w:val="21"/>
                <w:highlight w:val="none"/>
                <w:lang w:eastAsia="zh-CN"/>
              </w:rPr>
              <w:t>单位</w:t>
            </w:r>
          </w:p>
        </w:tc>
        <w:tc>
          <w:tcPr>
            <w:tcW w:w="8792" w:type="dxa"/>
            <w:gridSpan w:val="9"/>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000000" w:themeColor="text1"/>
                <w:kern w:val="0"/>
                <w:szCs w:val="21"/>
                <w:highlight w:val="none"/>
                <w14:textFill>
                  <w14:solidFill>
                    <w14:schemeClr w14:val="tx1"/>
                  </w14:solidFill>
                </w14:textFill>
              </w:rPr>
            </w:pPr>
            <w:r>
              <w:rPr>
                <w:rFonts w:hint="eastAsia" w:ascii="宋体" w:hAnsi="宋体"/>
                <w:b/>
                <w:color w:val="FF0000"/>
                <w:kern w:val="0"/>
                <w:szCs w:val="21"/>
                <w:highlight w:val="none"/>
              </w:rPr>
              <w:t>国产/进口</w:t>
            </w:r>
          </w:p>
        </w:tc>
        <w:tc>
          <w:tcPr>
            <w:tcW w:w="8792" w:type="dxa"/>
            <w:gridSpan w:val="9"/>
            <w:tcBorders>
              <w:top w:val="single" w:color="auto" w:sz="4" w:space="0"/>
              <w:left w:val="single" w:color="auto" w:sz="4" w:space="0"/>
              <w:bottom w:val="single" w:color="auto" w:sz="4" w:space="0"/>
              <w:right w:val="single" w:color="auto" w:sz="4" w:space="0"/>
            </w:tcBorders>
            <w:noWrap w:val="0"/>
            <w:vAlign w:val="top"/>
          </w:tcPr>
          <w:p>
            <w:pPr>
              <w:spacing w:line="288" w:lineRule="auto"/>
              <w:jc w:val="left"/>
              <w:rPr>
                <w:rFonts w:hint="default" w:ascii="宋体" w:hAnsi="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 xml:space="preserve"> 拒绝进口（只接受国产品牌投标）</w:t>
            </w:r>
          </w:p>
          <w:p>
            <w:pPr>
              <w:spacing w:line="288" w:lineRule="auto"/>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lang w:val="en-US" w:eastAsia="zh-CN"/>
                <w14:textFill>
                  <w14:solidFill>
                    <w14:schemeClr w14:val="tx1"/>
                  </w14:solidFill>
                </w14:textFill>
              </w:rPr>
              <w:t xml:space="preserve"> 接受进口（国产进口品牌均能投标）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b/>
                <w:color w:val="FF0000"/>
                <w:kern w:val="0"/>
                <w:szCs w:val="21"/>
                <w:highlight w:val="none"/>
                <w:lang w:eastAsia="zh-CN"/>
              </w:rPr>
            </w:pPr>
            <w:r>
              <w:rPr>
                <w:rFonts w:hint="eastAsia" w:ascii="宋体" w:hAnsi="宋体"/>
                <w:b/>
                <w:color w:val="FF0000"/>
                <w:kern w:val="0"/>
                <w:szCs w:val="21"/>
                <w:highlight w:val="none"/>
              </w:rPr>
              <w:t>项目预算</w:t>
            </w: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宋体" w:hAnsi="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单价： 6.8万元，总价：6.8万元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b/>
                <w:color w:val="FF0000"/>
                <w:kern w:val="0"/>
                <w:szCs w:val="21"/>
                <w:highlight w:val="none"/>
              </w:rPr>
              <w:t>用途</w:t>
            </w:r>
          </w:p>
        </w:tc>
        <w:tc>
          <w:tcPr>
            <w:tcW w:w="8792" w:type="dxa"/>
            <w:gridSpan w:val="9"/>
            <w:tcBorders>
              <w:top w:val="single" w:color="auto" w:sz="4" w:space="0"/>
              <w:left w:val="single" w:color="auto" w:sz="4" w:space="0"/>
              <w:bottom w:val="single" w:color="auto" w:sz="4" w:space="0"/>
              <w:right w:val="single" w:color="auto" w:sz="4" w:space="0"/>
            </w:tcBorders>
            <w:noWrap w:val="0"/>
            <w:vAlign w:val="top"/>
          </w:tcPr>
          <w:p>
            <w:pPr>
              <w:spacing w:line="360" w:lineRule="auto"/>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用于测量眼内压力值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lang w:eastAsia="zh-CN"/>
              </w:rPr>
            </w:pPr>
            <w:r>
              <w:rPr>
                <w:rFonts w:hint="eastAsia"/>
                <w:b/>
                <w:color w:val="FF0000"/>
                <w:kern w:val="0"/>
                <w:szCs w:val="21"/>
                <w:highlight w:val="none"/>
                <w:lang w:eastAsia="zh-CN"/>
              </w:rPr>
              <w:t>核心产品</w:t>
            </w: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非接触眼压计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0800" w:type="dxa"/>
            <w:gridSpan w:val="10"/>
            <w:tcBorders>
              <w:top w:val="single" w:color="auto" w:sz="4" w:space="0"/>
              <w:left w:val="single" w:color="auto" w:sz="4" w:space="0"/>
              <w:right w:val="single" w:color="auto" w:sz="4" w:space="0"/>
            </w:tcBorders>
            <w:noWrap w:val="0"/>
            <w:vAlign w:val="center"/>
          </w:tcPr>
          <w:p>
            <w:pPr>
              <w:spacing w:line="240" w:lineRule="auto"/>
              <w:jc w:val="center"/>
              <w:rPr>
                <w:rFonts w:hint="eastAsia"/>
                <w:color w:val="000000" w:themeColor="text1"/>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eastAsia="zh-CN"/>
                <w14:textFill>
                  <w14:solidFill>
                    <w14:schemeClr w14:val="tx1"/>
                  </w14:solidFill>
                </w14:textFill>
              </w:rPr>
              <w:t>二、</w:t>
            </w:r>
            <w:r>
              <w:rPr>
                <w:rFonts w:hint="eastAsia" w:ascii="宋体" w:hAnsi="宋体" w:cs="Times New Roman"/>
                <w:b/>
                <w:color w:val="000000" w:themeColor="text1"/>
                <w:kern w:val="0"/>
                <w:sz w:val="28"/>
                <w:szCs w:val="28"/>
                <w:highlight w:val="none"/>
                <w:lang w:eastAsia="zh-CN"/>
                <w14:textFill>
                  <w14:solidFill>
                    <w14:schemeClr w14:val="tx1"/>
                  </w14:solidFill>
                </w14:textFill>
              </w:rPr>
              <w:t>投标方</w:t>
            </w:r>
            <w:r>
              <w:rPr>
                <w:rFonts w:hint="eastAsia" w:ascii="宋体" w:hAnsi="宋体" w:eastAsia="宋体" w:cs="Times New Roman"/>
                <w:b/>
                <w:color w:val="000000" w:themeColor="text1"/>
                <w:kern w:val="0"/>
                <w:sz w:val="28"/>
                <w:szCs w:val="28"/>
                <w:highlight w:val="none"/>
                <w:lang w:eastAsia="zh-CN"/>
                <w14:textFill>
                  <w14:solidFill>
                    <w14:schemeClr w14:val="tx1"/>
                  </w14:solidFill>
                </w14:textFill>
              </w:rPr>
              <w:t>资格、资质要求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2008" w:type="dxa"/>
            <w:tcBorders>
              <w:top w:val="single" w:color="auto" w:sz="4" w:space="0"/>
              <w:left w:val="single" w:color="auto" w:sz="4" w:space="0"/>
              <w:right w:val="single" w:color="auto" w:sz="4" w:space="0"/>
            </w:tcBorders>
            <w:noWrap w:val="0"/>
            <w:vAlign w:val="center"/>
          </w:tcPr>
          <w:p>
            <w:pPr>
              <w:jc w:val="center"/>
              <w:rPr>
                <w:rFonts w:ascii="宋体" w:hAnsi="宋体"/>
                <w:b/>
                <w:color w:val="000000" w:themeColor="text1"/>
                <w:kern w:val="0"/>
                <w:szCs w:val="21"/>
                <w:highlight w:val="none"/>
                <w14:textFill>
                  <w14:solidFill>
                    <w14:schemeClr w14:val="tx1"/>
                  </w14:solidFill>
                </w14:textFill>
              </w:rPr>
            </w:pPr>
            <w:r>
              <w:rPr>
                <w:rFonts w:hint="eastAsia" w:ascii="宋体" w:hAnsi="宋体"/>
                <w:b/>
                <w:color w:val="000000" w:themeColor="text1"/>
                <w:kern w:val="0"/>
                <w:szCs w:val="21"/>
                <w:highlight w:val="none"/>
                <w:lang w:eastAsia="zh-CN"/>
                <w14:textFill>
                  <w14:solidFill>
                    <w14:schemeClr w14:val="tx1"/>
                  </w14:solidFill>
                </w14:textFill>
              </w:rPr>
              <w:t>投标方</w:t>
            </w:r>
            <w:r>
              <w:rPr>
                <w:rFonts w:hint="eastAsia" w:ascii="宋体" w:hAnsi="宋体"/>
                <w:b/>
                <w:color w:val="000000" w:themeColor="text1"/>
                <w:kern w:val="0"/>
                <w:szCs w:val="21"/>
                <w:highlight w:val="none"/>
                <w14:textFill>
                  <w14:solidFill>
                    <w14:schemeClr w14:val="tx1"/>
                  </w14:solidFill>
                </w14:textFill>
              </w:rPr>
              <w:t>资格要求</w:t>
            </w:r>
          </w:p>
        </w:tc>
        <w:tc>
          <w:tcPr>
            <w:tcW w:w="8792" w:type="dxa"/>
            <w:gridSpan w:val="9"/>
            <w:tcBorders>
              <w:top w:val="single" w:color="auto" w:sz="4" w:space="0"/>
              <w:left w:val="single" w:color="auto" w:sz="4" w:space="0"/>
              <w:bottom w:val="single" w:color="auto" w:sz="4" w:space="0"/>
              <w:right w:val="single" w:color="auto" w:sz="4" w:space="0"/>
            </w:tcBorders>
            <w:noWrap w:val="0"/>
            <w:vAlign w:val="top"/>
          </w:tcPr>
          <w:p>
            <w:pPr>
              <w:pStyle w:val="5"/>
              <w:numPr>
                <w:ilvl w:val="0"/>
                <w:numId w:val="0"/>
              </w:num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投标人须是在中华人民共和国境内注册，具有独立法人资格或是具有独立承担民事责任的能力的其它组织（提供营业执照或事业单位法人证等法人证明扫描件，原件备查）；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r>
              <w:rPr>
                <w:rFonts w:hint="eastAsia" w:ascii="宋体" w:hAnsi="宋体" w:cs="宋体"/>
                <w:color w:val="000000"/>
                <w:sz w:val="21"/>
                <w:szCs w:val="21"/>
                <w:highlight w:val="none"/>
                <w:lang w:val="en-US" w:eastAsia="zh-CN"/>
              </w:rPr>
              <w:t>；</w:t>
            </w:r>
          </w:p>
          <w:p>
            <w:pPr>
              <w:pStyle w:val="5"/>
              <w:numPr>
                <w:ilvl w:val="0"/>
                <w:numId w:val="0"/>
              </w:num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2.投标人须提供法定代表人证明书、法定代表人授权委托证明书；</w:t>
            </w:r>
          </w:p>
          <w:p>
            <w:pPr>
              <w:pStyle w:val="5"/>
              <w:numPr>
                <w:ilvl w:val="0"/>
                <w:numId w:val="0"/>
              </w:num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3.投标人满足《中华人民共和国政府采购法》第二十二条规定的条件（由供应商在《政府采购投标及履约承诺函》中作出声明）；</w:t>
            </w:r>
          </w:p>
          <w:p>
            <w:pPr>
              <w:pStyle w:val="5"/>
              <w:numPr>
                <w:ilvl w:val="0"/>
                <w:numId w:val="0"/>
              </w:num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参与本项目投标前三年内，在经营活动中没有重大违法记录；参与本项目政府采购活动时不存在被有关部门禁止参与政府采购活动且在有效期内的情况（由供应商在《政府采购投标及履约承诺函》中作出声明）；</w:t>
            </w:r>
          </w:p>
          <w:p>
            <w:pPr>
              <w:pStyle w:val="5"/>
              <w:numPr>
                <w:ilvl w:val="0"/>
                <w:numId w:val="0"/>
              </w:num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5.本项目不接受联合体投标，不允许转包分包（由供应商在《政府采购投标及履约承诺函》中作出声明）；</w:t>
            </w:r>
          </w:p>
          <w:p>
            <w:pPr>
              <w:pStyle w:val="5"/>
              <w:numPr>
                <w:ilvl w:val="0"/>
                <w:numId w:val="0"/>
              </w:num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6.除单一来源采购，为采购项目提供整体设计、规范编制或者项目管理、监理、检测等服务的供应商，不得再参加该采购项目的其他采购活动（由供应商在《政府采购投标及履约承诺函》中作出声明）；</w:t>
            </w:r>
          </w:p>
          <w:p>
            <w:pPr>
              <w:pStyle w:val="5"/>
              <w:numPr>
                <w:ilvl w:val="0"/>
                <w:numId w:val="0"/>
              </w:num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投标截止时间前，投标人未被列入失信被执行人、重大税收违法案件当事人名单、政府采购严重违法失信行为记录名单（将通过“信用中国”网站（www.creditchina.gov.cn）、中国政府采购网（www.ccgp.gov.cn）等渠道查询相关主体信用记录），投标人须提供官网的信用信息查询记录网络截图证明材料（查询时间须在采购公告之日起至投标截止日前）；</w:t>
            </w:r>
          </w:p>
          <w:p>
            <w:pPr>
              <w:pStyle w:val="5"/>
              <w:spacing w:line="360" w:lineRule="auto"/>
              <w:ind w:firstLine="420" w:firstLineChars="200"/>
              <w:rPr>
                <w:rFonts w:hint="eastAsia" w:eastAsia="宋体"/>
                <w:color w:val="000000" w:themeColor="text1"/>
                <w:highlight w:val="none"/>
                <w:lang w:eastAsia="zh-CN"/>
                <w14:textFill>
                  <w14:solidFill>
                    <w14:schemeClr w14:val="tx1"/>
                  </w14:solidFill>
                </w14:textFill>
              </w:rPr>
            </w:pPr>
            <w:r>
              <w:rPr>
                <w:rFonts w:hint="eastAsia" w:ascii="宋体" w:hAnsi="宋体" w:eastAsia="宋体" w:cs="宋体"/>
                <w:color w:val="000000"/>
                <w:sz w:val="21"/>
                <w:szCs w:val="21"/>
                <w:highlight w:val="none"/>
                <w:lang w:val="en-US" w:eastAsia="zh-CN"/>
              </w:rPr>
              <w:t>8.单位负责人为同一人或者存在直接控股、管理关系的不同供应商，不得参加同一合同项下的政府采购活动（须按本项目投标文件格式要求提供《政府采购投标及履约承诺函》和《股东构成审查表》加盖投标人公章）</w:t>
            </w:r>
            <w:r>
              <w:rPr>
                <w:rFonts w:hint="eastAsia" w:ascii="宋体" w:hAnsi="宋体" w:cs="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008"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eastAsia="宋体"/>
                <w:b/>
                <w:color w:val="000000" w:themeColor="text1"/>
                <w:kern w:val="0"/>
                <w:szCs w:val="21"/>
                <w:highlight w:val="none"/>
                <w:lang w:eastAsia="zh-CN"/>
                <w14:textFill>
                  <w14:solidFill>
                    <w14:schemeClr w14:val="tx1"/>
                  </w14:solidFill>
                </w14:textFill>
              </w:rPr>
            </w:pPr>
            <w:r>
              <w:rPr>
                <w:rFonts w:hint="eastAsia" w:ascii="宋体" w:hAnsi="宋体" w:eastAsia="宋体" w:cs="宋体"/>
                <w:b/>
                <w:color w:val="FF0000"/>
                <w:kern w:val="0"/>
                <w:szCs w:val="21"/>
                <w:highlight w:val="none"/>
              </w:rPr>
              <w:t>★</w:t>
            </w:r>
            <w:r>
              <w:rPr>
                <w:rFonts w:hint="eastAsia" w:ascii="宋体" w:hAnsi="宋体"/>
                <w:b/>
                <w:color w:val="FF0000"/>
                <w:kern w:val="0"/>
                <w:szCs w:val="21"/>
                <w:highlight w:val="none"/>
                <w:lang w:eastAsia="zh-CN"/>
              </w:rPr>
              <w:t>投标方资质</w:t>
            </w:r>
            <w:r>
              <w:rPr>
                <w:rFonts w:hint="eastAsia" w:ascii="宋体" w:hAnsi="宋体"/>
                <w:b/>
                <w:color w:val="FF0000"/>
                <w:kern w:val="0"/>
                <w:szCs w:val="21"/>
                <w:highlight w:val="none"/>
              </w:rPr>
              <w:t>要求</w:t>
            </w: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color w:val="000000" w:themeColor="text1"/>
                <w:highlight w:val="none"/>
                <w:lang w:eastAsia="zh-CN"/>
                <w14:textFill>
                  <w14:solidFill>
                    <w14:schemeClr w14:val="tx1"/>
                  </w14:solidFill>
                </w14:textFill>
              </w:rPr>
            </w:pPr>
            <w:r>
              <w:rPr>
                <w:rStyle w:val="12"/>
                <w:rFonts w:hint="eastAsia" w:ascii="宋体" w:hAnsi="宋体"/>
                <w:b w:val="0"/>
                <w:color w:val="000000" w:themeColor="text1"/>
                <w:sz w:val="18"/>
                <w:szCs w:val="18"/>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医疗器械</w:t>
            </w:r>
          </w:p>
        </w:tc>
        <w:tc>
          <w:tcPr>
            <w:tcW w:w="7309" w:type="dxa"/>
            <w:gridSpan w:val="7"/>
            <w:tcBorders>
              <w:top w:val="single" w:color="auto" w:sz="4" w:space="0"/>
              <w:left w:val="single" w:color="auto" w:sz="4" w:space="0"/>
              <w:bottom w:val="single" w:color="auto" w:sz="4" w:space="0"/>
              <w:right w:val="single" w:color="auto" w:sz="4" w:space="0"/>
            </w:tcBorders>
            <w:noWrap w:val="0"/>
            <w:vAlign w:val="top"/>
          </w:tcPr>
          <w:p>
            <w:pPr>
              <w:spacing w:beforeLines="50"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1、若投标方为所投产品的生产企业，必须提供《医疗器械生产许可证》或备案凭证，且生产范围包含该产品（须提供相关证书复印件或扫描件并加盖投标方公章，原件备查）。若投标方为所投产品的代理商或授权供应商，必须提供《医疗器械经营许可证》或备案凭证，且经营范围包含该产品（须提供相关证书复印件或扫描件并加盖投标方公章，原件备查）；当所投产品属于第一类医疗器械时无须提供《医疗器械</w:t>
            </w:r>
            <w:r>
              <w:rPr>
                <w:rFonts w:hint="eastAsia"/>
                <w:color w:val="000000" w:themeColor="text1"/>
                <w:lang w:val="en-US" w:eastAsia="zh-CN"/>
                <w14:textFill>
                  <w14:solidFill>
                    <w14:schemeClr w14:val="tx1"/>
                  </w14:solidFill>
                </w14:textFill>
              </w:rPr>
              <w:t>经营</w:t>
            </w:r>
            <w:r>
              <w:rPr>
                <w:rFonts w:hint="eastAsia"/>
                <w:color w:val="000000" w:themeColor="text1"/>
                <w14:textFill>
                  <w14:solidFill>
                    <w14:schemeClr w14:val="tx1"/>
                  </w14:solidFill>
                </w14:textFill>
              </w:rPr>
              <w:t>许可证》或备案凭证，但投标方应在投标文件中对其所属类别进行书面说明。</w:t>
            </w:r>
          </w:p>
          <w:p>
            <w:pPr>
              <w:spacing w:beforeLines="50" w:afterLines="50"/>
              <w:rPr>
                <w:color w:val="000000" w:themeColor="text1"/>
                <w14:textFill>
                  <w14:solidFill>
                    <w14:schemeClr w14:val="tx1"/>
                  </w14:solidFill>
                </w14:textFill>
              </w:rPr>
            </w:pPr>
            <w:r>
              <w:rPr>
                <w:rFonts w:hint="eastAsia"/>
                <w:color w:val="000000" w:themeColor="text1"/>
                <w14:textFill>
                  <w14:solidFill>
                    <w14:schemeClr w14:val="tx1"/>
                  </w14:solidFill>
                </w14:textFill>
              </w:rPr>
              <w:t>2、投标方所投产品必须为其《医疗器械注册证》或《医疗器械备案证》有效期内生产的（提供以下证明资料之一：（1）提供有效的《医疗器械注册证》或《医疗器械备案证》；（2）如不在有效期内,则需提供该证和所投产品在该证有效期内生产的证明文件的原件复印件或扫描件并加盖投标方公章，原件备查）。</w:t>
            </w:r>
          </w:p>
          <w:p>
            <w:pPr>
              <w:pStyle w:val="4"/>
              <w:ind w:left="0" w:leftChars="0" w:firstLine="0" w:firstLineChars="0"/>
              <w:rPr>
                <w:rFonts w:hint="eastAsia" w:ascii="Times New Roman" w:hAnsi="Times New Roman" w:eastAsia="宋体" w:cs="Times New Roman"/>
                <w:b w:val="0"/>
                <w:bCs/>
                <w:color w:val="00B050"/>
                <w:kern w:val="0"/>
                <w:sz w:val="21"/>
                <w:szCs w:val="21"/>
                <w:highlight w:val="none"/>
                <w:lang w:val="en-US" w:eastAsia="zh-CN" w:bidi="ar-SA"/>
              </w:rPr>
            </w:pPr>
            <w:r>
              <w:rPr>
                <w:rFonts w:hint="eastAsia" w:ascii="Times New Roman" w:hAnsi="Times New Roman" w:eastAsia="宋体" w:cs="Times New Roman"/>
                <w:b w:val="0"/>
                <w:bCs/>
                <w:color w:val="00B050"/>
                <w:kern w:val="0"/>
                <w:sz w:val="21"/>
                <w:szCs w:val="21"/>
                <w:highlight w:val="none"/>
                <w:lang w:val="en-US" w:eastAsia="zh-CN" w:bidi="ar-SA"/>
              </w:rPr>
              <w:t>备注：如需提供其他资质材料，请在此处进行补充</w:t>
            </w:r>
          </w:p>
          <w:p>
            <w:pPr>
              <w:pStyle w:val="4"/>
              <w:ind w:left="0" w:leftChars="0" w:firstLine="0" w:firstLineChars="0"/>
              <w:rPr>
                <w:rFonts w:hint="eastAsia" w:ascii="Times New Roman" w:hAnsi="Times New Roman" w:eastAsia="宋体" w:cs="Times New Roman"/>
                <w:b w:val="0"/>
                <w:bCs/>
                <w:color w:val="00B050"/>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008" w:type="dxa"/>
            <w:vMerge w:val="continue"/>
            <w:tcBorders>
              <w:left w:val="single" w:color="auto" w:sz="4" w:space="0"/>
              <w:right w:val="single" w:color="auto" w:sz="4" w:space="0"/>
            </w:tcBorders>
            <w:noWrap w:val="0"/>
            <w:vAlign w:val="center"/>
          </w:tcPr>
          <w:p>
            <w:pPr>
              <w:spacing w:line="240" w:lineRule="auto"/>
              <w:ind w:firstLine="420" w:firstLineChars="200"/>
              <w:jc w:val="center"/>
              <w:rPr>
                <w:color w:val="000000" w:themeColor="text1"/>
                <w:highlight w:val="none"/>
                <w14:textFill>
                  <w14:solidFill>
                    <w14:schemeClr w14:val="tx1"/>
                  </w14:solidFill>
                </w14:textFill>
              </w:rPr>
            </w:pPr>
          </w:p>
        </w:tc>
        <w:tc>
          <w:tcPr>
            <w:tcW w:w="1483"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eastAsia="宋体"/>
                <w:color w:val="000000" w:themeColor="text1"/>
                <w:highlight w:val="none"/>
                <w:lang w:eastAsia="zh-CN"/>
                <w14:textFill>
                  <w14:solidFill>
                    <w14:schemeClr w14:val="tx1"/>
                  </w14:solidFill>
                </w14:textFill>
              </w:rPr>
            </w:pPr>
            <w:r>
              <w:rPr>
                <w:rStyle w:val="12"/>
                <w:rFonts w:hint="eastAsia" w:ascii="宋体" w:hAnsi="宋体"/>
                <w:b w:val="0"/>
                <w:color w:val="000000" w:themeColor="text1"/>
                <w:sz w:val="18"/>
                <w:szCs w:val="18"/>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非医疗器械</w:t>
            </w:r>
          </w:p>
        </w:tc>
        <w:tc>
          <w:tcPr>
            <w:tcW w:w="7309" w:type="dxa"/>
            <w:gridSpan w:val="7"/>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lang w:eastAsia="zh-CN"/>
              </w:rPr>
            </w:pPr>
            <w:r>
              <w:rPr>
                <w:rFonts w:hint="eastAsia" w:ascii="Times New Roman" w:hAnsi="Times New Roman" w:eastAsia="宋体" w:cs="Times New Roman"/>
                <w:b w:val="0"/>
                <w:bCs/>
                <w:color w:val="00B050"/>
                <w:kern w:val="0"/>
                <w:szCs w:val="21"/>
                <w:highlight w:val="none"/>
                <w:lang w:val="en-US" w:eastAsia="zh-CN"/>
              </w:rPr>
              <w:t>备注：如需提供其他资质材料，请在此处进行补充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800" w:type="dxa"/>
            <w:gridSpan w:val="10"/>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lang w:eastAsia="zh-CN"/>
                <w14:textFill>
                  <w14:solidFill>
                    <w14:schemeClr w14:val="tx1"/>
                  </w14:solidFill>
                </w14:textFill>
              </w:rPr>
              <w:t>三、配置及耗材清单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color w:val="FF0000"/>
                <w:kern w:val="0"/>
                <w:szCs w:val="21"/>
                <w:highlight w:val="none"/>
              </w:rPr>
              <w:t>★</w:t>
            </w:r>
            <w:r>
              <w:rPr>
                <w:rFonts w:hint="eastAsia" w:ascii="宋体" w:hAnsi="宋体"/>
                <w:b/>
                <w:color w:val="FF0000"/>
                <w:kern w:val="0"/>
                <w:szCs w:val="21"/>
                <w:highlight w:val="none"/>
                <w:lang w:eastAsia="zh-CN"/>
              </w:rPr>
              <w:t>标准配置</w:t>
            </w:r>
            <w:r>
              <w:rPr>
                <w:rFonts w:hint="eastAsia" w:ascii="宋体" w:hAnsi="宋体"/>
                <w:b/>
                <w:color w:val="FF0000"/>
                <w:kern w:val="0"/>
                <w:szCs w:val="21"/>
                <w:highlight w:val="none"/>
              </w:rPr>
              <w:t>清单</w:t>
            </w:r>
          </w:p>
        </w:tc>
        <w:tc>
          <w:tcPr>
            <w:tcW w:w="8792" w:type="dxa"/>
            <w:gridSpan w:val="9"/>
            <w:tcBorders>
              <w:top w:val="single" w:color="auto" w:sz="4" w:space="0"/>
              <w:left w:val="single" w:color="auto" w:sz="4" w:space="0"/>
              <w:bottom w:val="single" w:color="auto" w:sz="4" w:space="0"/>
              <w:right w:val="single" w:color="auto" w:sz="4" w:space="0"/>
            </w:tcBorders>
            <w:noWrap w:val="0"/>
            <w:vAlign w:val="top"/>
          </w:tcPr>
          <w:tbl>
            <w:tblPr>
              <w:tblStyle w:val="10"/>
              <w:tblW w:w="6328"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3061"/>
              <w:gridCol w:w="1300"/>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center"/>
                </w:tcPr>
                <w:p>
                  <w:pPr>
                    <w:spacing w:line="288" w:lineRule="auto"/>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序号</w:t>
                  </w:r>
                </w:p>
              </w:tc>
              <w:tc>
                <w:tcPr>
                  <w:tcW w:w="3061" w:type="dxa"/>
                  <w:noWrap w:val="0"/>
                  <w:vAlign w:val="center"/>
                </w:tcPr>
                <w:p>
                  <w:pPr>
                    <w:spacing w:line="288" w:lineRule="auto"/>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配置</w:t>
                  </w:r>
                  <w:r>
                    <w:rPr>
                      <w:rFonts w:hint="eastAsia"/>
                      <w:color w:val="000000" w:themeColor="text1"/>
                      <w:sz w:val="21"/>
                      <w:szCs w:val="21"/>
                      <w14:textFill>
                        <w14:solidFill>
                          <w14:schemeClr w14:val="tx1"/>
                        </w14:solidFill>
                      </w14:textFill>
                    </w:rPr>
                    <w:t>名称</w:t>
                  </w:r>
                </w:p>
              </w:tc>
              <w:tc>
                <w:tcPr>
                  <w:tcW w:w="1300" w:type="dxa"/>
                  <w:noWrap w:val="0"/>
                  <w:vAlign w:val="center"/>
                </w:tcPr>
                <w:p>
                  <w:pPr>
                    <w:spacing w:line="288" w:lineRule="auto"/>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数量</w:t>
                  </w:r>
                </w:p>
              </w:tc>
              <w:tc>
                <w:tcPr>
                  <w:tcW w:w="1316" w:type="dxa"/>
                  <w:noWrap w:val="0"/>
                  <w:vAlign w:val="center"/>
                </w:tcPr>
                <w:p>
                  <w:pPr>
                    <w:spacing w:line="288" w:lineRule="auto"/>
                    <w:jc w:val="center"/>
                    <w:rPr>
                      <w:rFonts w:hint="eastAsia"/>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pPr>
                    <w:spacing w:line="288" w:lineRule="auto"/>
                    <w:jc w:val="center"/>
                    <w:rPr>
                      <w:rFonts w:hint="eastAsia"/>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w:t>
                  </w:r>
                </w:p>
              </w:tc>
              <w:tc>
                <w:tcPr>
                  <w:tcW w:w="3061" w:type="dxa"/>
                  <w:noWrap w:val="0"/>
                  <w:vAlign w:val="top"/>
                </w:tcPr>
                <w:p>
                  <w:pPr>
                    <w:spacing w:line="288"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全自动主机</w:t>
                  </w:r>
                </w:p>
              </w:tc>
              <w:tc>
                <w:tcPr>
                  <w:tcW w:w="1300" w:type="dxa"/>
                  <w:noWrap w:val="0"/>
                  <w:vAlign w:val="top"/>
                </w:tcPr>
                <w:p>
                  <w:pPr>
                    <w:spacing w:line="288"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316" w:type="dxa"/>
                  <w:noWrap w:val="0"/>
                  <w:vAlign w:val="top"/>
                </w:tcPr>
                <w:p>
                  <w:pPr>
                    <w:spacing w:line="288"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pPr>
                    <w:spacing w:line="288"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3061" w:type="dxa"/>
                  <w:noWrap w:val="0"/>
                  <w:vAlign w:val="top"/>
                </w:tcPr>
                <w:p>
                  <w:pPr>
                    <w:spacing w:line="312"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台车</w:t>
                  </w:r>
                </w:p>
              </w:tc>
              <w:tc>
                <w:tcPr>
                  <w:tcW w:w="1300" w:type="dxa"/>
                  <w:noWrap w:val="0"/>
                  <w:vAlign w:val="top"/>
                </w:tcPr>
                <w:p>
                  <w:pPr>
                    <w:spacing w:line="288"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316" w:type="dxa"/>
                  <w:noWrap w:val="0"/>
                  <w:vAlign w:val="top"/>
                </w:tcPr>
                <w:p>
                  <w:pPr>
                    <w:spacing w:line="288"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pPr>
                    <w:spacing w:line="288"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3061" w:type="dxa"/>
                  <w:noWrap w:val="0"/>
                  <w:vAlign w:val="top"/>
                </w:tcPr>
                <w:p>
                  <w:pPr>
                    <w:spacing w:line="312"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触摸笔</w:t>
                  </w:r>
                </w:p>
              </w:tc>
              <w:tc>
                <w:tcPr>
                  <w:tcW w:w="1300" w:type="dxa"/>
                  <w:noWrap w:val="0"/>
                  <w:vAlign w:val="top"/>
                </w:tcPr>
                <w:p>
                  <w:pPr>
                    <w:spacing w:line="288"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316" w:type="dxa"/>
                  <w:noWrap w:val="0"/>
                  <w:vAlign w:val="top"/>
                </w:tcPr>
                <w:p>
                  <w:pPr>
                    <w:spacing w:line="288"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pPr>
                    <w:spacing w:line="288" w:lineRule="auto"/>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3061" w:type="dxa"/>
                  <w:noWrap w:val="0"/>
                  <w:vAlign w:val="top"/>
                </w:tcPr>
                <w:p>
                  <w:pPr>
                    <w:spacing w:line="312"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保修卡</w:t>
                  </w:r>
                </w:p>
              </w:tc>
              <w:tc>
                <w:tcPr>
                  <w:tcW w:w="1300" w:type="dxa"/>
                  <w:noWrap w:val="0"/>
                  <w:vAlign w:val="top"/>
                </w:tcPr>
                <w:p>
                  <w:pPr>
                    <w:spacing w:line="288"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316" w:type="dxa"/>
                  <w:noWrap w:val="0"/>
                  <w:vAlign w:val="top"/>
                </w:tcPr>
                <w:p>
                  <w:pPr>
                    <w:spacing w:line="288" w:lineRule="auto"/>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pPr>
                    <w:spacing w:line="288" w:lineRule="auto"/>
                    <w:jc w:val="center"/>
                    <w:rPr>
                      <w:rFonts w:hint="default"/>
                      <w:color w:val="000000" w:themeColor="text1"/>
                      <w:sz w:val="21"/>
                      <w:szCs w:val="21"/>
                      <w:lang w:val="en-US" w:eastAsia="zh-CN"/>
                      <w14:textFill>
                        <w14:solidFill>
                          <w14:schemeClr w14:val="tx1"/>
                        </w14:solidFill>
                      </w14:textFill>
                    </w:rPr>
                  </w:pPr>
                </w:p>
              </w:tc>
              <w:tc>
                <w:tcPr>
                  <w:tcW w:w="3061" w:type="dxa"/>
                  <w:noWrap w:val="0"/>
                  <w:vAlign w:val="top"/>
                </w:tcPr>
                <w:p>
                  <w:pPr>
                    <w:spacing w:line="312" w:lineRule="auto"/>
                    <w:jc w:val="center"/>
                    <w:rPr>
                      <w:rFonts w:hint="eastAsia" w:eastAsia="宋体"/>
                      <w:color w:val="000000" w:themeColor="text1"/>
                      <w:sz w:val="21"/>
                      <w:szCs w:val="21"/>
                      <w:lang w:val="en-US" w:eastAsia="zh-CN"/>
                      <w14:textFill>
                        <w14:solidFill>
                          <w14:schemeClr w14:val="tx1"/>
                        </w14:solidFill>
                      </w14:textFill>
                    </w:rPr>
                  </w:pPr>
                </w:p>
              </w:tc>
              <w:tc>
                <w:tcPr>
                  <w:tcW w:w="1300" w:type="dxa"/>
                  <w:noWrap w:val="0"/>
                  <w:vAlign w:val="top"/>
                </w:tcPr>
                <w:p>
                  <w:pPr>
                    <w:spacing w:line="288" w:lineRule="auto"/>
                    <w:jc w:val="center"/>
                    <w:rPr>
                      <w:rFonts w:hint="default" w:eastAsia="宋体"/>
                      <w:color w:val="000000" w:themeColor="text1"/>
                      <w:sz w:val="21"/>
                      <w:szCs w:val="21"/>
                      <w:lang w:val="en-US" w:eastAsia="zh-CN"/>
                      <w14:textFill>
                        <w14:solidFill>
                          <w14:schemeClr w14:val="tx1"/>
                        </w14:solidFill>
                      </w14:textFill>
                    </w:rPr>
                  </w:pPr>
                </w:p>
              </w:tc>
              <w:tc>
                <w:tcPr>
                  <w:tcW w:w="1316" w:type="dxa"/>
                  <w:noWrap w:val="0"/>
                  <w:vAlign w:val="top"/>
                </w:tcPr>
                <w:p>
                  <w:pPr>
                    <w:spacing w:line="288" w:lineRule="auto"/>
                    <w:jc w:val="center"/>
                    <w:rPr>
                      <w:rFonts w:hint="eastAsia" w:eastAsia="宋体"/>
                      <w:color w:val="000000" w:themeColor="text1"/>
                      <w:sz w:val="21"/>
                      <w:szCs w:val="21"/>
                      <w:lang w:val="en-US" w:eastAsia="zh-CN"/>
                      <w14:textFill>
                        <w14:solidFill>
                          <w14:schemeClr w14:val="tx1"/>
                        </w14:solidFill>
                      </w14:textFill>
                    </w:rPr>
                  </w:pPr>
                </w:p>
              </w:tc>
            </w:tr>
          </w:tbl>
          <w:p>
            <w:pPr>
              <w:pStyle w:val="2"/>
              <w:jc w:val="both"/>
              <w:rPr>
                <w:rFonts w:hint="eastAsia" w:ascii="宋体" w:hAnsi="宋体"/>
                <w:color w:val="000000" w:themeColor="text1"/>
                <w:szCs w:val="21"/>
                <w:highlight w:val="none"/>
                <w14:textFill>
                  <w14:solidFill>
                    <w14:schemeClr w14:val="tx1"/>
                  </w14:solidFill>
                </w14:textFill>
              </w:rPr>
            </w:pPr>
          </w:p>
          <w:p>
            <w:pPr>
              <w:pStyle w:val="2"/>
              <w:rPr>
                <w:rFonts w:hint="eastAsia" w:ascii="宋体" w:hAnsi="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FF0000"/>
                <w:kern w:val="0"/>
                <w:szCs w:val="21"/>
                <w:highlight w:val="none"/>
                <w:lang w:val="en-US" w:eastAsia="zh-CN"/>
              </w:rPr>
            </w:pPr>
            <w:r>
              <w:rPr>
                <w:rFonts w:hint="eastAsia" w:ascii="宋体" w:hAnsi="宋体" w:eastAsia="宋体" w:cs="宋体"/>
                <w:b/>
                <w:color w:val="FF0000"/>
                <w:kern w:val="0"/>
                <w:szCs w:val="21"/>
                <w:highlight w:val="none"/>
              </w:rPr>
              <w:t>★</w:t>
            </w:r>
            <w:r>
              <w:rPr>
                <w:rFonts w:hint="eastAsia" w:ascii="宋体" w:hAnsi="宋体"/>
                <w:b/>
                <w:color w:val="FF0000"/>
                <w:kern w:val="0"/>
                <w:szCs w:val="21"/>
                <w:highlight w:val="none"/>
                <w:lang w:eastAsia="zh-CN"/>
              </w:rPr>
              <w:t>增加</w:t>
            </w:r>
            <w:r>
              <w:rPr>
                <w:rFonts w:hint="eastAsia" w:ascii="宋体" w:hAnsi="宋体"/>
                <w:b/>
                <w:color w:val="FF0000"/>
                <w:kern w:val="0"/>
                <w:szCs w:val="21"/>
                <w:highlight w:val="none"/>
              </w:rPr>
              <w:t>配置清单</w:t>
            </w:r>
          </w:p>
        </w:tc>
        <w:tc>
          <w:tcPr>
            <w:tcW w:w="8792" w:type="dxa"/>
            <w:gridSpan w:val="9"/>
            <w:tcBorders>
              <w:top w:val="single" w:color="auto" w:sz="4" w:space="0"/>
              <w:left w:val="single" w:color="auto" w:sz="4" w:space="0"/>
              <w:bottom w:val="single" w:color="auto" w:sz="4" w:space="0"/>
              <w:right w:val="single" w:color="auto" w:sz="4" w:space="0"/>
            </w:tcBorders>
            <w:noWrap w:val="0"/>
            <w:vAlign w:val="top"/>
          </w:tcPr>
          <w:tbl>
            <w:tblPr>
              <w:tblStyle w:val="10"/>
              <w:tblW w:w="834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527"/>
              <w:gridCol w:w="933"/>
              <w:gridCol w:w="900"/>
              <w:gridCol w:w="1601"/>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center"/>
                </w:tcPr>
                <w:p>
                  <w:pPr>
                    <w:spacing w:line="288" w:lineRule="auto"/>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序号</w:t>
                  </w:r>
                </w:p>
              </w:tc>
              <w:tc>
                <w:tcPr>
                  <w:tcW w:w="2527" w:type="dxa"/>
                  <w:noWrap w:val="0"/>
                  <w:vAlign w:val="center"/>
                </w:tcPr>
                <w:p>
                  <w:pPr>
                    <w:spacing w:line="288" w:lineRule="auto"/>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配置</w:t>
                  </w:r>
                  <w:r>
                    <w:rPr>
                      <w:rFonts w:hint="eastAsia" w:ascii="宋体" w:hAnsi="宋体"/>
                      <w:color w:val="000000" w:themeColor="text1"/>
                      <w:kern w:val="0"/>
                      <w:szCs w:val="21"/>
                      <w:highlight w:val="none"/>
                      <w14:textFill>
                        <w14:solidFill>
                          <w14:schemeClr w14:val="tx1"/>
                        </w14:solidFill>
                      </w14:textFill>
                    </w:rPr>
                    <w:t>名称</w:t>
                  </w:r>
                </w:p>
              </w:tc>
              <w:tc>
                <w:tcPr>
                  <w:tcW w:w="933" w:type="dxa"/>
                  <w:noWrap w:val="0"/>
                  <w:vAlign w:val="center"/>
                </w:tcPr>
                <w:p>
                  <w:pPr>
                    <w:spacing w:line="288" w:lineRule="auto"/>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数量</w:t>
                  </w:r>
                </w:p>
              </w:tc>
              <w:tc>
                <w:tcPr>
                  <w:tcW w:w="900" w:type="dxa"/>
                  <w:noWrap w:val="0"/>
                  <w:vAlign w:val="center"/>
                </w:tcPr>
                <w:p>
                  <w:pPr>
                    <w:spacing w:line="288" w:lineRule="auto"/>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单位</w:t>
                  </w:r>
                </w:p>
              </w:tc>
              <w:tc>
                <w:tcPr>
                  <w:tcW w:w="1601" w:type="dxa"/>
                  <w:noWrap w:val="0"/>
                  <w:vAlign w:val="center"/>
                </w:tcPr>
                <w:p>
                  <w:pPr>
                    <w:spacing w:line="288" w:lineRule="auto"/>
                    <w:jc w:val="center"/>
                    <w:rPr>
                      <w:rFonts w:hint="eastAsia"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参考品牌型号</w:t>
                  </w:r>
                </w:p>
              </w:tc>
              <w:tc>
                <w:tcPr>
                  <w:tcW w:w="1733" w:type="dxa"/>
                  <w:noWrap w:val="0"/>
                  <w:vAlign w:val="center"/>
                </w:tcPr>
                <w:p>
                  <w:pPr>
                    <w:spacing w:line="288" w:lineRule="auto"/>
                    <w:jc w:val="center"/>
                    <w:rPr>
                      <w:rFonts w:hint="eastAsia"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pPr>
                    <w:spacing w:line="288"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2527" w:type="dxa"/>
                  <w:noWrap w:val="0"/>
                  <w:vAlign w:val="top"/>
                </w:tcPr>
                <w:p>
                  <w:pPr>
                    <w:spacing w:line="288" w:lineRule="auto"/>
                    <w:rPr>
                      <w:rFonts w:hint="eastAsia"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无</w:t>
                  </w:r>
                </w:p>
              </w:tc>
              <w:tc>
                <w:tcPr>
                  <w:tcW w:w="933" w:type="dxa"/>
                  <w:noWrap w:val="0"/>
                  <w:vAlign w:val="top"/>
                </w:tcPr>
                <w:p>
                  <w:pPr>
                    <w:spacing w:line="288" w:lineRule="auto"/>
                    <w:rPr>
                      <w:rFonts w:hint="eastAsia" w:ascii="宋体" w:hAnsi="宋体"/>
                      <w:color w:val="000000" w:themeColor="text1"/>
                      <w:kern w:val="0"/>
                      <w:szCs w:val="21"/>
                      <w:highlight w:val="none"/>
                      <w14:textFill>
                        <w14:solidFill>
                          <w14:schemeClr w14:val="tx1"/>
                        </w14:solidFill>
                      </w14:textFill>
                    </w:rPr>
                  </w:pPr>
                </w:p>
              </w:tc>
              <w:tc>
                <w:tcPr>
                  <w:tcW w:w="900" w:type="dxa"/>
                  <w:noWrap w:val="0"/>
                  <w:vAlign w:val="top"/>
                </w:tcPr>
                <w:p>
                  <w:pPr>
                    <w:spacing w:line="288" w:lineRule="auto"/>
                    <w:rPr>
                      <w:rFonts w:hint="eastAsia" w:ascii="宋体" w:hAnsi="宋体"/>
                      <w:color w:val="000000" w:themeColor="text1"/>
                      <w:kern w:val="0"/>
                      <w:szCs w:val="21"/>
                      <w:highlight w:val="none"/>
                      <w14:textFill>
                        <w14:solidFill>
                          <w14:schemeClr w14:val="tx1"/>
                        </w14:solidFill>
                      </w14:textFill>
                    </w:rPr>
                  </w:pPr>
                </w:p>
              </w:tc>
              <w:tc>
                <w:tcPr>
                  <w:tcW w:w="1601" w:type="dxa"/>
                  <w:noWrap w:val="0"/>
                  <w:vAlign w:val="top"/>
                </w:tcPr>
                <w:p>
                  <w:pPr>
                    <w:spacing w:line="288" w:lineRule="auto"/>
                    <w:rPr>
                      <w:rFonts w:hint="eastAsia" w:ascii="宋体" w:hAnsi="宋体"/>
                      <w:color w:val="000000" w:themeColor="text1"/>
                      <w:kern w:val="0"/>
                      <w:szCs w:val="21"/>
                      <w:highlight w:val="none"/>
                      <w14:textFill>
                        <w14:solidFill>
                          <w14:schemeClr w14:val="tx1"/>
                        </w14:solidFill>
                      </w14:textFill>
                    </w:rPr>
                  </w:pPr>
                </w:p>
              </w:tc>
              <w:tc>
                <w:tcPr>
                  <w:tcW w:w="1733" w:type="dxa"/>
                  <w:noWrap w:val="0"/>
                  <w:vAlign w:val="top"/>
                </w:tcPr>
                <w:p>
                  <w:pPr>
                    <w:spacing w:line="288" w:lineRule="auto"/>
                    <w:rPr>
                      <w:rFonts w:hint="eastAsia" w:ascii="宋体" w:hAnsi="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pPr>
                    <w:spacing w:line="288"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2527" w:type="dxa"/>
                  <w:noWrap w:val="0"/>
                  <w:vAlign w:val="top"/>
                </w:tcPr>
                <w:p>
                  <w:pPr>
                    <w:spacing w:line="312" w:lineRule="auto"/>
                    <w:jc w:val="left"/>
                    <w:rPr>
                      <w:rFonts w:hint="eastAsia" w:ascii="宋体" w:hAnsi="宋体"/>
                      <w:color w:val="000000" w:themeColor="text1"/>
                      <w:szCs w:val="21"/>
                      <w:highlight w:val="none"/>
                      <w14:textFill>
                        <w14:solidFill>
                          <w14:schemeClr w14:val="tx1"/>
                        </w14:solidFill>
                      </w14:textFill>
                    </w:rPr>
                  </w:pPr>
                </w:p>
              </w:tc>
              <w:tc>
                <w:tcPr>
                  <w:tcW w:w="933" w:type="dxa"/>
                  <w:noWrap w:val="0"/>
                  <w:vAlign w:val="top"/>
                </w:tcPr>
                <w:p>
                  <w:pPr>
                    <w:spacing w:line="288" w:lineRule="auto"/>
                    <w:rPr>
                      <w:rFonts w:hint="eastAsia" w:ascii="宋体" w:hAnsi="宋体"/>
                      <w:color w:val="000000" w:themeColor="text1"/>
                      <w:kern w:val="0"/>
                      <w:szCs w:val="21"/>
                      <w:highlight w:val="none"/>
                      <w14:textFill>
                        <w14:solidFill>
                          <w14:schemeClr w14:val="tx1"/>
                        </w14:solidFill>
                      </w14:textFill>
                    </w:rPr>
                  </w:pPr>
                </w:p>
              </w:tc>
              <w:tc>
                <w:tcPr>
                  <w:tcW w:w="900" w:type="dxa"/>
                  <w:noWrap w:val="0"/>
                  <w:vAlign w:val="top"/>
                </w:tcPr>
                <w:p>
                  <w:pPr>
                    <w:spacing w:line="288" w:lineRule="auto"/>
                    <w:rPr>
                      <w:rFonts w:hint="eastAsia" w:ascii="宋体" w:hAnsi="宋体"/>
                      <w:color w:val="000000" w:themeColor="text1"/>
                      <w:kern w:val="0"/>
                      <w:szCs w:val="21"/>
                      <w:highlight w:val="none"/>
                      <w14:textFill>
                        <w14:solidFill>
                          <w14:schemeClr w14:val="tx1"/>
                        </w14:solidFill>
                      </w14:textFill>
                    </w:rPr>
                  </w:pPr>
                </w:p>
              </w:tc>
              <w:tc>
                <w:tcPr>
                  <w:tcW w:w="1601" w:type="dxa"/>
                  <w:noWrap w:val="0"/>
                  <w:vAlign w:val="top"/>
                </w:tcPr>
                <w:p>
                  <w:pPr>
                    <w:spacing w:line="288" w:lineRule="auto"/>
                    <w:rPr>
                      <w:rFonts w:hint="eastAsia" w:ascii="宋体" w:hAnsi="宋体"/>
                      <w:color w:val="000000" w:themeColor="text1"/>
                      <w:kern w:val="0"/>
                      <w:szCs w:val="21"/>
                      <w:highlight w:val="none"/>
                      <w14:textFill>
                        <w14:solidFill>
                          <w14:schemeClr w14:val="tx1"/>
                        </w14:solidFill>
                      </w14:textFill>
                    </w:rPr>
                  </w:pPr>
                </w:p>
              </w:tc>
              <w:tc>
                <w:tcPr>
                  <w:tcW w:w="1733" w:type="dxa"/>
                  <w:noWrap w:val="0"/>
                  <w:vAlign w:val="top"/>
                </w:tcPr>
                <w:p>
                  <w:pPr>
                    <w:spacing w:line="288" w:lineRule="auto"/>
                    <w:rPr>
                      <w:rFonts w:hint="eastAsia" w:ascii="宋体" w:hAnsi="宋体"/>
                      <w:color w:val="000000" w:themeColor="text1"/>
                      <w:kern w:val="0"/>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pPr>
                    <w:spacing w:line="288"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2527" w:type="dxa"/>
                  <w:noWrap w:val="0"/>
                  <w:vAlign w:val="top"/>
                </w:tcPr>
                <w:p>
                  <w:pPr>
                    <w:spacing w:line="312" w:lineRule="auto"/>
                    <w:jc w:val="left"/>
                    <w:rPr>
                      <w:rFonts w:hint="eastAsia" w:ascii="宋体" w:hAnsi="宋体"/>
                      <w:color w:val="000000" w:themeColor="text1"/>
                      <w:szCs w:val="21"/>
                      <w:highlight w:val="none"/>
                      <w14:textFill>
                        <w14:solidFill>
                          <w14:schemeClr w14:val="tx1"/>
                        </w14:solidFill>
                      </w14:textFill>
                    </w:rPr>
                  </w:pPr>
                </w:p>
              </w:tc>
              <w:tc>
                <w:tcPr>
                  <w:tcW w:w="933" w:type="dxa"/>
                  <w:noWrap w:val="0"/>
                  <w:vAlign w:val="top"/>
                </w:tcPr>
                <w:p>
                  <w:pPr>
                    <w:spacing w:line="288" w:lineRule="auto"/>
                    <w:rPr>
                      <w:rFonts w:hint="eastAsia" w:ascii="宋体" w:hAnsi="宋体"/>
                      <w:color w:val="000000" w:themeColor="text1"/>
                      <w:kern w:val="0"/>
                      <w:szCs w:val="21"/>
                      <w:highlight w:val="none"/>
                      <w14:textFill>
                        <w14:solidFill>
                          <w14:schemeClr w14:val="tx1"/>
                        </w14:solidFill>
                      </w14:textFill>
                    </w:rPr>
                  </w:pPr>
                </w:p>
              </w:tc>
              <w:tc>
                <w:tcPr>
                  <w:tcW w:w="900" w:type="dxa"/>
                  <w:noWrap w:val="0"/>
                  <w:vAlign w:val="top"/>
                </w:tcPr>
                <w:p>
                  <w:pPr>
                    <w:spacing w:line="288" w:lineRule="auto"/>
                    <w:rPr>
                      <w:rFonts w:hint="eastAsia" w:ascii="宋体" w:hAnsi="宋体"/>
                      <w:color w:val="000000" w:themeColor="text1"/>
                      <w:kern w:val="0"/>
                      <w:szCs w:val="21"/>
                      <w:highlight w:val="none"/>
                      <w14:textFill>
                        <w14:solidFill>
                          <w14:schemeClr w14:val="tx1"/>
                        </w14:solidFill>
                      </w14:textFill>
                    </w:rPr>
                  </w:pPr>
                </w:p>
              </w:tc>
              <w:tc>
                <w:tcPr>
                  <w:tcW w:w="1601" w:type="dxa"/>
                  <w:noWrap w:val="0"/>
                  <w:vAlign w:val="top"/>
                </w:tcPr>
                <w:p>
                  <w:pPr>
                    <w:spacing w:line="288" w:lineRule="auto"/>
                    <w:rPr>
                      <w:rFonts w:hint="eastAsia" w:ascii="宋体" w:hAnsi="宋体"/>
                      <w:color w:val="000000" w:themeColor="text1"/>
                      <w:kern w:val="0"/>
                      <w:szCs w:val="21"/>
                      <w:highlight w:val="none"/>
                      <w14:textFill>
                        <w14:solidFill>
                          <w14:schemeClr w14:val="tx1"/>
                        </w14:solidFill>
                      </w14:textFill>
                    </w:rPr>
                  </w:pPr>
                </w:p>
              </w:tc>
              <w:tc>
                <w:tcPr>
                  <w:tcW w:w="1733" w:type="dxa"/>
                  <w:noWrap w:val="0"/>
                  <w:vAlign w:val="top"/>
                </w:tcPr>
                <w:p>
                  <w:pPr>
                    <w:spacing w:line="288" w:lineRule="auto"/>
                    <w:rPr>
                      <w:rFonts w:hint="eastAsia" w:ascii="宋体" w:hAnsi="宋体"/>
                      <w:color w:val="000000" w:themeColor="text1"/>
                      <w:kern w:val="0"/>
                      <w:szCs w:val="21"/>
                      <w:highlight w:val="none"/>
                      <w14:textFill>
                        <w14:solidFill>
                          <w14:schemeClr w14:val="tx1"/>
                        </w14:solidFill>
                      </w14:textFill>
                    </w:rPr>
                  </w:pPr>
                </w:p>
              </w:tc>
            </w:tr>
          </w:tbl>
          <w:p>
            <w:pPr>
              <w:pStyle w:val="4"/>
              <w:ind w:left="0" w:leftChars="0" w:firstLine="0" w:firstLineChars="0"/>
              <w:rPr>
                <w:rFonts w:hint="eastAsia"/>
              </w:rPr>
            </w:pPr>
            <w:r>
              <w:rPr>
                <w:rFonts w:hint="eastAsia" w:ascii="Times New Roman" w:hAnsi="Times New Roman" w:eastAsia="宋体" w:cs="Times New Roman"/>
                <w:b w:val="0"/>
                <w:bCs/>
                <w:color w:val="00B050"/>
                <w:kern w:val="0"/>
                <w:szCs w:val="21"/>
                <w:highlight w:val="none"/>
                <w:lang w:val="en-US" w:eastAsia="zh-CN"/>
              </w:rPr>
              <w:t>备注：如无需增配，请在表格处填“无”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jc w:val="center"/>
              <w:rPr>
                <w:color w:val="FF0000"/>
              </w:rPr>
            </w:pPr>
            <w:r>
              <w:rPr>
                <w:rFonts w:hint="eastAsia" w:ascii="宋体" w:hAnsi="宋体" w:eastAsia="宋体" w:cs="宋体"/>
                <w:b/>
                <w:color w:val="FF0000"/>
                <w:kern w:val="0"/>
                <w:szCs w:val="21"/>
                <w:highlight w:val="none"/>
              </w:rPr>
              <w:t>★</w:t>
            </w:r>
            <w:r>
              <w:rPr>
                <w:rFonts w:hint="eastAsia" w:ascii="宋体" w:hAnsi="宋体"/>
                <w:b/>
                <w:color w:val="FF0000"/>
                <w:kern w:val="0"/>
                <w:szCs w:val="21"/>
                <w:highlight w:val="none"/>
                <w:lang w:eastAsia="zh-CN"/>
              </w:rPr>
              <w:t>配套</w:t>
            </w:r>
            <w:r>
              <w:rPr>
                <w:rFonts w:hint="eastAsia" w:ascii="宋体" w:hAnsi="宋体"/>
                <w:b/>
                <w:color w:val="FF0000"/>
                <w:kern w:val="0"/>
                <w:szCs w:val="21"/>
                <w:highlight w:val="none"/>
              </w:rPr>
              <w:t>耗材</w:t>
            </w:r>
          </w:p>
        </w:tc>
        <w:tc>
          <w:tcPr>
            <w:tcW w:w="8792" w:type="dxa"/>
            <w:gridSpan w:val="9"/>
            <w:tcBorders>
              <w:top w:val="single" w:color="auto" w:sz="4" w:space="0"/>
              <w:left w:val="single" w:color="auto" w:sz="4" w:space="0"/>
              <w:bottom w:val="single" w:color="auto" w:sz="4" w:space="0"/>
              <w:right w:val="single" w:color="auto" w:sz="4" w:space="0"/>
            </w:tcBorders>
            <w:noWrap w:val="0"/>
            <w:vAlign w:val="top"/>
          </w:tcPr>
          <w:tbl>
            <w:tblPr>
              <w:tblStyle w:val="10"/>
              <w:tblW w:w="834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83"/>
              <w:gridCol w:w="2850"/>
              <w:gridCol w:w="816"/>
              <w:gridCol w:w="801"/>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62" w:type="dxa"/>
                  <w:noWrap w:val="0"/>
                  <w:vAlign w:val="center"/>
                </w:tcPr>
                <w:p>
                  <w:pPr>
                    <w:spacing w:line="288" w:lineRule="auto"/>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序号</w:t>
                  </w:r>
                </w:p>
              </w:tc>
              <w:tc>
                <w:tcPr>
                  <w:tcW w:w="1483" w:type="dxa"/>
                  <w:noWrap w:val="0"/>
                  <w:vAlign w:val="center"/>
                </w:tcPr>
                <w:p>
                  <w:pPr>
                    <w:spacing w:line="288" w:lineRule="auto"/>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耗材</w:t>
                  </w:r>
                  <w:r>
                    <w:rPr>
                      <w:rFonts w:hint="eastAsia" w:ascii="宋体" w:hAnsi="宋体"/>
                      <w:color w:val="000000" w:themeColor="text1"/>
                      <w:kern w:val="0"/>
                      <w:szCs w:val="21"/>
                      <w:highlight w:val="none"/>
                      <w14:textFill>
                        <w14:solidFill>
                          <w14:schemeClr w14:val="tx1"/>
                        </w14:solidFill>
                      </w14:textFill>
                    </w:rPr>
                    <w:t>名称</w:t>
                  </w:r>
                </w:p>
              </w:tc>
              <w:tc>
                <w:tcPr>
                  <w:tcW w:w="2850" w:type="dxa"/>
                  <w:noWrap w:val="0"/>
                  <w:vAlign w:val="center"/>
                </w:tcPr>
                <w:p>
                  <w:pPr>
                    <w:spacing w:line="288" w:lineRule="auto"/>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是否上阳光采购平台</w:t>
                  </w:r>
                </w:p>
              </w:tc>
              <w:tc>
                <w:tcPr>
                  <w:tcW w:w="816" w:type="dxa"/>
                  <w:noWrap w:val="0"/>
                  <w:vAlign w:val="center"/>
                </w:tcPr>
                <w:p>
                  <w:pPr>
                    <w:spacing w:line="288" w:lineRule="auto"/>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单位</w:t>
                  </w:r>
                </w:p>
              </w:tc>
              <w:tc>
                <w:tcPr>
                  <w:tcW w:w="801" w:type="dxa"/>
                  <w:noWrap w:val="0"/>
                  <w:vAlign w:val="center"/>
                </w:tcPr>
                <w:p>
                  <w:pPr>
                    <w:spacing w:line="288" w:lineRule="auto"/>
                    <w:jc w:val="center"/>
                    <w:rPr>
                      <w:rFonts w:hint="eastAsia" w:ascii="宋体" w:hAnsi="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年使</w:t>
                  </w:r>
                </w:p>
                <w:p>
                  <w:pPr>
                    <w:spacing w:line="288" w:lineRule="auto"/>
                    <w:jc w:val="center"/>
                    <w:rPr>
                      <w:rFonts w:hint="eastAsia" w:ascii="宋体" w:hAnsi="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用量</w:t>
                  </w:r>
                </w:p>
              </w:tc>
              <w:tc>
                <w:tcPr>
                  <w:tcW w:w="1733" w:type="dxa"/>
                  <w:noWrap w:val="0"/>
                  <w:vAlign w:val="center"/>
                </w:tcPr>
                <w:p>
                  <w:pPr>
                    <w:spacing w:line="288" w:lineRule="auto"/>
                    <w:jc w:val="center"/>
                    <w:rPr>
                      <w:rFonts w:hint="eastAsia"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参考品牌型号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662" w:type="dxa"/>
                  <w:noWrap w:val="0"/>
                  <w:vAlign w:val="center"/>
                </w:tcPr>
                <w:p>
                  <w:pPr>
                    <w:spacing w:line="288" w:lineRule="auto"/>
                    <w:jc w:val="center"/>
                    <w:rPr>
                      <w:rFonts w:hint="eastAsia" w:ascii="宋体" w:hAnsi="宋体"/>
                      <w:color w:val="000000" w:themeColor="text1"/>
                      <w:kern w:val="0"/>
                      <w:szCs w:val="21"/>
                      <w:highlight w:val="none"/>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483" w:type="dxa"/>
                  <w:noWrap w:val="0"/>
                  <w:vAlign w:val="center"/>
                </w:tcPr>
                <w:p>
                  <w:pPr>
                    <w:spacing w:line="288" w:lineRule="auto"/>
                    <w:jc w:val="center"/>
                    <w:rPr>
                      <w:rFonts w:hint="eastAsia"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无</w:t>
                  </w:r>
                </w:p>
              </w:tc>
              <w:tc>
                <w:tcPr>
                  <w:tcW w:w="2850" w:type="dxa"/>
                  <w:noWrap w:val="0"/>
                  <w:vAlign w:val="center"/>
                </w:tcPr>
                <w:p>
                  <w:pPr>
                    <w:spacing w:line="288" w:lineRule="auto"/>
                    <w:jc w:val="both"/>
                    <w:rPr>
                      <w:rFonts w:hint="eastAsia" w:ascii="宋体" w:hAnsi="宋体"/>
                      <w:color w:val="000000" w:themeColor="text1"/>
                      <w:kern w:val="0"/>
                      <w:szCs w:val="21"/>
                      <w:highlight w:val="none"/>
                      <w:u w:val="none"/>
                      <w:lang w:val="en-US" w:eastAsia="zh-CN"/>
                      <w14:textFill>
                        <w14:solidFill>
                          <w14:schemeClr w14:val="tx1"/>
                        </w14:solidFill>
                      </w14:textFill>
                    </w:rPr>
                  </w:pPr>
                  <w:r>
                    <w:rPr>
                      <w:rStyle w:val="12"/>
                      <w:rFonts w:hint="eastAsia" w:ascii="宋体" w:hAnsi="宋体"/>
                      <w:b w:val="0"/>
                      <w:color w:val="000000" w:themeColor="text1"/>
                      <w:sz w:val="18"/>
                      <w:szCs w:val="18"/>
                      <w:highlight w:val="none"/>
                      <w:lang w:eastAsia="zh-CN"/>
                      <w14:textFill>
                        <w14:solidFill>
                          <w14:schemeClr w14:val="tx1"/>
                        </w14:solidFill>
                      </w14:textFill>
                    </w:rPr>
                    <w:t>□</w:t>
                  </w:r>
                  <w:r>
                    <w:rPr>
                      <w:rFonts w:hint="eastAsia" w:ascii="宋体" w:hAnsi="宋体"/>
                      <w:color w:val="000000" w:themeColor="text1"/>
                      <w:kern w:val="0"/>
                      <w:szCs w:val="21"/>
                      <w:highlight w:val="none"/>
                      <w:lang w:eastAsia="zh-CN"/>
                      <w14:textFill>
                        <w14:solidFill>
                          <w14:schemeClr w14:val="tx1"/>
                        </w14:solidFill>
                      </w14:textFill>
                    </w:rPr>
                    <w:t>是</w:t>
                  </w:r>
                  <w:r>
                    <w:rPr>
                      <w:rFonts w:hint="eastAsia" w:ascii="宋体" w:hAnsi="宋体"/>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lang w:eastAsia="zh-CN"/>
                      <w14:textFill>
                        <w14:solidFill>
                          <w14:schemeClr w14:val="tx1"/>
                        </w14:solidFill>
                      </w14:textFill>
                    </w:rPr>
                    <w:t>平台限价：</w:t>
                  </w:r>
                  <w:r>
                    <w:rPr>
                      <w:rFonts w:hint="eastAsia" w:ascii="宋体" w:hAnsi="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olor w:val="000000" w:themeColor="text1"/>
                      <w:kern w:val="0"/>
                      <w:szCs w:val="21"/>
                      <w:highlight w:val="none"/>
                      <w:u w:val="none"/>
                      <w:lang w:val="en-US" w:eastAsia="zh-CN"/>
                      <w14:textFill>
                        <w14:solidFill>
                          <w14:schemeClr w14:val="tx1"/>
                        </w14:solidFill>
                      </w14:textFill>
                    </w:rPr>
                    <w:t>元</w:t>
                  </w:r>
                </w:p>
                <w:p>
                  <w:pPr>
                    <w:spacing w:line="288" w:lineRule="auto"/>
                    <w:jc w:val="both"/>
                    <w:rPr>
                      <w:rFonts w:hint="default" w:ascii="宋体" w:hAnsi="宋体"/>
                      <w:b/>
                      <w:bCs/>
                      <w:color w:val="000000" w:themeColor="text1"/>
                      <w:kern w:val="0"/>
                      <w:szCs w:val="21"/>
                      <w:highlight w:val="none"/>
                      <w:u w:val="none"/>
                      <w:lang w:val="en-US" w:eastAsia="zh-CN"/>
                      <w14:textFill>
                        <w14:solidFill>
                          <w14:schemeClr w14:val="tx1"/>
                        </w14:solidFill>
                      </w14:textFill>
                    </w:rPr>
                  </w:pPr>
                  <w:r>
                    <w:rPr>
                      <w:rFonts w:hint="eastAsia" w:ascii="宋体" w:hAnsi="宋体"/>
                      <w:color w:val="000000" w:themeColor="text1"/>
                      <w:kern w:val="0"/>
                      <w:szCs w:val="21"/>
                      <w:highlight w:val="none"/>
                      <w:u w:val="none"/>
                      <w:lang w:val="en-US" w:eastAsia="zh-CN"/>
                      <w14:textFill>
                        <w14:solidFill>
                          <w14:schemeClr w14:val="tx1"/>
                        </w14:solidFill>
                      </w14:textFill>
                    </w:rPr>
                    <w:t xml:space="preserve">     院内控制价</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olor w:val="000000" w:themeColor="text1"/>
                      <w:kern w:val="0"/>
                      <w:szCs w:val="21"/>
                      <w:highlight w:val="none"/>
                      <w:u w:val="none"/>
                      <w:lang w:val="en-US" w:eastAsia="zh-CN"/>
                      <w14:textFill>
                        <w14:solidFill>
                          <w14:schemeClr w14:val="tx1"/>
                        </w14:solidFill>
                      </w14:textFill>
                    </w:rPr>
                    <w:t>元</w:t>
                  </w:r>
                </w:p>
                <w:p>
                  <w:pPr>
                    <w:spacing w:line="288" w:lineRule="auto"/>
                    <w:jc w:val="both"/>
                    <w:rPr>
                      <w:rFonts w:hint="eastAsia" w:ascii="宋体" w:hAnsi="宋体"/>
                      <w:color w:val="000000" w:themeColor="text1"/>
                      <w:kern w:val="0"/>
                      <w:szCs w:val="21"/>
                      <w:highlight w:val="none"/>
                      <w:lang w:eastAsia="zh-CN"/>
                      <w14:textFill>
                        <w14:solidFill>
                          <w14:schemeClr w14:val="tx1"/>
                        </w14:solidFill>
                      </w14:textFill>
                    </w:rPr>
                  </w:pPr>
                  <w:r>
                    <w:rPr>
                      <w:rStyle w:val="12"/>
                      <w:rFonts w:hint="eastAsia" w:ascii="宋体" w:hAnsi="宋体"/>
                      <w:b w:val="0"/>
                      <w:color w:val="000000" w:themeColor="text1"/>
                      <w:sz w:val="18"/>
                      <w:szCs w:val="18"/>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lang w:eastAsia="zh-CN"/>
                      <w14:textFill>
                        <w14:solidFill>
                          <w14:schemeClr w14:val="tx1"/>
                        </w14:solidFill>
                      </w14:textFill>
                    </w:rPr>
                    <w:t>否</w:t>
                  </w:r>
                  <w:r>
                    <w:rPr>
                      <w:rFonts w:hint="eastAsia" w:ascii="宋体" w:hAnsi="宋体" w:cs="Times New Roman"/>
                      <w:color w:val="000000" w:themeColor="text1"/>
                      <w:kern w:val="0"/>
                      <w:szCs w:val="21"/>
                      <w:highlight w:val="none"/>
                      <w:lang w:val="en-US" w:eastAsia="zh-CN"/>
                      <w14:textFill>
                        <w14:solidFill>
                          <w14:schemeClr w14:val="tx1"/>
                        </w14:solidFill>
                      </w14:textFill>
                    </w:rPr>
                    <w:t xml:space="preserve"> </w:t>
                  </w:r>
                  <w:r>
                    <w:rPr>
                      <w:rFonts w:hint="eastAsia" w:ascii="宋体" w:hAnsi="宋体"/>
                      <w:color w:val="000000" w:themeColor="text1"/>
                      <w:kern w:val="0"/>
                      <w:szCs w:val="21"/>
                      <w:highlight w:val="none"/>
                      <w:u w:val="none"/>
                      <w:lang w:val="en-US" w:eastAsia="zh-CN"/>
                      <w14:textFill>
                        <w14:solidFill>
                          <w14:schemeClr w14:val="tx1"/>
                        </w14:solidFill>
                      </w14:textFill>
                    </w:rPr>
                    <w:t>院内控制价</w:t>
                  </w:r>
                  <w:r>
                    <w:rPr>
                      <w:rFonts w:hint="eastAsia" w:ascii="宋体" w:hAnsi="宋体"/>
                      <w:color w:val="000000" w:themeColor="text1"/>
                      <w:kern w:val="0"/>
                      <w:szCs w:val="21"/>
                      <w:highlight w:val="none"/>
                      <w:lang w:eastAsia="zh-CN"/>
                      <w14:textFill>
                        <w14:solidFill>
                          <w14:schemeClr w14:val="tx1"/>
                        </w14:solidFill>
                      </w14:textFill>
                    </w:rPr>
                    <w:t>：</w:t>
                  </w:r>
                  <w:r>
                    <w:rPr>
                      <w:rFonts w:hint="eastAsia" w:ascii="宋体" w:hAnsi="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olor w:val="000000" w:themeColor="text1"/>
                      <w:kern w:val="0"/>
                      <w:szCs w:val="21"/>
                      <w:highlight w:val="none"/>
                      <w:u w:val="none"/>
                      <w:lang w:val="en-US" w:eastAsia="zh-CN"/>
                      <w14:textFill>
                        <w14:solidFill>
                          <w14:schemeClr w14:val="tx1"/>
                        </w14:solidFill>
                      </w14:textFill>
                    </w:rPr>
                    <w:t>元</w:t>
                  </w:r>
                </w:p>
              </w:tc>
              <w:tc>
                <w:tcPr>
                  <w:tcW w:w="816" w:type="dxa"/>
                  <w:noWrap w:val="0"/>
                  <w:vAlign w:val="center"/>
                </w:tcPr>
                <w:p>
                  <w:pPr>
                    <w:spacing w:line="288" w:lineRule="auto"/>
                    <w:jc w:val="center"/>
                    <w:rPr>
                      <w:rFonts w:hint="eastAsia" w:ascii="宋体" w:hAnsi="宋体"/>
                      <w:color w:val="000000" w:themeColor="text1"/>
                      <w:kern w:val="0"/>
                      <w:szCs w:val="21"/>
                      <w:highlight w:val="none"/>
                      <w14:textFill>
                        <w14:solidFill>
                          <w14:schemeClr w14:val="tx1"/>
                        </w14:solidFill>
                      </w14:textFill>
                    </w:rPr>
                  </w:pPr>
                </w:p>
              </w:tc>
              <w:tc>
                <w:tcPr>
                  <w:tcW w:w="801" w:type="dxa"/>
                  <w:noWrap w:val="0"/>
                  <w:vAlign w:val="center"/>
                </w:tcPr>
                <w:p>
                  <w:pPr>
                    <w:spacing w:line="288" w:lineRule="auto"/>
                    <w:jc w:val="center"/>
                    <w:rPr>
                      <w:rFonts w:hint="eastAsia" w:ascii="宋体" w:hAnsi="宋体"/>
                      <w:color w:val="000000" w:themeColor="text1"/>
                      <w:kern w:val="0"/>
                      <w:szCs w:val="21"/>
                      <w:highlight w:val="none"/>
                      <w14:textFill>
                        <w14:solidFill>
                          <w14:schemeClr w14:val="tx1"/>
                        </w14:solidFill>
                      </w14:textFill>
                    </w:rPr>
                  </w:pPr>
                </w:p>
              </w:tc>
              <w:tc>
                <w:tcPr>
                  <w:tcW w:w="1733" w:type="dxa"/>
                  <w:noWrap w:val="0"/>
                  <w:vAlign w:val="center"/>
                </w:tcPr>
                <w:p>
                  <w:pPr>
                    <w:spacing w:line="288" w:lineRule="auto"/>
                    <w:jc w:val="center"/>
                    <w:rPr>
                      <w:rFonts w:hint="eastAsia" w:ascii="宋体" w:hAnsi="宋体"/>
                      <w:color w:val="000000" w:themeColor="text1"/>
                      <w:kern w:val="0"/>
                      <w:szCs w:val="21"/>
                      <w:highlight w:val="none"/>
                      <w14:textFill>
                        <w14:solidFill>
                          <w14:schemeClr w14:val="tx1"/>
                        </w14:solidFill>
                      </w14:textFill>
                    </w:rPr>
                  </w:pPr>
                </w:p>
              </w:tc>
            </w:tr>
          </w:tbl>
          <w:p>
            <w:pPr>
              <w:pStyle w:val="4"/>
              <w:ind w:left="0" w:leftChars="0" w:firstLine="0" w:firstLineChars="0"/>
              <w:rPr>
                <w:rFonts w:hint="eastAsia" w:ascii="宋体" w:hAnsi="宋体"/>
                <w:color w:val="000000" w:themeColor="text1"/>
                <w:szCs w:val="21"/>
                <w:highlight w:val="none"/>
                <w14:textFill>
                  <w14:solidFill>
                    <w14:schemeClr w14:val="tx1"/>
                  </w14:solidFill>
                </w14:textFill>
              </w:rPr>
            </w:pPr>
            <w:r>
              <w:rPr>
                <w:rFonts w:hint="eastAsia" w:ascii="Times New Roman" w:hAnsi="Times New Roman" w:eastAsia="宋体" w:cs="Times New Roman"/>
                <w:b w:val="0"/>
                <w:bCs/>
                <w:color w:val="00B050"/>
                <w:kern w:val="0"/>
                <w:szCs w:val="21"/>
                <w:highlight w:val="none"/>
                <w:lang w:val="en-US" w:eastAsia="zh-CN"/>
              </w:rPr>
              <w:t>备注：如无需招标配套耗材，请在表格处填“无”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0" w:type="dxa"/>
            <w:gridSpan w:val="10"/>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四、技术及质量参数</w:t>
            </w:r>
            <w:r>
              <w:rPr>
                <w:rFonts w:hint="eastAsia" w:ascii="宋体" w:hAnsi="宋体" w:cs="Times New Roman"/>
                <w:b/>
                <w:color w:val="000000" w:themeColor="text1"/>
                <w:kern w:val="0"/>
                <w:sz w:val="28"/>
                <w:szCs w:val="28"/>
                <w:highlight w:val="none"/>
                <w:lang w:val="en-US" w:eastAsia="zh-CN" w:bidi="ar-SA"/>
                <w14:textFill>
                  <w14:solidFill>
                    <w14:schemeClr w14:val="tx1"/>
                  </w14:solidFill>
                </w14:textFill>
              </w:rPr>
              <w:t>需</w:t>
            </w: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pPr>
            <w:r>
              <w:rPr>
                <w:rFonts w:hint="eastAsia" w:ascii="宋体" w:hAnsi="宋体"/>
                <w:b/>
                <w:bCs/>
                <w:color w:val="FF0000"/>
                <w:szCs w:val="21"/>
                <w:highlight w:val="none"/>
              </w:rPr>
              <w:t>功能要求</w:t>
            </w: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lang w:val="en-US" w:eastAsia="zh-CN" w:bidi="ar-SA"/>
                <w14:textFill>
                  <w14:solidFill>
                    <w14:schemeClr w14:val="tx1"/>
                  </w14:solidFill>
                </w14:textFill>
              </w:rPr>
              <w:t>非接触式，全自动测量眼内压力</w:t>
            </w:r>
            <w:r>
              <w:rPr>
                <w:rFonts w:hint="eastAsia" w:ascii="宋体" w:hAnsi="宋体" w:cs="Times New Roman"/>
                <w:b w:val="0"/>
                <w:bCs/>
                <w:color w:val="000000" w:themeColor="text1"/>
                <w:kern w:val="0"/>
                <w:sz w:val="21"/>
                <w:szCs w:val="21"/>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b w:val="0"/>
                <w:bCs/>
                <w:color w:val="FF0000"/>
                <w:kern w:val="0"/>
                <w:szCs w:val="21"/>
                <w:highlight w:val="none"/>
                <w:lang w:val="en-US" w:eastAsia="zh-CN"/>
              </w:rPr>
            </w:pPr>
            <w:r>
              <w:rPr>
                <w:rFonts w:hint="eastAsia" w:ascii="宋体" w:hAnsi="宋体"/>
                <w:b/>
                <w:bCs/>
                <w:color w:val="000000" w:themeColor="text1"/>
                <w:szCs w:val="21"/>
                <w:highlight w:val="none"/>
                <w14:textFill>
                  <w14:solidFill>
                    <w14:schemeClr w14:val="tx1"/>
                  </w14:solidFill>
                </w14:textFill>
              </w:rPr>
              <w:t>质量标准</w:t>
            </w: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国产的货物必须符合中华人民共和国的设计和制造生产或行业标准；</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2、进口的货物必须符合原产地和/或中华人民共和国的设计和制造生产或行业标准，进口的货物须是具有合法的进口手续和途径，并通过了中华人民共和国商检部门检验。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FF0000"/>
                <w:szCs w:val="21"/>
                <w:highlight w:val="none"/>
              </w:rPr>
            </w:pPr>
            <w:r>
              <w:rPr>
                <w:rFonts w:hint="eastAsia" w:ascii="宋体" w:hAnsi="宋体"/>
                <w:b/>
                <w:bCs/>
                <w:color w:val="FF0000"/>
                <w:szCs w:val="21"/>
                <w:highlight w:val="none"/>
                <w:lang w:eastAsia="zh-CN"/>
              </w:rPr>
              <w:t>技术参数</w:t>
            </w: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1.测量范围  0～30mmHg（0～40hPa）、0～60mmHg（0～80hPa）</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w:t>
            </w:r>
          </w:p>
          <w:p>
            <w:pPr>
              <w:spacing w:line="24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2.测量偏差不大于±1mmHg（±1.33hPa）</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w:t>
            </w:r>
          </w:p>
          <w:p>
            <w:pPr>
              <w:spacing w:line="240" w:lineRule="auto"/>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3.最高喷气压强不大于82.5mmHg（110hPa）</w:t>
            </w:r>
            <w:r>
              <w:rPr>
                <w:rFonts w:hint="eastAsia"/>
                <w:color w:val="000000" w:themeColor="text1"/>
                <w:lang w:eastAsia="zh-CN"/>
                <w14:textFill>
                  <w14:solidFill>
                    <w14:schemeClr w14:val="tx1"/>
                  </w14:solidFill>
                </w14:textFill>
              </w:rPr>
              <w:t>；</w:t>
            </w:r>
          </w:p>
          <w:p>
            <w:pPr>
              <w:spacing w:line="240" w:lineRule="auto"/>
              <w:jc w:val="left"/>
              <w:rPr>
                <w:rFonts w:hint="eastAsia"/>
                <w:color w:val="000000" w:themeColor="text1"/>
                <w14:textFill>
                  <w14:solidFill>
                    <w14:schemeClr w14:val="tx1"/>
                  </w14:solidFill>
                </w14:textFill>
              </w:rPr>
            </w:pPr>
            <w:r>
              <w:rPr>
                <w:rFonts w:hint="eastAsia"/>
                <w:color w:val="auto"/>
              </w:rPr>
              <w:t>▲</w:t>
            </w:r>
            <w:bookmarkStart w:id="0" w:name="_GoBack"/>
            <w:bookmarkEnd w:id="0"/>
            <w:r>
              <w:rPr>
                <w:rFonts w:hint="eastAsia"/>
                <w:color w:val="000000" w:themeColor="text1"/>
                <w14:textFill>
                  <w14:solidFill>
                    <w14:schemeClr w14:val="tx1"/>
                  </w14:solidFill>
                </w14:textFill>
              </w:rPr>
              <w:t xml:space="preserve">4.测量量程：0～30mmHg和0～60mmHg可选 </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 xml:space="preserve">     </w:t>
            </w:r>
          </w:p>
          <w:p>
            <w:pPr>
              <w:spacing w:line="240" w:lineRule="auto"/>
              <w:jc w:val="left"/>
              <w:rPr>
                <w:rFonts w:hint="eastAsia" w:eastAsia="宋体"/>
                <w:color w:val="000000" w:themeColor="text1"/>
                <w:lang w:eastAsia="zh-CN"/>
                <w14:textFill>
                  <w14:solidFill>
                    <w14:schemeClr w14:val="tx1"/>
                  </w14:solidFill>
                </w14:textFill>
              </w:rPr>
            </w:pPr>
            <w:r>
              <w:rPr>
                <w:rFonts w:hint="eastAsia"/>
                <w:color w:val="auto"/>
              </w:rPr>
              <w:t>▲</w:t>
            </w:r>
            <w:r>
              <w:rPr>
                <w:rFonts w:hint="eastAsia"/>
                <w:color w:val="000000" w:themeColor="text1"/>
                <w14:textFill>
                  <w14:solidFill>
                    <w14:schemeClr w14:val="tx1"/>
                  </w14:solidFill>
                </w14:textFill>
              </w:rPr>
              <w:t>5.调节范围：测试头左右位移调节范围≤80mm，测试头前后位移调节范围≤40mm，测试头上下位移调节范围≥30mm</w:t>
            </w:r>
            <w:r>
              <w:rPr>
                <w:rFonts w:hint="eastAsia"/>
                <w:color w:val="000000" w:themeColor="text1"/>
                <w:lang w:eastAsia="zh-CN"/>
                <w14:textFill>
                  <w14:solidFill>
                    <w14:schemeClr w14:val="tx1"/>
                  </w14:solidFill>
                </w14:textFill>
              </w:rPr>
              <w:t>；</w:t>
            </w:r>
          </w:p>
          <w:p>
            <w:pPr>
              <w:spacing w:line="240" w:lineRule="auto"/>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6.颌托支架移动调节范围≤40mm</w:t>
            </w:r>
            <w:r>
              <w:rPr>
                <w:rFonts w:hint="eastAsia"/>
                <w:color w:val="000000" w:themeColor="text1"/>
                <w:lang w:eastAsia="zh-CN"/>
                <w14:textFill>
                  <w14:solidFill>
                    <w14:schemeClr w14:val="tx1"/>
                  </w14:solidFill>
                </w14:textFill>
              </w:rPr>
              <w:t>；</w:t>
            </w:r>
          </w:p>
          <w:p>
            <w:pPr>
              <w:spacing w:line="240" w:lineRule="auto"/>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7.操作模式：非接触式测量眼压 全自动对焦测量 全触摸屏操作无其他物理按键确保机器简单耐用</w:t>
            </w:r>
            <w:r>
              <w:rPr>
                <w:rFonts w:hint="eastAsia"/>
                <w:color w:val="000000" w:themeColor="text1"/>
                <w:lang w:eastAsia="zh-CN"/>
                <w14:textFill>
                  <w14:solidFill>
                    <w14:schemeClr w14:val="tx1"/>
                  </w14:solidFill>
                </w14:textFill>
              </w:rPr>
              <w:t>；</w:t>
            </w:r>
          </w:p>
          <w:p>
            <w:pPr>
              <w:spacing w:line="24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8.测量模式：可以选择全自动或半自动模式进行测量；</w:t>
            </w:r>
          </w:p>
          <w:p>
            <w:pPr>
              <w:spacing w:line="24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9.在全自动模式下，点击启动会依次对左右眼进行自动找眼并对焦打眼；</w:t>
            </w:r>
          </w:p>
          <w:p>
            <w:pPr>
              <w:spacing w:line="24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10.在半自动模式下，手动对焦后，点击启动会进行对焦喷气；</w:t>
            </w:r>
          </w:p>
          <w:p>
            <w:pPr>
              <w:spacing w:line="240" w:lineRule="auto"/>
              <w:jc w:val="left"/>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11.可设置自动测量次数：一次和三次两档可选</w:t>
            </w:r>
            <w:r>
              <w:rPr>
                <w:rFonts w:hint="eastAsia"/>
                <w:color w:val="000000" w:themeColor="text1"/>
                <w:lang w:eastAsia="zh-CN"/>
                <w14:textFill>
                  <w14:solidFill>
                    <w14:schemeClr w14:val="tx1"/>
                  </w14:solidFill>
                </w14:textFill>
              </w:rPr>
              <w:t>；</w:t>
            </w:r>
          </w:p>
          <w:p>
            <w:pPr>
              <w:spacing w:line="240" w:lineRule="auto"/>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12.安全限位可以设置电机向前移动的最远距离，避免触碰人眼；</w:t>
            </w:r>
          </w:p>
          <w:p>
            <w:pPr>
              <w:spacing w:line="240" w:lineRule="auto"/>
              <w:jc w:val="left"/>
              <w:rPr>
                <w:rFonts w:hint="eastAsia" w:eastAsia="宋体"/>
                <w:color w:val="auto"/>
                <w:lang w:eastAsia="zh-CN"/>
              </w:rPr>
            </w:pPr>
            <w:r>
              <w:rPr>
                <w:rFonts w:hint="eastAsia"/>
                <w:color w:val="auto"/>
              </w:rPr>
              <w:t>▲</w:t>
            </w:r>
            <w:r>
              <w:rPr>
                <w:rFonts w:hint="eastAsia"/>
                <w:color w:val="000000" w:themeColor="text1"/>
                <w14:textFill>
                  <w14:solidFill>
                    <w14:schemeClr w14:val="tx1"/>
                  </w14:solidFill>
                </w14:textFill>
              </w:rPr>
              <w:t>1</w:t>
            </w:r>
            <w:r>
              <w:rPr>
                <w:rFonts w:hint="eastAsia"/>
                <w:color w:val="auto"/>
              </w:rPr>
              <w:t>3.显示方式≥10.1英寸彩色显示屏</w:t>
            </w:r>
            <w:r>
              <w:rPr>
                <w:rFonts w:hint="eastAsia"/>
                <w:color w:val="auto"/>
                <w:lang w:eastAsia="zh-CN"/>
              </w:rPr>
              <w:t>；</w:t>
            </w:r>
          </w:p>
          <w:p>
            <w:pPr>
              <w:spacing w:line="240" w:lineRule="auto"/>
              <w:jc w:val="left"/>
              <w:rPr>
                <w:rFonts w:hint="eastAsia"/>
                <w:color w:val="auto"/>
              </w:rPr>
            </w:pPr>
            <w:r>
              <w:rPr>
                <w:rFonts w:hint="eastAsia"/>
                <w:color w:val="auto"/>
              </w:rPr>
              <w:t>14.报告打印：可选择打印</w:t>
            </w:r>
            <w:r>
              <w:rPr>
                <w:rFonts w:hint="eastAsia"/>
                <w:color w:val="auto"/>
                <w:lang w:val="en-US" w:eastAsia="zh-CN"/>
              </w:rPr>
              <w:t>A4纸报告</w:t>
            </w:r>
            <w:r>
              <w:rPr>
                <w:rFonts w:hint="eastAsia"/>
                <w:color w:val="auto"/>
              </w:rPr>
              <w:t>或热敏报告；</w:t>
            </w:r>
          </w:p>
          <w:p>
            <w:pPr>
              <w:spacing w:line="240" w:lineRule="auto"/>
              <w:jc w:val="left"/>
              <w:rPr>
                <w:rFonts w:hint="eastAsia"/>
                <w:color w:val="auto"/>
              </w:rPr>
            </w:pPr>
            <w:r>
              <w:rPr>
                <w:rFonts w:hint="eastAsia"/>
                <w:color w:val="auto"/>
              </w:rPr>
              <w:t>15.机器内置热敏打印机，可直接打印热敏报告；</w:t>
            </w:r>
          </w:p>
          <w:p>
            <w:pPr>
              <w:spacing w:line="240" w:lineRule="auto"/>
              <w:jc w:val="left"/>
              <w:rPr>
                <w:rFonts w:hint="eastAsia"/>
                <w:color w:val="auto"/>
              </w:rPr>
            </w:pPr>
            <w:r>
              <w:rPr>
                <w:rFonts w:hint="eastAsia"/>
                <w:color w:val="auto"/>
              </w:rPr>
              <w:t>16.标准报告需要选择连接对应的打印机；</w:t>
            </w:r>
          </w:p>
          <w:p>
            <w:pPr>
              <w:spacing w:line="240" w:lineRule="auto"/>
              <w:jc w:val="left"/>
              <w:rPr>
                <w:rFonts w:hint="eastAsia"/>
                <w:color w:val="auto"/>
              </w:rPr>
            </w:pPr>
            <w:r>
              <w:rPr>
                <w:rFonts w:hint="eastAsia"/>
                <w:color w:val="auto"/>
              </w:rPr>
              <w:t>▲17.传输：可选择Socket或HTTP传输协议；</w:t>
            </w:r>
          </w:p>
          <w:p>
            <w:pPr>
              <w:spacing w:line="240" w:lineRule="auto"/>
              <w:jc w:val="left"/>
              <w:rPr>
                <w:rFonts w:hint="eastAsia" w:eastAsia="宋体"/>
                <w:color w:val="auto"/>
                <w:lang w:eastAsia="zh-CN"/>
              </w:rPr>
            </w:pPr>
            <w:r>
              <w:rPr>
                <w:rFonts w:hint="eastAsia"/>
                <w:color w:val="auto"/>
              </w:rPr>
              <w:t>18.连接端口：USB、网口</w:t>
            </w:r>
            <w:r>
              <w:rPr>
                <w:rFonts w:hint="eastAsia"/>
                <w:color w:val="auto"/>
                <w:lang w:eastAsia="zh-CN"/>
              </w:rPr>
              <w:t>；</w:t>
            </w:r>
          </w:p>
          <w:p>
            <w:pPr>
              <w:spacing w:line="240" w:lineRule="auto"/>
              <w:jc w:val="left"/>
              <w:rPr>
                <w:rFonts w:hint="eastAsia"/>
                <w:color w:val="auto"/>
              </w:rPr>
            </w:pPr>
            <w:r>
              <w:rPr>
                <w:rFonts w:hint="eastAsia"/>
                <w:color w:val="auto"/>
              </w:rPr>
              <w:t xml:space="preserve">19.电压/频率： AC 220V/50Hz  </w:t>
            </w:r>
            <w:r>
              <w:rPr>
                <w:rFonts w:hint="eastAsia"/>
                <w:color w:val="auto"/>
                <w:lang w:eastAsia="zh-CN"/>
              </w:rPr>
              <w:t>；</w:t>
            </w:r>
            <w:r>
              <w:rPr>
                <w:rFonts w:hint="eastAsia"/>
                <w:color w:val="auto"/>
              </w:rPr>
              <w:t xml:space="preserve">                        </w:t>
            </w:r>
          </w:p>
          <w:p>
            <w:pPr>
              <w:spacing w:line="240" w:lineRule="auto"/>
              <w:jc w:val="left"/>
              <w:rPr>
                <w:rFonts w:hint="eastAsia" w:eastAsia="宋体"/>
                <w:color w:val="auto"/>
                <w:lang w:eastAsia="zh-CN"/>
              </w:rPr>
            </w:pPr>
            <w:r>
              <w:rPr>
                <w:rFonts w:hint="eastAsia"/>
                <w:color w:val="auto"/>
              </w:rPr>
              <w:t>20.尺寸：≤480mm×≤340mm×≤470mm</w:t>
            </w:r>
            <w:r>
              <w:rPr>
                <w:rFonts w:hint="eastAsia"/>
                <w:color w:val="auto"/>
                <w:lang w:eastAsia="zh-CN"/>
              </w:rPr>
              <w:t>；</w:t>
            </w:r>
          </w:p>
          <w:p>
            <w:pPr>
              <w:spacing w:line="240" w:lineRule="auto"/>
              <w:jc w:val="left"/>
              <w:rPr>
                <w:rFonts w:hint="default"/>
                <w:color w:val="000000" w:themeColor="text1"/>
                <w:lang w:val="en-US"/>
                <w14:textFill>
                  <w14:solidFill>
                    <w14:schemeClr w14:val="tx1"/>
                  </w14:solidFill>
                </w14:textFill>
              </w:rPr>
            </w:pPr>
            <w:r>
              <w:rPr>
                <w:rFonts w:hint="eastAsia"/>
                <w:color w:val="auto"/>
              </w:rPr>
              <w:t>▲21.重量</w:t>
            </w:r>
            <w:r>
              <w:rPr>
                <w:rFonts w:hint="eastAsia"/>
                <w:color w:val="000000" w:themeColor="text1"/>
                <w14:textFill>
                  <w14:solidFill>
                    <w14:schemeClr w14:val="tx1"/>
                  </w14:solidFill>
                </w14:textFill>
              </w:rPr>
              <w:t>：≤20kg</w:t>
            </w:r>
            <w:r>
              <w:rPr>
                <w:rFonts w:hint="eastAsia"/>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FF0000"/>
                <w:szCs w:val="21"/>
                <w:highlight w:val="none"/>
                <w:lang w:eastAsia="zh-CN"/>
              </w:rPr>
            </w:pPr>
            <w:r>
              <w:rPr>
                <w:rFonts w:hint="eastAsia" w:ascii="宋体" w:hAnsi="宋体"/>
                <w:b/>
                <w:bCs/>
                <w:color w:val="FF0000"/>
                <w:szCs w:val="21"/>
                <w:highlight w:val="none"/>
                <w:lang w:eastAsia="zh-CN"/>
              </w:rPr>
              <w:t>参考品牌型号</w:t>
            </w: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tbl>
            <w:tblPr>
              <w:tblStyle w:val="10"/>
              <w:tblW w:w="6294"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2710"/>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center"/>
                </w:tcPr>
                <w:p>
                  <w:pPr>
                    <w:spacing w:line="288" w:lineRule="auto"/>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序号</w:t>
                  </w:r>
                </w:p>
              </w:tc>
              <w:tc>
                <w:tcPr>
                  <w:tcW w:w="2710" w:type="dxa"/>
                  <w:noWrap w:val="0"/>
                  <w:vAlign w:val="center"/>
                </w:tcPr>
                <w:p>
                  <w:pPr>
                    <w:spacing w:line="288" w:lineRule="auto"/>
                    <w:jc w:val="center"/>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参考品牌</w:t>
                  </w:r>
                </w:p>
              </w:tc>
              <w:tc>
                <w:tcPr>
                  <w:tcW w:w="2933" w:type="dxa"/>
                  <w:noWrap w:val="0"/>
                  <w:vAlign w:val="center"/>
                </w:tcPr>
                <w:p>
                  <w:pPr>
                    <w:spacing w:line="288" w:lineRule="auto"/>
                    <w:jc w:val="center"/>
                    <w:rPr>
                      <w:rFonts w:hint="eastAsia" w:ascii="宋体" w:hAnsi="宋体" w:eastAsia="宋体"/>
                      <w:color w:val="000000" w:themeColor="text1"/>
                      <w:kern w:val="0"/>
                      <w:szCs w:val="21"/>
                      <w:highlight w:val="none"/>
                      <w:lang w:eastAsia="zh-CN"/>
                      <w14:textFill>
                        <w14:solidFill>
                          <w14:schemeClr w14:val="tx1"/>
                        </w14:solidFill>
                      </w14:textFill>
                    </w:rPr>
                  </w:pPr>
                  <w:r>
                    <w:rPr>
                      <w:rFonts w:hint="eastAsia" w:ascii="宋体" w:hAnsi="宋体"/>
                      <w:color w:val="000000" w:themeColor="text1"/>
                      <w:kern w:val="0"/>
                      <w:szCs w:val="21"/>
                      <w:highlight w:val="none"/>
                      <w:lang w:eastAsia="zh-CN"/>
                      <w14:textFill>
                        <w14:solidFill>
                          <w14:schemeClr w14:val="tx1"/>
                        </w14:solidFill>
                      </w14:textFill>
                    </w:rPr>
                    <w:t>参考规格型号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pPr>
                    <w:spacing w:line="288"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2710" w:type="dxa"/>
                  <w:noWrap w:val="0"/>
                  <w:vAlign w:val="top"/>
                </w:tcPr>
                <w:p>
                  <w:pPr>
                    <w:spacing w:line="288" w:lineRule="auto"/>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天津索维</w:t>
                  </w:r>
                </w:p>
              </w:tc>
              <w:tc>
                <w:tcPr>
                  <w:tcW w:w="2933" w:type="dxa"/>
                  <w:noWrap w:val="0"/>
                  <w:vAlign w:val="top"/>
                </w:tcPr>
                <w:p>
                  <w:pPr>
                    <w:spacing w:line="288" w:lineRule="auto"/>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SW-5000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pPr>
                    <w:spacing w:line="288"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2710" w:type="dxa"/>
                  <w:noWrap w:val="0"/>
                  <w:vAlign w:val="top"/>
                </w:tcPr>
                <w:p>
                  <w:pPr>
                    <w:spacing w:line="312" w:lineRule="auto"/>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湖南卡睿知</w:t>
                  </w:r>
                </w:p>
              </w:tc>
              <w:tc>
                <w:tcPr>
                  <w:tcW w:w="2933" w:type="dxa"/>
                  <w:noWrap w:val="0"/>
                  <w:vAlign w:val="top"/>
                </w:tcPr>
                <w:p>
                  <w:pPr>
                    <w:spacing w:line="288" w:lineRule="auto"/>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CNT-2000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pPr>
                    <w:spacing w:line="288" w:lineRule="auto"/>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2710" w:type="dxa"/>
                  <w:noWrap w:val="0"/>
                  <w:vAlign w:val="top"/>
                </w:tcPr>
                <w:p>
                  <w:pPr>
                    <w:spacing w:line="312" w:lineRule="auto"/>
                    <w:jc w:val="left"/>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浙江佳目</w:t>
                  </w:r>
                </w:p>
              </w:tc>
              <w:tc>
                <w:tcPr>
                  <w:tcW w:w="2933" w:type="dxa"/>
                  <w:noWrap w:val="0"/>
                  <w:vAlign w:val="top"/>
                </w:tcPr>
                <w:p>
                  <w:pPr>
                    <w:spacing w:line="288" w:lineRule="auto"/>
                    <w:rPr>
                      <w:rFonts w:hint="default" w:ascii="宋体" w:hAnsi="宋体" w:eastAsia="宋体"/>
                      <w:color w:val="000000" w:themeColor="text1"/>
                      <w:kern w:val="0"/>
                      <w:szCs w:val="21"/>
                      <w:highlight w:val="none"/>
                      <w:lang w:val="en-US" w:eastAsia="zh-CN"/>
                      <w14:textFill>
                        <w14:solidFill>
                          <w14:schemeClr w14:val="tx1"/>
                        </w14:solidFill>
                      </w14:textFill>
                    </w:rPr>
                  </w:pPr>
                  <w:r>
                    <w:rPr>
                      <w:rFonts w:hint="eastAsia" w:ascii="宋体" w:hAnsi="宋体"/>
                      <w:color w:val="000000" w:themeColor="text1"/>
                      <w:kern w:val="0"/>
                      <w:szCs w:val="21"/>
                      <w:highlight w:val="none"/>
                      <w:lang w:val="en-US" w:eastAsia="zh-CN"/>
                      <w14:textFill>
                        <w14:solidFill>
                          <w14:schemeClr w14:val="tx1"/>
                        </w14:solidFill>
                      </w14:textFill>
                    </w:rPr>
                    <w:t>TP1</w:t>
                  </w:r>
                </w:p>
              </w:tc>
            </w:tr>
          </w:tbl>
          <w:p>
            <w:pPr>
              <w:spacing w:line="240" w:lineRule="auto"/>
              <w:jc w:val="left"/>
              <w:rPr>
                <w:rFonts w:hint="eastAsia" w:ascii="宋体" w:hAnsi="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800" w:type="dxa"/>
            <w:gridSpan w:val="10"/>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五、商务和服务条款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t>★报价要求</w:t>
            </w: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pacing w:before="157" w:beforeLines="50" w:after="157" w:afterLines="50"/>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1、投标报价以人民币报价，为工地交货价。货物总价内包含但不限于的相关的费用有：原材料和配件费、深化设计、生产加工、安装、调试，通过有关主管部门的验收，运至合同指定地点的包装、运输、装卸、安装，技术培训，检查、检验，及保修、利润、风险金、国家规定的各项税费；</w:t>
            </w:r>
          </w:p>
          <w:p>
            <w:pPr>
              <w:keepNext w:val="0"/>
              <w:keepLines w:val="0"/>
              <w:pageBreakBefore w:val="0"/>
              <w:widowControl w:val="0"/>
              <w:kinsoku/>
              <w:wordWrap/>
              <w:overflowPunct/>
              <w:topLinePunct w:val="0"/>
              <w:autoSpaceDE/>
              <w:autoSpaceDN/>
              <w:bidi w:val="0"/>
              <w:adjustRightInd/>
              <w:spacing w:before="157" w:beforeLines="50" w:after="157" w:afterLines="50" w:line="240" w:lineRule="auto"/>
              <w:jc w:val="both"/>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yellow"/>
                <w:lang w:val="en-US" w:eastAsia="zh-CN" w:bidi="ar-SA"/>
                <w14:textFill>
                  <w14:solidFill>
                    <w14:schemeClr w14:val="tx1"/>
                  </w14:solidFill>
                </w14:textFill>
              </w:rPr>
              <w:t>2、</w:t>
            </w:r>
            <w:r>
              <w:rPr>
                <w:rFonts w:ascii="宋体" w:hAnsi="宋体" w:eastAsia="宋体" w:cs="宋体"/>
                <w:sz w:val="21"/>
                <w:szCs w:val="21"/>
              </w:rPr>
              <w:t>配套耗材报价不包含于投标总价内，采购方以该耗材中标单价在深圳医用耗材阳光交易和监管平台采购本产品（无法上平台的产品除外）。如耗材中标单价高于深圳医用耗材阳光交易和监管平台价格，则按深圳医用耗材阳光交易和监管平台价格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t>★</w:t>
            </w:r>
            <w:r>
              <w:rPr>
                <w:rFonts w:hint="eastAsia" w:ascii="宋体" w:hAnsi="宋体"/>
                <w:b/>
                <w:color w:val="000000" w:themeColor="text1"/>
                <w:kern w:val="0"/>
                <w:szCs w:val="21"/>
                <w:highlight w:val="none"/>
                <w14:textFill>
                  <w14:solidFill>
                    <w14:schemeClr w14:val="tx1"/>
                  </w14:solidFill>
                </w14:textFill>
              </w:rPr>
              <w:t>交货期</w:t>
            </w: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tabs>
                <w:tab w:val="left" w:pos="0"/>
              </w:tabs>
              <w:kinsoku/>
              <w:wordWrap/>
              <w:overflowPunct/>
              <w:topLinePunct w:val="0"/>
              <w:autoSpaceDE/>
              <w:autoSpaceDN/>
              <w:bidi w:val="0"/>
              <w:adjustRightInd/>
              <w:spacing w:before="157" w:beforeLines="50" w:after="157" w:afterLines="50"/>
              <w:textAlignment w:val="auto"/>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kern w:val="0"/>
                <w:szCs w:val="21"/>
                <w:highlight w:val="none"/>
                <w:lang w:val="en-US" w:eastAsia="zh-CN"/>
                <w14:textFill>
                  <w14:solidFill>
                    <w14:schemeClr w14:val="tx1"/>
                  </w14:solidFill>
                </w14:textFill>
              </w:rPr>
              <w:t>1、</w:t>
            </w:r>
            <w:r>
              <w:rPr>
                <w:rFonts w:hint="eastAsia" w:ascii="宋体" w:hAnsi="宋体"/>
                <w:b w:val="0"/>
                <w:bCs/>
                <w:color w:val="000000" w:themeColor="text1"/>
                <w:szCs w:val="21"/>
                <w:highlight w:val="none"/>
                <w14:textFill>
                  <w14:solidFill>
                    <w14:schemeClr w14:val="tx1"/>
                  </w14:solidFill>
                </w14:textFill>
              </w:rPr>
              <w:t>合同签订生效后</w:t>
            </w:r>
            <w:r>
              <w:rPr>
                <w:rFonts w:hint="eastAsia" w:ascii="宋体" w:hAnsi="宋体"/>
                <w:b w:val="0"/>
                <w:bCs/>
                <w:color w:val="000000" w:themeColor="text1"/>
                <w:szCs w:val="21"/>
                <w:highlight w:val="none"/>
                <w:lang w:val="en-US" w:eastAsia="zh-CN"/>
                <w14:textFill>
                  <w14:solidFill>
                    <w14:schemeClr w14:val="tx1"/>
                  </w14:solidFill>
                </w14:textFill>
              </w:rPr>
              <w:t>6</w:t>
            </w:r>
            <w:r>
              <w:rPr>
                <w:rFonts w:hint="eastAsia" w:ascii="宋体" w:hAnsi="宋体"/>
                <w:b w:val="0"/>
                <w:bCs/>
                <w:color w:val="000000" w:themeColor="text1"/>
                <w:szCs w:val="21"/>
                <w:highlight w:val="none"/>
                <w14:textFill>
                  <w14:solidFill>
                    <w14:schemeClr w14:val="tx1"/>
                  </w14:solidFill>
                </w14:textFill>
              </w:rPr>
              <w:t>0日历日内完成安装、调试及验收，货送至</w:t>
            </w:r>
            <w:r>
              <w:rPr>
                <w:rFonts w:hint="eastAsia" w:ascii="宋体" w:hAnsi="宋体"/>
                <w:b w:val="0"/>
                <w:bCs/>
                <w:color w:val="000000" w:themeColor="text1"/>
                <w:szCs w:val="21"/>
                <w:highlight w:val="none"/>
                <w:lang w:eastAsia="zh-CN"/>
                <w14:textFill>
                  <w14:solidFill>
                    <w14:schemeClr w14:val="tx1"/>
                  </w14:solidFill>
                </w14:textFill>
              </w:rPr>
              <w:t>采购方</w:t>
            </w:r>
            <w:r>
              <w:rPr>
                <w:rFonts w:hint="eastAsia" w:ascii="宋体" w:hAnsi="宋体"/>
                <w:b w:val="0"/>
                <w:bCs/>
                <w:color w:val="000000" w:themeColor="text1"/>
                <w:szCs w:val="21"/>
                <w:highlight w:val="none"/>
                <w14:textFill>
                  <w14:solidFill>
                    <w14:schemeClr w14:val="tx1"/>
                  </w14:solidFill>
                </w14:textFill>
              </w:rPr>
              <w:t>指定地点。</w:t>
            </w:r>
          </w:p>
          <w:p>
            <w:pPr>
              <w:keepNext w:val="0"/>
              <w:keepLines w:val="0"/>
              <w:pageBreakBefore w:val="0"/>
              <w:widowControl w:val="0"/>
              <w:numPr>
                <w:ilvl w:val="0"/>
                <w:numId w:val="0"/>
              </w:numPr>
              <w:tabs>
                <w:tab w:val="left" w:pos="0"/>
              </w:tabs>
              <w:kinsoku/>
              <w:wordWrap/>
              <w:overflowPunct/>
              <w:topLinePunct w:val="0"/>
              <w:autoSpaceDE/>
              <w:autoSpaceDN/>
              <w:bidi w:val="0"/>
              <w:adjustRightInd/>
              <w:spacing w:before="157" w:beforeLines="50" w:after="157" w:afterLines="50"/>
              <w:ind w:firstLine="0" w:firstLineChars="0"/>
              <w:textAlignment w:val="auto"/>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2、</w:t>
            </w:r>
            <w:r>
              <w:rPr>
                <w:rFonts w:hint="eastAsia" w:ascii="宋体" w:hAnsi="宋体"/>
                <w:b w:val="0"/>
                <w:bCs/>
                <w:color w:val="000000" w:themeColor="text1"/>
                <w:szCs w:val="21"/>
                <w:highlight w:val="none"/>
                <w14:textFill>
                  <w14:solidFill>
                    <w14:schemeClr w14:val="tx1"/>
                  </w14:solidFill>
                </w14:textFill>
              </w:rPr>
              <w:t>逾期交货</w:t>
            </w:r>
            <w:r>
              <w:rPr>
                <w:rFonts w:hint="eastAsia" w:ascii="宋体" w:hAnsi="宋体"/>
                <w:b w:val="0"/>
                <w:bCs/>
                <w:color w:val="000000" w:themeColor="text1"/>
                <w:szCs w:val="21"/>
                <w:highlight w:val="none"/>
                <w:lang w:eastAsia="zh-CN"/>
                <w14:textFill>
                  <w14:solidFill>
                    <w14:schemeClr w14:val="tx1"/>
                  </w14:solidFill>
                </w14:textFill>
              </w:rPr>
              <w:t>采购方</w:t>
            </w:r>
            <w:r>
              <w:rPr>
                <w:rFonts w:hint="eastAsia" w:ascii="宋体" w:hAnsi="宋体"/>
                <w:b w:val="0"/>
                <w:bCs/>
                <w:color w:val="000000" w:themeColor="text1"/>
                <w:szCs w:val="21"/>
                <w:highlight w:val="none"/>
                <w14:textFill>
                  <w14:solidFill>
                    <w14:schemeClr w14:val="tx1"/>
                  </w14:solidFill>
                </w14:textFill>
              </w:rPr>
              <w:t>有权按照相关规定处罚。</w:t>
            </w:r>
            <w:r>
              <w:rPr>
                <w:rFonts w:hint="eastAsia" w:ascii="宋体" w:hAnsi="宋体"/>
                <w:b w:val="0"/>
                <w:bCs/>
                <w:color w:val="000000" w:themeColor="text1"/>
                <w:szCs w:val="21"/>
                <w:highlight w:val="none"/>
                <w:lang w:val="en-US" w:eastAsia="zh-CN"/>
                <w14:textFill>
                  <w14:solidFill>
                    <w14:schemeClr w14:val="tx1"/>
                  </w14:solidFill>
                </w14:textFill>
              </w:rPr>
              <w:t>中标方</w:t>
            </w:r>
            <w:r>
              <w:rPr>
                <w:rFonts w:hint="eastAsia" w:ascii="宋体" w:hAnsi="宋体"/>
                <w:b w:val="0"/>
                <w:bCs/>
                <w:color w:val="000000" w:themeColor="text1"/>
                <w:szCs w:val="21"/>
                <w:highlight w:val="none"/>
                <w14:textFill>
                  <w14:solidFill>
                    <w14:schemeClr w14:val="tx1"/>
                  </w14:solidFill>
                </w14:textFill>
              </w:rPr>
              <w:t>必须承担的设备运输、安装调试、验收检测和提供设备操作说明书、图纸其他类似的义务。</w:t>
            </w:r>
          </w:p>
          <w:p>
            <w:pPr>
              <w:keepNext w:val="0"/>
              <w:keepLines w:val="0"/>
              <w:pageBreakBefore w:val="0"/>
              <w:widowControl w:val="0"/>
              <w:kinsoku/>
              <w:wordWrap/>
              <w:overflowPunct/>
              <w:topLinePunct w:val="0"/>
              <w:autoSpaceDE/>
              <w:autoSpaceDN/>
              <w:bidi w:val="0"/>
              <w:adjustRightInd/>
              <w:spacing w:before="157" w:beforeLines="50" w:after="157" w:afterLines="50" w:line="240" w:lineRule="auto"/>
              <w:jc w:val="both"/>
              <w:textAlignment w:val="auto"/>
              <w:rPr>
                <w:rFonts w:hint="eastAsia" w:ascii="宋体" w:hAnsi="宋体" w:eastAsia="宋体" w:cs="Times New Roman"/>
                <w:color w:val="000000" w:themeColor="text1"/>
                <w:kern w:val="2"/>
                <w:sz w:val="21"/>
                <w:szCs w:val="21"/>
                <w:highlight w:val="yellow"/>
                <w:lang w:val="en-US" w:eastAsia="zh-CN" w:bidi="ar-SA"/>
                <w14:textFill>
                  <w14:solidFill>
                    <w14:schemeClr w14:val="tx1"/>
                  </w14:solidFill>
                </w14:textFill>
              </w:rPr>
            </w:pPr>
            <w:r>
              <w:rPr>
                <w:rFonts w:hint="eastAsia" w:ascii="宋体" w:hAnsi="宋体"/>
                <w:b w:val="0"/>
                <w:bCs/>
                <w:color w:val="000000" w:themeColor="text1"/>
                <w:szCs w:val="21"/>
                <w:highlight w:val="none"/>
                <w:lang w:val="en-US" w:eastAsia="zh-CN"/>
                <w14:textFill>
                  <w14:solidFill>
                    <w14:schemeClr w14:val="tx1"/>
                  </w14:solidFill>
                </w14:textFill>
              </w:rPr>
              <w:t>3、</w:t>
            </w:r>
            <w:r>
              <w:rPr>
                <w:rFonts w:hint="eastAsia" w:ascii="宋体" w:hAnsi="宋体" w:eastAsia="宋体" w:cs="宋体"/>
                <w:b w:val="0"/>
                <w:bCs/>
                <w:color w:val="000000" w:themeColor="text1"/>
                <w:szCs w:val="21"/>
                <w14:textFill>
                  <w14:solidFill>
                    <w14:schemeClr w14:val="tx1"/>
                  </w14:solidFill>
                </w14:textFill>
              </w:rPr>
              <w:t>设备和材料</w:t>
            </w:r>
            <w:r>
              <w:rPr>
                <w:rFonts w:hint="eastAsia" w:ascii="宋体" w:hAnsi="宋体" w:eastAsia="宋体" w:cs="宋体"/>
                <w:b w:val="0"/>
                <w:bCs/>
                <w:color w:val="000000" w:themeColor="text1"/>
                <w:szCs w:val="21"/>
                <w:lang w:eastAsia="zh-CN"/>
                <w14:textFill>
                  <w14:solidFill>
                    <w14:schemeClr w14:val="tx1"/>
                  </w14:solidFill>
                </w14:textFill>
              </w:rPr>
              <w:t>须为</w:t>
            </w:r>
            <w:r>
              <w:rPr>
                <w:rFonts w:hint="eastAsia" w:ascii="宋体" w:hAnsi="宋体" w:eastAsia="宋体" w:cs="宋体"/>
                <w:b w:val="0"/>
                <w:bCs/>
                <w:color w:val="000000" w:themeColor="text1"/>
                <w:szCs w:val="21"/>
                <w14:textFill>
                  <w14:solidFill>
                    <w14:schemeClr w14:val="tx1"/>
                  </w14:solidFill>
                </w14:textFill>
              </w:rPr>
              <w:t>全新，包装方式按照原厂出厂原标准</w:t>
            </w:r>
            <w:r>
              <w:rPr>
                <w:rFonts w:hint="eastAsia" w:ascii="宋体" w:hAnsi="宋体" w:eastAsia="宋体" w:cs="宋体"/>
                <w:b w:val="0"/>
                <w:bCs/>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售后服务要求</w:t>
            </w: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before="157" w:beforeLines="50" w:after="157" w:afterLines="50" w:line="240" w:lineRule="auto"/>
              <w:jc w:val="left"/>
              <w:textAlignment w:val="auto"/>
              <w:rPr>
                <w:rFonts w:hint="eastAsia"/>
                <w:lang w:eastAsia="zh-CN"/>
              </w:rPr>
            </w:pPr>
            <w:r>
              <w:rPr>
                <w:rFonts w:hint="eastAsia"/>
              </w:rPr>
              <w:t>★</w:t>
            </w:r>
            <w:r>
              <w:rPr>
                <w:rFonts w:hint="eastAsia"/>
                <w:lang w:val="en-US" w:eastAsia="zh-CN"/>
              </w:rPr>
              <w:t>1</w:t>
            </w:r>
            <w:r>
              <w:rPr>
                <w:rFonts w:hint="eastAsia"/>
              </w:rPr>
              <w:t>、设备安装调试验收合格后原厂质保</w:t>
            </w:r>
            <w:r>
              <w:rPr>
                <w:rFonts w:hint="eastAsia"/>
                <w:lang w:val="en-US" w:eastAsia="zh-CN"/>
              </w:rPr>
              <w:t>5</w:t>
            </w:r>
            <w:r>
              <w:rPr>
                <w:rFonts w:hint="eastAsia"/>
              </w:rPr>
              <w:t>年。</w:t>
            </w:r>
            <w:r>
              <w:rPr>
                <w:rFonts w:hint="eastAsia"/>
                <w:lang w:eastAsia="zh-CN"/>
              </w:rPr>
              <w:t>投标方</w:t>
            </w:r>
            <w:r>
              <w:rPr>
                <w:rFonts w:hint="eastAsia"/>
              </w:rPr>
              <w:t>中标后需提供与设备生产厂家签订的该设备</w:t>
            </w:r>
            <w:r>
              <w:rPr>
                <w:rFonts w:hint="eastAsia"/>
                <w:lang w:val="en-US" w:eastAsia="zh-CN"/>
              </w:rPr>
              <w:t>5</w:t>
            </w:r>
            <w:r>
              <w:rPr>
                <w:rFonts w:hint="eastAsia"/>
              </w:rPr>
              <w:t>年质保协议原件</w:t>
            </w:r>
            <w:r>
              <w:rPr>
                <w:rFonts w:hint="eastAsia"/>
                <w:highlight w:val="yellow"/>
                <w:lang w:val="en-US" w:eastAsia="zh-CN"/>
              </w:rPr>
              <w:t>或厂家/</w:t>
            </w:r>
            <w:r>
              <w:rPr>
                <w:rFonts w:hint="default" w:ascii="Times New Roman" w:hAnsi="Times New Roman" w:eastAsia="宋体" w:cs="Times New Roman"/>
                <w:kern w:val="2"/>
                <w:sz w:val="21"/>
                <w:szCs w:val="24"/>
                <w:highlight w:val="yellow"/>
                <w:lang w:val="en-US" w:eastAsia="zh-CN" w:bidi="ar-SA"/>
              </w:rPr>
              <w:t>授权的中国总代理</w:t>
            </w:r>
            <w:r>
              <w:rPr>
                <w:rFonts w:hint="eastAsia"/>
                <w:highlight w:val="yellow"/>
                <w:lang w:val="en-US" w:eastAsia="zh-CN"/>
              </w:rPr>
              <w:t>代针对该项目的原厂质保5年的承诺</w:t>
            </w:r>
            <w:r>
              <w:rPr>
                <w:rFonts w:hint="eastAsia"/>
              </w:rPr>
              <w:t>。在质保期内，设备零配件及其维修的有关费用</w:t>
            </w:r>
            <w:r>
              <w:rPr>
                <w:rFonts w:hint="eastAsia"/>
                <w:lang w:val="en-US" w:eastAsia="zh-CN"/>
              </w:rPr>
              <w:t>及</w:t>
            </w:r>
            <w:r>
              <w:rPr>
                <w:rFonts w:hint="eastAsia"/>
              </w:rPr>
              <w:t>软件终身升级</w:t>
            </w:r>
            <w:r>
              <w:rPr>
                <w:rFonts w:hint="eastAsia"/>
                <w:lang w:val="en-US" w:eastAsia="zh-CN"/>
              </w:rPr>
              <w:t>皆不得额外收取费用，并保证</w:t>
            </w:r>
            <w:r>
              <w:rPr>
                <w:rFonts w:hint="eastAsia"/>
              </w:rPr>
              <w:t>终身负责维修</w:t>
            </w:r>
            <w:r>
              <w:rPr>
                <w:rFonts w:hint="eastAsia"/>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textAlignment w:val="auto"/>
              <w:rPr>
                <w:rFonts w:hint="eastAsia"/>
              </w:rPr>
            </w:pPr>
            <w:r>
              <w:rPr>
                <w:rFonts w:hint="eastAsia"/>
                <w:lang w:val="en-US" w:eastAsia="zh-CN"/>
              </w:rPr>
              <w:t>2</w:t>
            </w:r>
            <w:r>
              <w:rPr>
                <w:rFonts w:hint="eastAsia"/>
              </w:rPr>
              <w:t>、</w:t>
            </w:r>
            <w:r>
              <w:rPr>
                <w:rFonts w:hint="eastAsia"/>
                <w:lang w:eastAsia="zh-CN"/>
              </w:rPr>
              <w:t>质保期</w:t>
            </w:r>
            <w:r>
              <w:rPr>
                <w:rFonts w:hint="eastAsia"/>
              </w:rPr>
              <w:t>内，设备保养、维修服务应由</w:t>
            </w:r>
            <w:r>
              <w:rPr>
                <w:rFonts w:hint="eastAsia"/>
                <w:lang w:val="en-US" w:eastAsia="zh-CN"/>
              </w:rPr>
              <w:t>中标方负责，</w:t>
            </w:r>
            <w:r>
              <w:rPr>
                <w:rFonts w:hint="eastAsia"/>
              </w:rPr>
              <w:t>按产品说明书规定或相关行业规定进行保养，每年需对设备进行维护保养，一年四次（每季度一次），每年进行深度预防性保养1次以上，提交保养报告交给</w:t>
            </w:r>
            <w:r>
              <w:rPr>
                <w:rFonts w:hint="eastAsia"/>
                <w:lang w:eastAsia="zh-CN"/>
              </w:rPr>
              <w:t>采购方</w:t>
            </w:r>
            <w:r>
              <w:rPr>
                <w:rFonts w:hint="eastAsia"/>
              </w:rPr>
              <w:t>。</w:t>
            </w:r>
          </w:p>
          <w:p>
            <w:pPr>
              <w:pStyle w:val="4"/>
              <w:keepNext w:val="0"/>
              <w:keepLines w:val="0"/>
              <w:pageBreakBefore w:val="0"/>
              <w:widowControl w:val="0"/>
              <w:kinsoku/>
              <w:wordWrap/>
              <w:overflowPunct/>
              <w:topLinePunct w:val="0"/>
              <w:autoSpaceDE/>
              <w:autoSpaceDN/>
              <w:bidi w:val="0"/>
              <w:adjustRightInd/>
              <w:spacing w:before="157" w:beforeLines="50" w:after="157" w:afterLines="50"/>
              <w:ind w:left="0" w:leftChars="0" w:firstLine="0" w:firstLineChars="0"/>
              <w:textAlignment w:val="auto"/>
              <w:rPr>
                <w:rFonts w:hint="eastAsia"/>
                <w:lang w:val="en-US" w:eastAsia="zh-CN"/>
              </w:rPr>
            </w:pPr>
            <w:r>
              <w:rPr>
                <w:rFonts w:hint="eastAsia"/>
                <w:lang w:val="en-US" w:eastAsia="zh-CN"/>
              </w:rPr>
              <w:t>3、质保期内，中标方应对产品因质量出现的问题进行修复且不得额外收费，并且要在2小时内响应，12小时内到达现场维修，并在48小时内消除故障，若在48小时内不能及时排除故障的，中标方应在10个日历日内向采购方提供不低故障设备规格型号档次的备用设备使用，且该设备不得额外收费，直至故障修复为止，由此产生的包括但不限于运输费、安装费、搬运费、替换产品的损耗费、零部件费、调试费全部费用由中标方承担。</w:t>
            </w:r>
          </w:p>
          <w:p>
            <w:pPr>
              <w:keepNext w:val="0"/>
              <w:keepLines w:val="0"/>
              <w:pageBreakBefore w:val="0"/>
              <w:widowControl w:val="0"/>
              <w:kinsoku/>
              <w:wordWrap/>
              <w:overflowPunct/>
              <w:topLinePunct w:val="0"/>
              <w:autoSpaceDE/>
              <w:autoSpaceDN/>
              <w:bidi w:val="0"/>
              <w:adjustRightInd/>
              <w:snapToGrid w:val="0"/>
              <w:spacing w:before="157" w:beforeLines="50" w:after="157" w:afterLines="50"/>
              <w:textAlignment w:val="auto"/>
              <w:rPr>
                <w:rFonts w:hint="eastAsia"/>
                <w:lang w:val="en-US" w:eastAsia="zh-CN"/>
              </w:rPr>
            </w:pPr>
            <w:r>
              <w:rPr>
                <w:rFonts w:hint="eastAsia"/>
                <w:lang w:val="en-US" w:eastAsia="zh-CN"/>
              </w:rPr>
              <w:t>4、质保期内，中标方应确保设备年开机率在98%（含98%）以上，若达不到此开机率，将作以下处理：年开机率在90%-98%（含90%不含98%）之间，赔壹年延长质保期；年开机率在 85%-90%（含85%不含90%）之间，赔贰年延长质保期；年开机率低于85%（不含85%），中标方必须无条件更换新设备，并重新计算新设备的质保期，以及赔偿采购方的直接经济损失和间接经济损失。【注：年开机率=（365-停机天数）/365】</w:t>
            </w:r>
          </w:p>
          <w:p>
            <w:pPr>
              <w:keepNext w:val="0"/>
              <w:keepLines w:val="0"/>
              <w:pageBreakBefore w:val="0"/>
              <w:widowControl w:val="0"/>
              <w:kinsoku/>
              <w:wordWrap/>
              <w:overflowPunct/>
              <w:topLinePunct w:val="0"/>
              <w:autoSpaceDE/>
              <w:autoSpaceDN/>
              <w:bidi w:val="0"/>
              <w:adjustRightInd/>
              <w:spacing w:before="157" w:beforeLines="50" w:after="157" w:afterLines="50"/>
              <w:textAlignment w:val="auto"/>
              <w:rPr>
                <w:rFonts w:hint="default"/>
                <w:lang w:val="en-US" w:eastAsia="zh-CN"/>
              </w:rPr>
            </w:pPr>
            <w:r>
              <w:rPr>
                <w:rFonts w:hint="eastAsia"/>
                <w:lang w:val="en-US" w:eastAsia="zh-CN"/>
              </w:rPr>
              <w:t>5、质保期</w:t>
            </w:r>
            <w:r>
              <w:rPr>
                <w:rFonts w:hint="eastAsia"/>
              </w:rPr>
              <w:t>结束前</w:t>
            </w:r>
            <w:r>
              <w:rPr>
                <w:rFonts w:hint="default"/>
              </w:rPr>
              <w:t>3</w:t>
            </w:r>
            <w:r>
              <w:rPr>
                <w:rFonts w:hint="eastAsia"/>
              </w:rPr>
              <w:t>个月内，</w:t>
            </w:r>
            <w:r>
              <w:rPr>
                <w:rFonts w:hint="eastAsia"/>
                <w:lang w:val="en-US" w:eastAsia="zh-CN"/>
              </w:rPr>
              <w:t>中标方</w:t>
            </w:r>
            <w:r>
              <w:rPr>
                <w:rFonts w:hint="eastAsia"/>
              </w:rPr>
              <w:t>联合厂家工程师或授权维修企业工程师对所供应设备进行一次全面巡检保养，并提供</w:t>
            </w:r>
            <w:r>
              <w:rPr>
                <w:rFonts w:hint="eastAsia"/>
                <w:lang w:val="en-US" w:eastAsia="zh-CN"/>
              </w:rPr>
              <w:t>质保期</w:t>
            </w:r>
            <w:r>
              <w:rPr>
                <w:rFonts w:hint="eastAsia"/>
              </w:rPr>
              <w:t>内所有巡检维护保养报告。</w:t>
            </w:r>
          </w:p>
          <w:p>
            <w:pPr>
              <w:keepNext w:val="0"/>
              <w:keepLines w:val="0"/>
              <w:pageBreakBefore w:val="0"/>
              <w:widowControl w:val="0"/>
              <w:kinsoku/>
              <w:wordWrap/>
              <w:overflowPunct/>
              <w:topLinePunct w:val="0"/>
              <w:autoSpaceDE/>
              <w:autoSpaceDN/>
              <w:bidi w:val="0"/>
              <w:adjustRightInd/>
              <w:snapToGrid w:val="0"/>
              <w:spacing w:before="157" w:beforeLines="50" w:after="157" w:afterLines="50"/>
              <w:textAlignment w:val="auto"/>
              <w:rPr>
                <w:rFonts w:hint="eastAsia"/>
                <w:lang w:val="en-US" w:eastAsia="zh-CN"/>
              </w:rPr>
            </w:pPr>
            <w:r>
              <w:rPr>
                <w:rFonts w:hint="eastAsia"/>
                <w:lang w:val="en-US" w:eastAsia="zh-CN"/>
              </w:rPr>
              <w:t>6、质保期外，中标方负责维修及提供原装配件，需在2小时内响应，12小时内到达现场维修，按需及时更换零配件，特殊情况下可提供备用机，采购方</w:t>
            </w:r>
            <w:r>
              <w:rPr>
                <w:rFonts w:hint="eastAsia"/>
              </w:rPr>
              <w:t>只负责更换零配件费</w:t>
            </w:r>
            <w:r>
              <w:rPr>
                <w:rFonts w:hint="eastAsia"/>
                <w:lang w:val="en-US" w:eastAsia="zh-CN"/>
              </w:rPr>
              <w:t>。</w:t>
            </w:r>
            <w:r>
              <w:rPr>
                <w:rFonts w:hint="eastAsia"/>
              </w:rPr>
              <w:t>在签订合同前，</w:t>
            </w:r>
            <w:r>
              <w:rPr>
                <w:rFonts w:hint="eastAsia"/>
                <w:lang w:eastAsia="zh-CN"/>
              </w:rPr>
              <w:t>中标方</w:t>
            </w:r>
            <w:r>
              <w:rPr>
                <w:rFonts w:hint="eastAsia"/>
              </w:rPr>
              <w:t>需提供</w:t>
            </w:r>
            <w:r>
              <w:rPr>
                <w:rFonts w:hint="eastAsia"/>
                <w:lang w:eastAsia="zh-CN"/>
              </w:rPr>
              <w:t>质保期</w:t>
            </w:r>
            <w:r>
              <w:rPr>
                <w:rFonts w:hint="eastAsia"/>
              </w:rPr>
              <w:t>外服务费用方案。</w:t>
            </w:r>
          </w:p>
          <w:p>
            <w:pPr>
              <w:keepNext w:val="0"/>
              <w:keepLines w:val="0"/>
              <w:pageBreakBefore w:val="0"/>
              <w:widowControl w:val="0"/>
              <w:kinsoku/>
              <w:wordWrap/>
              <w:overflowPunct/>
              <w:topLinePunct w:val="0"/>
              <w:autoSpaceDE/>
              <w:autoSpaceDN/>
              <w:bidi w:val="0"/>
              <w:adjustRightInd/>
              <w:spacing w:before="157" w:beforeLines="50" w:after="157" w:afterLines="50" w:line="240" w:lineRule="auto"/>
              <w:jc w:val="left"/>
              <w:textAlignment w:val="auto"/>
              <w:rPr>
                <w:rFonts w:hint="eastAsia"/>
                <w:lang w:eastAsia="zh-CN"/>
              </w:rPr>
            </w:pPr>
            <w:r>
              <w:rPr>
                <w:rFonts w:hint="eastAsia"/>
                <w:lang w:val="en-US" w:eastAsia="zh-CN"/>
              </w:rPr>
              <w:t>7</w:t>
            </w:r>
            <w:r>
              <w:rPr>
                <w:rFonts w:hint="eastAsia"/>
              </w:rPr>
              <w:t>、</w:t>
            </w:r>
            <w:r>
              <w:rPr>
                <w:rFonts w:hint="eastAsia"/>
                <w:lang w:eastAsia="zh-CN"/>
              </w:rPr>
              <w:t>投标方</w:t>
            </w:r>
            <w:r>
              <w:rPr>
                <w:rFonts w:hint="eastAsia"/>
              </w:rPr>
              <w:t>所投产品在广东范围要有专门的设备维修站（提供工程师电话和技术维修力量情况和维修的详细地址及联系方式）</w:t>
            </w:r>
            <w:r>
              <w:rPr>
                <w:rFonts w:hint="eastAsia"/>
                <w:lang w:eastAsia="zh-CN"/>
              </w:rPr>
              <w:t>。</w:t>
            </w:r>
          </w:p>
          <w:p>
            <w:pPr>
              <w:keepNext w:val="0"/>
              <w:keepLines w:val="0"/>
              <w:pageBreakBefore w:val="0"/>
              <w:widowControl w:val="0"/>
              <w:kinsoku/>
              <w:wordWrap/>
              <w:overflowPunct/>
              <w:topLinePunct w:val="0"/>
              <w:autoSpaceDE/>
              <w:autoSpaceDN/>
              <w:bidi w:val="0"/>
              <w:adjustRightInd/>
              <w:spacing w:before="157" w:beforeLines="50" w:after="157" w:afterLines="50" w:line="240" w:lineRule="auto"/>
              <w:jc w:val="left"/>
              <w:textAlignment w:val="auto"/>
              <w:rPr>
                <w:rFonts w:hint="eastAsia"/>
                <w:lang w:eastAsia="zh-CN"/>
              </w:rPr>
            </w:pPr>
            <w:r>
              <w:rPr>
                <w:rFonts w:hint="eastAsia"/>
                <w:lang w:val="en-US" w:eastAsia="zh-CN"/>
              </w:rPr>
              <w:t>8</w:t>
            </w:r>
            <w:r>
              <w:rPr>
                <w:rFonts w:hint="eastAsia"/>
              </w:rPr>
              <w:t>、提供详细的售后服务方案，负责安装、调试、提供技术咨询、软件升级及人员培训</w:t>
            </w:r>
            <w:r>
              <w:rPr>
                <w:rFonts w:hint="eastAsia"/>
                <w:lang w:val="en-US" w:eastAsia="zh-CN"/>
              </w:rPr>
              <w:t>皆不可进行额外收费</w:t>
            </w:r>
            <w:r>
              <w:rPr>
                <w:rFonts w:hint="eastAsia"/>
              </w:rPr>
              <w:t>，以保证</w:t>
            </w:r>
            <w:r>
              <w:rPr>
                <w:rFonts w:hint="eastAsia"/>
                <w:lang w:eastAsia="zh-CN"/>
              </w:rPr>
              <w:t>采购方</w:t>
            </w:r>
            <w:r>
              <w:rPr>
                <w:rFonts w:hint="eastAsia"/>
              </w:rPr>
              <w:t>工作人员掌握设备各种使用操作</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rPr>
            </w:pPr>
            <w:r>
              <w:rPr>
                <w:rFonts w:hint="eastAsia"/>
                <w:lang w:val="en-US" w:eastAsia="zh-CN"/>
              </w:rPr>
              <w:t>9</w:t>
            </w:r>
            <w:r>
              <w:rPr>
                <w:rFonts w:hint="eastAsia"/>
              </w:rPr>
              <w:t>、保证设备维修（终身）和配件的供应（至少10年以上）</w:t>
            </w:r>
            <w:r>
              <w:rPr>
                <w:rFonts w:hint="eastAsia"/>
                <w:lang w:eastAsia="zh-CN"/>
              </w:rPr>
              <w:t>，</w:t>
            </w:r>
            <w:r>
              <w:rPr>
                <w:rFonts w:hint="eastAsia"/>
              </w:rPr>
              <w:t>确保软件终身使用</w:t>
            </w:r>
            <w:r>
              <w:rPr>
                <w:rFonts w:hint="eastAsia"/>
                <w:lang w:eastAsia="zh-CN"/>
              </w:rPr>
              <w:t>（</w:t>
            </w:r>
            <w:r>
              <w:rPr>
                <w:rFonts w:hint="eastAsia"/>
                <w:lang w:val="en-US" w:eastAsia="zh-CN"/>
              </w:rPr>
              <w:t>不额外收费</w:t>
            </w:r>
            <w:r>
              <w:rPr>
                <w:rFonts w:hint="eastAsia"/>
                <w:lang w:eastAsia="zh-CN"/>
              </w:rPr>
              <w:t>）</w:t>
            </w:r>
            <w:r>
              <w:rPr>
                <w:rFonts w:hint="eastAsia"/>
              </w:rPr>
              <w:t>。如果因机器和配件停产造成设备无法维修者（维修周期同故障处理条款内容），必须无条件更换整机保证完好使用。</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rPr>
            </w:pPr>
            <w:r>
              <w:rPr>
                <w:rFonts w:hint="eastAsia"/>
                <w:lang w:val="en-US" w:eastAsia="zh-CN"/>
              </w:rPr>
              <w:t>10、</w:t>
            </w:r>
            <w:r>
              <w:rPr>
                <w:rFonts w:hint="eastAsia"/>
              </w:rPr>
              <w:t>场地迁移，需要移机时，</w:t>
            </w:r>
            <w:r>
              <w:rPr>
                <w:rFonts w:hint="eastAsia"/>
                <w:lang w:eastAsia="zh-CN"/>
              </w:rPr>
              <w:t>中标方</w:t>
            </w:r>
            <w:r>
              <w:rPr>
                <w:rFonts w:hint="eastAsia"/>
              </w:rPr>
              <w:t>需</w:t>
            </w:r>
            <w:r>
              <w:rPr>
                <w:rFonts w:hint="eastAsia"/>
                <w:lang w:val="en-US" w:eastAsia="zh-CN"/>
              </w:rPr>
              <w:t>负责</w:t>
            </w:r>
            <w:r>
              <w:rPr>
                <w:rFonts w:hint="eastAsia"/>
              </w:rPr>
              <w:t>迁移并提供技术支持</w:t>
            </w:r>
            <w:r>
              <w:rPr>
                <w:rFonts w:hint="eastAsia"/>
                <w:lang w:val="en-US" w:eastAsia="zh-CN"/>
              </w:rPr>
              <w:t>且不得额外收取费用</w:t>
            </w:r>
            <w:r>
              <w:rPr>
                <w:rFonts w:hint="eastAsia"/>
              </w:rPr>
              <w:t>，</w:t>
            </w:r>
            <w:r>
              <w:rPr>
                <w:rFonts w:hint="eastAsia"/>
                <w:lang w:val="en-US" w:eastAsia="zh-CN"/>
              </w:rPr>
              <w:t>需</w:t>
            </w:r>
            <w:r>
              <w:rPr>
                <w:rFonts w:hint="eastAsia"/>
              </w:rPr>
              <w:t>确保机器的正常使用。</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lang w:val="en-US" w:eastAsia="zh-CN"/>
              </w:rPr>
            </w:pPr>
            <w:r>
              <w:rPr>
                <w:rFonts w:hint="eastAsia"/>
                <w:lang w:val="en-US" w:eastAsia="zh-CN"/>
              </w:rPr>
              <w:t>11、涉及软件应用的设备，中标方应配合医院智慧医院信息化建设，</w:t>
            </w:r>
            <w:r>
              <w:rPr>
                <w:rFonts w:hint="eastAsia"/>
                <w:highlight w:val="yellow"/>
                <w:lang w:val="en-US" w:eastAsia="zh-CN"/>
              </w:rPr>
              <w:t>免费开放接口和承担该设备连接至其他系统的接口费用等</w:t>
            </w:r>
            <w:r>
              <w:rPr>
                <w:rFonts w:hint="eastAsia"/>
                <w:lang w:val="en-US" w:eastAsia="zh-CN"/>
              </w:rPr>
              <w:t>。在质保期内，应及时将软件更新、维护并提供更新所需的硬件，免费开放软件端口，无偿派人配合与医院信息系统（包括但不限于HIS、PACS、LIS系统）的连接工作，直至该设备与医院信息系统可进行完整的数据交换；当医院信息系统变更或其他情形需要与该设备连接时，须无偿派人配合，直至该设备与医院信息系统可进行完整的数据交换，确保数据安全，无外泄。上述工程需要按照采购方计划工期内完成，不得拖延，如因客观因素不得不延长工期的，需与采购方协商并获得采购方同意。</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lang w:val="en-US" w:eastAsia="zh-CN"/>
              </w:rPr>
            </w:pPr>
            <w:r>
              <w:rPr>
                <w:rFonts w:hint="eastAsia"/>
                <w:lang w:val="en-US" w:eastAsia="zh-CN"/>
              </w:rPr>
              <w:t>12、如为特种设备，乙方须按照相关法律法规要求完成特种设备使用登记手续，并取得《特种设备使用登记证》，办理完成后需整套资料移交甲方管理。</w:t>
            </w:r>
          </w:p>
          <w:p>
            <w:pPr>
              <w:pStyle w:val="6"/>
              <w:rPr>
                <w:rFonts w:hint="eastAsia"/>
                <w:lang w:val="en-US" w:eastAsia="zh-CN"/>
              </w:rPr>
            </w:pPr>
            <w:r>
              <w:rPr>
                <w:rFonts w:hint="eastAsia"/>
                <w:lang w:val="en-US" w:eastAsia="zh-CN"/>
              </w:rPr>
              <w:t>13、属于国家强检范围的工作计量器具，验收前须由乙方负责完成检测，并提供第三方检测合格证明。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w:t>
            </w:r>
            <w:r>
              <w:rPr>
                <w:rFonts w:hint="eastAsia" w:ascii="宋体" w:hAnsi="宋体"/>
                <w:b/>
                <w:color w:val="000000" w:themeColor="text1"/>
                <w:kern w:val="0"/>
                <w:szCs w:val="21"/>
                <w:highlight w:val="none"/>
                <w14:textFill>
                  <w14:solidFill>
                    <w14:schemeClr w14:val="tx1"/>
                  </w14:solidFill>
                </w14:textFill>
              </w:rPr>
              <w:t>验收方式</w:t>
            </w: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before="157" w:beforeLines="50" w:after="157" w:afterLines="5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1、设备安装调试正常使用后由使用科室、设备科、</w:t>
            </w:r>
            <w:r>
              <w:rPr>
                <w:rFonts w:hint="eastAsia" w:ascii="宋体" w:hAnsi="宋体"/>
                <w:color w:val="000000" w:themeColor="text1"/>
                <w:szCs w:val="21"/>
                <w:highlight w:val="none"/>
                <w:lang w:eastAsia="zh-CN"/>
                <w14:textFill>
                  <w14:solidFill>
                    <w14:schemeClr w14:val="tx1"/>
                  </w14:solidFill>
                </w14:textFill>
              </w:rPr>
              <w:t>中标方</w:t>
            </w:r>
            <w:r>
              <w:rPr>
                <w:rFonts w:hint="eastAsia" w:ascii="宋体" w:hAnsi="宋体"/>
                <w:color w:val="000000" w:themeColor="text1"/>
                <w:szCs w:val="21"/>
                <w:highlight w:val="none"/>
                <w14:textFill>
                  <w14:solidFill>
                    <w14:schemeClr w14:val="tx1"/>
                  </w14:solidFill>
                </w14:textFill>
              </w:rPr>
              <w:t>代表在场进行验收，</w:t>
            </w:r>
            <w:r>
              <w:rPr>
                <w:rFonts w:hint="eastAsia" w:ascii="宋体" w:hAnsi="宋体"/>
                <w:color w:val="000000" w:themeColor="text1"/>
                <w:szCs w:val="21"/>
                <w:highlight w:val="none"/>
                <w:lang w:eastAsia="zh-CN"/>
                <w14:textFill>
                  <w14:solidFill>
                    <w14:schemeClr w14:val="tx1"/>
                  </w14:solidFill>
                </w14:textFill>
              </w:rPr>
              <w:t>质保期</w:t>
            </w:r>
            <w:r>
              <w:rPr>
                <w:rFonts w:hint="eastAsia" w:ascii="宋体" w:hAnsi="宋体"/>
                <w:color w:val="000000" w:themeColor="text1"/>
                <w:szCs w:val="21"/>
                <w:highlight w:val="none"/>
                <w14:textFill>
                  <w14:solidFill>
                    <w14:schemeClr w14:val="tx1"/>
                  </w14:solidFill>
                </w14:textFill>
              </w:rPr>
              <w:t>从验收合格之日起计。</w:t>
            </w:r>
          </w:p>
          <w:p>
            <w:pPr>
              <w:keepNext w:val="0"/>
              <w:keepLines w:val="0"/>
              <w:pageBreakBefore w:val="0"/>
              <w:widowControl w:val="0"/>
              <w:kinsoku/>
              <w:wordWrap/>
              <w:overflowPunct/>
              <w:topLinePunct w:val="0"/>
              <w:autoSpaceDE/>
              <w:autoSpaceDN/>
              <w:bidi w:val="0"/>
              <w:adjustRightInd/>
              <w:spacing w:before="157" w:beforeLines="50" w:after="157" w:afterLines="5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2、产品质量和安装调试检验标准遵照国家相关规定和最新标准执行。验收中如发现有质量不合格或型号规格、数量与送货清单不符情况，</w:t>
            </w:r>
            <w:r>
              <w:rPr>
                <w:rFonts w:hint="eastAsia" w:ascii="宋体" w:hAnsi="宋体"/>
                <w:color w:val="000000" w:themeColor="text1"/>
                <w:szCs w:val="21"/>
                <w:highlight w:val="none"/>
                <w:lang w:eastAsia="zh-CN"/>
                <w14:textFill>
                  <w14:solidFill>
                    <w14:schemeClr w14:val="tx1"/>
                  </w14:solidFill>
                </w14:textFill>
              </w:rPr>
              <w:t>中标方</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进行</w:t>
            </w:r>
            <w:r>
              <w:rPr>
                <w:rFonts w:hint="eastAsia" w:ascii="宋体" w:hAnsi="宋体"/>
                <w:color w:val="000000" w:themeColor="text1"/>
                <w:szCs w:val="21"/>
                <w:highlight w:val="none"/>
                <w14:textFill>
                  <w14:solidFill>
                    <w14:schemeClr w14:val="tx1"/>
                  </w14:solidFill>
                </w14:textFill>
              </w:rPr>
              <w:t>更换或补齐，并承担因此发生的违约责任。</w:t>
            </w:r>
            <w:r>
              <w:rPr>
                <w:rFonts w:hint="eastAsia" w:ascii="宋体" w:hAnsi="宋体"/>
                <w:color w:val="000000" w:themeColor="text1"/>
                <w:szCs w:val="21"/>
                <w:highlight w:val="none"/>
                <w:lang w:eastAsia="zh-CN"/>
                <w14:textFill>
                  <w14:solidFill>
                    <w14:schemeClr w14:val="tx1"/>
                  </w14:solidFill>
                </w14:textFill>
              </w:rPr>
              <w:t>中标方</w:t>
            </w:r>
            <w:r>
              <w:rPr>
                <w:rFonts w:hint="eastAsia" w:ascii="宋体" w:hAnsi="宋体"/>
                <w:color w:val="000000" w:themeColor="text1"/>
                <w:szCs w:val="21"/>
                <w:highlight w:val="none"/>
                <w14:textFill>
                  <w14:solidFill>
                    <w14:schemeClr w14:val="tx1"/>
                  </w14:solidFill>
                </w14:textFill>
              </w:rPr>
              <w:t>货物经过双方检验认可后，签署验收报告。</w:t>
            </w:r>
          </w:p>
          <w:p>
            <w:pPr>
              <w:keepNext w:val="0"/>
              <w:keepLines w:val="0"/>
              <w:pageBreakBefore w:val="0"/>
              <w:widowControl w:val="0"/>
              <w:kinsoku/>
              <w:wordWrap/>
              <w:overflowPunct/>
              <w:topLinePunct w:val="0"/>
              <w:autoSpaceDE/>
              <w:autoSpaceDN/>
              <w:bidi w:val="0"/>
              <w:adjustRightInd/>
              <w:spacing w:before="157" w:beforeLines="50" w:after="157" w:afterLines="5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3、当满足以下条件时，</w:t>
            </w:r>
            <w:r>
              <w:rPr>
                <w:rFonts w:hint="eastAsia" w:ascii="宋体" w:hAnsi="宋体"/>
                <w:color w:val="000000" w:themeColor="text1"/>
                <w:szCs w:val="21"/>
                <w:highlight w:val="none"/>
                <w:lang w:eastAsia="zh-CN"/>
                <w14:textFill>
                  <w14:solidFill>
                    <w14:schemeClr w14:val="tx1"/>
                  </w14:solidFill>
                </w14:textFill>
              </w:rPr>
              <w:t>采购方</w:t>
            </w:r>
            <w:r>
              <w:rPr>
                <w:rFonts w:hint="eastAsia" w:ascii="宋体" w:hAnsi="宋体"/>
                <w:color w:val="000000" w:themeColor="text1"/>
                <w:szCs w:val="21"/>
                <w:highlight w:val="none"/>
                <w14:textFill>
                  <w14:solidFill>
                    <w14:schemeClr w14:val="tx1"/>
                  </w14:solidFill>
                </w14:textFill>
              </w:rPr>
              <w:t>才向</w:t>
            </w:r>
            <w:r>
              <w:rPr>
                <w:rFonts w:hint="eastAsia" w:ascii="宋体" w:hAnsi="宋体"/>
                <w:color w:val="000000" w:themeColor="text1"/>
                <w:szCs w:val="21"/>
                <w:highlight w:val="none"/>
                <w:lang w:eastAsia="zh-CN"/>
                <w14:textFill>
                  <w14:solidFill>
                    <w14:schemeClr w14:val="tx1"/>
                  </w14:solidFill>
                </w14:textFill>
              </w:rPr>
              <w:t>中标方</w:t>
            </w:r>
            <w:r>
              <w:rPr>
                <w:rFonts w:hint="eastAsia" w:ascii="宋体" w:hAnsi="宋体"/>
                <w:color w:val="000000" w:themeColor="text1"/>
                <w:szCs w:val="21"/>
                <w:highlight w:val="none"/>
                <w14:textFill>
                  <w14:solidFill>
                    <w14:schemeClr w14:val="tx1"/>
                  </w14:solidFill>
                </w14:textFill>
              </w:rPr>
              <w:t>签发货物验收报告：</w:t>
            </w:r>
          </w:p>
          <w:p>
            <w:pPr>
              <w:keepNext w:val="0"/>
              <w:keepLines w:val="0"/>
              <w:pageBreakBefore w:val="0"/>
              <w:widowControl w:val="0"/>
              <w:kinsoku/>
              <w:wordWrap/>
              <w:overflowPunct/>
              <w:topLinePunct w:val="0"/>
              <w:autoSpaceDE/>
              <w:autoSpaceDN/>
              <w:bidi w:val="0"/>
              <w:adjustRightInd/>
              <w:spacing w:before="157" w:beforeLines="50" w:after="157" w:afterLines="50"/>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eastAsia="zh-CN"/>
                <w14:textFill>
                  <w14:solidFill>
                    <w14:schemeClr w14:val="tx1"/>
                  </w14:solidFill>
                </w14:textFill>
              </w:rPr>
              <w:t>中标方</w:t>
            </w:r>
            <w:r>
              <w:rPr>
                <w:rFonts w:hint="eastAsia" w:ascii="宋体" w:hAnsi="宋体"/>
                <w:color w:val="000000" w:themeColor="text1"/>
                <w:szCs w:val="21"/>
                <w:highlight w:val="none"/>
                <w14:textFill>
                  <w14:solidFill>
                    <w14:schemeClr w14:val="tx1"/>
                  </w14:solidFill>
                </w14:textFill>
              </w:rPr>
              <w:t>已按照合同规定提供了全部产品及完整的技术资料。</w:t>
            </w:r>
          </w:p>
          <w:p>
            <w:pPr>
              <w:keepNext w:val="0"/>
              <w:keepLines w:val="0"/>
              <w:pageBreakBefore w:val="0"/>
              <w:widowControl w:val="0"/>
              <w:kinsoku/>
              <w:wordWrap/>
              <w:overflowPunct/>
              <w:topLinePunct w:val="0"/>
              <w:autoSpaceDE/>
              <w:autoSpaceDN/>
              <w:bidi w:val="0"/>
              <w:adjustRightInd/>
              <w:spacing w:before="157" w:beforeLines="50" w:after="157" w:afterLines="50"/>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b、货物符合招标文件技术规格书的要求，性能满足要求。</w:t>
            </w:r>
          </w:p>
          <w:p>
            <w:pPr>
              <w:keepNext w:val="0"/>
              <w:keepLines w:val="0"/>
              <w:pageBreakBefore w:val="0"/>
              <w:widowControl w:val="0"/>
              <w:kinsoku/>
              <w:wordWrap/>
              <w:overflowPunct/>
              <w:topLinePunct w:val="0"/>
              <w:autoSpaceDE/>
              <w:autoSpaceDN/>
              <w:bidi w:val="0"/>
              <w:adjustRightInd/>
              <w:spacing w:before="157" w:beforeLines="50" w:after="157" w:afterLines="50"/>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c、货物具备产品合格证。</w:t>
            </w:r>
          </w:p>
          <w:p>
            <w:pPr>
              <w:keepNext w:val="0"/>
              <w:keepLines w:val="0"/>
              <w:pageBreakBefore w:val="0"/>
              <w:widowControl w:val="0"/>
              <w:kinsoku/>
              <w:wordWrap/>
              <w:overflowPunct/>
              <w:topLinePunct w:val="0"/>
              <w:autoSpaceDE/>
              <w:autoSpaceDN/>
              <w:bidi w:val="0"/>
              <w:adjustRightInd/>
              <w:spacing w:before="157" w:beforeLines="50" w:after="157" w:afterLines="50"/>
              <w:ind w:firstLine="42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d、提供维修手册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售后服务承诺书</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中文操作手册。</w:t>
            </w:r>
          </w:p>
          <w:p>
            <w:pPr>
              <w:keepNext w:val="0"/>
              <w:keepLines w:val="0"/>
              <w:pageBreakBefore w:val="0"/>
              <w:widowControl w:val="0"/>
              <w:kinsoku/>
              <w:wordWrap/>
              <w:overflowPunct/>
              <w:topLinePunct w:val="0"/>
              <w:autoSpaceDE/>
              <w:autoSpaceDN/>
              <w:bidi w:val="0"/>
              <w:adjustRightInd/>
              <w:spacing w:before="157" w:beforeLines="50" w:after="157" w:afterLines="50" w:line="240" w:lineRule="auto"/>
              <w:jc w:val="both"/>
              <w:textAlignment w:val="auto"/>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4、若</w:t>
            </w:r>
            <w:r>
              <w:rPr>
                <w:rFonts w:hint="eastAsia" w:ascii="宋体" w:hAnsi="宋体"/>
                <w:color w:val="000000" w:themeColor="text1"/>
                <w:szCs w:val="21"/>
                <w:highlight w:val="none"/>
                <w:lang w:val="en-US" w:eastAsia="zh-CN"/>
                <w14:textFill>
                  <w14:solidFill>
                    <w14:schemeClr w14:val="tx1"/>
                  </w14:solidFill>
                </w14:textFill>
              </w:rPr>
              <w:t>采购方</w:t>
            </w:r>
            <w:r>
              <w:rPr>
                <w:rFonts w:hint="eastAsia" w:ascii="宋体" w:hAnsi="宋体"/>
                <w:color w:val="000000" w:themeColor="text1"/>
                <w:szCs w:val="21"/>
                <w:highlight w:val="none"/>
                <w14:textFill>
                  <w14:solidFill>
                    <w14:schemeClr w14:val="tx1"/>
                  </w14:solidFill>
                </w14:textFill>
              </w:rPr>
              <w:t>对中标产品质量有争议，将由</w:t>
            </w:r>
            <w:r>
              <w:rPr>
                <w:rFonts w:hint="eastAsia" w:ascii="宋体" w:hAnsi="宋体"/>
                <w:color w:val="000000" w:themeColor="text1"/>
                <w:szCs w:val="21"/>
                <w:highlight w:val="none"/>
                <w:lang w:val="en-US" w:eastAsia="zh-CN"/>
                <w14:textFill>
                  <w14:solidFill>
                    <w14:schemeClr w14:val="tx1"/>
                  </w14:solidFill>
                </w14:textFill>
              </w:rPr>
              <w:t>采购方</w:t>
            </w:r>
            <w:r>
              <w:rPr>
                <w:rFonts w:hint="eastAsia" w:ascii="宋体" w:hAnsi="宋体"/>
                <w:color w:val="000000" w:themeColor="text1"/>
                <w:szCs w:val="21"/>
                <w:highlight w:val="none"/>
                <w14:textFill>
                  <w14:solidFill>
                    <w14:schemeClr w14:val="tx1"/>
                  </w14:solidFill>
                </w14:textFill>
              </w:rPr>
              <w:t>委托第三方质量检测部门按照招标文书进行验收确认，委托检测验收费用由中标方负责支付。出具检测验收报告合格，</w:t>
            </w:r>
            <w:r>
              <w:rPr>
                <w:rFonts w:hint="eastAsia" w:ascii="宋体" w:hAnsi="宋体"/>
                <w:color w:val="000000" w:themeColor="text1"/>
                <w:szCs w:val="21"/>
                <w:highlight w:val="none"/>
                <w:lang w:val="en-US" w:eastAsia="zh-CN"/>
                <w14:textFill>
                  <w14:solidFill>
                    <w14:schemeClr w14:val="tx1"/>
                  </w14:solidFill>
                </w14:textFill>
              </w:rPr>
              <w:t>采购方</w:t>
            </w:r>
            <w:r>
              <w:rPr>
                <w:rFonts w:hint="eastAsia" w:ascii="宋体" w:hAnsi="宋体"/>
                <w:color w:val="000000" w:themeColor="text1"/>
                <w:szCs w:val="21"/>
                <w:highlight w:val="none"/>
                <w14:textFill>
                  <w14:solidFill>
                    <w14:schemeClr w14:val="tx1"/>
                  </w14:solidFill>
                </w14:textFill>
              </w:rPr>
              <w:t>将履行采</w:t>
            </w:r>
            <w:r>
              <w:rPr>
                <w:rFonts w:hint="eastAsia" w:ascii="宋体" w:hAnsi="宋体"/>
                <w:color w:val="000000" w:themeColor="text1"/>
                <w:szCs w:val="21"/>
                <w:highlight w:val="none"/>
                <w:lang w:eastAsia="zh-CN"/>
                <w14:textFill>
                  <w14:solidFill>
                    <w14:schemeClr w14:val="tx1"/>
                  </w14:solidFill>
                </w14:textFill>
              </w:rPr>
              <w:t>购</w:t>
            </w:r>
            <w:r>
              <w:rPr>
                <w:rFonts w:hint="eastAsia" w:ascii="宋体" w:hAnsi="宋体"/>
                <w:color w:val="000000" w:themeColor="text1"/>
                <w:szCs w:val="21"/>
                <w:highlight w:val="none"/>
                <w14:textFill>
                  <w14:solidFill>
                    <w14:schemeClr w14:val="tx1"/>
                  </w14:solidFill>
                </w14:textFill>
              </w:rPr>
              <w:t>合同；若检测验收报告不合格，</w:t>
            </w:r>
            <w:r>
              <w:rPr>
                <w:rFonts w:hint="eastAsia" w:ascii="宋体" w:hAnsi="宋体"/>
                <w:color w:val="000000" w:themeColor="text1"/>
                <w:szCs w:val="21"/>
                <w:highlight w:val="none"/>
                <w:lang w:val="en-US" w:eastAsia="zh-CN"/>
                <w14:textFill>
                  <w14:solidFill>
                    <w14:schemeClr w14:val="tx1"/>
                  </w14:solidFill>
                </w14:textFill>
              </w:rPr>
              <w:t>采购方</w:t>
            </w:r>
            <w:r>
              <w:rPr>
                <w:rFonts w:hint="eastAsia" w:ascii="宋体" w:hAnsi="宋体"/>
                <w:color w:val="000000" w:themeColor="text1"/>
                <w:szCs w:val="21"/>
                <w:highlight w:val="none"/>
                <w14:textFill>
                  <w14:solidFill>
                    <w14:schemeClr w14:val="tx1"/>
                  </w14:solidFill>
                </w14:textFill>
              </w:rPr>
              <w:t>将取消采购合同，由</w:t>
            </w:r>
            <w:r>
              <w:rPr>
                <w:rFonts w:hint="eastAsia" w:ascii="宋体" w:hAnsi="宋体"/>
                <w:color w:val="000000" w:themeColor="text1"/>
                <w:szCs w:val="21"/>
                <w:highlight w:val="none"/>
                <w:lang w:val="en-US" w:eastAsia="zh-CN"/>
                <w14:textFill>
                  <w14:solidFill>
                    <w14:schemeClr w14:val="tx1"/>
                  </w14:solidFill>
                </w14:textFill>
              </w:rPr>
              <w:t>中标方</w:t>
            </w:r>
            <w:r>
              <w:rPr>
                <w:rFonts w:hint="eastAsia" w:ascii="宋体" w:hAnsi="宋体"/>
                <w:color w:val="000000" w:themeColor="text1"/>
                <w:szCs w:val="21"/>
                <w:highlight w:val="none"/>
                <w14:textFill>
                  <w14:solidFill>
                    <w14:schemeClr w14:val="tx1"/>
                  </w14:solidFill>
                </w14:textFill>
              </w:rPr>
              <w:t>承担所有后果。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w:t>
            </w:r>
            <w:r>
              <w:rPr>
                <w:rFonts w:hint="eastAsia" w:ascii="宋体" w:hAnsi="宋体"/>
                <w:b/>
                <w:color w:val="000000" w:themeColor="text1"/>
                <w:kern w:val="0"/>
                <w:szCs w:val="21"/>
                <w:highlight w:val="none"/>
                <w14:textFill>
                  <w14:solidFill>
                    <w14:schemeClr w14:val="tx1"/>
                  </w14:solidFill>
                </w14:textFill>
              </w:rPr>
              <w:t>付款方式</w:t>
            </w: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before="157" w:beforeLines="50" w:after="157" w:afterLines="50" w:line="240" w:lineRule="auto"/>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 xml:space="preserve">1、签订合同后， </w:t>
            </w:r>
            <w:r>
              <w:rPr>
                <w:rFonts w:hint="eastAsia" w:ascii="宋体" w:hAnsi="宋体" w:cs="Times New Roman"/>
                <w:color w:val="000000" w:themeColor="text1"/>
                <w:szCs w:val="21"/>
                <w:highlight w:val="none"/>
                <w:lang w:val="en-US" w:eastAsia="zh-CN"/>
                <w14:textFill>
                  <w14:solidFill>
                    <w14:schemeClr w14:val="tx1"/>
                  </w14:solidFill>
                </w14:textFill>
              </w:rPr>
              <w:t>中标方</w:t>
            </w:r>
            <w:r>
              <w:rPr>
                <w:rFonts w:hint="eastAsia" w:ascii="宋体" w:hAnsi="宋体" w:eastAsia="宋体" w:cs="Times New Roman"/>
                <w:color w:val="000000" w:themeColor="text1"/>
                <w:szCs w:val="21"/>
                <w:highlight w:val="none"/>
                <w:lang w:val="en-US" w:eastAsia="zh-CN"/>
                <w14:textFill>
                  <w14:solidFill>
                    <w14:schemeClr w14:val="tx1"/>
                  </w14:solidFill>
                </w14:textFill>
              </w:rPr>
              <w:t>提供全额发票，经验收合格，办理入库后，</w:t>
            </w:r>
            <w:r>
              <w:rPr>
                <w:rFonts w:hint="eastAsia" w:ascii="宋体" w:hAnsi="宋体" w:cs="Times New Roman"/>
                <w:color w:val="000000" w:themeColor="text1"/>
                <w:szCs w:val="21"/>
                <w:highlight w:val="none"/>
                <w:lang w:val="en-US" w:eastAsia="zh-CN"/>
                <w14:textFill>
                  <w14:solidFill>
                    <w14:schemeClr w14:val="tx1"/>
                  </w14:solidFill>
                </w14:textFill>
              </w:rPr>
              <w:t>采购方</w:t>
            </w:r>
            <w:r>
              <w:rPr>
                <w:rFonts w:hint="eastAsia" w:ascii="宋体" w:hAnsi="宋体" w:eastAsia="宋体" w:cs="Times New Roman"/>
                <w:color w:val="000000" w:themeColor="text1"/>
                <w:szCs w:val="21"/>
                <w:highlight w:val="none"/>
                <w:lang w:val="en-US" w:eastAsia="zh-CN"/>
                <w14:textFill>
                  <w14:solidFill>
                    <w14:schemeClr w14:val="tx1"/>
                  </w14:solidFill>
                </w14:textFill>
              </w:rPr>
              <w:t>向</w:t>
            </w:r>
            <w:r>
              <w:rPr>
                <w:rFonts w:hint="eastAsia" w:ascii="宋体" w:hAnsi="宋体" w:cs="Times New Roman"/>
                <w:color w:val="000000" w:themeColor="text1"/>
                <w:szCs w:val="21"/>
                <w:highlight w:val="none"/>
                <w:lang w:val="en-US" w:eastAsia="zh-CN"/>
                <w14:textFill>
                  <w14:solidFill>
                    <w14:schemeClr w14:val="tx1"/>
                  </w14:solidFill>
                </w14:textFill>
              </w:rPr>
              <w:t>中标方</w:t>
            </w:r>
            <w:r>
              <w:rPr>
                <w:rFonts w:hint="eastAsia" w:ascii="宋体" w:hAnsi="宋体" w:eastAsia="宋体" w:cs="Times New Roman"/>
                <w:color w:val="000000" w:themeColor="text1"/>
                <w:szCs w:val="21"/>
                <w:highlight w:val="none"/>
                <w:lang w:val="en-US" w:eastAsia="zh-CN"/>
                <w14:textFill>
                  <w14:solidFill>
                    <w14:schemeClr w14:val="tx1"/>
                  </w14:solidFill>
                </w14:textFill>
              </w:rPr>
              <w:t>支付合同全款。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0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color w:val="000000" w:themeColor="text1"/>
                <w:kern w:val="0"/>
                <w:szCs w:val="21"/>
                <w:highlight w:val="non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w:t>
            </w:r>
            <w:r>
              <w:rPr>
                <w:rFonts w:hint="eastAsia" w:ascii="宋体" w:hAnsi="宋体" w:eastAsia="宋体" w:cs="宋体"/>
                <w:b/>
                <w:color w:val="000000" w:themeColor="text1"/>
                <w:kern w:val="0"/>
                <w:szCs w:val="21"/>
                <w:highlight w:val="none"/>
                <w:lang w:eastAsia="zh-CN"/>
                <w14:textFill>
                  <w14:solidFill>
                    <w14:schemeClr w14:val="tx1"/>
                  </w14:solidFill>
                </w14:textFill>
              </w:rPr>
              <w:t>其他要求</w:t>
            </w: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before="157" w:beforeLines="50" w:after="157" w:afterLines="50"/>
              <w:textAlignment w:val="auto"/>
            </w:pPr>
            <w:r>
              <w:rPr>
                <w:rFonts w:hint="eastAsia"/>
              </w:rPr>
              <w:t>1、本项目中如有涉及水、电、气设备安装及调试、室外高空作业项目的</w:t>
            </w:r>
            <w:r>
              <w:rPr>
                <w:rFonts w:hint="eastAsia"/>
                <w:lang w:eastAsia="zh-CN"/>
              </w:rPr>
              <w:t>中标方</w:t>
            </w:r>
            <w:r>
              <w:rPr>
                <w:rFonts w:hint="eastAsia"/>
              </w:rPr>
              <w:t>承诺使用具有国家认可资质的操作人员（资质证书仍在有效期内）实施，否则由此造成的后果由</w:t>
            </w:r>
            <w:r>
              <w:rPr>
                <w:rFonts w:hint="eastAsia"/>
                <w:lang w:eastAsia="zh-CN"/>
              </w:rPr>
              <w:t>中标方</w:t>
            </w:r>
            <w:r>
              <w:rPr>
                <w:rFonts w:hint="eastAsia"/>
              </w:rPr>
              <w:t>负责。</w:t>
            </w:r>
          </w:p>
          <w:p>
            <w:pPr>
              <w:keepNext w:val="0"/>
              <w:keepLines w:val="0"/>
              <w:pageBreakBefore w:val="0"/>
              <w:widowControl w:val="0"/>
              <w:kinsoku/>
              <w:wordWrap/>
              <w:overflowPunct/>
              <w:topLinePunct w:val="0"/>
              <w:autoSpaceDE/>
              <w:autoSpaceDN/>
              <w:bidi w:val="0"/>
              <w:adjustRightInd/>
              <w:snapToGrid w:val="0"/>
              <w:spacing w:before="157" w:beforeLines="50" w:after="157" w:afterLines="50"/>
              <w:textAlignment w:val="auto"/>
            </w:pPr>
            <w:r>
              <w:rPr>
                <w:rFonts w:hint="eastAsia"/>
              </w:rPr>
              <w:t>2、如所投产品受行业主管部门规定强制认证或检测或许可的（如3C认证或检测报告或工信部进网许可证），</w:t>
            </w:r>
            <w:r>
              <w:rPr>
                <w:rFonts w:hint="eastAsia"/>
                <w:lang w:eastAsia="zh-CN"/>
              </w:rPr>
              <w:t>中标方</w:t>
            </w:r>
            <w:r>
              <w:rPr>
                <w:rFonts w:hint="eastAsia"/>
              </w:rPr>
              <w:t>在签订合同前向</w:t>
            </w:r>
            <w:r>
              <w:rPr>
                <w:rFonts w:hint="eastAsia"/>
                <w:lang w:eastAsia="zh-CN"/>
              </w:rPr>
              <w:t>采购方</w:t>
            </w:r>
            <w:r>
              <w:rPr>
                <w:rFonts w:hint="eastAsia"/>
              </w:rPr>
              <w:t>提供相关认证证书或检测报告。</w:t>
            </w:r>
          </w:p>
          <w:p>
            <w:pPr>
              <w:keepNext w:val="0"/>
              <w:keepLines w:val="0"/>
              <w:pageBreakBefore w:val="0"/>
              <w:widowControl w:val="0"/>
              <w:kinsoku/>
              <w:wordWrap/>
              <w:overflowPunct/>
              <w:topLinePunct w:val="0"/>
              <w:autoSpaceDE/>
              <w:autoSpaceDN/>
              <w:bidi w:val="0"/>
              <w:adjustRightInd/>
              <w:spacing w:before="157" w:beforeLines="50" w:after="157" w:afterLines="50" w:line="240" w:lineRule="auto"/>
              <w:jc w:val="both"/>
              <w:textAlignment w:val="auto"/>
              <w:rPr>
                <w:rFonts w:hint="eastAsia"/>
              </w:rPr>
            </w:pPr>
            <w:r>
              <w:rPr>
                <w:rFonts w:hint="eastAsia"/>
              </w:rPr>
              <w:t>3、本项目所要求的硬件、软件，</w:t>
            </w:r>
            <w:r>
              <w:rPr>
                <w:rFonts w:hint="eastAsia"/>
                <w:lang w:eastAsia="zh-CN"/>
              </w:rPr>
              <w:t>中标方</w:t>
            </w:r>
            <w:r>
              <w:rPr>
                <w:rFonts w:hint="eastAsia"/>
              </w:rPr>
              <w:t>要配备给</w:t>
            </w:r>
            <w:r>
              <w:rPr>
                <w:rFonts w:hint="eastAsia"/>
                <w:lang w:eastAsia="zh-CN"/>
              </w:rPr>
              <w:t>采购方</w:t>
            </w:r>
            <w:r>
              <w:rPr>
                <w:rFonts w:hint="eastAsia"/>
              </w:rPr>
              <w:t>，并保证</w:t>
            </w:r>
            <w:r>
              <w:rPr>
                <w:rFonts w:hint="eastAsia"/>
                <w:lang w:eastAsia="zh-CN"/>
              </w:rPr>
              <w:t>采购方</w:t>
            </w:r>
            <w:r>
              <w:rPr>
                <w:rFonts w:hint="eastAsia"/>
              </w:rPr>
              <w:t>能正常使用，不需要另外增加其他附件和其他费用。</w:t>
            </w:r>
          </w:p>
          <w:p>
            <w:pPr>
              <w:pStyle w:val="4"/>
              <w:ind w:left="0" w:leftChars="0" w:firstLine="0" w:firstLineChars="0"/>
              <w:rPr>
                <w:rFonts w:hint="default"/>
                <w:color w:val="FF0000"/>
                <w:lang w:val="en-US" w:eastAsia="zh-CN"/>
              </w:rPr>
            </w:pPr>
            <w:r>
              <w:rPr>
                <w:rFonts w:hint="eastAsia" w:ascii="Times New Roman" w:hAnsi="Times New Roman" w:eastAsia="宋体" w:cs="Times New Roman"/>
                <w:kern w:val="2"/>
                <w:sz w:val="21"/>
                <w:szCs w:val="24"/>
                <w:lang w:val="en-US" w:eastAsia="zh-CN" w:bidi="ar-SA"/>
              </w:rPr>
              <w:t>4、</w:t>
            </w:r>
            <w:r>
              <w:rPr>
                <w:rFonts w:hint="eastAsia" w:cs="Times New Roman"/>
                <w:kern w:val="2"/>
                <w:sz w:val="21"/>
                <w:szCs w:val="24"/>
                <w:lang w:val="en-US" w:eastAsia="zh-CN" w:bidi="ar-SA"/>
              </w:rPr>
              <w:t>中</w:t>
            </w:r>
            <w:r>
              <w:rPr>
                <w:rFonts w:hint="eastAsia" w:ascii="Times New Roman" w:hAnsi="Times New Roman" w:eastAsia="宋体" w:cs="Times New Roman"/>
                <w:kern w:val="2"/>
                <w:sz w:val="21"/>
                <w:szCs w:val="24"/>
                <w:lang w:val="en-US" w:eastAsia="zh-CN" w:bidi="ar-SA"/>
              </w:rPr>
              <w:t>标方应保证采购方在使用该货物或其任何一部分时，免受第三方提出的侵犯其专利权、商标权、著作权或其它知识产权的起诉。</w:t>
            </w:r>
            <w:r>
              <w:rPr>
                <w:rFonts w:hint="eastAsia" w:cs="Times New Roman"/>
                <w:kern w:val="2"/>
                <w:sz w:val="21"/>
                <w:szCs w:val="24"/>
                <w:lang w:val="en-US" w:eastAsia="zh-CN" w:bidi="ar-SA"/>
              </w:rPr>
              <w:t>中</w:t>
            </w:r>
            <w:r>
              <w:rPr>
                <w:rFonts w:hint="eastAsia" w:ascii="Times New Roman" w:hAnsi="Times New Roman" w:eastAsia="宋体" w:cs="Times New Roman"/>
                <w:kern w:val="2"/>
                <w:sz w:val="21"/>
                <w:szCs w:val="24"/>
                <w:lang w:val="en-US" w:eastAsia="zh-CN" w:bidi="ar-SA"/>
              </w:rPr>
              <w:t>标方保证所提供软件的合法性，所发生的任何知识产权纠纷与采购方无关；采购方购买产品后，有权对该产品与其他设备进行配套、整合或适当改进，而免受侵犯专利权的起诉。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08"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cs="宋体"/>
                <w:b/>
                <w:color w:val="000000" w:themeColor="text1"/>
                <w:kern w:val="0"/>
                <w:szCs w:val="21"/>
                <w:highlight w:val="none"/>
                <w:lang w:val="en-US" w:eastAsia="zh-CN"/>
                <w14:textFill>
                  <w14:solidFill>
                    <w14:schemeClr w14:val="tx1"/>
                  </w14:solidFill>
                </w14:textFill>
              </w:rPr>
              <w:t>科室民主管理小组意见</w:t>
            </w:r>
          </w:p>
        </w:tc>
        <w:tc>
          <w:tcPr>
            <w:tcW w:w="752" w:type="dxa"/>
            <w:tcBorders>
              <w:top w:val="single" w:color="auto" w:sz="4" w:space="0"/>
              <w:left w:val="single" w:color="auto" w:sz="4" w:space="0"/>
              <w:bottom w:val="single" w:color="auto" w:sz="4" w:space="0"/>
              <w:right w:val="single" w:color="auto" w:sz="4" w:space="0"/>
            </w:tcBorders>
            <w:noWrap w:val="0"/>
            <w:vAlign w:val="center"/>
          </w:tcPr>
          <w:p>
            <w:pPr>
              <w:pStyle w:val="4"/>
              <w:ind w:left="0" w:leftChars="0" w:firstLine="0" w:firstLineChars="0"/>
              <w:rPr>
                <w:rFonts w:hint="default" w:ascii="Times New Roman" w:hAnsi="Times New Roman" w:eastAsia="宋体" w:cs="Times New Roman"/>
                <w:kern w:val="2"/>
                <w:sz w:val="21"/>
                <w:szCs w:val="24"/>
                <w:lang w:val="en-US" w:eastAsia="zh-CN" w:bidi="ar-SA"/>
              </w:rPr>
            </w:pPr>
            <w:r>
              <w:rPr>
                <w:rFonts w:hint="eastAsia" w:cs="Times New Roman"/>
                <w:b/>
                <w:bCs/>
                <w:kern w:val="2"/>
                <w:sz w:val="21"/>
                <w:szCs w:val="24"/>
                <w:lang w:val="en-US" w:eastAsia="zh-CN" w:bidi="ar-SA"/>
              </w:rPr>
              <w:t>表决情 况</w:t>
            </w:r>
          </w:p>
        </w:tc>
        <w:tc>
          <w:tcPr>
            <w:tcW w:w="2384" w:type="dxa"/>
            <w:gridSpan w:val="2"/>
            <w:tcBorders>
              <w:top w:val="single" w:color="auto" w:sz="4" w:space="0"/>
              <w:left w:val="single" w:color="auto" w:sz="4" w:space="0"/>
              <w:bottom w:val="single" w:color="auto" w:sz="4" w:space="0"/>
              <w:right w:val="single" w:color="auto" w:sz="4" w:space="0"/>
            </w:tcBorders>
            <w:noWrap w:val="0"/>
            <w:vAlign w:val="center"/>
          </w:tcPr>
          <w:p>
            <w:pPr>
              <w:pStyle w:val="4"/>
              <w:ind w:left="0" w:leftChars="0" w:firstLine="0" w:firstLineChars="0"/>
              <w:rPr>
                <w:rFonts w:hint="eastAsia" w:cs="Times New Roman"/>
                <w:kern w:val="2"/>
                <w:sz w:val="21"/>
                <w:szCs w:val="24"/>
                <w:lang w:val="en-US" w:eastAsia="zh-CN" w:bidi="ar-SA"/>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pStyle w:val="4"/>
              <w:ind w:left="0" w:leftChars="0" w:firstLine="0" w:firstLineChars="0"/>
              <w:rPr>
                <w:rFonts w:hint="eastAsia" w:cs="Times New Roman"/>
                <w:b/>
                <w:bCs/>
                <w:kern w:val="2"/>
                <w:sz w:val="21"/>
                <w:szCs w:val="24"/>
                <w:lang w:val="en-US" w:eastAsia="zh-CN" w:bidi="ar-SA"/>
              </w:rPr>
            </w:pPr>
            <w:r>
              <w:rPr>
                <w:rFonts w:hint="eastAsia" w:cs="Times New Roman"/>
                <w:b/>
                <w:bCs/>
                <w:kern w:val="2"/>
                <w:sz w:val="21"/>
                <w:szCs w:val="24"/>
                <w:lang w:val="en-US" w:eastAsia="zh-CN" w:bidi="ar-SA"/>
              </w:rPr>
              <w:t>赞 成</w:t>
            </w:r>
          </w:p>
          <w:p>
            <w:pPr>
              <w:pStyle w:val="4"/>
              <w:ind w:left="0" w:leftChars="0" w:firstLine="0" w:firstLineChars="0"/>
              <w:rPr>
                <w:rFonts w:hint="default" w:cs="Times New Roman"/>
                <w:kern w:val="2"/>
                <w:sz w:val="21"/>
                <w:szCs w:val="24"/>
                <w:lang w:val="en-US" w:eastAsia="zh-CN" w:bidi="ar-SA"/>
              </w:rPr>
            </w:pPr>
            <w:r>
              <w:rPr>
                <w:rFonts w:hint="eastAsia" w:cs="Times New Roman"/>
                <w:b/>
                <w:bCs/>
                <w:kern w:val="2"/>
                <w:sz w:val="21"/>
                <w:szCs w:val="24"/>
                <w:lang w:val="en-US" w:eastAsia="zh-CN" w:bidi="ar-SA"/>
              </w:rPr>
              <w:t>人 数</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pStyle w:val="4"/>
              <w:ind w:left="0" w:leftChars="0" w:firstLine="0" w:firstLineChars="0"/>
              <w:rPr>
                <w:rFonts w:hint="eastAsia" w:cs="Times New Roman"/>
                <w:kern w:val="2"/>
                <w:sz w:val="21"/>
                <w:szCs w:val="24"/>
                <w:lang w:val="en-US" w:eastAsia="zh-CN" w:bidi="ar-SA"/>
              </w:rPr>
            </w:pPr>
          </w:p>
        </w:tc>
        <w:tc>
          <w:tcPr>
            <w:tcW w:w="805" w:type="dxa"/>
            <w:tcBorders>
              <w:top w:val="single" w:color="auto" w:sz="4" w:space="0"/>
              <w:left w:val="single" w:color="auto" w:sz="4" w:space="0"/>
              <w:bottom w:val="single" w:color="auto" w:sz="4" w:space="0"/>
              <w:right w:val="single" w:color="auto" w:sz="4" w:space="0"/>
            </w:tcBorders>
            <w:noWrap w:val="0"/>
            <w:vAlign w:val="center"/>
          </w:tcPr>
          <w:p>
            <w:pPr>
              <w:pStyle w:val="4"/>
              <w:ind w:left="0" w:leftChars="0" w:firstLine="0" w:firstLineChars="0"/>
              <w:rPr>
                <w:rFonts w:hint="eastAsia" w:cs="Times New Roman"/>
                <w:b/>
                <w:bCs/>
                <w:kern w:val="2"/>
                <w:sz w:val="21"/>
                <w:szCs w:val="24"/>
                <w:lang w:val="en-US" w:eastAsia="zh-CN" w:bidi="ar-SA"/>
              </w:rPr>
            </w:pPr>
            <w:r>
              <w:rPr>
                <w:rFonts w:hint="eastAsia" w:cs="Times New Roman"/>
                <w:b/>
                <w:bCs/>
                <w:kern w:val="2"/>
                <w:sz w:val="21"/>
                <w:szCs w:val="24"/>
                <w:lang w:val="en-US" w:eastAsia="zh-CN" w:bidi="ar-SA"/>
              </w:rPr>
              <w:t>反 对</w:t>
            </w:r>
          </w:p>
          <w:p>
            <w:pPr>
              <w:pStyle w:val="4"/>
              <w:ind w:left="0" w:leftChars="0" w:firstLine="0" w:firstLineChars="0"/>
              <w:rPr>
                <w:rFonts w:hint="default" w:cs="Times New Roman"/>
                <w:kern w:val="2"/>
                <w:sz w:val="21"/>
                <w:szCs w:val="24"/>
                <w:lang w:val="en-US" w:eastAsia="zh-CN" w:bidi="ar-SA"/>
              </w:rPr>
            </w:pPr>
            <w:r>
              <w:rPr>
                <w:rFonts w:hint="eastAsia" w:cs="Times New Roman"/>
                <w:b/>
                <w:bCs/>
                <w:kern w:val="2"/>
                <w:sz w:val="21"/>
                <w:szCs w:val="24"/>
                <w:lang w:val="en-US" w:eastAsia="zh-CN" w:bidi="ar-SA"/>
              </w:rPr>
              <w:t>人 数</w:t>
            </w:r>
          </w:p>
        </w:tc>
        <w:tc>
          <w:tcPr>
            <w:tcW w:w="1022" w:type="dxa"/>
            <w:tcBorders>
              <w:top w:val="single" w:color="auto" w:sz="4" w:space="0"/>
              <w:left w:val="single" w:color="auto" w:sz="4" w:space="0"/>
              <w:bottom w:val="single" w:color="auto" w:sz="4" w:space="0"/>
              <w:right w:val="single" w:color="auto" w:sz="4" w:space="0"/>
            </w:tcBorders>
            <w:noWrap w:val="0"/>
            <w:vAlign w:val="center"/>
          </w:tcPr>
          <w:p>
            <w:pPr>
              <w:pStyle w:val="4"/>
              <w:ind w:left="0" w:leftChars="0" w:firstLine="0" w:firstLineChars="0"/>
              <w:rPr>
                <w:rFonts w:hint="eastAsia" w:cs="Times New Roman"/>
                <w:kern w:val="2"/>
                <w:sz w:val="21"/>
                <w:szCs w:val="24"/>
                <w:lang w:val="en-US" w:eastAsia="zh-CN" w:bidi="ar-SA"/>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4"/>
              <w:ind w:left="0" w:leftChars="0" w:firstLine="0" w:firstLineChars="0"/>
              <w:rPr>
                <w:rFonts w:hint="eastAsia" w:cs="Times New Roman"/>
                <w:b/>
                <w:bCs/>
                <w:kern w:val="2"/>
                <w:sz w:val="21"/>
                <w:szCs w:val="24"/>
                <w:lang w:val="en-US" w:eastAsia="zh-CN" w:bidi="ar-SA"/>
              </w:rPr>
            </w:pPr>
            <w:r>
              <w:rPr>
                <w:rFonts w:hint="eastAsia" w:cs="Times New Roman"/>
                <w:b/>
                <w:bCs/>
                <w:kern w:val="2"/>
                <w:sz w:val="21"/>
                <w:szCs w:val="24"/>
                <w:lang w:val="en-US" w:eastAsia="zh-CN" w:bidi="ar-SA"/>
              </w:rPr>
              <w:t>弃 权</w:t>
            </w:r>
          </w:p>
          <w:p>
            <w:pPr>
              <w:pStyle w:val="4"/>
              <w:ind w:left="0" w:leftChars="0" w:firstLine="0" w:firstLineChars="0"/>
              <w:rPr>
                <w:rFonts w:hint="default" w:cs="Times New Roman"/>
                <w:kern w:val="2"/>
                <w:sz w:val="21"/>
                <w:szCs w:val="24"/>
                <w:lang w:val="en-US" w:eastAsia="zh-CN" w:bidi="ar-SA"/>
              </w:rPr>
            </w:pPr>
            <w:r>
              <w:rPr>
                <w:rFonts w:hint="eastAsia" w:cs="Times New Roman"/>
                <w:b/>
                <w:bCs/>
                <w:kern w:val="2"/>
                <w:sz w:val="21"/>
                <w:szCs w:val="24"/>
                <w:lang w:val="en-US" w:eastAsia="zh-CN" w:bidi="ar-SA"/>
              </w:rPr>
              <w:t>人 数</w:t>
            </w:r>
          </w:p>
        </w:tc>
        <w:tc>
          <w:tcPr>
            <w:tcW w:w="1115" w:type="dxa"/>
            <w:tcBorders>
              <w:top w:val="single" w:color="auto" w:sz="4" w:space="0"/>
              <w:left w:val="single" w:color="auto" w:sz="4" w:space="0"/>
              <w:bottom w:val="single" w:color="auto" w:sz="4" w:space="0"/>
              <w:right w:val="single" w:color="auto" w:sz="4" w:space="0"/>
            </w:tcBorders>
            <w:noWrap w:val="0"/>
            <w:vAlign w:val="center"/>
          </w:tcPr>
          <w:p>
            <w:pPr>
              <w:pStyle w:val="4"/>
              <w:ind w:left="0" w:leftChars="0" w:firstLine="0" w:firstLineChars="0"/>
              <w:rPr>
                <w:rFonts w:hint="eastAsia"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6" w:hRule="atLeast"/>
          <w:jc w:val="center"/>
        </w:trPr>
        <w:tc>
          <w:tcPr>
            <w:tcW w:w="2008" w:type="dxa"/>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cs="宋体"/>
                <w:b/>
                <w:color w:val="000000" w:themeColor="text1"/>
                <w:kern w:val="0"/>
                <w:szCs w:val="21"/>
                <w:highlight w:val="none"/>
                <w:lang w:val="en-US" w:eastAsia="zh-CN"/>
                <w14:textFill>
                  <w14:solidFill>
                    <w14:schemeClr w14:val="tx1"/>
                  </w14:solidFill>
                </w14:textFill>
              </w:rPr>
            </w:pPr>
          </w:p>
        </w:tc>
        <w:tc>
          <w:tcPr>
            <w:tcW w:w="8792" w:type="dxa"/>
            <w:gridSpan w:val="9"/>
            <w:tcBorders>
              <w:top w:val="single" w:color="auto" w:sz="4" w:space="0"/>
              <w:left w:val="single" w:color="auto" w:sz="4" w:space="0"/>
              <w:bottom w:val="single" w:color="auto" w:sz="4" w:space="0"/>
              <w:right w:val="single" w:color="auto" w:sz="4" w:space="0"/>
            </w:tcBorders>
            <w:noWrap w:val="0"/>
            <w:vAlign w:val="center"/>
          </w:tcPr>
          <w:p>
            <w:pPr>
              <w:pStyle w:val="4"/>
              <w:ind w:left="0" w:leftChars="0" w:firstLine="0" w:firstLineChars="0"/>
              <w:rPr>
                <w:rFonts w:hint="eastAsia" w:ascii="宋体" w:hAnsi="宋体" w:eastAsia="宋体" w:cs="宋体"/>
                <w:b/>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SA"/>
                <w14:textFill>
                  <w14:solidFill>
                    <w14:schemeClr w14:val="tx1"/>
                  </w14:solidFill>
                </w14:textFill>
              </w:rPr>
              <w:t>我科根据工作需要，要求购置此设备，经过调研及科室民主管理小组讨论，制订此设备技术及服务需求，并保证技术及服务需求不偏向于某一品牌，至少有三个品牌同等档次的产品能够满足要求，并且购置回来的医疗设备能正常使用和产生效益，特向院党委、纪委及院班子做出承诺。</w:t>
            </w:r>
          </w:p>
          <w:p>
            <w:pPr>
              <w:pStyle w:val="4"/>
              <w:ind w:left="0" w:leftChars="0" w:firstLine="0" w:firstLineChars="0"/>
              <w:rPr>
                <w:rFonts w:hint="eastAsia" w:cs="Times New Roman"/>
                <w:b/>
                <w:bCs/>
                <w:kern w:val="2"/>
                <w:sz w:val="21"/>
                <w:szCs w:val="24"/>
                <w:lang w:val="en-US" w:eastAsia="zh-CN" w:bidi="ar-SA"/>
              </w:rPr>
            </w:pPr>
            <w:r>
              <w:rPr>
                <w:rFonts w:hint="eastAsia" w:cs="Times New Roman"/>
                <w:b/>
                <w:bCs/>
                <w:kern w:val="2"/>
                <w:sz w:val="21"/>
                <w:szCs w:val="24"/>
                <w:lang w:val="en-US" w:eastAsia="zh-CN" w:bidi="ar-SA"/>
              </w:rPr>
              <w:t>民主小组签名：</w:t>
            </w:r>
          </w:p>
          <w:p>
            <w:pPr>
              <w:pStyle w:val="4"/>
              <w:ind w:left="0" w:leftChars="0" w:firstLine="0" w:firstLineChars="0"/>
              <w:rPr>
                <w:rFonts w:hint="eastAsia" w:cs="Times New Roman"/>
                <w:b/>
                <w:bCs/>
                <w:kern w:val="2"/>
                <w:sz w:val="21"/>
                <w:szCs w:val="24"/>
                <w:lang w:val="en-US" w:eastAsia="zh-CN" w:bidi="ar-SA"/>
              </w:rPr>
            </w:pPr>
          </w:p>
          <w:p>
            <w:pPr>
              <w:pStyle w:val="4"/>
              <w:ind w:left="0" w:leftChars="0" w:firstLine="0" w:firstLineChars="0"/>
              <w:jc w:val="right"/>
              <w:rPr>
                <w:rFonts w:hint="eastAsia" w:cs="Times New Roman"/>
                <w:b/>
                <w:bCs/>
                <w:kern w:val="2"/>
                <w:sz w:val="21"/>
                <w:szCs w:val="24"/>
                <w:lang w:val="en-US" w:eastAsia="zh-CN" w:bidi="ar-SA"/>
              </w:rPr>
            </w:pPr>
          </w:p>
          <w:p>
            <w:pPr>
              <w:pStyle w:val="4"/>
              <w:ind w:left="0" w:leftChars="0" w:firstLine="0" w:firstLineChars="0"/>
              <w:jc w:val="right"/>
              <w:rPr>
                <w:rFonts w:hint="eastAsia" w:cs="Times New Roman"/>
                <w:b/>
                <w:bCs/>
                <w:kern w:val="2"/>
                <w:sz w:val="21"/>
                <w:szCs w:val="24"/>
                <w:lang w:val="en-US" w:eastAsia="zh-CN" w:bidi="ar-SA"/>
              </w:rPr>
            </w:pPr>
          </w:p>
          <w:p>
            <w:pPr>
              <w:pStyle w:val="4"/>
              <w:ind w:left="0" w:leftChars="0" w:firstLine="0" w:firstLineChars="0"/>
              <w:jc w:val="right"/>
              <w:rPr>
                <w:rFonts w:hint="eastAsia" w:cs="Times New Roman"/>
                <w:b/>
                <w:bCs/>
                <w:kern w:val="2"/>
                <w:sz w:val="21"/>
                <w:szCs w:val="24"/>
                <w:lang w:val="en-US" w:eastAsia="zh-CN" w:bidi="ar-SA"/>
              </w:rPr>
            </w:pPr>
          </w:p>
          <w:p>
            <w:pPr>
              <w:pStyle w:val="4"/>
              <w:ind w:left="0" w:leftChars="0" w:firstLine="0" w:firstLineChars="0"/>
              <w:jc w:val="right"/>
              <w:rPr>
                <w:rFonts w:hint="default" w:cs="Times New Roman"/>
                <w:kern w:val="2"/>
                <w:sz w:val="21"/>
                <w:szCs w:val="24"/>
                <w:lang w:val="en-US" w:eastAsia="zh-CN" w:bidi="ar-SA"/>
              </w:rPr>
            </w:pPr>
            <w:r>
              <w:rPr>
                <w:rFonts w:hint="eastAsia" w:cs="Times New Roman"/>
                <w:b/>
                <w:bCs/>
                <w:kern w:val="2"/>
                <w:sz w:val="21"/>
                <w:szCs w:val="24"/>
                <w:lang w:val="en-US" w:eastAsia="zh-CN" w:bidi="ar-SA"/>
              </w:rPr>
              <w:t>年    月    日</w:t>
            </w:r>
          </w:p>
        </w:tc>
      </w:tr>
    </w:tbl>
    <w:p>
      <w:pPr>
        <w:tabs>
          <w:tab w:val="left" w:pos="1575"/>
        </w:tabs>
        <w:bidi w:val="0"/>
        <w:jc w:val="left"/>
        <w:rPr>
          <w:rFonts w:hint="eastAsia"/>
          <w:lang w:val="en-US" w:eastAsia="zh-CN"/>
        </w:rPr>
      </w:pPr>
    </w:p>
    <w:sectPr>
      <w:footerReference r:id="rId3" w:type="default"/>
      <w:pgSz w:w="11906" w:h="16838"/>
      <w:pgMar w:top="312" w:right="386" w:bottom="468" w:left="72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r>
      <w:rPr>
        <w:sz w:val="28"/>
      </w:rPr>
      <mc:AlternateContent>
        <mc:Choice Requires="wps">
          <w:drawing>
            <wp:anchor distT="0" distB="0" distL="114300" distR="114300" simplePos="0" relativeHeight="251659264" behindDoc="0" locked="0" layoutInCell="1" allowOverlap="1">
              <wp:simplePos x="0" y="0"/>
              <wp:positionH relativeFrom="margin">
                <wp:posOffset>2911475</wp:posOffset>
              </wp:positionH>
              <wp:positionV relativeFrom="paragraph">
                <wp:posOffset>244475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9.25pt;margin-top:19.25pt;height:144pt;width:144pt;mso-position-horizontal-relative:margin;mso-wrap-style:none;z-index:251659264;mso-width-relative:page;mso-height-relative:page;" filled="f" stroked="f" coordsize="21600,21600" o:gfxdata="UEsDBAoAAAAAAIdO4kAAAAAAAAAAAAAAAAAEAAAAZHJzL1BLAwQUAAAACACHTuJALDBoO9YAAAAK&#10;AQAADwAAAGRycy9kb3ducmV2LnhtbE2PQU/DMAyF70j8h8hI3Fi6rRtT13QSE+WIxMqBY9aYtqNx&#10;qiTryr/HO7GTn+2n58/5brK9GNGHzpGC+SwBgVQ701Gj4LMqnzYgQtRkdO8IFfxigF1xf5frzLgL&#10;feB4iI3gEAqZVtDGOGRShrpFq8PMDUi8+3be6sitb6Tx+sLhtpeLJFlLqzviC60ecN9i/XM4WwX7&#10;sqr8iMH3X/hWLk/vLym+Tko9PsyTLYiIU/w3wxWf0aFgpqM7kwmiV5CuNiu2KlheKxue0zWLIw8W&#10;LGSRy9sXij9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wwaDvWAAAACg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8"/>
                      <w:jc w:val="center"/>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w:t>
                    </w:r>
                    <w:r>
                      <w:rPr>
                        <w:sz w:val="21"/>
                        <w:szCs w:val="21"/>
                      </w:rPr>
                      <w:fldChar w:fldCharType="end"/>
                    </w:r>
                    <w:r>
                      <w:rPr>
                        <w:sz w:val="21"/>
                        <w:szCs w:val="21"/>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jOWY4NjJiMDgwOTExOWQ1ZTdhZTdjMjM0MTM4ZjQifQ=="/>
    <w:docVar w:name="KSO_WPS_MARK_KEY" w:val="10d1ed5b-a2e7-40b6-ac62-1ec8f2a87b47"/>
  </w:docVars>
  <w:rsids>
    <w:rsidRoot w:val="00941D95"/>
    <w:rsid w:val="000268CF"/>
    <w:rsid w:val="00065B69"/>
    <w:rsid w:val="000A2C66"/>
    <w:rsid w:val="000B2981"/>
    <w:rsid w:val="000D1BB9"/>
    <w:rsid w:val="000E18C1"/>
    <w:rsid w:val="000E6793"/>
    <w:rsid w:val="001444C9"/>
    <w:rsid w:val="00186CC3"/>
    <w:rsid w:val="001A36D4"/>
    <w:rsid w:val="001B13CE"/>
    <w:rsid w:val="001B404E"/>
    <w:rsid w:val="001B77C9"/>
    <w:rsid w:val="0022498F"/>
    <w:rsid w:val="00226D1F"/>
    <w:rsid w:val="002356E4"/>
    <w:rsid w:val="002561A0"/>
    <w:rsid w:val="00276146"/>
    <w:rsid w:val="002833A8"/>
    <w:rsid w:val="002E3F4D"/>
    <w:rsid w:val="0031063E"/>
    <w:rsid w:val="00322F8D"/>
    <w:rsid w:val="00331D02"/>
    <w:rsid w:val="00342609"/>
    <w:rsid w:val="0036789F"/>
    <w:rsid w:val="003733ED"/>
    <w:rsid w:val="00385E79"/>
    <w:rsid w:val="003F5A29"/>
    <w:rsid w:val="0040280A"/>
    <w:rsid w:val="00445C55"/>
    <w:rsid w:val="0045205F"/>
    <w:rsid w:val="005501FD"/>
    <w:rsid w:val="0058217E"/>
    <w:rsid w:val="005845F6"/>
    <w:rsid w:val="005A6174"/>
    <w:rsid w:val="005B38F5"/>
    <w:rsid w:val="005C10E0"/>
    <w:rsid w:val="005F121C"/>
    <w:rsid w:val="006107B4"/>
    <w:rsid w:val="00615BBF"/>
    <w:rsid w:val="0063501D"/>
    <w:rsid w:val="00640D43"/>
    <w:rsid w:val="0067146A"/>
    <w:rsid w:val="0067180F"/>
    <w:rsid w:val="0067302C"/>
    <w:rsid w:val="006933B5"/>
    <w:rsid w:val="006D63AB"/>
    <w:rsid w:val="007340D9"/>
    <w:rsid w:val="00747476"/>
    <w:rsid w:val="0077244B"/>
    <w:rsid w:val="007B4476"/>
    <w:rsid w:val="007F6FCD"/>
    <w:rsid w:val="008178F0"/>
    <w:rsid w:val="00894D72"/>
    <w:rsid w:val="008D0350"/>
    <w:rsid w:val="008E0545"/>
    <w:rsid w:val="00926C6B"/>
    <w:rsid w:val="00941D95"/>
    <w:rsid w:val="00946D82"/>
    <w:rsid w:val="00950460"/>
    <w:rsid w:val="009B1EF0"/>
    <w:rsid w:val="009C1DBA"/>
    <w:rsid w:val="009C7C97"/>
    <w:rsid w:val="009D78FF"/>
    <w:rsid w:val="00A26F22"/>
    <w:rsid w:val="00A5481B"/>
    <w:rsid w:val="00AC3BED"/>
    <w:rsid w:val="00AC74CB"/>
    <w:rsid w:val="00AD2FCF"/>
    <w:rsid w:val="00B24FB7"/>
    <w:rsid w:val="00B52209"/>
    <w:rsid w:val="00B74925"/>
    <w:rsid w:val="00B94E97"/>
    <w:rsid w:val="00BA117D"/>
    <w:rsid w:val="00BA67BB"/>
    <w:rsid w:val="00BD4CF7"/>
    <w:rsid w:val="00BF5C1F"/>
    <w:rsid w:val="00BF6801"/>
    <w:rsid w:val="00C273AA"/>
    <w:rsid w:val="00C447BD"/>
    <w:rsid w:val="00C72BFF"/>
    <w:rsid w:val="00C73895"/>
    <w:rsid w:val="00CF29D0"/>
    <w:rsid w:val="00D17A6A"/>
    <w:rsid w:val="00D27F71"/>
    <w:rsid w:val="00D360C5"/>
    <w:rsid w:val="00D460DF"/>
    <w:rsid w:val="00D5225F"/>
    <w:rsid w:val="00D63131"/>
    <w:rsid w:val="00D73142"/>
    <w:rsid w:val="00DA477F"/>
    <w:rsid w:val="00DA73B6"/>
    <w:rsid w:val="00DE2784"/>
    <w:rsid w:val="00E266F9"/>
    <w:rsid w:val="00EC7276"/>
    <w:rsid w:val="00F1226A"/>
    <w:rsid w:val="00F1495F"/>
    <w:rsid w:val="00F1647C"/>
    <w:rsid w:val="00F55760"/>
    <w:rsid w:val="00F6797E"/>
    <w:rsid w:val="00F8610F"/>
    <w:rsid w:val="00F906B2"/>
    <w:rsid w:val="00FB5523"/>
    <w:rsid w:val="015A335A"/>
    <w:rsid w:val="020D26D6"/>
    <w:rsid w:val="024D2E00"/>
    <w:rsid w:val="02767AC4"/>
    <w:rsid w:val="04B60D40"/>
    <w:rsid w:val="06B62384"/>
    <w:rsid w:val="078E422C"/>
    <w:rsid w:val="07994796"/>
    <w:rsid w:val="09F57116"/>
    <w:rsid w:val="0BAB30BB"/>
    <w:rsid w:val="102B5A31"/>
    <w:rsid w:val="10562C62"/>
    <w:rsid w:val="10EE05CF"/>
    <w:rsid w:val="13990B65"/>
    <w:rsid w:val="139F0E24"/>
    <w:rsid w:val="154F7C46"/>
    <w:rsid w:val="15501059"/>
    <w:rsid w:val="15A0726D"/>
    <w:rsid w:val="162D261E"/>
    <w:rsid w:val="162F77CF"/>
    <w:rsid w:val="16B63B62"/>
    <w:rsid w:val="18562BB2"/>
    <w:rsid w:val="189E2588"/>
    <w:rsid w:val="18AA5D84"/>
    <w:rsid w:val="18E7372F"/>
    <w:rsid w:val="1A7B4AAD"/>
    <w:rsid w:val="1ABC31A1"/>
    <w:rsid w:val="1E64163C"/>
    <w:rsid w:val="1EBF2D51"/>
    <w:rsid w:val="20604C45"/>
    <w:rsid w:val="20CA0EF9"/>
    <w:rsid w:val="20D51615"/>
    <w:rsid w:val="221768AF"/>
    <w:rsid w:val="22CE155C"/>
    <w:rsid w:val="24D97E4C"/>
    <w:rsid w:val="260747F1"/>
    <w:rsid w:val="26697889"/>
    <w:rsid w:val="26DB20F3"/>
    <w:rsid w:val="28AC055B"/>
    <w:rsid w:val="28B14ED3"/>
    <w:rsid w:val="28F827B6"/>
    <w:rsid w:val="294B64E9"/>
    <w:rsid w:val="2A1060BE"/>
    <w:rsid w:val="2BE11AC0"/>
    <w:rsid w:val="2D291FFC"/>
    <w:rsid w:val="2DED19F6"/>
    <w:rsid w:val="307243E3"/>
    <w:rsid w:val="30BA591D"/>
    <w:rsid w:val="358B78E3"/>
    <w:rsid w:val="35D4038F"/>
    <w:rsid w:val="37165B84"/>
    <w:rsid w:val="378612C6"/>
    <w:rsid w:val="38BE6A1D"/>
    <w:rsid w:val="39807C34"/>
    <w:rsid w:val="3A016906"/>
    <w:rsid w:val="3B9F2E3E"/>
    <w:rsid w:val="3C4D6CFE"/>
    <w:rsid w:val="3C546437"/>
    <w:rsid w:val="3EC42C77"/>
    <w:rsid w:val="413336D6"/>
    <w:rsid w:val="422C2640"/>
    <w:rsid w:val="43212B30"/>
    <w:rsid w:val="44543FFE"/>
    <w:rsid w:val="44E424E9"/>
    <w:rsid w:val="488619E2"/>
    <w:rsid w:val="495C6C5B"/>
    <w:rsid w:val="4AFA4F90"/>
    <w:rsid w:val="4BA6642B"/>
    <w:rsid w:val="4E456FA4"/>
    <w:rsid w:val="4F4C5188"/>
    <w:rsid w:val="4F990E05"/>
    <w:rsid w:val="50161C3E"/>
    <w:rsid w:val="5084171E"/>
    <w:rsid w:val="508C2093"/>
    <w:rsid w:val="524D0C84"/>
    <w:rsid w:val="527D673C"/>
    <w:rsid w:val="549B5C3F"/>
    <w:rsid w:val="55016556"/>
    <w:rsid w:val="553D0B9C"/>
    <w:rsid w:val="55784374"/>
    <w:rsid w:val="55D85EB9"/>
    <w:rsid w:val="56A26E5D"/>
    <w:rsid w:val="56A554D5"/>
    <w:rsid w:val="56FA12BD"/>
    <w:rsid w:val="588A09D2"/>
    <w:rsid w:val="590C382F"/>
    <w:rsid w:val="5B257FD6"/>
    <w:rsid w:val="5EF6331F"/>
    <w:rsid w:val="6227527B"/>
    <w:rsid w:val="642F11F5"/>
    <w:rsid w:val="64A27B25"/>
    <w:rsid w:val="65A662ED"/>
    <w:rsid w:val="693B41FE"/>
    <w:rsid w:val="6A3B2622"/>
    <w:rsid w:val="6ADB300F"/>
    <w:rsid w:val="6BBF03F1"/>
    <w:rsid w:val="6BCA5C97"/>
    <w:rsid w:val="6C0F22E4"/>
    <w:rsid w:val="6C1E014C"/>
    <w:rsid w:val="6C6C6979"/>
    <w:rsid w:val="6E411831"/>
    <w:rsid w:val="70F20BC4"/>
    <w:rsid w:val="719B787B"/>
    <w:rsid w:val="722D66AE"/>
    <w:rsid w:val="723B6789"/>
    <w:rsid w:val="73E047E4"/>
    <w:rsid w:val="74F2294A"/>
    <w:rsid w:val="76277C74"/>
    <w:rsid w:val="76ED28AB"/>
    <w:rsid w:val="79830120"/>
    <w:rsid w:val="7A2536C6"/>
    <w:rsid w:val="7A2860D9"/>
    <w:rsid w:val="7BE650CE"/>
    <w:rsid w:val="7C9257F3"/>
    <w:rsid w:val="7D8D55D8"/>
    <w:rsid w:val="7EA8531D"/>
    <w:rsid w:val="7ED450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color w:val="FF0000"/>
      <w:szCs w:val="24"/>
    </w:rPr>
  </w:style>
  <w:style w:type="paragraph" w:styleId="3">
    <w:name w:val="Body Text 2"/>
    <w:basedOn w:val="1"/>
    <w:qFormat/>
    <w:uiPriority w:val="0"/>
    <w:pPr>
      <w:spacing w:line="360" w:lineRule="auto"/>
    </w:pPr>
    <w:rPr>
      <w:sz w:val="24"/>
    </w:rPr>
  </w:style>
  <w:style w:type="paragraph" w:styleId="4">
    <w:name w:val="Normal Indent"/>
    <w:basedOn w:val="1"/>
    <w:link w:val="14"/>
    <w:qFormat/>
    <w:uiPriority w:val="0"/>
    <w:pPr>
      <w:ind w:firstLine="420" w:firstLineChars="200"/>
    </w:p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cs="宋体"/>
      <w:szCs w:val="21"/>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Strong"/>
    <w:qFormat/>
    <w:uiPriority w:val="22"/>
    <w:rPr>
      <w:b/>
    </w:rPr>
  </w:style>
  <w:style w:type="character" w:styleId="13">
    <w:name w:val="Hyperlink"/>
    <w:qFormat/>
    <w:uiPriority w:val="99"/>
    <w:rPr>
      <w:color w:val="0000FF"/>
      <w:u w:val="single"/>
    </w:rPr>
  </w:style>
  <w:style w:type="character" w:customStyle="1" w:styleId="14">
    <w:name w:val="正文缩进 Char"/>
    <w:link w:val="4"/>
    <w:qFormat/>
    <w:uiPriority w:val="0"/>
    <w:rPr>
      <w:kern w:val="2"/>
      <w:sz w:val="21"/>
      <w:szCs w:val="24"/>
    </w:rPr>
  </w:style>
  <w:style w:type="character" w:customStyle="1" w:styleId="15">
    <w:name w:val="批注框文本 Char"/>
    <w:link w:val="7"/>
    <w:qFormat/>
    <w:uiPriority w:val="0"/>
    <w:rPr>
      <w:kern w:val="2"/>
      <w:sz w:val="18"/>
      <w:szCs w:val="18"/>
    </w:rPr>
  </w:style>
  <w:style w:type="paragraph" w:customStyle="1" w:styleId="16">
    <w:name w:val="List Paragraph"/>
    <w:basedOn w:val="1"/>
    <w:qFormat/>
    <w:uiPriority w:val="34"/>
    <w:pPr>
      <w:ind w:firstLine="420" w:firstLineChars="200"/>
    </w:pPr>
  </w:style>
  <w:style w:type="paragraph" w:customStyle="1" w:styleId="1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8">
    <w:name w:val="表格文字"/>
    <w:basedOn w:val="1"/>
    <w:qFormat/>
    <w:uiPriority w:val="99"/>
    <w:pPr>
      <w:spacing w:before="25" w:after="25"/>
    </w:pPr>
    <w:rPr>
      <w:spacing w:val="1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4921</Words>
  <Characters>5169</Characters>
  <Lines>15</Lines>
  <Paragraphs>4</Paragraphs>
  <TotalTime>3</TotalTime>
  <ScaleCrop>false</ScaleCrop>
  <LinksUpToDate>false</LinksUpToDate>
  <CharactersWithSpaces>5301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2018-06-26T07:12:00Z</dcterms:created>
  <dc:creator>Administrator</dc:creator>
  <cp:lastModifiedBy>Administrator</cp:lastModifiedBy>
  <cp:lastPrinted>2018-06-16T00:51:00Z</cp:lastPrinted>
  <dcterms:modified xsi:type="dcterms:W3CDTF">2025-06-30T08:25:05Z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8C9DCB66101B411A919364C1289D08ED_13</vt:lpwstr>
  </property>
  <property fmtid="{D5CDD505-2E9C-101B-9397-08002B2CF9AE}" pid="4" name="KSOTemplateDocerSaveRecord">
    <vt:lpwstr>eyJoZGlkIjoiYmNiYjIzY2JjNzAyMjE5ZDk1NTVlNDczNTUwNGE4YWYiLCJ1c2VySWQiOiI0NDk0MDMwNjUifQ==</vt:lpwstr>
  </property>
</Properties>
</file>