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jc w:val="center"/>
        <w:rPr>
          <w:rFonts w:hint="eastAsia" w:ascii="黑体" w:hAnsi="黑体" w:eastAsia="黑体" w:cs="黑体"/>
          <w:color w:val="auto"/>
          <w:sz w:val="32"/>
          <w:szCs w:val="32"/>
          <w:highlight w:val="none"/>
          <w:lang w:val="en-US" w:eastAsia="zh-CN"/>
        </w:rPr>
      </w:pPr>
      <w:bookmarkStart w:id="0" w:name="_GoBack"/>
      <w:bookmarkEnd w:id="0"/>
      <w:r>
        <w:rPr>
          <w:rFonts w:hint="eastAsia" w:ascii="方正小标宋简体" w:hAnsi="Calibri" w:eastAsia="方正小标宋简体" w:cs="Times New Roman"/>
          <w:b w:val="0"/>
          <w:bCs w:val="0"/>
          <w:color w:val="auto"/>
          <w:kern w:val="2"/>
          <w:sz w:val="44"/>
          <w:szCs w:val="44"/>
          <w:highlight w:val="none"/>
          <w:lang w:eastAsia="zh-CN" w:bidi="ar"/>
        </w:rPr>
        <w:t>采购</w:t>
      </w:r>
      <w:r>
        <w:rPr>
          <w:rFonts w:hint="eastAsia" w:ascii="方正小标宋简体" w:hAnsi="Calibri" w:eastAsia="方正小标宋简体" w:cs="Times New Roman"/>
          <w:b w:val="0"/>
          <w:bCs w:val="0"/>
          <w:color w:val="auto"/>
          <w:kern w:val="2"/>
          <w:sz w:val="44"/>
          <w:szCs w:val="44"/>
          <w:highlight w:val="none"/>
          <w:lang w:bidi="ar"/>
        </w:rPr>
        <w:t>项目信息公开</w:t>
      </w:r>
    </w:p>
    <w:tbl>
      <w:tblPr>
        <w:tblStyle w:val="3"/>
        <w:tblpPr w:leftFromText="180" w:rightFromText="180" w:vertAnchor="text" w:horzAnchor="page" w:tblpXSpec="center" w:tblpY="184"/>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02"/>
        <w:gridCol w:w="690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1081" w:hRule="atLeast"/>
          <w:jc w:val="center"/>
        </w:trPr>
        <w:tc>
          <w:tcPr>
            <w:tcW w:w="8511" w:type="dxa"/>
            <w:gridSpan w:val="2"/>
            <w:noWrap w:val="0"/>
            <w:vAlign w:val="center"/>
          </w:tcPr>
          <w:p>
            <w:pPr>
              <w:snapToGrid w:val="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jc w:val="center"/>
        </w:trPr>
        <w:tc>
          <w:tcPr>
            <w:tcW w:w="8511" w:type="dxa"/>
            <w:gridSpan w:val="2"/>
            <w:noWrap w:val="0"/>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项目名称：</w:t>
            </w:r>
            <w:r>
              <w:rPr>
                <w:rFonts w:hint="eastAsia" w:ascii="仿宋_GB2312" w:hAnsi="仿宋_GB2312" w:eastAsia="仿宋_GB2312" w:cs="仿宋_GB2312"/>
                <w:color w:val="auto"/>
                <w:kern w:val="2"/>
                <w:sz w:val="24"/>
                <w:szCs w:val="24"/>
              </w:rPr>
              <w:t>大鹏办事处大鹏现代稻米大健康产业地块项目场平清理服务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602" w:type="dxa"/>
            <w:vMerge w:val="restart"/>
            <w:noWrap w:val="0"/>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实施购买前公开的信息 </w:t>
            </w:r>
          </w:p>
        </w:tc>
        <w:tc>
          <w:tcPr>
            <w:tcW w:w="6909" w:type="dxa"/>
            <w:noWrap w:val="0"/>
            <w:vAlign w:val="center"/>
          </w:tcPr>
          <w:p>
            <w:pPr>
              <w:widowControl w:val="0"/>
              <w:snapToGrid w:val="0"/>
              <w:spacing w:line="240" w:lineRule="auto"/>
              <w:ind w:firstLine="0" w:firstLineChars="0"/>
              <w:jc w:val="both"/>
              <w:rPr>
                <w:rFonts w:hint="default"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项目管理和服务要求</w:t>
            </w:r>
            <w:r>
              <w:rPr>
                <w:rFonts w:hint="default" w:ascii="仿宋_GB2312" w:hAnsi="仿宋_GB2312" w:eastAsia="仿宋_GB2312" w:cs="仿宋_GB2312"/>
                <w:color w:val="auto"/>
                <w:kern w:val="2"/>
                <w:sz w:val="24"/>
                <w:szCs w:val="24"/>
                <w:lang w:val="en-US"/>
              </w:rPr>
              <w:t>:</w:t>
            </w:r>
          </w:p>
          <w:p>
            <w:pPr>
              <w:widowControl w:val="0"/>
              <w:snapToGrid w:val="0"/>
              <w:spacing w:line="240" w:lineRule="auto"/>
              <w:ind w:firstLine="480" w:firstLineChars="200"/>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（一）项目管理</w:t>
            </w:r>
          </w:p>
          <w:p>
            <w:pPr>
              <w:widowControl w:val="0"/>
              <w:snapToGrid w:val="0"/>
              <w:spacing w:line="24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根据相关工作要求，我中心需开展大鹏办事处大鹏现代稻米大健康产业地块项目场平清理服务工作，涉及场平清理工作内容包括：1、清除杂草、灌木、垃圾；2、砍伐乔木；3、</w:t>
            </w:r>
            <w:r>
              <w:rPr>
                <w:rFonts w:hint="eastAsia" w:ascii="仿宋_GB2312" w:hAnsi="仿宋_GB2312" w:eastAsia="仿宋_GB2312" w:cs="仿宋_GB2312"/>
                <w:color w:val="000000"/>
                <w:sz w:val="24"/>
                <w:szCs w:val="24"/>
                <w:lang w:val="en-US" w:eastAsia="zh-CN"/>
              </w:rPr>
              <w:t>相关围挡施工工作</w:t>
            </w:r>
            <w:r>
              <w:rPr>
                <w:rFonts w:hint="eastAsia" w:ascii="仿宋_GB2312" w:hAnsi="仿宋_GB2312" w:eastAsia="仿宋_GB2312" w:cs="仿宋_GB2312"/>
                <w:color w:val="000000"/>
                <w:sz w:val="24"/>
                <w:szCs w:val="24"/>
              </w:rPr>
              <w:t>；4、山地防火设备</w:t>
            </w:r>
            <w:r>
              <w:rPr>
                <w:rFonts w:hint="eastAsia" w:ascii="仿宋_GB2312" w:hAnsi="仿宋_GB2312" w:eastAsia="仿宋_GB2312" w:cs="仿宋_GB2312"/>
                <w:color w:val="000000"/>
                <w:sz w:val="24"/>
                <w:szCs w:val="24"/>
                <w:lang w:val="en-US" w:eastAsia="zh-CN"/>
              </w:rPr>
              <w:t>使用工作</w:t>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挖土机修筑工作</w:t>
            </w:r>
            <w:r>
              <w:rPr>
                <w:rFonts w:hint="eastAsia" w:ascii="仿宋_GB2312" w:hAnsi="仿宋_GB2312" w:eastAsia="仿宋_GB2312" w:cs="仿宋_GB2312"/>
                <w:color w:val="000000"/>
                <w:sz w:val="24"/>
                <w:szCs w:val="24"/>
              </w:rPr>
              <w:t>（具体详见附件）。为顺利完成此项工作内容，我中心需采购一专业单位提供场平清理服务。</w:t>
            </w:r>
          </w:p>
          <w:p>
            <w:pPr>
              <w:widowControl w:val="0"/>
              <w:snapToGrid w:val="0"/>
              <w:spacing w:line="240" w:lineRule="auto"/>
              <w:ind w:firstLine="480" w:firstLineChars="200"/>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（二）服务要求</w:t>
            </w:r>
          </w:p>
          <w:p>
            <w:pPr>
              <w:widowControl w:val="0"/>
              <w:snapToGrid w:val="0"/>
              <w:spacing w:line="24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在项目服务内，投标人应无偿并迅速对采购单位的相关工作要求进行回应。</w:t>
            </w:r>
          </w:p>
          <w:p>
            <w:pPr>
              <w:widowControl w:val="0"/>
              <w:snapToGrid w:val="0"/>
              <w:spacing w:line="24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为大鹏办事处大鹏现代稻米大健康产业地块项目场平清理服务中遇到的实际问题提供相关工作建议，并对可能存在的困难或风险作出分析说明或提供规范与防范的建议。</w:t>
            </w:r>
          </w:p>
          <w:p>
            <w:pPr>
              <w:keepNext/>
              <w:keepLines/>
              <w:pageBreakBefore w:val="0"/>
              <w:kinsoku/>
              <w:wordWrap/>
              <w:overflowPunct/>
              <w:topLinePunct w:val="0"/>
              <w:autoSpaceDE/>
              <w:autoSpaceDN/>
              <w:bidi w:val="0"/>
              <w:adjustRightInd w:val="0"/>
              <w:snapToGrid w:val="0"/>
              <w:spacing w:line="240" w:lineRule="auto"/>
              <w:ind w:firstLine="480" w:firstLineChars="200"/>
              <w:jc w:val="both"/>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负责大鹏现代稻米大健康产业地块项目场平清理工作，协助完成土地移交手续</w:t>
            </w:r>
            <w:r>
              <w:rPr>
                <w:rFonts w:hint="eastAsia" w:ascii="仿宋_GB2312" w:hAnsi="仿宋_GB2312" w:eastAsia="仿宋_GB2312" w:cs="仿宋_GB2312"/>
                <w:color w:val="000000"/>
                <w:sz w:val="24"/>
                <w:szCs w:val="24"/>
                <w:lang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10" w:hRule="atLeast"/>
          <w:jc w:val="center"/>
        </w:trPr>
        <w:tc>
          <w:tcPr>
            <w:tcW w:w="1602" w:type="dxa"/>
            <w:vMerge w:val="continue"/>
            <w:noWrap w:val="0"/>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仿宋_GB2312" w:hAnsi="仿宋_GB2312" w:eastAsia="仿宋_GB2312" w:cs="仿宋_GB2312"/>
                <w:color w:val="auto"/>
                <w:kern w:val="0"/>
                <w:sz w:val="24"/>
                <w:szCs w:val="24"/>
                <w:highlight w:val="none"/>
                <w:lang w:val="en-US" w:eastAsia="zh-CN" w:bidi="ar"/>
              </w:rPr>
            </w:pPr>
          </w:p>
        </w:tc>
        <w:tc>
          <w:tcPr>
            <w:tcW w:w="6909" w:type="dxa"/>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项目预算金额：¥</w:t>
            </w:r>
            <w:r>
              <w:rPr>
                <w:rFonts w:hint="eastAsia" w:ascii="仿宋_GB2312" w:hAnsi="仿宋_GB2312" w:eastAsia="仿宋_GB2312" w:cs="仿宋_GB2312"/>
                <w:color w:val="auto"/>
                <w:kern w:val="2"/>
                <w:sz w:val="24"/>
                <w:szCs w:val="24"/>
                <w:lang w:val="en-US" w:eastAsia="zh-CN"/>
              </w:rPr>
              <w:t>488,000.00</w:t>
            </w:r>
            <w:r>
              <w:rPr>
                <w:rFonts w:hint="eastAsia" w:ascii="仿宋_GB2312" w:hAnsi="仿宋_GB2312" w:eastAsia="仿宋_GB2312" w:cs="仿宋_GB2312"/>
                <w:color w:val="auto"/>
                <w:kern w:val="0"/>
                <w:sz w:val="24"/>
                <w:szCs w:val="24"/>
                <w:highlight w:val="none"/>
                <w:lang w:val="en-US" w:eastAsia="zh-CN" w:bidi="ar"/>
              </w:rPr>
              <w:t>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24" w:hRule="atLeast"/>
          <w:jc w:val="center"/>
        </w:trPr>
        <w:tc>
          <w:tcPr>
            <w:tcW w:w="1602"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bidi="ar"/>
              </w:rPr>
              <w:t>采购方式：</w:t>
            </w:r>
            <w:r>
              <w:rPr>
                <w:rFonts w:hint="eastAsia" w:ascii="仿宋_GB2312" w:hAnsi="仿宋_GB2312" w:eastAsia="仿宋_GB2312" w:cs="仿宋_GB2312"/>
                <w:color w:val="auto"/>
                <w:kern w:val="2"/>
                <w:sz w:val="24"/>
                <w:szCs w:val="24"/>
                <w:lang w:eastAsia="zh-CN"/>
              </w:rPr>
              <w:t>询价采购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70" w:hRule="atLeast"/>
          <w:jc w:val="center"/>
        </w:trPr>
        <w:tc>
          <w:tcPr>
            <w:tcW w:w="1602"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评审方法：</w:t>
            </w:r>
            <w:r>
              <w:rPr>
                <w:rFonts w:hint="eastAsia" w:ascii="仿宋_GB2312" w:hAnsi="仿宋_GB2312" w:eastAsia="仿宋_GB2312" w:cs="仿宋_GB2312"/>
                <w:color w:val="auto"/>
                <w:kern w:val="2"/>
                <w:sz w:val="24"/>
                <w:szCs w:val="24"/>
                <w:lang w:eastAsia="zh-CN"/>
              </w:rPr>
              <w:t>最低价法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851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经本单位确认，上述公告信息真实、合规。</w:t>
            </w:r>
          </w:p>
          <w:p>
            <w:pPr>
              <w:pStyle w:val="2"/>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单位名称：</w:t>
            </w:r>
            <w:r>
              <w:rPr>
                <w:rFonts w:hint="eastAsia" w:ascii="仿宋_GB2312" w:hAnsi="仿宋_GB2312" w:eastAsia="仿宋_GB2312" w:cs="仿宋_GB2312"/>
                <w:color w:val="auto"/>
                <w:kern w:val="2"/>
                <w:sz w:val="24"/>
                <w:szCs w:val="24"/>
              </w:rPr>
              <w:t>大鹏办事处城市</w:t>
            </w:r>
            <w:r>
              <w:rPr>
                <w:rFonts w:hint="eastAsia" w:ascii="仿宋_GB2312" w:hAnsi="仿宋_GB2312" w:eastAsia="仿宋_GB2312" w:cs="仿宋_GB2312"/>
                <w:color w:val="auto"/>
                <w:kern w:val="2"/>
                <w:sz w:val="24"/>
                <w:szCs w:val="24"/>
                <w:lang w:eastAsia="zh-CN"/>
              </w:rPr>
              <w:t>建设</w:t>
            </w:r>
            <w:r>
              <w:rPr>
                <w:rFonts w:hint="eastAsia" w:ascii="仿宋_GB2312" w:hAnsi="仿宋_GB2312" w:eastAsia="仿宋_GB2312" w:cs="仿宋_GB2312"/>
                <w:color w:val="auto"/>
                <w:kern w:val="2"/>
                <w:sz w:val="24"/>
                <w:szCs w:val="24"/>
              </w:rPr>
              <w:t>发展服务中心</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lang w:eastAsia="zh-CN"/>
              </w:rPr>
              <w:t>大鹏新区大鹏街道中山路</w:t>
            </w:r>
            <w:r>
              <w:rPr>
                <w:rFonts w:hint="eastAsia" w:ascii="仿宋_GB2312" w:hAnsi="仿宋_GB2312" w:eastAsia="仿宋_GB2312" w:cs="仿宋_GB2312"/>
                <w:sz w:val="24"/>
                <w:szCs w:val="24"/>
                <w:lang w:val="en-US" w:eastAsia="zh-CN"/>
              </w:rPr>
              <w:t>5号</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color w:val="auto"/>
                <w:sz w:val="24"/>
                <w:szCs w:val="24"/>
                <w:lang w:eastAsia="zh-CN"/>
              </w:rPr>
              <w:t>黄工</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rPr>
              <w:t>8430</w:t>
            </w:r>
            <w:r>
              <w:rPr>
                <w:rFonts w:hint="eastAsia" w:ascii="仿宋_GB2312" w:hAnsi="仿宋_GB2312" w:eastAsia="仿宋_GB2312" w:cs="仿宋_GB2312"/>
                <w:color w:val="auto"/>
                <w:sz w:val="24"/>
                <w:szCs w:val="24"/>
                <w:lang w:val="en-US" w:eastAsia="zh-CN"/>
              </w:rPr>
              <w:t>1626</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eastAsia="zh-CN"/>
              </w:rPr>
              <w:t>公告期：</w:t>
            </w:r>
            <w:r>
              <w:rPr>
                <w:rFonts w:hint="eastAsia" w:ascii="仿宋_GB2312" w:hAnsi="仿宋_GB2312" w:eastAsia="仿宋_GB2312" w:cs="仿宋_GB2312"/>
                <w:sz w:val="24"/>
                <w:szCs w:val="24"/>
                <w:highlight w:val="none"/>
                <w:lang w:val="en-US" w:eastAsia="zh-CN"/>
              </w:rPr>
              <w:t>2025年10月31日-2025年11月5日</w:t>
            </w:r>
          </w:p>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公告日期：</w:t>
            </w:r>
            <w:r>
              <w:rPr>
                <w:rFonts w:hint="default" w:ascii="仿宋_GB2312" w:hAnsi="仿宋_GB2312" w:eastAsia="仿宋_GB2312" w:cs="仿宋_GB2312"/>
                <w:color w:val="auto"/>
                <w:sz w:val="24"/>
                <w:szCs w:val="24"/>
                <w:highlight w:val="non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691A7"/>
    <w:rsid w:val="3FF691A7"/>
    <w:rsid w:val="7FF985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color w:val="00000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宋体" w:hAnsi="宋体"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2025-10-31T17:51:00Z</dcterms:created>
  <dc:creator>huawei</dc:creator>
  <cp:lastModifiedBy>huawei</cp:lastModifiedBy>
  <dcterms:modified xsi:type="dcterms:W3CDTF">2025-10-31T09:54:41Z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FB5A93B89DF65180E1160469ED8A63F0</vt:lpwstr>
  </property>
</Properties>
</file>