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D1E01">
      <w:pPr>
        <w:keepNext w:val="0"/>
        <w:keepLines w:val="0"/>
        <w:pageBreakBefore w:val="0"/>
        <w:widowControl w:val="0"/>
        <w:kinsoku/>
        <w:wordWrap/>
        <w:overflowPunct/>
        <w:topLinePunct w:val="0"/>
        <w:autoSpaceDE/>
        <w:autoSpaceDN/>
        <w:bidi w:val="0"/>
        <w:adjustRightInd/>
        <w:snapToGrid/>
        <w:spacing w:line="560" w:lineRule="exact"/>
        <w:ind w:firstLine="2640" w:firstLineChars="600"/>
        <w:jc w:val="both"/>
        <w:textAlignment w:val="auto"/>
        <w:rPr>
          <w:rFonts w:hint="default" w:ascii="宋体" w:hAnsi="宋体" w:eastAsia="仿宋" w:cs="宋体"/>
          <w:sz w:val="44"/>
          <w:szCs w:val="44"/>
          <w:lang w:val="en-US" w:eastAsia="zh-CN"/>
        </w:rPr>
      </w:pPr>
      <w:r>
        <w:rPr>
          <w:rFonts w:hint="eastAsia" w:ascii="宋体" w:hAnsi="宋体" w:eastAsia="宋体" w:cs="宋体"/>
          <w:sz w:val="44"/>
          <w:szCs w:val="44"/>
          <w:lang w:val="en-US" w:eastAsia="zh-CN"/>
        </w:rPr>
        <w:t>项目基本情况及需求</w:t>
      </w:r>
    </w:p>
    <w:p w14:paraId="00794CF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5CCB0308">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司西部粮库地下停车位存在缺失规范的停车场交通设施平面设计图，未安装符合标准的智能停车管理系统及交管车牌信息上传接口，无规范的收费公示牌，无减速带，指示标识不足（无针对性导向标识、分流引导标识），未划分内部人员与社会人员、内部车辆与社会车辆的专用区域及通道，缺乏身份核验与权限管控手段等问题，且尚未取得合法有效的经营性停车场许可证，不符合停车场运营管理相关法规要求，存在运营合规风险、安全隐患与监管处罚风险。</w:t>
      </w:r>
    </w:p>
    <w:p w14:paraId="08142A66">
      <w:pPr>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根据停车场管理与收费相关规定，</w:t>
      </w:r>
      <w:bookmarkStart w:id="0" w:name="_GoBack"/>
      <w:bookmarkEnd w:id="0"/>
      <w:r>
        <w:rPr>
          <w:rFonts w:hint="eastAsia" w:ascii="仿宋_GB2312" w:hAnsi="仿宋_GB2312" w:eastAsia="仿宋_GB2312" w:cs="仿宋_GB2312"/>
          <w:sz w:val="32"/>
          <w:szCs w:val="32"/>
          <w:lang w:val="en-US" w:eastAsia="zh-CN"/>
        </w:rPr>
        <w:t>必须取得许可证方可开展收费运营。为规范西部粮库停车位运营管理，消除现有安全与管理隐患，依法取得停车场收费许可、实现合规收费运营。拟聘请第三方机构全面勘查，排查西部粮库停车位设施、标识、消防、通道、监控、交通组织等问题，并逐项进行整改，确保成功办理经营性停车场许可证，同时负责1年内行业主管部门提出的整改工作。</w:t>
      </w:r>
    </w:p>
    <w:p w14:paraId="3183EABD">
      <w:pPr>
        <w:spacing w:line="580" w:lineRule="exact"/>
        <w:ind w:firstLine="640" w:firstLineChars="200"/>
        <w:rPr>
          <w:rFonts w:hint="default" w:ascii="仿宋_GB2312" w:hAnsi="仿宋_GB2312" w:eastAsia="仿宋_GB2312" w:cs="仿宋_GB2312"/>
          <w:sz w:val="32"/>
          <w:szCs w:val="32"/>
          <w:lang w:val="en-US" w:eastAsia="zh-CN"/>
        </w:rPr>
      </w:pPr>
    </w:p>
    <w:p w14:paraId="5D72B3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5697BD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6E3B7FC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7CF0AB0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72D78F6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6B8D242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14:paraId="7F8B6205">
      <w:pPr>
        <w:jc w:val="center"/>
        <w:rPr>
          <w:rFonts w:hint="eastAsia" w:eastAsiaTheme="minorEastAsia"/>
          <w:b/>
          <w:bCs/>
          <w:sz w:val="32"/>
          <w:szCs w:val="32"/>
          <w:lang w:eastAsia="zh-CN"/>
        </w:rPr>
      </w:pPr>
      <w:r>
        <w:rPr>
          <w:rFonts w:hint="eastAsia"/>
          <w:b/>
          <w:bCs/>
          <w:sz w:val="32"/>
          <w:szCs w:val="32"/>
        </w:rPr>
        <w:t>项目</w:t>
      </w:r>
      <w:r>
        <w:rPr>
          <w:rFonts w:hint="eastAsia"/>
          <w:b/>
          <w:bCs/>
          <w:sz w:val="32"/>
          <w:szCs w:val="32"/>
          <w:lang w:val="en-US" w:eastAsia="zh-CN"/>
        </w:rPr>
        <w:t>需求</w:t>
      </w:r>
    </w:p>
    <w:tbl>
      <w:tblPr>
        <w:tblStyle w:val="3"/>
        <w:tblW w:w="8511" w:type="dxa"/>
        <w:jc w:val="center"/>
        <w:tblLayout w:type="autofit"/>
        <w:tblCellMar>
          <w:top w:w="0" w:type="dxa"/>
          <w:left w:w="108" w:type="dxa"/>
          <w:bottom w:w="0" w:type="dxa"/>
          <w:right w:w="108" w:type="dxa"/>
        </w:tblCellMar>
      </w:tblPr>
      <w:tblGrid>
        <w:gridCol w:w="1056"/>
        <w:gridCol w:w="745"/>
        <w:gridCol w:w="4656"/>
        <w:gridCol w:w="603"/>
        <w:gridCol w:w="1451"/>
      </w:tblGrid>
      <w:tr w14:paraId="1C9A9FD9">
        <w:tblPrEx>
          <w:tblCellMar>
            <w:top w:w="0" w:type="dxa"/>
            <w:left w:w="108" w:type="dxa"/>
            <w:bottom w:w="0" w:type="dxa"/>
            <w:right w:w="108" w:type="dxa"/>
          </w:tblCellMar>
        </w:tblPrEx>
        <w:trPr>
          <w:tblHeader/>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D322">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序号</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48A4">
            <w:pPr>
              <w:widowControl/>
              <w:snapToGrid w:val="0"/>
              <w:jc w:val="center"/>
              <w:textAlignment w:val="center"/>
              <w:rPr>
                <w:rFonts w:hint="eastAsia" w:ascii="宋体" w:hAnsi="宋体" w:eastAsia="宋体" w:cs="宋体"/>
                <w:b/>
                <w:bCs/>
                <w:color w:val="000000"/>
                <w:sz w:val="22"/>
                <w:szCs w:val="22"/>
                <w:lang w:val="en-US" w:eastAsia="zh-CN"/>
              </w:rPr>
            </w:pPr>
            <w:r>
              <w:rPr>
                <w:rFonts w:hint="eastAsia" w:ascii="宋体" w:hAnsi="宋体" w:eastAsia="宋体" w:cs="宋体"/>
                <w:b/>
                <w:bCs/>
                <w:color w:val="000000"/>
                <w:kern w:val="0"/>
                <w:sz w:val="22"/>
                <w:szCs w:val="22"/>
              </w:rPr>
              <w:t>项目</w:t>
            </w:r>
            <w:r>
              <w:rPr>
                <w:rFonts w:hint="eastAsia" w:ascii="宋体" w:hAnsi="宋体" w:eastAsia="宋体" w:cs="宋体"/>
                <w:b/>
                <w:bCs/>
                <w:color w:val="000000"/>
                <w:kern w:val="0"/>
                <w:sz w:val="22"/>
                <w:szCs w:val="22"/>
                <w:lang w:val="en-US" w:eastAsia="zh-CN"/>
              </w:rPr>
              <w:t>名称</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D9E3">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使用内容</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BCBD">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单位</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F869">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备注</w:t>
            </w:r>
          </w:p>
        </w:tc>
      </w:tr>
      <w:tr w14:paraId="0870D127">
        <w:tblPrEx>
          <w:tblCellMar>
            <w:top w:w="0" w:type="dxa"/>
            <w:left w:w="108" w:type="dxa"/>
            <w:bottom w:w="0" w:type="dxa"/>
            <w:right w:w="108" w:type="dxa"/>
          </w:tblCellMar>
        </w:tblPrEx>
        <w:trPr>
          <w:trHeight w:val="4449"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02A2">
            <w:pPr>
              <w:widowControl/>
              <w:snapToGrid w:val="0"/>
              <w:jc w:val="center"/>
              <w:textAlignment w:val="center"/>
              <w:rPr>
                <w:rFonts w:hint="eastAsia" w:ascii="宋体" w:hAnsi="宋体" w:eastAsia="宋体" w:cs="楷体_GB2312"/>
                <w:b/>
                <w:bCs/>
                <w:color w:val="000000"/>
                <w:sz w:val="22"/>
                <w:szCs w:val="22"/>
                <w:lang w:eastAsia="zh-CN"/>
              </w:rPr>
            </w:pPr>
            <w:r>
              <w:rPr>
                <w:rFonts w:hint="eastAsia" w:ascii="宋体" w:hAnsi="宋体" w:eastAsia="宋体" w:cs="楷体_GB2312"/>
                <w:b/>
                <w:bCs/>
                <w:color w:val="000000"/>
                <w:kern w:val="0"/>
                <w:sz w:val="22"/>
                <w:szCs w:val="22"/>
                <w:lang w:val="en-US" w:eastAsia="zh-CN"/>
              </w:rPr>
              <w:t>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3969">
            <w:pPr>
              <w:widowControl/>
              <w:snapToGrid w:val="0"/>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整改</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46BA">
            <w:pPr>
              <w:snapToGrid w:val="0"/>
              <w:jc w:val="left"/>
              <w:rPr>
                <w:rFonts w:ascii="宋体" w:hAnsi="宋体" w:eastAsia="宋体" w:cs="宋体"/>
                <w:b/>
                <w:bCs/>
                <w:color w:val="000000"/>
                <w:sz w:val="22"/>
                <w:szCs w:val="22"/>
              </w:rPr>
            </w:pPr>
            <w:r>
              <w:rPr>
                <w:rFonts w:hint="eastAsia" w:ascii="宋体" w:hAnsi="宋体" w:eastAsia="宋体" w:cs="宋体"/>
                <w:b/>
                <w:bCs/>
                <w:color w:val="000000"/>
                <w:sz w:val="22"/>
                <w:szCs w:val="22"/>
              </w:rPr>
              <w:drawing>
                <wp:inline distT="0" distB="0" distL="114300" distR="114300">
                  <wp:extent cx="1716405" cy="1287780"/>
                  <wp:effectExtent l="0" t="0" r="17145" b="762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4" cstate="print"/>
                          <a:stretch>
                            <a:fillRect/>
                          </a:stretch>
                        </pic:blipFill>
                        <pic:spPr>
                          <a:xfrm>
                            <a:off x="0" y="0"/>
                            <a:ext cx="1716405" cy="1287780"/>
                          </a:xfrm>
                          <a:prstGeom prst="rect">
                            <a:avLst/>
                          </a:prstGeom>
                        </pic:spPr>
                      </pic:pic>
                    </a:graphicData>
                  </a:graphic>
                </wp:inline>
              </w:drawing>
            </w:r>
            <w:r>
              <w:drawing>
                <wp:inline distT="0" distB="0" distL="114300" distR="114300">
                  <wp:extent cx="610235" cy="593090"/>
                  <wp:effectExtent l="0" t="0" r="18415" b="16510"/>
                  <wp:docPr id="37830" name="Picture 1" desc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0" name="Picture 1" descr="DL"/>
                          <pic:cNvPicPr>
                            <a:picLocks noChangeAspect="1"/>
                          </pic:cNvPicPr>
                        </pic:nvPicPr>
                        <pic:blipFill>
                          <a:blip r:embed="rId5" cstate="print"/>
                          <a:stretch>
                            <a:fillRect/>
                          </a:stretch>
                        </pic:blipFill>
                        <pic:spPr>
                          <a:xfrm>
                            <a:off x="0" y="0"/>
                            <a:ext cx="610235" cy="593090"/>
                          </a:xfrm>
                          <a:prstGeom prst="rect">
                            <a:avLst/>
                          </a:prstGeom>
                          <a:noFill/>
                          <a:ln w="9525">
                            <a:noFill/>
                          </a:ln>
                        </pic:spPr>
                      </pic:pic>
                    </a:graphicData>
                  </a:graphic>
                </wp:inline>
              </w:drawing>
            </w:r>
            <w:r>
              <w:drawing>
                <wp:inline distT="0" distB="0" distL="114300" distR="114300">
                  <wp:extent cx="1024255" cy="970280"/>
                  <wp:effectExtent l="0" t="0" r="4445" b="1270"/>
                  <wp:docPr id="37827" name="图片 1" descr="wechat_2025-08-19_131426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7" name="图片 1" descr="wechat_2025-08-19_131426_475"/>
                          <pic:cNvPicPr>
                            <a:picLocks noChangeAspect="1"/>
                          </pic:cNvPicPr>
                        </pic:nvPicPr>
                        <pic:blipFill>
                          <a:blip r:embed="rId6" cstate="print"/>
                          <a:stretch>
                            <a:fillRect/>
                          </a:stretch>
                        </pic:blipFill>
                        <pic:spPr>
                          <a:xfrm>
                            <a:off x="0" y="0"/>
                            <a:ext cx="1024255" cy="970280"/>
                          </a:xfrm>
                          <a:prstGeom prst="rect">
                            <a:avLst/>
                          </a:prstGeom>
                          <a:noFill/>
                          <a:ln w="9525">
                            <a:noFill/>
                          </a:ln>
                        </pic:spPr>
                      </pic:pic>
                    </a:graphicData>
                  </a:graphic>
                </wp:inline>
              </w:drawing>
            </w:r>
            <w:r>
              <w:rPr>
                <w:rFonts w:hint="eastAsia" w:ascii="宋体" w:hAnsi="宋体" w:eastAsia="宋体" w:cs="宋体"/>
                <w:b/>
                <w:bCs/>
                <w:color w:val="000000"/>
                <w:sz w:val="22"/>
                <w:szCs w:val="22"/>
              </w:rPr>
              <w:drawing>
                <wp:inline distT="0" distB="0" distL="114300" distR="114300">
                  <wp:extent cx="1716405" cy="1287780"/>
                  <wp:effectExtent l="0" t="0" r="17145" b="762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7" cstate="print"/>
                          <a:stretch>
                            <a:fillRect/>
                          </a:stretch>
                        </pic:blipFill>
                        <pic:spPr>
                          <a:xfrm>
                            <a:off x="0" y="0"/>
                            <a:ext cx="1716405" cy="1287780"/>
                          </a:xfrm>
                          <a:prstGeom prst="rect">
                            <a:avLst/>
                          </a:prstGeom>
                        </pic:spPr>
                      </pic:pic>
                    </a:graphicData>
                  </a:graphic>
                </wp:inline>
              </w:drawing>
            </w:r>
            <w:r>
              <w:rPr>
                <w:rFonts w:hint="eastAsia" w:ascii="宋体" w:hAnsi="宋体" w:eastAsia="宋体" w:cs="宋体"/>
                <w:b/>
                <w:bCs/>
                <w:color w:val="000000"/>
                <w:sz w:val="22"/>
                <w:szCs w:val="22"/>
              </w:rPr>
              <w:t>减速带/标牌/立柱</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8E80">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A226">
            <w:pPr>
              <w:widowControl/>
              <w:snapToGrid w:val="0"/>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总价包干。以符合办理停车场收费标准为准。</w:t>
            </w:r>
          </w:p>
        </w:tc>
      </w:tr>
      <w:tr w14:paraId="41187687">
        <w:tblPrEx>
          <w:tblCellMar>
            <w:top w:w="0" w:type="dxa"/>
            <w:left w:w="108" w:type="dxa"/>
            <w:bottom w:w="0" w:type="dxa"/>
            <w:right w:w="108" w:type="dxa"/>
          </w:tblCellMar>
        </w:tblPrEx>
        <w:trPr>
          <w:trHeight w:val="68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4815">
            <w:pPr>
              <w:widowControl/>
              <w:snapToGrid w:val="0"/>
              <w:jc w:val="center"/>
              <w:textAlignment w:val="center"/>
              <w:rPr>
                <w:rFonts w:hint="eastAsia" w:ascii="宋体" w:hAnsi="宋体" w:eastAsia="宋体" w:cs="楷体_GB2312"/>
                <w:b/>
                <w:bCs/>
                <w:color w:val="000000"/>
                <w:kern w:val="0"/>
                <w:sz w:val="22"/>
                <w:szCs w:val="22"/>
                <w:lang w:eastAsia="zh-CN"/>
              </w:rPr>
            </w:pPr>
            <w:r>
              <w:rPr>
                <w:rFonts w:hint="eastAsia" w:ascii="宋体" w:hAnsi="宋体" w:eastAsia="宋体" w:cs="楷体_GB2312"/>
                <w:b/>
                <w:bCs/>
                <w:color w:val="000000"/>
                <w:kern w:val="0"/>
                <w:sz w:val="22"/>
                <w:szCs w:val="22"/>
                <w:lang w:val="en-US" w:eastAsia="zh-CN"/>
              </w:rPr>
              <w:t>2</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3F0E">
            <w:pPr>
              <w:widowControl/>
              <w:snapToGrid w:val="0"/>
              <w:jc w:val="left"/>
              <w:textAlignment w:val="center"/>
              <w:rPr>
                <w:rFonts w:hint="eastAsia"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lang w:val="en-US" w:eastAsia="zh-CN"/>
              </w:rPr>
              <w:t>增加</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7CF4">
            <w:pPr>
              <w:snapToGrid w:val="0"/>
              <w:jc w:val="left"/>
              <w:rPr>
                <w:rFonts w:ascii="宋体" w:hAnsi="宋体" w:eastAsia="宋体" w:cs="宋体"/>
                <w:b/>
                <w:bCs/>
                <w:color w:val="000000"/>
                <w:sz w:val="22"/>
                <w:szCs w:val="22"/>
              </w:rPr>
            </w:pPr>
            <w:r>
              <w:rPr>
                <w:rFonts w:hint="eastAsia" w:ascii="宋体" w:hAnsi="宋体" w:eastAsia="宋体" w:cs="宋体"/>
                <w:b/>
                <w:bCs/>
                <w:color w:val="000000"/>
                <w:sz w:val="22"/>
                <w:szCs w:val="22"/>
              </w:rPr>
              <w:t>道钉/减速带/凹凸镜</w:t>
            </w:r>
            <w:r>
              <w:rPr>
                <w:rFonts w:hint="eastAsia" w:ascii="宋体" w:hAnsi="宋体" w:eastAsia="宋体" w:cs="宋体"/>
                <w:b/>
                <w:bCs/>
                <w:color w:val="000000"/>
                <w:sz w:val="22"/>
                <w:szCs w:val="22"/>
                <w:lang w:val="en-US" w:eastAsia="zh-CN"/>
              </w:rPr>
              <w:t>/</w:t>
            </w:r>
            <w:r>
              <w:rPr>
                <w:rFonts w:hint="eastAsia" w:ascii="宋体" w:hAnsi="宋体" w:eastAsia="宋体" w:cs="宋体"/>
                <w:b/>
                <w:bCs/>
                <w:color w:val="000000"/>
                <w:sz w:val="22"/>
                <w:szCs w:val="22"/>
              </w:rPr>
              <w:t>墙角、立柱包黑黄反光防撞条</w:t>
            </w:r>
            <w:r>
              <w:rPr>
                <w:rFonts w:hint="eastAsia" w:ascii="宋体" w:hAnsi="宋体" w:eastAsia="宋体" w:cs="宋体"/>
                <w:b/>
                <w:bCs/>
                <w:color w:val="000000"/>
                <w:sz w:val="22"/>
                <w:szCs w:val="22"/>
              </w:rPr>
              <w:drawing>
                <wp:inline distT="0" distB="0" distL="114300" distR="114300">
                  <wp:extent cx="1716405" cy="1287780"/>
                  <wp:effectExtent l="0" t="0" r="17145" b="7620"/>
                  <wp:docPr id="7"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pic:cNvPicPr>
                            <a:picLocks noChangeAspect="1"/>
                          </pic:cNvPicPr>
                        </pic:nvPicPr>
                        <pic:blipFill>
                          <a:blip r:embed="rId8" cstate="print"/>
                          <a:stretch>
                            <a:fillRect/>
                          </a:stretch>
                        </pic:blipFill>
                        <pic:spPr>
                          <a:xfrm>
                            <a:off x="0" y="0"/>
                            <a:ext cx="1716405" cy="1287780"/>
                          </a:xfrm>
                          <a:prstGeom prst="rect">
                            <a:avLst/>
                          </a:prstGeom>
                        </pic:spPr>
                      </pic:pic>
                    </a:graphicData>
                  </a:graphic>
                </wp:inline>
              </w:drawing>
            </w:r>
            <w:r>
              <w:drawing>
                <wp:inline distT="0" distB="0" distL="114300" distR="114300">
                  <wp:extent cx="774065" cy="511810"/>
                  <wp:effectExtent l="0" t="0" r="6985" b="2540"/>
                  <wp:docPr id="37836" name="Picture 11" desc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6" name="Picture 11" descr="EIL"/>
                          <pic:cNvPicPr>
                            <a:picLocks noChangeAspect="1"/>
                          </pic:cNvPicPr>
                        </pic:nvPicPr>
                        <pic:blipFill>
                          <a:blip r:embed="rId9" cstate="print"/>
                          <a:stretch>
                            <a:fillRect/>
                          </a:stretch>
                        </pic:blipFill>
                        <pic:spPr>
                          <a:xfrm>
                            <a:off x="0" y="0"/>
                            <a:ext cx="774065" cy="511810"/>
                          </a:xfrm>
                          <a:prstGeom prst="rect">
                            <a:avLst/>
                          </a:prstGeom>
                          <a:noFill/>
                          <a:ln w="9525">
                            <a:noFill/>
                          </a:ln>
                        </pic:spPr>
                      </pic:pic>
                    </a:graphicData>
                  </a:graphic>
                </wp:inline>
              </w:drawing>
            </w:r>
            <w:r>
              <w:drawing>
                <wp:inline distT="0" distB="0" distL="114300" distR="114300">
                  <wp:extent cx="832485" cy="544830"/>
                  <wp:effectExtent l="0" t="0" r="5715" b="7620"/>
                  <wp:docPr id="37837" name="Picture 12" descr="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7" name="Picture 12" descr="EIR"/>
                          <pic:cNvPicPr>
                            <a:picLocks noChangeAspect="1"/>
                          </pic:cNvPicPr>
                        </pic:nvPicPr>
                        <pic:blipFill>
                          <a:blip r:embed="rId10" cstate="print"/>
                          <a:stretch>
                            <a:fillRect/>
                          </a:stretch>
                        </pic:blipFill>
                        <pic:spPr>
                          <a:xfrm>
                            <a:off x="0" y="0"/>
                            <a:ext cx="832485" cy="544830"/>
                          </a:xfrm>
                          <a:prstGeom prst="rect">
                            <a:avLst/>
                          </a:prstGeom>
                          <a:noFill/>
                          <a:ln w="9525">
                            <a:noFill/>
                          </a:ln>
                        </pic:spPr>
                      </pic:pic>
                    </a:graphicData>
                  </a:graphic>
                </wp:inline>
              </w:drawing>
            </w:r>
            <w:r>
              <w:drawing>
                <wp:inline distT="0" distB="0" distL="114300" distR="114300">
                  <wp:extent cx="817880" cy="541655"/>
                  <wp:effectExtent l="0" t="0" r="1270" b="10795"/>
                  <wp:docPr id="37838" name="Picture 13" desc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 name="Picture 13" descr="EIS"/>
                          <pic:cNvPicPr>
                            <a:picLocks noChangeAspect="1"/>
                          </pic:cNvPicPr>
                        </pic:nvPicPr>
                        <pic:blipFill>
                          <a:blip r:embed="rId11" cstate="print"/>
                          <a:stretch>
                            <a:fillRect/>
                          </a:stretch>
                        </pic:blipFill>
                        <pic:spPr>
                          <a:xfrm>
                            <a:off x="0" y="0"/>
                            <a:ext cx="817880" cy="541655"/>
                          </a:xfrm>
                          <a:prstGeom prst="rect">
                            <a:avLst/>
                          </a:prstGeom>
                          <a:noFill/>
                          <a:ln w="9525">
                            <a:noFill/>
                          </a:ln>
                        </pic:spPr>
                      </pic:pic>
                    </a:graphicData>
                  </a:graphic>
                </wp:inline>
              </w:drawing>
            </w:r>
            <w:r>
              <w:drawing>
                <wp:inline distT="0" distB="0" distL="114300" distR="114300">
                  <wp:extent cx="865505" cy="610870"/>
                  <wp:effectExtent l="0" t="0" r="10795" b="17780"/>
                  <wp:docPr id="37840" name="图片 13" descr="负一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 name="图片 13" descr="负一左"/>
                          <pic:cNvPicPr>
                            <a:picLocks noChangeAspect="1"/>
                          </pic:cNvPicPr>
                        </pic:nvPicPr>
                        <pic:blipFill>
                          <a:blip r:embed="rId12" cstate="print"/>
                          <a:stretch>
                            <a:fillRect/>
                          </a:stretch>
                        </pic:blipFill>
                        <pic:spPr>
                          <a:xfrm>
                            <a:off x="0" y="0"/>
                            <a:ext cx="865505" cy="610870"/>
                          </a:xfrm>
                          <a:prstGeom prst="rect">
                            <a:avLst/>
                          </a:prstGeom>
                          <a:noFill/>
                          <a:ln w="9525">
                            <a:noFill/>
                          </a:ln>
                        </pic:spPr>
                      </pic:pic>
                    </a:graphicData>
                  </a:graphic>
                </wp:inline>
              </w:drawing>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1FD2">
            <w:pPr>
              <w:widowControl/>
              <w:snapToGrid w:val="0"/>
              <w:jc w:val="center"/>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FA68">
            <w:pPr>
              <w:widowControl/>
              <w:snapToGrid w:val="0"/>
              <w:jc w:val="left"/>
              <w:textAlignment w:val="center"/>
              <w:rPr>
                <w:rFonts w:ascii="宋体" w:hAnsi="宋体" w:eastAsia="宋体" w:cs="宋体"/>
                <w:color w:val="000000"/>
                <w:kern w:val="0"/>
                <w:sz w:val="22"/>
                <w:szCs w:val="22"/>
              </w:rPr>
            </w:pPr>
            <w:r>
              <w:rPr>
                <w:rFonts w:hint="eastAsia" w:ascii="宋体" w:hAnsi="宋体" w:eastAsia="宋体" w:cs="宋体"/>
                <w:color w:val="000000"/>
                <w:sz w:val="22"/>
                <w:szCs w:val="22"/>
                <w:lang w:val="en-US" w:eastAsia="zh-CN"/>
              </w:rPr>
              <w:t>总价包干。以符合办理停车场收费标准为准。</w:t>
            </w:r>
          </w:p>
        </w:tc>
      </w:tr>
      <w:tr w14:paraId="24BDA43B">
        <w:tblPrEx>
          <w:tblCellMar>
            <w:top w:w="0" w:type="dxa"/>
            <w:left w:w="108" w:type="dxa"/>
            <w:bottom w:w="0" w:type="dxa"/>
            <w:right w:w="108" w:type="dxa"/>
          </w:tblCellMar>
        </w:tblPrEx>
        <w:trPr>
          <w:trHeight w:val="3253"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6DC5">
            <w:pPr>
              <w:widowControl/>
              <w:snapToGrid w:val="0"/>
              <w:jc w:val="center"/>
              <w:textAlignment w:val="center"/>
              <w:rPr>
                <w:rFonts w:hint="eastAsia" w:ascii="宋体" w:hAnsi="宋体" w:eastAsia="宋体" w:cs="楷体_GB2312"/>
                <w:b/>
                <w:bCs/>
                <w:color w:val="000000"/>
                <w:kern w:val="0"/>
                <w:sz w:val="22"/>
                <w:szCs w:val="22"/>
                <w:lang w:eastAsia="zh-CN"/>
              </w:rPr>
            </w:pPr>
            <w:r>
              <w:rPr>
                <w:rFonts w:hint="eastAsia" w:ascii="宋体" w:hAnsi="宋体" w:eastAsia="宋体" w:cs="楷体_GB2312"/>
                <w:b/>
                <w:bCs/>
                <w:color w:val="000000"/>
                <w:kern w:val="0"/>
                <w:sz w:val="22"/>
                <w:szCs w:val="22"/>
                <w:lang w:val="en-US" w:eastAsia="zh-CN"/>
              </w:rPr>
              <w:t>3</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76BD">
            <w:pPr>
              <w:widowControl/>
              <w:snapToGrid w:val="0"/>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抬高摄像头（</w:t>
            </w:r>
            <w:r>
              <w:rPr>
                <w:rFonts w:hint="eastAsia" w:ascii="宋体" w:hAnsi="宋体" w:eastAsia="宋体" w:cs="宋体"/>
                <w:b/>
                <w:bCs/>
                <w:color w:val="E54C5E" w:themeColor="accent6"/>
                <w:kern w:val="0"/>
                <w:sz w:val="22"/>
                <w:szCs w:val="22"/>
                <w14:textFill>
                  <w14:solidFill>
                    <w14:schemeClr w14:val="accent6"/>
                  </w14:solidFill>
                </w14:textFill>
              </w:rPr>
              <w:t>含摄像头支架</w:t>
            </w:r>
            <w:r>
              <w:rPr>
                <w:rFonts w:hint="eastAsia" w:ascii="宋体" w:hAnsi="宋体" w:eastAsia="宋体" w:cs="宋体"/>
                <w:b/>
                <w:bCs/>
                <w:color w:val="000000"/>
                <w:kern w:val="0"/>
                <w:sz w:val="22"/>
                <w:szCs w:val="22"/>
              </w:rPr>
              <w:t>）</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8EDB">
            <w:pPr>
              <w:snapToGrid w:val="0"/>
              <w:jc w:val="left"/>
              <w:rPr>
                <w:rFonts w:ascii="宋体" w:hAnsi="宋体" w:eastAsia="宋体" w:cs="宋体"/>
                <w:b/>
                <w:bCs/>
                <w:color w:val="000000"/>
                <w:sz w:val="22"/>
                <w:szCs w:val="22"/>
              </w:rPr>
            </w:pPr>
            <w:r>
              <w:rPr>
                <w:rFonts w:hint="eastAsia" w:ascii="宋体" w:hAnsi="宋体" w:eastAsia="宋体" w:cs="宋体"/>
                <w:b/>
                <w:bCs/>
                <w:color w:val="000000"/>
                <w:sz w:val="22"/>
                <w:szCs w:val="22"/>
              </w:rPr>
              <w:drawing>
                <wp:inline distT="0" distB="0" distL="114300" distR="114300">
                  <wp:extent cx="1988185" cy="1492250"/>
                  <wp:effectExtent l="0" t="0" r="12065" b="1270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3" cstate="print"/>
                          <a:stretch>
                            <a:fillRect/>
                          </a:stretch>
                        </pic:blipFill>
                        <pic:spPr>
                          <a:xfrm>
                            <a:off x="0" y="0"/>
                            <a:ext cx="1988185" cy="1492250"/>
                          </a:xfrm>
                          <a:prstGeom prst="rect">
                            <a:avLst/>
                          </a:prstGeom>
                        </pic:spPr>
                      </pic:pic>
                    </a:graphicData>
                  </a:graphic>
                </wp:inline>
              </w:drawing>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8A0">
            <w:pPr>
              <w:widowControl/>
              <w:snapToGrid w:val="0"/>
              <w:jc w:val="center"/>
              <w:textAlignment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val="en-US" w:eastAsia="zh-CN"/>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D8D7">
            <w:pPr>
              <w:widowControl/>
              <w:snapToGrid w:val="0"/>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对地下停车库摄像头进行全面排查，抬高存在碰撞隐患的摄像头。</w:t>
            </w:r>
          </w:p>
        </w:tc>
      </w:tr>
      <w:tr w14:paraId="5E034F69">
        <w:tblPrEx>
          <w:tblCellMar>
            <w:top w:w="0" w:type="dxa"/>
            <w:left w:w="108" w:type="dxa"/>
            <w:bottom w:w="0" w:type="dxa"/>
            <w:right w:w="108" w:type="dxa"/>
          </w:tblCellMar>
        </w:tblPrEx>
        <w:trPr>
          <w:trHeight w:val="2769"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823C">
            <w:pPr>
              <w:widowControl/>
              <w:snapToGrid w:val="0"/>
              <w:jc w:val="center"/>
              <w:textAlignment w:val="center"/>
              <w:rPr>
                <w:rFonts w:hint="eastAsia" w:ascii="宋体" w:hAnsi="宋体" w:eastAsia="宋体" w:cs="楷体_GB2312"/>
                <w:b/>
                <w:bCs/>
                <w:color w:val="000000"/>
                <w:kern w:val="0"/>
                <w:sz w:val="22"/>
                <w:szCs w:val="22"/>
                <w:lang w:eastAsia="zh-CN"/>
              </w:rPr>
            </w:pPr>
            <w:r>
              <w:rPr>
                <w:rFonts w:hint="eastAsia" w:ascii="宋体" w:hAnsi="宋体" w:eastAsia="宋体" w:cs="楷体_GB2312"/>
                <w:b/>
                <w:bCs/>
                <w:color w:val="000000"/>
                <w:kern w:val="0"/>
                <w:sz w:val="22"/>
                <w:szCs w:val="22"/>
                <w:lang w:val="en-US" w:eastAsia="zh-CN"/>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561C">
            <w:pPr>
              <w:widowControl/>
              <w:snapToGrid w:val="0"/>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抬高灯</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739A">
            <w:pPr>
              <w:snapToGrid w:val="0"/>
              <w:jc w:val="left"/>
              <w:rPr>
                <w:rFonts w:ascii="宋体" w:hAnsi="宋体" w:eastAsia="宋体" w:cs="宋体"/>
                <w:b/>
                <w:bCs/>
                <w:color w:val="000000"/>
                <w:sz w:val="22"/>
                <w:szCs w:val="22"/>
              </w:rPr>
            </w:pPr>
            <w:r>
              <w:rPr>
                <w:rFonts w:hint="eastAsia" w:ascii="宋体" w:hAnsi="宋体" w:eastAsia="宋体" w:cs="宋体"/>
                <w:b/>
                <w:bCs/>
                <w:color w:val="000000"/>
                <w:sz w:val="22"/>
                <w:szCs w:val="22"/>
              </w:rPr>
              <w:drawing>
                <wp:inline distT="0" distB="0" distL="114300" distR="114300">
                  <wp:extent cx="2004695" cy="1504315"/>
                  <wp:effectExtent l="0" t="0" r="14605" b="635"/>
                  <wp:docPr id="6" name="图片 6" descr="28994110a1378cf17bd9891963986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994110a1378cf17bd9891963986ced"/>
                          <pic:cNvPicPr>
                            <a:picLocks noChangeAspect="1"/>
                          </pic:cNvPicPr>
                        </pic:nvPicPr>
                        <pic:blipFill>
                          <a:blip r:embed="rId14" cstate="print"/>
                          <a:stretch>
                            <a:fillRect/>
                          </a:stretch>
                        </pic:blipFill>
                        <pic:spPr>
                          <a:xfrm>
                            <a:off x="0" y="0"/>
                            <a:ext cx="2004695" cy="1504315"/>
                          </a:xfrm>
                          <a:prstGeom prst="rect">
                            <a:avLst/>
                          </a:prstGeom>
                        </pic:spPr>
                      </pic:pic>
                    </a:graphicData>
                  </a:graphic>
                </wp:inline>
              </w:drawing>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337F">
            <w:pPr>
              <w:widowControl/>
              <w:snapToGrid w:val="0"/>
              <w:jc w:val="center"/>
              <w:textAlignment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val="en-US" w:eastAsia="zh-CN"/>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020A">
            <w:pPr>
              <w:widowControl/>
              <w:snapToGrid w:val="0"/>
              <w:jc w:val="left"/>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对地下停车库照明灯进行全面排查，抬高存在碰撞隐患的照明灯。</w:t>
            </w:r>
          </w:p>
        </w:tc>
      </w:tr>
      <w:tr w14:paraId="7623F32F">
        <w:tblPrEx>
          <w:tblCellMar>
            <w:top w:w="0" w:type="dxa"/>
            <w:left w:w="108" w:type="dxa"/>
            <w:bottom w:w="0" w:type="dxa"/>
            <w:right w:w="108" w:type="dxa"/>
          </w:tblCellMar>
        </w:tblPrEx>
        <w:trPr>
          <w:trHeight w:val="2996"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20C3">
            <w:pPr>
              <w:widowControl/>
              <w:snapToGrid w:val="0"/>
              <w:jc w:val="center"/>
              <w:textAlignment w:val="center"/>
              <w:rPr>
                <w:rFonts w:hint="eastAsia" w:ascii="宋体" w:hAnsi="宋体" w:eastAsia="宋体" w:cs="楷体_GB2312"/>
                <w:b/>
                <w:bCs/>
                <w:color w:val="000000"/>
                <w:kern w:val="0"/>
                <w:sz w:val="22"/>
                <w:szCs w:val="22"/>
                <w:lang w:eastAsia="zh-CN"/>
              </w:rPr>
            </w:pPr>
            <w:r>
              <w:rPr>
                <w:rFonts w:hint="eastAsia" w:ascii="宋体" w:hAnsi="宋体" w:eastAsia="宋体" w:cs="楷体_GB2312"/>
                <w:b/>
                <w:bCs/>
                <w:color w:val="000000"/>
                <w:kern w:val="0"/>
                <w:sz w:val="22"/>
                <w:szCs w:val="22"/>
                <w:lang w:val="en-US" w:eastAsia="zh-CN"/>
              </w:rPr>
              <w:t>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3AE8">
            <w:pPr>
              <w:widowControl/>
              <w:snapToGrid w:val="0"/>
              <w:jc w:val="left"/>
              <w:textAlignment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磨短钢筋</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E810">
            <w:pPr>
              <w:tabs>
                <w:tab w:val="left" w:pos="3808"/>
              </w:tabs>
              <w:snapToGrid w:val="0"/>
              <w:jc w:val="left"/>
              <w:rPr>
                <w:rFonts w:ascii="宋体" w:hAnsi="宋体" w:eastAsia="宋体" w:cs="宋体"/>
                <w:b/>
                <w:bCs/>
                <w:color w:val="000000"/>
                <w:sz w:val="22"/>
                <w:szCs w:val="22"/>
              </w:rPr>
            </w:pPr>
            <w:r>
              <w:rPr>
                <w:rFonts w:hint="eastAsia" w:ascii="宋体" w:hAnsi="宋体" w:eastAsia="宋体" w:cs="宋体"/>
                <w:b/>
                <w:bCs/>
                <w:color w:val="000000"/>
                <w:sz w:val="22"/>
                <w:szCs w:val="22"/>
              </w:rPr>
              <w:drawing>
                <wp:inline distT="0" distB="0" distL="114300" distR="114300">
                  <wp:extent cx="1992630" cy="1495425"/>
                  <wp:effectExtent l="0" t="0" r="7620" b="952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5" cstate="print"/>
                          <a:stretch>
                            <a:fillRect/>
                          </a:stretch>
                        </pic:blipFill>
                        <pic:spPr>
                          <a:xfrm>
                            <a:off x="0" y="0"/>
                            <a:ext cx="1992630" cy="1495425"/>
                          </a:xfrm>
                          <a:prstGeom prst="rect">
                            <a:avLst/>
                          </a:prstGeom>
                        </pic:spPr>
                      </pic:pic>
                    </a:graphicData>
                  </a:graphic>
                </wp:inline>
              </w:drawing>
            </w:r>
            <w:r>
              <w:rPr>
                <w:rFonts w:hint="eastAsia" w:ascii="宋体" w:hAnsi="宋体" w:eastAsia="宋体" w:cs="宋体"/>
                <w:b/>
                <w:bCs/>
                <w:color w:val="000000"/>
                <w:sz w:val="22"/>
                <w:szCs w:val="22"/>
              </w:rPr>
              <w:tab/>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7C61">
            <w:pPr>
              <w:widowControl/>
              <w:snapToGrid w:val="0"/>
              <w:jc w:val="center"/>
              <w:textAlignment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val="en-US" w:eastAsia="zh-CN"/>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F996">
            <w:pPr>
              <w:widowControl/>
              <w:snapToGrid w:val="0"/>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对地下停车库通风管道桥架丝杆进行全面排查，磨短存在刮撞隐患的桥架丝杆。</w:t>
            </w:r>
          </w:p>
        </w:tc>
      </w:tr>
      <w:tr w14:paraId="49977F15">
        <w:tblPrEx>
          <w:tblCellMar>
            <w:top w:w="0" w:type="dxa"/>
            <w:left w:w="108" w:type="dxa"/>
            <w:bottom w:w="0" w:type="dxa"/>
            <w:right w:w="108" w:type="dxa"/>
          </w:tblCellMar>
        </w:tblPrEx>
        <w:trPr>
          <w:trHeight w:val="2695"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0B55">
            <w:pPr>
              <w:widowControl/>
              <w:snapToGrid w:val="0"/>
              <w:jc w:val="center"/>
              <w:textAlignment w:val="center"/>
              <w:rPr>
                <w:rFonts w:hint="eastAsia" w:ascii="宋体" w:hAnsi="宋体" w:eastAsia="宋体" w:cs="楷体_GB2312"/>
                <w:b/>
                <w:bCs/>
                <w:color w:val="000000"/>
                <w:sz w:val="22"/>
                <w:szCs w:val="22"/>
                <w:lang w:eastAsia="zh-CN"/>
              </w:rPr>
            </w:pPr>
            <w:r>
              <w:rPr>
                <w:rFonts w:hint="eastAsia" w:ascii="宋体" w:hAnsi="宋体" w:eastAsia="宋体" w:cs="楷体_GB2312"/>
                <w:b/>
                <w:bCs/>
                <w:color w:val="000000"/>
                <w:kern w:val="0"/>
                <w:sz w:val="22"/>
                <w:szCs w:val="22"/>
                <w:lang w:val="en-US" w:eastAsia="zh-CN"/>
              </w:rPr>
              <w:t>6</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D879">
            <w:pPr>
              <w:widowControl/>
              <w:snapToGrid w:val="0"/>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栅栏道闸杆</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C33">
            <w:pPr>
              <w:snapToGrid w:val="0"/>
              <w:jc w:val="left"/>
              <w:rPr>
                <w:rFonts w:hint="eastAsia" w:ascii="宋体" w:hAnsi="宋体" w:eastAsia="宋体" w:cs="宋体"/>
                <w:b/>
                <w:bCs/>
                <w:color w:val="000000"/>
                <w:sz w:val="22"/>
                <w:szCs w:val="22"/>
                <w:lang w:eastAsia="zh-CN"/>
              </w:rPr>
            </w:pPr>
            <w:r>
              <w:rPr>
                <w:rFonts w:hint="eastAsia" w:ascii="宋体" w:hAnsi="宋体" w:eastAsia="宋体" w:cs="宋体"/>
                <w:b/>
                <w:bCs/>
                <w:color w:val="000000"/>
                <w:sz w:val="22"/>
                <w:szCs w:val="22"/>
                <w:lang w:eastAsia="zh-CN"/>
              </w:rPr>
              <w:drawing>
                <wp:inline distT="0" distB="0" distL="114300" distR="114300">
                  <wp:extent cx="2813050" cy="2065020"/>
                  <wp:effectExtent l="0" t="0" r="6350" b="11430"/>
                  <wp:docPr id="13" name="图片 13" descr="6a95e81d0ca544b2b5f3d8fc2f0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a95e81d0ca544b2b5f3d8fc2f036369"/>
                          <pic:cNvPicPr>
                            <a:picLocks noChangeAspect="1"/>
                          </pic:cNvPicPr>
                        </pic:nvPicPr>
                        <pic:blipFill>
                          <a:blip r:embed="rId16"/>
                          <a:stretch>
                            <a:fillRect/>
                          </a:stretch>
                        </pic:blipFill>
                        <pic:spPr>
                          <a:xfrm>
                            <a:off x="0" y="0"/>
                            <a:ext cx="2813050" cy="2065020"/>
                          </a:xfrm>
                          <a:prstGeom prst="rect">
                            <a:avLst/>
                          </a:prstGeom>
                        </pic:spPr>
                      </pic:pic>
                    </a:graphicData>
                  </a:graphic>
                </wp:inline>
              </w:drawing>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CB65">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lang w:val="en-US" w:eastAsia="zh-CN"/>
              </w:rPr>
              <w:t>2</w:t>
            </w:r>
            <w:r>
              <w:rPr>
                <w:rFonts w:hint="eastAsia" w:ascii="宋体" w:hAnsi="宋体" w:eastAsia="宋体" w:cs="宋体"/>
                <w:b/>
                <w:bCs/>
                <w:color w:val="000000"/>
                <w:kern w:val="0"/>
                <w:sz w:val="22"/>
                <w:szCs w:val="22"/>
              </w:rPr>
              <w:t>个</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3C9C">
            <w:pPr>
              <w:widowControl/>
              <w:snapToGrid w:val="0"/>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将外来车辆出入口杆式道闸替换为栅栏道闸（广告），避免人员从车辆入口逆行进入库区。同时还可以收取广告费，增加增值服务收入。</w:t>
            </w:r>
          </w:p>
        </w:tc>
      </w:tr>
      <w:tr w14:paraId="601122E2">
        <w:tblPrEx>
          <w:tblCellMar>
            <w:top w:w="0" w:type="dxa"/>
            <w:left w:w="108" w:type="dxa"/>
            <w:bottom w:w="0" w:type="dxa"/>
            <w:right w:w="108" w:type="dxa"/>
          </w:tblCellMar>
        </w:tblPrEx>
        <w:trPr>
          <w:trHeight w:val="5589"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FD19">
            <w:pPr>
              <w:widowControl/>
              <w:snapToGrid w:val="0"/>
              <w:jc w:val="center"/>
              <w:textAlignment w:val="center"/>
              <w:rPr>
                <w:rFonts w:hint="eastAsia" w:ascii="宋体" w:hAnsi="宋体" w:eastAsia="宋体" w:cs="楷体_GB2312"/>
                <w:b/>
                <w:bCs/>
                <w:color w:val="000000"/>
                <w:sz w:val="22"/>
                <w:szCs w:val="22"/>
                <w:lang w:eastAsia="zh-CN"/>
              </w:rPr>
            </w:pPr>
            <w:r>
              <w:rPr>
                <w:rFonts w:hint="eastAsia" w:ascii="宋体" w:hAnsi="宋体" w:eastAsia="宋体" w:cs="楷体_GB2312"/>
                <w:b/>
                <w:bCs/>
                <w:color w:val="000000"/>
                <w:kern w:val="0"/>
                <w:sz w:val="22"/>
                <w:szCs w:val="22"/>
                <w:lang w:val="en-US" w:eastAsia="zh-CN"/>
              </w:rPr>
              <w:t>7</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2F35">
            <w:pPr>
              <w:widowControl/>
              <w:snapToGrid w:val="0"/>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人脸识别通道门</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CA87">
            <w:pPr>
              <w:widowControl/>
              <w:snapToGrid w:val="0"/>
              <w:jc w:val="left"/>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使用流程简介：</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1、车辆进去停车场，在人行出口，墙上贴上访客二维码，人行入口装一台人脸门禁机</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2、出来的人员扫码提交个人信息和照片，后台可以设置审核或者不需要审核两种模式，通过之后，提交的人员信息会下发到人脸机（提交信息的时候可以选择有效期）</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3、人员回车库时，在人行入口直接扫脸开门进入</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4、后台可以查进出记录</w:t>
            </w:r>
            <w:r>
              <w:rPr>
                <w:rFonts w:hint="eastAsia" w:ascii="宋体" w:hAnsi="宋体" w:eastAsia="宋体" w:cs="宋体"/>
                <w:color w:val="000000"/>
                <w:kern w:val="0"/>
                <w:sz w:val="22"/>
                <w:szCs w:val="22"/>
                <w:lang w:val="en-US" w:eastAsia="zh-CN"/>
              </w:rPr>
              <w:t>.</w:t>
            </w:r>
          </w:p>
          <w:p w14:paraId="367E0022">
            <w:pPr>
              <w:widowControl/>
              <w:snapToGrid w:val="0"/>
              <w:jc w:val="left"/>
              <w:textAlignment w:val="center"/>
              <w:rPr>
                <w:rFonts w:hint="eastAsia" w:ascii="宋体" w:hAnsi="宋体" w:eastAsia="宋体" w:cs="宋体"/>
                <w:color w:val="000000"/>
                <w:kern w:val="0"/>
                <w:sz w:val="22"/>
                <w:szCs w:val="22"/>
                <w:lang w:eastAsia="zh-CN"/>
              </w:rPr>
            </w:pPr>
            <w:r>
              <w:rPr>
                <w:rFonts w:hint="eastAsia" w:ascii="宋体" w:hAnsi="宋体" w:eastAsia="宋体" w:cs="宋体"/>
                <w:b/>
                <w:bCs/>
                <w:color w:val="000000"/>
                <w:sz w:val="22"/>
                <w:szCs w:val="22"/>
              </w:rPr>
              <w:drawing>
                <wp:inline distT="0" distB="0" distL="114300" distR="114300">
                  <wp:extent cx="1101090" cy="1039495"/>
                  <wp:effectExtent l="0" t="0" r="3810" b="8255"/>
                  <wp:docPr id="10" name="图片 10" descr="598e68be383e9b6e8b3cf48836a0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98e68be383e9b6e8b3cf48836a07d0"/>
                          <pic:cNvPicPr>
                            <a:picLocks noChangeAspect="1"/>
                          </pic:cNvPicPr>
                        </pic:nvPicPr>
                        <pic:blipFill>
                          <a:blip r:embed="rId17" cstate="print"/>
                          <a:stretch>
                            <a:fillRect/>
                          </a:stretch>
                        </pic:blipFill>
                        <pic:spPr>
                          <a:xfrm>
                            <a:off x="0" y="0"/>
                            <a:ext cx="1101090" cy="1039495"/>
                          </a:xfrm>
                          <a:prstGeom prst="rect">
                            <a:avLst/>
                          </a:prstGeom>
                        </pic:spPr>
                      </pic:pic>
                    </a:graphicData>
                  </a:graphic>
                </wp:inline>
              </w:drawing>
            </w:r>
            <w:r>
              <w:rPr>
                <w:rFonts w:hint="eastAsia" w:ascii="宋体" w:hAnsi="宋体" w:eastAsia="宋体" w:cs="宋体"/>
                <w:color w:val="000000"/>
                <w:kern w:val="0"/>
                <w:sz w:val="22"/>
                <w:szCs w:val="22"/>
                <w:lang w:eastAsia="zh-CN"/>
              </w:rPr>
              <w:drawing>
                <wp:inline distT="0" distB="0" distL="114300" distR="114300">
                  <wp:extent cx="1066800" cy="1905000"/>
                  <wp:effectExtent l="0" t="0" r="0" b="0"/>
                  <wp:docPr id="16" name="图片 16" descr="25859a09999dcc28c4187d681f955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5859a09999dcc28c4187d681f9550ff"/>
                          <pic:cNvPicPr>
                            <a:picLocks noChangeAspect="1"/>
                          </pic:cNvPicPr>
                        </pic:nvPicPr>
                        <pic:blipFill>
                          <a:blip r:embed="rId18"/>
                          <a:stretch>
                            <a:fillRect/>
                          </a:stretch>
                        </pic:blipFill>
                        <pic:spPr>
                          <a:xfrm>
                            <a:off x="0" y="0"/>
                            <a:ext cx="1066800" cy="1905000"/>
                          </a:xfrm>
                          <a:prstGeom prst="rect">
                            <a:avLst/>
                          </a:prstGeom>
                        </pic:spPr>
                      </pic:pic>
                    </a:graphicData>
                  </a:graphic>
                </wp:inline>
              </w:drawing>
            </w:r>
          </w:p>
          <w:p w14:paraId="271AA87D">
            <w:pPr>
              <w:widowControl/>
              <w:snapToGrid w:val="0"/>
              <w:jc w:val="left"/>
              <w:textAlignment w:val="center"/>
              <w:rPr>
                <w:rFonts w:ascii="宋体" w:hAnsi="宋体" w:eastAsia="宋体" w:cs="宋体"/>
                <w:color w:val="000000"/>
                <w:kern w:val="0"/>
                <w:sz w:val="22"/>
                <w:szCs w:val="22"/>
              </w:rPr>
            </w:pPr>
            <w:r>
              <w:drawing>
                <wp:inline distT="0" distB="0" distL="114300" distR="114300">
                  <wp:extent cx="2819400" cy="1578610"/>
                  <wp:effectExtent l="0" t="0" r="0" b="2540"/>
                  <wp:docPr id="9" name="图片 8" descr="9736a29a3adf60d6de3e401df957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736a29a3adf60d6de3e401df957e76"/>
                          <pic:cNvPicPr>
                            <a:picLocks noChangeAspect="1"/>
                          </pic:cNvPicPr>
                        </pic:nvPicPr>
                        <pic:blipFill>
                          <a:blip r:embed="rId19" cstate="print"/>
                          <a:stretch>
                            <a:fillRect/>
                          </a:stretch>
                        </pic:blipFill>
                        <pic:spPr>
                          <a:xfrm>
                            <a:off x="0" y="0"/>
                            <a:ext cx="2819400" cy="1578610"/>
                          </a:xfrm>
                          <a:prstGeom prst="rect">
                            <a:avLst/>
                          </a:prstGeom>
                        </pic:spPr>
                      </pic:pic>
                    </a:graphicData>
                  </a:graphic>
                </wp:inline>
              </w:drawing>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60C5">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项</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534E">
            <w:pPr>
              <w:widowControl/>
              <w:snapToGrid w:val="0"/>
              <w:jc w:val="left"/>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通道门高1.8米。人脸门禁机</w:t>
            </w:r>
          </w:p>
          <w:p w14:paraId="7BCE6911">
            <w:pPr>
              <w:widowControl/>
              <w:snapToGrid w:val="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支持远程/人脸/蓝牙/刷卡/密码/访客密码等多种通行方式</w:t>
            </w:r>
          </w:p>
        </w:tc>
      </w:tr>
      <w:tr w14:paraId="0AD8A340">
        <w:tblPrEx>
          <w:tblCellMar>
            <w:top w:w="0" w:type="dxa"/>
            <w:left w:w="108" w:type="dxa"/>
            <w:bottom w:w="0" w:type="dxa"/>
            <w:right w:w="108" w:type="dxa"/>
          </w:tblCellMar>
        </w:tblPrEx>
        <w:trPr>
          <w:trHeight w:val="8262"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4EAD">
            <w:pPr>
              <w:widowControl/>
              <w:snapToGrid w:val="0"/>
              <w:jc w:val="center"/>
              <w:textAlignment w:val="center"/>
              <w:rPr>
                <w:rFonts w:hint="eastAsia" w:ascii="宋体" w:hAnsi="宋体" w:eastAsia="宋体" w:cs="楷体_GB2312"/>
                <w:b/>
                <w:bCs/>
                <w:color w:val="000000"/>
                <w:sz w:val="22"/>
                <w:szCs w:val="22"/>
                <w:lang w:eastAsia="zh-CN"/>
              </w:rPr>
            </w:pPr>
            <w:r>
              <w:rPr>
                <w:rFonts w:hint="eastAsia" w:ascii="宋体" w:hAnsi="宋体" w:eastAsia="宋体" w:cs="楷体_GB2312"/>
                <w:b/>
                <w:bCs/>
                <w:color w:val="000000"/>
                <w:kern w:val="0"/>
                <w:sz w:val="22"/>
                <w:szCs w:val="22"/>
                <w:lang w:val="en-US" w:eastAsia="zh-CN"/>
              </w:rPr>
              <w:t>8</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678A">
            <w:pPr>
              <w:widowControl/>
              <w:snapToGrid w:val="0"/>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手动伸缩门</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B61C">
            <w:pPr>
              <w:widowControl/>
              <w:numPr>
                <w:ilvl w:val="0"/>
                <w:numId w:val="1"/>
              </w:numPr>
              <w:snapToGrid w:val="0"/>
              <w:jc w:val="left"/>
              <w:textAlignment w:val="center"/>
              <w:rPr>
                <w:rFonts w:ascii="宋体" w:hAnsi="宋体" w:eastAsia="宋体" w:cs="宋体"/>
                <w:color w:val="000000"/>
                <w:kern w:val="0"/>
                <w:sz w:val="22"/>
                <w:szCs w:val="22"/>
              </w:rPr>
            </w:pPr>
            <w:r>
              <w:rPr>
                <w:rFonts w:hint="eastAsia" w:ascii="宋体" w:hAnsi="宋体" w:eastAsia="宋体" w:cs="宋体"/>
                <w:b/>
                <w:bCs/>
                <w:color w:val="000000"/>
                <w:kern w:val="0"/>
                <w:sz w:val="22"/>
                <w:szCs w:val="22"/>
                <w:bdr w:val="single" w:color="000000" w:sz="4" w:space="0"/>
              </w:rPr>
              <w:drawing>
                <wp:anchor distT="0" distB="0" distL="114300" distR="114300" simplePos="0" relativeHeight="251660288" behindDoc="0" locked="0" layoutInCell="1" allowOverlap="1">
                  <wp:simplePos x="0" y="0"/>
                  <wp:positionH relativeFrom="column">
                    <wp:posOffset>941070</wp:posOffset>
                  </wp:positionH>
                  <wp:positionV relativeFrom="paragraph">
                    <wp:posOffset>655955</wp:posOffset>
                  </wp:positionV>
                  <wp:extent cx="1230630" cy="1000125"/>
                  <wp:effectExtent l="0" t="0" r="7620" b="9525"/>
                  <wp:wrapNone/>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20" cstate="print"/>
                          <a:stretch>
                            <a:fillRect/>
                          </a:stretch>
                        </pic:blipFill>
                        <pic:spPr>
                          <a:xfrm>
                            <a:off x="0" y="0"/>
                            <a:ext cx="1230630" cy="1000125"/>
                          </a:xfrm>
                          <a:prstGeom prst="rect">
                            <a:avLst/>
                          </a:prstGeom>
                          <a:noFill/>
                          <a:ln>
                            <a:noFill/>
                          </a:ln>
                        </pic:spPr>
                      </pic:pic>
                    </a:graphicData>
                  </a:graphic>
                </wp:anchor>
              </w:drawing>
            </w:r>
            <w:r>
              <w:rPr>
                <w:rFonts w:hint="eastAsia" w:ascii="宋体" w:hAnsi="宋体" w:eastAsia="宋体" w:cs="宋体"/>
                <w:color w:val="000000"/>
                <w:kern w:val="0"/>
                <w:sz w:val="22"/>
                <w:szCs w:val="22"/>
              </w:rPr>
              <w:t>门尾使用膨胀螺丝固定</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2.需要关门时需要手动推门排，展开门排到关门位置，并使用u型锁锁住</w:t>
            </w:r>
            <w:r>
              <w:rPr>
                <w:rFonts w:hint="eastAsia" w:ascii="宋体" w:hAnsi="宋体" w:eastAsia="宋体" w:cs="宋体"/>
                <w:color w:val="000000"/>
                <w:kern w:val="0"/>
                <w:sz w:val="22"/>
                <w:szCs w:val="22"/>
                <w:lang w:val="en-US" w:eastAsia="zh-CN"/>
              </w:rPr>
              <w:t>;</w:t>
            </w:r>
            <w:r>
              <w:rPr>
                <w:rFonts w:hint="eastAsia" w:ascii="宋体" w:hAnsi="宋体" w:eastAsia="宋体" w:cs="宋体"/>
                <w:color w:val="000000"/>
                <w:kern w:val="0"/>
                <w:sz w:val="22"/>
                <w:szCs w:val="22"/>
              </w:rPr>
              <w:t>3.开门时，打开u型锁，手动推动，收起门排。</w:t>
            </w:r>
          </w:p>
          <w:p w14:paraId="2737555F">
            <w:pPr>
              <w:widowControl/>
              <w:snapToGrid w:val="0"/>
              <w:jc w:val="left"/>
              <w:textAlignment w:val="center"/>
              <w:rPr>
                <w:rFonts w:ascii="宋体" w:hAnsi="宋体" w:eastAsia="宋体" w:cs="宋体"/>
                <w:color w:val="000000"/>
                <w:kern w:val="0"/>
                <w:sz w:val="22"/>
                <w:szCs w:val="22"/>
              </w:rPr>
            </w:pPr>
          </w:p>
          <w:p w14:paraId="70B6A6DD">
            <w:pPr>
              <w:widowControl/>
              <w:snapToGrid w:val="0"/>
              <w:jc w:val="left"/>
              <w:textAlignment w:val="center"/>
              <w:rPr>
                <w:rFonts w:ascii="宋体" w:hAnsi="宋体" w:eastAsia="宋体" w:cs="宋体"/>
                <w:color w:val="000000"/>
                <w:kern w:val="0"/>
                <w:sz w:val="22"/>
                <w:szCs w:val="22"/>
              </w:rPr>
            </w:pPr>
          </w:p>
          <w:p w14:paraId="3DCF160E">
            <w:pPr>
              <w:widowControl/>
              <w:snapToGrid w:val="0"/>
              <w:jc w:val="left"/>
              <w:textAlignment w:val="center"/>
              <w:rPr>
                <w:rFonts w:ascii="宋体" w:hAnsi="宋体" w:eastAsia="宋体" w:cs="宋体"/>
                <w:color w:val="000000"/>
                <w:kern w:val="0"/>
                <w:sz w:val="22"/>
                <w:szCs w:val="22"/>
              </w:rPr>
            </w:pPr>
          </w:p>
          <w:p w14:paraId="79738372">
            <w:pPr>
              <w:widowControl/>
              <w:snapToGrid w:val="0"/>
              <w:jc w:val="left"/>
              <w:textAlignment w:val="center"/>
              <w:rPr>
                <w:rFonts w:ascii="宋体" w:hAnsi="宋体" w:eastAsia="宋体" w:cs="宋体"/>
                <w:color w:val="000000"/>
                <w:kern w:val="0"/>
                <w:sz w:val="22"/>
                <w:szCs w:val="22"/>
              </w:rPr>
            </w:pPr>
          </w:p>
          <w:p w14:paraId="5B0548FE">
            <w:pPr>
              <w:widowControl/>
              <w:snapToGrid w:val="0"/>
              <w:jc w:val="left"/>
              <w:textAlignment w:val="center"/>
              <w:rPr>
                <w:rFonts w:ascii="宋体" w:hAnsi="宋体" w:eastAsia="宋体" w:cs="宋体"/>
                <w:color w:val="000000"/>
                <w:kern w:val="0"/>
                <w:sz w:val="22"/>
                <w:szCs w:val="22"/>
              </w:rPr>
            </w:pPr>
          </w:p>
          <w:p w14:paraId="3723A381">
            <w:pPr>
              <w:widowControl/>
              <w:snapToGrid w:val="0"/>
              <w:jc w:val="left"/>
              <w:textAlignment w:val="center"/>
              <w:rPr>
                <w:rFonts w:ascii="宋体" w:hAnsi="宋体" w:eastAsia="宋体" w:cs="宋体"/>
                <w:color w:val="000000"/>
                <w:kern w:val="0"/>
                <w:sz w:val="22"/>
                <w:szCs w:val="22"/>
              </w:rPr>
            </w:pPr>
          </w:p>
          <w:p w14:paraId="1B0BAE33">
            <w:pPr>
              <w:widowControl/>
              <w:snapToGrid w:val="0"/>
              <w:jc w:val="left"/>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drawing>
                <wp:inline distT="0" distB="0" distL="114300" distR="114300">
                  <wp:extent cx="2149475" cy="1612900"/>
                  <wp:effectExtent l="0" t="0" r="3175" b="6350"/>
                  <wp:docPr id="14" name="图片 14" descr="b05bf01302e00710cbf35aaf96713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05bf01302e00710cbf35aaf96713b3c"/>
                          <pic:cNvPicPr>
                            <a:picLocks noChangeAspect="1"/>
                          </pic:cNvPicPr>
                        </pic:nvPicPr>
                        <pic:blipFill>
                          <a:blip r:embed="rId21" cstate="print"/>
                          <a:stretch>
                            <a:fillRect/>
                          </a:stretch>
                        </pic:blipFill>
                        <pic:spPr>
                          <a:xfrm>
                            <a:off x="0" y="0"/>
                            <a:ext cx="2149475" cy="1612900"/>
                          </a:xfrm>
                          <a:prstGeom prst="rect">
                            <a:avLst/>
                          </a:prstGeom>
                        </pic:spPr>
                      </pic:pic>
                    </a:graphicData>
                  </a:graphic>
                </wp:inline>
              </w:drawing>
            </w:r>
          </w:p>
          <w:p w14:paraId="66E77E48">
            <w:pPr>
              <w:widowControl/>
              <w:snapToGrid w:val="0"/>
              <w:jc w:val="left"/>
              <w:textAlignment w:val="center"/>
              <w:rPr>
                <w:rFonts w:hint="eastAsia" w:ascii="宋体" w:hAnsi="宋体" w:eastAsia="宋体" w:cs="宋体"/>
                <w:color w:val="000000"/>
                <w:kern w:val="0"/>
                <w:sz w:val="22"/>
                <w:szCs w:val="22"/>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1BB2">
            <w:pPr>
              <w:widowControl/>
              <w:snapToGrid w:val="0"/>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个</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668C">
            <w:pPr>
              <w:widowControl/>
              <w:snapToGrid w:val="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val="en-US" w:eastAsia="zh-CN"/>
              </w:rPr>
              <w:t>将社会车辆和内部车辆进行物理分隔。</w:t>
            </w:r>
            <w:r>
              <w:rPr>
                <w:rFonts w:hint="eastAsia" w:ascii="宋体" w:hAnsi="宋体" w:eastAsia="宋体" w:cs="宋体"/>
                <w:color w:val="000000"/>
                <w:kern w:val="0"/>
                <w:sz w:val="22"/>
                <w:szCs w:val="22"/>
              </w:rPr>
              <w:t>尺寸为6米长，1.6米高</w:t>
            </w:r>
          </w:p>
        </w:tc>
      </w:tr>
      <w:tr w14:paraId="5DE5C1F6">
        <w:tblPrEx>
          <w:tblCellMar>
            <w:top w:w="0" w:type="dxa"/>
            <w:left w:w="108" w:type="dxa"/>
            <w:bottom w:w="0" w:type="dxa"/>
            <w:right w:w="108" w:type="dxa"/>
          </w:tblCellMar>
        </w:tblPrEx>
        <w:trPr>
          <w:trHeight w:val="6754" w:hRule="atLeast"/>
          <w:jc w:val="center"/>
        </w:trPr>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6FC0">
            <w:pPr>
              <w:widowControl/>
              <w:snapToGrid w:val="0"/>
              <w:jc w:val="center"/>
              <w:textAlignment w:val="center"/>
              <w:rPr>
                <w:rFonts w:hint="eastAsia" w:ascii="宋体" w:hAnsi="宋体" w:eastAsia="宋体" w:cs="楷体_GB2312"/>
                <w:b/>
                <w:bCs/>
                <w:color w:val="000000"/>
                <w:sz w:val="22"/>
                <w:szCs w:val="22"/>
                <w:lang w:eastAsia="zh-CN"/>
              </w:rPr>
            </w:pPr>
            <w:r>
              <w:rPr>
                <w:rFonts w:hint="eastAsia" w:ascii="宋体" w:hAnsi="宋体" w:eastAsia="宋体" w:cs="楷体_GB2312"/>
                <w:b/>
                <w:bCs/>
                <w:color w:val="000000"/>
                <w:sz w:val="22"/>
                <w:szCs w:val="22"/>
                <w:lang w:val="en-US" w:eastAsia="zh-CN"/>
              </w:rPr>
              <w:t>9</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43C2">
            <w:pPr>
              <w:widowControl/>
              <w:snapToGrid w:val="0"/>
              <w:jc w:val="left"/>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智能门锁</w:t>
            </w:r>
          </w:p>
        </w:tc>
        <w:tc>
          <w:tcPr>
            <w:tcW w:w="4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FCBF">
            <w:pPr>
              <w:widowControl/>
              <w:snapToGrid w:val="0"/>
              <w:jc w:val="left"/>
              <w:textAlignment w:val="center"/>
              <w:rPr>
                <w:rFonts w:ascii="宋体" w:hAnsi="宋体" w:eastAsia="宋体" w:cs="宋体"/>
                <w:color w:val="000000"/>
                <w:sz w:val="22"/>
                <w:szCs w:val="22"/>
              </w:rPr>
            </w:pPr>
            <w:r>
              <w:rPr>
                <w:rFonts w:hint="eastAsia" w:ascii="宋体" w:hAnsi="宋体" w:eastAsia="宋体" w:cs="宋体"/>
                <w:b/>
                <w:bCs/>
                <w:color w:val="000000"/>
                <w:kern w:val="0"/>
                <w:sz w:val="22"/>
                <w:szCs w:val="22"/>
                <w:bdr w:val="single" w:color="000000" w:sz="4" w:space="0"/>
              </w:rPr>
              <w:drawing>
                <wp:anchor distT="0" distB="0" distL="114300" distR="114300" simplePos="0" relativeHeight="251659264" behindDoc="0" locked="0" layoutInCell="1" allowOverlap="1">
                  <wp:simplePos x="0" y="0"/>
                  <wp:positionH relativeFrom="column">
                    <wp:posOffset>497205</wp:posOffset>
                  </wp:positionH>
                  <wp:positionV relativeFrom="paragraph">
                    <wp:posOffset>2862580</wp:posOffset>
                  </wp:positionV>
                  <wp:extent cx="697230" cy="1068070"/>
                  <wp:effectExtent l="0" t="0" r="7620" b="1778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22" cstate="print"/>
                          <a:stretch>
                            <a:fillRect/>
                          </a:stretch>
                        </pic:blipFill>
                        <pic:spPr>
                          <a:xfrm>
                            <a:off x="0" y="0"/>
                            <a:ext cx="697230" cy="1068070"/>
                          </a:xfrm>
                          <a:prstGeom prst="rect">
                            <a:avLst/>
                          </a:prstGeom>
                          <a:noFill/>
                          <a:ln>
                            <a:noFill/>
                          </a:ln>
                        </pic:spPr>
                      </pic:pic>
                    </a:graphicData>
                  </a:graphic>
                </wp:anchor>
              </w:drawing>
            </w:r>
            <w:r>
              <w:rPr>
                <w:rFonts w:hint="eastAsia" w:ascii="宋体" w:hAnsi="宋体" w:eastAsia="宋体" w:cs="宋体"/>
                <w:color w:val="000000"/>
                <w:kern w:val="0"/>
                <w:sz w:val="22"/>
                <w:szCs w:val="22"/>
              </w:rPr>
              <w:t>显示屏：7寸高清IPS触摸屏</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摄像头：200万</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操作系统：Linux</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射频卡类型：标配 IC</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通讯方式：TCP/IP， 选配4G</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内存：DDR3 1GB+4GB</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管理方式：云平台管理</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人脸容量：20000人脸</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卡容量：10000</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开门记录：50000条  </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电源规格：12V/5A </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防水等级：IP54</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工作温度：-40℃~80℃；工作湿度：10%~90%</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尺寸：245*124*25mm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82F4">
            <w:pPr>
              <w:widowControl/>
              <w:snapToGrid w:val="0"/>
              <w:jc w:val="center"/>
              <w:textAlignment w:val="center"/>
              <w:rPr>
                <w:rFonts w:ascii="宋体" w:hAnsi="宋体" w:eastAsia="宋体" w:cs="宋体"/>
                <w:b/>
                <w:bCs/>
                <w:color w:val="000000"/>
                <w:sz w:val="22"/>
                <w:szCs w:val="22"/>
              </w:rPr>
            </w:pPr>
            <w:r>
              <w:rPr>
                <w:rFonts w:hint="eastAsia" w:ascii="宋体" w:hAnsi="宋体" w:eastAsia="宋体" w:cs="宋体"/>
                <w:b/>
                <w:bCs/>
                <w:color w:val="000000"/>
                <w:kern w:val="0"/>
                <w:sz w:val="22"/>
                <w:szCs w:val="22"/>
              </w:rPr>
              <w:t>个</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4557">
            <w:pPr>
              <w:widowControl/>
              <w:snapToGrid w:val="0"/>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支持刷脸门禁，指纹，闭门器联动功能</w:t>
            </w:r>
          </w:p>
        </w:tc>
      </w:tr>
    </w:tbl>
    <w:p w14:paraId="05C787C3">
      <w:pPr>
        <w:rPr>
          <w:sz w:val="24"/>
          <w:szCs w:val="32"/>
        </w:rPr>
      </w:pPr>
    </w:p>
    <w:p w14:paraId="52A3B205">
      <w:pPr>
        <w:rPr>
          <w:sz w:val="24"/>
          <w:szCs w:val="32"/>
        </w:rPr>
      </w:pPr>
    </w:p>
    <w:p w14:paraId="63DA7EB7">
      <w:pPr>
        <w:jc w:val="center"/>
        <w:rPr>
          <w:rFonts w:hint="eastAsia"/>
          <w:sz w:val="32"/>
          <w:szCs w:val="32"/>
          <w:lang w:val="en-US" w:eastAsia="zh-CN"/>
        </w:rPr>
      </w:pPr>
    </w:p>
    <w:p w14:paraId="1D5B729F">
      <w:pPr>
        <w:jc w:val="center"/>
        <w:rPr>
          <w:rFonts w:hint="eastAsia"/>
          <w:sz w:val="32"/>
          <w:szCs w:val="32"/>
          <w:lang w:val="en-US" w:eastAsia="zh-CN"/>
        </w:rPr>
      </w:pPr>
    </w:p>
    <w:p w14:paraId="40F82247">
      <w:pPr>
        <w:jc w:val="center"/>
        <w:rPr>
          <w:rFonts w:hint="eastAsia"/>
          <w:sz w:val="32"/>
          <w:szCs w:val="32"/>
          <w:lang w:val="en-US" w:eastAsia="zh-CN"/>
        </w:rPr>
      </w:pPr>
    </w:p>
    <w:p w14:paraId="565A42A6">
      <w:pPr>
        <w:jc w:val="center"/>
        <w:rPr>
          <w:rFonts w:hint="eastAsia"/>
          <w:sz w:val="32"/>
          <w:szCs w:val="32"/>
          <w:lang w:val="en-US" w:eastAsia="zh-CN"/>
        </w:rPr>
      </w:pPr>
    </w:p>
    <w:p w14:paraId="1295F5D9">
      <w:pPr>
        <w:jc w:val="center"/>
        <w:rPr>
          <w:rFonts w:hint="eastAsia"/>
          <w:sz w:val="32"/>
          <w:szCs w:val="32"/>
          <w:lang w:val="en-US" w:eastAsia="zh-CN"/>
        </w:rPr>
      </w:pPr>
    </w:p>
    <w:p w14:paraId="457127F8">
      <w:pPr>
        <w:jc w:val="center"/>
        <w:rPr>
          <w:rFonts w:hint="eastAsia"/>
          <w:sz w:val="32"/>
          <w:szCs w:val="32"/>
          <w:lang w:val="en-US" w:eastAsia="zh-CN"/>
        </w:rPr>
      </w:pPr>
    </w:p>
    <w:p w14:paraId="30FEAFB4">
      <w:pPr>
        <w:jc w:val="center"/>
        <w:rPr>
          <w:rFonts w:hint="eastAsia"/>
          <w:sz w:val="32"/>
          <w:szCs w:val="32"/>
          <w:lang w:val="en-US" w:eastAsia="zh-CN"/>
        </w:rPr>
      </w:pPr>
    </w:p>
    <w:p w14:paraId="383B7ED9">
      <w:pPr>
        <w:jc w:val="center"/>
        <w:rPr>
          <w:rFonts w:hint="eastAsia"/>
          <w:b/>
          <w:bCs/>
          <w:sz w:val="32"/>
          <w:szCs w:val="32"/>
          <w:lang w:val="en-US" w:eastAsia="zh-CN"/>
        </w:rPr>
      </w:pPr>
      <w:r>
        <w:rPr>
          <w:rFonts w:hint="eastAsia"/>
          <w:b/>
          <w:bCs/>
          <w:sz w:val="32"/>
          <w:szCs w:val="32"/>
          <w:lang w:val="en-US" w:eastAsia="zh-CN"/>
        </w:rPr>
        <w:t>指示标识标准</w:t>
      </w:r>
    </w:p>
    <w:tbl>
      <w:tblPr>
        <w:tblStyle w:val="3"/>
        <w:tblW w:w="10017" w:type="dxa"/>
        <w:tblInd w:w="-7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67"/>
        <w:gridCol w:w="1978"/>
        <w:gridCol w:w="3605"/>
        <w:gridCol w:w="767"/>
        <w:gridCol w:w="2100"/>
      </w:tblGrid>
      <w:tr w14:paraId="6CFA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tcMar>
              <w:top w:w="60" w:type="dxa"/>
              <w:left w:w="120" w:type="dxa"/>
              <w:bottom w:w="30" w:type="dxa"/>
              <w:right w:w="120" w:type="dxa"/>
            </w:tcMar>
          </w:tcPr>
          <w:p w14:paraId="555BDF8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w:t>
            </w:r>
          </w:p>
        </w:tc>
        <w:tc>
          <w:tcPr>
            <w:tcW w:w="1978" w:type="dxa"/>
            <w:tcMar>
              <w:top w:w="60" w:type="dxa"/>
              <w:left w:w="120" w:type="dxa"/>
              <w:bottom w:w="30" w:type="dxa"/>
              <w:right w:w="120" w:type="dxa"/>
            </w:tcMar>
          </w:tcPr>
          <w:p w14:paraId="10BB462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标识名称</w:t>
            </w:r>
          </w:p>
        </w:tc>
        <w:tc>
          <w:tcPr>
            <w:tcW w:w="3605" w:type="dxa"/>
            <w:tcMar>
              <w:top w:w="60" w:type="dxa"/>
              <w:left w:w="120" w:type="dxa"/>
              <w:bottom w:w="30" w:type="dxa"/>
              <w:right w:w="120" w:type="dxa"/>
            </w:tcMar>
          </w:tcPr>
          <w:p w14:paraId="7B9C0F9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设置标准</w:t>
            </w:r>
          </w:p>
        </w:tc>
        <w:tc>
          <w:tcPr>
            <w:tcW w:w="767" w:type="dxa"/>
            <w:tcMar>
              <w:top w:w="60" w:type="dxa"/>
              <w:left w:w="120" w:type="dxa"/>
              <w:bottom w:w="30" w:type="dxa"/>
              <w:right w:w="120" w:type="dxa"/>
            </w:tcMar>
          </w:tcPr>
          <w:p w14:paraId="2A505E1E">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数量/位置</w:t>
            </w:r>
          </w:p>
        </w:tc>
        <w:tc>
          <w:tcPr>
            <w:tcW w:w="2100" w:type="dxa"/>
            <w:tcMar>
              <w:top w:w="60" w:type="dxa"/>
              <w:left w:w="120" w:type="dxa"/>
              <w:bottom w:w="30" w:type="dxa"/>
              <w:right w:w="120" w:type="dxa"/>
            </w:tcMar>
          </w:tcPr>
          <w:p w14:paraId="19739AA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备注</w:t>
            </w:r>
          </w:p>
        </w:tc>
      </w:tr>
      <w:tr w14:paraId="347A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6A534D6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一、停车场入口区域（强制必设）</w:t>
            </w:r>
          </w:p>
        </w:tc>
        <w:tc>
          <w:tcPr>
            <w:tcW w:w="1978" w:type="dxa"/>
            <w:tcMar>
              <w:top w:w="60" w:type="dxa"/>
              <w:left w:w="120" w:type="dxa"/>
              <w:bottom w:w="30" w:type="dxa"/>
              <w:right w:w="120" w:type="dxa"/>
            </w:tcMar>
          </w:tcPr>
          <w:p w14:paraId="41D1C9F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停车场指示标志（P牌）</w:t>
            </w:r>
          </w:p>
        </w:tc>
        <w:tc>
          <w:tcPr>
            <w:tcW w:w="3605" w:type="dxa"/>
            <w:tcMar>
              <w:top w:w="60" w:type="dxa"/>
              <w:left w:w="120" w:type="dxa"/>
              <w:bottom w:w="30" w:type="dxa"/>
              <w:right w:w="120" w:type="dxa"/>
            </w:tcMar>
          </w:tcPr>
          <w:p w14:paraId="066923A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强制：蓝底白字、反光；距地面≥1.8m；内容包含P+方向箭头</w:t>
            </w:r>
          </w:p>
        </w:tc>
        <w:tc>
          <w:tcPr>
            <w:tcW w:w="767" w:type="dxa"/>
            <w:tcMar>
              <w:top w:w="60" w:type="dxa"/>
              <w:left w:w="120" w:type="dxa"/>
              <w:bottom w:w="30" w:type="dxa"/>
              <w:right w:w="120" w:type="dxa"/>
            </w:tcMar>
          </w:tcPr>
          <w:p w14:paraId="71BD0AF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100" w:type="dxa"/>
            <w:tcMar>
              <w:top w:w="60" w:type="dxa"/>
              <w:left w:w="120" w:type="dxa"/>
              <w:bottom w:w="30" w:type="dxa"/>
              <w:right w:w="120" w:type="dxa"/>
            </w:tcMar>
          </w:tcPr>
          <w:p w14:paraId="6B40696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43E6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60E97B9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6BC42FC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限速标志</w:t>
            </w:r>
          </w:p>
        </w:tc>
        <w:tc>
          <w:tcPr>
            <w:tcW w:w="3605" w:type="dxa"/>
            <w:tcMar>
              <w:top w:w="60" w:type="dxa"/>
              <w:left w:w="120" w:type="dxa"/>
              <w:bottom w:w="30" w:type="dxa"/>
              <w:right w:w="120" w:type="dxa"/>
            </w:tcMar>
          </w:tcPr>
          <w:p w14:paraId="160150E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强制：红圈白底黑字；地下车库统一限速5 km/h；入口、坡道起点各1块</w:t>
            </w:r>
          </w:p>
        </w:tc>
        <w:tc>
          <w:tcPr>
            <w:tcW w:w="767" w:type="dxa"/>
            <w:tcMar>
              <w:top w:w="60" w:type="dxa"/>
              <w:left w:w="120" w:type="dxa"/>
              <w:bottom w:w="30" w:type="dxa"/>
              <w:right w:w="120" w:type="dxa"/>
            </w:tcMar>
          </w:tcPr>
          <w:p w14:paraId="526B0DAD">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100" w:type="dxa"/>
            <w:tcMar>
              <w:top w:w="60" w:type="dxa"/>
              <w:left w:w="120" w:type="dxa"/>
              <w:bottom w:w="30" w:type="dxa"/>
              <w:right w:w="120" w:type="dxa"/>
            </w:tcMar>
          </w:tcPr>
          <w:p w14:paraId="645AB3C3">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1E4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2249F59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2137D18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禁鸣喇叭标志</w:t>
            </w:r>
          </w:p>
        </w:tc>
        <w:tc>
          <w:tcPr>
            <w:tcW w:w="3605" w:type="dxa"/>
            <w:tcMar>
              <w:top w:w="60" w:type="dxa"/>
              <w:left w:w="120" w:type="dxa"/>
              <w:bottom w:w="30" w:type="dxa"/>
              <w:right w:w="120" w:type="dxa"/>
            </w:tcMar>
          </w:tcPr>
          <w:p w14:paraId="60FB8C4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强制：入口醒目位置设置1块</w:t>
            </w:r>
          </w:p>
        </w:tc>
        <w:tc>
          <w:tcPr>
            <w:tcW w:w="767" w:type="dxa"/>
            <w:tcMar>
              <w:top w:w="60" w:type="dxa"/>
              <w:left w:w="120" w:type="dxa"/>
              <w:bottom w:w="30" w:type="dxa"/>
              <w:right w:w="120" w:type="dxa"/>
            </w:tcMar>
          </w:tcPr>
          <w:p w14:paraId="49BA2E0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100" w:type="dxa"/>
            <w:tcMar>
              <w:top w:w="60" w:type="dxa"/>
              <w:left w:w="120" w:type="dxa"/>
              <w:bottom w:w="30" w:type="dxa"/>
              <w:right w:w="120" w:type="dxa"/>
            </w:tcMar>
          </w:tcPr>
          <w:p w14:paraId="3B977CBF">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37B8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32B469B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1B49A0D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限高标志</w:t>
            </w:r>
          </w:p>
        </w:tc>
        <w:tc>
          <w:tcPr>
            <w:tcW w:w="3605" w:type="dxa"/>
            <w:tcMar>
              <w:top w:w="60" w:type="dxa"/>
              <w:left w:w="120" w:type="dxa"/>
              <w:bottom w:w="30" w:type="dxa"/>
              <w:right w:w="120" w:type="dxa"/>
            </w:tcMar>
          </w:tcPr>
          <w:p w14:paraId="1CD327BF">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强制：按实际净高标注；安装在入口最外侧</w:t>
            </w:r>
          </w:p>
        </w:tc>
        <w:tc>
          <w:tcPr>
            <w:tcW w:w="767" w:type="dxa"/>
            <w:tcMar>
              <w:top w:w="60" w:type="dxa"/>
              <w:left w:w="120" w:type="dxa"/>
              <w:bottom w:w="30" w:type="dxa"/>
              <w:right w:w="120" w:type="dxa"/>
            </w:tcMar>
          </w:tcPr>
          <w:p w14:paraId="15462E2F">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100" w:type="dxa"/>
            <w:tcMar>
              <w:top w:w="60" w:type="dxa"/>
              <w:left w:w="120" w:type="dxa"/>
              <w:bottom w:w="30" w:type="dxa"/>
              <w:right w:w="120" w:type="dxa"/>
            </w:tcMar>
          </w:tcPr>
          <w:p w14:paraId="1BF546F3">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21EF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7EACC79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75BFCFF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禁止驶入标志（出口专用）</w:t>
            </w:r>
          </w:p>
        </w:tc>
        <w:tc>
          <w:tcPr>
            <w:tcW w:w="3605" w:type="dxa"/>
            <w:tcMar>
              <w:top w:w="60" w:type="dxa"/>
              <w:left w:w="120" w:type="dxa"/>
              <w:bottom w:w="30" w:type="dxa"/>
              <w:right w:w="120" w:type="dxa"/>
            </w:tcMar>
          </w:tcPr>
          <w:p w14:paraId="5FEA10F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强制：红圈白底横杠；出口上方或侧墙固定</w:t>
            </w:r>
          </w:p>
        </w:tc>
        <w:tc>
          <w:tcPr>
            <w:tcW w:w="767" w:type="dxa"/>
            <w:tcMar>
              <w:top w:w="60" w:type="dxa"/>
              <w:left w:w="120" w:type="dxa"/>
              <w:bottom w:w="30" w:type="dxa"/>
              <w:right w:w="120" w:type="dxa"/>
            </w:tcMar>
          </w:tcPr>
          <w:p w14:paraId="3E2F492E">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7927A30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7BFD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6051509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02486F1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出入口状态指示灯</w:t>
            </w:r>
          </w:p>
        </w:tc>
        <w:tc>
          <w:tcPr>
            <w:tcW w:w="3605" w:type="dxa"/>
            <w:tcMar>
              <w:top w:w="60" w:type="dxa"/>
              <w:left w:w="120" w:type="dxa"/>
              <w:bottom w:w="30" w:type="dxa"/>
              <w:right w:w="120" w:type="dxa"/>
            </w:tcMar>
          </w:tcPr>
          <w:p w14:paraId="4D6E5AC3">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强制：绿色=空闲可进；红色=满位/禁止进入；黄色=设备运行/故障</w:t>
            </w:r>
          </w:p>
        </w:tc>
        <w:tc>
          <w:tcPr>
            <w:tcW w:w="767" w:type="dxa"/>
            <w:tcMar>
              <w:top w:w="60" w:type="dxa"/>
              <w:left w:w="120" w:type="dxa"/>
              <w:bottom w:w="30" w:type="dxa"/>
              <w:right w:w="120" w:type="dxa"/>
            </w:tcMar>
          </w:tcPr>
          <w:p w14:paraId="73F3B13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3F78F54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44F1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40BD8F7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二、收费公示与经营信息（必查项）</w:t>
            </w:r>
          </w:p>
        </w:tc>
        <w:tc>
          <w:tcPr>
            <w:tcW w:w="1978" w:type="dxa"/>
            <w:tcMar>
              <w:top w:w="60" w:type="dxa"/>
              <w:left w:w="120" w:type="dxa"/>
              <w:bottom w:w="30" w:type="dxa"/>
              <w:right w:w="120" w:type="dxa"/>
            </w:tcMar>
          </w:tcPr>
          <w:p w14:paraId="5249337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收费标准公示牌（入口醒目处）</w:t>
            </w:r>
          </w:p>
        </w:tc>
        <w:tc>
          <w:tcPr>
            <w:tcW w:w="3605" w:type="dxa"/>
            <w:tcMar>
              <w:top w:w="60" w:type="dxa"/>
              <w:left w:w="120" w:type="dxa"/>
              <w:bottom w:w="30" w:type="dxa"/>
              <w:right w:w="120" w:type="dxa"/>
            </w:tcMar>
          </w:tcPr>
          <w:p w14:paraId="4254FA8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必查：尺寸≥600mm×400mm；底边距地≥0.8m；含收费单位、计费方式、收费标准、免费时长、投诉电话、价格监督举报电话12358；固定、不易涂改、夜间可读</w:t>
            </w:r>
          </w:p>
        </w:tc>
        <w:tc>
          <w:tcPr>
            <w:tcW w:w="767" w:type="dxa"/>
            <w:tcMar>
              <w:top w:w="60" w:type="dxa"/>
              <w:left w:w="120" w:type="dxa"/>
              <w:bottom w:w="30" w:type="dxa"/>
              <w:right w:w="120" w:type="dxa"/>
            </w:tcMar>
          </w:tcPr>
          <w:p w14:paraId="0842F7A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100" w:type="dxa"/>
            <w:tcMar>
              <w:top w:w="60" w:type="dxa"/>
              <w:left w:w="120" w:type="dxa"/>
              <w:bottom w:w="30" w:type="dxa"/>
              <w:right w:w="120" w:type="dxa"/>
            </w:tcMar>
          </w:tcPr>
          <w:p w14:paraId="559FEE5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094B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5332B6F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4EDBC39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经营服务信息牌</w:t>
            </w:r>
          </w:p>
        </w:tc>
        <w:tc>
          <w:tcPr>
            <w:tcW w:w="3605" w:type="dxa"/>
            <w:tcMar>
              <w:top w:w="60" w:type="dxa"/>
              <w:left w:w="120" w:type="dxa"/>
              <w:bottom w:w="30" w:type="dxa"/>
              <w:right w:w="120" w:type="dxa"/>
            </w:tcMar>
          </w:tcPr>
          <w:p w14:paraId="63E38D3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必查：含停车场名称、经营单位、24小时服务电话、消防责任人及联系电话</w:t>
            </w:r>
          </w:p>
        </w:tc>
        <w:tc>
          <w:tcPr>
            <w:tcW w:w="767" w:type="dxa"/>
            <w:tcMar>
              <w:top w:w="60" w:type="dxa"/>
              <w:left w:w="120" w:type="dxa"/>
              <w:bottom w:w="30" w:type="dxa"/>
              <w:right w:w="120" w:type="dxa"/>
            </w:tcMar>
          </w:tcPr>
          <w:p w14:paraId="53C14F4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100" w:type="dxa"/>
            <w:tcMar>
              <w:top w:w="60" w:type="dxa"/>
              <w:left w:w="120" w:type="dxa"/>
              <w:bottom w:w="30" w:type="dxa"/>
              <w:right w:w="120" w:type="dxa"/>
            </w:tcMar>
          </w:tcPr>
          <w:p w14:paraId="7A57190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63DF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7F8AFED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三、场内行车导向标识（详细要求）</w:t>
            </w:r>
          </w:p>
        </w:tc>
        <w:tc>
          <w:tcPr>
            <w:tcW w:w="1978" w:type="dxa"/>
            <w:tcMar>
              <w:top w:w="60" w:type="dxa"/>
              <w:left w:w="120" w:type="dxa"/>
              <w:bottom w:w="30" w:type="dxa"/>
              <w:right w:w="120" w:type="dxa"/>
            </w:tcMar>
          </w:tcPr>
          <w:p w14:paraId="0698900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车道地面标线</w:t>
            </w:r>
          </w:p>
        </w:tc>
        <w:tc>
          <w:tcPr>
            <w:tcW w:w="3605" w:type="dxa"/>
            <w:tcMar>
              <w:top w:w="60" w:type="dxa"/>
              <w:left w:w="120" w:type="dxa"/>
              <w:bottom w:w="30" w:type="dxa"/>
              <w:right w:w="120" w:type="dxa"/>
            </w:tcMar>
          </w:tcPr>
          <w:p w14:paraId="150F73B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重点：车道中心线为白色实线；导向箭头白色、长度≥3m；直线段间距≤10m/组，转弯、坡道加密；连续、无断链、无矛盾</w:t>
            </w:r>
          </w:p>
        </w:tc>
        <w:tc>
          <w:tcPr>
            <w:tcW w:w="767" w:type="dxa"/>
            <w:vMerge w:val="restart"/>
            <w:tcMar>
              <w:top w:w="60" w:type="dxa"/>
              <w:left w:w="120" w:type="dxa"/>
              <w:bottom w:w="30" w:type="dxa"/>
              <w:right w:w="120" w:type="dxa"/>
            </w:tcMar>
          </w:tcPr>
          <w:p w14:paraId="1052D3B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以符合办理经营性停车场许可证要求为准</w:t>
            </w:r>
          </w:p>
        </w:tc>
        <w:tc>
          <w:tcPr>
            <w:tcW w:w="2100" w:type="dxa"/>
            <w:tcMar>
              <w:top w:w="60" w:type="dxa"/>
              <w:left w:w="120" w:type="dxa"/>
              <w:bottom w:w="30" w:type="dxa"/>
              <w:right w:w="120" w:type="dxa"/>
            </w:tcMar>
          </w:tcPr>
          <w:p w14:paraId="6B05365F">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5092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3A50EF3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6101CA6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行车指示牌（蓝底白字）</w:t>
            </w:r>
          </w:p>
        </w:tc>
        <w:tc>
          <w:tcPr>
            <w:tcW w:w="3605" w:type="dxa"/>
            <w:tcMar>
              <w:top w:w="60" w:type="dxa"/>
              <w:left w:w="120" w:type="dxa"/>
              <w:bottom w:w="30" w:type="dxa"/>
              <w:right w:w="120" w:type="dxa"/>
            </w:tcMar>
          </w:tcPr>
          <w:p w14:paraId="4EF4337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重点：含楼层（B1、B2等）、区域（A区/B区等）、功能区（电梯厅等）；距地面≥2.2m；转弯、岔口、坡道顶端/底端必设，视距不足处增设反光/灯箱式</w:t>
            </w:r>
          </w:p>
        </w:tc>
        <w:tc>
          <w:tcPr>
            <w:tcW w:w="767" w:type="dxa"/>
            <w:vMerge w:val="continue"/>
            <w:tcMar>
              <w:top w:w="60" w:type="dxa"/>
              <w:left w:w="120" w:type="dxa"/>
              <w:bottom w:w="30" w:type="dxa"/>
              <w:right w:w="120" w:type="dxa"/>
            </w:tcMar>
          </w:tcPr>
          <w:p w14:paraId="2971AF4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2C3D0A2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4C7E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652E737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2C2B111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安全视距设施</w:t>
            </w:r>
          </w:p>
        </w:tc>
        <w:tc>
          <w:tcPr>
            <w:tcW w:w="3605" w:type="dxa"/>
            <w:tcMar>
              <w:top w:w="60" w:type="dxa"/>
              <w:left w:w="120" w:type="dxa"/>
              <w:bottom w:w="30" w:type="dxa"/>
              <w:right w:w="120" w:type="dxa"/>
            </w:tcMar>
          </w:tcPr>
          <w:p w14:paraId="471F60A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重点：弯道、T字路口、盲区设凸面反光镜（直径≥600mm，中心距地1.5~1.8m）；墙角、立柱包黑黄反光防撞条</w:t>
            </w:r>
          </w:p>
        </w:tc>
        <w:tc>
          <w:tcPr>
            <w:tcW w:w="767" w:type="dxa"/>
            <w:vMerge w:val="continue"/>
            <w:tcMar>
              <w:top w:w="60" w:type="dxa"/>
              <w:left w:w="120" w:type="dxa"/>
              <w:bottom w:w="30" w:type="dxa"/>
              <w:right w:w="120" w:type="dxa"/>
            </w:tcMar>
          </w:tcPr>
          <w:p w14:paraId="39E0F41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116F966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76DF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348E8B2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四、车位及专用车位标识（强制标准）</w:t>
            </w:r>
          </w:p>
        </w:tc>
        <w:tc>
          <w:tcPr>
            <w:tcW w:w="1978" w:type="dxa"/>
            <w:tcMar>
              <w:top w:w="60" w:type="dxa"/>
              <w:left w:w="120" w:type="dxa"/>
              <w:bottom w:w="30" w:type="dxa"/>
              <w:right w:w="120" w:type="dxa"/>
            </w:tcMar>
          </w:tcPr>
          <w:p w14:paraId="2DF094B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普通车位</w:t>
            </w:r>
          </w:p>
        </w:tc>
        <w:tc>
          <w:tcPr>
            <w:tcW w:w="3605" w:type="dxa"/>
            <w:tcMar>
              <w:top w:w="60" w:type="dxa"/>
              <w:left w:w="120" w:type="dxa"/>
              <w:bottom w:w="30" w:type="dxa"/>
              <w:right w:w="120" w:type="dxa"/>
            </w:tcMar>
          </w:tcPr>
          <w:p w14:paraId="45CBA1D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强制：白色实线标线，线宽≥100mm；车位编号为黑体/等线体、高度≥120mm，位于车位前端地面/侧墙；编号规则：楼层-区域-序号</w:t>
            </w:r>
          </w:p>
        </w:tc>
        <w:tc>
          <w:tcPr>
            <w:tcW w:w="767" w:type="dxa"/>
            <w:vMerge w:val="continue"/>
            <w:tcMar>
              <w:top w:w="60" w:type="dxa"/>
              <w:left w:w="120" w:type="dxa"/>
              <w:bottom w:w="30" w:type="dxa"/>
              <w:right w:w="120" w:type="dxa"/>
            </w:tcMar>
          </w:tcPr>
          <w:p w14:paraId="0C9FD38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0D50C31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123个普通车位</w:t>
            </w:r>
          </w:p>
        </w:tc>
      </w:tr>
      <w:tr w14:paraId="16E7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3AD77CD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7C6D2B0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无障碍停车位（必设、必查）</w:t>
            </w:r>
          </w:p>
        </w:tc>
        <w:tc>
          <w:tcPr>
            <w:tcW w:w="3605" w:type="dxa"/>
            <w:tcMar>
              <w:top w:w="60" w:type="dxa"/>
              <w:left w:w="120" w:type="dxa"/>
              <w:bottom w:w="30" w:type="dxa"/>
              <w:right w:w="120" w:type="dxa"/>
            </w:tcMar>
          </w:tcPr>
          <w:p w14:paraId="7887C92C">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强制：数量≥总车位1%，不足50个至少1个；设蓝底白图案无障碍专用标志牌，地面喷涂无障碍标识；车位宽度≥3.5m，两侧设1.2m宽黄色虚线轮椅通道；靠近电梯/楼梯口</w:t>
            </w:r>
          </w:p>
        </w:tc>
        <w:tc>
          <w:tcPr>
            <w:tcW w:w="767" w:type="dxa"/>
            <w:vMerge w:val="continue"/>
            <w:tcMar>
              <w:top w:w="60" w:type="dxa"/>
              <w:left w:w="120" w:type="dxa"/>
              <w:bottom w:w="30" w:type="dxa"/>
              <w:right w:w="120" w:type="dxa"/>
            </w:tcMar>
          </w:tcPr>
          <w:p w14:paraId="76753D9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699EB5E5">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20个无障碍车位</w:t>
            </w:r>
          </w:p>
        </w:tc>
      </w:tr>
      <w:tr w14:paraId="6F29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1BF3111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2D5B6DA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其他专用车位</w:t>
            </w:r>
          </w:p>
        </w:tc>
        <w:tc>
          <w:tcPr>
            <w:tcW w:w="3605" w:type="dxa"/>
            <w:tcMar>
              <w:top w:w="60" w:type="dxa"/>
              <w:left w:w="120" w:type="dxa"/>
              <w:bottom w:w="30" w:type="dxa"/>
              <w:right w:w="120" w:type="dxa"/>
            </w:tcMar>
          </w:tcPr>
          <w:p w14:paraId="13D296C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新能源充电车位标注“充电位”；禁停车位设黄色禁停线+禁止停车标志</w:t>
            </w:r>
          </w:p>
        </w:tc>
        <w:tc>
          <w:tcPr>
            <w:tcW w:w="767" w:type="dxa"/>
            <w:vMerge w:val="continue"/>
            <w:tcMar>
              <w:top w:w="60" w:type="dxa"/>
              <w:left w:w="120" w:type="dxa"/>
              <w:bottom w:w="30" w:type="dxa"/>
              <w:right w:w="120" w:type="dxa"/>
            </w:tcMar>
          </w:tcPr>
          <w:p w14:paraId="2A49955E">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46C2CA7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103个充电车位</w:t>
            </w:r>
          </w:p>
        </w:tc>
      </w:tr>
      <w:tr w14:paraId="5E0C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5106546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五、消防与应急疏散（强规）</w:t>
            </w:r>
          </w:p>
        </w:tc>
        <w:tc>
          <w:tcPr>
            <w:tcW w:w="1978" w:type="dxa"/>
            <w:tcMar>
              <w:top w:w="60" w:type="dxa"/>
              <w:left w:w="120" w:type="dxa"/>
              <w:bottom w:w="30" w:type="dxa"/>
              <w:right w:w="120" w:type="dxa"/>
            </w:tcMar>
          </w:tcPr>
          <w:p w14:paraId="4AF1EE40">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应急疏散指示</w:t>
            </w:r>
          </w:p>
        </w:tc>
        <w:tc>
          <w:tcPr>
            <w:tcW w:w="3605" w:type="dxa"/>
            <w:tcMar>
              <w:top w:w="60" w:type="dxa"/>
              <w:left w:w="120" w:type="dxa"/>
              <w:bottom w:w="30" w:type="dxa"/>
              <w:right w:w="120" w:type="dxa"/>
            </w:tcMar>
          </w:tcPr>
          <w:p w14:paraId="07DF152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强制：应急出口标志为绿底白字/白图案；墙面安装底边距地≤1.2m，地面安装间距≤5m，整体安装间距≤20m；弯道、门洞口必须增设</w:t>
            </w:r>
          </w:p>
        </w:tc>
        <w:tc>
          <w:tcPr>
            <w:tcW w:w="767" w:type="dxa"/>
            <w:vMerge w:val="restart"/>
            <w:tcMar>
              <w:top w:w="60" w:type="dxa"/>
              <w:left w:w="120" w:type="dxa"/>
              <w:bottom w:w="30" w:type="dxa"/>
              <w:right w:w="120" w:type="dxa"/>
            </w:tcMar>
          </w:tcPr>
          <w:p w14:paraId="5933E48C">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3CD9B00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256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0454EAC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00B0365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消防设施标识</w:t>
            </w:r>
          </w:p>
        </w:tc>
        <w:tc>
          <w:tcPr>
            <w:tcW w:w="3605" w:type="dxa"/>
            <w:tcMar>
              <w:top w:w="60" w:type="dxa"/>
              <w:left w:w="120" w:type="dxa"/>
              <w:bottom w:w="30" w:type="dxa"/>
              <w:right w:w="120" w:type="dxa"/>
            </w:tcMar>
          </w:tcPr>
          <w:p w14:paraId="76F272F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强制：消防栓、灭火器箱设红色标识+文字；消防泵房、风机房、配电房设门牌+警示；消防通道地面喷涂“消防通道 严禁占用”（文字高度≥300mm），黄色实线框定</w:t>
            </w:r>
          </w:p>
        </w:tc>
        <w:tc>
          <w:tcPr>
            <w:tcW w:w="767" w:type="dxa"/>
            <w:vMerge w:val="continue"/>
            <w:tcMar>
              <w:top w:w="60" w:type="dxa"/>
              <w:left w:w="120" w:type="dxa"/>
              <w:bottom w:w="30" w:type="dxa"/>
              <w:right w:w="120" w:type="dxa"/>
            </w:tcMar>
          </w:tcPr>
          <w:p w14:paraId="458FB80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17594103">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3B10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20C3F2D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4C4885B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安全警示</w:t>
            </w:r>
          </w:p>
        </w:tc>
        <w:tc>
          <w:tcPr>
            <w:tcW w:w="3605" w:type="dxa"/>
            <w:tcMar>
              <w:top w:w="60" w:type="dxa"/>
              <w:left w:w="120" w:type="dxa"/>
              <w:bottom w:w="30" w:type="dxa"/>
              <w:right w:w="120" w:type="dxa"/>
            </w:tcMar>
          </w:tcPr>
          <w:p w14:paraId="318BE26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强制：坡道设减速垄/防滑标线；设小心地滑、小心碰头、小心坡道等警示标志；地下车库设禁止吸烟标志</w:t>
            </w:r>
          </w:p>
        </w:tc>
        <w:tc>
          <w:tcPr>
            <w:tcW w:w="767" w:type="dxa"/>
            <w:vMerge w:val="continue"/>
            <w:tcMar>
              <w:top w:w="60" w:type="dxa"/>
              <w:left w:w="120" w:type="dxa"/>
              <w:bottom w:w="30" w:type="dxa"/>
              <w:right w:w="120" w:type="dxa"/>
            </w:tcMar>
          </w:tcPr>
          <w:p w14:paraId="0F36251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5F164C69">
            <w:pPr>
              <w:keepNext w:val="0"/>
              <w:keepLines w:val="0"/>
              <w:widowControl/>
              <w:suppressLineNumbers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减速带安装于坡道、停车场入口、出口等需减速路段；连续设置不超过5条，间距宜为10米至30米。</w:t>
            </w:r>
          </w:p>
          <w:p w14:paraId="709DED1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p w14:paraId="672FA74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1BF2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139DCCD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六、收费与出口流程标识（重点）</w:t>
            </w:r>
          </w:p>
        </w:tc>
        <w:tc>
          <w:tcPr>
            <w:tcW w:w="1978" w:type="dxa"/>
            <w:tcMar>
              <w:top w:w="60" w:type="dxa"/>
              <w:left w:w="120" w:type="dxa"/>
              <w:bottom w:w="30" w:type="dxa"/>
              <w:right w:w="120" w:type="dxa"/>
            </w:tcMar>
          </w:tcPr>
          <w:p w14:paraId="10233F0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场内缴费指引</w:t>
            </w:r>
          </w:p>
        </w:tc>
        <w:tc>
          <w:tcPr>
            <w:tcW w:w="3605" w:type="dxa"/>
            <w:tcMar>
              <w:top w:w="60" w:type="dxa"/>
              <w:left w:w="120" w:type="dxa"/>
              <w:bottom w:w="30" w:type="dxa"/>
              <w:right w:w="120" w:type="dxa"/>
            </w:tcMar>
          </w:tcPr>
          <w:p w14:paraId="3CC70A6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重点：自助缴费机旁设缴费流程牌；墙面/立柱设缴费二维码+提前缴费提示；含先缴费后出场、缴费后15~30分钟内离场（按实际）、缴费方式（微信/支付宝/现金）</w:t>
            </w:r>
          </w:p>
        </w:tc>
        <w:tc>
          <w:tcPr>
            <w:tcW w:w="767" w:type="dxa"/>
            <w:vMerge w:val="restart"/>
            <w:tcMar>
              <w:top w:w="60" w:type="dxa"/>
              <w:left w:w="120" w:type="dxa"/>
              <w:bottom w:w="30" w:type="dxa"/>
              <w:right w:w="120" w:type="dxa"/>
            </w:tcMar>
          </w:tcPr>
          <w:p w14:paraId="6436258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color w:val="000000"/>
                <w:kern w:val="0"/>
                <w:sz w:val="24"/>
                <w:szCs w:val="24"/>
              </w:rPr>
            </w:pPr>
          </w:p>
          <w:p w14:paraId="0875FEFC">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以符合办理经营性停车场许可证要求为准</w:t>
            </w:r>
          </w:p>
        </w:tc>
        <w:tc>
          <w:tcPr>
            <w:tcW w:w="2100" w:type="dxa"/>
            <w:tcMar>
              <w:top w:w="60" w:type="dxa"/>
              <w:left w:w="120" w:type="dxa"/>
              <w:bottom w:w="30" w:type="dxa"/>
              <w:right w:w="120" w:type="dxa"/>
            </w:tcMar>
          </w:tcPr>
          <w:p w14:paraId="4D62C19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2865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6A7DF5F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4BB7CE4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出口区域标识</w:t>
            </w:r>
          </w:p>
        </w:tc>
        <w:tc>
          <w:tcPr>
            <w:tcW w:w="3605" w:type="dxa"/>
            <w:tcMar>
              <w:top w:w="60" w:type="dxa"/>
              <w:left w:w="120" w:type="dxa"/>
              <w:bottom w:w="30" w:type="dxa"/>
              <w:right w:w="120" w:type="dxa"/>
            </w:tcMar>
          </w:tcPr>
          <w:p w14:paraId="11E658A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重点：出口方向连续指示；人工/自动车道分开指示；设请勿停车、小心跟车、电子支付提示；出口收费窗口设价目表复示</w:t>
            </w:r>
          </w:p>
        </w:tc>
        <w:tc>
          <w:tcPr>
            <w:tcW w:w="767" w:type="dxa"/>
            <w:vMerge w:val="continue"/>
            <w:tcMar>
              <w:top w:w="60" w:type="dxa"/>
              <w:left w:w="120" w:type="dxa"/>
              <w:bottom w:w="30" w:type="dxa"/>
              <w:right w:w="120" w:type="dxa"/>
            </w:tcMar>
          </w:tcPr>
          <w:p w14:paraId="6FA97EEC">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6CC39E1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49F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restart"/>
            <w:tcMar>
              <w:top w:w="60" w:type="dxa"/>
              <w:left w:w="120" w:type="dxa"/>
              <w:bottom w:w="30" w:type="dxa"/>
              <w:right w:w="120" w:type="dxa"/>
            </w:tcMar>
          </w:tcPr>
          <w:p w14:paraId="51463FF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七、材质、安装、照明强制要求</w:t>
            </w:r>
          </w:p>
        </w:tc>
        <w:tc>
          <w:tcPr>
            <w:tcW w:w="1978" w:type="dxa"/>
            <w:tcMar>
              <w:top w:w="60" w:type="dxa"/>
              <w:left w:w="120" w:type="dxa"/>
              <w:bottom w:w="30" w:type="dxa"/>
              <w:right w:w="120" w:type="dxa"/>
            </w:tcMar>
          </w:tcPr>
          <w:p w14:paraId="3D3481D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材质</w:t>
            </w:r>
          </w:p>
        </w:tc>
        <w:tc>
          <w:tcPr>
            <w:tcW w:w="3605" w:type="dxa"/>
            <w:tcMar>
              <w:top w:w="60" w:type="dxa"/>
              <w:left w:w="120" w:type="dxa"/>
              <w:bottom w:w="30" w:type="dxa"/>
              <w:right w:w="120" w:type="dxa"/>
            </w:tcMar>
          </w:tcPr>
          <w:p w14:paraId="2A4DFF3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强制：所有标志用工程级以上反光膜；地下昏暗区域用灯箱/发光/蓄光标识；面板为铝板/工程塑料，防锈、防脱落</w:t>
            </w:r>
          </w:p>
        </w:tc>
        <w:tc>
          <w:tcPr>
            <w:tcW w:w="767" w:type="dxa"/>
            <w:tcMar>
              <w:top w:w="60" w:type="dxa"/>
              <w:left w:w="120" w:type="dxa"/>
              <w:bottom w:w="30" w:type="dxa"/>
              <w:right w:w="120" w:type="dxa"/>
            </w:tcMar>
          </w:tcPr>
          <w:p w14:paraId="6F0F9F1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2E2497E7">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01AD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6FFC664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52E7B69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w:t>
            </w:r>
          </w:p>
        </w:tc>
        <w:tc>
          <w:tcPr>
            <w:tcW w:w="3605" w:type="dxa"/>
            <w:tcMar>
              <w:top w:w="60" w:type="dxa"/>
              <w:left w:w="120" w:type="dxa"/>
              <w:bottom w:w="30" w:type="dxa"/>
              <w:right w:w="120" w:type="dxa"/>
            </w:tcMar>
          </w:tcPr>
          <w:p w14:paraId="513C73B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强制：牢固、无松动、无破损；不被管道、桥架、广告遮挡；不侵入行车、行人净空</w:t>
            </w:r>
          </w:p>
        </w:tc>
        <w:tc>
          <w:tcPr>
            <w:tcW w:w="767" w:type="dxa"/>
            <w:tcMar>
              <w:top w:w="60" w:type="dxa"/>
              <w:left w:w="120" w:type="dxa"/>
              <w:bottom w:w="30" w:type="dxa"/>
              <w:right w:w="120" w:type="dxa"/>
            </w:tcMar>
          </w:tcPr>
          <w:p w14:paraId="21846CA2">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4F400EFC">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4167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1DAD3B0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3C0DD9D1">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文字与颜色</w:t>
            </w:r>
          </w:p>
        </w:tc>
        <w:tc>
          <w:tcPr>
            <w:tcW w:w="3605" w:type="dxa"/>
            <w:tcMar>
              <w:top w:w="60" w:type="dxa"/>
              <w:left w:w="120" w:type="dxa"/>
              <w:bottom w:w="30" w:type="dxa"/>
              <w:right w:w="120" w:type="dxa"/>
            </w:tcMar>
          </w:tcPr>
          <w:p w14:paraId="17B03429">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强制：文字为简体中文，可加英文；导向标志蓝底白字、禁止标志红圈白底、警告标志黄底黑边、消防疏散标志绿底/红底白字</w:t>
            </w:r>
          </w:p>
        </w:tc>
        <w:tc>
          <w:tcPr>
            <w:tcW w:w="767" w:type="dxa"/>
            <w:tcMar>
              <w:top w:w="60" w:type="dxa"/>
              <w:left w:w="120" w:type="dxa"/>
              <w:bottom w:w="30" w:type="dxa"/>
              <w:right w:w="120" w:type="dxa"/>
            </w:tcMar>
          </w:tcPr>
          <w:p w14:paraId="015632A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4729C50B">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r w14:paraId="6739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567" w:type="dxa"/>
            <w:vMerge w:val="continue"/>
            <w:tcMar>
              <w:top w:w="60" w:type="dxa"/>
              <w:left w:w="120" w:type="dxa"/>
              <w:bottom w:w="30" w:type="dxa"/>
              <w:right w:w="120" w:type="dxa"/>
            </w:tcMar>
          </w:tcPr>
          <w:p w14:paraId="518377A8">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1978" w:type="dxa"/>
            <w:tcMar>
              <w:top w:w="60" w:type="dxa"/>
              <w:left w:w="120" w:type="dxa"/>
              <w:bottom w:w="30" w:type="dxa"/>
              <w:right w:w="120" w:type="dxa"/>
            </w:tcMar>
          </w:tcPr>
          <w:p w14:paraId="7F1F202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照明要求</w:t>
            </w:r>
          </w:p>
        </w:tc>
        <w:tc>
          <w:tcPr>
            <w:tcW w:w="3605" w:type="dxa"/>
            <w:tcMar>
              <w:top w:w="60" w:type="dxa"/>
              <w:left w:w="120" w:type="dxa"/>
              <w:bottom w:w="30" w:type="dxa"/>
              <w:right w:w="120" w:type="dxa"/>
            </w:tcMar>
          </w:tcPr>
          <w:p w14:paraId="05328616">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强制：标识处照度≥30lx；应急照明断电后持续时间≥90min</w:t>
            </w:r>
          </w:p>
        </w:tc>
        <w:tc>
          <w:tcPr>
            <w:tcW w:w="767" w:type="dxa"/>
            <w:tcMar>
              <w:top w:w="60" w:type="dxa"/>
              <w:left w:w="120" w:type="dxa"/>
              <w:bottom w:w="30" w:type="dxa"/>
              <w:right w:w="120" w:type="dxa"/>
            </w:tcMar>
          </w:tcPr>
          <w:p w14:paraId="4E154E04">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c>
          <w:tcPr>
            <w:tcW w:w="2100" w:type="dxa"/>
            <w:tcMar>
              <w:top w:w="60" w:type="dxa"/>
              <w:left w:w="120" w:type="dxa"/>
              <w:bottom w:w="30" w:type="dxa"/>
              <w:right w:w="120" w:type="dxa"/>
            </w:tcMar>
          </w:tcPr>
          <w:p w14:paraId="3324E3BA">
            <w:pPr>
              <w:keepNext w:val="0"/>
              <w:keepLines w:val="0"/>
              <w:pageBreakBefore w:val="0"/>
              <w:widowControl w:val="0"/>
              <w:kinsoku/>
              <w:wordWrap/>
              <w:overflowPunct/>
              <w:topLinePunct w:val="0"/>
              <w:autoSpaceDE/>
              <w:autoSpaceDN/>
              <w:bidi w:val="0"/>
              <w:adjustRightInd/>
              <w:snapToGrid/>
              <w:spacing w:before="120" w:after="120" w:line="300" w:lineRule="exact"/>
              <w:ind w:left="0"/>
              <w:jc w:val="left"/>
              <w:textAlignment w:val="auto"/>
              <w:rPr>
                <w:rFonts w:hint="eastAsia" w:ascii="仿宋_GB2312" w:hAnsi="仿宋_GB2312" w:eastAsia="仿宋_GB2312" w:cs="仿宋_GB2312"/>
                <w:sz w:val="24"/>
                <w:szCs w:val="24"/>
              </w:rPr>
            </w:pPr>
          </w:p>
        </w:tc>
      </w:tr>
    </w:tbl>
    <w:p w14:paraId="5FFEC124">
      <w:pPr>
        <w:rPr>
          <w:rFonts w:hint="eastAsia"/>
          <w:sz w:val="24"/>
          <w:szCs w:val="32"/>
        </w:rPr>
      </w:pPr>
    </w:p>
    <w:p w14:paraId="471D7E9A">
      <w:pPr>
        <w:rPr>
          <w:rFonts w:hint="eastAsia"/>
          <w:sz w:val="24"/>
          <w:szCs w:val="32"/>
        </w:rPr>
      </w:pPr>
    </w:p>
    <w:p w14:paraId="0DDA9E02">
      <w:pPr>
        <w:rPr>
          <w:rFonts w:hint="eastAsia" w:eastAsiaTheme="minorEastAsia"/>
          <w:sz w:val="28"/>
          <w:szCs w:val="36"/>
          <w:lang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4F4106"/>
    <w:multiLevelType w:val="singleLevel"/>
    <w:tmpl w:val="494F410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10"/>
    <w:rsid w:val="0010339B"/>
    <w:rsid w:val="004B4930"/>
    <w:rsid w:val="0064775C"/>
    <w:rsid w:val="00940310"/>
    <w:rsid w:val="00A57C9A"/>
    <w:rsid w:val="00B042AF"/>
    <w:rsid w:val="091F0FEF"/>
    <w:rsid w:val="0AE147AE"/>
    <w:rsid w:val="16393A31"/>
    <w:rsid w:val="198B6C2E"/>
    <w:rsid w:val="1A9C424D"/>
    <w:rsid w:val="20C45EF3"/>
    <w:rsid w:val="25AE5692"/>
    <w:rsid w:val="2B0838B5"/>
    <w:rsid w:val="2D380985"/>
    <w:rsid w:val="3124334A"/>
    <w:rsid w:val="3CA824A0"/>
    <w:rsid w:val="3E515A81"/>
    <w:rsid w:val="3F634A8A"/>
    <w:rsid w:val="47F9257F"/>
    <w:rsid w:val="4B772FD2"/>
    <w:rsid w:val="4CBB0B61"/>
    <w:rsid w:val="50DB1EA1"/>
    <w:rsid w:val="53DD1B3A"/>
    <w:rsid w:val="5AEF2981"/>
    <w:rsid w:val="61BE4076"/>
    <w:rsid w:val="62323199"/>
    <w:rsid w:val="63BC7F78"/>
    <w:rsid w:val="6CF87DD3"/>
    <w:rsid w:val="6E1C028E"/>
    <w:rsid w:val="712521AA"/>
    <w:rsid w:val="7285473C"/>
    <w:rsid w:val="775F730A"/>
    <w:rsid w:val="7DA71BB6"/>
    <w:rsid w:val="7E900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2535</Words>
  <Characters>2699</Characters>
  <Lines>10</Lines>
  <Paragraphs>2</Paragraphs>
  <TotalTime>0</TotalTime>
  <ScaleCrop>false</ScaleCrop>
  <LinksUpToDate>false</LinksUpToDate>
  <CharactersWithSpaces>2708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2026-03-05T08:14:00Z</dcterms:created>
  <dc:creator>Administrator</dc:creator>
  <cp:lastModifiedBy>Chanzl</cp:lastModifiedBy>
  <cp:lastPrinted>2026-04-08T07:27:00Z</cp:lastPrinted>
  <dcterms:modified xsi:type="dcterms:W3CDTF">2026-04-09T06:34:49Z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eyJoZGlkIjoiY2M3OWZmMjlkMmMwNmM0OWExYmRmMGJhYThiZmFkYTMiLCJ1c2VySWQiOiIyMTIxMDI5NzMifQ==</vt:lpwstr>
  </property>
  <property fmtid="{D5CDD505-2E9C-101B-9397-08002B2CF9AE}" pid="4" name="ICV">
    <vt:lpwstr>40CD74613A22424283758A3CEC662870_13</vt:lpwstr>
  </property>
</Properties>
</file>