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Spec="center" w:tblpY="514"/>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790"/>
        <w:gridCol w:w="67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27" w:hRule="atLeast"/>
          <w:jc w:val="center"/>
        </w:trPr>
        <w:tc>
          <w:tcPr>
            <w:tcW w:w="8511" w:type="dxa"/>
            <w:gridSpan w:val="2"/>
            <w:tcBorders>
              <w:top w:val="nil"/>
              <w:left w:val="nil"/>
              <w:bottom w:val="single" w:color="auto" w:sz="4" w:space="0"/>
              <w:right w:val="nil"/>
            </w:tcBorders>
            <w:shd w:val="clear" w:color="auto" w:fill="auto"/>
            <w:vAlign w:val="center"/>
          </w:tcPr>
          <w:p>
            <w:pPr>
              <w:keepNext w:val="0"/>
              <w:keepLines w:val="0"/>
              <w:jc w:val="center"/>
              <w:rPr>
                <w:rFonts w:hint="eastAsia" w:ascii="仿宋_GB2312" w:hAnsi="仿宋_GB2312" w:eastAsia="仿宋_GB2312" w:cs="仿宋_GB2312"/>
                <w:sz w:val="24"/>
                <w:szCs w:val="24"/>
              </w:rPr>
            </w:pPr>
            <w:r>
              <w:rPr>
                <w:rFonts w:hint="eastAsia" w:ascii="方正小标宋简体" w:hAnsi="Calibri" w:eastAsia="方正小标宋简体" w:cs="Times New Roman"/>
                <w:b w:val="0"/>
                <w:bCs w:val="0"/>
                <w:color w:val="auto"/>
                <w:kern w:val="2"/>
                <w:sz w:val="44"/>
                <w:szCs w:val="44"/>
                <w:highlight w:val="none"/>
                <w:lang w:eastAsia="zh-CN" w:bidi="ar"/>
              </w:rPr>
              <w:t>采购</w:t>
            </w:r>
            <w:r>
              <w:rPr>
                <w:rFonts w:hint="eastAsia" w:ascii="方正小标宋简体" w:hAnsi="Calibri" w:eastAsia="方正小标宋简体" w:cs="Times New Roman"/>
                <w:b w:val="0"/>
                <w:bCs w:val="0"/>
                <w:color w:val="auto"/>
                <w:kern w:val="2"/>
                <w:sz w:val="44"/>
                <w:szCs w:val="44"/>
                <w:highlight w:val="none"/>
                <w:lang w:bidi="ar"/>
              </w:rPr>
              <w:t>项目信息公开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824" w:hRule="atLeast"/>
          <w:jc w:val="center"/>
        </w:trPr>
        <w:tc>
          <w:tcPr>
            <w:tcW w:w="0" w:type="auto"/>
            <w:gridSpan w:val="2"/>
            <w:tcBorders>
              <w:top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480" w:firstLineChars="20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581" w:hRule="atLeast"/>
          <w:jc w:val="center"/>
        </w:trPr>
        <w:tc>
          <w:tcPr>
            <w:tcW w:w="0" w:type="auto"/>
            <w:gridSpan w:val="2"/>
            <w:shd w:val="clear" w:color="auto" w:fill="auto"/>
            <w:vAlign w:val="center"/>
          </w:tcPr>
          <w:p>
            <w:pPr>
              <w:pStyle w:val="7"/>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项目名称：</w:t>
            </w:r>
            <w:r>
              <w:rPr>
                <w:rFonts w:hint="eastAsia" w:ascii="仿宋_GB2312" w:hAnsi="仿宋_GB2312" w:eastAsia="仿宋_GB2312" w:cs="仿宋_GB2312"/>
                <w:sz w:val="24"/>
                <w:szCs w:val="24"/>
              </w:rPr>
              <w:t>基本建设工程财务竣工决算编制服务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45" w:hRule="atLeast"/>
          <w:jc w:val="center"/>
        </w:trPr>
        <w:tc>
          <w:tcPr>
            <w:tcW w:w="1724" w:type="dxa"/>
            <w:vMerge w:val="restart"/>
            <w:shd w:val="clear" w:color="auto" w:fill="auto"/>
            <w:vAlign w:val="center"/>
          </w:tcPr>
          <w:p>
            <w:pPr>
              <w:keepNext/>
              <w:keepLines/>
              <w:pageBreakBefore w:val="0"/>
              <w:widowControl w:val="0"/>
              <w:kinsoku/>
              <w:wordWrap/>
              <w:overflowPunct/>
              <w:topLinePunct w:val="0"/>
              <w:autoSpaceDE/>
              <w:autoSpaceDN/>
              <w:bidi w:val="0"/>
              <w:adjustRightInd w:val="0"/>
              <w:snapToGrid w:val="0"/>
              <w:spacing w:line="240" w:lineRule="auto"/>
              <w:jc w:val="both"/>
              <w:textAlignment w:val="baseline"/>
              <w:outlineLvl w:val="1"/>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实施购买前公开的信息 </w:t>
            </w:r>
          </w:p>
        </w:tc>
        <w:tc>
          <w:tcPr>
            <w:tcW w:w="6787" w:type="dxa"/>
            <w:shd w:val="clear" w:color="auto" w:fill="auto"/>
            <w:vAlign w:val="center"/>
          </w:tcPr>
          <w:p>
            <w:pPr>
              <w:keepNext/>
              <w:keepLines/>
              <w:pageBreakBefore w:val="0"/>
              <w:widowControl w:val="0"/>
              <w:kinsoku/>
              <w:wordWrap/>
              <w:overflowPunct/>
              <w:topLinePunct w:val="0"/>
              <w:autoSpaceDE/>
              <w:autoSpaceDN/>
              <w:bidi w:val="0"/>
              <w:adjustRightInd w:val="0"/>
              <w:snapToGrid w:val="0"/>
              <w:spacing w:line="240" w:lineRule="auto"/>
              <w:jc w:val="both"/>
              <w:textAlignment w:val="baseline"/>
              <w:outlineLvl w:val="1"/>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服务标准和要求：</w:t>
            </w:r>
          </w:p>
          <w:p>
            <w:pPr>
              <w:pStyle w:val="14"/>
              <w:keepNext w:val="0"/>
              <w:keepLines w:val="0"/>
              <w:pageBreakBefore w:val="0"/>
              <w:widowControl w:val="0"/>
              <w:kinsoku/>
              <w:wordWrap/>
              <w:overflowPunct/>
              <w:topLinePunct w:val="0"/>
              <w:bidi w:val="0"/>
              <w:adjustRightInd/>
              <w:snapToGrid w:val="0"/>
              <w:spacing w:before="0" w:after="0" w:line="240" w:lineRule="auto"/>
              <w:jc w:val="left"/>
              <w:textAlignment w:val="auto"/>
              <w:rPr>
                <w:rFonts w:hint="eastAsia" w:ascii="仿宋_GB2312" w:hAnsi="仿宋_GB2312" w:eastAsia="仿宋_GB2312" w:cs="仿宋_GB2312"/>
                <w:b w:val="0"/>
                <w:bCs/>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 xml:space="preserve">    </w:t>
            </w:r>
            <w:r>
              <w:rPr>
                <w:rFonts w:hint="eastAsia" w:ascii="仿宋_GB2312" w:hAnsi="仿宋_GB2312" w:eastAsia="仿宋_GB2312" w:cs="仿宋_GB2312"/>
                <w:b w:val="0"/>
                <w:bCs/>
                <w:color w:val="auto"/>
                <w:kern w:val="2"/>
                <w:sz w:val="24"/>
                <w:szCs w:val="24"/>
                <w:highlight w:val="none"/>
                <w:lang w:val="en-US" w:eastAsia="zh-CN"/>
              </w:rPr>
              <w:t>一、</w:t>
            </w:r>
            <w:r>
              <w:rPr>
                <w:rFonts w:hint="eastAsia" w:ascii="仿宋_GB2312" w:hAnsi="仿宋_GB2312" w:eastAsia="仿宋_GB2312" w:cs="仿宋_GB2312"/>
                <w:b w:val="0"/>
                <w:bCs/>
                <w:color w:val="auto"/>
                <w:kern w:val="2"/>
                <w:sz w:val="24"/>
                <w:szCs w:val="24"/>
                <w:highlight w:val="none"/>
                <w:lang w:val="en-US" w:eastAsia="zh-CN"/>
              </w:rPr>
              <w:t>服务要求：要求中标单位在服务期限内，按照《基本建设财务规则》（中华人民共和国财政部令第81号）等文件的要求完成工程项目财务竣工决算编制及咨询工作。</w:t>
            </w:r>
          </w:p>
          <w:p>
            <w:pPr>
              <w:pStyle w:val="14"/>
              <w:keepNext w:val="0"/>
              <w:keepLines w:val="0"/>
              <w:pageBreakBefore w:val="0"/>
              <w:widowControl w:val="0"/>
              <w:kinsoku/>
              <w:wordWrap/>
              <w:overflowPunct/>
              <w:topLinePunct w:val="0"/>
              <w:bidi w:val="0"/>
              <w:adjustRightInd/>
              <w:snapToGrid w:val="0"/>
              <w:spacing w:before="0" w:after="0" w:line="240" w:lineRule="auto"/>
              <w:ind w:firstLine="520" w:firstLineChars="200"/>
              <w:jc w:val="left"/>
              <w:textAlignment w:val="auto"/>
              <w:rPr>
                <w:rFonts w:hint="eastAsia" w:ascii="仿宋_GB2312" w:hAnsi="仿宋_GB2312" w:eastAsia="仿宋_GB2312" w:cs="仿宋_GB2312"/>
                <w:b w:val="0"/>
                <w:bCs/>
                <w:color w:val="auto"/>
                <w:kern w:val="2"/>
                <w:sz w:val="24"/>
                <w:szCs w:val="24"/>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rPr>
              <w:t>二、基本建设工程财务竣工决算编制：1.按照国家相关法规和政策，以合同和实际情况为基础，对其他等待摊费用进行审核，做出符合实际的待摊费用清单；2.编制并审核固定资产明细单；3.编制并审核工程财务竣工决算说明书；4.编制并审核基本建设工程竣工财务决算报表；</w:t>
            </w:r>
          </w:p>
          <w:p>
            <w:pPr>
              <w:pStyle w:val="14"/>
              <w:keepNext w:val="0"/>
              <w:keepLines w:val="0"/>
              <w:pageBreakBefore w:val="0"/>
              <w:widowControl w:val="0"/>
              <w:kinsoku/>
              <w:wordWrap/>
              <w:overflowPunct/>
              <w:topLinePunct w:val="0"/>
              <w:bidi w:val="0"/>
              <w:adjustRightInd/>
              <w:snapToGrid w:val="0"/>
              <w:spacing w:before="0" w:after="0" w:line="240" w:lineRule="auto"/>
              <w:jc w:val="left"/>
              <w:textAlignment w:val="auto"/>
              <w:rPr>
                <w:rFonts w:hint="eastAsia" w:ascii="仿宋_GB2312" w:hAnsi="仿宋_GB2312" w:eastAsia="仿宋_GB2312" w:cs="仿宋_GB2312"/>
                <w:b w:val="0"/>
                <w:bCs/>
                <w:color w:val="auto"/>
                <w:kern w:val="2"/>
                <w:sz w:val="24"/>
                <w:szCs w:val="24"/>
                <w:highlight w:val="none"/>
                <w:lang w:val="en-US" w:eastAsia="zh-CN"/>
              </w:rPr>
            </w:pPr>
            <w:r>
              <w:rPr>
                <w:rFonts w:hint="eastAsia" w:ascii="仿宋_GB2312" w:hAnsi="仿宋_GB2312" w:eastAsia="仿宋_GB2312" w:cs="仿宋_GB2312"/>
                <w:b w:val="0"/>
                <w:bCs/>
                <w:color w:val="auto"/>
                <w:kern w:val="2"/>
                <w:sz w:val="24"/>
                <w:szCs w:val="24"/>
                <w:highlight w:val="none"/>
                <w:lang w:val="en-US" w:eastAsia="zh-CN"/>
              </w:rPr>
              <w:t>5.编制并审核工程竣工决算汇总表；6.编制并审核资产成本归集表（形成资产）。</w:t>
            </w:r>
          </w:p>
          <w:p>
            <w:pPr>
              <w:pStyle w:val="14"/>
              <w:keepNext w:val="0"/>
              <w:keepLines w:val="0"/>
              <w:pageBreakBefore w:val="0"/>
              <w:widowControl w:val="0"/>
              <w:kinsoku/>
              <w:wordWrap/>
              <w:overflowPunct/>
              <w:topLinePunct w:val="0"/>
              <w:bidi w:val="0"/>
              <w:adjustRightInd/>
              <w:snapToGrid w:val="0"/>
              <w:spacing w:before="0" w:after="0" w:line="240" w:lineRule="auto"/>
              <w:ind w:firstLine="520" w:firstLineChars="200"/>
              <w:jc w:val="left"/>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b w:val="0"/>
                <w:bCs/>
                <w:color w:val="auto"/>
                <w:kern w:val="2"/>
                <w:sz w:val="24"/>
                <w:szCs w:val="24"/>
                <w:highlight w:val="none"/>
                <w:lang w:val="en-US" w:eastAsia="zh-CN"/>
              </w:rPr>
              <w:t>三、形成基本建设工程财务竣工决算编制套表：编制完成的决算初稿经工程建设相关部门确认后，整理相关工程资料，按照决算编制要求提交修订后的决算正式定稿，提请工程建设相关部门确认，并协助单位协助单位上报相关主管部门审批</w:t>
            </w:r>
            <w:r>
              <w:rPr>
                <w:rFonts w:hint="eastAsia" w:ascii="仿宋_GB2312" w:hAnsi="仿宋_GB2312" w:eastAsia="仿宋_GB2312" w:cs="仿宋_GB2312"/>
                <w:color w:val="000000"/>
                <w:sz w:val="24"/>
                <w:szCs w:val="24"/>
                <w:lang w:val="en-US"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40" w:hRule="atLeast"/>
          <w:jc w:val="center"/>
        </w:trPr>
        <w:tc>
          <w:tcPr>
            <w:tcW w:w="1724" w:type="dxa"/>
            <w:vMerge w:val="continue"/>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both"/>
              <w:textAlignment w:val="baseline"/>
              <w:outlineLvl w:val="1"/>
              <w:rPr>
                <w:rFonts w:hint="eastAsia" w:ascii="仿宋_GB2312" w:hAnsi="仿宋_GB2312" w:eastAsia="仿宋_GB2312" w:cs="仿宋_GB2312"/>
                <w:kern w:val="0"/>
                <w:sz w:val="24"/>
                <w:szCs w:val="24"/>
                <w:lang w:val="en-US" w:eastAsia="zh-CN" w:bidi="ar"/>
              </w:rPr>
            </w:pPr>
          </w:p>
        </w:tc>
        <w:tc>
          <w:tcPr>
            <w:tcW w:w="6787" w:type="dxa"/>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both"/>
              <w:textAlignment w:val="baseline"/>
              <w:outlineLvl w:val="1"/>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项目预算金额：¥</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auto"/>
                <w:kern w:val="0"/>
                <w:sz w:val="24"/>
                <w:szCs w:val="24"/>
                <w:highlight w:val="none"/>
                <w:lang w:val="en-US" w:eastAsia="zh-CN"/>
              </w:rPr>
              <w:t>98</w:t>
            </w:r>
            <w:r>
              <w:rPr>
                <w:rFonts w:hint="eastAsia" w:ascii="仿宋_GB2312" w:hAnsi="仿宋_GB2312" w:eastAsia="仿宋_GB2312" w:cs="仿宋_GB2312"/>
                <w:color w:val="auto"/>
                <w:sz w:val="24"/>
                <w:szCs w:val="24"/>
                <w:highlight w:val="none"/>
                <w:lang w:val="en-US" w:eastAsia="zh-CN"/>
              </w:rPr>
              <w:t>,000.00</w:t>
            </w:r>
            <w:r>
              <w:rPr>
                <w:rFonts w:hint="eastAsia" w:ascii="仿宋_GB2312" w:hAnsi="仿宋_GB2312" w:eastAsia="仿宋_GB2312" w:cs="仿宋_GB2312"/>
                <w:kern w:val="0"/>
                <w:sz w:val="24"/>
                <w:szCs w:val="24"/>
                <w:lang w:val="en-US" w:eastAsia="zh-CN" w:bidi="ar"/>
              </w:rPr>
              <w:t>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09" w:hRule="atLeast"/>
          <w:jc w:val="center"/>
        </w:trPr>
        <w:tc>
          <w:tcPr>
            <w:tcW w:w="1724"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rPr>
            </w:pPr>
          </w:p>
        </w:tc>
        <w:tc>
          <w:tcPr>
            <w:tcW w:w="678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eastAsia="zh-CN" w:bidi="ar"/>
              </w:rPr>
              <w:t>采购方式：</w:t>
            </w:r>
            <w:r>
              <w:rPr>
                <w:rFonts w:hint="eastAsia" w:ascii="仿宋_GB2312" w:hAnsi="仿宋_GB2312" w:eastAsia="仿宋_GB2312" w:cs="仿宋_GB2312"/>
                <w:color w:val="auto"/>
                <w:sz w:val="24"/>
                <w:szCs w:val="24"/>
                <w:highlight w:val="none"/>
              </w:rPr>
              <w:t>直接</w:t>
            </w:r>
            <w:r>
              <w:rPr>
                <w:rFonts w:hint="eastAsia" w:ascii="仿宋_GB2312" w:hAnsi="仿宋_GB2312" w:eastAsia="仿宋_GB2312" w:cs="仿宋_GB2312"/>
                <w:color w:val="auto"/>
                <w:sz w:val="24"/>
                <w:szCs w:val="24"/>
                <w:highlight w:val="none"/>
                <w:lang w:eastAsia="zh-CN"/>
              </w:rPr>
              <w:t>确定</w:t>
            </w:r>
            <w:r>
              <w:rPr>
                <w:rFonts w:hint="eastAsia" w:ascii="仿宋_GB2312" w:hAnsi="仿宋_GB2312" w:eastAsia="仿宋_GB2312" w:cs="仿宋_GB2312"/>
                <w:color w:val="auto"/>
                <w:sz w:val="24"/>
                <w:szCs w:val="24"/>
                <w:highlight w:val="none"/>
              </w:rPr>
              <w:t>供应商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398" w:hRule="atLeast"/>
          <w:jc w:val="center"/>
        </w:trPr>
        <w:tc>
          <w:tcPr>
            <w:tcW w:w="1724"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rPr>
            </w:pPr>
          </w:p>
        </w:tc>
        <w:tc>
          <w:tcPr>
            <w:tcW w:w="678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评审方法：</w:t>
            </w:r>
            <w:r>
              <w:rPr>
                <w:rFonts w:hint="eastAsia" w:ascii="仿宋_GB2312" w:hAnsi="仿宋_GB2312" w:eastAsia="仿宋_GB2312" w:cs="仿宋_GB2312"/>
                <w:color w:val="auto"/>
                <w:sz w:val="24"/>
                <w:szCs w:val="24"/>
                <w:highlight w:val="none"/>
                <w:lang w:val="en-US" w:eastAsia="zh-CN"/>
              </w:rPr>
              <w:t>价格谈判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001" w:hRule="atLeast"/>
          <w:jc w:val="center"/>
        </w:trPr>
        <w:tc>
          <w:tcPr>
            <w:tcW w:w="0" w:type="auto"/>
            <w:gridSpan w:val="2"/>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 xml:space="preserve">经本单位确认，上述公告信息真实、合规。 </w:t>
            </w:r>
          </w:p>
          <w:p>
            <w:pPr>
              <w:pageBreakBefore w:val="0"/>
              <w:kinsoku/>
              <w:wordWrap/>
              <w:overflowPunct/>
              <w:topLinePunct w:val="0"/>
              <w:autoSpaceDE/>
              <w:autoSpaceDN/>
              <w:bidi w:val="0"/>
              <w:snapToGrid w:val="0"/>
              <w:spacing w:line="240" w:lineRule="auto"/>
              <w:jc w:val="left"/>
              <w:outlineLvl w:val="3"/>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color w:val="auto"/>
                <w:kern w:val="0"/>
                <w:sz w:val="24"/>
                <w:szCs w:val="24"/>
              </w:rPr>
              <w:t>大鹏</w:t>
            </w:r>
            <w:r>
              <w:rPr>
                <w:rFonts w:hint="eastAsia" w:ascii="仿宋_GB2312" w:hAnsi="仿宋_GB2312" w:eastAsia="仿宋_GB2312" w:cs="仿宋_GB2312"/>
                <w:color w:val="auto"/>
                <w:kern w:val="0"/>
                <w:sz w:val="24"/>
                <w:szCs w:val="24"/>
                <w:lang w:eastAsia="zh-CN"/>
              </w:rPr>
              <w:t>办事处综合事务中心</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 </w:t>
            </w:r>
            <w:r>
              <w:rPr>
                <w:rFonts w:hint="eastAsia" w:ascii="仿宋_GB2312" w:hAnsi="仿宋_GB2312" w:eastAsia="仿宋_GB2312" w:cs="仿宋_GB2312"/>
                <w:b w:val="0"/>
                <w:bCs w:val="0"/>
                <w:sz w:val="24"/>
                <w:szCs w:val="24"/>
              </w:rPr>
              <w:t>大鹏办事处中山路5号</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eastAsia="zh-CN"/>
              </w:rPr>
              <w:t>黄</w:t>
            </w:r>
            <w:r>
              <w:rPr>
                <w:rFonts w:hint="eastAsia" w:ascii="仿宋_GB2312" w:hAnsi="仿宋_GB2312" w:eastAsia="仿宋_GB2312" w:cs="仿宋_GB2312"/>
                <w:color w:val="auto"/>
                <w:kern w:val="0"/>
                <w:sz w:val="24"/>
                <w:szCs w:val="24"/>
                <w:lang w:eastAsia="zh-CN"/>
              </w:rPr>
              <w:t>工</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color w:val="auto"/>
                <w:kern w:val="0"/>
                <w:sz w:val="24"/>
                <w:szCs w:val="24"/>
              </w:rPr>
              <w:t>0755-843016</w:t>
            </w:r>
            <w:r>
              <w:rPr>
                <w:rFonts w:hint="eastAsia" w:ascii="仿宋_GB2312" w:hAnsi="仿宋_GB2312" w:eastAsia="仿宋_GB2312" w:cs="仿宋_GB2312"/>
                <w:color w:val="auto"/>
                <w:kern w:val="0"/>
                <w:sz w:val="24"/>
                <w:szCs w:val="24"/>
                <w:lang w:val="en-US" w:eastAsia="zh-CN"/>
              </w:rPr>
              <w:t>26</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w:t>
            </w:r>
            <w:r>
              <w:rPr>
                <w:rFonts w:hint="eastAsia" w:ascii="仿宋_GB2312" w:hAnsi="仿宋_GB2312" w:eastAsia="仿宋_GB2312" w:cs="仿宋_GB2312"/>
                <w:sz w:val="24"/>
                <w:szCs w:val="24"/>
                <w:highlight w:val="none"/>
                <w:lang w:val="en-US" w:eastAsia="zh-CN"/>
              </w:rPr>
              <w:t>2025年12月26日-2025年12月31</w:t>
            </w:r>
            <w:bookmarkStart w:id="0" w:name="_GoBack"/>
            <w:bookmarkEnd w:id="0"/>
            <w:r>
              <w:rPr>
                <w:rFonts w:hint="eastAsia" w:ascii="仿宋_GB2312" w:hAnsi="仿宋_GB2312" w:eastAsia="仿宋_GB2312" w:cs="仿宋_GB2312"/>
                <w:sz w:val="24"/>
                <w:szCs w:val="24"/>
                <w:highlight w:val="none"/>
                <w:lang w:val="en-US" w:eastAsia="zh-CN"/>
              </w:rPr>
              <w:t>日</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7"/>
              <w:keepNext w:val="0"/>
              <w:keepLines w:val="0"/>
              <w:pageBreakBefore w:val="0"/>
              <w:widowControl/>
              <w:kinsoku/>
              <w:wordWrap/>
              <w:overflowPunct/>
              <w:topLinePunct w:val="0"/>
              <w:autoSpaceDE/>
              <w:autoSpaceDN/>
              <w:bidi w:val="0"/>
              <w:adjustRightInd/>
              <w:snapToGrid w:val="0"/>
              <w:spacing w:beforeAutospacing="0" w:afterAutospacing="0" w:line="240" w:lineRule="auto"/>
              <w:ind w:firstLine="3120" w:firstLineChars="1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公告日期：202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年</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26</w:t>
            </w:r>
            <w:r>
              <w:rPr>
                <w:rFonts w:hint="eastAsia" w:ascii="仿宋_GB2312" w:hAnsi="仿宋_GB2312" w:eastAsia="仿宋_GB2312" w:cs="仿宋_GB2312"/>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方正仿宋_GB2312">
    <w:altName w:val="方正仿宋_GBK"/>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E4B38EF"/>
    <w:rsid w:val="10273974"/>
    <w:rsid w:val="15C31E2E"/>
    <w:rsid w:val="17727372"/>
    <w:rsid w:val="18ED422F"/>
    <w:rsid w:val="1AC37EFD"/>
    <w:rsid w:val="25A45D43"/>
    <w:rsid w:val="31701474"/>
    <w:rsid w:val="32F72511"/>
    <w:rsid w:val="331B48E2"/>
    <w:rsid w:val="357E573E"/>
    <w:rsid w:val="35BE66E1"/>
    <w:rsid w:val="38251B3D"/>
    <w:rsid w:val="392B5B2F"/>
    <w:rsid w:val="39B567E6"/>
    <w:rsid w:val="39FF430C"/>
    <w:rsid w:val="3BDF330A"/>
    <w:rsid w:val="3EEFCA1F"/>
    <w:rsid w:val="3FDF75B3"/>
    <w:rsid w:val="4D1D1702"/>
    <w:rsid w:val="4E263888"/>
    <w:rsid w:val="4FBF786F"/>
    <w:rsid w:val="507E7984"/>
    <w:rsid w:val="51EE1D5E"/>
    <w:rsid w:val="53FD28AF"/>
    <w:rsid w:val="56704D31"/>
    <w:rsid w:val="58D30FF4"/>
    <w:rsid w:val="5BBB4CF4"/>
    <w:rsid w:val="5F7F168E"/>
    <w:rsid w:val="5F9E7A95"/>
    <w:rsid w:val="5FC8573D"/>
    <w:rsid w:val="67DBE82B"/>
    <w:rsid w:val="67F77101"/>
    <w:rsid w:val="68E53471"/>
    <w:rsid w:val="6C406247"/>
    <w:rsid w:val="6E36BFAE"/>
    <w:rsid w:val="6FA712A1"/>
    <w:rsid w:val="718819E9"/>
    <w:rsid w:val="75FA2D3D"/>
    <w:rsid w:val="77FF3E5A"/>
    <w:rsid w:val="78161991"/>
    <w:rsid w:val="79FF3A8F"/>
    <w:rsid w:val="7AF7B2DB"/>
    <w:rsid w:val="7C774FEC"/>
    <w:rsid w:val="7E8C432D"/>
    <w:rsid w:val="7EEBEFF1"/>
    <w:rsid w:val="7F3E25F9"/>
    <w:rsid w:val="7FF60E65"/>
    <w:rsid w:val="7FFA293C"/>
    <w:rsid w:val="7FFEF643"/>
    <w:rsid w:val="9FCB7AF7"/>
    <w:rsid w:val="9FFFCCE7"/>
    <w:rsid w:val="BDD5E674"/>
    <w:rsid w:val="BF8B2A73"/>
    <w:rsid w:val="BF9F0EF0"/>
    <w:rsid w:val="BFD70F23"/>
    <w:rsid w:val="CEF9360C"/>
    <w:rsid w:val="DAEC83F5"/>
    <w:rsid w:val="DB7DC1E3"/>
    <w:rsid w:val="DCFE13E0"/>
    <w:rsid w:val="DD3F0203"/>
    <w:rsid w:val="EBDD0ABC"/>
    <w:rsid w:val="ED5E38BC"/>
    <w:rsid w:val="EDDA676B"/>
    <w:rsid w:val="F49B4DB9"/>
    <w:rsid w:val="F6A7170F"/>
    <w:rsid w:val="F6FAB9C4"/>
    <w:rsid w:val="F9DFD26F"/>
    <w:rsid w:val="FBAF3214"/>
    <w:rsid w:val="FD766683"/>
    <w:rsid w:val="FFBF4908"/>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ascii="宋体" w:hAnsi="宋体" w:cs="宋体"/>
      <w:sz w:val="28"/>
      <w:szCs w:val="28"/>
    </w:rPr>
  </w:style>
  <w:style w:type="paragraph" w:styleId="4">
    <w:name w:val="Body Text 2"/>
    <w:basedOn w:val="1"/>
    <w:qFormat/>
    <w:uiPriority w:val="0"/>
    <w:pPr>
      <w:spacing w:line="360" w:lineRule="auto"/>
    </w:pPr>
    <w:rPr>
      <w:rFonts w:ascii="Times New Roman" w:hAnsi="Times New Roman"/>
      <w:kern w:val="0"/>
      <w:sz w:val="24"/>
      <w:szCs w:val="24"/>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800080"/>
      <w:sz w:val="20"/>
      <w:szCs w:val="20"/>
      <w:u w:val="single"/>
    </w:rPr>
  </w:style>
  <w:style w:type="character" w:styleId="11">
    <w:name w:val="Hyperlink"/>
    <w:basedOn w:val="9"/>
    <w:qFormat/>
    <w:uiPriority w:val="0"/>
    <w:rPr>
      <w:color w:val="0000FF"/>
      <w:sz w:val="20"/>
      <w:szCs w:val="20"/>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paragraph" w:customStyle="1" w:styleId="14">
    <w:name w:val="表格文字"/>
    <w:basedOn w:val="1"/>
    <w:qFormat/>
    <w:uiPriority w:val="0"/>
    <w:pPr>
      <w:autoSpaceDE w:val="0"/>
      <w:autoSpaceDN w:val="0"/>
      <w:spacing w:before="25" w:after="25" w:line="240" w:lineRule="auto"/>
      <w:jc w:val="left"/>
    </w:pPr>
    <w:rPr>
      <w:rFonts w:ascii="宋体" w:hAnsi="宋体" w:cs="宋体"/>
      <w:bCs/>
      <w:spacing w:val="10"/>
      <w:kern w:val="0"/>
      <w:sz w:val="24"/>
      <w:szCs w:val="2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492</Characters>
  <Lines>26</Lines>
  <Paragraphs>34</Paragraphs>
  <TotalTime>3</TotalTime>
  <ScaleCrop>false</ScaleCrop>
  <LinksUpToDate>false</LinksUpToDate>
  <CharactersWithSpaces>540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2022-04-07T09:02:00Z</dcterms:created>
  <dc:creator>1</dc:creator>
  <cp:lastModifiedBy>huawei</cp:lastModifiedBy>
  <dcterms:modified xsi:type="dcterms:W3CDTF">2025-12-26T10:42:53Z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1310529BA40FF8BE8AC68D67245119C8</vt:lpwstr>
  </property>
</Properties>
</file>