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龙华公安分局</w:t>
      </w:r>
      <w:r>
        <w:rPr>
          <w:rFonts w:hint="eastAsia" w:ascii="方正小标宋简体" w:hAnsi="方正小标宋简体" w:eastAsia="方正小标宋简体" w:cs="方正小标宋简体"/>
          <w:sz w:val="44"/>
          <w:szCs w:val="44"/>
          <w:lang w:val="en-US" w:eastAsia="zh-CN"/>
        </w:rPr>
        <w:t>定制反诈宣传产品</w:t>
      </w:r>
      <w:r>
        <w:rPr>
          <w:rFonts w:hint="eastAsia" w:ascii="方正小标宋简体" w:hAnsi="方正小标宋简体" w:eastAsia="方正小标宋简体" w:cs="方正小标宋简体"/>
          <w:sz w:val="44"/>
          <w:szCs w:val="44"/>
        </w:rPr>
        <w:t>项目</w:t>
      </w:r>
    </w:p>
    <w:p>
      <w:pPr>
        <w:pStyle w:val="9"/>
        <w:jc w:val="center"/>
        <w:rPr>
          <w:rFonts w:hint="eastAsia" w:ascii="楷体_GB2312" w:hAnsi="楷体_GB2312" w:eastAsia="楷体_GB2312" w:cs="楷体_GB2312"/>
          <w:sz w:val="36"/>
          <w:szCs w:val="36"/>
        </w:rPr>
      </w:pPr>
      <w:r>
        <w:rPr>
          <w:rFonts w:hint="eastAsia" w:ascii="方正小标宋简体" w:hAnsi="方正小标宋简体" w:eastAsia="方正小标宋简体" w:cs="方正小标宋简体"/>
          <w:sz w:val="44"/>
          <w:szCs w:val="44"/>
        </w:rPr>
        <w:t>采购需求</w:t>
      </w:r>
    </w:p>
    <w:p>
      <w:pPr>
        <w:pStyle w:val="9"/>
        <w:spacing w:line="560" w:lineRule="exact"/>
        <w:ind w:firstLine="640" w:firstLineChars="200"/>
        <w:rPr>
          <w:rFonts w:hint="eastAsia" w:ascii="黑体" w:hAnsi="黑体" w:eastAsia="黑体" w:cs="黑体"/>
          <w:sz w:val="32"/>
        </w:rPr>
      </w:pPr>
    </w:p>
    <w:p>
      <w:pPr>
        <w:pStyle w:val="9"/>
        <w:spacing w:line="560" w:lineRule="exact"/>
        <w:ind w:firstLine="640" w:firstLineChars="200"/>
        <w:rPr>
          <w:rFonts w:hint="eastAsia" w:ascii="黑体" w:hAnsi="黑体" w:eastAsia="黑体" w:cs="黑体"/>
          <w:sz w:val="32"/>
        </w:rPr>
      </w:pPr>
      <w:r>
        <w:rPr>
          <w:rFonts w:hint="eastAsia" w:ascii="黑体" w:hAnsi="黑体" w:eastAsia="黑体" w:cs="黑体"/>
          <w:sz w:val="32"/>
        </w:rPr>
        <w:t>一、采购需求</w:t>
      </w:r>
    </w:p>
    <w:p>
      <w:pPr>
        <w:pStyle w:val="9"/>
        <w:spacing w:line="560" w:lineRule="exact"/>
        <w:ind w:firstLine="640" w:firstLineChars="200"/>
        <w:rPr>
          <w:rFonts w:hint="eastAsia" w:ascii="楷体_GB2312" w:hAnsi="楷体_GB2312" w:eastAsia="楷体_GB2312" w:cs="楷体_GB2312"/>
          <w:sz w:val="32"/>
        </w:rPr>
      </w:pPr>
      <w:r>
        <w:rPr>
          <w:rFonts w:hint="eastAsia" w:ascii="楷体_GB2312" w:hAnsi="楷体_GB2312" w:eastAsia="楷体_GB2312" w:cs="楷体_GB2312"/>
          <w:sz w:val="32"/>
        </w:rPr>
        <w:t>（一）政府采购项目名称</w:t>
      </w:r>
    </w:p>
    <w:p>
      <w:pPr>
        <w:spacing w:line="560" w:lineRule="exact"/>
        <w:ind w:left="640" w:leftChars="200"/>
        <w:rPr>
          <w:rFonts w:hint="eastAsia" w:ascii="仿宋_GB2312" w:hAnsi="仿宋" w:eastAsia="仿宋_GB2312" w:cs="仿宋"/>
        </w:rPr>
      </w:pPr>
      <w:r>
        <w:rPr>
          <w:rFonts w:hint="eastAsia" w:ascii="仿宋_GB2312" w:hAnsi="仿宋" w:eastAsia="仿宋_GB2312" w:cs="仿宋"/>
        </w:rPr>
        <w:t>龙华公安分局定制反诈宣传制品项目。</w:t>
      </w:r>
    </w:p>
    <w:p>
      <w:pPr>
        <w:spacing w:line="560" w:lineRule="exact"/>
        <w:ind w:left="640" w:leftChars="200"/>
        <w:rPr>
          <w:rFonts w:hint="eastAsia" w:ascii="仿宋_GB2312" w:hAnsi="仿宋" w:eastAsia="仿宋_GB2312" w:cs="仿宋"/>
        </w:rPr>
      </w:pPr>
      <w:r>
        <w:rPr>
          <w:rFonts w:hint="eastAsia" w:ascii="楷体_GB2312" w:hAnsi="楷体_GB2312" w:eastAsia="楷体_GB2312" w:cs="楷体_GB2312"/>
        </w:rPr>
        <w:t>（二）预算金额</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该项目预算金额96650元。</w:t>
      </w:r>
    </w:p>
    <w:p>
      <w:pPr>
        <w:numPr>
          <w:ilvl w:val="0"/>
          <w:numId w:val="1"/>
        </w:numPr>
        <w:spacing w:line="56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定价方式</w:t>
      </w:r>
    </w:p>
    <w:p>
      <w:pPr>
        <w:spacing w:line="56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rPr>
        <w:t>固定总价。</w:t>
      </w:r>
    </w:p>
    <w:p>
      <w:pPr>
        <w:pStyle w:val="3"/>
        <w:keepNext w:val="0"/>
        <w:keepLines w:val="0"/>
        <w:spacing w:before="0" w:after="0" w:line="560" w:lineRule="exact"/>
        <w:ind w:firstLine="640" w:firstLineChars="200"/>
        <w:jc w:val="both"/>
        <w:rPr>
          <w:rFonts w:hint="eastAsia" w:ascii="楷体_GB2312" w:hAnsi="楷体_GB2312" w:eastAsia="楷体_GB2312" w:cs="楷体_GB2312"/>
          <w:sz w:val="28"/>
          <w:szCs w:val="28"/>
        </w:rPr>
      </w:pPr>
      <w:r>
        <w:rPr>
          <w:rFonts w:hint="eastAsia" w:ascii="楷体_GB2312" w:hAnsi="楷体_GB2312" w:eastAsia="楷体_GB2312" w:cs="楷体_GB2312"/>
          <w:b w:val="0"/>
          <w:sz w:val="32"/>
          <w:szCs w:val="32"/>
        </w:rPr>
        <w:t>（四）货物清单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249"/>
        <w:gridCol w:w="1457"/>
        <w:gridCol w:w="1286"/>
        <w:gridCol w:w="1243"/>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249"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货物名称</w:t>
            </w:r>
          </w:p>
        </w:tc>
        <w:tc>
          <w:tcPr>
            <w:tcW w:w="1457"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规格</w:t>
            </w:r>
          </w:p>
        </w:tc>
        <w:tc>
          <w:tcPr>
            <w:tcW w:w="1286"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24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备 注</w:t>
            </w:r>
          </w:p>
        </w:tc>
        <w:tc>
          <w:tcPr>
            <w:tcW w:w="191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71" w:type="dxa"/>
            <w:vAlign w:val="center"/>
          </w:tcPr>
          <w:p>
            <w:pPr>
              <w:spacing w:line="560" w:lineRule="exact"/>
              <w:jc w:val="center"/>
              <w:rPr>
                <w:rFonts w:hint="eastAsia" w:ascii="仿宋" w:hAnsi="仿宋" w:eastAsia="仿宋" w:cs="仿宋"/>
                <w:sz w:val="24"/>
                <w:szCs w:val="24"/>
              </w:rPr>
            </w:pPr>
            <w:r>
              <w:rPr>
                <w:rFonts w:hint="eastAsia" w:eastAsia="仿宋" w:cs="仿宋"/>
                <w:sz w:val="24"/>
                <w:szCs w:val="24"/>
              </w:rPr>
              <w:t>1</w:t>
            </w:r>
          </w:p>
        </w:tc>
        <w:tc>
          <w:tcPr>
            <w:tcW w:w="1249"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反诈宣传充电宝</w:t>
            </w:r>
          </w:p>
        </w:tc>
        <w:tc>
          <w:tcPr>
            <w:tcW w:w="1457"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104*71*32.5mm</w:t>
            </w:r>
          </w:p>
        </w:tc>
        <w:tc>
          <w:tcPr>
            <w:tcW w:w="1286"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270个</w:t>
            </w:r>
          </w:p>
        </w:tc>
        <w:tc>
          <w:tcPr>
            <w:tcW w:w="124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拒绝进口</w:t>
            </w:r>
          </w:p>
        </w:tc>
        <w:tc>
          <w:tcPr>
            <w:tcW w:w="191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59400元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71" w:type="dxa"/>
            <w:vAlign w:val="center"/>
          </w:tcPr>
          <w:p>
            <w:pPr>
              <w:spacing w:line="560" w:lineRule="exact"/>
              <w:jc w:val="center"/>
              <w:rPr>
                <w:rFonts w:hint="eastAsia" w:eastAsia="仿宋" w:cs="仿宋"/>
                <w:sz w:val="24"/>
                <w:szCs w:val="24"/>
              </w:rPr>
            </w:pPr>
            <w:r>
              <w:rPr>
                <w:rFonts w:hint="eastAsia" w:eastAsia="仿宋" w:cs="仿宋"/>
                <w:sz w:val="24"/>
                <w:szCs w:val="24"/>
                <w:lang w:val="en-US" w:eastAsia="zh-CN"/>
              </w:rPr>
              <w:t>2</w:t>
            </w:r>
          </w:p>
        </w:tc>
        <w:tc>
          <w:tcPr>
            <w:tcW w:w="1249"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反诈宣传雨伞</w:t>
            </w:r>
          </w:p>
        </w:tc>
        <w:tc>
          <w:tcPr>
            <w:tcW w:w="1457"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110cm</w:t>
            </w:r>
          </w:p>
        </w:tc>
        <w:tc>
          <w:tcPr>
            <w:tcW w:w="1286"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300把</w:t>
            </w:r>
          </w:p>
        </w:tc>
        <w:tc>
          <w:tcPr>
            <w:tcW w:w="124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拒绝进口</w:t>
            </w:r>
          </w:p>
        </w:tc>
        <w:tc>
          <w:tcPr>
            <w:tcW w:w="191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18000元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71" w:type="dxa"/>
            <w:vAlign w:val="center"/>
          </w:tcPr>
          <w:p>
            <w:pPr>
              <w:spacing w:line="560" w:lineRule="exact"/>
              <w:jc w:val="center"/>
              <w:rPr>
                <w:rFonts w:hint="eastAsia" w:eastAsia="仿宋" w:cs="仿宋"/>
                <w:sz w:val="24"/>
                <w:szCs w:val="24"/>
              </w:rPr>
            </w:pPr>
            <w:r>
              <w:rPr>
                <w:rFonts w:hint="eastAsia" w:eastAsia="仿宋" w:cs="仿宋"/>
                <w:sz w:val="24"/>
                <w:szCs w:val="24"/>
                <w:lang w:val="en-US" w:eastAsia="zh-CN"/>
              </w:rPr>
              <w:t>3</w:t>
            </w:r>
          </w:p>
        </w:tc>
        <w:tc>
          <w:tcPr>
            <w:tcW w:w="1249"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反诈宣传手提袋</w:t>
            </w:r>
          </w:p>
        </w:tc>
        <w:tc>
          <w:tcPr>
            <w:tcW w:w="1457" w:type="dxa"/>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28.5*32*11</w:t>
            </w:r>
          </w:p>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cm</w:t>
            </w:r>
          </w:p>
        </w:tc>
        <w:tc>
          <w:tcPr>
            <w:tcW w:w="1286"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500个</w:t>
            </w:r>
          </w:p>
        </w:tc>
        <w:tc>
          <w:tcPr>
            <w:tcW w:w="124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拒绝进口</w:t>
            </w:r>
          </w:p>
        </w:tc>
        <w:tc>
          <w:tcPr>
            <w:tcW w:w="1913"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19250元</w:t>
            </w:r>
          </w:p>
        </w:tc>
      </w:tr>
    </w:tbl>
    <w:p>
      <w:pPr>
        <w:spacing w:line="560" w:lineRule="exact"/>
        <w:ind w:firstLine="640" w:firstLineChars="200"/>
        <w:rPr>
          <w:rFonts w:hint="eastAsia" w:ascii="楷体_GB2312" w:hAnsi="楷体_GB2312" w:eastAsia="楷体_GB2312" w:cs="楷体_GB2312"/>
          <w:color w:val="000000"/>
        </w:rPr>
      </w:pPr>
    </w:p>
    <w:p>
      <w:pPr>
        <w:spacing w:line="560" w:lineRule="exact"/>
        <w:ind w:firstLine="640" w:firstLineChars="200"/>
        <w:rPr>
          <w:rFonts w:hint="eastAsia" w:ascii="楷体_GB2312" w:hAnsi="楷体_GB2312" w:eastAsia="楷体_GB2312" w:cs="楷体_GB2312"/>
          <w:color w:val="000000"/>
        </w:rPr>
      </w:pPr>
      <w:r>
        <w:rPr>
          <w:rFonts w:hint="eastAsia" w:ascii="楷体_GB2312" w:hAnsi="楷体_GB2312" w:eastAsia="楷体_GB2312" w:cs="楷体_GB2312"/>
          <w:color w:val="000000"/>
        </w:rPr>
        <w:t>（五）预留中小企业份额</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整体预留。整体预留中小企业，其中</w:t>
      </w:r>
      <w:r>
        <w:rPr>
          <w:rFonts w:hint="eastAsia" w:eastAsia="仿宋_GB2312" w:cs="仿宋"/>
        </w:rPr>
        <w:t>70</w:t>
      </w:r>
      <w:r>
        <w:rPr>
          <w:rFonts w:hint="eastAsia" w:ascii="仿宋_GB2312" w:hAnsi="仿宋" w:eastAsia="仿宋_GB2312" w:cs="仿宋"/>
        </w:rPr>
        <w:t>%预留小微企业。</w:t>
      </w:r>
    </w:p>
    <w:p>
      <w:pPr>
        <w:spacing w:line="560" w:lineRule="exact"/>
        <w:ind w:firstLine="640" w:firstLineChars="200"/>
        <w:rPr>
          <w:rFonts w:hint="eastAsia" w:ascii="楷体_GB2312" w:hAnsi="楷体_GB2312" w:eastAsia="楷体_GB2312" w:cs="楷体_GB2312"/>
          <w:color w:val="000000"/>
        </w:rPr>
      </w:pPr>
      <w:r>
        <w:rPr>
          <w:rFonts w:hint="eastAsia" w:ascii="楷体_GB2312" w:hAnsi="楷体_GB2312" w:eastAsia="楷体_GB2312" w:cs="楷体_GB2312"/>
          <w:color w:val="000000"/>
        </w:rPr>
        <w:t>（六）供应商资格条件</w:t>
      </w:r>
    </w:p>
    <w:p>
      <w:pPr>
        <w:spacing w:line="56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rPr>
        <w:t>除符合《中华人民共和国政府采购法》第二十二条要求的条件外，</w:t>
      </w:r>
      <w:r>
        <w:rPr>
          <w:rFonts w:hint="eastAsia" w:ascii="仿宋_GB2312" w:hAnsi="仿宋" w:eastAsia="仿宋_GB2312" w:cs="仿宋"/>
        </w:rPr>
        <w:t>落实政府采购政策需满足的资格要求</w:t>
      </w:r>
      <w:r>
        <w:rPr>
          <w:rFonts w:hint="eastAsia" w:ascii="仿宋_GB2312" w:hAnsi="仿宋_GB2312" w:eastAsia="仿宋_GB2312" w:cs="仿宋_GB2312"/>
        </w:rPr>
        <w:t>：无。</w:t>
      </w:r>
    </w:p>
    <w:p>
      <w:pPr>
        <w:spacing w:line="560" w:lineRule="exact"/>
        <w:ind w:firstLine="640" w:firstLineChars="200"/>
        <w:rPr>
          <w:rFonts w:hint="eastAsia" w:ascii="楷体_GB2312" w:hAnsi="楷体_GB2312" w:eastAsia="楷体_GB2312" w:cs="楷体_GB2312"/>
          <w:color w:val="000000"/>
        </w:rPr>
      </w:pPr>
      <w:r>
        <w:rPr>
          <w:rFonts w:hint="eastAsia" w:ascii="楷体_GB2312" w:hAnsi="楷体_GB2312" w:eastAsia="楷体_GB2312" w:cs="楷体_GB2312"/>
          <w:color w:val="000000"/>
        </w:rPr>
        <w:t>（七）评审方法</w:t>
      </w:r>
    </w:p>
    <w:p>
      <w:pPr>
        <w:pStyle w:val="3"/>
        <w:keepNext w:val="0"/>
        <w:keepLines w:val="0"/>
        <w:spacing w:before="0" w:after="0" w:line="560" w:lineRule="exact"/>
        <w:ind w:firstLine="640" w:firstLineChars="200"/>
        <w:jc w:val="both"/>
        <w:rPr>
          <w:rFonts w:hint="eastAsia" w:ascii="仿宋_GB2312" w:hAnsi="仿宋" w:eastAsia="仿宋_GB2312" w:cs="仿宋"/>
          <w:b w:val="0"/>
          <w:sz w:val="32"/>
          <w:szCs w:val="32"/>
        </w:rPr>
      </w:pPr>
      <w:r>
        <w:rPr>
          <w:rFonts w:hint="eastAsia" w:ascii="仿宋_GB2312" w:hAnsi="仿宋_GB2312" w:eastAsia="仿宋_GB2312" w:cs="仿宋_GB2312"/>
          <w:b w:val="0"/>
          <w:sz w:val="32"/>
          <w:szCs w:val="32"/>
        </w:rPr>
        <w:t>最低评标价法</w:t>
      </w:r>
      <w:r>
        <w:rPr>
          <w:rFonts w:hint="eastAsia" w:ascii="仿宋_GB2312" w:hAnsi="仿宋" w:eastAsia="仿宋_GB2312" w:cs="仿宋"/>
          <w:b w:val="0"/>
          <w:sz w:val="32"/>
          <w:szCs w:val="32"/>
        </w:rPr>
        <w:t>。</w:t>
      </w:r>
    </w:p>
    <w:p>
      <w:pPr>
        <w:pStyle w:val="3"/>
        <w:keepNext w:val="0"/>
        <w:keepLines w:val="0"/>
        <w:spacing w:before="0" w:after="0" w:line="56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b w:val="0"/>
          <w:sz w:val="32"/>
          <w:szCs w:val="32"/>
        </w:rPr>
        <w:t>（八）技术要求</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1、反诈宣传充电宝，规格尺寸：</w:t>
      </w:r>
      <w:r>
        <w:rPr>
          <w:rFonts w:hint="eastAsia" w:ascii="仿宋_GB2312" w:hAnsi="仿宋" w:eastAsia="仿宋_GB2312" w:cs="仿宋"/>
          <w:lang w:val="en-US" w:eastAsia="zh-CN"/>
        </w:rPr>
        <w:t>104*71*32.5mm</w:t>
      </w:r>
      <w:r>
        <w:rPr>
          <w:rFonts w:hint="eastAsia" w:ascii="仿宋_GB2312" w:hAnsi="仿宋" w:eastAsia="仿宋_GB2312" w:cs="仿宋"/>
        </w:rPr>
        <w:t>；</w:t>
      </w:r>
      <w:r>
        <w:rPr>
          <w:rFonts w:hint="eastAsia" w:ascii="仿宋_GB2312" w:hAnsi="仿宋" w:eastAsia="仿宋_GB2312" w:cs="仿宋"/>
          <w:lang w:val="en-US" w:eastAsia="zh-CN"/>
        </w:rPr>
        <w:t>充电宝容量：20000mAh；</w:t>
      </w:r>
      <w:r>
        <w:rPr>
          <w:rFonts w:hint="eastAsia" w:ascii="仿宋_GB2312" w:hAnsi="仿宋" w:eastAsia="仿宋_GB2312" w:cs="仿宋"/>
        </w:rPr>
        <w:t>材质：</w:t>
      </w:r>
      <w:r>
        <w:rPr>
          <w:rFonts w:hint="eastAsia" w:ascii="仿宋_GB2312" w:hAnsi="仿宋" w:eastAsia="仿宋_GB2312" w:cs="仿宋"/>
          <w:lang w:val="en-US" w:eastAsia="zh-CN"/>
        </w:rPr>
        <w:t>阻燃PC/ABS，内置高密度锂聚合物电芯，额定电量参数达标，不虚标，符合民航携带标准</w:t>
      </w:r>
      <w:r>
        <w:rPr>
          <w:rFonts w:hint="eastAsia" w:ascii="仿宋_GB2312" w:hAnsi="仿宋" w:eastAsia="仿宋_GB2312" w:cs="仿宋"/>
        </w:rPr>
        <w:t>；</w:t>
      </w:r>
      <w:r>
        <w:rPr>
          <w:rFonts w:hint="eastAsia" w:ascii="仿宋_GB2312" w:hAnsi="仿宋" w:eastAsia="仿宋_GB2312" w:cs="仿宋"/>
          <w:lang w:val="en-US" w:eastAsia="zh-CN"/>
        </w:rPr>
        <w:t>实用配置：配备LED数字电量显示屏，可实时查看剩余电量，自带Type-C、Liightning双内置线材；快充性能：支持最高22.5W多协议双向快充，兼容PD、QC等主流快充协议，支持多设备同时供电输出；安全防护：具备过充、过压、过流、短路、高温等九重电路防护，产品具备国家3C强制性认证符合国标GB/T35590携带式移动电源规范，供货时需提供对应证书复印件；</w:t>
      </w:r>
      <w:r>
        <w:rPr>
          <w:rFonts w:hint="eastAsia" w:ascii="仿宋_GB2312" w:hAnsi="仿宋" w:eastAsia="仿宋_GB2312" w:cs="仿宋"/>
        </w:rPr>
        <w:t>印刷</w:t>
      </w:r>
      <w:r>
        <w:rPr>
          <w:rFonts w:hint="eastAsia" w:ascii="仿宋_GB2312" w:hAnsi="仿宋" w:eastAsia="仿宋_GB2312" w:cs="仿宋"/>
          <w:lang w:val="en-US" w:eastAsia="zh-CN"/>
        </w:rPr>
        <w:t>面积：正面5*4.6cm，背面4.5*4.5cm；印刷</w:t>
      </w:r>
      <w:r>
        <w:rPr>
          <w:rFonts w:hint="eastAsia" w:ascii="仿宋_GB2312" w:hAnsi="仿宋" w:eastAsia="仿宋_GB2312" w:cs="仿宋"/>
        </w:rPr>
        <w:t>要求：</w:t>
      </w:r>
      <w:r>
        <w:rPr>
          <w:rFonts w:hint="eastAsia" w:ascii="仿宋_GB2312" w:hAnsi="仿宋" w:eastAsia="仿宋_GB2312" w:cs="仿宋"/>
          <w:lang w:val="en-US" w:eastAsia="zh-CN"/>
        </w:rPr>
        <w:t>UV</w:t>
      </w:r>
      <w:r>
        <w:rPr>
          <w:rFonts w:hint="eastAsia" w:ascii="仿宋_GB2312" w:hAnsi="仿宋" w:eastAsia="仿宋_GB2312" w:cs="仿宋"/>
        </w:rPr>
        <w:t>彩印</w:t>
      </w:r>
      <w:r>
        <w:rPr>
          <w:rFonts w:hint="eastAsia" w:ascii="仿宋_GB2312" w:hAnsi="仿宋" w:eastAsia="仿宋_GB2312" w:cs="仿宋"/>
          <w:lang w:val="en-US" w:eastAsia="zh-CN"/>
        </w:rPr>
        <w:t>工艺</w:t>
      </w:r>
      <w:r>
        <w:rPr>
          <w:rFonts w:hint="eastAsia" w:ascii="仿宋_GB2312" w:hAnsi="仿宋" w:eastAsia="仿宋_GB2312" w:cs="仿宋"/>
        </w:rPr>
        <w:t>，色彩鲜艳无偏色，字迹/图片清晰，印刷内容位置、大小与设计稿一致，无偏差</w:t>
      </w:r>
      <w:r>
        <w:rPr>
          <w:rFonts w:hint="eastAsia" w:ascii="仿宋_GB2312" w:hAnsi="仿宋" w:eastAsia="仿宋_GB2312" w:cs="仿宋"/>
          <w:lang w:eastAsia="zh-CN"/>
        </w:rPr>
        <w:t>，</w:t>
      </w:r>
      <w:r>
        <w:rPr>
          <w:rFonts w:hint="eastAsia" w:ascii="仿宋_GB2312" w:hAnsi="仿宋" w:eastAsia="仿宋_GB2312" w:cs="仿宋"/>
          <w:lang w:val="en-US" w:eastAsia="zh-CN"/>
        </w:rPr>
        <w:t>效果图（见附件1）</w:t>
      </w:r>
      <w:r>
        <w:rPr>
          <w:rFonts w:hint="eastAsia" w:ascii="仿宋_GB2312" w:hAnsi="仿宋" w:eastAsia="仿宋_GB2312" w:cs="仿宋"/>
        </w:rPr>
        <w:t>；</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2、反诈宣传雨伞，规格尺寸：</w:t>
      </w:r>
      <w:r>
        <w:rPr>
          <w:rFonts w:hint="eastAsia" w:ascii="仿宋_GB2312" w:hAnsi="仿宋" w:eastAsia="仿宋_GB2312" w:cs="仿宋"/>
          <w:lang w:val="en-US" w:eastAsia="zh-CN"/>
        </w:rPr>
        <w:t>23寸自动三折伞（撑开直径110cm，收起长度33cm）</w:t>
      </w:r>
      <w:r>
        <w:rPr>
          <w:rFonts w:hint="eastAsia" w:ascii="仿宋_GB2312" w:hAnsi="仿宋" w:eastAsia="仿宋_GB2312" w:cs="仿宋"/>
        </w:rPr>
        <w:t>；</w:t>
      </w:r>
      <w:r>
        <w:rPr>
          <w:rFonts w:hint="eastAsia" w:ascii="仿宋_GB2312" w:hAnsi="仿宋" w:eastAsia="仿宋_GB2312" w:cs="仿宋"/>
          <w:lang w:val="en-US" w:eastAsia="zh-CN"/>
        </w:rPr>
        <w:t>伞架结构：10股钢材与纤维复合加固伞骨，韧性强，抗弯折，抗风性能优异，结构稳固耐用；伞面面料</w:t>
      </w:r>
      <w:r>
        <w:rPr>
          <w:rFonts w:hint="eastAsia" w:ascii="仿宋_GB2312" w:hAnsi="仿宋" w:eastAsia="仿宋_GB2312" w:cs="仿宋"/>
        </w:rPr>
        <w:t>：</w:t>
      </w:r>
      <w:r>
        <w:rPr>
          <w:rFonts w:hint="eastAsia" w:ascii="仿宋_GB2312" w:hAnsi="仿宋" w:eastAsia="仿宋_GB2312" w:cs="仿宋"/>
          <w:lang w:val="en-US" w:eastAsia="zh-CN"/>
        </w:rPr>
        <w:t>高密度优质碰击布，疏水速干，雨水抖落即净，面料紧实耐磨，兼具防防紫外线防雨双重功能</w:t>
      </w:r>
      <w:r>
        <w:rPr>
          <w:rFonts w:hint="eastAsia" w:ascii="仿宋_GB2312" w:hAnsi="仿宋" w:eastAsia="仿宋_GB2312" w:cs="仿宋"/>
        </w:rPr>
        <w:t>；</w:t>
      </w:r>
      <w:r>
        <w:rPr>
          <w:rFonts w:hint="eastAsia" w:ascii="仿宋_GB2312" w:hAnsi="仿宋" w:eastAsia="仿宋_GB2312" w:cs="仿宋"/>
          <w:lang w:val="en-US" w:eastAsia="zh-CN"/>
        </w:rPr>
        <w:t>材质要求：实木手柄，便于携带收纳，整体做工精细，无跳线、破损、开胶等质量瑕疵；</w:t>
      </w:r>
      <w:r>
        <w:rPr>
          <w:rFonts w:hint="eastAsia" w:ascii="仿宋_GB2312" w:hAnsi="仿宋" w:eastAsia="仿宋_GB2312" w:cs="仿宋"/>
        </w:rPr>
        <w:t>印刷</w:t>
      </w:r>
      <w:r>
        <w:rPr>
          <w:rFonts w:hint="eastAsia" w:ascii="仿宋_GB2312" w:hAnsi="仿宋" w:eastAsia="仿宋_GB2312" w:cs="仿宋"/>
          <w:lang w:val="en-US" w:eastAsia="zh-CN"/>
        </w:rPr>
        <w:t>面积：17*7.5cm；</w:t>
      </w:r>
      <w:r>
        <w:rPr>
          <w:rFonts w:hint="eastAsia" w:ascii="仿宋_GB2312" w:hAnsi="仿宋" w:eastAsia="仿宋_GB2312" w:cs="仿宋"/>
        </w:rPr>
        <w:t>印刷要求：单</w:t>
      </w:r>
      <w:r>
        <w:rPr>
          <w:rFonts w:hint="eastAsia" w:ascii="仿宋_GB2312" w:hAnsi="仿宋" w:eastAsia="仿宋_GB2312" w:cs="仿宋"/>
          <w:lang w:val="en-US" w:eastAsia="zh-CN"/>
        </w:rPr>
        <w:t>色丝印工艺</w:t>
      </w:r>
      <w:r>
        <w:rPr>
          <w:rFonts w:hint="eastAsia" w:ascii="仿宋_GB2312" w:hAnsi="仿宋" w:eastAsia="仿宋_GB2312" w:cs="仿宋"/>
        </w:rPr>
        <w:t>，字迹/图片清晰，印刷内容位置、大小与设计稿一致，无偏差</w:t>
      </w:r>
      <w:r>
        <w:rPr>
          <w:rFonts w:hint="eastAsia" w:ascii="仿宋_GB2312" w:hAnsi="仿宋" w:eastAsia="仿宋_GB2312" w:cs="仿宋"/>
          <w:lang w:eastAsia="zh-CN"/>
        </w:rPr>
        <w:t>，</w:t>
      </w:r>
      <w:r>
        <w:rPr>
          <w:rFonts w:hint="eastAsia" w:ascii="仿宋_GB2312" w:hAnsi="仿宋" w:eastAsia="仿宋_GB2312" w:cs="仿宋"/>
          <w:lang w:val="en-US" w:eastAsia="zh-CN"/>
        </w:rPr>
        <w:t>效果图（见附件2）</w:t>
      </w:r>
      <w:r>
        <w:rPr>
          <w:rFonts w:hint="eastAsia" w:ascii="仿宋_GB2312" w:hAnsi="仿宋" w:eastAsia="仿宋_GB2312" w:cs="仿宋"/>
        </w:rPr>
        <w:t>。</w:t>
      </w:r>
    </w:p>
    <w:p>
      <w:pPr>
        <w:pStyle w:val="2"/>
        <w:rPr>
          <w:rFonts w:hint="default"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 xml:space="preserve">3、反诈宣传手提袋，规格尺寸：28.5*32.*11cm；主料面料：16盅司高克重精梳棉重磅帆布，高密织造工艺，布料厚实立体，久用不易软榻变形，耐磨抗撕裂，缩水率低，环保无异味；手提织带：搭配加宽加厚高强度涤纶织带，织纹紧实细密，承重性能优异，反复提拉不易开裂、起毛，边缘锁边工整，质感扎实耐用，兼顾美观与负重实用性；袋子内部面料：采用优质加厚制服呢面料，布面平整顺滑，不易起球掉屑，面料密实挺括，促进维持内部整体造型；工艺标准：整体线路均匀密实，无跳线、漏线、多余线头，受力位置加固打枣，提升耐用程度，五金配件具防生锈耐腐蚀；质量要求：全部面料需符合环保安全要求，无刺激性气味，整批次产品规格、用料、做工保持统一；印刷面积：6*6cm；印刷要求：热转印工艺，彩鲜艳无偏色，字迹/图片清晰；印刷内容位置、大小与设计稿一致，无偏差，效果图（见附件3）。 </w:t>
      </w:r>
    </w:p>
    <w:p>
      <w:pPr>
        <w:spacing w:line="56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（九）商务需求。</w:t>
      </w:r>
    </w:p>
    <w:p>
      <w:pPr>
        <w:spacing w:line="560" w:lineRule="exact"/>
        <w:ind w:firstLine="643" w:firstLineChars="200"/>
        <w:rPr>
          <w:rFonts w:hint="eastAsia" w:ascii="仿宋_GB2312" w:hAnsi="仿宋" w:eastAsia="仿宋_GB2312" w:cs="仿宋"/>
        </w:rPr>
      </w:pPr>
      <w:r>
        <w:rPr>
          <w:rFonts w:hint="eastAsia" w:eastAsia="仿宋_GB2312" w:cs="仿宋"/>
          <w:b/>
        </w:rPr>
        <w:t>1</w:t>
      </w:r>
      <w:r>
        <w:rPr>
          <w:rFonts w:hint="eastAsia" w:ascii="仿宋_GB2312" w:hAnsi="仿宋" w:eastAsia="仿宋_GB2312" w:cs="仿宋"/>
          <w:b/>
        </w:rPr>
        <w:t>.交货/完工期：</w:t>
      </w:r>
      <w:r>
        <w:rPr>
          <w:rFonts w:hint="eastAsia" w:ascii="仿宋_GB2312" w:hAnsi="仿宋" w:eastAsia="仿宋_GB2312" w:cs="仿宋"/>
        </w:rPr>
        <w:t>合同签订后</w:t>
      </w:r>
      <w:r>
        <w:rPr>
          <w:rFonts w:hint="eastAsia" w:ascii="仿宋_GB2312" w:hAnsi="仿宋" w:eastAsia="仿宋_GB2312" w:cs="仿宋"/>
          <w:u w:val="single"/>
        </w:rPr>
        <w:t xml:space="preserve"> 30 </w:t>
      </w:r>
      <w:r>
        <w:rPr>
          <w:rFonts w:hint="eastAsia" w:ascii="仿宋_GB2312" w:hAnsi="仿宋" w:eastAsia="仿宋_GB2312" w:cs="仿宋"/>
        </w:rPr>
        <w:t>天（日历日）内交货，</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交货地点：深圳市公安局龙华分局。</w:t>
      </w:r>
    </w:p>
    <w:p>
      <w:pPr>
        <w:numPr>
          <w:ilvl w:val="0"/>
          <w:numId w:val="2"/>
        </w:numPr>
        <w:spacing w:line="560" w:lineRule="exact"/>
        <w:ind w:firstLine="643" w:firstLineChars="200"/>
        <w:rPr>
          <w:rFonts w:hint="eastAsia" w:ascii="仿宋_GB2312" w:hAnsi="仿宋" w:eastAsia="仿宋_GB2312" w:cs="仿宋"/>
          <w:b/>
        </w:rPr>
      </w:pPr>
      <w:r>
        <w:rPr>
          <w:rFonts w:hint="eastAsia" w:ascii="仿宋_GB2312" w:hAnsi="仿宋" w:eastAsia="仿宋_GB2312" w:cs="仿宋"/>
          <w:b/>
        </w:rPr>
        <w:t>报价要求：</w:t>
      </w:r>
    </w:p>
    <w:p>
      <w:pPr>
        <w:numPr>
          <w:ilvl w:val="0"/>
          <w:numId w:val="3"/>
        </w:num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合同期限内不做调整。</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（2）投标人应充分了解项目的位置、情况、道路及任何其它足以影响投标报价的情况，任何因忽视或误解项目情况而导致的索赔或服务期限延长申请将不获批准。</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3）投标人不得期望通过索赔等方式获取补偿，否则，除可能遭到拒绝外，还可能将被作为不良行为记录在案，并可能影响其以后参加政府采购的项目投标。各投标人在投标报价时，应充分考虑投标报价的风险。</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（4）投标人的投标报价不得超过财政预算限额或最高投标限价。</w:t>
      </w:r>
    </w:p>
    <w:p>
      <w:pPr>
        <w:spacing w:line="560" w:lineRule="exact"/>
        <w:ind w:firstLine="643" w:firstLineChars="200"/>
        <w:rPr>
          <w:rFonts w:hint="eastAsia" w:ascii="仿宋_GB2312" w:hAnsi="仿宋" w:eastAsia="仿宋_GB2312" w:cs="仿宋"/>
        </w:rPr>
      </w:pPr>
      <w:r>
        <w:rPr>
          <w:rFonts w:hint="eastAsia" w:eastAsia="仿宋_GB2312" w:cs="仿宋"/>
          <w:b/>
        </w:rPr>
        <w:t>3</w:t>
      </w:r>
      <w:r>
        <w:rPr>
          <w:rFonts w:hint="eastAsia" w:ascii="仿宋_GB2312" w:hAnsi="仿宋" w:eastAsia="仿宋_GB2312" w:cs="仿宋"/>
          <w:b/>
        </w:rPr>
        <w:t>.付款方式：</w:t>
      </w:r>
      <w:r>
        <w:rPr>
          <w:rFonts w:hint="eastAsia" w:ascii="仿宋_GB2312" w:hAnsi="仿宋" w:eastAsia="仿宋_GB2312" w:cs="仿宋"/>
        </w:rPr>
        <w:t>完成货物验收后，中标人将完整资料档案资料移交采购人后，中标人向采购人提供请款资料，在财政资金下达后，采购人一次性支付费用的100%。</w:t>
      </w:r>
    </w:p>
    <w:p>
      <w:pPr>
        <w:spacing w:line="560" w:lineRule="exact"/>
        <w:ind w:firstLine="643" w:firstLineChars="200"/>
        <w:rPr>
          <w:rFonts w:hint="eastAsia" w:ascii="仿宋_GB2312" w:hAnsi="仿宋" w:eastAsia="仿宋_GB2312" w:cs="仿宋"/>
        </w:rPr>
      </w:pPr>
      <w:r>
        <w:rPr>
          <w:rFonts w:hint="eastAsia" w:eastAsia="仿宋_GB2312" w:cs="仿宋"/>
          <w:b/>
        </w:rPr>
        <w:t>4.</w:t>
      </w:r>
      <w:r>
        <w:rPr>
          <w:rFonts w:hint="eastAsia" w:ascii="仿宋_GB2312" w:hAnsi="仿宋" w:eastAsia="仿宋_GB2312" w:cs="仿宋"/>
          <w:b/>
        </w:rPr>
        <w:t xml:space="preserve"> 货物运输及包装方式要求：</w:t>
      </w:r>
      <w:r>
        <w:rPr>
          <w:rFonts w:hint="eastAsia" w:ascii="仿宋_GB2312" w:hAnsi="仿宋" w:eastAsia="仿宋_GB2312" w:cs="仿宋"/>
        </w:rPr>
        <w:t>合同中所有的货物均须由中标供应商自行运往设备安装场所，不论设备从何处购置、采用何种方式运输，采购承办单位不承担任何责任及相关费用。中标供应商应当自行处理货物质量和数量短缺等问题。包装以保证货物的完好无损为标准。</w:t>
      </w:r>
    </w:p>
    <w:p>
      <w:pPr>
        <w:spacing w:line="560" w:lineRule="exact"/>
        <w:ind w:firstLine="643" w:firstLineChars="200"/>
        <w:rPr>
          <w:rFonts w:eastAsia="仿宋_GB2312" w:cs="仿宋"/>
          <w:b/>
        </w:rPr>
      </w:pPr>
      <w:r>
        <w:rPr>
          <w:rFonts w:hint="eastAsia" w:eastAsia="仿宋_GB2312" w:cs="仿宋"/>
          <w:b/>
        </w:rPr>
        <w:t>5.</w:t>
      </w:r>
      <w:r>
        <w:rPr>
          <w:rFonts w:hint="eastAsia" w:ascii="仿宋_GB2312" w:hAnsi="仿宋" w:eastAsia="仿宋_GB2312" w:cs="仿宋"/>
          <w:b/>
        </w:rPr>
        <w:t xml:space="preserve"> 安装、调试及验收方式</w:t>
      </w:r>
      <w:r>
        <w:rPr>
          <w:rFonts w:hint="eastAsia" w:eastAsia="仿宋_GB2312" w:cs="仿宋"/>
          <w:b/>
        </w:rPr>
        <w:t>：</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1</w:t>
      </w:r>
      <w:r>
        <w:rPr>
          <w:rFonts w:hint="eastAsia" w:ascii="仿宋_GB2312" w:hAnsi="仿宋" w:eastAsia="仿宋_GB2312" w:cs="仿宋"/>
        </w:rPr>
        <w:t>）中标供应商应当派有经验的技术人员到现场进行安装、调试，直到设备正常使用。</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2</w:t>
      </w:r>
      <w:r>
        <w:rPr>
          <w:rFonts w:hint="eastAsia" w:ascii="仿宋_GB2312" w:hAnsi="仿宋" w:eastAsia="仿宋_GB2312" w:cs="仿宋"/>
        </w:rPr>
        <w:t>）由采购承办单位按合同和采购文件、响应文件约定的要求和标准及中华人民共和国现行的验收规范和评定标准进行交货验收。</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3</w:t>
      </w:r>
      <w:r>
        <w:rPr>
          <w:rFonts w:hint="eastAsia" w:ascii="仿宋_GB2312" w:hAnsi="仿宋" w:eastAsia="仿宋_GB2312" w:cs="仿宋"/>
        </w:rPr>
        <w:t>）验收要求：货物必须满足以下条件后方可被用户方接受：一是设备全新,外观无伤痕变形或明显修饰痕迹。二是必须符合有关国标的规定。响应文件提供的技术数据经实测证实是真实的。检验及质量保证期内达到的性能指标与要求一致，达到或优于相应标准。三是技术文件资料、备件等已按规定数量移交完毕。四是按照采购文件要求及响应文件提供的技术参数验收必须合格。五是在货物安装调试合格后，所有技术指标达到技术规范书要求，经验收合格后，双方共同签署验收报告。</w:t>
      </w:r>
    </w:p>
    <w:p>
      <w:pPr>
        <w:spacing w:line="560" w:lineRule="exact"/>
        <w:ind w:firstLine="643" w:firstLineChars="200"/>
        <w:rPr>
          <w:rFonts w:hint="eastAsia" w:ascii="仿宋_GB2312" w:hAnsi="仿宋" w:eastAsia="仿宋_GB2312" w:cs="仿宋"/>
          <w:b/>
        </w:rPr>
      </w:pPr>
      <w:r>
        <w:rPr>
          <w:rFonts w:hint="eastAsia" w:eastAsia="仿宋_GB2312" w:cs="仿宋"/>
          <w:b/>
        </w:rPr>
        <w:t>6.</w:t>
      </w:r>
      <w:r>
        <w:rPr>
          <w:rFonts w:hint="eastAsia" w:ascii="仿宋_GB2312" w:hAnsi="仿宋" w:eastAsia="仿宋_GB2312" w:cs="仿宋"/>
          <w:b/>
        </w:rPr>
        <w:t xml:space="preserve"> 售后服务要求：</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1</w:t>
      </w:r>
      <w:r>
        <w:rPr>
          <w:rFonts w:hint="eastAsia" w:ascii="仿宋_GB2312" w:hAnsi="仿宋" w:eastAsia="仿宋_GB2312" w:cs="仿宋"/>
        </w:rPr>
        <w:t>）质量保证期为</w:t>
      </w:r>
      <w:r>
        <w:rPr>
          <w:rFonts w:hint="eastAsia" w:ascii="仿宋_GB2312" w:hAnsi="仿宋" w:eastAsia="仿宋_GB2312" w:cs="仿宋"/>
          <w:u w:val="single"/>
        </w:rPr>
        <w:t xml:space="preserve"> 1 </w:t>
      </w:r>
      <w:r>
        <w:rPr>
          <w:rFonts w:hint="eastAsia" w:ascii="仿宋_GB2312" w:hAnsi="仿宋" w:eastAsia="仿宋_GB2312" w:cs="仿宋"/>
        </w:rPr>
        <w:t>年。在此期间，如遇与所供产品有关的问题在接用户通知后48小时内应赶到现场提供免费服务。</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2</w:t>
      </w:r>
      <w:r>
        <w:rPr>
          <w:rFonts w:hint="eastAsia" w:ascii="仿宋_GB2312" w:hAnsi="仿宋" w:eastAsia="仿宋_GB2312" w:cs="仿宋"/>
        </w:rPr>
        <w:t xml:space="preserve">）中标供应商应提供售后服务队伍名称、资质、人员配备、联系地址、电话等详细资料，以及书面提出用户人员操作培训、长期保修、维护服务和今后技术支持的措施计划和承诺。 </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3</w:t>
      </w:r>
      <w:r>
        <w:rPr>
          <w:rFonts w:hint="eastAsia" w:ascii="仿宋_GB2312" w:hAnsi="仿宋" w:eastAsia="仿宋_GB2312" w:cs="仿宋"/>
        </w:rPr>
        <w:t>）在保质期满以后，中标供应商为此设备应以优惠价格终生提供保障其正常运行的配件和维护并能提供送货上门服务（以设备正常使用年限为限）。</w:t>
      </w:r>
    </w:p>
    <w:p>
      <w:pPr>
        <w:spacing w:line="560" w:lineRule="exact"/>
        <w:ind w:firstLine="643" w:firstLineChars="200"/>
        <w:rPr>
          <w:rFonts w:hint="eastAsia" w:ascii="仿宋_GB2312" w:hAnsi="仿宋" w:eastAsia="仿宋_GB2312" w:cs="仿宋"/>
          <w:b/>
        </w:rPr>
      </w:pPr>
      <w:r>
        <w:rPr>
          <w:rFonts w:hint="eastAsia" w:eastAsia="仿宋_GB2312" w:cs="仿宋"/>
          <w:b/>
        </w:rPr>
        <w:t xml:space="preserve">7. </w:t>
      </w:r>
      <w:r>
        <w:rPr>
          <w:rFonts w:hint="eastAsia" w:ascii="仿宋_GB2312" w:hAnsi="仿宋" w:eastAsia="仿宋_GB2312" w:cs="仿宋"/>
          <w:b/>
        </w:rPr>
        <w:t>备件备品要求：</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1</w:t>
      </w:r>
      <w:r>
        <w:rPr>
          <w:rFonts w:hint="eastAsia" w:ascii="仿宋_GB2312" w:hAnsi="仿宋" w:eastAsia="仿宋_GB2312" w:cs="仿宋"/>
        </w:rPr>
        <w:t>）在质保期内，中标供应商应无偿并迅速更换由于元件缺陷及制造工艺等问题而发生故障的产品。</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w:t>
      </w:r>
      <w:r>
        <w:rPr>
          <w:rFonts w:hint="eastAsia" w:eastAsia="仿宋_GB2312" w:cs="仿宋"/>
        </w:rPr>
        <w:t>2</w:t>
      </w:r>
      <w:r>
        <w:rPr>
          <w:rFonts w:hint="eastAsia" w:ascii="仿宋_GB2312" w:hAnsi="仿宋" w:eastAsia="仿宋_GB2312" w:cs="仿宋"/>
        </w:rPr>
        <w:t>）保质期满以后，中标供应商应按其在深圳地区同类产品的优惠价格提供保修服务。</w:t>
      </w:r>
    </w:p>
    <w:p>
      <w:pPr>
        <w:spacing w:line="560" w:lineRule="exact"/>
        <w:ind w:firstLine="643" w:firstLineChars="200"/>
        <w:rPr>
          <w:rFonts w:hint="eastAsia" w:ascii="仿宋_GB2312" w:hAnsi="仿宋" w:eastAsia="仿宋_GB2312" w:cs="仿宋"/>
          <w:b/>
        </w:rPr>
      </w:pPr>
      <w:r>
        <w:rPr>
          <w:rFonts w:hint="eastAsia" w:ascii="仿宋_GB2312" w:hAnsi="仿宋" w:eastAsia="仿宋_GB2312" w:cs="仿宋"/>
          <w:b/>
          <w:lang w:val="en-US" w:eastAsia="zh-CN"/>
        </w:rPr>
        <w:t>8</w:t>
      </w:r>
      <w:r>
        <w:rPr>
          <w:rFonts w:hint="eastAsia" w:ascii="仿宋_GB2312" w:hAnsi="仿宋" w:eastAsia="仿宋_GB2312" w:cs="仿宋"/>
          <w:b/>
        </w:rPr>
        <w:t>.违约责任</w:t>
      </w:r>
    </w:p>
    <w:p>
      <w:pPr>
        <w:spacing w:line="560" w:lineRule="exact"/>
        <w:ind w:firstLine="640" w:firstLineChars="200"/>
        <w:rPr>
          <w:rFonts w:hint="eastAsia" w:ascii="仿宋_GB2312" w:hAnsi="仿宋" w:eastAsia="仿宋_GB2312" w:cs="仿宋"/>
        </w:rPr>
      </w:pPr>
      <w:bookmarkStart w:id="0" w:name="_Hlk225936093"/>
      <w:r>
        <w:rPr>
          <w:rFonts w:hint="eastAsia" w:ascii="仿宋_GB2312" w:hAnsi="仿宋" w:eastAsia="仿宋_GB2312" w:cs="仿宋"/>
        </w:rPr>
        <w:t>（1）投标供应商逾期交付货物的，每逾期1天，投标供应商向采购人偿付逾期交货部分货款总额的【1】‰的滞纳金。如投标供应商逾期交货达 15 天，采购人有权解除合同，履约保证金不予退回，同时投标供应商应向采购人支付合同总价【20】％的违约金。</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2）经采购人验收不合格的，采购人有权拒收。投标供应商经修理或者更换后仍不合格的，采购人有权解除合同，要求投标供应商返还采购人已支付的合同款项，并有权要求投标供应商按合同总额【5】％支付违约金。</w:t>
      </w:r>
    </w:p>
    <w:p>
      <w:pPr>
        <w:spacing w:line="560" w:lineRule="exact"/>
        <w:ind w:firstLine="640" w:firstLineChars="200"/>
        <w:rPr>
          <w:rFonts w:hint="eastAsia" w:ascii="仿宋_GB2312" w:hAnsi="仿宋" w:eastAsia="仿宋_GB2312" w:cs="仿宋"/>
        </w:rPr>
      </w:pPr>
      <w:r>
        <w:rPr>
          <w:rFonts w:hint="eastAsia" w:ascii="仿宋_GB2312" w:hAnsi="仿宋" w:eastAsia="仿宋_GB2312" w:cs="仿宋"/>
        </w:rPr>
        <w:t>（3）在投标供应商承诺的或国家规定的质量保证期内（取两者中最长的期限），如经投标供应商两次维修或更换，货物仍不能达到合同约定的质量标准，采购人有权退货，投标供应商应退回全部货款并赔偿采购人因此遭受的损失。</w:t>
      </w:r>
      <w:bookmarkEnd w:id="0"/>
    </w:p>
    <w:p>
      <w:pPr>
        <w:pStyle w:val="2"/>
        <w:rPr>
          <w:rFonts w:hint="eastAsia" w:ascii="仿宋_GB2312" w:hAnsi="仿宋" w:eastAsia="仿宋_GB2312" w:cs="仿宋"/>
        </w:rPr>
      </w:pPr>
    </w:p>
    <w:p>
      <w:pPr>
        <w:rPr>
          <w:rFonts w:hint="eastAsia" w:ascii="仿宋_GB2312" w:hAnsi="仿宋" w:eastAsia="仿宋_GB2312" w:cs="仿宋"/>
        </w:rPr>
      </w:pPr>
    </w:p>
    <w:p>
      <w:pPr>
        <w:pStyle w:val="2"/>
        <w:rPr>
          <w:rFonts w:hint="eastAsia" w:ascii="仿宋_GB2312" w:hAnsi="仿宋" w:eastAsia="仿宋_GB2312" w:cs="仿宋"/>
        </w:rPr>
      </w:pPr>
    </w:p>
    <w:p>
      <w:pPr>
        <w:rPr>
          <w:rFonts w:hint="eastAsia" w:ascii="仿宋_GB2312" w:hAnsi="仿宋" w:eastAsia="仿宋_GB2312" w:cs="仿宋"/>
        </w:rPr>
      </w:pPr>
    </w:p>
    <w:p>
      <w:pPr>
        <w:pStyle w:val="2"/>
        <w:rPr>
          <w:rFonts w:hint="eastAsia" w:ascii="仿宋_GB2312" w:hAnsi="仿宋" w:eastAsia="仿宋_GB2312" w:cs="仿宋"/>
        </w:rPr>
      </w:pPr>
    </w:p>
    <w:p>
      <w:pPr>
        <w:rPr>
          <w:rFonts w:hint="eastAsia" w:ascii="仿宋_GB2312" w:hAnsi="仿宋" w:eastAsia="仿宋_GB2312" w:cs="仿宋"/>
        </w:rPr>
      </w:pPr>
    </w:p>
    <w:p>
      <w:pPr>
        <w:pStyle w:val="2"/>
        <w:rPr>
          <w:rFonts w:hint="eastAsia" w:ascii="仿宋_GB2312" w:hAnsi="仿宋" w:eastAsia="仿宋_GB2312" w:cs="仿宋"/>
        </w:rPr>
      </w:pPr>
    </w:p>
    <w:p>
      <w:pPr>
        <w:rPr>
          <w:rFonts w:hint="eastAsia"/>
        </w:rPr>
      </w:pPr>
    </w:p>
    <w:p>
      <w:pPr>
        <w:pStyle w:val="2"/>
        <w:rPr>
          <w:rFonts w:hint="eastAsia"/>
        </w:rPr>
      </w:pPr>
    </w:p>
    <w:p>
      <w:pPr>
        <w:rPr>
          <w:rFonts w:hint="eastAsia"/>
        </w:rPr>
      </w:pPr>
    </w:p>
    <w:p>
      <w:pPr>
        <w:pStyle w:val="2"/>
        <w:rPr>
          <w:rFonts w:hint="eastAsia"/>
        </w:rPr>
      </w:pPr>
    </w:p>
    <w:p>
      <w:pPr>
        <w:rPr>
          <w:rFonts w:hint="eastAsia" w:ascii="仿宋_GB2312" w:hAnsi="仿宋" w:eastAsia="仿宋_GB2312" w:cs="仿宋"/>
          <w:lang w:val="en-US" w:eastAsia="zh-CN"/>
        </w:rPr>
      </w:pPr>
      <w:r>
        <w:rPr>
          <w:rFonts w:hint="eastAsia" w:ascii="仿宋_GB2312" w:hAnsi="仿宋_GB2312" w:eastAsia="仿宋_GB2312" w:cs="仿宋_GB2312"/>
          <w:lang w:val="en-US" w:eastAsia="zh-CN"/>
        </w:rPr>
        <w:t>附件1：</w:t>
      </w:r>
      <w:r>
        <w:rPr>
          <w:rFonts w:hint="eastAsia" w:ascii="仿宋_GB2312" w:hAnsi="仿宋" w:eastAsia="仿宋_GB2312" w:cs="仿宋"/>
        </w:rPr>
        <w:t>反诈宣传充电宝</w:t>
      </w:r>
      <w:r>
        <w:rPr>
          <w:rFonts w:hint="eastAsia" w:ascii="仿宋_GB2312" w:hAnsi="仿宋" w:eastAsia="仿宋_GB2312" w:cs="仿宋"/>
          <w:lang w:val="en-US" w:eastAsia="zh-CN"/>
        </w:rPr>
        <w:t>效果图</w:t>
      </w:r>
    </w:p>
    <w:p>
      <w:pPr>
        <w:pStyle w:val="2"/>
        <w:rPr>
          <w:rFonts w:hint="eastAsia" w:ascii="仿宋_GB2312" w:hAnsi="仿宋" w:eastAsia="仿宋_GB2312" w:cs="仿宋"/>
          <w:lang w:val="en-US" w:eastAsia="zh-CN"/>
        </w:rPr>
      </w:pPr>
    </w:p>
    <w:p>
      <w:pPr>
        <w:rPr>
          <w:rFonts w:hint="eastAsia" w:ascii="仿宋_GB2312" w:hAnsi="仿宋" w:eastAsia="仿宋_GB2312" w:cs="仿宋"/>
          <w:lang w:val="en-US" w:eastAsia="zh-CN"/>
        </w:rPr>
      </w:pPr>
    </w:p>
    <w:p>
      <w:pPr>
        <w:pStyle w:val="2"/>
        <w:rPr>
          <w:rFonts w:hint="eastAsia"/>
          <w:lang w:val="en-US" w:eastAsia="zh-CN"/>
        </w:rPr>
      </w:pPr>
    </w:p>
    <w:p>
      <w:pPr>
        <w:pStyle w:val="2"/>
        <w:ind w:left="0" w:leftChars="0" w:firstLine="0" w:firstLineChars="0"/>
        <w:rPr>
          <w:rFonts w:hint="eastAsia"/>
          <w:lang w:val="en-US" w:eastAsia="zh-CN"/>
        </w:rPr>
      </w:pPr>
    </w:p>
    <w:p>
      <w:pPr>
        <w:pStyle w:val="2"/>
        <w:rPr>
          <w:rFonts w:hint="eastAsia" w:ascii="仿宋_GB2312" w:hAnsi="仿宋" w:eastAsia="仿宋_GB2312" w:cs="仿宋"/>
          <w:lang w:val="en-US" w:eastAsia="zh-CN"/>
        </w:rPr>
      </w:pPr>
      <w:r>
        <w:rPr>
          <w:rFonts w:hint="eastAsia" w:ascii="仿宋_GB2312" w:hAnsi="仿宋" w:eastAsia="仿宋_GB2312" w:cs="仿宋"/>
          <w:lang w:val="en-US" w:eastAsia="zh-CN"/>
        </w:rPr>
        <w:drawing>
          <wp:inline distT="0" distB="0" distL="114300" distR="114300">
            <wp:extent cx="5267325" cy="3536950"/>
            <wp:effectExtent l="0" t="0" r="9525" b="6350"/>
            <wp:docPr id="2" name="图片 2" descr="(24)bl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4)blob"/>
                    <pic:cNvPicPr>
                      <a:picLocks noChangeAspect="1"/>
                    </pic:cNvPicPr>
                  </pic:nvPicPr>
                  <pic:blipFill>
                    <a:blip r:embed="rId5"/>
                    <a:stretch>
                      <a:fillRect/>
                    </a:stretch>
                  </pic:blipFill>
                  <pic:spPr>
                    <a:xfrm>
                      <a:off x="0" y="0"/>
                      <a:ext cx="5267325" cy="3536950"/>
                    </a:xfrm>
                    <a:prstGeom prst="rect">
                      <a:avLst/>
                    </a:prstGeom>
                  </pic:spPr>
                </pic:pic>
              </a:graphicData>
            </a:graphic>
          </wp:inline>
        </w:drawing>
      </w:r>
    </w:p>
    <w:p>
      <w:pPr>
        <w:pStyle w:val="2"/>
        <w:ind w:left="0" w:leftChars="0" w:firstLine="0" w:firstLineChars="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ascii="仿宋_GB2312" w:hAnsi="仿宋" w:eastAsia="仿宋_GB2312" w:cs="仿宋"/>
          <w:lang w:val="en-US" w:eastAsia="zh-CN"/>
        </w:rPr>
      </w:pPr>
      <w:r>
        <w:rPr>
          <w:rFonts w:hint="eastAsia" w:ascii="仿宋_GB2312" w:hAnsi="仿宋_GB2312" w:eastAsia="仿宋_GB2312" w:cs="仿宋_GB2312"/>
          <w:lang w:val="en-US" w:eastAsia="zh-CN"/>
        </w:rPr>
        <w:t>附件2：反诈宣传雨伞</w:t>
      </w:r>
      <w:r>
        <w:rPr>
          <w:rFonts w:hint="eastAsia" w:ascii="仿宋_GB2312" w:hAnsi="仿宋" w:eastAsia="仿宋_GB2312" w:cs="仿宋"/>
          <w:lang w:val="en-US" w:eastAsia="zh-CN"/>
        </w:rPr>
        <w:t>效果图</w:t>
      </w:r>
    </w:p>
    <w:p>
      <w:pPr>
        <w:rPr>
          <w:rFonts w:hint="eastAsia"/>
          <w:lang w:val="en-US" w:eastAsia="zh-CN"/>
        </w:rPr>
      </w:pPr>
      <w:r>
        <w:rPr>
          <w:rFonts w:hint="eastAsia"/>
          <w:lang w:val="en-US" w:eastAsia="zh-CN"/>
        </w:rPr>
        <w:drawing>
          <wp:inline distT="0" distB="0" distL="114300" distR="114300">
            <wp:extent cx="4958080" cy="4582795"/>
            <wp:effectExtent l="0" t="0" r="13970" b="8255"/>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6"/>
                    <a:stretch>
                      <a:fillRect/>
                    </a:stretch>
                  </pic:blipFill>
                  <pic:spPr>
                    <a:xfrm rot="10800000">
                      <a:off x="0" y="0"/>
                      <a:ext cx="4958080" cy="4582795"/>
                    </a:xfrm>
                    <a:prstGeom prst="rect">
                      <a:avLst/>
                    </a:prstGeom>
                  </pic:spPr>
                </pic:pic>
              </a:graphicData>
            </a:graphic>
          </wp:inline>
        </w:drawing>
      </w:r>
      <w:r>
        <w:rPr>
          <w:rFonts w:hint="eastAsia"/>
          <w:lang w:val="en-US" w:eastAsia="zh-CN"/>
        </w:rPr>
        <w:drawing>
          <wp:inline distT="0" distB="0" distL="114300" distR="114300">
            <wp:extent cx="5272405" cy="2621280"/>
            <wp:effectExtent l="0" t="0" r="4445" b="7620"/>
            <wp:docPr id="4" name="图片 4" descr="(19)bl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9)blob"/>
                    <pic:cNvPicPr>
                      <a:picLocks noChangeAspect="1"/>
                    </pic:cNvPicPr>
                  </pic:nvPicPr>
                  <pic:blipFill>
                    <a:blip r:embed="rId7"/>
                    <a:stretch>
                      <a:fillRect/>
                    </a:stretch>
                  </pic:blipFill>
                  <pic:spPr>
                    <a:xfrm rot="10800000">
                      <a:off x="0" y="0"/>
                      <a:ext cx="5272405" cy="2621280"/>
                    </a:xfrm>
                    <a:prstGeom prst="rect">
                      <a:avLst/>
                    </a:prstGeom>
                  </pic:spPr>
                </pic:pic>
              </a:graphicData>
            </a:graphic>
          </wp:inline>
        </w:drawing>
      </w:r>
    </w:p>
    <w:p>
      <w:pPr>
        <w:pStyle w:val="2"/>
        <w:rPr>
          <w:rFonts w:hint="eastAsia"/>
          <w:lang w:val="en-US" w:eastAsia="zh-CN"/>
        </w:rPr>
      </w:pPr>
    </w:p>
    <w:p>
      <w:pPr>
        <w:rPr>
          <w:rFonts w:hint="eastAsia"/>
          <w:lang w:val="en-US" w:eastAsia="zh-CN"/>
        </w:rPr>
      </w:pPr>
      <w:r>
        <w:rPr>
          <w:rFonts w:hint="eastAsia" w:ascii="仿宋_GB2312" w:hAnsi="仿宋_GB2312" w:eastAsia="仿宋_GB2312" w:cs="仿宋_GB2312"/>
          <w:lang w:val="en-US" w:eastAsia="zh-CN"/>
        </w:rPr>
        <w:t>附件3：</w:t>
      </w:r>
      <w:r>
        <w:rPr>
          <w:rFonts w:hint="eastAsia" w:ascii="仿宋_GB2312" w:hAnsi="仿宋" w:eastAsia="仿宋_GB2312" w:cs="仿宋"/>
          <w:kern w:val="2"/>
          <w:sz w:val="32"/>
          <w:szCs w:val="32"/>
          <w:lang w:val="en-US" w:eastAsia="zh-CN" w:bidi="ar-SA"/>
        </w:rPr>
        <w:t>反诈宣传手提袋</w:t>
      </w:r>
      <w:r>
        <w:rPr>
          <w:rFonts w:hint="eastAsia" w:ascii="仿宋_GB2312" w:hAnsi="仿宋" w:eastAsia="仿宋_GB2312" w:cs="仿宋"/>
          <w:lang w:val="en-US" w:eastAsia="zh-CN"/>
        </w:rPr>
        <w:t>效果图</w:t>
      </w:r>
    </w:p>
    <w:p>
      <w:pPr>
        <w:pStyle w:val="2"/>
        <w:ind w:left="0" w:leftChars="0" w:firstLine="0" w:firstLineChars="0"/>
        <w:rPr>
          <w:rFonts w:hint="eastAsia"/>
          <w:lang w:val="en-US" w:eastAsia="zh-CN"/>
        </w:rPr>
      </w:pPr>
    </w:p>
    <w:p>
      <w:pPr>
        <w:pStyle w:val="2"/>
        <w:rPr>
          <w:rFonts w:hint="eastAsia"/>
          <w:lang w:val="en-US" w:eastAsia="zh-CN"/>
        </w:rPr>
      </w:pPr>
      <w:r>
        <w:rPr>
          <w:rFonts w:hint="eastAsia"/>
          <w:lang w:val="en-US" w:eastAsia="zh-CN"/>
        </w:rPr>
        <w:drawing>
          <wp:inline distT="0" distB="0" distL="114300" distR="114300">
            <wp:extent cx="5257800" cy="2865120"/>
            <wp:effectExtent l="0" t="0" r="0" b="11430"/>
            <wp:docPr id="5" name="图片 5" descr="bl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lob"/>
                    <pic:cNvPicPr>
                      <a:picLocks noChangeAspect="1"/>
                    </pic:cNvPicPr>
                  </pic:nvPicPr>
                  <pic:blipFill>
                    <a:blip r:embed="rId8"/>
                    <a:stretch>
                      <a:fillRect/>
                    </a:stretch>
                  </pic:blipFill>
                  <pic:spPr>
                    <a:xfrm>
                      <a:off x="0" y="0"/>
                      <a:ext cx="5257800" cy="2865120"/>
                    </a:xfrm>
                    <a:prstGeom prst="rect">
                      <a:avLst/>
                    </a:prstGeom>
                  </pic:spPr>
                </pic:pic>
              </a:graphicData>
            </a:graphic>
          </wp:inline>
        </w:drawing>
      </w:r>
    </w:p>
    <w:p>
      <w:pPr>
        <w:rPr>
          <w:rFonts w:hint="eastAsia"/>
        </w:rPr>
      </w:pPr>
      <w:r>
        <w:rPr>
          <w:rFonts w:hint="eastAsia"/>
          <w:lang w:val="en-US" w:eastAsia="zh-CN"/>
        </w:rPr>
        <w:t xml:space="preserve">         </w:t>
      </w:r>
      <w:bookmarkStart w:id="1" w:name="_GoBack"/>
      <w:bookmarkEnd w:id="1"/>
      <w:r>
        <w:rPr>
          <w:rFonts w:hint="eastAsia"/>
          <w:lang w:val="en-US" w:eastAsia="zh-CN"/>
        </w:rPr>
        <w:t xml:space="preserve">      </w:t>
      </w:r>
      <w:r>
        <w:rPr>
          <w:rFonts w:hint="eastAsia"/>
          <w:lang w:val="en-US" w:eastAsia="zh-CN"/>
        </w:rPr>
        <w:drawing>
          <wp:inline distT="0" distB="0" distL="114300" distR="114300">
            <wp:extent cx="3404870" cy="4946015"/>
            <wp:effectExtent l="0" t="0" r="0" b="0"/>
            <wp:docPr id="6" name="图片 6" descr="(23)bl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blob"/>
                    <pic:cNvPicPr>
                      <a:picLocks noChangeAspect="1"/>
                    </pic:cNvPicPr>
                  </pic:nvPicPr>
                  <pic:blipFill>
                    <a:blip r:embed="rId9"/>
                    <a:stretch>
                      <a:fillRect/>
                    </a:stretch>
                  </pic:blipFill>
                  <pic:spPr>
                    <a:xfrm>
                      <a:off x="0" y="0"/>
                      <a:ext cx="3404870" cy="4946015"/>
                    </a:xfrm>
                    <a:prstGeom prst="rect">
                      <a:avLst/>
                    </a:prstGeom>
                  </pic:spPr>
                </pic:pic>
              </a:graphicData>
            </a:graphic>
          </wp:inline>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DB11D"/>
    <w:multiLevelType w:val="singleLevel"/>
    <w:tmpl w:val="8ABDB11D"/>
    <w:lvl w:ilvl="0" w:tentative="0">
      <w:start w:val="2"/>
      <w:numFmt w:val="decimal"/>
      <w:lvlText w:val="%1."/>
      <w:lvlJc w:val="left"/>
      <w:pPr>
        <w:tabs>
          <w:tab w:val="left" w:pos="312"/>
        </w:tabs>
      </w:pPr>
    </w:lvl>
  </w:abstractNum>
  <w:abstractNum w:abstractNumId="1">
    <w:nsid w:val="B2969339"/>
    <w:multiLevelType w:val="singleLevel"/>
    <w:tmpl w:val="B2969339"/>
    <w:lvl w:ilvl="0" w:tentative="0">
      <w:start w:val="3"/>
      <w:numFmt w:val="chineseCounting"/>
      <w:suff w:val="nothing"/>
      <w:lvlText w:val="（%1）"/>
      <w:lvlJc w:val="left"/>
      <w:rPr>
        <w:rFonts w:hint="eastAsia"/>
      </w:rPr>
    </w:lvl>
  </w:abstractNum>
  <w:abstractNum w:abstractNumId="2">
    <w:nsid w:val="C8FEFDC2"/>
    <w:multiLevelType w:val="singleLevel"/>
    <w:tmpl w:val="C8FEFDC2"/>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4NDJiNzM5MmRiZjUwY2NjODE1ZmFhZjIwYWVmNTYifQ=="/>
  </w:docVars>
  <w:rsids>
    <w:rsidRoot w:val="41CE0AC6"/>
    <w:rsid w:val="000126BE"/>
    <w:rsid w:val="00164C26"/>
    <w:rsid w:val="001F1B82"/>
    <w:rsid w:val="001F2290"/>
    <w:rsid w:val="00261D71"/>
    <w:rsid w:val="002875EE"/>
    <w:rsid w:val="00293382"/>
    <w:rsid w:val="002A7EF7"/>
    <w:rsid w:val="00342A0F"/>
    <w:rsid w:val="00352F87"/>
    <w:rsid w:val="00371D48"/>
    <w:rsid w:val="003A4C88"/>
    <w:rsid w:val="003E05DE"/>
    <w:rsid w:val="004719D3"/>
    <w:rsid w:val="00482BF2"/>
    <w:rsid w:val="004A4360"/>
    <w:rsid w:val="0050005B"/>
    <w:rsid w:val="00512D7F"/>
    <w:rsid w:val="00513723"/>
    <w:rsid w:val="005564A8"/>
    <w:rsid w:val="00642931"/>
    <w:rsid w:val="006615E0"/>
    <w:rsid w:val="006E57EC"/>
    <w:rsid w:val="00776AF6"/>
    <w:rsid w:val="007A35AE"/>
    <w:rsid w:val="007E4576"/>
    <w:rsid w:val="00802F12"/>
    <w:rsid w:val="00805254"/>
    <w:rsid w:val="008342F8"/>
    <w:rsid w:val="008965FB"/>
    <w:rsid w:val="009346D5"/>
    <w:rsid w:val="009505AA"/>
    <w:rsid w:val="009C008B"/>
    <w:rsid w:val="009C43CE"/>
    <w:rsid w:val="00A337AB"/>
    <w:rsid w:val="00AA13CF"/>
    <w:rsid w:val="00AB7616"/>
    <w:rsid w:val="00AE676D"/>
    <w:rsid w:val="00C105ED"/>
    <w:rsid w:val="00C165C8"/>
    <w:rsid w:val="00C46D0F"/>
    <w:rsid w:val="00C70E1C"/>
    <w:rsid w:val="00D12602"/>
    <w:rsid w:val="00D66887"/>
    <w:rsid w:val="00DE08D7"/>
    <w:rsid w:val="00E82162"/>
    <w:rsid w:val="00E86033"/>
    <w:rsid w:val="00ED42B4"/>
    <w:rsid w:val="00EE1A4E"/>
    <w:rsid w:val="00F833DE"/>
    <w:rsid w:val="01291782"/>
    <w:rsid w:val="0185278D"/>
    <w:rsid w:val="03233960"/>
    <w:rsid w:val="03280EF8"/>
    <w:rsid w:val="03A73DF9"/>
    <w:rsid w:val="04C64E6C"/>
    <w:rsid w:val="0B161F7E"/>
    <w:rsid w:val="0BAE21B6"/>
    <w:rsid w:val="0C760F26"/>
    <w:rsid w:val="0DB85A38"/>
    <w:rsid w:val="0DD57ECE"/>
    <w:rsid w:val="0EBE46BE"/>
    <w:rsid w:val="11FF4738"/>
    <w:rsid w:val="1553224A"/>
    <w:rsid w:val="17885FB1"/>
    <w:rsid w:val="1792706C"/>
    <w:rsid w:val="18E84F59"/>
    <w:rsid w:val="1B0921EA"/>
    <w:rsid w:val="201560AF"/>
    <w:rsid w:val="20E71F9A"/>
    <w:rsid w:val="23AE0B43"/>
    <w:rsid w:val="287C43A8"/>
    <w:rsid w:val="2BFD08C4"/>
    <w:rsid w:val="334D1DA9"/>
    <w:rsid w:val="33F26CFA"/>
    <w:rsid w:val="34171C2A"/>
    <w:rsid w:val="3AA65ADC"/>
    <w:rsid w:val="3B1262E1"/>
    <w:rsid w:val="3EDD1351"/>
    <w:rsid w:val="41CE0AC6"/>
    <w:rsid w:val="41D8350E"/>
    <w:rsid w:val="4360435D"/>
    <w:rsid w:val="44EB4B04"/>
    <w:rsid w:val="4CD01C8E"/>
    <w:rsid w:val="50D032B7"/>
    <w:rsid w:val="51173349"/>
    <w:rsid w:val="514D0E47"/>
    <w:rsid w:val="553D79B7"/>
    <w:rsid w:val="55B36828"/>
    <w:rsid w:val="5716570A"/>
    <w:rsid w:val="58DC3D2C"/>
    <w:rsid w:val="5CFA3F75"/>
    <w:rsid w:val="5F48187B"/>
    <w:rsid w:val="6A6869E7"/>
    <w:rsid w:val="70AC6680"/>
    <w:rsid w:val="721A5CAC"/>
    <w:rsid w:val="73C038E6"/>
    <w:rsid w:val="75F95225"/>
    <w:rsid w:val="76A2766B"/>
    <w:rsid w:val="78260098"/>
    <w:rsid w:val="79630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3">
    <w:name w:val="heading 2"/>
    <w:basedOn w:val="4"/>
    <w:next w:val="5"/>
    <w:qFormat/>
    <w:uiPriority w:val="0"/>
    <w:pPr>
      <w:adjustRightInd w:val="0"/>
      <w:spacing w:line="240" w:lineRule="auto"/>
      <w:jc w:val="center"/>
      <w:textAlignment w:val="baseline"/>
      <w:outlineLvl w:val="1"/>
    </w:pPr>
    <w:rPr>
      <w:rFonts w:ascii="宋体" w:hAnsi="宋体"/>
      <w:kern w:val="0"/>
      <w:sz w:val="24"/>
      <w:szCs w:val="20"/>
    </w:rPr>
  </w:style>
  <w:style w:type="paragraph" w:styleId="4">
    <w:name w:val="heading 3"/>
    <w:basedOn w:val="1"/>
    <w:next w:val="1"/>
    <w:qFormat/>
    <w:uiPriority w:val="0"/>
    <w:pPr>
      <w:keepNext/>
      <w:keepLines/>
      <w:spacing w:before="260" w:after="260" w:line="416" w:lineRule="auto"/>
      <w:outlineLvl w:val="2"/>
    </w:pPr>
    <w:rPr>
      <w:b/>
    </w:rPr>
  </w:style>
  <w:style w:type="paragraph" w:styleId="5">
    <w:name w:val="heading 4"/>
    <w:basedOn w:val="1"/>
    <w:next w:val="1"/>
    <w:qFormat/>
    <w:uiPriority w:val="0"/>
    <w:pPr>
      <w:keepNext/>
      <w:keepLines/>
      <w:spacing w:before="280" w:after="290" w:line="376" w:lineRule="auto"/>
      <w:outlineLvl w:val="3"/>
    </w:pPr>
    <w:rPr>
      <w:rFonts w:ascii="Cambria" w:hAnsi="Cambria"/>
      <w:b/>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Calibri" w:hAnsi="Calibri"/>
      <w:sz w:val="21"/>
      <w:szCs w:val="22"/>
    </w:rPr>
  </w:style>
  <w:style w:type="paragraph" w:styleId="6">
    <w:name w:val="Body Text"/>
    <w:basedOn w:val="1"/>
    <w:next w:val="1"/>
    <w:unhideWhenUsed/>
    <w:qFormat/>
    <w:uiPriority w:val="99"/>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Normal (Web)"/>
    <w:basedOn w:val="1"/>
    <w:qFormat/>
    <w:uiPriority w:val="99"/>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333</Words>
  <Characters>1903</Characters>
  <Lines>15</Lines>
  <Paragraphs>4</Paragraphs>
  <TotalTime>2</TotalTime>
  <ScaleCrop>false</ScaleCrop>
  <LinksUpToDate>false</LinksUpToDate>
  <CharactersWithSpaces>2232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2026-04-15T08:38:00Z</dcterms:created>
  <dc:creator>Yang</dc:creator>
  <cp:lastModifiedBy>WPS_339322271</cp:lastModifiedBy>
  <dcterms:modified xsi:type="dcterms:W3CDTF">2026-07-13T06:35:50Z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B72E6D8DE6444A93AF9EE3A7849ABCCB_13</vt:lpwstr>
  </property>
</Properties>
</file>