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keepNext w:val="0"/>
        <w:keepLines w:val="0"/>
        <w:pageBreakBefore w:val="0"/>
        <w:widowControl/>
        <w:kinsoku/>
        <w:wordWrap/>
        <w:overflowPunct/>
        <w:topLinePunct w:val="0"/>
        <w:autoSpaceDE/>
        <w:autoSpaceDN/>
        <w:bidi w:val="0"/>
        <w:adjustRightInd/>
        <w:snapToGrid/>
        <w:spacing w:beforeAutospacing="1" w:afterAutospacing="1"/>
        <w:jc w:val="center"/>
        <w:textAlignment w:val="auto"/>
        <w:outlineLvl w:val="0"/>
        <w:rPr>
          <w:rFonts w:ascii="黑体" w:hAnsi="宋体" w:eastAsia="黑体" w:cs="黑体"/>
          <w:kern w:val="0"/>
          <w:sz w:val="40"/>
          <w:szCs w:val="40"/>
        </w:rPr>
      </w:pPr>
      <w:r>
        <w:rPr>
          <w:rFonts w:hint="eastAsia" w:ascii="黑体" w:hAnsi="宋体" w:eastAsia="黑体" w:cs="黑体"/>
          <w:kern w:val="0"/>
          <w:sz w:val="40"/>
          <w:szCs w:val="40"/>
        </w:rPr>
        <w:t>招标文件信息</w:t>
      </w:r>
    </w:p>
    <w:tbl>
      <w:tblPr>
        <w:tblStyle w:val="17"/>
        <w:tblW w:w="8174" w:type="dxa"/>
        <w:jc w:val="center"/>
        <w:tblCellSpacing w:w="0" w:type="dxa"/>
        <w:tblLayout w:type="autofit"/>
        <w:tblCellMar>
          <w:top w:w="36" w:type="dxa"/>
          <w:left w:w="36" w:type="dxa"/>
          <w:bottom w:w="36" w:type="dxa"/>
          <w:right w:w="36" w:type="dxa"/>
        </w:tblCellMar>
      </w:tblPr>
      <w:tblGrid>
        <w:gridCol w:w="2186"/>
        <w:gridCol w:w="5988"/>
      </w:tblGrid>
      <w:tr>
        <w:tblPrEx>
          <w:tblCellMar>
            <w:top w:w="36" w:type="dxa"/>
            <w:left w:w="36" w:type="dxa"/>
            <w:bottom w:w="36" w:type="dxa"/>
            <w:right w:w="36" w:type="dxa"/>
          </w:tblCellMar>
        </w:tblPrEx>
        <w:trPr>
          <w:trHeight w:val="737" w:hRule="atLeast"/>
          <w:tblCellSpacing w:w="0" w:type="dxa"/>
          <w:jc w:val="center"/>
        </w:trPr>
        <w:tc>
          <w:tcPr>
            <w:tcW w:w="2186" w:type="dxa"/>
            <w:vAlign w:val="center"/>
          </w:tcPr>
          <w:p>
            <w:pPr>
              <w:jc w:val="right"/>
              <w:rPr>
                <w:sz w:val="30"/>
                <w:szCs w:val="30"/>
              </w:rPr>
            </w:pPr>
            <w:r>
              <w:rPr>
                <w:sz w:val="30"/>
                <w:szCs w:val="30"/>
              </w:rPr>
              <w:t>项目编号：</w:t>
            </w:r>
          </w:p>
        </w:tc>
        <w:tc>
          <w:tcPr>
            <w:tcW w:w="5988" w:type="dxa"/>
            <w:vAlign w:val="center"/>
          </w:tcPr>
          <w:p>
            <w:pPr>
              <w:rPr>
                <w:sz w:val="30"/>
                <w:szCs w:val="30"/>
              </w:rPr>
            </w:pPr>
            <w:r>
              <w:rPr>
                <w:rFonts w:hint="eastAsia" w:asciiTheme="minorEastAsia" w:hAnsiTheme="minorEastAsia"/>
                <w:sz w:val="30"/>
                <w:szCs w:val="30"/>
              </w:rPr>
              <w:t>LHAZXCG-2024-00162</w:t>
            </w:r>
          </w:p>
        </w:tc>
      </w:tr>
      <w:tr>
        <w:tblPrEx>
          <w:tblCellMar>
            <w:top w:w="36" w:type="dxa"/>
            <w:left w:w="36" w:type="dxa"/>
            <w:bottom w:w="36" w:type="dxa"/>
            <w:right w:w="36" w:type="dxa"/>
          </w:tblCellMar>
        </w:tblPrEx>
        <w:trPr>
          <w:trHeight w:val="737" w:hRule="atLeast"/>
          <w:tblCellSpacing w:w="0" w:type="dxa"/>
          <w:jc w:val="center"/>
        </w:trPr>
        <w:tc>
          <w:tcPr>
            <w:tcW w:w="2186" w:type="dxa"/>
            <w:vAlign w:val="center"/>
          </w:tcPr>
          <w:p>
            <w:pPr>
              <w:jc w:val="right"/>
              <w:rPr>
                <w:sz w:val="30"/>
                <w:szCs w:val="30"/>
              </w:rPr>
            </w:pPr>
            <w:r>
              <w:rPr>
                <w:sz w:val="30"/>
                <w:szCs w:val="30"/>
              </w:rPr>
              <w:t>项目名称：</w:t>
            </w:r>
          </w:p>
        </w:tc>
        <w:tc>
          <w:tcPr>
            <w:tcW w:w="5988" w:type="dxa"/>
            <w:vAlign w:val="center"/>
          </w:tcPr>
          <w:p>
            <w:pPr>
              <w:rPr>
                <w:rFonts w:hint="default" w:eastAsiaTheme="minorEastAsia"/>
                <w:sz w:val="30"/>
                <w:szCs w:val="30"/>
                <w:lang w:val="en-US" w:eastAsia="zh-CN"/>
              </w:rPr>
            </w:pPr>
            <w:r>
              <w:rPr>
                <w:rFonts w:hint="eastAsia" w:asciiTheme="minorEastAsia" w:hAnsiTheme="minorEastAsia"/>
                <w:sz w:val="30"/>
                <w:szCs w:val="30"/>
                <w:lang w:val="en-US" w:eastAsia="zh-CN"/>
              </w:rPr>
              <w:t>龙华区青少年宫2025年剧场剧目</w:t>
            </w:r>
          </w:p>
        </w:tc>
      </w:tr>
      <w:tr>
        <w:tblPrEx>
          <w:tblCellMar>
            <w:top w:w="36" w:type="dxa"/>
            <w:left w:w="36" w:type="dxa"/>
            <w:bottom w:w="36" w:type="dxa"/>
            <w:right w:w="36" w:type="dxa"/>
          </w:tblCellMar>
        </w:tblPrEx>
        <w:trPr>
          <w:trHeight w:val="737" w:hRule="atLeast"/>
          <w:tblCellSpacing w:w="0" w:type="dxa"/>
          <w:jc w:val="center"/>
        </w:trPr>
        <w:tc>
          <w:tcPr>
            <w:tcW w:w="2186" w:type="dxa"/>
            <w:vAlign w:val="center"/>
          </w:tcPr>
          <w:p>
            <w:pPr>
              <w:jc w:val="right"/>
              <w:rPr>
                <w:sz w:val="30"/>
                <w:szCs w:val="30"/>
              </w:rPr>
            </w:pPr>
            <w:r>
              <w:rPr>
                <w:sz w:val="30"/>
                <w:szCs w:val="30"/>
              </w:rPr>
              <w:t>包</w:t>
            </w:r>
            <w:r>
              <w:rPr>
                <w:rFonts w:hint="eastAsia"/>
                <w:sz w:val="30"/>
                <w:szCs w:val="30"/>
                <w:lang w:val="en-US" w:eastAsia="zh-CN"/>
              </w:rPr>
              <w:t xml:space="preserve">    </w:t>
            </w:r>
            <w:r>
              <w:rPr>
                <w:sz w:val="30"/>
                <w:szCs w:val="30"/>
              </w:rPr>
              <w:t>号：</w:t>
            </w:r>
          </w:p>
        </w:tc>
        <w:tc>
          <w:tcPr>
            <w:tcW w:w="5988" w:type="dxa"/>
            <w:vAlign w:val="center"/>
          </w:tcPr>
          <w:p>
            <w:pPr>
              <w:rPr>
                <w:sz w:val="30"/>
                <w:szCs w:val="30"/>
              </w:rPr>
            </w:pPr>
            <w:r>
              <w:rPr>
                <w:sz w:val="30"/>
                <w:szCs w:val="30"/>
              </w:rPr>
              <w:t>A</w:t>
            </w:r>
          </w:p>
        </w:tc>
      </w:tr>
      <w:tr>
        <w:tblPrEx>
          <w:tblCellMar>
            <w:top w:w="36" w:type="dxa"/>
            <w:left w:w="36" w:type="dxa"/>
            <w:bottom w:w="36" w:type="dxa"/>
            <w:right w:w="36" w:type="dxa"/>
          </w:tblCellMar>
        </w:tblPrEx>
        <w:trPr>
          <w:trHeight w:val="737" w:hRule="atLeast"/>
          <w:tblCellSpacing w:w="0" w:type="dxa"/>
          <w:jc w:val="center"/>
        </w:trPr>
        <w:tc>
          <w:tcPr>
            <w:tcW w:w="2186" w:type="dxa"/>
            <w:vAlign w:val="center"/>
          </w:tcPr>
          <w:p>
            <w:pPr>
              <w:jc w:val="right"/>
              <w:rPr>
                <w:sz w:val="30"/>
                <w:szCs w:val="30"/>
              </w:rPr>
            </w:pPr>
            <w:r>
              <w:rPr>
                <w:sz w:val="30"/>
                <w:szCs w:val="30"/>
              </w:rPr>
              <w:t>项目类型：</w:t>
            </w:r>
          </w:p>
        </w:tc>
        <w:tc>
          <w:tcPr>
            <w:tcW w:w="5988" w:type="dxa"/>
            <w:vAlign w:val="center"/>
          </w:tcPr>
          <w:p>
            <w:pPr>
              <w:rPr>
                <w:sz w:val="30"/>
                <w:szCs w:val="30"/>
              </w:rPr>
            </w:pPr>
            <w:r>
              <w:rPr>
                <w:rFonts w:hint="eastAsia"/>
                <w:sz w:val="30"/>
                <w:szCs w:val="30"/>
                <w:lang w:val="en-US" w:eastAsia="zh-CN"/>
              </w:rPr>
              <w:t>服务</w:t>
            </w:r>
            <w:r>
              <w:rPr>
                <w:sz w:val="30"/>
                <w:szCs w:val="30"/>
              </w:rPr>
              <w:t>类</w:t>
            </w:r>
          </w:p>
        </w:tc>
      </w:tr>
      <w:tr>
        <w:tblPrEx>
          <w:tblCellMar>
            <w:top w:w="36" w:type="dxa"/>
            <w:left w:w="36" w:type="dxa"/>
            <w:bottom w:w="36" w:type="dxa"/>
            <w:right w:w="36" w:type="dxa"/>
          </w:tblCellMar>
        </w:tblPrEx>
        <w:trPr>
          <w:trHeight w:val="737" w:hRule="atLeast"/>
          <w:tblCellSpacing w:w="0" w:type="dxa"/>
          <w:jc w:val="center"/>
        </w:trPr>
        <w:tc>
          <w:tcPr>
            <w:tcW w:w="2186" w:type="dxa"/>
            <w:vAlign w:val="center"/>
          </w:tcPr>
          <w:p>
            <w:pPr>
              <w:jc w:val="right"/>
              <w:rPr>
                <w:sz w:val="30"/>
                <w:szCs w:val="30"/>
              </w:rPr>
            </w:pPr>
            <w:r>
              <w:rPr>
                <w:sz w:val="30"/>
                <w:szCs w:val="30"/>
              </w:rPr>
              <w:t>采购方式：</w:t>
            </w:r>
          </w:p>
        </w:tc>
        <w:tc>
          <w:tcPr>
            <w:tcW w:w="5988" w:type="dxa"/>
            <w:vAlign w:val="center"/>
          </w:tcPr>
          <w:p>
            <w:pPr>
              <w:rPr>
                <w:sz w:val="30"/>
                <w:szCs w:val="30"/>
              </w:rPr>
            </w:pPr>
            <w:r>
              <w:rPr>
                <w:sz w:val="30"/>
                <w:szCs w:val="30"/>
              </w:rPr>
              <w:t>公开招标</w:t>
            </w:r>
          </w:p>
        </w:tc>
      </w:tr>
      <w:tr>
        <w:tblPrEx>
          <w:tblCellMar>
            <w:top w:w="36" w:type="dxa"/>
            <w:left w:w="36" w:type="dxa"/>
            <w:bottom w:w="36" w:type="dxa"/>
            <w:right w:w="36" w:type="dxa"/>
          </w:tblCellMar>
        </w:tblPrEx>
        <w:trPr>
          <w:trHeight w:val="737" w:hRule="atLeast"/>
          <w:tblCellSpacing w:w="0" w:type="dxa"/>
          <w:jc w:val="center"/>
        </w:trPr>
        <w:tc>
          <w:tcPr>
            <w:tcW w:w="2186" w:type="dxa"/>
            <w:vAlign w:val="center"/>
          </w:tcPr>
          <w:p>
            <w:pPr>
              <w:jc w:val="right"/>
              <w:rPr>
                <w:sz w:val="30"/>
                <w:szCs w:val="30"/>
              </w:rPr>
            </w:pPr>
            <w:r>
              <w:rPr>
                <w:sz w:val="30"/>
                <w:szCs w:val="30"/>
              </w:rPr>
              <w:t>货币类型：</w:t>
            </w:r>
          </w:p>
        </w:tc>
        <w:tc>
          <w:tcPr>
            <w:tcW w:w="5988" w:type="dxa"/>
            <w:vAlign w:val="center"/>
          </w:tcPr>
          <w:p>
            <w:pPr>
              <w:rPr>
                <w:sz w:val="30"/>
                <w:szCs w:val="30"/>
              </w:rPr>
            </w:pPr>
            <w:r>
              <w:rPr>
                <w:sz w:val="30"/>
                <w:szCs w:val="30"/>
              </w:rPr>
              <w:t>人民币</w:t>
            </w:r>
          </w:p>
        </w:tc>
      </w:tr>
      <w:tr>
        <w:tblPrEx>
          <w:tblCellMar>
            <w:top w:w="36" w:type="dxa"/>
            <w:left w:w="36" w:type="dxa"/>
            <w:bottom w:w="36" w:type="dxa"/>
            <w:right w:w="36" w:type="dxa"/>
          </w:tblCellMar>
        </w:tblPrEx>
        <w:trPr>
          <w:trHeight w:val="737" w:hRule="atLeast"/>
          <w:tblCellSpacing w:w="0" w:type="dxa"/>
          <w:jc w:val="center"/>
        </w:trPr>
        <w:tc>
          <w:tcPr>
            <w:tcW w:w="2186" w:type="dxa"/>
            <w:vAlign w:val="center"/>
          </w:tcPr>
          <w:p>
            <w:pPr>
              <w:jc w:val="right"/>
              <w:rPr>
                <w:sz w:val="30"/>
                <w:szCs w:val="30"/>
              </w:rPr>
            </w:pPr>
            <w:r>
              <w:rPr>
                <w:sz w:val="30"/>
                <w:szCs w:val="30"/>
              </w:rPr>
              <w:t>评标方法：</w:t>
            </w:r>
          </w:p>
        </w:tc>
        <w:tc>
          <w:tcPr>
            <w:tcW w:w="5988" w:type="dxa"/>
            <w:vAlign w:val="center"/>
          </w:tcPr>
          <w:p>
            <w:pPr>
              <w:rPr>
                <w:sz w:val="30"/>
                <w:szCs w:val="30"/>
              </w:rPr>
            </w:pPr>
            <w:r>
              <w:rPr>
                <w:rFonts w:ascii="宋体" w:hAnsi="宋体" w:cs="宋体"/>
                <w:kern w:val="0"/>
                <w:sz w:val="30"/>
                <w:szCs w:val="30"/>
                <w:lang w:bidi="ar"/>
              </w:rPr>
              <w:t>综合评分法</w:t>
            </w:r>
          </w:p>
        </w:tc>
      </w:tr>
    </w:tbl>
    <w:p>
      <w:pPr>
        <w:tabs>
          <w:tab w:val="left" w:pos="2790"/>
        </w:tabs>
        <w:snapToGrid w:val="0"/>
        <w:spacing w:line="440" w:lineRule="exact"/>
        <w:jc w:val="left"/>
        <w:rPr>
          <w:rFonts w:asciiTheme="minorEastAsia" w:hAnsiTheme="minorEastAsia"/>
          <w:sz w:val="30"/>
          <w:szCs w:val="3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ascii="黑体" w:hAnsi="黑体" w:eastAsia="黑体" w:cs="Times New Roman"/>
          <w:sz w:val="40"/>
          <w:szCs w:val="40"/>
        </w:rPr>
      </w:pPr>
      <w:r>
        <w:rPr>
          <w:rFonts w:hint="eastAsia" w:ascii="黑体" w:hAnsi="黑体" w:eastAsia="黑体" w:cs="Times New Roman"/>
          <w:sz w:val="40"/>
          <w:szCs w:val="40"/>
        </w:rPr>
        <w:t>资格性审查表</w:t>
      </w:r>
    </w:p>
    <w:tbl>
      <w:tblPr>
        <w:tblStyle w:val="17"/>
        <w:tblW w:w="946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6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序号</w:t>
            </w:r>
          </w:p>
        </w:tc>
        <w:tc>
          <w:tcPr>
            <w:tcW w:w="8669"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宋体" w:hAnsi="宋体" w:eastAsia="宋体" w:cs="宋体"/>
                <w:szCs w:val="21"/>
              </w:rPr>
            </w:pPr>
            <w:r>
              <w:rPr>
                <w:rFonts w:ascii="宋体" w:hAnsi="宋体" w:eastAsia="宋体" w:cs="Times New Roman"/>
                <w:szCs w:val="21"/>
              </w:rPr>
              <w:t>1</w:t>
            </w:r>
          </w:p>
        </w:tc>
        <w:tc>
          <w:tcPr>
            <w:tcW w:w="8669" w:type="dxa"/>
            <w:tcBorders>
              <w:top w:val="single" w:color="000000" w:sz="8" w:space="0"/>
              <w:left w:val="single" w:color="000000" w:sz="8" w:space="0"/>
              <w:bottom w:val="single" w:color="000000" w:sz="8" w:space="0"/>
              <w:right w:val="single" w:color="000000" w:sz="8" w:space="0"/>
            </w:tcBorders>
          </w:tcPr>
          <w:p>
            <w:pPr>
              <w:spacing w:line="290" w:lineRule="exact"/>
              <w:rPr>
                <w:rFonts w:ascii="宋体" w:hAnsi="宋体" w:eastAsia="宋体" w:cs="宋体"/>
                <w:szCs w:val="21"/>
              </w:rPr>
            </w:pPr>
            <w:r>
              <w:rPr>
                <w:rFonts w:ascii="宋体" w:hAnsi="宋体" w:eastAsia="宋体" w:cs="宋体"/>
                <w:kern w:val="0"/>
                <w:szCs w:val="21"/>
              </w:rPr>
              <w:t>投标人不</w:t>
            </w:r>
            <w:r>
              <w:rPr>
                <w:rFonts w:hint="eastAsia" w:ascii="宋体" w:hAnsi="宋体" w:eastAsia="宋体" w:cs="宋体"/>
                <w:kern w:val="0"/>
                <w:szCs w:val="21"/>
              </w:rPr>
              <w:t>符合</w:t>
            </w:r>
            <w:r>
              <w:rPr>
                <w:rFonts w:ascii="宋体" w:hAnsi="宋体" w:eastAsia="宋体" w:cs="宋体"/>
                <w:kern w:val="0"/>
                <w:szCs w:val="21"/>
              </w:rPr>
              <w:t>资格要求，或未提交相应的资格证明资料（详见招标公告</w:t>
            </w:r>
            <w:r>
              <w:rPr>
                <w:rFonts w:hint="eastAsia" w:ascii="宋体" w:hAnsi="宋体" w:eastAsia="宋体" w:cs="Times New Roman"/>
                <w:szCs w:val="21"/>
              </w:rPr>
              <w:t>投标人资格要求，即申请人的资格要求</w:t>
            </w:r>
            <w:r>
              <w:rPr>
                <w:rFonts w:ascii="宋体" w:hAnsi="宋体" w:eastAsia="宋体" w:cs="宋体"/>
                <w:kern w:val="0"/>
                <w:szCs w:val="21"/>
              </w:rPr>
              <w:t>）。</w:t>
            </w:r>
          </w:p>
        </w:tc>
      </w:tr>
    </w:tbl>
    <w:p>
      <w:pPr>
        <w:tabs>
          <w:tab w:val="left" w:pos="2790"/>
        </w:tabs>
        <w:snapToGrid w:val="0"/>
        <w:jc w:val="center"/>
        <w:rPr>
          <w:rFonts w:hint="eastAsia" w:ascii="黑体" w:hAnsi="黑体" w:eastAsia="黑体" w:cs="Times New Roman"/>
          <w:sz w:val="40"/>
          <w:szCs w:val="40"/>
          <w:lang w:eastAsia="zh-CN"/>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ascii="黑体" w:hAnsi="黑体" w:eastAsia="黑体" w:cs="Times New Roman"/>
          <w:sz w:val="40"/>
          <w:szCs w:val="40"/>
        </w:rPr>
      </w:pPr>
      <w:r>
        <w:rPr>
          <w:rFonts w:hint="eastAsia" w:ascii="黑体" w:hAnsi="黑体" w:eastAsia="黑体" w:cs="Times New Roman"/>
          <w:sz w:val="40"/>
          <w:szCs w:val="40"/>
        </w:rPr>
        <w:t>符合性审查表</w:t>
      </w:r>
    </w:p>
    <w:tbl>
      <w:tblPr>
        <w:tblStyle w:val="17"/>
        <w:tblW w:w="94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7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序号</w:t>
            </w:r>
          </w:p>
        </w:tc>
        <w:tc>
          <w:tcPr>
            <w:tcW w:w="870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1</w:t>
            </w:r>
          </w:p>
        </w:tc>
        <w:tc>
          <w:tcPr>
            <w:tcW w:w="8704" w:type="dxa"/>
            <w:tcBorders>
              <w:top w:val="single" w:color="000000" w:sz="8" w:space="0"/>
              <w:left w:val="single" w:color="000000" w:sz="8" w:space="0"/>
              <w:bottom w:val="single" w:color="000000" w:sz="8" w:space="0"/>
              <w:right w:val="single" w:color="000000" w:sz="8" w:space="0"/>
            </w:tcBorders>
            <w:vAlign w:val="top"/>
          </w:tcPr>
          <w:p>
            <w:pPr>
              <w:widowControl/>
              <w:jc w:val="left"/>
              <w:textAlignment w:val="top"/>
              <w:rPr>
                <w:rFonts w:ascii="Calibri" w:hAnsi="Calibri" w:eastAsia="宋体" w:cs="Times New Roman"/>
                <w:b/>
                <w:highlight w:val="yellow"/>
              </w:rPr>
            </w:pPr>
            <w:r>
              <w:rPr>
                <w:rFonts w:hint="eastAsia"/>
                <w:lang w:val="en-US" w:eastAsia="zh-CN"/>
              </w:rPr>
              <w:t>不得</w:t>
            </w:r>
            <w:r>
              <w:rPr>
                <w:rFonts w:hint="eastAsia"/>
              </w:rPr>
              <w:t>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2</w:t>
            </w:r>
          </w:p>
        </w:tc>
        <w:tc>
          <w:tcPr>
            <w:tcW w:w="8704" w:type="dxa"/>
            <w:tcBorders>
              <w:top w:val="single" w:color="000000" w:sz="8" w:space="0"/>
              <w:left w:val="single" w:color="000000" w:sz="8" w:space="0"/>
              <w:bottom w:val="single" w:color="000000" w:sz="8" w:space="0"/>
              <w:right w:val="single" w:color="000000" w:sz="8" w:space="0"/>
            </w:tcBorders>
            <w:vAlign w:val="top"/>
          </w:tcPr>
          <w:p>
            <w:pPr>
              <w:widowControl/>
              <w:jc w:val="left"/>
              <w:textAlignment w:val="top"/>
              <w:rPr>
                <w:rFonts w:ascii="Calibri" w:hAnsi="Calibri" w:eastAsia="宋体" w:cs="Times New Roman"/>
              </w:rPr>
            </w:pPr>
            <w:r>
              <w:rPr>
                <w:rFonts w:hint="eastAsia"/>
              </w:rPr>
              <w:t>对同一项目投标时，</w:t>
            </w:r>
            <w:r>
              <w:rPr>
                <w:rFonts w:hint="eastAsia"/>
                <w:lang w:val="en-US" w:eastAsia="zh-CN"/>
              </w:rPr>
              <w:t>不得</w:t>
            </w:r>
            <w:r>
              <w:rPr>
                <w:rFonts w:hint="eastAsia"/>
              </w:rPr>
              <w:t>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3</w:t>
            </w:r>
          </w:p>
        </w:tc>
        <w:tc>
          <w:tcPr>
            <w:tcW w:w="8704" w:type="dxa"/>
            <w:tcBorders>
              <w:top w:val="single" w:color="000000" w:sz="8" w:space="0"/>
              <w:left w:val="single" w:color="000000" w:sz="8" w:space="0"/>
              <w:bottom w:val="single" w:color="000000" w:sz="8" w:space="0"/>
              <w:right w:val="single" w:color="000000" w:sz="8" w:space="0"/>
            </w:tcBorders>
            <w:vAlign w:val="top"/>
          </w:tcPr>
          <w:p>
            <w:pPr>
              <w:widowControl/>
              <w:jc w:val="left"/>
              <w:textAlignment w:val="top"/>
              <w:rPr>
                <w:rFonts w:ascii="Calibri" w:hAnsi="Calibri" w:eastAsia="宋体" w:cs="Times New Roman"/>
              </w:rPr>
            </w:pPr>
            <w:r>
              <w:rPr>
                <w:rFonts w:hint="eastAsia"/>
              </w:rPr>
              <w:t>分项报价或投标总价</w:t>
            </w:r>
            <w:r>
              <w:rPr>
                <w:rFonts w:hint="eastAsia"/>
                <w:lang w:val="en-US" w:eastAsia="zh-CN"/>
              </w:rPr>
              <w:t>不得</w:t>
            </w:r>
            <w:r>
              <w:rPr>
                <w:rFonts w:hint="eastAsia"/>
              </w:rPr>
              <w:t>高于相应预算金额（或设定的预算金额下的最高限价）；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4</w:t>
            </w:r>
          </w:p>
        </w:tc>
        <w:tc>
          <w:tcPr>
            <w:tcW w:w="8704" w:type="dxa"/>
            <w:tcBorders>
              <w:top w:val="single" w:color="000000" w:sz="8" w:space="0"/>
              <w:left w:val="single" w:color="000000" w:sz="8" w:space="0"/>
              <w:bottom w:val="single" w:color="000000" w:sz="8" w:space="0"/>
              <w:right w:val="single" w:color="000000" w:sz="8" w:space="0"/>
            </w:tcBorders>
            <w:vAlign w:val="top"/>
          </w:tcPr>
          <w:p>
            <w:pPr>
              <w:widowControl/>
              <w:jc w:val="left"/>
              <w:textAlignment w:val="top"/>
              <w:rPr>
                <w:rFonts w:ascii="Calibri" w:hAnsi="Calibri" w:eastAsia="宋体" w:cs="Times New Roman"/>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5</w:t>
            </w:r>
          </w:p>
        </w:tc>
        <w:tc>
          <w:tcPr>
            <w:tcW w:w="8704" w:type="dxa"/>
            <w:tcBorders>
              <w:top w:val="single" w:color="000000" w:sz="8" w:space="0"/>
              <w:left w:val="single" w:color="000000" w:sz="8" w:space="0"/>
              <w:bottom w:val="single" w:color="000000" w:sz="8" w:space="0"/>
              <w:right w:val="single" w:color="000000" w:sz="8" w:space="0"/>
            </w:tcBorders>
            <w:vAlign w:val="top"/>
          </w:tcPr>
          <w:p>
            <w:pPr>
              <w:widowControl/>
              <w:jc w:val="left"/>
              <w:textAlignment w:val="top"/>
              <w:rPr>
                <w:rFonts w:ascii="Calibri" w:hAnsi="Calibri" w:eastAsia="宋体" w:cs="Times New Roman"/>
              </w:rPr>
            </w:pPr>
            <w:r>
              <w:rPr>
                <w:rFonts w:hint="eastAsia"/>
              </w:rPr>
              <w:t>所投货物、服务在技术、商务等方面没有实质性满足招标文件要求的（是否实质性满足招标文件要求，由评审委员会根据实质性条款响应情况做出评判</w:t>
            </w:r>
            <w:r>
              <w:rPr>
                <w:rFonts w:hint="eastAsia"/>
                <w:lang w:eastAsia="zh-CN"/>
              </w:rPr>
              <w:t>；</w:t>
            </w:r>
            <w:r>
              <w:rPr>
                <w:rFonts w:hint="eastAsia"/>
                <w:lang w:val="en-US" w:eastAsia="zh-CN"/>
              </w:rPr>
              <w:t>若招标文件未设置实质性条款，不得据此做投标无效处理</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6</w:t>
            </w:r>
          </w:p>
        </w:tc>
        <w:tc>
          <w:tcPr>
            <w:tcW w:w="8704" w:type="dxa"/>
            <w:tcBorders>
              <w:top w:val="single" w:color="000000" w:sz="8" w:space="0"/>
              <w:left w:val="single" w:color="000000" w:sz="8" w:space="0"/>
              <w:bottom w:val="single" w:color="000000" w:sz="8" w:space="0"/>
              <w:right w:val="single" w:color="000000" w:sz="8" w:space="0"/>
            </w:tcBorders>
            <w:vAlign w:val="top"/>
          </w:tcPr>
          <w:p>
            <w:pPr>
              <w:widowControl/>
              <w:jc w:val="left"/>
              <w:textAlignment w:val="top"/>
              <w:rPr>
                <w:rFonts w:ascii="Calibri" w:hAnsi="Calibri" w:eastAsia="宋体" w:cs="Times New Roman"/>
              </w:rPr>
            </w:pPr>
            <w:r>
              <w:rPr>
                <w:rFonts w:hint="eastAsia"/>
              </w:rPr>
              <w:t>未按招标文件所提供的样式填写《投标函》；未按招标文件所提供的《政府采购投标及履约承诺函》进行承诺；未按招标文件对投标文件组成的要求提供投标文件；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7</w:t>
            </w:r>
          </w:p>
        </w:tc>
        <w:tc>
          <w:tcPr>
            <w:tcW w:w="8704" w:type="dxa"/>
            <w:tcBorders>
              <w:top w:val="single" w:color="000000" w:sz="8" w:space="0"/>
              <w:left w:val="single" w:color="000000" w:sz="8" w:space="0"/>
              <w:bottom w:val="single" w:color="000000" w:sz="8" w:space="0"/>
              <w:right w:val="single" w:color="000000" w:sz="8" w:space="0"/>
            </w:tcBorders>
            <w:vAlign w:val="top"/>
          </w:tcPr>
          <w:p>
            <w:pPr>
              <w:widowControl/>
              <w:jc w:val="left"/>
              <w:textAlignment w:val="top"/>
              <w:rPr>
                <w:rFonts w:ascii="Calibri" w:hAnsi="Calibri" w:eastAsia="宋体" w:cs="Times New Roman"/>
              </w:rPr>
            </w:pPr>
            <w:r>
              <w:rPr>
                <w:rFonts w:hint="eastAsia"/>
                <w:lang w:val="en-US" w:eastAsia="zh-CN"/>
              </w:rPr>
              <w:t>采购标的/所投产品/货物清单/报价等任意一类有缺漏项或响应不全，</w:t>
            </w:r>
            <w:r>
              <w:rPr>
                <w:rFonts w:hint="eastAsia"/>
              </w:rPr>
              <w:t>或者对招标文件规定的项目需求内容或者需求数量进行修改，评审委员会判定投标响应不满足采购需求；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8</w:t>
            </w:r>
          </w:p>
        </w:tc>
        <w:tc>
          <w:tcPr>
            <w:tcW w:w="8704" w:type="dxa"/>
            <w:tcBorders>
              <w:top w:val="single" w:color="000000" w:sz="8" w:space="0"/>
              <w:left w:val="single" w:color="000000" w:sz="8" w:space="0"/>
              <w:bottom w:val="single" w:color="000000" w:sz="8" w:space="0"/>
              <w:right w:val="single" w:color="000000" w:sz="8" w:space="0"/>
            </w:tcBorders>
            <w:vAlign w:val="top"/>
          </w:tcPr>
          <w:p>
            <w:pPr>
              <w:widowControl/>
              <w:jc w:val="left"/>
              <w:textAlignment w:val="top"/>
              <w:rPr>
                <w:szCs w:val="21"/>
              </w:rPr>
            </w:pPr>
            <w:r>
              <w:rPr>
                <w:rFonts w:hint="eastAsia"/>
              </w:rPr>
              <w:t>投标文件存在列放位置错误，导致属于信息公开情形的没有被公开；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9</w:t>
            </w:r>
          </w:p>
        </w:tc>
        <w:tc>
          <w:tcPr>
            <w:tcW w:w="8704" w:type="dxa"/>
            <w:tcBorders>
              <w:top w:val="single" w:color="000000" w:sz="8" w:space="0"/>
              <w:left w:val="single" w:color="000000" w:sz="8" w:space="0"/>
              <w:bottom w:val="single" w:color="000000" w:sz="8" w:space="0"/>
              <w:right w:val="single" w:color="000000" w:sz="8" w:space="0"/>
            </w:tcBorders>
            <w:vAlign w:val="top"/>
          </w:tcPr>
          <w:p>
            <w:pPr>
              <w:widowControl/>
              <w:jc w:val="left"/>
              <w:textAlignment w:val="top"/>
              <w:rPr>
                <w:szCs w:val="21"/>
              </w:rPr>
            </w:pPr>
            <w:r>
              <w:rPr>
                <w:rFonts w:hint="eastAsia"/>
              </w:rPr>
              <w:t>投标文件电子文档</w:t>
            </w:r>
            <w:r>
              <w:rPr>
                <w:rFonts w:hint="eastAsia"/>
                <w:lang w:val="en-US" w:eastAsia="zh-CN"/>
              </w:rPr>
              <w:t>不得</w:t>
            </w:r>
            <w:r>
              <w:rPr>
                <w:rFonts w:hint="eastAsia"/>
              </w:rPr>
              <w:t>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10</w:t>
            </w:r>
          </w:p>
        </w:tc>
        <w:tc>
          <w:tcPr>
            <w:tcW w:w="8704" w:type="dxa"/>
            <w:tcBorders>
              <w:top w:val="single" w:color="000000" w:sz="8" w:space="0"/>
              <w:left w:val="single" w:color="000000" w:sz="8" w:space="0"/>
              <w:bottom w:val="single" w:color="000000" w:sz="8" w:space="0"/>
              <w:right w:val="single" w:color="000000" w:sz="8" w:space="0"/>
            </w:tcBorders>
            <w:vAlign w:val="top"/>
          </w:tcPr>
          <w:p>
            <w:pPr>
              <w:widowControl/>
              <w:jc w:val="left"/>
              <w:textAlignment w:val="top"/>
              <w:rPr>
                <w:rFonts w:ascii="宋体" w:hAnsi="宋体" w:eastAsia="宋体"/>
                <w:szCs w:val="21"/>
              </w:rPr>
            </w:pPr>
            <w:r>
              <w:rPr>
                <w:rFonts w:hint="eastAsia"/>
              </w:rPr>
              <w:t>投标文件用不属于本公司的电子密钥或电子营业执照进行加密的；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hint="eastAsia" w:ascii="Calibri" w:hAnsi="Calibri" w:eastAsia="宋体" w:cs="Times New Roman"/>
                <w:lang w:val="en-US" w:eastAsia="zh-CN"/>
              </w:rPr>
            </w:pPr>
            <w:r>
              <w:rPr>
                <w:rFonts w:hint="eastAsia" w:ascii="Calibri" w:hAnsi="Calibri" w:eastAsia="宋体" w:cs="Times New Roman"/>
              </w:rPr>
              <w:t>1</w:t>
            </w:r>
            <w:r>
              <w:rPr>
                <w:rFonts w:hint="eastAsia" w:ascii="Calibri" w:hAnsi="Calibri" w:eastAsia="宋体" w:cs="Times New Roman"/>
                <w:lang w:val="en-US" w:eastAsia="zh-CN"/>
              </w:rPr>
              <w:t>1</w:t>
            </w:r>
          </w:p>
        </w:tc>
        <w:tc>
          <w:tcPr>
            <w:tcW w:w="8704" w:type="dxa"/>
            <w:tcBorders>
              <w:top w:val="single" w:color="000000" w:sz="8" w:space="0"/>
              <w:left w:val="single" w:color="000000" w:sz="8" w:space="0"/>
              <w:bottom w:val="single" w:color="000000" w:sz="8" w:space="0"/>
              <w:right w:val="single" w:color="000000" w:sz="8" w:space="0"/>
            </w:tcBorders>
            <w:vAlign w:val="top"/>
          </w:tcPr>
          <w:p>
            <w:pPr>
              <w:widowControl/>
              <w:jc w:val="left"/>
              <w:textAlignment w:val="top"/>
              <w:rPr>
                <w:rFonts w:ascii="宋体" w:hAnsi="宋体" w:eastAsia="宋体"/>
              </w:rPr>
            </w:pPr>
            <w:r>
              <w:rPr>
                <w:rFonts w:hint="eastAsia" w:ascii="Times New Roman" w:hAnsi="Times New Roman" w:eastAsia="宋体" w:cs="Times New Roman"/>
                <w:sz w:val="21"/>
                <w:szCs w:val="24"/>
              </w:rPr>
              <w:t>不同投标供应商投标文件“文件制作机器码”一致</w:t>
            </w:r>
            <w:r>
              <w:rPr>
                <w:rFonts w:hint="eastAsia" w:ascii="Times New Roman" w:hAnsi="Times New Roman" w:eastAsia="宋体" w:cs="Times New Roman"/>
                <w:sz w:val="21"/>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hint="eastAsia" w:ascii="Calibri" w:hAnsi="Calibri" w:eastAsia="宋体" w:cs="Times New Roman"/>
                <w:lang w:val="en-US" w:eastAsia="zh-CN"/>
              </w:rPr>
            </w:pPr>
            <w:r>
              <w:rPr>
                <w:rFonts w:hint="eastAsia" w:ascii="Calibri" w:hAnsi="Calibri" w:eastAsia="宋体" w:cs="Times New Roman"/>
              </w:rPr>
              <w:t>1</w:t>
            </w:r>
            <w:r>
              <w:rPr>
                <w:rFonts w:hint="eastAsia" w:ascii="Calibri" w:hAnsi="Calibri" w:eastAsia="宋体" w:cs="Times New Roman"/>
                <w:lang w:val="en-US" w:eastAsia="zh-CN"/>
              </w:rPr>
              <w:t>2</w:t>
            </w:r>
          </w:p>
        </w:tc>
        <w:tc>
          <w:tcPr>
            <w:tcW w:w="8704" w:type="dxa"/>
            <w:tcBorders>
              <w:top w:val="single" w:color="000000" w:sz="8" w:space="0"/>
              <w:left w:val="single" w:color="000000" w:sz="8" w:space="0"/>
              <w:bottom w:val="single" w:color="000000" w:sz="8" w:space="0"/>
              <w:right w:val="single" w:color="000000" w:sz="8" w:space="0"/>
            </w:tcBorders>
            <w:vAlign w:val="top"/>
          </w:tcPr>
          <w:p>
            <w:pPr>
              <w:widowControl/>
              <w:jc w:val="left"/>
              <w:textAlignment w:val="top"/>
              <w:rPr>
                <w:szCs w:val="21"/>
              </w:rPr>
            </w:pPr>
            <w:r>
              <w:rPr>
                <w:rFonts w:hint="eastAsia" w:ascii="Times New Roman" w:hAnsi="Times New Roman" w:eastAsia="宋体" w:cs="Times New Roman"/>
                <w:sz w:val="21"/>
                <w:szCs w:val="24"/>
              </w:rPr>
              <w:t>不同投标供应商投标文件“文件创建标识码”一致</w:t>
            </w:r>
            <w:r>
              <w:rPr>
                <w:rFonts w:hint="eastAsia" w:ascii="Times New Roman" w:hAnsi="Times New Roman" w:eastAsia="宋体" w:cs="Times New Roman"/>
                <w:sz w:val="21"/>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hint="eastAsia" w:ascii="Calibri" w:hAnsi="Calibri" w:eastAsia="宋体" w:cs="Times New Roman"/>
                <w:lang w:val="en-US" w:eastAsia="zh-CN"/>
              </w:rPr>
            </w:pPr>
            <w:r>
              <w:rPr>
                <w:rFonts w:hint="eastAsia" w:ascii="Calibri" w:hAnsi="Calibri" w:eastAsia="宋体" w:cs="Times New Roman"/>
              </w:rPr>
              <w:t>1</w:t>
            </w:r>
            <w:r>
              <w:rPr>
                <w:rFonts w:hint="eastAsia" w:ascii="Calibri" w:hAnsi="Calibri" w:eastAsia="宋体" w:cs="Times New Roman"/>
                <w:lang w:val="en-US" w:eastAsia="zh-CN"/>
              </w:rPr>
              <w:t>3</w:t>
            </w:r>
          </w:p>
        </w:tc>
        <w:tc>
          <w:tcPr>
            <w:tcW w:w="8704" w:type="dxa"/>
            <w:tcBorders>
              <w:top w:val="single" w:color="000000" w:sz="8" w:space="0"/>
              <w:left w:val="single" w:color="000000" w:sz="8" w:space="0"/>
              <w:bottom w:val="single" w:color="000000" w:sz="8" w:space="0"/>
              <w:right w:val="single" w:color="000000" w:sz="8" w:space="0"/>
            </w:tcBorders>
            <w:vAlign w:val="top"/>
          </w:tcPr>
          <w:p>
            <w:pPr>
              <w:widowControl/>
              <w:jc w:val="left"/>
              <w:textAlignment w:val="top"/>
              <w:rPr>
                <w:rFonts w:ascii="Calibri" w:hAnsi="Calibri" w:eastAsia="宋体" w:cs="Times New Roman"/>
                <w:highlight w:val="yellow"/>
              </w:rPr>
            </w:pPr>
            <w:r>
              <w:rPr>
                <w:rFonts w:hint="eastAsia"/>
              </w:rPr>
              <w:t>法律、法规、规章、规范性文件规定的其他情形。</w:t>
            </w:r>
          </w:p>
        </w:tc>
      </w:tr>
    </w:tbl>
    <w:p>
      <w:pPr>
        <w:pStyle w:val="15"/>
        <w:keepNext w:val="0"/>
        <w:keepLines w:val="0"/>
        <w:pageBreakBefore w:val="0"/>
        <w:widowControl/>
        <w:kinsoku/>
        <w:wordWrap/>
        <w:overflowPunct/>
        <w:topLinePunct w:val="0"/>
        <w:autoSpaceDE/>
        <w:autoSpaceDN/>
        <w:bidi w:val="0"/>
        <w:adjustRightInd/>
        <w:snapToGrid/>
        <w:jc w:val="center"/>
        <w:textAlignment w:val="auto"/>
        <w:outlineLvl w:val="0"/>
        <w:rPr>
          <w:rFonts w:ascii="黑体" w:eastAsia="黑体"/>
          <w:sz w:val="40"/>
          <w:szCs w:val="40"/>
        </w:rPr>
      </w:pPr>
      <w:r>
        <w:rPr>
          <w:rFonts w:hint="eastAsia" w:ascii="黑体" w:hAnsi="黑体" w:eastAsia="黑体"/>
          <w:sz w:val="40"/>
          <w:szCs w:val="40"/>
        </w:rPr>
        <w:t>评标信息</w:t>
      </w:r>
    </w:p>
    <w:tbl>
      <w:tblPr>
        <w:tblStyle w:val="17"/>
        <w:tblW w:w="9078"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486"/>
        <w:gridCol w:w="428"/>
        <w:gridCol w:w="1526"/>
        <w:gridCol w:w="937"/>
        <w:gridCol w:w="5701"/>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078" w:type="dxa"/>
            <w:gridSpan w:val="5"/>
            <w:shd w:val="clear" w:color="auto" w:fill="auto"/>
            <w:vAlign w:val="center"/>
          </w:tcPr>
          <w:p>
            <w:pPr>
              <w:jc w:val="left"/>
              <w:rPr>
                <w:rFonts w:ascii="宋体"/>
                <w:b/>
                <w:bCs/>
                <w:sz w:val="24"/>
              </w:rPr>
            </w:pPr>
            <w:r>
              <w:rPr>
                <w:b/>
                <w:bCs/>
              </w:rPr>
              <w:t>评标方法：综合评分法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078" w:type="dxa"/>
            <w:gridSpan w:val="5"/>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rFonts w:hint="eastAsia" w:eastAsia="宋体"/>
                <w:szCs w:val="21"/>
                <w:lang w:eastAsia="zh-CN"/>
              </w:rPr>
            </w:pPr>
            <w:r>
              <w:rPr>
                <w:szCs w:val="21"/>
              </w:rPr>
              <w:t>综合评分法，</w:t>
            </w:r>
            <w:r>
              <w:rPr>
                <w:rFonts w:hint="eastAsia"/>
                <w:szCs w:val="21"/>
              </w:rPr>
              <w:t>是指投标文件满足招标文件全部实质性要求，且按照评审因素的量化指标评审得分</w:t>
            </w:r>
            <w:r>
              <w:rPr>
                <w:rFonts w:hint="eastAsia"/>
                <w:szCs w:val="21"/>
                <w:lang w:val="en-US" w:eastAsia="zh-CN"/>
              </w:rPr>
              <w:t>排名前列</w:t>
            </w:r>
            <w:r>
              <w:rPr>
                <w:szCs w:val="21"/>
              </w:rPr>
              <w:t>的投标人为中标候选人的评标方法。</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pP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Cs w:val="21"/>
              </w:rPr>
            </w:pPr>
            <w:r>
              <w:rPr>
                <w:szCs w:val="21"/>
              </w:rPr>
              <w:t>价格分计算方法：</w:t>
            </w:r>
          </w:p>
          <w:p>
            <w:pPr>
              <w:pStyle w:val="15"/>
              <w:keepNext w:val="0"/>
              <w:keepLines w:val="0"/>
              <w:pageBreakBefore w:val="0"/>
              <w:widowControl/>
              <w:kinsoku/>
              <w:wordWrap/>
              <w:overflowPunct/>
              <w:topLinePunct w:val="0"/>
              <w:autoSpaceDE/>
              <w:autoSpaceDN/>
              <w:bidi w:val="0"/>
              <w:adjustRightInd/>
              <w:snapToGrid/>
              <w:spacing w:beforeAutospacing="0" w:afterAutospacing="0" w:line="240" w:lineRule="auto"/>
              <w:ind w:left="420"/>
              <w:textAlignment w:val="auto"/>
              <w:rPr>
                <w:kern w:val="2"/>
                <w:sz w:val="21"/>
                <w:szCs w:val="21"/>
              </w:rPr>
            </w:pPr>
            <w:r>
              <w:rPr>
                <w:kern w:val="2"/>
                <w:sz w:val="21"/>
                <w:szCs w:val="21"/>
              </w:rPr>
              <w:t xml:space="preserve">采用低价优先法计算，即满足招标文件要求且投标价格最低的投标报价为评标基准价，其价格分为满分。其他投标人的价格分统一按照下列公式计算： </w:t>
            </w:r>
            <w:r>
              <w:rPr>
                <w:kern w:val="2"/>
                <w:sz w:val="21"/>
                <w:szCs w:val="21"/>
              </w:rPr>
              <w:br w:type="textWrapping"/>
            </w:r>
            <w:r>
              <w:rPr>
                <w:kern w:val="2"/>
                <w:sz w:val="21"/>
                <w:szCs w:val="21"/>
              </w:rPr>
              <w:t xml:space="preserve">投标报价得分=(评标基准价／投标报价)×100 </w:t>
            </w:r>
            <w:r>
              <w:rPr>
                <w:kern w:val="2"/>
                <w:sz w:val="21"/>
                <w:szCs w:val="21"/>
              </w:rPr>
              <w:br w:type="textWrapping"/>
            </w:r>
            <w:r>
              <w:rPr>
                <w:kern w:val="2"/>
                <w:sz w:val="21"/>
                <w:szCs w:val="21"/>
              </w:rPr>
              <w:t xml:space="preserve">评标总得分＝F1×A1＋F2×A2＋……＋Fn×An </w:t>
            </w:r>
            <w:r>
              <w:rPr>
                <w:kern w:val="2"/>
                <w:sz w:val="21"/>
                <w:szCs w:val="21"/>
              </w:rPr>
              <w:br w:type="textWrapping"/>
            </w:r>
            <w:r>
              <w:rPr>
                <w:kern w:val="2"/>
                <w:sz w:val="21"/>
                <w:szCs w:val="21"/>
              </w:rPr>
              <w:t xml:space="preserve">F1、F2……Fn分别为各项评审因素的得分； </w:t>
            </w:r>
            <w:r>
              <w:rPr>
                <w:kern w:val="2"/>
                <w:sz w:val="21"/>
                <w:szCs w:val="21"/>
              </w:rPr>
              <w:br w:type="textWrapping"/>
            </w:r>
            <w:r>
              <w:rPr>
                <w:kern w:val="2"/>
                <w:sz w:val="21"/>
                <w:szCs w:val="21"/>
              </w:rPr>
              <w:t xml:space="preserve">A1、A2、……An 分别为各项评审因素所占的权重(A1＋A2＋……＋An＝1)。 </w:t>
            </w:r>
            <w:r>
              <w:rPr>
                <w:kern w:val="2"/>
                <w:sz w:val="21"/>
                <w:szCs w:val="21"/>
              </w:rPr>
              <w:br w:type="textWrapping"/>
            </w:r>
            <w:r>
              <w:rPr>
                <w:kern w:val="2"/>
                <w:sz w:val="21"/>
                <w:szCs w:val="21"/>
              </w:rPr>
              <w:t>评标过程中，不得去掉报价中的最高报价和最低报价。</w:t>
            </w:r>
          </w:p>
          <w:p>
            <w:pPr>
              <w:pStyle w:val="15"/>
              <w:keepNext w:val="0"/>
              <w:keepLines w:val="0"/>
              <w:pageBreakBefore w:val="0"/>
              <w:widowControl/>
              <w:kinsoku/>
              <w:wordWrap/>
              <w:overflowPunct/>
              <w:topLinePunct w:val="0"/>
              <w:autoSpaceDE/>
              <w:autoSpaceDN/>
              <w:bidi w:val="0"/>
              <w:adjustRightInd/>
              <w:snapToGrid/>
              <w:spacing w:beforeAutospacing="0" w:afterAutospacing="0" w:line="240" w:lineRule="auto"/>
              <w:ind w:left="420"/>
              <w:textAlignment w:val="auto"/>
            </w:pPr>
            <w:r>
              <w:rPr>
                <w:rFonts w:hint="eastAsia"/>
                <w:kern w:val="2"/>
                <w:sz w:val="21"/>
                <w:szCs w:val="21"/>
              </w:rPr>
              <w:t>因落实政府采购政策进行价格调整的，以调整后的价格计算评标基准价和投标报价。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tblCellSpacing w:w="0" w:type="dxa"/>
          <w:jc w:val="center"/>
        </w:trPr>
        <w:tc>
          <w:tcPr>
            <w:tcW w:w="48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2891"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评分项</w:t>
            </w:r>
          </w:p>
        </w:tc>
        <w:tc>
          <w:tcPr>
            <w:tcW w:w="570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jc w:val="cente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权重</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w:t>
            </w:r>
            <w:r>
              <w:rPr>
                <w:rFonts w:hint="eastAsia" w:asciiTheme="minorEastAsia" w:hAnsiTheme="minorEastAsia" w:eastAsiaTheme="minorEastAsia" w:cstheme="minorEastAsia"/>
                <w:b/>
                <w:bCs/>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trHeight w:val="246" w:hRule="atLeast"/>
          <w:tblCellSpacing w:w="0" w:type="dxa"/>
          <w:jc w:val="center"/>
        </w:trPr>
        <w:tc>
          <w:tcPr>
            <w:tcW w:w="486"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keepNext w:val="0"/>
              <w:keepLines w:val="0"/>
              <w:pageBreakBefore w:val="0"/>
              <w:kinsoku/>
              <w:overflowPunct/>
              <w:topLinePunct w:val="0"/>
              <w:autoSpaceDE/>
              <w:autoSpaceDN/>
              <w:bidi w:val="0"/>
              <w:adjustRightInd/>
              <w:snapToGrid w:val="0"/>
              <w:spacing w:line="36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w:t>
            </w:r>
          </w:p>
        </w:tc>
        <w:tc>
          <w:tcPr>
            <w:tcW w:w="2891"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keepNext w:val="0"/>
              <w:keepLines w:val="0"/>
              <w:pageBreakBefore w:val="0"/>
              <w:kinsoku/>
              <w:overflowPunct/>
              <w:topLinePunct w:val="0"/>
              <w:autoSpaceDE/>
              <w:autoSpaceDN/>
              <w:bidi w:val="0"/>
              <w:adjustRightInd/>
              <w:snapToGrid w:val="0"/>
              <w:spacing w:line="36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价格</w:t>
            </w:r>
          </w:p>
        </w:tc>
        <w:tc>
          <w:tcPr>
            <w:tcW w:w="5701"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keepNext w:val="0"/>
              <w:keepLines w:val="0"/>
              <w:pageBreakBefore w:val="0"/>
              <w:kinsoku/>
              <w:overflowPunct/>
              <w:topLinePunct w:val="0"/>
              <w:autoSpaceDE/>
              <w:autoSpaceDN/>
              <w:bidi w:val="0"/>
              <w:adjustRightInd/>
              <w:snapToGrid w:val="0"/>
              <w:spacing w:line="36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tblCellSpacing w:w="0" w:type="dxa"/>
          <w:jc w:val="center"/>
        </w:trPr>
        <w:tc>
          <w:tcPr>
            <w:tcW w:w="486"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pPr>
              <w:keepNext w:val="0"/>
              <w:keepLines w:val="0"/>
              <w:pageBreakBefore w:val="0"/>
              <w:kinsoku/>
              <w:overflowPunct/>
              <w:topLinePunct w:val="0"/>
              <w:autoSpaceDE/>
              <w:autoSpaceDN/>
              <w:bidi w:val="0"/>
              <w:adjustRightInd/>
              <w:snapToGrid w:val="0"/>
              <w:spacing w:line="36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w:t>
            </w:r>
          </w:p>
        </w:tc>
        <w:tc>
          <w:tcPr>
            <w:tcW w:w="2891"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keepNext w:val="0"/>
              <w:keepLines w:val="0"/>
              <w:pageBreakBefore w:val="0"/>
              <w:kinsoku/>
              <w:overflowPunct/>
              <w:topLinePunct w:val="0"/>
              <w:autoSpaceDE/>
              <w:autoSpaceDN/>
              <w:bidi w:val="0"/>
              <w:adjustRightInd/>
              <w:snapToGrid w:val="0"/>
              <w:spacing w:line="36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技术部分</w:t>
            </w:r>
          </w:p>
        </w:tc>
        <w:tc>
          <w:tcPr>
            <w:tcW w:w="5701"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keepNext w:val="0"/>
              <w:keepLines w:val="0"/>
              <w:pageBreakBefore w:val="0"/>
              <w:kinsoku/>
              <w:overflowPunct/>
              <w:topLinePunct w:val="0"/>
              <w:autoSpaceDE/>
              <w:autoSpaceDN/>
              <w:bidi w:val="0"/>
              <w:adjustRightInd/>
              <w:snapToGrid w:val="0"/>
              <w:spacing w:line="360" w:lineRule="exact"/>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tblCellSpacing w:w="0" w:type="dxa"/>
          <w:jc w:val="center"/>
        </w:trPr>
        <w:tc>
          <w:tcPr>
            <w:tcW w:w="486"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b/>
                <w:bCs/>
                <w:sz w:val="21"/>
                <w:szCs w:val="21"/>
              </w:rPr>
            </w:pPr>
          </w:p>
        </w:tc>
        <w:tc>
          <w:tcPr>
            <w:tcW w:w="428"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526"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评分因素</w:t>
            </w:r>
          </w:p>
        </w:tc>
        <w:tc>
          <w:tcPr>
            <w:tcW w:w="937"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权重</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eastAsia="zh-CN"/>
              </w:rPr>
              <w:t>）</w:t>
            </w:r>
          </w:p>
        </w:tc>
        <w:tc>
          <w:tcPr>
            <w:tcW w:w="5701"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trHeight w:val="499" w:hRule="atLeast"/>
          <w:tblCellSpacing w:w="0" w:type="dxa"/>
          <w:jc w:val="center"/>
        </w:trPr>
        <w:tc>
          <w:tcPr>
            <w:tcW w:w="486"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b/>
                <w:bCs/>
                <w:sz w:val="21"/>
                <w:szCs w:val="21"/>
              </w:rPr>
            </w:pPr>
          </w:p>
        </w:tc>
        <w:tc>
          <w:tcPr>
            <w:tcW w:w="428"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5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val="0"/>
                <w:bCs/>
                <w:color w:val="auto"/>
                <w:sz w:val="21"/>
                <w:szCs w:val="21"/>
                <w:highlight w:val="none"/>
                <w:lang w:val="en-US" w:eastAsia="zh-CN"/>
              </w:rPr>
              <w:t>实施方案</w:t>
            </w:r>
          </w:p>
        </w:tc>
        <w:tc>
          <w:tcPr>
            <w:tcW w:w="93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25</w:t>
            </w:r>
          </w:p>
        </w:tc>
        <w:tc>
          <w:tcPr>
            <w:tcW w:w="570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rPr>
              <w:t>（一）评审内容：</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根据项目特点，</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cstheme="minorEastAsia"/>
                <w:color w:val="auto"/>
                <w:kern w:val="0"/>
                <w:sz w:val="21"/>
                <w:szCs w:val="21"/>
                <w:highlight w:val="none"/>
                <w:lang w:eastAsia="zh-CN"/>
              </w:rPr>
              <w:t>（</w:t>
            </w:r>
            <w:r>
              <w:rPr>
                <w:rFonts w:hint="eastAsia" w:asciiTheme="minorEastAsia" w:hAnsiTheme="minorEastAsia" w:cstheme="minorEastAsia"/>
                <w:color w:val="auto"/>
                <w:kern w:val="0"/>
                <w:sz w:val="21"/>
                <w:szCs w:val="21"/>
                <w:highlight w:val="none"/>
                <w:lang w:val="en-US" w:eastAsia="zh-CN"/>
              </w:rPr>
              <w:t>1</w:t>
            </w:r>
            <w:r>
              <w:rPr>
                <w:rFonts w:hint="eastAsia" w:asciiTheme="minorEastAsia" w:hAnsi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活动内容</w:t>
            </w:r>
            <w:r>
              <w:rPr>
                <w:rFonts w:hint="eastAsia" w:asciiTheme="minorEastAsia" w:hAnsiTheme="minorEastAsia" w:cstheme="minorEastAsia"/>
                <w:color w:val="auto"/>
                <w:kern w:val="0"/>
                <w:sz w:val="21"/>
                <w:szCs w:val="21"/>
                <w:highlight w:val="none"/>
                <w:lang w:eastAsia="zh-CN"/>
              </w:rPr>
              <w:t>；（</w:t>
            </w:r>
            <w:r>
              <w:rPr>
                <w:rFonts w:hint="eastAsia" w:asciiTheme="minorEastAsia" w:hAnsiTheme="minorEastAsia" w:cstheme="minorEastAsia"/>
                <w:color w:val="auto"/>
                <w:kern w:val="0"/>
                <w:sz w:val="21"/>
                <w:szCs w:val="21"/>
                <w:highlight w:val="none"/>
                <w:lang w:val="en-US" w:eastAsia="zh-CN"/>
              </w:rPr>
              <w:t>2</w:t>
            </w:r>
            <w:r>
              <w:rPr>
                <w:rFonts w:hint="eastAsia" w:asciiTheme="minorEastAsia" w:hAnsi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执行方案</w:t>
            </w:r>
            <w:r>
              <w:rPr>
                <w:rFonts w:hint="eastAsia" w:asciiTheme="minorEastAsia" w:hAnsiTheme="minorEastAsia" w:cstheme="minorEastAsia"/>
                <w:color w:val="auto"/>
                <w:kern w:val="0"/>
                <w:sz w:val="21"/>
                <w:szCs w:val="21"/>
                <w:highlight w:val="none"/>
                <w:lang w:eastAsia="zh-CN"/>
              </w:rPr>
              <w:t>；（</w:t>
            </w:r>
            <w:r>
              <w:rPr>
                <w:rFonts w:hint="eastAsia" w:asciiTheme="minorEastAsia" w:hAnsiTheme="minorEastAsia" w:cstheme="minorEastAsia"/>
                <w:color w:val="auto"/>
                <w:kern w:val="0"/>
                <w:sz w:val="21"/>
                <w:szCs w:val="21"/>
                <w:highlight w:val="none"/>
                <w:lang w:val="en-US" w:eastAsia="zh-CN"/>
              </w:rPr>
              <w:t>3</w:t>
            </w:r>
            <w:r>
              <w:rPr>
                <w:rFonts w:hint="eastAsia" w:asciiTheme="minorEastAsia" w:hAnsi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演出资源优势</w:t>
            </w:r>
            <w:r>
              <w:rPr>
                <w:rFonts w:hint="eastAsia" w:asciiTheme="minorEastAsia" w:hAnsiTheme="minorEastAsia" w:cstheme="minorEastAsia"/>
                <w:color w:val="auto"/>
                <w:kern w:val="0"/>
                <w:sz w:val="21"/>
                <w:szCs w:val="21"/>
                <w:highlight w:val="none"/>
                <w:lang w:eastAsia="zh-CN"/>
              </w:rPr>
              <w:t>；</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进行项目整体设想和策划，编制实施方案。</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rPr>
              <w:t>（二）评审依据：</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满足以上任意一项内容得</w:t>
            </w:r>
            <w:r>
              <w:rPr>
                <w:rFonts w:hint="eastAsia" w:asciiTheme="minorEastAsia" w:hAnsiTheme="minorEastAsia" w:eastAsiaTheme="minorEastAsia" w:cstheme="minorEastAsia"/>
                <w:color w:val="auto"/>
                <w:kern w:val="0"/>
                <w:sz w:val="21"/>
                <w:szCs w:val="21"/>
                <w:highlight w:val="none"/>
                <w:lang w:val="en-US" w:eastAsia="zh-CN"/>
              </w:rPr>
              <w:t>20</w:t>
            </w:r>
            <w:r>
              <w:rPr>
                <w:rFonts w:hint="eastAsia" w:asciiTheme="minorEastAsia" w:hAnsiTheme="minorEastAsia" w:eastAsiaTheme="minorEastAsia" w:cstheme="minorEastAsia"/>
                <w:color w:val="auto"/>
                <w:kern w:val="0"/>
                <w:sz w:val="21"/>
                <w:szCs w:val="21"/>
                <w:highlight w:val="none"/>
              </w:rPr>
              <w:t>分，最高</w:t>
            </w:r>
            <w:r>
              <w:rPr>
                <w:rFonts w:hint="eastAsia" w:asciiTheme="minorEastAsia" w:hAnsiTheme="minorEastAsia" w:eastAsiaTheme="minorEastAsia" w:cstheme="minorEastAsia"/>
                <w:color w:val="auto"/>
                <w:kern w:val="0"/>
                <w:sz w:val="21"/>
                <w:szCs w:val="21"/>
                <w:highlight w:val="none"/>
                <w:lang w:val="en-US" w:eastAsia="zh-CN"/>
              </w:rPr>
              <w:t>60</w:t>
            </w:r>
            <w:r>
              <w:rPr>
                <w:rFonts w:hint="eastAsia" w:asciiTheme="minorEastAsia" w:hAnsiTheme="minorEastAsia" w:eastAsiaTheme="minorEastAsia" w:cstheme="minorEastAsia"/>
                <w:color w:val="auto"/>
                <w:kern w:val="0"/>
                <w:sz w:val="21"/>
                <w:szCs w:val="21"/>
                <w:highlight w:val="none"/>
              </w:rPr>
              <w:t>分</w:t>
            </w:r>
            <w:r>
              <w:rPr>
                <w:rFonts w:hint="eastAsia" w:asciiTheme="minorEastAsia" w:hAnsiTheme="minorEastAsia" w:eastAsiaTheme="minorEastAsia" w:cstheme="minorEastAsia"/>
                <w:color w:val="auto"/>
                <w:kern w:val="0"/>
                <w:sz w:val="21"/>
                <w:szCs w:val="21"/>
                <w:highlight w:val="none"/>
                <w:lang w:eastAsia="zh-CN"/>
              </w:rPr>
              <w:t>；</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由评标委员会进一步评审：</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（1）实施方案内容全面具体。</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（2）实施方案内容科学合理。</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（3）实施方案内容针对性强。</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（4）实施方案内容可操作性强。</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（5）实施方案内容演出资源优势性强。</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优评分标准：满足以上五项要求的评价为优，</w:t>
            </w:r>
            <w:r>
              <w:rPr>
                <w:rFonts w:hint="eastAsia" w:asciiTheme="minorEastAsia" w:hAnsiTheme="minorEastAsia" w:eastAsiaTheme="minorEastAsia" w:cstheme="minorEastAsia"/>
                <w:color w:val="auto"/>
                <w:kern w:val="0"/>
                <w:sz w:val="21"/>
                <w:szCs w:val="21"/>
                <w:highlight w:val="none"/>
                <w:lang w:val="en-US" w:eastAsia="zh-CN"/>
              </w:rPr>
              <w:t>加</w:t>
            </w: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lang w:val="en-US" w:eastAsia="zh-CN"/>
              </w:rPr>
              <w:t>40</w:t>
            </w:r>
            <w:r>
              <w:rPr>
                <w:rFonts w:hint="eastAsia" w:asciiTheme="minorEastAsia" w:hAnsiTheme="minorEastAsia" w:eastAsiaTheme="minorEastAsia" w:cstheme="minorEastAsia"/>
                <w:color w:val="auto"/>
                <w:kern w:val="0"/>
                <w:sz w:val="21"/>
                <w:szCs w:val="21"/>
                <w:highlight w:val="none"/>
              </w:rPr>
              <w:t>分。</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良评分标准：满足以上四项要求的评价为良，</w:t>
            </w:r>
            <w:r>
              <w:rPr>
                <w:rFonts w:hint="eastAsia" w:asciiTheme="minorEastAsia" w:hAnsiTheme="minorEastAsia" w:eastAsiaTheme="minorEastAsia" w:cstheme="minorEastAsia"/>
                <w:color w:val="auto"/>
                <w:kern w:val="0"/>
                <w:sz w:val="21"/>
                <w:szCs w:val="21"/>
                <w:highlight w:val="none"/>
                <w:lang w:val="en-US" w:eastAsia="zh-CN"/>
              </w:rPr>
              <w:t>加20</w:t>
            </w:r>
            <w:r>
              <w:rPr>
                <w:rFonts w:hint="eastAsia" w:asciiTheme="minorEastAsia" w:hAnsiTheme="minorEastAsia" w:eastAsiaTheme="minorEastAsia" w:cstheme="minorEastAsia"/>
                <w:color w:val="auto"/>
                <w:kern w:val="0"/>
                <w:sz w:val="21"/>
                <w:szCs w:val="21"/>
                <w:highlight w:val="none"/>
              </w:rPr>
              <w:t>分。</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中评分标准：满足以上三项要求的评价为中，</w:t>
            </w:r>
            <w:r>
              <w:rPr>
                <w:rFonts w:hint="eastAsia" w:asciiTheme="minorEastAsia" w:hAnsiTheme="minorEastAsia" w:eastAsiaTheme="minorEastAsia" w:cstheme="minorEastAsia"/>
                <w:color w:val="auto"/>
                <w:kern w:val="0"/>
                <w:sz w:val="21"/>
                <w:szCs w:val="21"/>
                <w:highlight w:val="none"/>
                <w:lang w:val="en-US" w:eastAsia="zh-CN"/>
              </w:rPr>
              <w:t>加10</w:t>
            </w:r>
            <w:r>
              <w:rPr>
                <w:rFonts w:hint="eastAsia" w:asciiTheme="minorEastAsia" w:hAnsiTheme="minorEastAsia" w:eastAsiaTheme="minorEastAsia" w:cstheme="minorEastAsia"/>
                <w:color w:val="auto"/>
                <w:kern w:val="0"/>
                <w:sz w:val="21"/>
                <w:szCs w:val="21"/>
                <w:highlight w:val="none"/>
              </w:rPr>
              <w:t>分。</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auto"/>
                <w:kern w:val="0"/>
                <w:sz w:val="21"/>
                <w:szCs w:val="21"/>
                <w:highlight w:val="none"/>
              </w:rPr>
              <w:t>差评分标准：上述情况之外的，评差不</w:t>
            </w:r>
            <w:r>
              <w:rPr>
                <w:rFonts w:hint="eastAsia" w:asciiTheme="minorEastAsia" w:hAnsiTheme="minorEastAsia" w:eastAsiaTheme="minorEastAsia" w:cstheme="minorEastAsia"/>
                <w:color w:val="auto"/>
                <w:kern w:val="0"/>
                <w:sz w:val="21"/>
                <w:szCs w:val="21"/>
                <w:highlight w:val="none"/>
                <w:lang w:val="en-US" w:eastAsia="zh-CN"/>
              </w:rPr>
              <w:t>加</w:t>
            </w:r>
            <w:r>
              <w:rPr>
                <w:rFonts w:hint="eastAsia" w:asciiTheme="minorEastAsia" w:hAnsiTheme="minorEastAsia" w:eastAsiaTheme="minorEastAsia" w:cstheme="minorEastAsia"/>
                <w:color w:val="auto"/>
                <w:kern w:val="0"/>
                <w:sz w:val="21"/>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tblCellSpacing w:w="0" w:type="dxa"/>
          <w:jc w:val="center"/>
        </w:trPr>
        <w:tc>
          <w:tcPr>
            <w:tcW w:w="486" w:type="dxa"/>
            <w:vMerge w:val="restart"/>
            <w:tcBorders>
              <w:top w:val="single" w:color="000000" w:sz="8" w:space="0"/>
              <w:left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b/>
                <w:bCs/>
                <w:sz w:val="21"/>
                <w:szCs w:val="21"/>
              </w:rPr>
            </w:pPr>
          </w:p>
        </w:tc>
        <w:tc>
          <w:tcPr>
            <w:tcW w:w="428"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5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val="0"/>
                <w:bCs/>
                <w:color w:val="auto"/>
                <w:sz w:val="21"/>
                <w:szCs w:val="21"/>
                <w:highlight w:val="none"/>
                <w:lang w:val="en-US" w:eastAsia="zh-CN"/>
              </w:rPr>
              <w:t>项目优势化分析、项目重难点及相关的合理化建议</w:t>
            </w:r>
          </w:p>
        </w:tc>
        <w:tc>
          <w:tcPr>
            <w:tcW w:w="93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570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rPr>
              <w:t>（一）评审内容：</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投标人应根据采购文件服务需求提供项目优势化分析、重点难点分析、应对措施及相关的合理化建议内容包括但不限于：</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（1）项目优势化分析及重点难点分析；</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（2）应对措施；</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（3）合理化建议。</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rPr>
              <w:t>（二）评审依据：</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满足以上任意一项内容得</w:t>
            </w:r>
            <w:r>
              <w:rPr>
                <w:rFonts w:hint="eastAsia" w:asciiTheme="minorEastAsia" w:hAnsiTheme="minorEastAsia" w:eastAsiaTheme="minorEastAsia" w:cstheme="minorEastAsia"/>
                <w:color w:val="auto"/>
                <w:kern w:val="0"/>
                <w:sz w:val="21"/>
                <w:szCs w:val="21"/>
                <w:highlight w:val="none"/>
                <w:lang w:val="en-US" w:eastAsia="zh-CN"/>
              </w:rPr>
              <w:t>20</w:t>
            </w:r>
            <w:r>
              <w:rPr>
                <w:rFonts w:hint="eastAsia" w:asciiTheme="minorEastAsia" w:hAnsiTheme="minorEastAsia" w:eastAsiaTheme="minorEastAsia" w:cstheme="minorEastAsia"/>
                <w:color w:val="auto"/>
                <w:kern w:val="0"/>
                <w:sz w:val="21"/>
                <w:szCs w:val="21"/>
                <w:highlight w:val="none"/>
              </w:rPr>
              <w:t>分，最高</w:t>
            </w:r>
            <w:r>
              <w:rPr>
                <w:rFonts w:hint="eastAsia" w:asciiTheme="minorEastAsia" w:hAnsiTheme="minorEastAsia" w:eastAsiaTheme="minorEastAsia" w:cstheme="minorEastAsia"/>
                <w:color w:val="auto"/>
                <w:kern w:val="0"/>
                <w:sz w:val="21"/>
                <w:szCs w:val="21"/>
                <w:highlight w:val="none"/>
                <w:lang w:val="en-US" w:eastAsia="zh-CN"/>
              </w:rPr>
              <w:t>60</w:t>
            </w:r>
            <w:r>
              <w:rPr>
                <w:rFonts w:hint="eastAsia" w:asciiTheme="minorEastAsia" w:hAnsiTheme="minorEastAsia" w:eastAsiaTheme="minorEastAsia" w:cstheme="minorEastAsia"/>
                <w:color w:val="auto"/>
                <w:kern w:val="0"/>
                <w:sz w:val="21"/>
                <w:szCs w:val="21"/>
                <w:highlight w:val="none"/>
              </w:rPr>
              <w:t>分</w:t>
            </w:r>
            <w:r>
              <w:rPr>
                <w:rFonts w:hint="eastAsia" w:asciiTheme="minorEastAsia" w:hAnsiTheme="minorEastAsia" w:eastAsiaTheme="minorEastAsia" w:cstheme="minorEastAsia"/>
                <w:color w:val="auto"/>
                <w:kern w:val="0"/>
                <w:sz w:val="21"/>
                <w:szCs w:val="21"/>
                <w:highlight w:val="none"/>
                <w:lang w:eastAsia="zh-CN"/>
              </w:rPr>
              <w:t>；</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在此基础上，由评标委员会进一步评审：</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（1）相关项目优势化分析、重难点分析、应对措施及相关合 理化建议内容全面。</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（2）相关项目优势化分析、重难点分析、应对措施及相关合 理化建议内容具体。</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（3）相关项目优势化分析、重难点分析、应对措施及相关合 理化建议内容科学合理。</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（4）相关项目优势化分析、重难点分析、应对措施及相关合 理化建议内容针对性强。</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（5）相关项目优势化分析、重难点分析、应对措施及相关合 理化建议内容可操作性强。</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优评分标准：满足以上五项要求的评价为优，</w:t>
            </w:r>
            <w:r>
              <w:rPr>
                <w:rFonts w:hint="eastAsia" w:asciiTheme="minorEastAsia" w:hAnsiTheme="minorEastAsia" w:eastAsiaTheme="minorEastAsia" w:cstheme="minorEastAsia"/>
                <w:color w:val="auto"/>
                <w:kern w:val="0"/>
                <w:sz w:val="21"/>
                <w:szCs w:val="21"/>
                <w:highlight w:val="none"/>
                <w:lang w:val="en-US" w:eastAsia="zh-CN"/>
              </w:rPr>
              <w:t>加</w:t>
            </w: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lang w:val="en-US" w:eastAsia="zh-CN"/>
              </w:rPr>
              <w:t>40</w:t>
            </w:r>
            <w:r>
              <w:rPr>
                <w:rFonts w:hint="eastAsia" w:asciiTheme="minorEastAsia" w:hAnsiTheme="minorEastAsia" w:eastAsiaTheme="minorEastAsia" w:cstheme="minorEastAsia"/>
                <w:color w:val="auto"/>
                <w:kern w:val="0"/>
                <w:sz w:val="21"/>
                <w:szCs w:val="21"/>
                <w:highlight w:val="none"/>
              </w:rPr>
              <w:t>分</w:t>
            </w:r>
            <w:r>
              <w:rPr>
                <w:rFonts w:hint="eastAsia" w:asciiTheme="minorEastAsia" w:hAnsiTheme="minorEastAsia" w:eastAsiaTheme="minorEastAsia" w:cstheme="minorEastAsia"/>
                <w:sz w:val="21"/>
                <w:szCs w:val="21"/>
              </w:rPr>
              <w:t>。</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sz w:val="21"/>
                <w:szCs w:val="21"/>
              </w:rPr>
              <w:t>良评分标准：满足以上四项要求的评价为良，</w:t>
            </w:r>
            <w:r>
              <w:rPr>
                <w:rFonts w:hint="eastAsia" w:asciiTheme="minorEastAsia" w:hAnsiTheme="minorEastAsia" w:eastAsiaTheme="minorEastAsia" w:cstheme="minorEastAsia"/>
                <w:color w:val="auto"/>
                <w:kern w:val="0"/>
                <w:sz w:val="21"/>
                <w:szCs w:val="21"/>
                <w:highlight w:val="none"/>
                <w:lang w:val="en-US" w:eastAsia="zh-CN"/>
              </w:rPr>
              <w:t>加</w:t>
            </w: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lang w:val="en-US" w:eastAsia="zh-CN"/>
              </w:rPr>
              <w:t>20</w:t>
            </w:r>
            <w:r>
              <w:rPr>
                <w:rFonts w:hint="eastAsia" w:asciiTheme="minorEastAsia" w:hAnsiTheme="minorEastAsia" w:eastAsiaTheme="minorEastAsia" w:cstheme="minorEastAsia"/>
                <w:color w:val="auto"/>
                <w:kern w:val="0"/>
                <w:sz w:val="21"/>
                <w:szCs w:val="21"/>
                <w:highlight w:val="none"/>
              </w:rPr>
              <w:t>分。</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中评分标准：满足以上三项要求的评价为中，得 1</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分。</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差评分标准：上述情况之外的，评差不</w:t>
            </w:r>
            <w:r>
              <w:rPr>
                <w:rFonts w:hint="eastAsia" w:asciiTheme="minorEastAsia" w:hAnsiTheme="minorEastAsia" w:eastAsiaTheme="minorEastAsia" w:cstheme="minorEastAsia"/>
                <w:sz w:val="21"/>
                <w:szCs w:val="21"/>
                <w:lang w:val="en-US" w:eastAsia="zh-CN"/>
              </w:rPr>
              <w:t>加</w:t>
            </w:r>
            <w:r>
              <w:rPr>
                <w:rFonts w:hint="eastAsia" w:asciiTheme="minorEastAsia" w:hAnsiTheme="minorEastAsia" w:eastAsiaTheme="minorEastAsia" w:cstheme="minorEastAsia"/>
                <w:sz w:val="21"/>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tblCellSpacing w:w="0" w:type="dxa"/>
          <w:jc w:val="center"/>
        </w:trPr>
        <w:tc>
          <w:tcPr>
            <w:tcW w:w="486"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b/>
                <w:bCs/>
                <w:sz w:val="21"/>
                <w:szCs w:val="21"/>
              </w:rPr>
            </w:pPr>
          </w:p>
        </w:tc>
        <w:tc>
          <w:tcPr>
            <w:tcW w:w="428"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w:t>
            </w:r>
          </w:p>
        </w:tc>
        <w:tc>
          <w:tcPr>
            <w:tcW w:w="15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质量保障措施</w:t>
            </w:r>
          </w:p>
        </w:tc>
        <w:tc>
          <w:tcPr>
            <w:tcW w:w="93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570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color w:val="auto"/>
                <w:kern w:val="0"/>
                <w:sz w:val="21"/>
                <w:szCs w:val="21"/>
                <w:highlight w:val="none"/>
              </w:rPr>
              <w:t>（一）评审内容</w:t>
            </w:r>
            <w:r>
              <w:rPr>
                <w:rFonts w:hint="eastAsia" w:asciiTheme="minorEastAsia" w:hAnsiTheme="minorEastAsia" w:eastAsiaTheme="minorEastAsia" w:cstheme="minorEastAsia"/>
                <w:b/>
                <w:bCs/>
                <w:sz w:val="21"/>
                <w:szCs w:val="21"/>
              </w:rPr>
              <w:t>：</w:t>
            </w:r>
          </w:p>
          <w:p>
            <w:pPr>
              <w:keepNext w:val="0"/>
              <w:keepLines w:val="0"/>
              <w:pageBreakBefore w:val="0"/>
              <w:widowControl/>
              <w:suppressLineNumbers w:val="0"/>
              <w:kinsoku/>
              <w:overflowPunct/>
              <w:topLinePunct w:val="0"/>
              <w:autoSpaceDE/>
              <w:autoSpaceDN/>
              <w:bidi w:val="0"/>
              <w:adjustRightInd/>
              <w:spacing w:line="360" w:lineRule="exact"/>
              <w:jc w:val="left"/>
              <w:textAlignment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投标人需针对本项目提供质量保障措施及方案方案内容包括但不限于：</w:t>
            </w:r>
          </w:p>
          <w:p>
            <w:pPr>
              <w:keepNext w:val="0"/>
              <w:keepLines w:val="0"/>
              <w:pageBreakBefore w:val="0"/>
              <w:widowControl/>
              <w:suppressLineNumbers w:val="0"/>
              <w:kinsoku/>
              <w:overflowPunct/>
              <w:topLinePunct w:val="0"/>
              <w:autoSpaceDE/>
              <w:autoSpaceDN/>
              <w:bidi w:val="0"/>
              <w:adjustRightInd/>
              <w:spacing w:line="360" w:lineRule="exact"/>
              <w:jc w:val="left"/>
              <w:textAlignment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（1）给出项目时间安排、工作进度；具备详细的完成时间保障措施；</w:t>
            </w:r>
          </w:p>
          <w:p>
            <w:pPr>
              <w:keepNext w:val="0"/>
              <w:keepLines w:val="0"/>
              <w:pageBreakBefore w:val="0"/>
              <w:widowControl/>
              <w:suppressLineNumbers w:val="0"/>
              <w:kinsoku/>
              <w:overflowPunct/>
              <w:topLinePunct w:val="0"/>
              <w:autoSpaceDE/>
              <w:autoSpaceDN/>
              <w:bidi w:val="0"/>
              <w:adjustRightInd/>
              <w:spacing w:line="360" w:lineRule="exact"/>
              <w:jc w:val="left"/>
              <w:textAlignment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（2）详细阐述项目人员管理措施；</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（3）详细阐述项目质量管理措施；</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rPr>
              <w:t>（二）评审依据：</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满足以上任意一项内容得</w:t>
            </w:r>
            <w:r>
              <w:rPr>
                <w:rFonts w:hint="eastAsia" w:asciiTheme="minorEastAsia" w:hAnsiTheme="minorEastAsia" w:eastAsiaTheme="minorEastAsia" w:cstheme="minorEastAsia"/>
                <w:color w:val="auto"/>
                <w:kern w:val="0"/>
                <w:sz w:val="21"/>
                <w:szCs w:val="21"/>
                <w:highlight w:val="none"/>
                <w:lang w:val="en-US" w:eastAsia="zh-CN"/>
              </w:rPr>
              <w:t>20</w:t>
            </w:r>
            <w:r>
              <w:rPr>
                <w:rFonts w:hint="eastAsia" w:asciiTheme="minorEastAsia" w:hAnsiTheme="minorEastAsia" w:eastAsiaTheme="minorEastAsia" w:cstheme="minorEastAsia"/>
                <w:color w:val="auto"/>
                <w:kern w:val="0"/>
                <w:sz w:val="21"/>
                <w:szCs w:val="21"/>
                <w:highlight w:val="none"/>
              </w:rPr>
              <w:t>分，最高</w:t>
            </w:r>
            <w:r>
              <w:rPr>
                <w:rFonts w:hint="eastAsia" w:asciiTheme="minorEastAsia" w:hAnsiTheme="minorEastAsia" w:eastAsiaTheme="minorEastAsia" w:cstheme="minorEastAsia"/>
                <w:color w:val="auto"/>
                <w:kern w:val="0"/>
                <w:sz w:val="21"/>
                <w:szCs w:val="21"/>
                <w:highlight w:val="none"/>
                <w:lang w:val="en-US" w:eastAsia="zh-CN"/>
              </w:rPr>
              <w:t>60</w:t>
            </w:r>
            <w:r>
              <w:rPr>
                <w:rFonts w:hint="eastAsia" w:asciiTheme="minorEastAsia" w:hAnsiTheme="minorEastAsia" w:eastAsiaTheme="minorEastAsia" w:cstheme="minorEastAsia"/>
                <w:color w:val="auto"/>
                <w:kern w:val="0"/>
                <w:sz w:val="21"/>
                <w:szCs w:val="21"/>
                <w:highlight w:val="none"/>
              </w:rPr>
              <w:t>分</w:t>
            </w:r>
            <w:r>
              <w:rPr>
                <w:rFonts w:hint="eastAsia" w:asciiTheme="minorEastAsia" w:hAnsiTheme="minorEastAsia" w:eastAsiaTheme="minorEastAsia" w:cstheme="minorEastAsia"/>
                <w:color w:val="auto"/>
                <w:kern w:val="0"/>
                <w:sz w:val="21"/>
                <w:szCs w:val="21"/>
                <w:highlight w:val="none"/>
                <w:lang w:eastAsia="zh-CN"/>
              </w:rPr>
              <w:t>；</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在此基础上，由评标委员会进一步评审：</w:t>
            </w:r>
          </w:p>
          <w:p>
            <w:pPr>
              <w:keepNext w:val="0"/>
              <w:keepLines w:val="0"/>
              <w:pageBreakBefore w:val="0"/>
              <w:widowControl/>
              <w:suppressLineNumbers w:val="0"/>
              <w:kinsoku/>
              <w:overflowPunct/>
              <w:topLinePunct w:val="0"/>
              <w:autoSpaceDE/>
              <w:autoSpaceDN/>
              <w:bidi w:val="0"/>
              <w:adjustRightInd/>
              <w:spacing w:line="360" w:lineRule="exact"/>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（1）质量保障措施及方案内容全面。</w:t>
            </w:r>
          </w:p>
          <w:p>
            <w:pPr>
              <w:keepNext w:val="0"/>
              <w:keepLines w:val="0"/>
              <w:pageBreakBefore w:val="0"/>
              <w:widowControl/>
              <w:suppressLineNumbers w:val="0"/>
              <w:kinsoku/>
              <w:overflowPunct/>
              <w:topLinePunct w:val="0"/>
              <w:autoSpaceDE/>
              <w:autoSpaceDN/>
              <w:bidi w:val="0"/>
              <w:adjustRightInd/>
              <w:spacing w:line="360" w:lineRule="exact"/>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（2）质量保障措施及方案内容具体。</w:t>
            </w:r>
          </w:p>
          <w:p>
            <w:pPr>
              <w:keepNext w:val="0"/>
              <w:keepLines w:val="0"/>
              <w:pageBreakBefore w:val="0"/>
              <w:widowControl/>
              <w:suppressLineNumbers w:val="0"/>
              <w:kinsoku/>
              <w:overflowPunct/>
              <w:topLinePunct w:val="0"/>
              <w:autoSpaceDE/>
              <w:autoSpaceDN/>
              <w:bidi w:val="0"/>
              <w:adjustRightInd/>
              <w:spacing w:line="360" w:lineRule="exact"/>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（3）质量保障措施及方案内容科学合理。</w:t>
            </w:r>
          </w:p>
          <w:p>
            <w:pPr>
              <w:keepNext w:val="0"/>
              <w:keepLines w:val="0"/>
              <w:pageBreakBefore w:val="0"/>
              <w:widowControl/>
              <w:suppressLineNumbers w:val="0"/>
              <w:kinsoku/>
              <w:overflowPunct/>
              <w:topLinePunct w:val="0"/>
              <w:autoSpaceDE/>
              <w:autoSpaceDN/>
              <w:bidi w:val="0"/>
              <w:adjustRightInd/>
              <w:spacing w:line="360" w:lineRule="exact"/>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（4）质量保障措施及方案内容针对性强。</w:t>
            </w:r>
          </w:p>
          <w:p>
            <w:pPr>
              <w:keepNext w:val="0"/>
              <w:keepLines w:val="0"/>
              <w:pageBreakBefore w:val="0"/>
              <w:widowControl/>
              <w:suppressLineNumbers w:val="0"/>
              <w:kinsoku/>
              <w:overflowPunct/>
              <w:topLinePunct w:val="0"/>
              <w:autoSpaceDE/>
              <w:autoSpaceDN/>
              <w:bidi w:val="0"/>
              <w:adjustRightInd/>
              <w:spacing w:line="360" w:lineRule="exact"/>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（5）质量保障措施及方案内容可操作性强。</w:t>
            </w:r>
          </w:p>
          <w:p>
            <w:pPr>
              <w:keepNext w:val="0"/>
              <w:keepLines w:val="0"/>
              <w:pageBreakBefore w:val="0"/>
              <w:widowControl/>
              <w:suppressLineNumbers w:val="0"/>
              <w:kinsoku/>
              <w:overflowPunct/>
              <w:topLinePunct w:val="0"/>
              <w:autoSpaceDE/>
              <w:autoSpaceDN/>
              <w:bidi w:val="0"/>
              <w:adjustRightInd/>
              <w:spacing w:line="360" w:lineRule="exact"/>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优评分标准：满足以上五项要求的评价为优，加 40分。</w:t>
            </w:r>
          </w:p>
          <w:p>
            <w:pPr>
              <w:keepNext w:val="0"/>
              <w:keepLines w:val="0"/>
              <w:pageBreakBefore w:val="0"/>
              <w:widowControl/>
              <w:suppressLineNumbers w:val="0"/>
              <w:kinsoku/>
              <w:overflowPunct/>
              <w:topLinePunct w:val="0"/>
              <w:autoSpaceDE/>
              <w:autoSpaceDN/>
              <w:bidi w:val="0"/>
              <w:adjustRightInd/>
              <w:spacing w:line="360" w:lineRule="exact"/>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良评分标准：满足以上四项要求的评价为良，加 20分。</w:t>
            </w:r>
          </w:p>
          <w:p>
            <w:pPr>
              <w:keepNext w:val="0"/>
              <w:keepLines w:val="0"/>
              <w:pageBreakBefore w:val="0"/>
              <w:widowControl/>
              <w:suppressLineNumbers w:val="0"/>
              <w:kinsoku/>
              <w:overflowPunct/>
              <w:topLinePunct w:val="0"/>
              <w:autoSpaceDE/>
              <w:autoSpaceDN/>
              <w:bidi w:val="0"/>
              <w:adjustRightInd/>
              <w:spacing w:line="360" w:lineRule="exact"/>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中评分标准：满足以上三项要求的评价为中，得10分。</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差评分标准：上述情况之外的，评差不加分。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tblCellSpacing w:w="0" w:type="dxa"/>
          <w:jc w:val="center"/>
        </w:trPr>
        <w:tc>
          <w:tcPr>
            <w:tcW w:w="486"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b/>
                <w:bCs/>
                <w:sz w:val="21"/>
                <w:szCs w:val="21"/>
              </w:rPr>
            </w:pPr>
          </w:p>
        </w:tc>
        <w:tc>
          <w:tcPr>
            <w:tcW w:w="428"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15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拟安排的项目团队成员情况</w:t>
            </w:r>
          </w:p>
        </w:tc>
        <w:tc>
          <w:tcPr>
            <w:tcW w:w="93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570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color w:val="auto"/>
                <w:kern w:val="0"/>
                <w:sz w:val="21"/>
                <w:szCs w:val="21"/>
                <w:highlight w:val="none"/>
              </w:rPr>
              <w:t>（一）评审内容</w:t>
            </w:r>
            <w:r>
              <w:rPr>
                <w:rFonts w:hint="eastAsia" w:asciiTheme="minorEastAsia" w:hAnsiTheme="minorEastAsia" w:eastAsiaTheme="minorEastAsia" w:cstheme="minorEastAsia"/>
                <w:b/>
                <w:bCs/>
                <w:sz w:val="21"/>
                <w:szCs w:val="21"/>
              </w:rPr>
              <w:t>：</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1.具</w:t>
            </w:r>
            <w:r>
              <w:rPr>
                <w:rFonts w:hint="eastAsia" w:asciiTheme="minorEastAsia" w:hAnsiTheme="minorEastAsia" w:cstheme="minorEastAsia"/>
                <w:sz w:val="21"/>
                <w:szCs w:val="21"/>
                <w:lang w:val="en-US" w:eastAsia="zh-CN"/>
              </w:rPr>
              <w:t>有</w:t>
            </w:r>
            <w:r>
              <w:rPr>
                <w:rFonts w:hint="eastAsia" w:asciiTheme="minorEastAsia" w:hAnsiTheme="minorEastAsia" w:eastAsiaTheme="minorEastAsia" w:cstheme="minorEastAsia"/>
                <w:sz w:val="21"/>
                <w:szCs w:val="21"/>
              </w:rPr>
              <w:t>艺术相关</w:t>
            </w:r>
            <w:r>
              <w:rPr>
                <w:rFonts w:hint="eastAsia" w:asciiTheme="minorEastAsia" w:hAnsiTheme="minorEastAsia" w:cstheme="minorEastAsia"/>
                <w:sz w:val="21"/>
                <w:szCs w:val="21"/>
                <w:lang w:val="en-US" w:eastAsia="zh-CN"/>
              </w:rPr>
              <w:t>学历</w:t>
            </w:r>
            <w:r>
              <w:rPr>
                <w:rFonts w:hint="eastAsia" w:asciiTheme="minorEastAsia" w:hAnsiTheme="minorEastAsia" w:eastAsiaTheme="minorEastAsia" w:cstheme="minorEastAsia"/>
                <w:sz w:val="21"/>
                <w:szCs w:val="21"/>
              </w:rPr>
              <w:t>，大专得1</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分，本科得2</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分，硕士得3</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分，最高得6</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分；</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2.具</w:t>
            </w:r>
            <w:r>
              <w:rPr>
                <w:rFonts w:hint="eastAsia" w:asciiTheme="minorEastAsia" w:hAnsiTheme="minorEastAsia" w:cstheme="minorEastAsia"/>
                <w:sz w:val="21"/>
                <w:szCs w:val="21"/>
                <w:lang w:val="en-US" w:eastAsia="zh-CN"/>
              </w:rPr>
              <w:t>有</w:t>
            </w:r>
            <w:r>
              <w:rPr>
                <w:rFonts w:hint="eastAsia" w:asciiTheme="minorEastAsia" w:hAnsiTheme="minorEastAsia" w:eastAsiaTheme="minorEastAsia" w:cstheme="minorEastAsia"/>
                <w:sz w:val="21"/>
                <w:szCs w:val="21"/>
              </w:rPr>
              <w:t>演出行业经纪人资格证，每提供一个得2</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分，最高得4</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以上最高累计得100分。</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b/>
                <w:bCs/>
                <w:sz w:val="21"/>
                <w:szCs w:val="21"/>
              </w:rPr>
            </w:pPr>
            <w:r>
              <w:rPr>
                <w:rFonts w:hint="eastAsia" w:asciiTheme="minorEastAsia" w:hAnsiTheme="minorEastAsia" w:cstheme="minorEastAsia"/>
                <w:b/>
                <w:bCs/>
                <w:sz w:val="21"/>
                <w:szCs w:val="21"/>
                <w:lang w:eastAsia="zh-CN"/>
              </w:rPr>
              <w:t>（</w:t>
            </w:r>
            <w:r>
              <w:rPr>
                <w:rFonts w:hint="eastAsia" w:asciiTheme="minorEastAsia" w:hAnsiTheme="minorEastAsia" w:cstheme="minorEastAsia"/>
                <w:b/>
                <w:bCs/>
                <w:sz w:val="21"/>
                <w:szCs w:val="21"/>
                <w:lang w:val="en-US" w:eastAsia="zh-CN"/>
              </w:rPr>
              <w:t>二</w:t>
            </w:r>
            <w:r>
              <w:rPr>
                <w:rFonts w:hint="eastAsia" w:asciiTheme="minorEastAsia" w:hAnsiTheme="minorEastAsia" w:cstheme="minorEastAsia"/>
                <w:b/>
                <w:bCs/>
                <w:sz w:val="21"/>
                <w:szCs w:val="21"/>
                <w:lang w:eastAsia="zh-CN"/>
              </w:rPr>
              <w:t>）</w:t>
            </w:r>
            <w:r>
              <w:rPr>
                <w:rFonts w:hint="eastAsia" w:asciiTheme="minorEastAsia" w:hAnsiTheme="minorEastAsia" w:eastAsiaTheme="minorEastAsia" w:cstheme="minorEastAsia"/>
                <w:b/>
                <w:bCs/>
                <w:sz w:val="21"/>
                <w:szCs w:val="21"/>
                <w:lang w:eastAsia="zh-CN"/>
              </w:rPr>
              <w:t>证明文件</w:t>
            </w:r>
            <w:r>
              <w:rPr>
                <w:rFonts w:hint="eastAsia" w:asciiTheme="minorEastAsia" w:hAnsiTheme="minorEastAsia" w:eastAsiaTheme="minorEastAsia" w:cstheme="minorEastAsia"/>
                <w:b/>
                <w:bCs/>
                <w:sz w:val="21"/>
                <w:szCs w:val="21"/>
              </w:rPr>
              <w:t>：</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提供毕业证书、学位证书（大专无需提供学位证书）扫描件、学历信息在学信网查询结果截图（https://www.chsi.com.cn/xlcx/index.jsp），由于日期较早无法查询的，需提供毕业院校或者人社部门出具的证明，国外学历证书提供教育部留学服务中心出具的国外学历认证书以及教育部留学服务中心官网查询截图（查询网址https://zwfw.cscse.edu.cn/）；</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2、提供资格证书扫描件；</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提供开标日前由投标人为</w:t>
            </w:r>
            <w:r>
              <w:rPr>
                <w:rFonts w:hint="eastAsia" w:asciiTheme="minorEastAsia" w:hAnsiTheme="minorEastAsia" w:eastAsiaTheme="minorEastAsia" w:cstheme="minorEastAsia"/>
                <w:sz w:val="21"/>
                <w:szCs w:val="21"/>
                <w:lang w:eastAsia="zh-CN"/>
              </w:rPr>
              <w:t>拟投入本项目的</w:t>
            </w:r>
            <w:r>
              <w:rPr>
                <w:rFonts w:hint="eastAsia" w:asciiTheme="minorEastAsia" w:hAnsiTheme="minorEastAsia" w:eastAsiaTheme="minorEastAsia" w:cstheme="minorEastAsia"/>
                <w:sz w:val="21"/>
                <w:szCs w:val="21"/>
                <w:lang w:val="en-US" w:eastAsia="zh-CN"/>
              </w:rPr>
              <w:t>人员</w:t>
            </w:r>
            <w:r>
              <w:rPr>
                <w:rFonts w:hint="eastAsia" w:asciiTheme="minorEastAsia" w:hAnsiTheme="minorEastAsia" w:eastAsiaTheme="minorEastAsia" w:cstheme="minorEastAsia"/>
                <w:sz w:val="21"/>
                <w:szCs w:val="21"/>
              </w:rPr>
              <w:t>缴交的载有</w:t>
            </w:r>
            <w:r>
              <w:rPr>
                <w:rFonts w:hint="eastAsia" w:asciiTheme="minorEastAsia" w:hAnsiTheme="minorEastAsia" w:eastAsiaTheme="minorEastAsia" w:cstheme="minorEastAsia"/>
                <w:sz w:val="21"/>
                <w:szCs w:val="21"/>
                <w:lang w:eastAsia="zh-CN"/>
              </w:rPr>
              <w:t>政府</w:t>
            </w:r>
            <w:r>
              <w:rPr>
                <w:rFonts w:hint="eastAsia" w:asciiTheme="minorEastAsia" w:hAnsiTheme="minorEastAsia" w:eastAsiaTheme="minorEastAsia" w:cstheme="minorEastAsia"/>
                <w:sz w:val="21"/>
                <w:szCs w:val="21"/>
              </w:rPr>
              <w:t>部门公章</w:t>
            </w:r>
            <w:r>
              <w:rPr>
                <w:rFonts w:hint="eastAsia" w:asciiTheme="minorEastAsia" w:hAnsiTheme="minorEastAsia" w:eastAsiaTheme="minorEastAsia" w:cstheme="minorEastAsia"/>
                <w:sz w:val="21"/>
                <w:szCs w:val="21"/>
                <w:lang w:eastAsia="zh-CN"/>
              </w:rPr>
              <w:t>（或专用章）</w:t>
            </w:r>
            <w:r>
              <w:rPr>
                <w:rFonts w:hint="eastAsia" w:asciiTheme="minorEastAsia" w:hAnsiTheme="minorEastAsia" w:eastAsiaTheme="minorEastAsia" w:cstheme="minorEastAsia"/>
                <w:sz w:val="21"/>
                <w:szCs w:val="21"/>
              </w:rPr>
              <w:t>的20</w:t>
            </w:r>
            <w:r>
              <w:rPr>
                <w:rFonts w:hint="eastAsia" w:asciiTheme="minorEastAsia" w:hAnsiTheme="minorEastAsia" w:eastAsiaTheme="minorEastAsia" w:cstheme="minorEastAsia"/>
                <w:sz w:val="21"/>
                <w:szCs w:val="21"/>
                <w:lang w:val="en-US" w:eastAsia="zh-CN"/>
              </w:rPr>
              <w:t>24</w:t>
            </w:r>
            <w:r>
              <w:rPr>
                <w:rFonts w:hint="eastAsia" w:asciiTheme="minorEastAsia" w:hAnsiTheme="minorEastAsia" w:eastAsiaTheme="minorEastAsia" w:cstheme="minorEastAsia"/>
                <w:sz w:val="21"/>
                <w:szCs w:val="21"/>
              </w:rPr>
              <w:t>年</w:t>
            </w:r>
            <w:r>
              <w:rPr>
                <w:rFonts w:hint="eastAsia" w:asciiTheme="minorEastAsia" w:hAnsi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lang w:val="en-US" w:eastAsia="zh-CN"/>
              </w:rPr>
              <w:t>月-</w:t>
            </w:r>
            <w:r>
              <w:rPr>
                <w:rFonts w:hint="eastAsia" w:asciiTheme="minorEastAsia" w:hAnsiTheme="minorEastAsia" w:cstheme="minorEastAsia"/>
                <w:sz w:val="21"/>
                <w:szCs w:val="21"/>
                <w:highlight w:val="none"/>
                <w:lang w:val="en-US" w:eastAsia="zh-CN"/>
              </w:rPr>
              <w:t>12</w:t>
            </w:r>
            <w:r>
              <w:rPr>
                <w:rFonts w:hint="eastAsia" w:asciiTheme="minorEastAsia" w:hAnsiTheme="minorEastAsia" w:eastAsiaTheme="minorEastAsia" w:cstheme="minorEastAsia"/>
                <w:sz w:val="21"/>
                <w:szCs w:val="21"/>
                <w:highlight w:val="none"/>
              </w:rPr>
              <w:t>月</w:t>
            </w:r>
            <w:r>
              <w:rPr>
                <w:rFonts w:hint="eastAsia" w:asciiTheme="minorEastAsia" w:hAnsiTheme="minorEastAsia" w:eastAsiaTheme="minorEastAsia" w:cstheme="minorEastAsia"/>
                <w:sz w:val="21"/>
                <w:szCs w:val="21"/>
                <w:lang w:eastAsia="zh-CN"/>
              </w:rPr>
              <w:t>的</w:t>
            </w:r>
            <w:r>
              <w:rPr>
                <w:rFonts w:hint="eastAsia" w:asciiTheme="minorEastAsia" w:hAnsiTheme="minorEastAsia" w:eastAsiaTheme="minorEastAsia" w:cstheme="minorEastAsia"/>
                <w:sz w:val="21"/>
                <w:szCs w:val="21"/>
              </w:rPr>
              <w:t>社保缴交证明材料，如开标日上一个月的社保材料因</w:t>
            </w:r>
            <w:r>
              <w:rPr>
                <w:rFonts w:hint="eastAsia" w:asciiTheme="minorEastAsia" w:hAnsiTheme="minorEastAsia" w:eastAsiaTheme="minorEastAsia" w:cstheme="minorEastAsia"/>
                <w:sz w:val="21"/>
                <w:szCs w:val="21"/>
                <w:lang w:eastAsia="zh-CN"/>
              </w:rPr>
              <w:t>政府</w:t>
            </w:r>
            <w:r>
              <w:rPr>
                <w:rFonts w:hint="eastAsia" w:asciiTheme="minorEastAsia" w:hAnsiTheme="minorEastAsia" w:eastAsiaTheme="minorEastAsia" w:cstheme="minorEastAsia"/>
                <w:sz w:val="21"/>
                <w:szCs w:val="21"/>
              </w:rPr>
              <w:t>部门原因暂时无法取得，则可以往前顺延一个月；社保资料至少显示缴交养老保险信息，未显示该信息的该社保资料则不符合要求。如供应商为新成立企业且成立时间不足</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个月的，</w:t>
            </w:r>
            <w:r>
              <w:rPr>
                <w:rFonts w:hint="eastAsia" w:asciiTheme="minorEastAsia" w:hAnsiTheme="minorEastAsia" w:eastAsiaTheme="minorEastAsia" w:cstheme="minorEastAsia"/>
                <w:sz w:val="21"/>
                <w:szCs w:val="21"/>
                <w:lang w:eastAsia="zh-CN"/>
              </w:rPr>
              <w:t>需承诺相关人员为投标人自有员工，承诺函格式自拟并加盖公章</w:t>
            </w:r>
            <w:r>
              <w:rPr>
                <w:rFonts w:hint="eastAsia" w:asciiTheme="minorEastAsia" w:hAnsiTheme="minorEastAsia" w:eastAsiaTheme="minorEastAsia" w:cstheme="minorEastAsia"/>
                <w:sz w:val="21"/>
                <w:szCs w:val="21"/>
              </w:rPr>
              <w:t>；</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以上</w:t>
            </w:r>
            <w:r>
              <w:rPr>
                <w:rFonts w:hint="eastAsia" w:asciiTheme="minorEastAsia" w:hAnsiTheme="minorEastAsia" w:eastAsiaTheme="minorEastAsia" w:cstheme="minorEastAsia"/>
                <w:sz w:val="21"/>
                <w:szCs w:val="21"/>
                <w:lang w:eastAsia="zh-CN"/>
              </w:rPr>
              <w:t>未提供或未按要求提供或提供的不清晰导致专家无法判断的，不得分。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tblCellSpacing w:w="0" w:type="dxa"/>
          <w:jc w:val="center"/>
        </w:trPr>
        <w:tc>
          <w:tcPr>
            <w:tcW w:w="486"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pPr>
              <w:keepNext w:val="0"/>
              <w:keepLines w:val="0"/>
              <w:pageBreakBefore w:val="0"/>
              <w:kinsoku/>
              <w:overflowPunct/>
              <w:topLinePunct w:val="0"/>
              <w:autoSpaceDE/>
              <w:autoSpaceDN/>
              <w:bidi w:val="0"/>
              <w:adjustRightInd/>
              <w:snapToGrid w:val="0"/>
              <w:spacing w:line="36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w:t>
            </w:r>
          </w:p>
        </w:tc>
        <w:tc>
          <w:tcPr>
            <w:tcW w:w="2891"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keepNext w:val="0"/>
              <w:keepLines w:val="0"/>
              <w:pageBreakBefore w:val="0"/>
              <w:kinsoku/>
              <w:overflowPunct/>
              <w:topLinePunct w:val="0"/>
              <w:autoSpaceDE/>
              <w:autoSpaceDN/>
              <w:bidi w:val="0"/>
              <w:adjustRightInd/>
              <w:snapToGrid w:val="0"/>
              <w:spacing w:line="36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商务</w:t>
            </w:r>
            <w:r>
              <w:rPr>
                <w:rFonts w:hint="eastAsia" w:asciiTheme="minorEastAsia" w:hAnsiTheme="minorEastAsia" w:eastAsiaTheme="minorEastAsia" w:cstheme="minorEastAsia"/>
                <w:b/>
                <w:bCs/>
                <w:sz w:val="21"/>
                <w:szCs w:val="21"/>
              </w:rPr>
              <w:t>部分</w:t>
            </w:r>
          </w:p>
        </w:tc>
        <w:tc>
          <w:tcPr>
            <w:tcW w:w="5701"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keepNext w:val="0"/>
              <w:keepLines w:val="0"/>
              <w:pageBreakBefore w:val="0"/>
              <w:kinsoku/>
              <w:overflowPunct/>
              <w:topLinePunct w:val="0"/>
              <w:autoSpaceDE/>
              <w:autoSpaceDN/>
              <w:bidi w:val="0"/>
              <w:adjustRightInd/>
              <w:snapToGrid w:val="0"/>
              <w:spacing w:line="360" w:lineRule="exact"/>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tblCellSpacing w:w="0" w:type="dxa"/>
          <w:jc w:val="center"/>
        </w:trPr>
        <w:tc>
          <w:tcPr>
            <w:tcW w:w="486"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b/>
                <w:bCs/>
                <w:sz w:val="21"/>
                <w:szCs w:val="21"/>
              </w:rPr>
            </w:pPr>
          </w:p>
        </w:tc>
        <w:tc>
          <w:tcPr>
            <w:tcW w:w="428"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526"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评分因素</w:t>
            </w:r>
          </w:p>
        </w:tc>
        <w:tc>
          <w:tcPr>
            <w:tcW w:w="937"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权重</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eastAsia="zh-CN"/>
              </w:rPr>
              <w:t>）</w:t>
            </w:r>
          </w:p>
        </w:tc>
        <w:tc>
          <w:tcPr>
            <w:tcW w:w="5701"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tblCellSpacing w:w="0" w:type="dxa"/>
          <w:jc w:val="center"/>
        </w:trPr>
        <w:tc>
          <w:tcPr>
            <w:tcW w:w="486"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b/>
                <w:bCs/>
                <w:sz w:val="21"/>
                <w:szCs w:val="21"/>
              </w:rPr>
            </w:pPr>
          </w:p>
        </w:tc>
        <w:tc>
          <w:tcPr>
            <w:tcW w:w="428"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5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同类项目经验</w:t>
            </w:r>
          </w:p>
        </w:tc>
        <w:tc>
          <w:tcPr>
            <w:tcW w:w="93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570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color w:val="auto"/>
                <w:kern w:val="0"/>
                <w:sz w:val="21"/>
                <w:szCs w:val="21"/>
                <w:highlight w:val="none"/>
              </w:rPr>
              <w:t>（一）评审内容</w:t>
            </w:r>
            <w:r>
              <w:rPr>
                <w:rFonts w:hint="eastAsia" w:asciiTheme="minorEastAsia" w:hAnsiTheme="minorEastAsia" w:eastAsiaTheme="minorEastAsia" w:cstheme="minorEastAsia"/>
                <w:b/>
                <w:bCs/>
                <w:sz w:val="21"/>
                <w:szCs w:val="21"/>
              </w:rPr>
              <w:t>：</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投标人每提供一</w:t>
            </w:r>
            <w:r>
              <w:rPr>
                <w:rFonts w:hint="eastAsia" w:asciiTheme="minorEastAsia" w:hAnsiTheme="minorEastAsia" w:eastAsiaTheme="minorEastAsia" w:cstheme="minorEastAsia"/>
                <w:sz w:val="21"/>
                <w:szCs w:val="21"/>
                <w:highlight w:val="none"/>
                <w:lang w:val="en-US" w:eastAsia="zh-CN"/>
              </w:rPr>
              <w:t>项</w:t>
            </w:r>
            <w:r>
              <w:rPr>
                <w:rFonts w:hint="eastAsia" w:asciiTheme="minorEastAsia" w:hAnsiTheme="minorEastAsia" w:eastAsiaTheme="minorEastAsia" w:cstheme="minorEastAsia"/>
                <w:sz w:val="21"/>
                <w:szCs w:val="21"/>
              </w:rPr>
              <w:t>儿童剧演出类活动得50分，最高得分为100分。</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b/>
                <w:bCs/>
                <w:sz w:val="21"/>
                <w:szCs w:val="21"/>
              </w:rPr>
            </w:pPr>
            <w:r>
              <w:rPr>
                <w:rFonts w:hint="eastAsia" w:asciiTheme="minorEastAsia" w:hAnsiTheme="minorEastAsia" w:cstheme="minorEastAsia"/>
                <w:b/>
                <w:bCs/>
                <w:sz w:val="21"/>
                <w:szCs w:val="21"/>
                <w:lang w:eastAsia="zh-CN"/>
              </w:rPr>
              <w:t>（</w:t>
            </w:r>
            <w:r>
              <w:rPr>
                <w:rFonts w:hint="eastAsia" w:asciiTheme="minorEastAsia" w:hAnsiTheme="minorEastAsia" w:cstheme="minorEastAsia"/>
                <w:b/>
                <w:bCs/>
                <w:sz w:val="21"/>
                <w:szCs w:val="21"/>
                <w:lang w:val="en-US" w:eastAsia="zh-CN"/>
              </w:rPr>
              <w:t>二</w:t>
            </w:r>
            <w:r>
              <w:rPr>
                <w:rFonts w:hint="eastAsia" w:asciiTheme="minorEastAsia" w:hAnsiTheme="minorEastAsia" w:cstheme="minorEastAsia"/>
                <w:b/>
                <w:bCs/>
                <w:sz w:val="21"/>
                <w:szCs w:val="21"/>
                <w:lang w:eastAsia="zh-CN"/>
              </w:rPr>
              <w:t>）</w:t>
            </w:r>
            <w:r>
              <w:rPr>
                <w:rFonts w:hint="eastAsia" w:asciiTheme="minorEastAsia" w:hAnsiTheme="minorEastAsia" w:eastAsiaTheme="minorEastAsia" w:cstheme="minorEastAsia"/>
                <w:b/>
                <w:bCs/>
                <w:sz w:val="21"/>
                <w:szCs w:val="21"/>
              </w:rPr>
              <w:t>证明文件：</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提供合同关键页(需体现甲乙双方名称、服务内容、合同签订时间和盖章页等关键内容)扫描件</w:t>
            </w:r>
            <w:r>
              <w:rPr>
                <w:rFonts w:hint="eastAsia" w:asciiTheme="minorEastAsia" w:hAnsiTheme="minorEastAsia" w:eastAsiaTheme="minorEastAsia" w:cstheme="minorEastAsia"/>
                <w:sz w:val="21"/>
                <w:szCs w:val="21"/>
                <w:lang w:eastAsia="zh-CN"/>
              </w:rPr>
              <w:t>。未提供或未按要求提供或提供的不清晰导致专家无法判断的，不得分。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tblCellSpacing w:w="0" w:type="dxa"/>
          <w:jc w:val="center"/>
        </w:trPr>
        <w:tc>
          <w:tcPr>
            <w:tcW w:w="486"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b/>
                <w:bCs/>
                <w:sz w:val="21"/>
                <w:szCs w:val="21"/>
              </w:rPr>
            </w:pPr>
          </w:p>
        </w:tc>
        <w:tc>
          <w:tcPr>
            <w:tcW w:w="428"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15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投标人获奖情况</w:t>
            </w:r>
          </w:p>
        </w:tc>
        <w:tc>
          <w:tcPr>
            <w:tcW w:w="93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15</w:t>
            </w:r>
          </w:p>
        </w:tc>
        <w:tc>
          <w:tcPr>
            <w:tcW w:w="570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color w:val="auto"/>
                <w:kern w:val="0"/>
                <w:sz w:val="21"/>
                <w:szCs w:val="21"/>
                <w:highlight w:val="none"/>
              </w:rPr>
              <w:t>（一）评审内容</w:t>
            </w:r>
            <w:r>
              <w:rPr>
                <w:rFonts w:hint="eastAsia" w:asciiTheme="minorEastAsia" w:hAnsiTheme="minorEastAsia" w:eastAsiaTheme="minorEastAsia" w:cstheme="minorEastAsia"/>
                <w:b/>
                <w:bCs/>
                <w:sz w:val="21"/>
                <w:szCs w:val="21"/>
              </w:rPr>
              <w:t>：</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每提供1项</w:t>
            </w:r>
            <w:r>
              <w:rPr>
                <w:rFonts w:hint="eastAsia" w:asciiTheme="minorEastAsia" w:hAnsiTheme="minorEastAsia" w:cstheme="minorEastAsia"/>
                <w:sz w:val="21"/>
                <w:szCs w:val="21"/>
                <w:lang w:val="en-US" w:eastAsia="zh-CN"/>
              </w:rPr>
              <w:t>具有</w:t>
            </w:r>
            <w:r>
              <w:rPr>
                <w:rFonts w:hint="eastAsia" w:asciiTheme="minorEastAsia" w:hAnsiTheme="minorEastAsia" w:eastAsiaTheme="minorEastAsia" w:cstheme="minorEastAsia"/>
                <w:sz w:val="21"/>
                <w:szCs w:val="21"/>
                <w:lang w:val="en-US" w:eastAsia="zh-CN"/>
              </w:rPr>
              <w:t>行政机关或事业单位或协会颁发的演出</w:t>
            </w:r>
            <w:r>
              <w:rPr>
                <w:rFonts w:hint="eastAsia" w:asciiTheme="minorEastAsia" w:hAnsiTheme="minorEastAsia" w:eastAsiaTheme="minorEastAsia" w:cstheme="minorEastAsia"/>
                <w:sz w:val="21"/>
                <w:szCs w:val="21"/>
                <w:lang w:eastAsia="zh-CN"/>
              </w:rPr>
              <w:t>相关奖项</w:t>
            </w:r>
            <w:r>
              <w:rPr>
                <w:rFonts w:hint="eastAsia" w:asciiTheme="minorEastAsia" w:hAnsiTheme="minorEastAsia" w:eastAsiaTheme="minorEastAsia" w:cstheme="minorEastAsia"/>
                <w:sz w:val="21"/>
                <w:szCs w:val="21"/>
                <w:lang w:val="en-US" w:eastAsia="zh-CN"/>
              </w:rPr>
              <w:t>的，得20分，最高得分100分。</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b/>
                <w:bCs/>
                <w:sz w:val="21"/>
                <w:szCs w:val="21"/>
              </w:rPr>
            </w:pPr>
            <w:r>
              <w:rPr>
                <w:rFonts w:hint="eastAsia" w:asciiTheme="minorEastAsia" w:hAnsiTheme="minorEastAsia" w:cstheme="minorEastAsia"/>
                <w:b/>
                <w:bCs/>
                <w:sz w:val="21"/>
                <w:szCs w:val="21"/>
                <w:lang w:eastAsia="zh-CN"/>
              </w:rPr>
              <w:t>（</w:t>
            </w:r>
            <w:r>
              <w:rPr>
                <w:rFonts w:hint="eastAsia" w:asciiTheme="minorEastAsia" w:hAnsiTheme="minorEastAsia" w:cstheme="minorEastAsia"/>
                <w:b/>
                <w:bCs/>
                <w:sz w:val="21"/>
                <w:szCs w:val="21"/>
                <w:lang w:val="en-US" w:eastAsia="zh-CN"/>
              </w:rPr>
              <w:t>二</w:t>
            </w:r>
            <w:r>
              <w:rPr>
                <w:rFonts w:hint="eastAsia" w:asciiTheme="minorEastAsia" w:hAnsiTheme="minorEastAsia" w:cstheme="minorEastAsia"/>
                <w:b/>
                <w:bCs/>
                <w:sz w:val="21"/>
                <w:szCs w:val="21"/>
                <w:lang w:eastAsia="zh-CN"/>
              </w:rPr>
              <w:t>）</w:t>
            </w:r>
            <w:r>
              <w:rPr>
                <w:rFonts w:hint="eastAsia" w:asciiTheme="minorEastAsia" w:hAnsiTheme="minorEastAsia" w:eastAsiaTheme="minorEastAsia" w:cstheme="minorEastAsia"/>
                <w:b/>
                <w:bCs/>
                <w:sz w:val="21"/>
                <w:szCs w:val="21"/>
              </w:rPr>
              <w:t>证明文件：</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提供奖项照片或获奖（荣誉）证书等证明材料扫描件，由行业协会(机构）颁发的证书，还需提供该协会(机构）在“中国社会组织政务服务平台https://chinanpo.mca.gov.cn/”的已合法登记且状态正常截图，或该协会(机构）由政府部门或行政事业单位审批的证明文件扫描件，否则不予认可，视为无效证书。未提供或未按要求提供或提供的不清晰导致专家无法判断的，不得分</w:t>
            </w:r>
            <w:r>
              <w:rPr>
                <w:rFonts w:hint="eastAsia" w:asciiTheme="minorEastAsia" w:hAnsiTheme="minorEastAsia" w:eastAsiaTheme="minorEastAsia" w:cstheme="minorEastAsia"/>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tblCellSpacing w:w="0" w:type="dxa"/>
          <w:jc w:val="center"/>
        </w:trPr>
        <w:tc>
          <w:tcPr>
            <w:tcW w:w="486"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pPr>
              <w:keepNext w:val="0"/>
              <w:keepLines w:val="0"/>
              <w:pageBreakBefore w:val="0"/>
              <w:kinsoku/>
              <w:overflowPunct/>
              <w:topLinePunct w:val="0"/>
              <w:autoSpaceDE/>
              <w:autoSpaceDN/>
              <w:bidi w:val="0"/>
              <w:adjustRightInd/>
              <w:snapToGrid w:val="0"/>
              <w:spacing w:line="36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4</w:t>
            </w:r>
          </w:p>
        </w:tc>
        <w:tc>
          <w:tcPr>
            <w:tcW w:w="2891"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keepNext w:val="0"/>
              <w:keepLines w:val="0"/>
              <w:pageBreakBefore w:val="0"/>
              <w:kinsoku/>
              <w:overflowPunct/>
              <w:topLinePunct w:val="0"/>
              <w:autoSpaceDE/>
              <w:autoSpaceDN/>
              <w:bidi w:val="0"/>
              <w:adjustRightInd/>
              <w:snapToGrid w:val="0"/>
              <w:spacing w:line="36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其他部分</w:t>
            </w:r>
          </w:p>
        </w:tc>
        <w:tc>
          <w:tcPr>
            <w:tcW w:w="5701"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keepNext w:val="0"/>
              <w:keepLines w:val="0"/>
              <w:pageBreakBefore w:val="0"/>
              <w:kinsoku/>
              <w:overflowPunct/>
              <w:topLinePunct w:val="0"/>
              <w:autoSpaceDE/>
              <w:autoSpaceDN/>
              <w:bidi w:val="0"/>
              <w:adjustRightInd/>
              <w:snapToGrid w:val="0"/>
              <w:spacing w:line="36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tblCellSpacing w:w="0" w:type="dxa"/>
          <w:jc w:val="center"/>
        </w:trPr>
        <w:tc>
          <w:tcPr>
            <w:tcW w:w="486"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b/>
                <w:bCs/>
                <w:color w:val="0000FF"/>
                <w:sz w:val="21"/>
                <w:szCs w:val="21"/>
              </w:rPr>
            </w:pPr>
          </w:p>
        </w:tc>
        <w:tc>
          <w:tcPr>
            <w:tcW w:w="428"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526"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评分因素</w:t>
            </w:r>
          </w:p>
        </w:tc>
        <w:tc>
          <w:tcPr>
            <w:tcW w:w="937"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权重</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eastAsia="zh-CN"/>
              </w:rPr>
              <w:t>）</w:t>
            </w:r>
          </w:p>
        </w:tc>
        <w:tc>
          <w:tcPr>
            <w:tcW w:w="5701"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tblCellSpacing w:w="0" w:type="dxa"/>
          <w:jc w:val="center"/>
        </w:trPr>
        <w:tc>
          <w:tcPr>
            <w:tcW w:w="486"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b/>
                <w:bCs/>
                <w:color w:val="0000FF"/>
                <w:sz w:val="21"/>
                <w:szCs w:val="21"/>
              </w:rPr>
            </w:pPr>
          </w:p>
        </w:tc>
        <w:tc>
          <w:tcPr>
            <w:tcW w:w="428"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5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诚信情况</w:t>
            </w:r>
          </w:p>
        </w:tc>
        <w:tc>
          <w:tcPr>
            <w:tcW w:w="93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5701"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pStyle w:val="2"/>
              <w:keepNext w:val="0"/>
              <w:keepLines w:val="0"/>
              <w:pageBreakBefore w:val="0"/>
              <w:widowControl w:val="0"/>
              <w:kinsoku/>
              <w:wordWrap w:val="0"/>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w:t>
            </w:r>
            <w:r>
              <w:rPr>
                <w:rFonts w:hint="eastAsia" w:asciiTheme="minorEastAsia" w:hAnsiTheme="minorEastAsia" w:eastAsiaTheme="minorEastAsia" w:cstheme="minorEastAsia"/>
                <w:b w:val="0"/>
                <w:bCs w:val="0"/>
                <w:sz w:val="21"/>
                <w:szCs w:val="21"/>
                <w:lang w:val="en-US" w:eastAsia="zh-CN"/>
              </w:rPr>
              <w:t>有关</w:t>
            </w:r>
            <w:r>
              <w:rPr>
                <w:rFonts w:hint="eastAsia" w:asciiTheme="minorEastAsia" w:hAnsiTheme="minorEastAsia" w:eastAsiaTheme="minorEastAsia" w:cstheme="minorEastAsia"/>
                <w:b w:val="0"/>
                <w:bCs w:val="0"/>
                <w:sz w:val="21"/>
                <w:szCs w:val="21"/>
              </w:rPr>
              <w:t>供应商诚信查询结果。</w:t>
            </w:r>
          </w:p>
          <w:p>
            <w:pPr>
              <w:keepNext w:val="0"/>
              <w:keepLines w:val="0"/>
              <w:pageBreakBefore w:val="0"/>
              <w:kinsoku/>
              <w:overflowPunct/>
              <w:topLinePunct w:val="0"/>
              <w:autoSpaceDE/>
              <w:autoSpaceDN/>
              <w:bidi w:val="0"/>
              <w:adjustRightInd/>
              <w:snapToGrid w:val="0"/>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sz w:val="21"/>
                <w:szCs w:val="21"/>
                <w:lang w:val="en-US" w:eastAsia="zh-CN"/>
              </w:rPr>
              <w:t>查询渠道：通过“信用中国”（www.creditchina.gov.cn，下载信用信息报告）、“中国政府采购网”（www.ccgp.gov.cn）以及“深圳市政府采购监管网”（http://zfcg.sz.gov.cn）查询供应商信用信息，信用信息以开标当日的查询结果为准。</w:t>
            </w:r>
          </w:p>
        </w:tc>
      </w:tr>
    </w:tbl>
    <w:p>
      <w:pPr>
        <w:jc w:val="center"/>
        <w:rPr>
          <w:b/>
          <w:sz w:val="84"/>
          <w:szCs w:val="84"/>
        </w:rPr>
      </w:pPr>
    </w:p>
    <w:p>
      <w:pPr>
        <w:jc w:val="center"/>
        <w:rPr>
          <w:b/>
          <w:sz w:val="84"/>
          <w:szCs w:val="84"/>
        </w:rPr>
      </w:pPr>
    </w:p>
    <w:p>
      <w:pPr>
        <w:pStyle w:val="3"/>
        <w:rPr>
          <w:rFonts w:hint="eastAsia"/>
          <w:b/>
          <w:sz w:val="120"/>
          <w:szCs w:val="120"/>
        </w:rPr>
      </w:pPr>
      <w:bookmarkStart w:id="0" w:name="_Hlk71465316"/>
    </w:p>
    <w:p>
      <w:pPr>
        <w:jc w:val="center"/>
        <w:rPr>
          <w:b/>
          <w:sz w:val="120"/>
          <w:szCs w:val="120"/>
        </w:rPr>
      </w:pPr>
      <w:r>
        <w:rPr>
          <w:rFonts w:hint="eastAsia"/>
          <w:b/>
          <w:sz w:val="120"/>
          <w:szCs w:val="120"/>
          <w:lang w:eastAsia="zh-CN"/>
        </w:rPr>
        <w:t>自行</w:t>
      </w:r>
      <w:r>
        <w:rPr>
          <w:rFonts w:hint="eastAsia"/>
          <w:b/>
          <w:sz w:val="120"/>
          <w:szCs w:val="120"/>
        </w:rPr>
        <w:t>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w:t>
      </w:r>
      <w:r>
        <w:rPr>
          <w:rFonts w:hint="eastAsia"/>
          <w:b/>
          <w:sz w:val="52"/>
          <w:szCs w:val="52"/>
          <w:lang w:val="en-US" w:eastAsia="zh-CN"/>
        </w:rPr>
        <w:t>服务</w:t>
      </w:r>
      <w:r>
        <w:rPr>
          <w:rFonts w:hint="eastAsia"/>
          <w:b/>
          <w:sz w:val="52"/>
          <w:szCs w:val="52"/>
        </w:rPr>
        <w:t>类）</w:t>
      </w:r>
    </w:p>
    <w:p/>
    <w:p/>
    <w:p/>
    <w:p/>
    <w:p/>
    <w:p/>
    <w:p/>
    <w:p/>
    <w:p/>
    <w:p/>
    <w:p/>
    <w:p/>
    <w:p>
      <w:pPr>
        <w:jc w:val="center"/>
        <w:rPr>
          <w:b/>
          <w:sz w:val="44"/>
          <w:szCs w:val="44"/>
        </w:rPr>
      </w:pPr>
      <w:r>
        <w:rPr>
          <w:rFonts w:hint="eastAsia" w:ascii="宋体" w:hAnsi="宋体"/>
          <w:b/>
          <w:sz w:val="44"/>
          <w:szCs w:val="44"/>
        </w:rPr>
        <w:t>深圳公共资源交易中心</w:t>
      </w:r>
    </w:p>
    <w:p>
      <w:pPr>
        <w:jc w:val="center"/>
        <w:rPr>
          <w:b/>
          <w:sz w:val="44"/>
          <w:szCs w:val="44"/>
        </w:rPr>
      </w:pPr>
      <w:r>
        <w:rPr>
          <w:rFonts w:hint="eastAsia" w:ascii="宋体" w:hAnsi="宋体"/>
          <w:b/>
          <w:sz w:val="44"/>
          <w:szCs w:val="44"/>
        </w:rPr>
        <w:t>（</w:t>
      </w:r>
      <w:r>
        <w:rPr>
          <w:b/>
          <w:sz w:val="44"/>
          <w:szCs w:val="44"/>
        </w:rPr>
        <w:t>20</w:t>
      </w:r>
      <w:r>
        <w:rPr>
          <w:rFonts w:hint="eastAsia"/>
          <w:b/>
          <w:sz w:val="44"/>
          <w:szCs w:val="44"/>
        </w:rPr>
        <w:t>2</w:t>
      </w:r>
      <w:r>
        <w:rPr>
          <w:rFonts w:hint="eastAsia"/>
          <w:b/>
          <w:sz w:val="44"/>
          <w:szCs w:val="44"/>
          <w:lang w:val="en-US" w:eastAsia="zh-CN"/>
        </w:rPr>
        <w:t>4</w:t>
      </w:r>
      <w:r>
        <w:rPr>
          <w:rFonts w:hint="eastAsia" w:ascii="宋体" w:hAnsi="宋体"/>
          <w:b/>
          <w:sz w:val="44"/>
          <w:szCs w:val="44"/>
        </w:rPr>
        <w:t>）</w:t>
      </w:r>
    </w:p>
    <w:p>
      <w:pPr>
        <w:jc w:val="center"/>
        <w:rPr>
          <w:b/>
          <w:sz w:val="44"/>
          <w:szCs w:val="44"/>
        </w:rPr>
      </w:pPr>
    </w:p>
    <w:bookmarkEnd w:id="0"/>
    <w:p>
      <w:pPr>
        <w:keepNext w:val="0"/>
        <w:keepLines w:val="0"/>
        <w:pageBreakBefore w:val="0"/>
        <w:widowControl w:val="0"/>
        <w:kinsoku/>
        <w:wordWrap/>
        <w:overflowPunct/>
        <w:topLinePunct w:val="0"/>
        <w:autoSpaceDE/>
        <w:autoSpaceDN/>
        <w:bidi w:val="0"/>
        <w:adjustRightInd/>
        <w:snapToGrid/>
        <w:jc w:val="center"/>
        <w:textAlignment w:val="auto"/>
        <w:outlineLvl w:val="9"/>
        <w:rPr>
          <w:b/>
          <w:color w:val="FF0000"/>
          <w:sz w:val="28"/>
          <w:szCs w:val="28"/>
        </w:rPr>
      </w:pPr>
      <w:r>
        <w:rPr>
          <w:rFonts w:hint="eastAsia"/>
          <w:b/>
          <w:color w:val="FF0000"/>
          <w:sz w:val="52"/>
          <w:szCs w:val="52"/>
        </w:rPr>
        <w:br w:type="page"/>
      </w:r>
    </w:p>
    <w:p>
      <w:pPr>
        <w:keepNext w:val="0"/>
        <w:keepLines w:val="0"/>
        <w:pageBreakBefore w:val="0"/>
        <w:widowControl w:val="0"/>
        <w:kinsoku/>
        <w:wordWrap/>
        <w:overflowPunct/>
        <w:topLinePunct w:val="0"/>
        <w:autoSpaceDE/>
        <w:autoSpaceDN/>
        <w:bidi w:val="0"/>
        <w:adjustRightInd/>
        <w:snapToGrid/>
        <w:ind w:firstLine="3654" w:firstLineChars="1300"/>
        <w:textAlignment w:val="auto"/>
        <w:outlineLvl w:val="0"/>
        <w:rPr>
          <w:rFonts w:ascii="宋体" w:hAnsi="宋体"/>
          <w:color w:val="FF0000"/>
          <w:szCs w:val="21"/>
        </w:rPr>
      </w:pPr>
      <w:bookmarkStart w:id="1" w:name="_Hlk73564573"/>
      <w:r>
        <w:rPr>
          <w:rFonts w:hint="eastAsia" w:ascii="宋体" w:hAnsi="宋体" w:eastAsia="黑体"/>
          <w:b/>
          <w:bCs/>
          <w:color w:val="FF0000"/>
          <w:kern w:val="44"/>
          <w:sz w:val="28"/>
          <w:szCs w:val="44"/>
        </w:rPr>
        <w:t>警示条款</w:t>
      </w:r>
    </w:p>
    <w:bookmarkEnd w:id="1"/>
    <w:p>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一、</w:t>
      </w:r>
      <w:r>
        <w:rPr>
          <w:rFonts w:hint="eastAsia" w:ascii="宋体" w:hAnsi="宋体" w:eastAsia="宋体" w:cs="宋体"/>
          <w:b/>
          <w:bCs/>
          <w:color w:val="FF0000"/>
          <w:sz w:val="21"/>
          <w:szCs w:val="21"/>
        </w:rPr>
        <w:t>《深圳经济特区政府采购条例》第五十七条</w:t>
      </w:r>
      <w:r>
        <w:rPr>
          <w:rFonts w:hint="eastAsia" w:ascii="宋体" w:hAnsi="宋体" w:eastAsia="宋体" w:cs="宋体"/>
          <w:color w:val="FF0000"/>
          <w:sz w:val="21"/>
          <w:szCs w:val="21"/>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（一）在采购活动中应当回避而未回避的；</w:t>
      </w:r>
    </w:p>
    <w:p>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（二）未按本条例规定签订、履行采购合同，造成严重后果的；</w:t>
      </w:r>
    </w:p>
    <w:p>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（三）隐瞒真实情况，提供虚假资料的；</w:t>
      </w:r>
    </w:p>
    <w:p>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（四）以非法手段排斥其他供应商参与竞争的；</w:t>
      </w:r>
    </w:p>
    <w:p>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（五）与其他采购参加人串通投标的；</w:t>
      </w:r>
    </w:p>
    <w:p>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（六）恶意投诉的；</w:t>
      </w:r>
    </w:p>
    <w:p>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（七）向采购项目相关人行贿或者提供其他不当利益的；</w:t>
      </w:r>
    </w:p>
    <w:p>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（八）阻碍、抗拒主管部门监督检查的；</w:t>
      </w:r>
    </w:p>
    <w:p>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（九）其他违反本条例规定的行为。</w:t>
      </w:r>
    </w:p>
    <w:p>
      <w:pPr>
        <w:keepNext w:val="0"/>
        <w:keepLines w:val="0"/>
        <w:pageBreakBefore w:val="0"/>
        <w:widowControl w:val="0"/>
        <w:kinsoku/>
        <w:wordWrap/>
        <w:overflowPunct/>
        <w:topLinePunct w:val="0"/>
        <w:autoSpaceDE/>
        <w:autoSpaceDN/>
        <w:bidi w:val="0"/>
        <w:adjustRightInd/>
        <w:snapToGrid w:val="0"/>
        <w:spacing w:line="240" w:lineRule="exact"/>
        <w:ind w:firstLine="422" w:firstLineChars="200"/>
        <w:textAlignment w:val="auto"/>
        <w:rPr>
          <w:rFonts w:hint="eastAsia" w:ascii="宋体" w:hAnsi="宋体" w:eastAsia="宋体" w:cs="宋体"/>
          <w:color w:val="FF0000"/>
          <w:sz w:val="21"/>
          <w:szCs w:val="21"/>
        </w:rPr>
      </w:pPr>
      <w:r>
        <w:rPr>
          <w:rFonts w:hint="eastAsia" w:ascii="宋体" w:hAnsi="宋体" w:eastAsia="宋体" w:cs="宋体"/>
          <w:b/>
          <w:bCs/>
          <w:color w:val="FF0000"/>
          <w:sz w:val="21"/>
          <w:szCs w:val="21"/>
        </w:rPr>
        <w:t>二、《深圳经济特区政府采购条例实施细则》第七十五条</w:t>
      </w:r>
      <w:r>
        <w:rPr>
          <w:rFonts w:hint="eastAsia" w:ascii="宋体" w:hAnsi="宋体" w:eastAsia="宋体" w:cs="宋体"/>
          <w:b/>
          <w:bCs/>
          <w:color w:val="FF0000"/>
          <w:sz w:val="21"/>
          <w:szCs w:val="21"/>
          <w:lang w:val="en-US" w:eastAsia="zh-CN"/>
        </w:rPr>
        <w:t xml:space="preserve"> </w:t>
      </w:r>
      <w:r>
        <w:rPr>
          <w:rFonts w:hint="eastAsia" w:ascii="宋体" w:hAnsi="宋体" w:eastAsia="宋体" w:cs="宋体"/>
          <w:color w:val="FF0000"/>
          <w:sz w:val="21"/>
          <w:szCs w:val="21"/>
        </w:rPr>
        <w:t>供应商有下列情形</w:t>
      </w:r>
      <w:r>
        <w:rPr>
          <w:rFonts w:hint="eastAsia" w:ascii="宋体" w:hAnsi="宋体" w:eastAsia="宋体" w:cs="宋体"/>
          <w:color w:val="FF0000"/>
          <w:sz w:val="21"/>
          <w:szCs w:val="21"/>
          <w:lang w:val="en-US" w:eastAsia="zh-CN"/>
        </w:rPr>
        <w:t>之一</w:t>
      </w:r>
      <w:r>
        <w:rPr>
          <w:rFonts w:hint="eastAsia" w:ascii="宋体" w:hAnsi="宋体" w:eastAsia="宋体" w:cs="宋体"/>
          <w:color w:val="FF0000"/>
          <w:sz w:val="21"/>
          <w:szCs w:val="21"/>
        </w:rPr>
        <w:t>的，属于采购条例所称的串通投标行为，按照采购条例第五十七条有关规定处理：（一）投标供应商之间相互约定给予未中标的供应商利益补偿</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（二）不同投标供应商的法定代表人、主要经营负责人、项目投标授权代表人、项目负责人、主要技术人员为同一人、属同一单位或者在同一单位缴纳社会保险</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（三）不同投标供应商的投标文件由同一单位或者同一人编制，或者由同一人分阶段参与编制的</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（四）不同投标供应商的投标文件或部分投标文件相互混装</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（五）不同投标供应商的投标文件内容存在非正常一致</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（六）由同一单位工作人员为两家以上（含两家）供应商进行同一项投标活动的</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（七）主管部门依照法律、法规认定的其他情形。</w:t>
      </w:r>
    </w:p>
    <w:p>
      <w:pPr>
        <w:keepNext w:val="0"/>
        <w:keepLines w:val="0"/>
        <w:pageBreakBefore w:val="0"/>
        <w:widowControl w:val="0"/>
        <w:kinsoku/>
        <w:wordWrap/>
        <w:overflowPunct/>
        <w:topLinePunct w:val="0"/>
        <w:autoSpaceDE/>
        <w:autoSpaceDN/>
        <w:bidi w:val="0"/>
        <w:adjustRightInd/>
        <w:snapToGrid w:val="0"/>
        <w:spacing w:line="240" w:lineRule="exact"/>
        <w:ind w:firstLine="422" w:firstLineChars="200"/>
        <w:textAlignment w:val="auto"/>
        <w:rPr>
          <w:rFonts w:hint="eastAsia" w:ascii="宋体" w:hAnsi="宋体" w:eastAsia="宋体" w:cs="宋体"/>
          <w:color w:val="FF0000"/>
          <w:sz w:val="21"/>
          <w:szCs w:val="21"/>
        </w:rPr>
      </w:pPr>
      <w:r>
        <w:rPr>
          <w:rFonts w:hint="eastAsia" w:ascii="宋体" w:hAnsi="宋体" w:eastAsia="宋体" w:cs="宋体"/>
          <w:b/>
          <w:bCs/>
          <w:color w:val="FF0000"/>
          <w:sz w:val="21"/>
          <w:szCs w:val="21"/>
        </w:rPr>
        <w:t>三、《深圳经济特区政府采购条例实施细则》第七十七条</w:t>
      </w:r>
      <w:r>
        <w:rPr>
          <w:rFonts w:hint="eastAsia" w:ascii="宋体" w:hAnsi="宋体" w:eastAsia="宋体" w:cs="宋体"/>
          <w:b/>
          <w:bCs/>
          <w:color w:val="FF0000"/>
          <w:sz w:val="21"/>
          <w:szCs w:val="21"/>
          <w:lang w:val="en-US" w:eastAsia="zh-CN"/>
        </w:rPr>
        <w:t xml:space="preserve"> </w:t>
      </w:r>
      <w:r>
        <w:rPr>
          <w:rFonts w:hint="eastAsia" w:ascii="宋体" w:hAnsi="宋体" w:eastAsia="宋体" w:cs="宋体"/>
          <w:color w:val="FF0000"/>
          <w:sz w:val="21"/>
          <w:szCs w:val="21"/>
        </w:rPr>
        <w:t>供应商有下列情形之一的，属于隐瞒真实情况，提供虚假资料，按照采购条例第五十七</w:t>
      </w:r>
      <w:r>
        <w:rPr>
          <w:rFonts w:hint="eastAsia" w:ascii="宋体" w:hAnsi="宋体" w:eastAsia="宋体" w:cs="宋体"/>
          <w:color w:val="FF0000"/>
          <w:sz w:val="21"/>
          <w:szCs w:val="21"/>
          <w:lang w:val="en-US" w:eastAsia="zh-CN"/>
        </w:rPr>
        <w:t>条</w:t>
      </w:r>
      <w:r>
        <w:rPr>
          <w:rFonts w:hint="eastAsia" w:ascii="宋体" w:hAnsi="宋体" w:eastAsia="宋体" w:cs="宋体"/>
          <w:color w:val="FF0000"/>
          <w:sz w:val="21"/>
          <w:szCs w:val="21"/>
        </w:rPr>
        <w:t>的有关规定处理：（一）通过转让或者租借等方式从其他单位获取资格或者资质证书投标的</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（二）由其他单位或者其他单位负责人在投标供应商编制的投标文件上加盖印章或者签字的</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（三）项目负责人或者主要技术人员不是本单位人员的</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（四）投标保证金不是从投标供应商基本账户转出的</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（五）其他隐瞒真实情况、提供虚假资料的行为。</w:t>
      </w:r>
    </w:p>
    <w:p>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投标供应商不能提供项目负责人或者主要技术人员的劳动合同、社会保险等劳动关系证明材料的，视为存在前款第（三）项规定的情形。</w:t>
      </w:r>
    </w:p>
    <w:p>
      <w:pPr>
        <w:keepNext w:val="0"/>
        <w:keepLines w:val="0"/>
        <w:pageBreakBefore w:val="0"/>
        <w:widowControl w:val="0"/>
        <w:kinsoku/>
        <w:wordWrap/>
        <w:overflowPunct/>
        <w:topLinePunct w:val="0"/>
        <w:autoSpaceDE/>
        <w:autoSpaceDN/>
        <w:bidi w:val="0"/>
        <w:adjustRightInd/>
        <w:snapToGrid w:val="0"/>
        <w:spacing w:line="240" w:lineRule="exact"/>
        <w:ind w:firstLine="422" w:firstLineChars="200"/>
        <w:textAlignment w:val="auto"/>
        <w:rPr>
          <w:rFonts w:hint="eastAsia" w:ascii="宋体" w:hAnsi="宋体" w:eastAsia="宋体" w:cs="宋体"/>
          <w:b/>
          <w:color w:val="FF0000"/>
          <w:sz w:val="21"/>
          <w:szCs w:val="21"/>
        </w:rPr>
      </w:pPr>
      <w:r>
        <w:rPr>
          <w:rFonts w:hint="eastAsia" w:ascii="宋体" w:hAnsi="宋体" w:eastAsia="宋体" w:cs="宋体"/>
          <w:b/>
          <w:color w:val="FF0000"/>
          <w:sz w:val="21"/>
          <w:szCs w:val="21"/>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textAlignment w:val="auto"/>
        <w:rPr>
          <w:rFonts w:hint="eastAsia" w:ascii="宋体" w:hAnsi="宋体" w:eastAsia="宋体" w:cs="宋体"/>
          <w:b w:val="0"/>
          <w:bCs/>
          <w:color w:val="FF0000"/>
          <w:sz w:val="21"/>
          <w:szCs w:val="21"/>
          <w:lang w:val="en-US" w:eastAsia="zh-CN"/>
        </w:rPr>
      </w:pPr>
      <w:r>
        <w:rPr>
          <w:rFonts w:hint="eastAsia" w:ascii="宋体" w:hAnsi="宋体" w:eastAsia="宋体" w:cs="宋体"/>
          <w:b w:val="0"/>
          <w:bCs/>
          <w:color w:val="FF0000"/>
          <w:sz w:val="21"/>
          <w:szCs w:val="21"/>
          <w:lang w:val="en-US" w:eastAsia="zh-CN"/>
        </w:rPr>
        <w:t>五、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textAlignment w:val="auto"/>
        <w:rPr>
          <w:rFonts w:hint="eastAsia" w:ascii="宋体" w:hAnsi="宋体" w:eastAsia="宋体" w:cs="宋体"/>
          <w:b w:val="0"/>
          <w:bCs/>
          <w:color w:val="FF0000"/>
          <w:sz w:val="21"/>
          <w:szCs w:val="21"/>
          <w:lang w:val="en-US" w:eastAsia="zh-CN"/>
        </w:rPr>
      </w:pPr>
      <w:r>
        <w:rPr>
          <w:rFonts w:hint="eastAsia" w:ascii="宋体" w:hAnsi="宋体" w:eastAsia="宋体" w:cs="宋体"/>
          <w:b w:val="0"/>
          <w:bCs/>
          <w:color w:val="FF0000"/>
          <w:sz w:val="21"/>
          <w:szCs w:val="21"/>
          <w:lang w:val="en-US" w:eastAsia="zh-CN"/>
        </w:rPr>
        <w:t>为避免出现不同供应商投标文件的文件制作机器码、文件创建标识码、IP地址一致的异常情况，建议各供应商编制、上传投标文件时不要使用公共电脑设备或公共网络。</w:t>
      </w:r>
    </w:p>
    <w:p>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jc w:val="left"/>
        <w:textAlignment w:val="auto"/>
        <w:rPr>
          <w:rFonts w:hint="eastAsia" w:ascii="宋体" w:hAnsi="宋体" w:eastAsia="宋体" w:cs="宋体"/>
          <w:b w:val="0"/>
          <w:bCs/>
          <w:color w:val="FF0000"/>
          <w:sz w:val="21"/>
          <w:szCs w:val="21"/>
          <w:lang w:val="en-US" w:eastAsia="zh-CN"/>
        </w:rPr>
      </w:pPr>
      <w:r>
        <w:rPr>
          <w:rFonts w:hint="eastAsia" w:ascii="宋体" w:hAnsi="宋体" w:eastAsia="宋体" w:cs="宋体"/>
          <w:b w:val="0"/>
          <w:bCs/>
          <w:color w:val="FF0000"/>
          <w:sz w:val="21"/>
          <w:szCs w:val="21"/>
          <w:lang w:val="en-US"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eastAsia="宋体" w:cs="宋体"/>
          <w:color w:val="FF0000"/>
          <w:sz w:val="21"/>
          <w:szCs w:val="21"/>
        </w:rPr>
        <w:t>取消参与本市政府采购资格</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依法吊销其营业</w:t>
      </w:r>
      <w:r>
        <w:rPr>
          <w:rFonts w:hint="eastAsia" w:ascii="宋体" w:hAnsi="宋体" w:eastAsia="宋体" w:cs="宋体"/>
          <w:color w:val="FF0000"/>
          <w:sz w:val="21"/>
          <w:szCs w:val="21"/>
          <w:lang w:val="en-US" w:eastAsia="zh-CN"/>
        </w:rPr>
        <w:t>执照等行政处罚，</w:t>
      </w:r>
      <w:r>
        <w:rPr>
          <w:rFonts w:hint="eastAsia" w:ascii="宋体" w:hAnsi="宋体" w:eastAsia="宋体" w:cs="宋体"/>
          <w:color w:val="FF0000"/>
          <w:sz w:val="21"/>
          <w:szCs w:val="21"/>
        </w:rPr>
        <w:t>构成犯罪的，依法追究刑事责任</w:t>
      </w:r>
      <w:r>
        <w:rPr>
          <w:rFonts w:hint="eastAsia" w:ascii="宋体" w:hAnsi="宋体" w:eastAsia="宋体" w:cs="宋体"/>
          <w:b w:val="0"/>
          <w:bCs/>
          <w:color w:val="FF0000"/>
          <w:sz w:val="21"/>
          <w:szCs w:val="21"/>
          <w:lang w:val="en-US" w:eastAsia="zh-CN"/>
        </w:rPr>
        <w:t>，请各供应商独立编制、上传投标文件，妥善保管和使用电子秘钥。</w:t>
      </w:r>
    </w:p>
    <w:p>
      <w:pPr>
        <w:pStyle w:val="3"/>
        <w:rPr>
          <w:rFonts w:hint="eastAsia"/>
        </w:rPr>
      </w:pPr>
    </w:p>
    <w:p>
      <w:pPr>
        <w:keepNext/>
        <w:keepLines/>
        <w:spacing w:before="340" w:afterLines="25" w:line="578" w:lineRule="auto"/>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目   录</w:t>
      </w:r>
    </w:p>
    <w:p>
      <w:pPr>
        <w:rPr>
          <w:b/>
          <w:sz w:val="24"/>
          <w:szCs w:val="24"/>
        </w:rPr>
      </w:pPr>
      <w:r>
        <w:rPr>
          <w:rFonts w:hint="eastAsia"/>
          <w:b/>
          <w:sz w:val="24"/>
          <w:szCs w:val="24"/>
        </w:rPr>
        <w:t>第一册  专用条款</w:t>
      </w:r>
    </w:p>
    <w:p>
      <w:pPr>
        <w:ind w:left="630" w:leftChars="300" w:firstLine="472" w:firstLineChars="196"/>
        <w:rPr>
          <w:b/>
          <w:sz w:val="24"/>
          <w:szCs w:val="24"/>
        </w:rPr>
      </w:pPr>
      <w:r>
        <w:rPr>
          <w:rFonts w:hint="eastAsia"/>
          <w:b/>
          <w:sz w:val="24"/>
          <w:szCs w:val="24"/>
        </w:rPr>
        <w:tab/>
      </w:r>
      <w:r>
        <w:rPr>
          <w:rFonts w:hint="eastAsia" w:ascii="宋体" w:hAnsi="宋体"/>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对通用条款的补充内容及其他关键信息</w:t>
      </w:r>
    </w:p>
    <w:p>
      <w:pPr>
        <w:ind w:left="630" w:leftChars="300" w:firstLine="411" w:firstLineChars="196"/>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pPr>
        <w:ind w:left="630" w:leftChars="300" w:firstLine="411" w:firstLineChars="196"/>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pPr>
        <w:ind w:left="630" w:leftChars="300" w:firstLine="411" w:firstLineChars="196"/>
        <w:rPr>
          <w:rFonts w:ascii="宋体" w:hAnsi="宋体"/>
          <w:szCs w:val="21"/>
        </w:rPr>
      </w:pPr>
      <w:r>
        <w:rPr>
          <w:rFonts w:hint="eastAsia" w:ascii="宋体" w:hAnsi="宋体"/>
          <w:szCs w:val="21"/>
        </w:rPr>
        <w:t>第五章  合同条款及格式</w:t>
      </w:r>
    </w:p>
    <w:p>
      <w:pPr>
        <w:rPr>
          <w:b/>
          <w:sz w:val="24"/>
        </w:rPr>
      </w:pPr>
    </w:p>
    <w:p>
      <w:pPr>
        <w:rPr>
          <w:b/>
          <w:sz w:val="24"/>
          <w:szCs w:val="24"/>
        </w:rPr>
      </w:pPr>
      <w:r>
        <w:rPr>
          <w:rFonts w:hint="eastAsia"/>
          <w:b/>
          <w:sz w:val="24"/>
          <w:szCs w:val="24"/>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r>
        <w:rPr>
          <w:rFonts w:hint="eastAsia"/>
        </w:rPr>
        <w:t xml:space="preserve">          第十一章  质疑处理</w:t>
      </w:r>
    </w:p>
    <w:p/>
    <w:p/>
    <w:p>
      <w:pPr>
        <w:widowControl/>
        <w:jc w:val="left"/>
        <w:rPr>
          <w:rFonts w:ascii="宋体" w:hAnsi="宋体" w:eastAsia="黑体" w:cs="Times New Roman"/>
          <w:b/>
          <w:bCs/>
          <w:color w:val="0000FF"/>
          <w:kern w:val="44"/>
          <w:sz w:val="36"/>
          <w:szCs w:val="44"/>
        </w:rPr>
      </w:pPr>
      <w:r>
        <w:rPr>
          <w:rFonts w:ascii="宋体" w:hAnsi="宋体" w:eastAsia="黑体" w:cs="Times New Roman"/>
          <w:b/>
          <w:bCs/>
          <w:color w:val="0000FF"/>
          <w:kern w:val="44"/>
          <w:sz w:val="36"/>
          <w:szCs w:val="44"/>
        </w:rPr>
        <w:br w:type="page"/>
      </w:r>
    </w:p>
    <w:p>
      <w:pPr>
        <w:keepNext/>
        <w:keepLines/>
        <w:spacing w:before="340" w:afterLines="25" w:line="578" w:lineRule="auto"/>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第一册  专用条款</w:t>
      </w:r>
    </w:p>
    <w:p>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第一章  招标公告</w:t>
      </w:r>
    </w:p>
    <w:p>
      <w:pPr>
        <w:spacing w:line="360" w:lineRule="auto"/>
        <w:rPr>
          <w:rFonts w:ascii="宋体" w:hAnsi="宋体" w:cs="宋体"/>
          <w:b/>
          <w:bCs/>
          <w:kern w:val="0"/>
          <w:szCs w:val="21"/>
        </w:rPr>
      </w:pPr>
      <w:r>
        <w:rPr>
          <w:rFonts w:hint="eastAsia" w:ascii="宋体" w:hAnsi="宋体" w:cs="宋体"/>
          <w:b/>
          <w:bCs/>
          <w:kern w:val="0"/>
          <w:szCs w:val="21"/>
        </w:rPr>
        <w:t>申请人的资格要求：</w:t>
      </w:r>
    </w:p>
    <w:p>
      <w:pPr>
        <w:ind w:firstLine="630" w:firstLineChars="300"/>
        <w:rPr>
          <w:rFonts w:hint="eastAsia" w:ascii="宋体" w:hAnsi="宋体" w:eastAsia="宋体" w:cs="宋体"/>
          <w:kern w:val="0"/>
          <w:szCs w:val="21"/>
          <w:lang w:eastAsia="zh-CN"/>
        </w:rPr>
      </w:pPr>
      <w:r>
        <w:rPr>
          <w:rFonts w:hint="eastAsia" w:ascii="宋体" w:hAnsi="宋体" w:cs="宋体"/>
          <w:kern w:val="0"/>
          <w:szCs w:val="21"/>
        </w:rPr>
        <w:t>1</w:t>
      </w:r>
      <w:r>
        <w:rPr>
          <w:rFonts w:ascii="宋体" w:hAnsi="宋体" w:cs="宋体"/>
          <w:kern w:val="0"/>
          <w:szCs w:val="21"/>
        </w:rPr>
        <w:t>.</w:t>
      </w:r>
      <w:r>
        <w:rPr>
          <w:rFonts w:hint="eastAsia" w:ascii="宋体" w:hAnsi="宋体" w:eastAsia="宋体" w:cs="宋体"/>
          <w:sz w:val="21"/>
          <w:szCs w:val="21"/>
          <w:highlight w:val="none"/>
          <w:lang w:eastAsia="zh-CN"/>
        </w:rPr>
        <w:t>具有独立承担民事责任的能力（提供营业执照或事业单位法人证书等证明资料扫描件，原件备查，分公司参与投标的，须提供分公司营业执照、其所属集团(或总公司)等具有独立法人资格的组织</w:t>
      </w:r>
      <w:r>
        <w:rPr>
          <w:rFonts w:hint="eastAsia" w:ascii="宋体" w:hAnsi="宋体" w:cs="宋体"/>
          <w:sz w:val="21"/>
          <w:szCs w:val="21"/>
          <w:highlight w:val="none"/>
          <w:lang w:eastAsia="zh-CN"/>
        </w:rPr>
        <w:t>的营业执照及其</w:t>
      </w:r>
      <w:r>
        <w:rPr>
          <w:rFonts w:hint="eastAsia" w:ascii="宋体" w:hAnsi="宋体" w:eastAsia="宋体" w:cs="宋体"/>
          <w:sz w:val="21"/>
          <w:szCs w:val="21"/>
          <w:highlight w:val="none"/>
          <w:lang w:eastAsia="zh-CN"/>
        </w:rPr>
        <w:t>出具的载明愿为其参与本项目投标的行为以及履约等行为承担民事责任的加盖总公司公章的授权函）</w:t>
      </w:r>
      <w:r>
        <w:rPr>
          <w:rFonts w:hint="eastAsia" w:ascii="宋体" w:hAnsi="宋体" w:cs="宋体"/>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hint="default" w:ascii="宋体" w:hAnsi="宋体" w:eastAsia="宋体" w:cs="宋体"/>
          <w:sz w:val="21"/>
          <w:szCs w:val="21"/>
          <w:highlight w:val="none"/>
          <w:lang w:val="en-US" w:eastAsia="zh-CN"/>
        </w:rPr>
      </w:pPr>
      <w:r>
        <w:rPr>
          <w:rFonts w:hint="eastAsia" w:ascii="宋体" w:hAnsi="宋体" w:cs="宋体"/>
          <w:color w:val="FF0000"/>
          <w:kern w:val="0"/>
          <w:szCs w:val="21"/>
        </w:rPr>
        <w:t>2.本项目不接受联合体投标</w:t>
      </w:r>
      <w:r>
        <w:rPr>
          <w:rFonts w:hint="eastAsia" w:ascii="宋体" w:hAnsi="宋体" w:cs="宋体"/>
          <w:color w:val="FF0000"/>
          <w:kern w:val="0"/>
          <w:szCs w:val="21"/>
          <w:lang w:val="en-US" w:eastAsia="zh-CN"/>
        </w:rPr>
        <w:t>，</w:t>
      </w:r>
      <w:r>
        <w:rPr>
          <w:rFonts w:hint="eastAsia" w:ascii="宋体" w:hAnsi="宋体" w:cs="宋体"/>
          <w:color w:val="FF0000"/>
          <w:kern w:val="0"/>
          <w:szCs w:val="21"/>
        </w:rPr>
        <w:t>不接受投标人选用进口产品参与投标；</w:t>
      </w:r>
    </w:p>
    <w:p>
      <w:pPr>
        <w:ind w:firstLine="630" w:firstLineChars="3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pPr>
        <w:ind w:firstLine="630" w:firstLineChars="300"/>
        <w:rPr>
          <w:rFonts w:ascii="宋体" w:hAnsi="宋体" w:cs="宋体"/>
          <w:kern w:val="0"/>
          <w:szCs w:val="21"/>
        </w:rPr>
      </w:pPr>
      <w:r>
        <w:rPr>
          <w:rFonts w:hint="eastAsia" w:ascii="宋体" w:hAnsi="宋体" w:cs="宋体"/>
          <w:kern w:val="0"/>
          <w:szCs w:val="21"/>
          <w:lang w:val="en-US" w:eastAsia="zh-CN"/>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具备《中华人民共和国政府采购法》第二十二条第一款的条件（由供应商在《政府采购投标及履约承诺函》中作出声明）；</w:t>
      </w:r>
    </w:p>
    <w:p>
      <w:pPr>
        <w:ind w:firstLine="630" w:firstLineChars="300"/>
        <w:rPr>
          <w:rFonts w:hint="eastAsia" w:ascii="宋体" w:hAnsi="宋体" w:cs="宋体"/>
          <w:kern w:val="0"/>
          <w:szCs w:val="21"/>
          <w:lang w:val="en-US" w:eastAsia="zh-CN"/>
        </w:rPr>
      </w:pPr>
      <w:r>
        <w:rPr>
          <w:rFonts w:hint="eastAsia" w:ascii="宋体" w:hAnsi="宋体" w:cs="宋体"/>
          <w:kern w:val="0"/>
          <w:szCs w:val="21"/>
          <w:lang w:val="en-US" w:eastAsia="zh-CN"/>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r>
        <w:rPr>
          <w:rFonts w:hint="eastAsia" w:ascii="宋体" w:hAnsi="宋体" w:cs="宋体"/>
          <w:kern w:val="0"/>
          <w:szCs w:val="21"/>
          <w:lang w:val="en-US" w:eastAsia="zh-CN"/>
        </w:rPr>
        <w:t>；</w:t>
      </w:r>
    </w:p>
    <w:p>
      <w:pPr>
        <w:ind w:firstLine="630" w:firstLineChars="300"/>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6.不存在《深圳市财政局政府采购供应商信用信息管理办法》（深财规〔2023〕3号）列明的严重违法失信行为</w:t>
      </w:r>
      <w:r>
        <w:rPr>
          <w:rFonts w:hint="eastAsia" w:ascii="宋体" w:hAnsi="宋体" w:cs="宋体"/>
          <w:color w:val="FF0000"/>
          <w:kern w:val="0"/>
          <w:szCs w:val="21"/>
        </w:rPr>
        <w:t>（由供应商在《政府采购投标及履约承诺函》中作出声明）</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w:t>
      </w:r>
    </w:p>
    <w:p>
      <w:pPr>
        <w:ind w:firstLine="630" w:firstLineChars="300"/>
        <w:rPr>
          <w:rFonts w:hint="eastAsia" w:ascii="宋体" w:hAnsi="宋体" w:eastAsia="宋体" w:cs="宋体"/>
          <w:kern w:val="0"/>
          <w:szCs w:val="21"/>
          <w:lang w:eastAsia="zh-CN"/>
        </w:rPr>
      </w:pPr>
      <w:r>
        <w:rPr>
          <w:rFonts w:hint="eastAsia" w:ascii="宋体" w:hAnsi="宋体" w:cs="宋体"/>
          <w:kern w:val="0"/>
          <w:szCs w:val="21"/>
          <w:lang w:val="en-US" w:eastAsia="zh-CN"/>
        </w:rPr>
        <w:t>7</w:t>
      </w:r>
      <w:r>
        <w:rPr>
          <w:rFonts w:hint="eastAsia" w:ascii="宋体" w:hAnsi="宋体" w:cs="宋体"/>
          <w:kern w:val="0"/>
          <w:szCs w:val="21"/>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r>
        <w:rPr>
          <w:rFonts w:hint="eastAsia" w:ascii="宋体" w:hAnsi="宋体" w:cs="宋体"/>
          <w:kern w:val="0"/>
          <w:szCs w:val="21"/>
          <w:lang w:val="en-US" w:eastAsia="zh-CN"/>
        </w:rPr>
        <w:t>；</w:t>
      </w:r>
    </w:p>
    <w:p>
      <w:pPr>
        <w:ind w:firstLine="630" w:firstLineChars="300"/>
        <w:rPr>
          <w:rFonts w:ascii="宋体" w:hAnsi="宋体" w:cs="宋体"/>
          <w:b/>
          <w:bCs/>
          <w:kern w:val="0"/>
          <w:szCs w:val="21"/>
        </w:rPr>
      </w:pPr>
      <w:r>
        <w:rPr>
          <w:rFonts w:hint="eastAsia" w:ascii="宋体" w:hAnsi="宋体" w:cs="宋体"/>
          <w:kern w:val="0"/>
          <w:szCs w:val="21"/>
          <w:lang w:val="en-US" w:eastAsia="zh-CN"/>
        </w:rPr>
        <w:t>8</w:t>
      </w:r>
      <w:r>
        <w:rPr>
          <w:rFonts w:hint="eastAsia" w:ascii="宋体" w:hAnsi="宋体" w:cs="宋体"/>
          <w:kern w:val="0"/>
          <w:szCs w:val="21"/>
        </w:rPr>
        <w:t>.本项目是（否）专门面向中小企业采购：</w:t>
      </w:r>
      <w:r>
        <w:rPr>
          <w:rFonts w:hint="eastAsia" w:ascii="宋体" w:hAnsi="宋体" w:cs="宋体"/>
          <w:kern w:val="0"/>
          <w:szCs w:val="21"/>
          <w:lang w:val="en-US" w:eastAsia="zh-CN"/>
        </w:rPr>
        <w:t>否</w:t>
      </w:r>
      <w:r>
        <w:rPr>
          <w:rFonts w:hint="eastAsia" w:ascii="宋体" w:hAnsi="宋体" w:cs="宋体"/>
          <w:kern w:val="0"/>
          <w:szCs w:val="21"/>
          <w:lang w:eastAsia="zh-CN"/>
        </w:rPr>
        <w:t>。</w:t>
      </w:r>
    </w:p>
    <w:p>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ascii="宋体" w:hAnsi="宋体" w:cs="宋体"/>
          <w:kern w:val="0"/>
          <w:szCs w:val="21"/>
        </w:rPr>
      </w:pPr>
      <w:r>
        <w:rPr>
          <w:rFonts w:hint="eastAsia" w:ascii="宋体" w:hAnsi="宋体" w:cs="宋体"/>
          <w:kern w:val="0"/>
          <w:szCs w:val="21"/>
        </w:rPr>
        <w:t>注：（1）“信用中国”（www.creditchina.gov.cn</w:t>
      </w:r>
      <w:r>
        <w:rPr>
          <w:rFonts w:hint="eastAsia" w:ascii="宋体" w:hAnsi="宋体" w:cs="宋体"/>
          <w:kern w:val="0"/>
          <w:szCs w:val="21"/>
          <w:lang w:eastAsia="zh-CN"/>
        </w:rPr>
        <w:t>，</w:t>
      </w:r>
      <w:r>
        <w:rPr>
          <w:rFonts w:hint="eastAsia" w:ascii="宋体" w:hAnsi="宋体" w:cs="宋体"/>
          <w:kern w:val="0"/>
          <w:szCs w:val="21"/>
          <w:lang w:val="en-US" w:eastAsia="zh-CN"/>
        </w:rPr>
        <w:t>查询</w:t>
      </w:r>
      <w:r>
        <w:rPr>
          <w:rFonts w:hint="eastAsia" w:ascii="宋体" w:hAnsi="宋体" w:cs="宋体"/>
          <w:kern w:val="0"/>
          <w:szCs w:val="21"/>
        </w:rPr>
        <w:t>“信用服务”栏的“重大税收违法失信主体”“失信被执行人”</w:t>
      </w:r>
      <w:r>
        <w:rPr>
          <w:rFonts w:hint="eastAsia" w:ascii="宋体" w:hAnsi="宋体" w:cs="宋体"/>
          <w:kern w:val="0"/>
          <w:szCs w:val="21"/>
          <w:lang w:val="en-US" w:eastAsia="zh-CN"/>
        </w:rPr>
        <w:t>或者下载信用信息报告）</w:t>
      </w:r>
      <w:r>
        <w:rPr>
          <w:rFonts w:hint="eastAsia" w:ascii="宋体" w:hAnsi="宋体" w:cs="宋体"/>
          <w:kern w:val="0"/>
          <w:szCs w:val="21"/>
        </w:rPr>
        <w:t>，“中国政府采购网”（www.ccgp.gov.cn）中的“政府采购严重违法失信行为记录名单”，以及“深圳市政府采购监管网”（http://zfcg.sz.gov.cn）为供应商信用信息的查询渠道，相关信息以开标当日的查询结果为准；</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sz w:val="24"/>
          <w:szCs w:val="24"/>
        </w:rPr>
      </w:pPr>
      <w:r>
        <w:rPr>
          <w:rFonts w:hint="eastAsia" w:ascii="宋体" w:hAnsi="宋体"/>
        </w:rPr>
        <w:t>（2）供应商投标（上传投标文件）必须先行办理注册手续，具体请按照本公告“六、其他补充事宜</w:t>
      </w:r>
      <w:r>
        <w:rPr>
          <w:rFonts w:ascii="宋体" w:hAnsi="宋体"/>
        </w:rPr>
        <w:t>”</w:t>
      </w:r>
      <w:r>
        <w:rPr>
          <w:rFonts w:hint="eastAsia" w:ascii="宋体" w:hAnsi="宋体"/>
        </w:rPr>
        <w:t>相关内容指引办理。</w:t>
      </w:r>
    </w:p>
    <w:p>
      <w:pPr>
        <w:snapToGrid w:val="0"/>
        <w:spacing w:line="300" w:lineRule="auto"/>
        <w:ind w:firstLine="480" w:firstLineChars="200"/>
        <w:rPr>
          <w:rFonts w:ascii="Arial" w:hAnsi="Arial" w:eastAsia="宋体" w:cs="Times New Roman"/>
          <w:sz w:val="24"/>
          <w:szCs w:val="24"/>
        </w:rPr>
      </w:pPr>
    </w:p>
    <w:p>
      <w:pPr>
        <w:spacing w:afterLines="25"/>
        <w:jc w:val="center"/>
        <w:rPr>
          <w:b/>
          <w:color w:val="FF0000"/>
          <w:sz w:val="30"/>
          <w:szCs w:val="30"/>
        </w:rPr>
      </w:pPr>
      <w:r>
        <w:rPr>
          <w:rFonts w:hint="eastAsia" w:ascii="Arial" w:hAnsi="Arial" w:eastAsia="宋体" w:cs="Times New Roman"/>
          <w:b/>
          <w:color w:val="FF0000"/>
          <w:sz w:val="30"/>
          <w:szCs w:val="30"/>
        </w:rPr>
        <w:t>完整公告内容以网站公布信息为准，详见：深圳政府采购自行采购系统</w:t>
      </w:r>
      <w:r>
        <w:rPr>
          <w:rFonts w:hint="eastAsia"/>
          <w:b/>
          <w:color w:val="FF0000"/>
          <w:sz w:val="30"/>
          <w:szCs w:val="30"/>
        </w:rPr>
        <w:t>网（https://zxcg.szggzy.com/home/index.html）</w:t>
      </w:r>
    </w:p>
    <w:p>
      <w:pPr>
        <w:widowControl/>
        <w:jc w:val="left"/>
        <w:rPr>
          <w:rFonts w:ascii="Arial" w:hAnsi="Arial" w:eastAsia="宋体" w:cs="Times New Roman"/>
          <w:b/>
          <w:color w:val="FF0000"/>
          <w:sz w:val="32"/>
          <w:szCs w:val="32"/>
        </w:rPr>
      </w:pPr>
    </w:p>
    <w:p>
      <w:pPr>
        <w:widowControl/>
        <w:jc w:val="left"/>
        <w:rPr>
          <w:rFonts w:ascii="Arial" w:hAnsi="Arial" w:eastAsia="宋体" w:cs="Times New Roman"/>
          <w:b/>
          <w:color w:val="FF0000"/>
          <w:sz w:val="32"/>
          <w:szCs w:val="32"/>
        </w:rPr>
      </w:pPr>
    </w:p>
    <w:p>
      <w:pP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br w:type="page"/>
      </w:r>
    </w:p>
    <w:p>
      <w:pPr>
        <w:keepNext/>
        <w:keepLines/>
        <w:spacing w:before="260" w:after="260" w:line="416" w:lineRule="auto"/>
        <w:jc w:val="center"/>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 xml:space="preserve">第二章 </w:t>
      </w:r>
      <w:bookmarkStart w:id="2" w:name="_Hlk71926094"/>
      <w:r>
        <w:rPr>
          <w:rFonts w:hint="eastAsia" w:ascii="宋体" w:hAnsi="宋体" w:eastAsia="宋体" w:cs="Times New Roman"/>
          <w:b/>
          <w:bCs/>
          <w:kern w:val="0"/>
          <w:sz w:val="28"/>
          <w:szCs w:val="28"/>
        </w:rPr>
        <w:t>对通用条款的补充内容及其他关键信息</w:t>
      </w:r>
      <w:bookmarkEnd w:id="2"/>
    </w:p>
    <w:p>
      <w:pPr>
        <w:keepNext/>
        <w:keepLines/>
        <w:adjustRightInd w:val="0"/>
        <w:spacing w:beforeLines="50" w:afterLines="50"/>
        <w:jc w:val="center"/>
        <w:textAlignment w:val="baseline"/>
        <w:outlineLvl w:val="2"/>
        <w:rPr>
          <w:rFonts w:ascii="宋体" w:hAnsi="宋体" w:eastAsia="宋体" w:cs="Times New Roman"/>
          <w:b/>
          <w:bCs/>
          <w:kern w:val="0"/>
          <w:sz w:val="24"/>
          <w:szCs w:val="24"/>
        </w:rPr>
      </w:pPr>
      <w:bookmarkStart w:id="3" w:name="_Toc73521635"/>
      <w:bookmarkStart w:id="4" w:name="_Toc60560625"/>
      <w:bookmarkStart w:id="5" w:name="_Toc60631620"/>
      <w:bookmarkStart w:id="6" w:name="_Toc73517639"/>
      <w:bookmarkStart w:id="7" w:name="_Toc73518117"/>
      <w:bookmarkStart w:id="8" w:name="_Toc101074876"/>
      <w:bookmarkStart w:id="9" w:name="_Toc73521547"/>
      <w:bookmarkStart w:id="10" w:name="_Toc100052364"/>
      <w:r>
        <w:rPr>
          <w:rFonts w:hint="eastAsia" w:ascii="宋体" w:hAnsi="宋体" w:eastAsia="宋体" w:cs="Times New Roman"/>
          <w:b/>
          <w:bCs/>
          <w:kern w:val="0"/>
          <w:sz w:val="24"/>
          <w:szCs w:val="24"/>
        </w:rPr>
        <w:t>一、对通用条款的补充内容</w:t>
      </w:r>
    </w:p>
    <w:bookmarkEnd w:id="3"/>
    <w:bookmarkEnd w:id="4"/>
    <w:bookmarkEnd w:id="5"/>
    <w:bookmarkEnd w:id="6"/>
    <w:bookmarkEnd w:id="7"/>
    <w:bookmarkEnd w:id="8"/>
    <w:bookmarkEnd w:id="9"/>
    <w:bookmarkEnd w:id="10"/>
    <w:tbl>
      <w:tblPr>
        <w:tblStyle w:val="17"/>
        <w:tblW w:w="952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1755"/>
        <w:gridCol w:w="679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b/>
                <w:bCs/>
                <w:highlight w:val="none"/>
              </w:rPr>
            </w:pPr>
            <w:r>
              <w:rPr>
                <w:rFonts w:hint="eastAsia" w:ascii="宋体" w:hAnsi="宋体"/>
                <w:b/>
                <w:bCs/>
                <w:highlight w:val="none"/>
              </w:rPr>
              <w:t>通用条款序号</w:t>
            </w:r>
          </w:p>
        </w:tc>
        <w:tc>
          <w:tcPr>
            <w:tcW w:w="1755" w:type="dxa"/>
            <w:vAlign w:val="center"/>
          </w:tcPr>
          <w:p>
            <w:pPr>
              <w:jc w:val="center"/>
              <w:rPr>
                <w:rFonts w:ascii="宋体" w:hAnsi="宋体"/>
                <w:b/>
                <w:bCs/>
                <w:highlight w:val="none"/>
              </w:rPr>
            </w:pPr>
            <w:r>
              <w:rPr>
                <w:rFonts w:hint="eastAsia" w:ascii="宋体" w:hAnsi="宋体"/>
                <w:b/>
                <w:bCs/>
                <w:highlight w:val="none"/>
              </w:rPr>
              <w:t>涉及事项</w:t>
            </w:r>
          </w:p>
        </w:tc>
        <w:tc>
          <w:tcPr>
            <w:tcW w:w="6795" w:type="dxa"/>
            <w:vAlign w:val="center"/>
          </w:tcPr>
          <w:p>
            <w:pPr>
              <w:jc w:val="center"/>
              <w:rPr>
                <w:rFonts w:ascii="宋体" w:hAnsi="宋体"/>
                <w:b/>
                <w:bCs/>
                <w:highlight w:val="none"/>
              </w:rPr>
            </w:pPr>
            <w:r>
              <w:rPr>
                <w:rFonts w:hint="eastAsia" w:ascii="宋体" w:hAnsi="宋体"/>
                <w:b/>
                <w:bCs/>
                <w:highlight w:val="none"/>
              </w:rPr>
              <w:t xml:space="preserve">具 </w:t>
            </w:r>
            <w:r>
              <w:rPr>
                <w:rFonts w:ascii="宋体" w:hAnsi="宋体"/>
                <w:b/>
                <w:bCs/>
                <w:highlight w:val="none"/>
              </w:rPr>
              <w:t xml:space="preserve"> </w:t>
            </w:r>
            <w:r>
              <w:rPr>
                <w:rFonts w:hint="eastAsia" w:ascii="宋体" w:hAnsi="宋体"/>
                <w:b/>
                <w:bCs/>
                <w:highlight w:val="none"/>
              </w:rPr>
              <w:t xml:space="preserve">体 </w:t>
            </w:r>
            <w:r>
              <w:rPr>
                <w:rFonts w:ascii="宋体" w:hAnsi="宋体"/>
                <w:b/>
                <w:bCs/>
                <w:highlight w:val="none"/>
              </w:rPr>
              <w:t xml:space="preserve"> </w:t>
            </w:r>
            <w:r>
              <w:rPr>
                <w:rFonts w:hint="eastAsia" w:ascii="宋体" w:hAnsi="宋体"/>
                <w:b/>
                <w:bCs/>
                <w:highlight w:val="none"/>
              </w:rPr>
              <w:t xml:space="preserve">补 </w:t>
            </w:r>
            <w:r>
              <w:rPr>
                <w:rFonts w:ascii="宋体" w:hAnsi="宋体"/>
                <w:b/>
                <w:bCs/>
                <w:highlight w:val="none"/>
              </w:rPr>
              <w:t xml:space="preserve"> </w:t>
            </w:r>
            <w:r>
              <w:rPr>
                <w:rFonts w:hint="eastAsia" w:ascii="宋体" w:hAnsi="宋体"/>
                <w:b/>
                <w:bCs/>
                <w:highlight w:val="none"/>
              </w:rPr>
              <w:t xml:space="preserve">充 </w:t>
            </w:r>
            <w:r>
              <w:rPr>
                <w:rFonts w:ascii="宋体" w:hAnsi="宋体"/>
                <w:b/>
                <w:bCs/>
                <w:highlight w:val="none"/>
              </w:rPr>
              <w:t xml:space="preserve"> </w:t>
            </w:r>
            <w:r>
              <w:rPr>
                <w:rFonts w:hint="eastAsia" w:ascii="宋体" w:hAnsi="宋体"/>
                <w:b/>
                <w:bCs/>
                <w:highlight w:val="none"/>
              </w:rPr>
              <w:t xml:space="preserve">内 </w:t>
            </w:r>
            <w:r>
              <w:rPr>
                <w:rFonts w:ascii="宋体" w:hAnsi="宋体"/>
                <w:b/>
                <w:bCs/>
                <w:highlight w:val="none"/>
              </w:rPr>
              <w:t xml:space="preserve"> </w:t>
            </w:r>
            <w:r>
              <w:rPr>
                <w:rFonts w:hint="eastAsia" w:ascii="宋体" w:hAnsi="宋体"/>
                <w:b/>
                <w:bCs/>
                <w:highlight w:val="none"/>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3</w:t>
            </w:r>
            <w:r>
              <w:rPr>
                <w:rFonts w:ascii="宋体" w:hAnsi="宋体"/>
                <w:highlight w:val="none"/>
              </w:rPr>
              <w:t>.1</w:t>
            </w:r>
          </w:p>
        </w:tc>
        <w:tc>
          <w:tcPr>
            <w:tcW w:w="1755" w:type="dxa"/>
            <w:vAlign w:val="center"/>
          </w:tcPr>
          <w:p>
            <w:pPr>
              <w:jc w:val="center"/>
              <w:rPr>
                <w:highlight w:val="none"/>
              </w:rPr>
            </w:pPr>
            <w:r>
              <w:rPr>
                <w:rFonts w:hint="eastAsia"/>
                <w:highlight w:val="none"/>
              </w:rPr>
              <w:t>采购人</w:t>
            </w:r>
          </w:p>
        </w:tc>
        <w:tc>
          <w:tcPr>
            <w:tcW w:w="6795" w:type="dxa"/>
            <w:vAlign w:val="center"/>
          </w:tcPr>
          <w:p>
            <w:pPr>
              <w:jc w:val="left"/>
              <w:rPr>
                <w:rFonts w:ascii="宋体" w:hAnsi="宋体"/>
                <w:highlight w:val="none"/>
              </w:rPr>
            </w:pPr>
            <w:r>
              <w:rPr>
                <w:rFonts w:hint="eastAsia" w:ascii="宋体" w:hAnsi="宋体"/>
                <w:highlight w:val="none"/>
              </w:rPr>
              <w:t xml:space="preserve">深圳市龙华区青少年宫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3</w:t>
            </w:r>
            <w:r>
              <w:rPr>
                <w:rFonts w:ascii="宋体" w:hAnsi="宋体"/>
                <w:highlight w:val="none"/>
              </w:rPr>
              <w:t>.2</w:t>
            </w:r>
          </w:p>
        </w:tc>
        <w:tc>
          <w:tcPr>
            <w:tcW w:w="1755" w:type="dxa"/>
            <w:vAlign w:val="center"/>
          </w:tcPr>
          <w:p>
            <w:pPr>
              <w:jc w:val="center"/>
              <w:rPr>
                <w:rFonts w:ascii="宋体" w:hAnsi="宋体"/>
                <w:highlight w:val="none"/>
              </w:rPr>
            </w:pPr>
            <w:r>
              <w:rPr>
                <w:rFonts w:hint="eastAsia" w:ascii="宋体" w:hAnsi="宋体"/>
                <w:highlight w:val="none"/>
              </w:rPr>
              <w:t>政府集中采购机构</w:t>
            </w:r>
          </w:p>
        </w:tc>
        <w:tc>
          <w:tcPr>
            <w:tcW w:w="6795" w:type="dxa"/>
            <w:vAlign w:val="center"/>
          </w:tcPr>
          <w:p>
            <w:pPr>
              <w:jc w:val="left"/>
              <w:rPr>
                <w:rFonts w:ascii="宋体" w:hAnsi="宋体"/>
                <w:highlight w:val="none"/>
              </w:rPr>
            </w:pPr>
            <w:r>
              <w:rPr>
                <w:rFonts w:hint="eastAsia" w:ascii="宋体" w:hAnsi="宋体" w:eastAsia="宋体" w:cs="Arial"/>
                <w:szCs w:val="21"/>
                <w:highlight w:val="none"/>
              </w:rPr>
              <w:t>本文件所述的“政府集中采购机构”</w:t>
            </w:r>
            <w:r>
              <w:rPr>
                <w:rFonts w:ascii="宋体" w:hAnsi="宋体" w:eastAsia="宋体" w:cs="Arial"/>
                <w:szCs w:val="21"/>
                <w:highlight w:val="none"/>
              </w:rPr>
              <w:t>指</w:t>
            </w:r>
            <w:r>
              <w:rPr>
                <w:rFonts w:hint="eastAsia" w:ascii="宋体" w:hAnsi="宋体" w:eastAsia="宋体" w:cs="Arial"/>
                <w:b/>
                <w:bCs/>
                <w:szCs w:val="21"/>
                <w:highlight w:val="none"/>
              </w:rPr>
              <w:t>深圳公共资源交易中心</w:t>
            </w:r>
            <w:r>
              <w:rPr>
                <w:rFonts w:hint="eastAsia" w:ascii="Arial" w:hAnsi="Arial" w:eastAsia="宋体" w:cs="Times New Roman"/>
                <w:szCs w:val="24"/>
                <w:highlight w:val="none"/>
              </w:rPr>
              <w:t>。本项目具体由深圳公共资源交易中心（深圳交易集团有限公司</w:t>
            </w:r>
            <w:r>
              <w:rPr>
                <w:rFonts w:hint="eastAsia" w:ascii="Arial" w:hAnsi="Arial" w:eastAsia="宋体" w:cs="Times New Roman"/>
                <w:szCs w:val="24"/>
                <w:highlight w:val="none"/>
                <w:lang w:eastAsia="zh-CN"/>
              </w:rPr>
              <w:t>龙华</w:t>
            </w:r>
            <w:r>
              <w:rPr>
                <w:rFonts w:hint="eastAsia" w:ascii="Arial" w:hAnsi="Arial" w:eastAsia="宋体" w:cs="Times New Roman"/>
                <w:szCs w:val="24"/>
                <w:highlight w:val="none"/>
              </w:rPr>
              <w:t>分公司）执行</w:t>
            </w:r>
            <w:r>
              <w:rPr>
                <w:rFonts w:hint="eastAsia" w:ascii="Arial" w:hAnsi="Arial" w:eastAsia="宋体" w:cs="Times New Roman"/>
                <w:bCs/>
                <w:szCs w:val="24"/>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5</w:t>
            </w:r>
            <w:r>
              <w:rPr>
                <w:rFonts w:ascii="宋体" w:hAnsi="宋体"/>
                <w:highlight w:val="none"/>
              </w:rPr>
              <w:t>.3</w:t>
            </w:r>
          </w:p>
        </w:tc>
        <w:tc>
          <w:tcPr>
            <w:tcW w:w="1755" w:type="dxa"/>
            <w:vAlign w:val="center"/>
          </w:tcPr>
          <w:p>
            <w:pPr>
              <w:jc w:val="center"/>
              <w:rPr>
                <w:rFonts w:ascii="宋体" w:hAnsi="宋体"/>
                <w:highlight w:val="none"/>
              </w:rPr>
            </w:pPr>
            <w:r>
              <w:rPr>
                <w:rFonts w:hint="eastAsia" w:ascii="宋体" w:hAnsi="宋体"/>
                <w:highlight w:val="none"/>
              </w:rPr>
              <w:t>联合体投标</w:t>
            </w:r>
          </w:p>
        </w:tc>
        <w:tc>
          <w:tcPr>
            <w:tcW w:w="6795" w:type="dxa"/>
            <w:vAlign w:val="center"/>
          </w:tcPr>
          <w:p>
            <w:pPr>
              <w:jc w:val="left"/>
              <w:rPr>
                <w:rFonts w:hint="default" w:ascii="Arial" w:hAnsi="Arial" w:eastAsia="宋体" w:cs="Times New Roman"/>
                <w:szCs w:val="24"/>
                <w:highlight w:val="none"/>
                <w:lang w:val="en-US" w:eastAsia="zh-CN"/>
              </w:rPr>
            </w:pPr>
            <w:r>
              <w:rPr>
                <w:rFonts w:hint="eastAsia" w:ascii="Arial" w:hAnsi="Arial" w:eastAsia="宋体" w:cs="Times New Roman"/>
                <w:szCs w:val="24"/>
                <w:highlight w:val="none"/>
                <w:lang w:eastAsia="zh-CN"/>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9</w:t>
            </w:r>
          </w:p>
        </w:tc>
        <w:tc>
          <w:tcPr>
            <w:tcW w:w="1755" w:type="dxa"/>
            <w:vAlign w:val="center"/>
          </w:tcPr>
          <w:p>
            <w:pPr>
              <w:jc w:val="center"/>
              <w:rPr>
                <w:rFonts w:ascii="宋体" w:hAnsi="宋体"/>
                <w:highlight w:val="none"/>
              </w:rPr>
            </w:pPr>
            <w:r>
              <w:rPr>
                <w:rFonts w:hint="eastAsia" w:ascii="宋体" w:hAnsi="宋体"/>
                <w:highlight w:val="none"/>
              </w:rPr>
              <w:t>踏勘现场</w:t>
            </w:r>
          </w:p>
        </w:tc>
        <w:tc>
          <w:tcPr>
            <w:tcW w:w="6795" w:type="dxa"/>
            <w:vAlign w:val="center"/>
          </w:tcPr>
          <w:p>
            <w:pPr>
              <w:jc w:val="left"/>
              <w:rPr>
                <w:rFonts w:hint="eastAsia" w:ascii="Arial" w:hAnsi="Arial" w:eastAsia="宋体" w:cs="Times New Roman"/>
                <w:szCs w:val="24"/>
                <w:highlight w:val="none"/>
              </w:rPr>
            </w:pPr>
            <w:r>
              <w:rPr>
                <w:rFonts w:hint="eastAsia" w:ascii="Arial" w:hAnsi="Arial" w:eastAsia="宋体" w:cs="Times New Roman"/>
                <w:szCs w:val="24"/>
                <w:highlight w:val="none"/>
                <w:lang w:eastAsia="zh-CN"/>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1</w:t>
            </w:r>
            <w:r>
              <w:rPr>
                <w:rFonts w:ascii="宋体" w:hAnsi="宋体"/>
                <w:highlight w:val="none"/>
              </w:rPr>
              <w:t>0</w:t>
            </w:r>
          </w:p>
        </w:tc>
        <w:tc>
          <w:tcPr>
            <w:tcW w:w="1755" w:type="dxa"/>
            <w:vAlign w:val="center"/>
          </w:tcPr>
          <w:p>
            <w:pPr>
              <w:jc w:val="center"/>
              <w:rPr>
                <w:rFonts w:ascii="宋体" w:hAnsi="宋体"/>
                <w:highlight w:val="none"/>
              </w:rPr>
            </w:pPr>
            <w:r>
              <w:rPr>
                <w:rFonts w:hint="eastAsia" w:ascii="宋体" w:hAnsi="宋体"/>
                <w:highlight w:val="none"/>
              </w:rPr>
              <w:t>标前会议</w:t>
            </w:r>
          </w:p>
        </w:tc>
        <w:tc>
          <w:tcPr>
            <w:tcW w:w="6795" w:type="dxa"/>
            <w:vAlign w:val="center"/>
          </w:tcPr>
          <w:p>
            <w:pPr>
              <w:jc w:val="left"/>
              <w:rPr>
                <w:rFonts w:hint="eastAsia" w:ascii="Arial" w:hAnsi="Arial" w:eastAsia="宋体" w:cs="Times New Roman"/>
                <w:szCs w:val="24"/>
                <w:highlight w:val="none"/>
              </w:rPr>
            </w:pPr>
            <w:r>
              <w:rPr>
                <w:rFonts w:hint="eastAsia" w:ascii="Arial" w:hAnsi="Arial" w:eastAsia="宋体" w:cs="Times New Roman"/>
                <w:szCs w:val="24"/>
                <w:highlight w:val="none"/>
                <w:lang w:eastAsia="zh-CN"/>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1</w:t>
            </w:r>
            <w:r>
              <w:rPr>
                <w:rFonts w:ascii="宋体" w:hAnsi="宋体"/>
                <w:highlight w:val="none"/>
              </w:rPr>
              <w:t>2</w:t>
            </w:r>
            <w:r>
              <w:rPr>
                <w:rFonts w:hint="eastAsia" w:ascii="宋体" w:hAnsi="宋体"/>
                <w:highlight w:val="none"/>
              </w:rPr>
              <w:t>/1</w:t>
            </w:r>
            <w:r>
              <w:rPr>
                <w:rFonts w:ascii="宋体" w:hAnsi="宋体"/>
                <w:highlight w:val="none"/>
              </w:rPr>
              <w:t>3</w:t>
            </w:r>
          </w:p>
        </w:tc>
        <w:tc>
          <w:tcPr>
            <w:tcW w:w="1755" w:type="dxa"/>
            <w:vAlign w:val="center"/>
          </w:tcPr>
          <w:p>
            <w:pPr>
              <w:jc w:val="center"/>
              <w:rPr>
                <w:rFonts w:ascii="宋体" w:hAnsi="宋体"/>
                <w:highlight w:val="none"/>
              </w:rPr>
            </w:pPr>
            <w:r>
              <w:rPr>
                <w:rFonts w:hint="eastAsia" w:ascii="宋体" w:hAnsi="宋体"/>
                <w:highlight w:val="none"/>
              </w:rPr>
              <w:t>招标文件的澄清和修改</w:t>
            </w:r>
          </w:p>
        </w:tc>
        <w:tc>
          <w:tcPr>
            <w:tcW w:w="6795" w:type="dxa"/>
            <w:vAlign w:val="center"/>
          </w:tcPr>
          <w:p>
            <w:pPr>
              <w:jc w:val="left"/>
              <w:rPr>
                <w:rFonts w:hint="eastAsia" w:ascii="宋体" w:hAnsi="宋体"/>
                <w:highlight w:val="none"/>
                <w:lang w:eastAsia="zh-CN"/>
              </w:rPr>
            </w:pPr>
            <w:r>
              <w:rPr>
                <w:rFonts w:hint="eastAsia" w:ascii="宋体" w:hAnsi="宋体"/>
                <w:highlight w:val="none"/>
                <w:lang w:eastAsia="zh-CN"/>
              </w:rPr>
              <w:t>不晚于投标截止日三日前，投标人有义务在招标期间在政府集中采购机构网站浏览与本项目有关的澄清和修改信息。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2</w:t>
            </w:r>
            <w:r>
              <w:rPr>
                <w:rFonts w:ascii="宋体" w:hAnsi="宋体"/>
                <w:highlight w:val="none"/>
              </w:rPr>
              <w:t>0</w:t>
            </w:r>
          </w:p>
        </w:tc>
        <w:tc>
          <w:tcPr>
            <w:tcW w:w="1755" w:type="dxa"/>
            <w:vAlign w:val="center"/>
          </w:tcPr>
          <w:p>
            <w:pPr>
              <w:jc w:val="center"/>
              <w:rPr>
                <w:rFonts w:ascii="宋体" w:hAnsi="宋体"/>
                <w:highlight w:val="none"/>
              </w:rPr>
            </w:pPr>
            <w:r>
              <w:rPr>
                <w:rFonts w:hint="eastAsia" w:ascii="宋体" w:hAnsi="宋体"/>
                <w:highlight w:val="none"/>
              </w:rPr>
              <w:t>投标有效期</w:t>
            </w:r>
          </w:p>
        </w:tc>
        <w:tc>
          <w:tcPr>
            <w:tcW w:w="6795" w:type="dxa"/>
            <w:vAlign w:val="center"/>
          </w:tcPr>
          <w:p>
            <w:pPr>
              <w:jc w:val="left"/>
              <w:rPr>
                <w:rFonts w:hint="eastAsia" w:ascii="宋体" w:hAnsi="宋体"/>
                <w:highlight w:val="none"/>
              </w:rPr>
            </w:pPr>
            <w:r>
              <w:rPr>
                <w:rFonts w:hint="eastAsia" w:ascii="宋体" w:hAnsi="宋体"/>
                <w:highlight w:val="none"/>
              </w:rPr>
              <w:t>120日历天（从投标截止之日算起）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2</w:t>
            </w:r>
            <w:r>
              <w:rPr>
                <w:rFonts w:ascii="宋体" w:hAnsi="宋体"/>
                <w:highlight w:val="none"/>
              </w:rPr>
              <w:t>2</w:t>
            </w:r>
          </w:p>
        </w:tc>
        <w:tc>
          <w:tcPr>
            <w:tcW w:w="1755" w:type="dxa"/>
            <w:vAlign w:val="center"/>
          </w:tcPr>
          <w:p>
            <w:pPr>
              <w:jc w:val="center"/>
              <w:rPr>
                <w:rFonts w:ascii="宋体" w:hAnsi="宋体"/>
                <w:highlight w:val="none"/>
              </w:rPr>
            </w:pPr>
            <w:r>
              <w:rPr>
                <w:rFonts w:hint="eastAsia" w:ascii="宋体" w:hAnsi="宋体"/>
                <w:highlight w:val="none"/>
              </w:rPr>
              <w:t>投标人的替代方案</w:t>
            </w:r>
          </w:p>
        </w:tc>
        <w:tc>
          <w:tcPr>
            <w:tcW w:w="6795" w:type="dxa"/>
            <w:vAlign w:val="center"/>
          </w:tcPr>
          <w:p>
            <w:pPr>
              <w:jc w:val="left"/>
              <w:rPr>
                <w:rFonts w:hint="eastAsia" w:ascii="宋体" w:hAnsi="宋体"/>
                <w:highlight w:val="none"/>
              </w:rPr>
            </w:pPr>
            <w:r>
              <w:rPr>
                <w:rFonts w:hint="eastAsia" w:ascii="宋体" w:hAnsi="宋体"/>
                <w:highlight w:val="none"/>
                <w:lang w:eastAsia="zh-CN"/>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2</w:t>
            </w:r>
            <w:r>
              <w:rPr>
                <w:rFonts w:ascii="宋体" w:hAnsi="宋体"/>
                <w:highlight w:val="none"/>
              </w:rPr>
              <w:t>5</w:t>
            </w:r>
          </w:p>
        </w:tc>
        <w:tc>
          <w:tcPr>
            <w:tcW w:w="1755" w:type="dxa"/>
            <w:vAlign w:val="center"/>
          </w:tcPr>
          <w:p>
            <w:pPr>
              <w:jc w:val="center"/>
              <w:rPr>
                <w:rFonts w:ascii="宋体" w:hAnsi="宋体"/>
                <w:highlight w:val="none"/>
              </w:rPr>
            </w:pPr>
            <w:r>
              <w:rPr>
                <w:rFonts w:hint="eastAsia" w:ascii="宋体" w:hAnsi="宋体"/>
                <w:highlight w:val="none"/>
              </w:rPr>
              <w:t>投标文件的大小</w:t>
            </w:r>
          </w:p>
        </w:tc>
        <w:tc>
          <w:tcPr>
            <w:tcW w:w="6795" w:type="dxa"/>
            <w:vAlign w:val="center"/>
          </w:tcPr>
          <w:p>
            <w:pPr>
              <w:jc w:val="left"/>
              <w:rPr>
                <w:rFonts w:hint="eastAsia" w:ascii="宋体" w:hAnsi="宋体"/>
                <w:highlight w:val="none"/>
              </w:rPr>
            </w:pPr>
            <w:r>
              <w:rPr>
                <w:rFonts w:hint="eastAsia" w:ascii="宋体" w:hAnsi="宋体"/>
                <w:highlight w:val="none"/>
                <w:lang w:eastAsia="zh-CN"/>
              </w:rPr>
              <w:t>投标文件大小不得超过</w:t>
            </w:r>
            <w:r>
              <w:rPr>
                <w:rFonts w:hint="eastAsia" w:ascii="宋体" w:hAnsi="宋体"/>
                <w:highlight w:val="none"/>
                <w:lang w:val="en-US" w:eastAsia="zh-CN"/>
              </w:rPr>
              <w:t>1</w:t>
            </w:r>
            <w:r>
              <w:rPr>
                <w:rFonts w:hint="eastAsia" w:ascii="宋体" w:hAnsi="宋体"/>
                <w:highlight w:val="none"/>
                <w:lang w:eastAsia="zh-CN"/>
              </w:rPr>
              <w:t>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2</w:t>
            </w:r>
            <w:r>
              <w:rPr>
                <w:rFonts w:ascii="宋体" w:hAnsi="宋体"/>
                <w:highlight w:val="none"/>
              </w:rPr>
              <w:t>6</w:t>
            </w:r>
          </w:p>
        </w:tc>
        <w:tc>
          <w:tcPr>
            <w:tcW w:w="1755" w:type="dxa"/>
            <w:vAlign w:val="center"/>
          </w:tcPr>
          <w:p>
            <w:pPr>
              <w:jc w:val="center"/>
              <w:rPr>
                <w:rFonts w:ascii="宋体" w:hAnsi="宋体"/>
                <w:highlight w:val="none"/>
              </w:rPr>
            </w:pPr>
            <w:bookmarkStart w:id="11" w:name="_Hlk71664860"/>
            <w:r>
              <w:rPr>
                <w:rFonts w:hint="eastAsia" w:ascii="宋体" w:hAnsi="宋体"/>
                <w:highlight w:val="none"/>
              </w:rPr>
              <w:t>样品、现场演示、方案讲解</w:t>
            </w:r>
            <w:bookmarkEnd w:id="11"/>
          </w:p>
        </w:tc>
        <w:tc>
          <w:tcPr>
            <w:tcW w:w="6795" w:type="dxa"/>
            <w:vAlign w:val="center"/>
          </w:tcPr>
          <w:p>
            <w:pPr>
              <w:jc w:val="left"/>
              <w:rPr>
                <w:rFonts w:ascii="宋体" w:hAnsi="宋体"/>
                <w:highlight w:val="none"/>
              </w:rPr>
            </w:pPr>
            <w:r>
              <w:rPr>
                <w:rFonts w:hint="eastAsia" w:ascii="宋体" w:hAnsi="宋体"/>
                <w:highlight w:val="none"/>
              </w:rPr>
              <w:t>“无”/“有样品/现场演示/方案讲解要求，具体安排见其他关键信息章节”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3</w:t>
            </w:r>
            <w:r>
              <w:rPr>
                <w:rFonts w:ascii="宋体" w:hAnsi="宋体"/>
                <w:highlight w:val="none"/>
              </w:rPr>
              <w:t>7</w:t>
            </w:r>
          </w:p>
        </w:tc>
        <w:tc>
          <w:tcPr>
            <w:tcW w:w="1755" w:type="dxa"/>
            <w:vAlign w:val="center"/>
          </w:tcPr>
          <w:p>
            <w:pPr>
              <w:jc w:val="center"/>
              <w:rPr>
                <w:rFonts w:ascii="宋体" w:hAnsi="宋体"/>
                <w:highlight w:val="none"/>
              </w:rPr>
            </w:pPr>
            <w:r>
              <w:rPr>
                <w:rFonts w:hint="eastAsia" w:ascii="宋体" w:hAnsi="宋体"/>
                <w:highlight w:val="none"/>
              </w:rPr>
              <w:t>评审方法</w:t>
            </w:r>
          </w:p>
        </w:tc>
        <w:tc>
          <w:tcPr>
            <w:tcW w:w="6795" w:type="dxa"/>
            <w:vAlign w:val="center"/>
          </w:tcPr>
          <w:p>
            <w:pPr>
              <w:jc w:val="left"/>
              <w:rPr>
                <w:rFonts w:ascii="宋体" w:hAnsi="宋体"/>
                <w:highlight w:val="none"/>
              </w:rPr>
            </w:pPr>
            <w:r>
              <w:rPr>
                <w:rFonts w:ascii="宋体" w:hAnsi="宋体"/>
                <w:b/>
                <w:bCs/>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3</w:t>
            </w:r>
            <w:r>
              <w:rPr>
                <w:rFonts w:ascii="宋体" w:hAnsi="宋体"/>
                <w:highlight w:val="none"/>
              </w:rPr>
              <w:t>8</w:t>
            </w:r>
          </w:p>
        </w:tc>
        <w:tc>
          <w:tcPr>
            <w:tcW w:w="1755" w:type="dxa"/>
            <w:vAlign w:val="center"/>
          </w:tcPr>
          <w:p>
            <w:pPr>
              <w:jc w:val="center"/>
              <w:rPr>
                <w:rFonts w:ascii="宋体" w:hAnsi="宋体"/>
                <w:highlight w:val="none"/>
              </w:rPr>
            </w:pPr>
            <w:r>
              <w:rPr>
                <w:rFonts w:hint="eastAsia" w:ascii="宋体" w:hAnsi="宋体"/>
                <w:highlight w:val="none"/>
              </w:rPr>
              <w:t>定标方法</w:t>
            </w:r>
          </w:p>
        </w:tc>
        <w:tc>
          <w:tcPr>
            <w:tcW w:w="6795" w:type="dxa"/>
            <w:vAlign w:val="center"/>
          </w:tcPr>
          <w:p>
            <w:pPr>
              <w:jc w:val="left"/>
              <w:rPr>
                <w:rFonts w:hint="eastAsia" w:ascii="宋体" w:hAnsi="宋体"/>
                <w:b/>
                <w:bCs/>
                <w:highlight w:val="none"/>
              </w:rPr>
            </w:pPr>
            <w:r>
              <w:rPr>
                <w:rFonts w:hint="eastAsia" w:ascii="宋体" w:hAnsi="宋体" w:eastAsia="宋体" w:cs="Times New Roman"/>
                <w:b/>
                <w:bCs/>
                <w:szCs w:val="21"/>
                <w:highlight w:val="none"/>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4</w:t>
            </w:r>
            <w:r>
              <w:rPr>
                <w:rFonts w:ascii="宋体" w:hAnsi="宋体"/>
                <w:highlight w:val="none"/>
              </w:rPr>
              <w:t>6</w:t>
            </w:r>
          </w:p>
        </w:tc>
        <w:tc>
          <w:tcPr>
            <w:tcW w:w="1755" w:type="dxa"/>
            <w:vAlign w:val="center"/>
          </w:tcPr>
          <w:p>
            <w:pPr>
              <w:jc w:val="center"/>
              <w:rPr>
                <w:rFonts w:ascii="宋体" w:hAnsi="宋体"/>
                <w:highlight w:val="none"/>
              </w:rPr>
            </w:pPr>
            <w:r>
              <w:rPr>
                <w:rFonts w:hint="eastAsia" w:ascii="宋体" w:hAnsi="宋体"/>
                <w:highlight w:val="none"/>
              </w:rPr>
              <w:t>履约担保</w:t>
            </w:r>
          </w:p>
        </w:tc>
        <w:tc>
          <w:tcPr>
            <w:tcW w:w="6795" w:type="dxa"/>
            <w:vAlign w:val="center"/>
          </w:tcPr>
          <w:p>
            <w:pPr>
              <w:jc w:val="left"/>
              <w:rPr>
                <w:rFonts w:ascii="宋体" w:hAnsi="宋体"/>
                <w:highlight w:val="none"/>
              </w:rPr>
            </w:pPr>
            <w:r>
              <w:rPr>
                <w:rFonts w:hint="eastAsia" w:ascii="宋体" w:hAnsi="宋体"/>
                <w:highlight w:val="none"/>
              </w:rPr>
              <w:t>不需要</w:t>
            </w:r>
          </w:p>
        </w:tc>
      </w:tr>
    </w:tbl>
    <w:p>
      <w:pPr>
        <w:widowControl/>
        <w:jc w:val="center"/>
        <w:rPr>
          <w:szCs w:val="21"/>
        </w:rPr>
      </w:pPr>
      <w:r>
        <w:rPr>
          <w:rFonts w:hint="eastAsia"/>
          <w:szCs w:val="21"/>
        </w:rPr>
        <w:t>备注：本表是通用条款相关条款的补充和明确，如与通用条款内容相冲突的，以本表为准。</w:t>
      </w:r>
    </w:p>
    <w:p>
      <w:pPr>
        <w:keepNext/>
        <w:keepLines/>
        <w:adjustRightInd w:val="0"/>
        <w:spacing w:beforeLines="50" w:afterLines="50"/>
        <w:jc w:val="center"/>
        <w:textAlignment w:val="baseline"/>
        <w:outlineLvl w:val="2"/>
        <w:rPr>
          <w:rFonts w:ascii="宋体" w:hAnsi="宋体" w:eastAsia="宋体" w:cs="Times New Roman"/>
          <w:b/>
          <w:bCs/>
          <w:kern w:val="0"/>
          <w:sz w:val="24"/>
          <w:szCs w:val="24"/>
        </w:rPr>
      </w:pPr>
      <w:r>
        <w:rPr>
          <w:rFonts w:hint="eastAsia" w:ascii="宋体" w:hAnsi="宋体" w:eastAsia="宋体" w:cs="Times New Roman"/>
          <w:b/>
          <w:bCs/>
          <w:kern w:val="0"/>
          <w:sz w:val="24"/>
          <w:szCs w:val="24"/>
        </w:rPr>
        <w:t>二、其他关键信息</w:t>
      </w:r>
    </w:p>
    <w:p>
      <w:pPr>
        <w:tabs>
          <w:tab w:val="left" w:pos="720"/>
        </w:tabs>
        <w:rPr>
          <w:rFonts w:ascii="黑体" w:hAnsi="宋体" w:eastAsia="黑体"/>
          <w:sz w:val="24"/>
        </w:rPr>
      </w:pPr>
      <w:r>
        <w:rPr>
          <w:rFonts w:hint="eastAsia" w:ascii="黑体" w:hAnsi="宋体" w:eastAsia="黑体"/>
          <w:sz w:val="24"/>
        </w:rPr>
        <w:t>（一）</w:t>
      </w:r>
      <w:r>
        <w:rPr>
          <w:rFonts w:hint="eastAsia" w:ascii="黑体" w:hAnsi="宋体" w:eastAsia="黑体"/>
          <w:bCs/>
          <w:sz w:val="24"/>
        </w:rPr>
        <w:t>与“对通用条款的补充内容”章节相关的事项</w:t>
      </w:r>
    </w:p>
    <w:p>
      <w:pPr>
        <w:tabs>
          <w:tab w:val="left" w:pos="720"/>
        </w:tabs>
      </w:pPr>
      <w:r>
        <w:rPr>
          <w:rFonts w:hint="eastAsia" w:ascii="黑体" w:hAnsi="宋体" w:eastAsia="黑体"/>
          <w:bCs/>
          <w:sz w:val="24"/>
          <w:lang w:val="en-US" w:eastAsia="zh-CN"/>
        </w:rPr>
        <w:t>1、评标定标信息</w:t>
      </w:r>
    </w:p>
    <w:p>
      <w:pPr>
        <w:jc w:val="center"/>
      </w:pPr>
      <w:r>
        <w:rPr>
          <w:rFonts w:hint="eastAsia"/>
          <w:b/>
        </w:rPr>
        <w:t>非评定分离项目</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3235"/>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评标方法</w:t>
            </w:r>
          </w:p>
        </w:tc>
        <w:tc>
          <w:tcPr>
            <w:tcW w:w="3235" w:type="dxa"/>
          </w:tcPr>
          <w:p>
            <w:pPr>
              <w:jc w:val="center"/>
              <w:rPr>
                <w:rFonts w:hint="default" w:eastAsia="宋体"/>
                <w:lang w:val="en-US" w:eastAsia="zh-CN"/>
              </w:rPr>
            </w:pPr>
            <w:r>
              <w:rPr>
                <w:rFonts w:hint="eastAsia"/>
              </w:rPr>
              <w:sym w:font="Wingdings" w:char="00FE"/>
            </w:r>
            <w:r>
              <w:rPr>
                <w:rFonts w:hint="eastAsia"/>
              </w:rPr>
              <w:t>综合评分法</w:t>
            </w:r>
          </w:p>
        </w:tc>
        <w:tc>
          <w:tcPr>
            <w:tcW w:w="2450" w:type="dxa"/>
          </w:tcPr>
          <w:p>
            <w:pPr>
              <w:jc w:val="center"/>
              <w:rPr>
                <w:rFonts w:hint="eastAsia"/>
              </w:rPr>
            </w:pPr>
            <w:r>
              <w:rPr>
                <w:rFonts w:hint="eastAsia" w:ascii="Times New Roman" w:eastAsia="宋体"/>
                <w:lang w:val="en-US" w:eastAsia="zh-CN"/>
              </w:rPr>
              <w:sym w:font="Wingdings" w:char="00A8"/>
            </w:r>
            <w:r>
              <w:rPr>
                <w:rFonts w:hint="eastAsia" w:ascii="Times New Roman" w:eastAsia="宋体"/>
                <w:lang w:val="en-US" w:eastAsia="zh-CN"/>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候选中标供应商家数</w:t>
            </w:r>
          </w:p>
        </w:tc>
        <w:tc>
          <w:tcPr>
            <w:tcW w:w="3235" w:type="dxa"/>
          </w:tcPr>
          <w:p>
            <w:pPr>
              <w:jc w:val="center"/>
              <w:rPr>
                <w:rFonts w:hint="eastAsia" w:eastAsia="宋体"/>
                <w:lang w:val="en-US" w:eastAsia="zh-CN"/>
              </w:rPr>
            </w:pPr>
            <w:r>
              <w:rPr>
                <w:rFonts w:hint="eastAsia" w:eastAsia="宋体"/>
                <w:lang w:val="en-US" w:eastAsia="zh-CN"/>
              </w:rPr>
              <w:t>3</w:t>
            </w:r>
          </w:p>
        </w:tc>
        <w:tc>
          <w:tcPr>
            <w:tcW w:w="2450" w:type="dxa"/>
          </w:tcPr>
          <w:p>
            <w:pPr>
              <w:jc w:val="cente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中标供应商家数</w:t>
            </w:r>
          </w:p>
        </w:tc>
        <w:tc>
          <w:tcPr>
            <w:tcW w:w="3235" w:type="dxa"/>
          </w:tcPr>
          <w:p>
            <w:pPr>
              <w:jc w:val="center"/>
            </w:pPr>
            <w:r>
              <w:rPr>
                <w:rFonts w:hint="eastAsia"/>
              </w:rPr>
              <w:t>1</w:t>
            </w:r>
          </w:p>
        </w:tc>
        <w:tc>
          <w:tcPr>
            <w:tcW w:w="2450" w:type="dxa"/>
          </w:tcPr>
          <w:p>
            <w:pPr>
              <w:jc w:val="center"/>
              <w:rPr>
                <w:rFonts w:hint="eastAsia"/>
              </w:rPr>
            </w:pPr>
            <w:r>
              <w:rPr>
                <w:rFonts w:hint="eastAsia"/>
              </w:rPr>
              <w:t>1</w:t>
            </w:r>
          </w:p>
        </w:tc>
      </w:tr>
    </w:tbl>
    <w:p>
      <w:pPr>
        <w:pStyle w:val="3"/>
      </w:pPr>
    </w:p>
    <w:p>
      <w:pPr>
        <w:tabs>
          <w:tab w:val="left" w:pos="720"/>
        </w:tabs>
        <w:rPr>
          <w:rFonts w:ascii="黑体" w:hAnsi="宋体" w:eastAsia="黑体"/>
          <w:sz w:val="24"/>
        </w:rPr>
      </w:pPr>
    </w:p>
    <w:p>
      <w:pPr>
        <w:tabs>
          <w:tab w:val="left" w:pos="720"/>
        </w:tabs>
        <w:rPr>
          <w:rFonts w:ascii="黑体" w:hAnsi="宋体" w:eastAsia="黑体"/>
          <w:sz w:val="24"/>
        </w:rPr>
      </w:pPr>
      <w:r>
        <w:rPr>
          <w:rFonts w:hint="eastAsia" w:ascii="黑体" w:hAnsi="宋体" w:eastAsia="黑体"/>
          <w:sz w:val="24"/>
        </w:rPr>
        <w:t>（二）其他事项</w:t>
      </w:r>
    </w:p>
    <w:p>
      <w:pPr>
        <w:tabs>
          <w:tab w:val="left" w:pos="720"/>
        </w:tabs>
        <w:rPr>
          <w:rFonts w:ascii="黑体" w:hAnsi="宋体" w:eastAsia="黑体"/>
          <w:sz w:val="24"/>
        </w:rPr>
      </w:pPr>
      <w:r>
        <w:rPr>
          <w:rFonts w:hint="eastAsia" w:ascii="黑体" w:hAnsi="宋体" w:eastAsia="黑体"/>
          <w:sz w:val="24"/>
        </w:rPr>
        <w:t>1、关于享受优惠政策的主体、价格扣除比例及采购标的所属行业</w:t>
      </w:r>
    </w:p>
    <w:p>
      <w:pPr>
        <w:ind w:firstLine="411" w:firstLineChars="196"/>
        <w:rPr>
          <w:rFonts w:hint="eastAsia" w:ascii="宋体" w:hAnsi="宋体"/>
          <w:highlight w:val="yellow"/>
        </w:rPr>
      </w:pPr>
      <w:r>
        <w:rPr>
          <w:rFonts w:hint="eastAsia" w:ascii="宋体" w:hAnsi="宋体"/>
          <w:highlight w:val="yellow"/>
        </w:rPr>
        <w:t>（1）</w:t>
      </w:r>
      <w:r>
        <w:rPr>
          <w:rFonts w:hint="eastAsia"/>
          <w:highlight w:val="yellow"/>
          <w:lang w:val="en-US" w:eastAsia="zh-CN"/>
        </w:rPr>
        <w:t>专门面向中小企业采购的项目（包括联合体或分包预留中小企业份额的项目），不再执行价格扣除比例。</w:t>
      </w:r>
    </w:p>
    <w:p>
      <w:pPr>
        <w:ind w:firstLine="411" w:firstLineChars="196"/>
        <w:rPr>
          <w:rFonts w:ascii="Arial" w:hAnsi="Arial" w:eastAsia="宋体" w:cs="Times New Roman"/>
          <w:b/>
          <w:color w:val="0000FF"/>
          <w:szCs w:val="21"/>
        </w:rPr>
      </w:pPr>
      <w:r>
        <w:rPr>
          <w:rFonts w:hint="eastAsia" w:ascii="宋体" w:hAnsi="宋体"/>
          <w:highlight w:val="yellow"/>
          <w:lang w:eastAsia="zh-CN"/>
        </w:rPr>
        <w:t>（</w:t>
      </w:r>
      <w:r>
        <w:rPr>
          <w:rFonts w:hint="eastAsia" w:ascii="宋体" w:hAnsi="宋体"/>
          <w:highlight w:val="yellow"/>
          <w:lang w:val="en-US" w:eastAsia="zh-CN"/>
        </w:rPr>
        <w:t>2</w:t>
      </w:r>
      <w:r>
        <w:rPr>
          <w:rFonts w:hint="eastAsia" w:ascii="宋体" w:hAnsi="宋体"/>
          <w:highlight w:val="yellow"/>
          <w:lang w:eastAsia="zh-CN"/>
        </w:rPr>
        <w:t>）</w:t>
      </w:r>
      <w:r>
        <w:rPr>
          <w:rFonts w:hint="eastAsia" w:ascii="Times New Roman" w:eastAsia="宋体"/>
          <w:highlight w:val="yellow"/>
          <w:lang w:val="en-US" w:eastAsia="zh-CN"/>
        </w:rPr>
        <w:t>非专门面向中小企业采购的项目，应执行价格扣除比例：</w:t>
      </w:r>
      <w:r>
        <w:rPr>
          <w:rFonts w:hint="eastAsia" w:ascii="宋体" w:hAnsi="宋体"/>
          <w:highlight w:val="yellow"/>
        </w:rPr>
        <w:t>投标人提供的</w:t>
      </w:r>
      <w:r>
        <w:rPr>
          <w:rFonts w:hint="eastAsia" w:ascii="宋体" w:hAnsi="宋体"/>
          <w:highlight w:val="yellow"/>
          <w:lang w:val="en-US" w:eastAsia="zh-CN"/>
        </w:rPr>
        <w:t>服务</w:t>
      </w:r>
      <w:r>
        <w:rPr>
          <w:rFonts w:hint="eastAsia" w:ascii="宋体" w:hAnsi="宋体"/>
          <w:highlight w:val="yellow"/>
        </w:rPr>
        <w:t>（以招标文件用户需求书“</w:t>
      </w:r>
      <w:r>
        <w:rPr>
          <w:rFonts w:hint="eastAsia" w:ascii="宋体" w:hAnsi="宋体"/>
          <w:highlight w:val="yellow"/>
          <w:lang w:val="en-US" w:eastAsia="zh-CN"/>
        </w:rPr>
        <w:t>服务需求</w:t>
      </w:r>
      <w:r>
        <w:rPr>
          <w:rFonts w:hint="eastAsia" w:ascii="宋体" w:hAnsi="宋体"/>
          <w:highlight w:val="yellow"/>
        </w:rPr>
        <w:t>明细”的“服务需求名称”一栏为准）全部均由优惠主体</w:t>
      </w:r>
      <w:r>
        <w:rPr>
          <w:rFonts w:hint="eastAsia" w:ascii="宋体" w:hAnsi="宋体"/>
          <w:highlight w:val="yellow"/>
          <w:lang w:val="en-US" w:eastAsia="zh-CN"/>
        </w:rPr>
        <w:t>承接</w:t>
      </w:r>
      <w:r>
        <w:rPr>
          <w:rFonts w:hint="eastAsia" w:ascii="宋体" w:hAnsi="宋体"/>
          <w:highlight w:val="yellow"/>
        </w:rPr>
        <w:t>的，对其投标总价给予</w:t>
      </w:r>
      <w:r>
        <w:rPr>
          <w:rFonts w:hint="eastAsia" w:ascii="宋体" w:hAnsi="宋体" w:eastAsia="宋体" w:cs="Times New Roman"/>
          <w:b/>
          <w:sz w:val="24"/>
          <w:szCs w:val="24"/>
          <w:highlight w:val="yellow"/>
          <w:u w:val="single"/>
          <w:lang w:val="en-US" w:eastAsia="zh-CN"/>
        </w:rPr>
        <w:t>10%</w:t>
      </w:r>
      <w:r>
        <w:rPr>
          <w:rFonts w:hint="eastAsia" w:ascii="宋体" w:hAnsi="宋体"/>
          <w:highlight w:val="yellow"/>
        </w:rPr>
        <w:t>的扣除，用扣除后的价格参与评审。满足多项优惠政策的企业，不重复享受多项价格扣除政策。</w:t>
      </w:r>
      <w:r>
        <w:rPr>
          <w:rFonts w:hint="eastAsia" w:ascii="宋体" w:hAnsi="宋体"/>
          <w:highlight w:val="none"/>
        </w:rPr>
        <w:t>接受联合体投标的项目，如供应商为联合体参与投标，联合体共同投标协议中明确注明</w:t>
      </w:r>
      <w:r>
        <w:rPr>
          <w:rFonts w:ascii="宋体" w:hAnsi="宋体"/>
          <w:highlight w:val="none"/>
        </w:rPr>
        <w:t>约定优惠主体的协议合同金额占到联合体协议总金额</w:t>
      </w:r>
      <w:r>
        <w:rPr>
          <w:rFonts w:ascii="宋体" w:hAnsi="宋体"/>
          <w:b/>
          <w:highlight w:val="none"/>
        </w:rPr>
        <w:t>30%</w:t>
      </w:r>
      <w:r>
        <w:rPr>
          <w:rFonts w:ascii="宋体" w:hAnsi="宋体"/>
          <w:highlight w:val="none"/>
        </w:rPr>
        <w:t>以上的，</w:t>
      </w:r>
      <w:r>
        <w:rPr>
          <w:rFonts w:hint="eastAsia" w:ascii="宋体" w:hAnsi="宋体"/>
          <w:highlight w:val="none"/>
        </w:rPr>
        <w:t>对该联合体的投标总价给予</w:t>
      </w:r>
      <w:r>
        <w:rPr>
          <w:rFonts w:hint="eastAsia" w:ascii="宋体" w:hAnsi="宋体"/>
          <w:b/>
          <w:bCs/>
          <w:highlight w:val="none"/>
          <w:u w:val="single"/>
          <w:lang w:val="en-US" w:eastAsia="zh-CN"/>
        </w:rPr>
        <w:t xml:space="preserve"> 4 </w:t>
      </w:r>
      <w:r>
        <w:rPr>
          <w:rFonts w:ascii="宋体" w:hAnsi="宋体"/>
          <w:b/>
          <w:bCs/>
          <w:highlight w:val="none"/>
          <w:u w:val="none"/>
        </w:rPr>
        <w:t>%</w:t>
      </w:r>
      <w:r>
        <w:rPr>
          <w:rFonts w:hint="eastAsia" w:ascii="宋体" w:hAnsi="宋体"/>
          <w:highlight w:val="none"/>
        </w:rPr>
        <w:t>的扣除，用扣除后的价格参与评审。联合体各方均为优惠主体的，该联合体视同为优惠主体，按前款规定享受评标优惠政策。</w:t>
      </w:r>
      <w:r>
        <w:rPr>
          <w:rFonts w:hint="eastAsia" w:ascii="Arial" w:hAnsi="Arial" w:eastAsia="宋体" w:cs="Times New Roman"/>
          <w:b/>
          <w:szCs w:val="21"/>
          <w:highlight w:val="yellow"/>
        </w:rPr>
        <w:t>政策调整后价格仅作为评审依据，不作为中标价格。</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r>
        <w:rPr>
          <w:rFonts w:hint="eastAsia"/>
          <w:b/>
          <w:bCs/>
          <w:lang w:eastAsia="zh-CN"/>
        </w:rPr>
        <w:t>（</w:t>
      </w:r>
      <w:r>
        <w:rPr>
          <w:rFonts w:hint="eastAsia"/>
          <w:b/>
          <w:bCs/>
          <w:lang w:val="en-US" w:eastAsia="zh-CN"/>
        </w:rPr>
        <w:t>a</w:t>
      </w:r>
      <w:r>
        <w:rPr>
          <w:rFonts w:hint="eastAsia"/>
          <w:b/>
          <w:bCs/>
          <w:lang w:eastAsia="zh-CN"/>
        </w:rPr>
        <w:t>）</w:t>
      </w:r>
      <w:r>
        <w:rPr>
          <w:rFonts w:hint="eastAsia"/>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ascii="宋体" w:hAnsi="宋体"/>
          <w:highlight w:val="none"/>
        </w:rPr>
        <w:t>根据《财政部 司法部关于政府采购支持监狱企业发展有关问题的通知》(财库〔2014〕68号)，在政府采购活动中，监狱企业视同小型、微型企业；根据《关于促进残疾人就业政府采购政策的通知》(财库〔2017〕141号)，在政府采购活动中，残疾人福利性单位视同小型、微型企业；</w:t>
      </w:r>
      <w:r>
        <w:rPr>
          <w:rFonts w:hint="eastAsia"/>
          <w:b/>
          <w:bCs/>
          <w:lang w:eastAsia="zh-CN"/>
        </w:rPr>
        <w:t>（</w:t>
      </w:r>
      <w:r>
        <w:rPr>
          <w:rFonts w:hint="eastAsia"/>
          <w:b/>
          <w:bCs/>
          <w:lang w:val="en-US" w:eastAsia="zh-CN"/>
        </w:rPr>
        <w:t>b</w:t>
      </w:r>
      <w:r>
        <w:rPr>
          <w:rFonts w:hint="eastAsia"/>
          <w:b/>
          <w:bCs/>
          <w:lang w:eastAsia="zh-CN"/>
        </w:rPr>
        <w:t>）</w:t>
      </w:r>
      <w:r>
        <w:rPr>
          <w:rFonts w:hint="eastAsia"/>
        </w:rPr>
        <w:t>优惠主体承接是指提供服务的人员为中小企业依照《中华人民共和国劳动合同法》订立劳动合同的从业人员。</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w:t>
      </w:r>
      <w:bookmarkStart w:id="12" w:name="_Hlk71970739"/>
      <w:r>
        <w:rPr>
          <w:rFonts w:hint="eastAsia" w:asciiTheme="minorEastAsia" w:hAnsiTheme="minorEastAsia" w:eastAsiaTheme="minorEastAsia" w:cstheme="minorEastAsia"/>
          <w:sz w:val="21"/>
          <w:szCs w:val="21"/>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hint="eastAsia" w:asciiTheme="minorEastAsia" w:hAnsiTheme="minorEastAsia" w:eastAsiaTheme="minorEastAsia" w:cstheme="minorEastAsia"/>
          <w:b/>
          <w:bCs/>
          <w:color w:val="FF0000"/>
          <w:sz w:val="21"/>
          <w:szCs w:val="21"/>
        </w:rPr>
        <w:t>《中小企业声明函》中相关企业所属行业应当与采购标的所属行业相一致。</w:t>
      </w:r>
      <w:r>
        <w:rPr>
          <w:rFonts w:hint="eastAsia" w:asciiTheme="minorEastAsia" w:hAnsiTheme="minorEastAsia" w:eastAsiaTheme="minorEastAsia" w:cstheme="minorEastAsia"/>
          <w:sz w:val="21"/>
          <w:szCs w:val="21"/>
        </w:rPr>
        <w:t>本项目</w:t>
      </w:r>
      <w:bookmarkStart w:id="13" w:name="_Hlk71924718"/>
      <w:r>
        <w:rPr>
          <w:rFonts w:hint="eastAsia" w:asciiTheme="minorEastAsia" w:hAnsiTheme="minorEastAsia" w:eastAsiaTheme="minorEastAsia" w:cstheme="minorEastAsia"/>
          <w:sz w:val="21"/>
          <w:szCs w:val="21"/>
        </w:rPr>
        <w:t>采购标的（服务需</w:t>
      </w:r>
      <w:r>
        <w:rPr>
          <w:rFonts w:hint="eastAsia"/>
        </w:rPr>
        <w:t>求）对应的中小企业划分标准所属行业</w:t>
      </w:r>
      <w:bookmarkEnd w:id="13"/>
      <w:r>
        <w:rPr>
          <w:rFonts w:hint="eastAsia"/>
        </w:rPr>
        <w:t>为</w:t>
      </w:r>
      <w:r>
        <w:rPr>
          <w:rFonts w:hint="eastAsia" w:asciiTheme="minorEastAsia" w:hAnsiTheme="minorEastAsia" w:eastAsiaTheme="minorEastAsia" w:cstheme="minorEastAsia"/>
          <w:color w:val="FF0000"/>
          <w:sz w:val="21"/>
          <w:szCs w:val="21"/>
          <w:u w:val="single"/>
        </w:rPr>
        <w:t xml:space="preserve"> 租赁和商务服务业 </w:t>
      </w:r>
      <w:r>
        <w:rPr>
          <w:rFonts w:hint="eastAsia" w:asciiTheme="minorEastAsia" w:hAnsiTheme="minorEastAsia" w:eastAsiaTheme="minorEastAsia" w:cstheme="minorEastAsia"/>
          <w:sz w:val="21"/>
          <w:szCs w:val="21"/>
        </w:rPr>
        <w:t>。</w:t>
      </w:r>
      <w:bookmarkEnd w:id="12"/>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w:t>
      </w:r>
      <w:r>
        <w:rPr>
          <w:rFonts w:hint="eastAsia" w:asciiTheme="minorEastAsia" w:hAnsiTheme="minorEastAsia" w:cstheme="minorEastAsia"/>
          <w:sz w:val="21"/>
          <w:szCs w:val="21"/>
          <w:lang w:val="en-US" w:eastAsia="zh-CN"/>
        </w:rPr>
        <w:t>四</w:t>
      </w:r>
      <w:r>
        <w:rPr>
          <w:rFonts w:hint="eastAsia" w:asciiTheme="minorEastAsia" w:hAnsiTheme="minorEastAsia" w:eastAsiaTheme="minorEastAsia" w:cstheme="minorEastAsia"/>
          <w:sz w:val="21"/>
          <w:szCs w:val="21"/>
        </w:rPr>
        <w:t>章“投标文件组成要求及格式”中“中小企业声明函、残疾人福利性单位声明函及监狱企业声明函”章节提供的格式）。</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）享受价格扣除获得政府采购合同的，小微企业不得将合同分包给大中型企业。</w:t>
      </w:r>
    </w:p>
    <w:p>
      <w:pPr>
        <w:tabs>
          <w:tab w:val="left" w:pos="720"/>
        </w:tabs>
        <w:ind w:firstLine="420" w:firstLineChars="200"/>
        <w:rPr>
          <w:rFonts w:ascii="宋体" w:hAnsi="宋体"/>
          <w:bCs/>
        </w:rPr>
      </w:pPr>
    </w:p>
    <w:p>
      <w:pPr>
        <w:spacing w:line="360" w:lineRule="auto"/>
        <w:rPr>
          <w:rFonts w:ascii="宋体" w:hAnsi="宋体" w:eastAsia="宋体" w:cs="宋体"/>
          <w:b/>
          <w:bCs/>
          <w:szCs w:val="24"/>
        </w:rPr>
      </w:pPr>
      <w:r>
        <w:rPr>
          <w:rFonts w:hint="eastAsia" w:ascii="宋体" w:hAnsi="宋体" w:eastAsia="宋体" w:cs="宋体"/>
          <w:b/>
          <w:bCs/>
          <w:szCs w:val="24"/>
        </w:rPr>
        <w:t>2.关于政府采购订单融资政策</w:t>
      </w:r>
    </w:p>
    <w:p>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ascii="宋体" w:hAnsi="宋体" w:eastAsia="宋体" w:cs="Times New Roman"/>
          <w:b/>
          <w:szCs w:val="24"/>
        </w:rPr>
      </w:pPr>
      <w:r>
        <w:rPr>
          <w:rFonts w:hint="eastAsia"/>
          <w:color w:val="FF0000"/>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tabs>
          <w:tab w:val="left" w:pos="720"/>
        </w:tabs>
        <w:rPr>
          <w:rFonts w:ascii="黑体" w:hAnsi="宋体" w:eastAsia="黑体"/>
          <w:sz w:val="24"/>
        </w:rPr>
      </w:pPr>
    </w:p>
    <w:p>
      <w:pPr>
        <w:tabs>
          <w:tab w:val="left" w:pos="720"/>
        </w:tabs>
        <w:rPr>
          <w:rFonts w:hint="eastAsia" w:ascii="宋体" w:hAnsi="宋体"/>
          <w:b/>
          <w:bCs/>
          <w:color w:val="FF0000"/>
          <w:lang w:eastAsia="zh-CN"/>
        </w:rPr>
      </w:pPr>
      <w:r>
        <w:rPr>
          <w:rFonts w:hint="eastAsia" w:ascii="宋体" w:hAnsi="宋体"/>
          <w:b/>
          <w:bCs/>
          <w:color w:val="FF0000"/>
        </w:rPr>
        <w:t>3、</w:t>
      </w:r>
      <w:r>
        <w:rPr>
          <w:rFonts w:ascii="宋体" w:hAnsi="宋体"/>
          <w:b/>
          <w:bCs/>
          <w:color w:val="FF0000"/>
        </w:rPr>
        <w:t>本项目为代理服务项目，将向中标</w:t>
      </w:r>
      <w:r>
        <w:rPr>
          <w:rFonts w:hint="eastAsia" w:ascii="宋体" w:hAnsi="宋体"/>
          <w:b/>
          <w:bCs/>
          <w:color w:val="FF0000"/>
        </w:rPr>
        <w:t>（成交）</w:t>
      </w:r>
      <w:r>
        <w:rPr>
          <w:rFonts w:ascii="宋体" w:hAnsi="宋体"/>
          <w:b/>
          <w:bCs/>
          <w:color w:val="FF0000"/>
        </w:rPr>
        <w:t>供应商收取代理服务费</w:t>
      </w:r>
      <w:r>
        <w:rPr>
          <w:rFonts w:hint="eastAsia" w:ascii="宋体" w:hAnsi="宋体"/>
          <w:b/>
          <w:bCs/>
          <w:color w:val="FF0000"/>
          <w:lang w:eastAsia="zh-CN"/>
        </w:rPr>
        <w:t>。</w:t>
      </w:r>
    </w:p>
    <w:p>
      <w:pPr>
        <w:widowControl/>
        <w:ind w:firstLine="420"/>
        <w:jc w:val="left"/>
        <w:rPr>
          <w:rFonts w:hint="eastAsia" w:ascii="宋体" w:hAnsi="宋体"/>
          <w:color w:val="FF0000"/>
          <w:szCs w:val="21"/>
        </w:rPr>
      </w:pPr>
      <w:r>
        <w:rPr>
          <w:rFonts w:hint="eastAsia" w:ascii="宋体" w:hAnsi="宋体"/>
          <w:color w:val="FF0000"/>
          <w:szCs w:val="21"/>
        </w:rPr>
        <w:t>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供应商在领取《中标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通知书》之前须向深圳公共资源交易中心（深圳交易集团有限公司</w:t>
      </w:r>
      <w:r>
        <w:rPr>
          <w:rFonts w:hint="eastAsia" w:ascii="宋体" w:hAnsi="宋体"/>
          <w:color w:val="FF0000"/>
          <w:szCs w:val="21"/>
          <w:lang w:val="en-US" w:eastAsia="zh-CN"/>
        </w:rPr>
        <w:t>宝安</w:t>
      </w:r>
      <w:r>
        <w:rPr>
          <w:rFonts w:hint="eastAsia" w:ascii="宋体" w:hAnsi="宋体"/>
          <w:color w:val="FF0000"/>
          <w:szCs w:val="21"/>
        </w:rPr>
        <w:t>分公司）交纳代理服务费。若因中标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供应商交纳代理服务费所产生的时间影响到合同签订的，由中标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供应商自行承担责任。代理服务费标准参照</w:t>
      </w:r>
      <w:r>
        <w:rPr>
          <w:rFonts w:hint="eastAsia" w:ascii="宋体" w:hAnsi="宋体"/>
          <w:color w:val="FF0000"/>
          <w:szCs w:val="21"/>
          <w:lang w:val="en-US" w:eastAsia="zh-CN"/>
        </w:rPr>
        <w:t>下列</w:t>
      </w:r>
      <w:r>
        <w:rPr>
          <w:rFonts w:hint="eastAsia" w:ascii="宋体" w:hAnsi="宋体"/>
          <w:color w:val="FF0000"/>
          <w:szCs w:val="21"/>
        </w:rPr>
        <w:t>标准收取。本项目类型为</w:t>
      </w:r>
      <w:r>
        <w:rPr>
          <w:rFonts w:hint="eastAsia" w:ascii="宋体" w:hAnsi="宋体"/>
          <w:b/>
          <w:bCs/>
          <w:color w:val="FF0000"/>
          <w:szCs w:val="21"/>
          <w:u w:val="single"/>
          <w:lang w:val="en-US" w:eastAsia="zh-CN"/>
        </w:rPr>
        <w:t>服务</w:t>
      </w:r>
      <w:r>
        <w:rPr>
          <w:rFonts w:hint="eastAsia" w:ascii="宋体" w:hAnsi="宋体"/>
          <w:b/>
          <w:bCs/>
          <w:color w:val="FF0000"/>
          <w:szCs w:val="21"/>
          <w:u w:val="single"/>
        </w:rPr>
        <w:t>采购</w:t>
      </w:r>
      <w:r>
        <w:rPr>
          <w:rFonts w:hint="eastAsia" w:ascii="宋体" w:hAnsi="宋体"/>
          <w:color w:val="FF0000"/>
          <w:szCs w:val="21"/>
        </w:rPr>
        <w:t>：</w:t>
      </w:r>
    </w:p>
    <w:p>
      <w:pPr>
        <w:widowControl/>
        <w:ind w:firstLine="420"/>
        <w:jc w:val="left"/>
        <w:rPr>
          <w:rFonts w:hint="eastAsia" w:ascii="宋体" w:hAnsi="宋体"/>
          <w:color w:val="FF0000"/>
          <w:szCs w:val="21"/>
        </w:rPr>
      </w:pPr>
      <w:r>
        <w:rPr>
          <w:rFonts w:hint="eastAsia" w:ascii="宋体" w:hAnsi="宋体"/>
          <w:color w:val="FF0000"/>
          <w:szCs w:val="21"/>
        </w:rPr>
        <w:t>（</w:t>
      </w:r>
      <w:r>
        <w:rPr>
          <w:rFonts w:hint="eastAsia" w:ascii="宋体" w:hAnsi="宋体"/>
          <w:color w:val="FF0000"/>
          <w:szCs w:val="21"/>
          <w:lang w:val="en-US" w:eastAsia="zh-CN"/>
        </w:rPr>
        <w:t>1</w:t>
      </w:r>
      <w:r>
        <w:rPr>
          <w:rFonts w:hint="eastAsia" w:ascii="宋体" w:hAnsi="宋体"/>
          <w:color w:val="FF0000"/>
          <w:szCs w:val="21"/>
        </w:rPr>
        <w:t>）代理服务费以《中标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通知书》确定的中标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金额作为计算基数，按差额定率累进法计算。</w:t>
      </w:r>
    </w:p>
    <w:p>
      <w:pPr>
        <w:widowControl/>
        <w:ind w:firstLine="420"/>
        <w:jc w:val="left"/>
        <w:rPr>
          <w:rFonts w:hint="eastAsia" w:ascii="宋体" w:hAnsi="宋体"/>
          <w:color w:val="FF0000"/>
          <w:szCs w:val="21"/>
        </w:rPr>
      </w:pPr>
      <w:r>
        <w:rPr>
          <w:rFonts w:hint="eastAsia" w:ascii="宋体" w:hAnsi="宋体"/>
          <w:color w:val="FF0000"/>
          <w:szCs w:val="21"/>
        </w:rPr>
        <w:t>（</w:t>
      </w:r>
      <w:r>
        <w:rPr>
          <w:rFonts w:hint="eastAsia" w:ascii="宋体" w:hAnsi="宋体"/>
          <w:color w:val="FF0000"/>
          <w:szCs w:val="21"/>
          <w:lang w:val="en-US" w:eastAsia="zh-CN"/>
        </w:rPr>
        <w:t>2</w:t>
      </w:r>
      <w:r>
        <w:rPr>
          <w:rFonts w:hint="eastAsia" w:ascii="宋体" w:hAnsi="宋体"/>
          <w:color w:val="FF0000"/>
          <w:szCs w:val="21"/>
        </w:rPr>
        <w:t>）中标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金额的各部分费率如下表：</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金额</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货物采购</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服务采购</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100万元以下</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100万元（含）-500万元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1.1%</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500万元（含）-1000万元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0.45%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1000万元（含）-5000万元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0.25%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5000万元（含）-1亿元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0.25%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0.1%</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1亿元（含）-5亿元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5亿元（含）-10亿元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0.035%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0.035%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10亿元（含）-50亿元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50亿元（含）-100亿元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0.006%</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0.006%</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100亿元（含）以上</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0.004%</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0.004%</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0.004%</w:t>
            </w:r>
          </w:p>
        </w:tc>
      </w:tr>
    </w:tbl>
    <w:p>
      <w:pPr>
        <w:widowControl/>
        <w:ind w:firstLine="420"/>
        <w:jc w:val="left"/>
        <w:rPr>
          <w:rFonts w:hint="eastAsia" w:ascii="宋体" w:hAnsi="宋体"/>
          <w:color w:val="FF0000"/>
          <w:szCs w:val="21"/>
        </w:rPr>
      </w:pPr>
      <w:r>
        <w:rPr>
          <w:rFonts w:hint="eastAsia" w:ascii="宋体" w:hAnsi="宋体"/>
          <w:color w:val="FF0000"/>
          <w:szCs w:val="21"/>
        </w:rPr>
        <w:t xml:space="preserve">备注：1.每宗交易代理服务费不低于 </w:t>
      </w:r>
      <w:r>
        <w:rPr>
          <w:rFonts w:hint="eastAsia" w:ascii="宋体" w:hAnsi="宋体"/>
          <w:color w:val="FF0000"/>
          <w:szCs w:val="21"/>
          <w:lang w:val="en-US" w:eastAsia="zh-CN"/>
        </w:rPr>
        <w:t>5</w:t>
      </w:r>
      <w:r>
        <w:rPr>
          <w:rFonts w:hint="eastAsia" w:ascii="宋体" w:hAnsi="宋体"/>
          <w:color w:val="FF0000"/>
          <w:szCs w:val="21"/>
        </w:rPr>
        <w:t>000 元；</w:t>
      </w:r>
    </w:p>
    <w:p>
      <w:pPr>
        <w:widowControl/>
        <w:ind w:firstLine="420"/>
        <w:jc w:val="left"/>
        <w:rPr>
          <w:rFonts w:hint="eastAsia" w:ascii="宋体" w:hAnsi="宋体"/>
          <w:color w:val="FF0000"/>
          <w:szCs w:val="21"/>
        </w:rPr>
      </w:pPr>
      <w:r>
        <w:rPr>
          <w:rFonts w:hint="eastAsia" w:ascii="宋体" w:hAnsi="宋体"/>
          <w:color w:val="FF0000"/>
          <w:szCs w:val="21"/>
        </w:rPr>
        <w:t>2.对于报总价的采购类项目，中标（成交）价为中标（成交）金额；对于报单价或折扣或费率的采购类项目，中标（成交）价为预算上限金额或经委托方与代理方确定的支付上限金额</w:t>
      </w:r>
      <w:r>
        <w:rPr>
          <w:rFonts w:hint="eastAsia" w:ascii="宋体" w:hAnsi="宋体"/>
          <w:color w:val="FF0000"/>
          <w:szCs w:val="21"/>
          <w:lang w:eastAsia="zh-CN"/>
        </w:rPr>
        <w:t>。</w:t>
      </w:r>
    </w:p>
    <w:p>
      <w:pPr>
        <w:widowControl/>
        <w:ind w:firstLine="420"/>
        <w:jc w:val="left"/>
        <w:rPr>
          <w:rFonts w:hint="eastAsia" w:ascii="宋体" w:hAnsi="宋体"/>
          <w:color w:val="FF0000"/>
          <w:szCs w:val="21"/>
        </w:rPr>
      </w:pPr>
      <w:r>
        <w:rPr>
          <w:rFonts w:hint="eastAsia" w:ascii="宋体" w:hAnsi="宋体"/>
          <w:color w:val="FF0000"/>
          <w:szCs w:val="21"/>
        </w:rPr>
        <w:t>如某货物采购项目，中标（成交）金额为600万元，总共交纳的代理服务费的具体计算过程如下：</w:t>
      </w:r>
    </w:p>
    <w:p>
      <w:pPr>
        <w:widowControl/>
        <w:ind w:firstLine="420"/>
        <w:jc w:val="left"/>
        <w:rPr>
          <w:rFonts w:hint="eastAsia" w:ascii="宋体" w:hAnsi="宋体"/>
          <w:color w:val="FF0000"/>
          <w:szCs w:val="21"/>
        </w:rPr>
      </w:pPr>
      <w:r>
        <w:rPr>
          <w:rFonts w:hint="eastAsia" w:ascii="宋体" w:hAnsi="宋体"/>
          <w:color w:val="FF0000"/>
          <w:szCs w:val="21"/>
        </w:rPr>
        <w:t>标准代理服务费＝（100万以下部分的代理服务费）+（100万～500万部分的代理服务费）+（500万～600万部分的代理服务费）＝100万元×1.5%+（500-100）万元×1.1%+（600-500）万元×0.8%=1.5万元+4.4万元+0.8万元＝6.7万元</w:t>
      </w:r>
    </w:p>
    <w:p>
      <w:pPr>
        <w:widowControl/>
        <w:ind w:firstLine="420"/>
        <w:jc w:val="left"/>
        <w:rPr>
          <w:rFonts w:hint="eastAsia" w:ascii="宋体" w:hAnsi="宋体"/>
          <w:color w:val="FF0000"/>
          <w:szCs w:val="21"/>
        </w:rPr>
      </w:pPr>
      <w:r>
        <w:rPr>
          <w:rFonts w:hint="eastAsia" w:ascii="宋体" w:hAnsi="宋体"/>
          <w:color w:val="FF0000"/>
          <w:szCs w:val="21"/>
        </w:rPr>
        <w:t>（</w:t>
      </w:r>
      <w:r>
        <w:rPr>
          <w:rFonts w:hint="eastAsia" w:ascii="宋体" w:hAnsi="宋体"/>
          <w:color w:val="FF0000"/>
          <w:szCs w:val="21"/>
          <w:lang w:val="en-US" w:eastAsia="zh-CN"/>
        </w:rPr>
        <w:t>3</w:t>
      </w:r>
      <w:r>
        <w:rPr>
          <w:rFonts w:hint="eastAsia" w:ascii="宋体" w:hAnsi="宋体"/>
          <w:color w:val="FF0000"/>
          <w:szCs w:val="21"/>
        </w:rPr>
        <w:t>）中标（成交）供应商成交后，必须按规定采用银行对公转账方式向深圳交易集团有限公司直接交纳代理服务费，交纳信息及要求按照缴款（付款）通知书执行。</w:t>
      </w:r>
    </w:p>
    <w:p>
      <w:pPr>
        <w:pStyle w:val="2"/>
        <w:rPr>
          <w:rFonts w:hint="eastAsia" w:ascii="宋体" w:hAnsi="宋体"/>
          <w:color w:val="FF0000"/>
          <w:szCs w:val="21"/>
        </w:rPr>
      </w:pPr>
    </w:p>
    <w:p>
      <w:pPr>
        <w:pStyle w:val="3"/>
        <w:rPr>
          <w:rFonts w:hint="eastAsia" w:ascii="宋体" w:hAnsi="宋体"/>
          <w:color w:val="FF0000"/>
          <w:szCs w:val="21"/>
        </w:rPr>
      </w:pPr>
    </w:p>
    <w:p>
      <w:pPr>
        <w:pStyle w:val="3"/>
        <w:rPr>
          <w:rFonts w:hint="eastAsia" w:ascii="宋体" w:hAnsi="宋体"/>
          <w:color w:val="FF0000"/>
          <w:szCs w:val="21"/>
        </w:rPr>
      </w:pPr>
    </w:p>
    <w:p>
      <w:pP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br w:type="page"/>
      </w:r>
    </w:p>
    <w:p>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第三章 用户需求书</w:t>
      </w:r>
    </w:p>
    <w:p>
      <w:pPr>
        <w:keepNext/>
        <w:keepLines/>
        <w:tabs>
          <w:tab w:val="left" w:pos="1680"/>
        </w:tabs>
        <w:spacing w:before="260" w:afterLines="25"/>
        <w:jc w:val="both"/>
        <w:outlineLvl w:val="2"/>
        <w:rPr>
          <w:rFonts w:ascii="Arial" w:hAnsi="Arial" w:eastAsia="宋体" w:cs="Times New Roman"/>
          <w:b/>
          <w:sz w:val="32"/>
          <w:szCs w:val="32"/>
        </w:rPr>
      </w:pPr>
      <w:r>
        <w:rPr>
          <w:rFonts w:hint="eastAsia" w:ascii="Arial" w:hAnsi="Arial" w:eastAsia="宋体" w:cs="Times New Roman"/>
          <w:b/>
          <w:sz w:val="32"/>
          <w:szCs w:val="32"/>
        </w:rPr>
        <w:t>一、项目基本信息</w:t>
      </w:r>
    </w:p>
    <w:tbl>
      <w:tblPr>
        <w:tblStyle w:val="17"/>
        <w:tblW w:w="8931" w:type="dxa"/>
        <w:jc w:val="center"/>
        <w:tblLayout w:type="fixed"/>
        <w:tblCellMar>
          <w:top w:w="15" w:type="dxa"/>
          <w:left w:w="15" w:type="dxa"/>
          <w:bottom w:w="15" w:type="dxa"/>
          <w:right w:w="15" w:type="dxa"/>
        </w:tblCellMar>
      </w:tblPr>
      <w:tblGrid>
        <w:gridCol w:w="710"/>
        <w:gridCol w:w="2693"/>
        <w:gridCol w:w="2906"/>
        <w:gridCol w:w="2622"/>
      </w:tblGrid>
      <w:tr>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0" w:themeFill="text2" w:themeFillTint="33"/>
            <w:vAlign w:val="center"/>
          </w:tcPr>
          <w:p>
            <w:pPr>
              <w:jc w:val="center"/>
              <w:rPr>
                <w:b w:val="0"/>
                <w:bCs w:val="0"/>
              </w:rPr>
            </w:pPr>
            <w:r>
              <w:rPr>
                <w:rFonts w:hint="eastAsia"/>
                <w:b w:val="0"/>
                <w:bCs w:val="0"/>
              </w:rPr>
              <w:t>序号</w:t>
            </w:r>
          </w:p>
        </w:tc>
        <w:tc>
          <w:tcPr>
            <w:tcW w:w="2693" w:type="dxa"/>
            <w:tcBorders>
              <w:top w:val="single" w:color="000000" w:sz="4" w:space="0"/>
              <w:left w:val="single" w:color="auto" w:sz="4" w:space="0"/>
              <w:bottom w:val="single" w:color="000000" w:sz="4" w:space="0"/>
              <w:right w:val="single" w:color="000000" w:sz="4" w:space="0"/>
            </w:tcBorders>
            <w:shd w:val="clear" w:color="auto" w:fill="C6D9F0" w:themeFill="text2" w:themeFillTint="33"/>
            <w:vAlign w:val="center"/>
          </w:tcPr>
          <w:p>
            <w:pPr>
              <w:jc w:val="center"/>
              <w:rPr>
                <w:rFonts w:hint="default" w:eastAsiaTheme="minorEastAsia"/>
                <w:b w:val="0"/>
                <w:bCs w:val="0"/>
                <w:lang w:val="en-US" w:eastAsia="zh-CN"/>
              </w:rPr>
            </w:pPr>
            <w:r>
              <w:rPr>
                <w:rFonts w:hint="eastAsia"/>
                <w:b w:val="0"/>
                <w:bCs w:val="0"/>
                <w:lang w:val="en-US" w:eastAsia="zh-CN"/>
              </w:rPr>
              <w:t>项目编号</w:t>
            </w:r>
          </w:p>
        </w:tc>
        <w:tc>
          <w:tcPr>
            <w:tcW w:w="2906"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val="0"/>
                <w:bCs w:val="0"/>
              </w:rPr>
            </w:pPr>
            <w:r>
              <w:rPr>
                <w:rFonts w:hint="eastAsia"/>
                <w:b w:val="0"/>
                <w:bCs w:val="0"/>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pPr>
            <w:r>
              <w:rPr>
                <w:rFonts w:hint="eastAsia" w:asciiTheme="minorEastAsia" w:hAnsiTheme="minorEastAsia"/>
                <w:b w:val="0"/>
                <w:bCs w:val="0"/>
                <w:sz w:val="24"/>
                <w:szCs w:val="24"/>
              </w:rPr>
              <w:t>财政预算限额（元）</w:t>
            </w:r>
          </w:p>
        </w:tc>
      </w:tr>
      <w:tr>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pPr>
              <w:jc w:val="center"/>
              <w:rPr>
                <w:rFonts w:asciiTheme="minorEastAsia" w:hAnsiTheme="minorEastAsia"/>
                <w:b w:val="0"/>
                <w:bCs w:val="0"/>
                <w:sz w:val="24"/>
                <w:szCs w:val="24"/>
                <w:highlight w:val="none"/>
              </w:rPr>
            </w:pPr>
            <w:r>
              <w:rPr>
                <w:rFonts w:hint="eastAsia" w:asciiTheme="minorEastAsia" w:hAnsiTheme="minorEastAsia"/>
                <w:b w:val="0"/>
                <w:bCs w:val="0"/>
                <w:sz w:val="24"/>
                <w:szCs w:val="24"/>
                <w:highlight w:val="none"/>
              </w:rPr>
              <w:t>1</w:t>
            </w:r>
          </w:p>
        </w:tc>
        <w:tc>
          <w:tcPr>
            <w:tcW w:w="2693" w:type="dxa"/>
            <w:tcBorders>
              <w:top w:val="single" w:color="000000" w:sz="4" w:space="0"/>
              <w:left w:val="single" w:color="auto" w:sz="4" w:space="0"/>
              <w:bottom w:val="single" w:color="000000" w:sz="4" w:space="0"/>
              <w:right w:val="single" w:color="000000" w:sz="4" w:space="0"/>
            </w:tcBorders>
            <w:vAlign w:val="center"/>
          </w:tcPr>
          <w:p>
            <w:pPr>
              <w:jc w:val="center"/>
              <w:rPr>
                <w:rFonts w:asciiTheme="minorEastAsia" w:hAnsiTheme="minorEastAsia"/>
                <w:b w:val="0"/>
                <w:bCs w:val="0"/>
                <w:sz w:val="24"/>
                <w:szCs w:val="24"/>
                <w:highlight w:val="none"/>
              </w:rPr>
            </w:pPr>
            <w:r>
              <w:rPr>
                <w:rFonts w:hint="eastAsia" w:asciiTheme="minorEastAsia" w:hAnsiTheme="minorEastAsia"/>
                <w:b w:val="0"/>
                <w:bCs w:val="0"/>
                <w:sz w:val="24"/>
                <w:szCs w:val="24"/>
                <w:highlight w:val="none"/>
              </w:rPr>
              <w:t>LHAZXCG-2024-00162</w:t>
            </w:r>
          </w:p>
        </w:tc>
        <w:tc>
          <w:tcPr>
            <w:tcW w:w="2906"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eastAsiaTheme="minorEastAsia"/>
                <w:b w:val="0"/>
                <w:bCs w:val="0"/>
                <w:highlight w:val="none"/>
                <w:lang w:eastAsia="zh-CN"/>
              </w:rPr>
            </w:pPr>
            <w:r>
              <w:rPr>
                <w:rFonts w:hint="eastAsia" w:asciiTheme="minorEastAsia" w:hAnsiTheme="minorEastAsia"/>
                <w:b w:val="0"/>
                <w:bCs w:val="0"/>
                <w:sz w:val="24"/>
                <w:szCs w:val="24"/>
                <w:highlight w:val="none"/>
                <w:lang w:val="en-US" w:eastAsia="zh-CN"/>
              </w:rPr>
              <w:t xml:space="preserve">龙华区青少年宫2025年剧场剧目 </w:t>
            </w:r>
          </w:p>
        </w:tc>
        <w:tc>
          <w:tcPr>
            <w:tcW w:w="262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heme="minorEastAsia" w:hAnsiTheme="minorEastAsia" w:eastAsiaTheme="minorEastAsia"/>
                <w:b w:val="0"/>
                <w:bCs w:val="0"/>
                <w:sz w:val="24"/>
                <w:szCs w:val="24"/>
                <w:highlight w:val="none"/>
                <w:lang w:val="en-US" w:eastAsia="zh-CN"/>
              </w:rPr>
            </w:pPr>
            <w:r>
              <w:rPr>
                <w:rFonts w:hint="default" w:asciiTheme="minorEastAsia" w:hAnsiTheme="minorEastAsia" w:eastAsiaTheme="minorEastAsia"/>
                <w:b w:val="0"/>
                <w:bCs w:val="0"/>
                <w:sz w:val="24"/>
                <w:szCs w:val="24"/>
                <w:highlight w:val="none"/>
                <w:lang w:val="en-US" w:eastAsia="zh-CN"/>
              </w:rPr>
              <w:t>650</w:t>
            </w:r>
            <w:r>
              <w:rPr>
                <w:rFonts w:hint="eastAsia" w:asciiTheme="minorEastAsia" w:hAnsiTheme="minorEastAsia"/>
                <w:b w:val="0"/>
                <w:bCs w:val="0"/>
                <w:sz w:val="24"/>
                <w:szCs w:val="24"/>
                <w:highlight w:val="none"/>
                <w:lang w:val="en-US" w:eastAsia="zh-CN"/>
              </w:rPr>
              <w:t>,</w:t>
            </w:r>
            <w:r>
              <w:rPr>
                <w:rFonts w:hint="default" w:asciiTheme="minorEastAsia" w:hAnsiTheme="minorEastAsia" w:eastAsiaTheme="minorEastAsia"/>
                <w:b w:val="0"/>
                <w:bCs w:val="0"/>
                <w:sz w:val="24"/>
                <w:szCs w:val="24"/>
                <w:highlight w:val="none"/>
                <w:lang w:val="en-US" w:eastAsia="zh-CN"/>
              </w:rPr>
              <w:t>000</w:t>
            </w:r>
            <w:r>
              <w:rPr>
                <w:rFonts w:hint="eastAsia" w:asciiTheme="minorEastAsia" w:hAnsiTheme="minorEastAsia"/>
                <w:b w:val="0"/>
                <w:bCs w:val="0"/>
                <w:sz w:val="24"/>
                <w:szCs w:val="24"/>
                <w:highlight w:val="none"/>
                <w:lang w:val="en-US" w:eastAsia="zh-CN"/>
              </w:rPr>
              <w:t>.00</w:t>
            </w:r>
          </w:p>
        </w:tc>
      </w:tr>
    </w:tbl>
    <w:p>
      <w:pPr>
        <w:keepNext/>
        <w:keepLines/>
        <w:pageBreakBefore w:val="0"/>
        <w:tabs>
          <w:tab w:val="left" w:pos="1680"/>
        </w:tabs>
        <w:kinsoku/>
        <w:wordWrap/>
        <w:overflowPunct/>
        <w:topLinePunct w:val="0"/>
        <w:autoSpaceDE/>
        <w:autoSpaceDN/>
        <w:bidi w:val="0"/>
        <w:adjustRightInd/>
        <w:snapToGrid/>
        <w:spacing w:before="260" w:afterLines="25" w:line="540" w:lineRule="exact"/>
        <w:jc w:val="both"/>
        <w:textAlignment w:val="auto"/>
        <w:outlineLvl w:val="2"/>
        <w:rPr>
          <w:rFonts w:hint="default" w:ascii="Arial" w:hAnsi="Arial" w:eastAsia="宋体" w:cs="Times New Roman"/>
          <w:b/>
          <w:sz w:val="32"/>
          <w:szCs w:val="32"/>
          <w:lang w:val="en-US" w:eastAsia="zh-CN"/>
        </w:rPr>
      </w:pPr>
      <w:r>
        <w:rPr>
          <w:rFonts w:hint="eastAsia" w:ascii="Arial" w:hAnsi="Arial" w:eastAsia="宋体" w:cs="Times New Roman"/>
          <w:b/>
          <w:sz w:val="32"/>
          <w:szCs w:val="32"/>
        </w:rPr>
        <w:t>二、服务</w:t>
      </w:r>
      <w:r>
        <w:rPr>
          <w:rFonts w:hint="eastAsia" w:ascii="Arial" w:hAnsi="Arial" w:eastAsia="宋体" w:cs="Times New Roman"/>
          <w:b/>
          <w:sz w:val="32"/>
          <w:szCs w:val="32"/>
          <w:lang w:val="en-US" w:eastAsia="zh-CN"/>
        </w:rPr>
        <w:t>概况及目的</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4"/>
          <w:lang w:val="en-US" w:eastAsia="zh-CN"/>
        </w:rPr>
      </w:pPr>
      <w:bookmarkStart w:id="14" w:name="_Toc128884461"/>
      <w:r>
        <w:rPr>
          <w:rFonts w:hint="eastAsia" w:asciiTheme="minorEastAsia" w:hAnsiTheme="minorEastAsia" w:eastAsiaTheme="minorEastAsia" w:cstheme="minorEastAsia"/>
          <w:sz w:val="24"/>
          <w:szCs w:val="24"/>
          <w:lang w:val="en-US" w:eastAsia="zh-CN"/>
        </w:rPr>
        <w:t>龙华区青少年宫（以下简称“青少年宫”）位于龙华大道与清泉路交汇处，总建筑面积约2.26万平方米。其中青少年宫剧场总建筑面积约4000平方米，占地面积约1877平方米，共设置525个常规座位，另设4个残疾人专用位。配备专业的舞台机械、灯光、扩声系统等硬件设施，具备演出、播映、承办赛事等服务功能，可承载各类大中小型比赛或公益展演活动，为青少年提供专业观演平台，于2023年3月18日正式启用。</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2023年3月18日至9月底为试运营阶段，2023年10月开始正式运营。运营期间，青少年宫紧紧围绕举办公益演出、提供场地支持、盘活场地资源等方面开展工作，并通过完善硬件设施、制定管理办法等措施进一步优化剧场服务质量，提升市民观演体验。</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lang w:val="en-US" w:eastAsia="zh-CN"/>
        </w:rPr>
        <w:t>本项目致力于引入具有创新性与教育意义的魔术剧、音乐剧及亲子剧，以满足青少年儿童的精神文化需求。通过与卓越的剧目制作团队通力合作，严格把控剧目质量，力求达到较高水准。同时，构建长期稳定的剧目供应渠道，有力保障演出的持续性与稳定性。预期成果显著，青少年儿童在观赏剧目的进程中，其创造力将得以大幅提升，能展现出更多别具一格的思维和构想，情感认知亦会更为丰富，从而更好地理解与表达自身及他人的情感，且语言表达能力增强，在沟通和表述上更为精准、流畅。</w:t>
      </w:r>
    </w:p>
    <w:p>
      <w:pPr>
        <w:keepNext/>
        <w:keepLines/>
        <w:pageBreakBefore w:val="0"/>
        <w:tabs>
          <w:tab w:val="left" w:pos="1680"/>
        </w:tabs>
        <w:kinsoku/>
        <w:wordWrap/>
        <w:overflowPunct/>
        <w:topLinePunct w:val="0"/>
        <w:autoSpaceDE/>
        <w:autoSpaceDN/>
        <w:bidi w:val="0"/>
        <w:adjustRightInd/>
        <w:snapToGrid/>
        <w:spacing w:before="260" w:afterLines="25" w:line="540" w:lineRule="exact"/>
        <w:jc w:val="both"/>
        <w:textAlignment w:val="auto"/>
        <w:outlineLvl w:val="2"/>
        <w:rPr>
          <w:rFonts w:hint="eastAsia" w:ascii="Arial" w:hAnsi="Arial" w:eastAsia="宋体" w:cs="Times New Roman"/>
          <w:b/>
          <w:sz w:val="32"/>
          <w:szCs w:val="32"/>
        </w:rPr>
      </w:pPr>
      <w:r>
        <w:rPr>
          <w:rFonts w:hint="eastAsia" w:ascii="Arial" w:hAnsi="Arial" w:eastAsia="宋体" w:cs="Times New Roman"/>
          <w:b/>
          <w:sz w:val="32"/>
          <w:szCs w:val="32"/>
        </w:rPr>
        <w:t>三、实质性条款</w:t>
      </w:r>
    </w:p>
    <w:tbl>
      <w:tblPr>
        <w:tblStyle w:val="17"/>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5" w:type="dxa"/>
            <w:vAlign w:val="center"/>
          </w:tcPr>
          <w:p>
            <w:pPr>
              <w:pageBreakBefore w:val="0"/>
              <w:kinsoku/>
              <w:wordWrap/>
              <w:overflowPunct/>
              <w:topLinePunct w:val="0"/>
              <w:autoSpaceDE/>
              <w:autoSpaceDN/>
              <w:bidi w:val="0"/>
              <w:adjustRightInd/>
              <w:snapToGrid/>
              <w:spacing w:line="540" w:lineRule="exact"/>
              <w:textAlignment w:val="auto"/>
            </w:pPr>
            <w:r>
              <w:rPr>
                <w:rFonts w:hint="eastAsia"/>
              </w:rPr>
              <w:t>序号</w:t>
            </w:r>
          </w:p>
        </w:tc>
        <w:tc>
          <w:tcPr>
            <w:tcW w:w="7483" w:type="dxa"/>
            <w:vAlign w:val="center"/>
          </w:tcPr>
          <w:p>
            <w:pPr>
              <w:pageBreakBefore w:val="0"/>
              <w:kinsoku/>
              <w:wordWrap/>
              <w:overflowPunct/>
              <w:topLinePunct w:val="0"/>
              <w:autoSpaceDE/>
              <w:autoSpaceDN/>
              <w:bidi w:val="0"/>
              <w:adjustRightInd/>
              <w:snapToGrid/>
              <w:spacing w:line="540" w:lineRule="exact"/>
              <w:jc w:val="center"/>
              <w:textAlignment w:val="auto"/>
            </w:pPr>
            <w:r>
              <w:rPr>
                <w:rFonts w:hint="eastAsia" w:asciiTheme="minorEastAsia" w:hAnsiTheme="minorEastAsia" w:eastAsiaTheme="minorEastAsia" w:cstheme="minorEastAsia"/>
                <w:sz w:val="24"/>
                <w:szCs w:val="24"/>
                <w:lang w:val="en-US" w:eastAsia="zh-CN"/>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pPr>
              <w:pageBreakBefore w:val="0"/>
              <w:kinsoku/>
              <w:wordWrap/>
              <w:overflowPunct/>
              <w:topLinePunct w:val="0"/>
              <w:autoSpaceDE/>
              <w:autoSpaceDN/>
              <w:bidi w:val="0"/>
              <w:adjustRightInd/>
              <w:snapToGrid/>
              <w:spacing w:line="540" w:lineRule="exact"/>
              <w:jc w:val="center"/>
              <w:textAlignment w:val="auto"/>
            </w:pPr>
            <w:r>
              <w:rPr>
                <w:rFonts w:hint="eastAsia"/>
              </w:rPr>
              <w:t>1</w:t>
            </w:r>
          </w:p>
        </w:tc>
        <w:tc>
          <w:tcPr>
            <w:tcW w:w="7483" w:type="dxa"/>
          </w:tcPr>
          <w:p>
            <w:pPr>
              <w:pageBreakBefore w:val="0"/>
              <w:kinsoku/>
              <w:wordWrap/>
              <w:overflowPunct/>
              <w:topLinePunct w:val="0"/>
              <w:autoSpaceDE/>
              <w:autoSpaceDN/>
              <w:bidi w:val="0"/>
              <w:adjustRightInd/>
              <w:snapToGrid/>
              <w:spacing w:line="540" w:lineRule="exact"/>
              <w:jc w:val="center"/>
              <w:textAlignment w:val="auto"/>
              <w:rPr>
                <w:rFonts w:hint="eastAsia" w:eastAsiaTheme="minorEastAsia"/>
                <w:lang w:eastAsia="zh-CN"/>
              </w:rPr>
            </w:pPr>
            <w:r>
              <w:rPr>
                <w:rFonts w:hint="eastAsia" w:ascii="宋体" w:hAnsi="宋体" w:eastAsia="宋体" w:cs="宋体"/>
                <w:b/>
                <w:color w:val="auto"/>
                <w:highlight w:val="none"/>
              </w:rPr>
              <w:t>本项目第</w:t>
            </w:r>
            <w:r>
              <w:rPr>
                <w:rFonts w:hint="eastAsia" w:ascii="宋体" w:hAnsi="宋体" w:eastAsia="宋体" w:cs="宋体"/>
                <w:b/>
                <w:color w:val="auto"/>
                <w:highlight w:val="none"/>
                <w:lang w:eastAsia="zh-CN"/>
              </w:rPr>
              <w:t>三章用户需求书</w:t>
            </w:r>
            <w:r>
              <w:rPr>
                <w:rFonts w:hint="eastAsia" w:ascii="宋体" w:hAnsi="宋体" w:eastAsia="宋体" w:cs="宋体"/>
                <w:b/>
                <w:color w:val="auto"/>
                <w:highlight w:val="none"/>
              </w:rPr>
              <w:t>全部内容</w:t>
            </w:r>
          </w:p>
        </w:tc>
      </w:tr>
      <w:bookmarkEnd w:id="14"/>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rPr>
      </w:pPr>
      <w:r>
        <w:rPr>
          <w:rFonts w:hint="eastAsia"/>
          <w:b/>
          <w:color w:val="FF0000"/>
        </w:rPr>
        <w:t>注</w:t>
      </w:r>
      <w:r>
        <w:rPr>
          <w:rFonts w:hint="eastAsia"/>
        </w:rPr>
        <w:t>：</w:t>
      </w:r>
      <w:r>
        <w:rPr>
          <w:rFonts w:hint="eastAsia"/>
          <w:b/>
          <w:color w:val="FF0000"/>
        </w:rPr>
        <w:t>上表所列内容为不可负偏离条款，负偏离将视为未实质性满足招标文件要求</w:t>
      </w:r>
      <w:r>
        <w:rPr>
          <w:rFonts w:hint="eastAsia"/>
          <w:b/>
          <w:color w:val="FF0000"/>
          <w:lang w:eastAsia="zh-CN"/>
        </w:rPr>
        <w:t>，</w:t>
      </w:r>
      <w:r>
        <w:rPr>
          <w:rFonts w:hint="eastAsia"/>
          <w:b/>
          <w:color w:val="FF0000"/>
        </w:rPr>
        <w:t>作投标无效处理。投标人是否满足</w:t>
      </w:r>
      <w:r>
        <w:rPr>
          <w:rFonts w:hint="eastAsia"/>
          <w:b/>
          <w:color w:val="FF0000"/>
          <w:lang w:val="en-US" w:eastAsia="zh-CN"/>
        </w:rPr>
        <w:t>以上实质性</w:t>
      </w:r>
      <w:r>
        <w:rPr>
          <w:rFonts w:hint="eastAsia"/>
          <w:b/>
          <w:color w:val="FF0000"/>
        </w:rPr>
        <w:t>条款要求，</w:t>
      </w:r>
      <w:r>
        <w:rPr>
          <w:rFonts w:hint="eastAsia"/>
          <w:b/>
          <w:color w:val="FF0000"/>
          <w:lang w:val="en-US" w:eastAsia="zh-CN"/>
        </w:rPr>
        <w:t>以</w:t>
      </w:r>
      <w:r>
        <w:rPr>
          <w:rFonts w:hint="eastAsia"/>
          <w:b/>
          <w:color w:val="FF0000"/>
          <w:lang w:eastAsia="zh-CN"/>
        </w:rPr>
        <w:t>《</w:t>
      </w:r>
      <w:r>
        <w:rPr>
          <w:rFonts w:hint="eastAsia"/>
          <w:b/>
          <w:color w:val="FF0000"/>
        </w:rPr>
        <w:t>实质性条款响应情况表</w:t>
      </w:r>
      <w:r>
        <w:rPr>
          <w:rFonts w:hint="eastAsia"/>
          <w:b/>
          <w:color w:val="FF0000"/>
          <w:lang w:eastAsia="zh-CN"/>
        </w:rPr>
        <w:t>》</w:t>
      </w:r>
      <w:r>
        <w:rPr>
          <w:rFonts w:hint="eastAsia"/>
          <w:b/>
          <w:color w:val="FF0000"/>
          <w:lang w:val="en-US" w:eastAsia="zh-CN"/>
        </w:rPr>
        <w:t>响应为准。</w:t>
      </w:r>
      <w:r>
        <w:rPr>
          <w:rFonts w:hint="eastAsia"/>
          <w:b/>
          <w:color w:val="FF0000"/>
        </w:rPr>
        <w:t>如投标人中标后被发现不能满足</w:t>
      </w:r>
      <w:r>
        <w:rPr>
          <w:rFonts w:hint="eastAsia"/>
          <w:b/>
          <w:color w:val="FF0000"/>
          <w:lang w:val="en-US" w:eastAsia="zh-CN"/>
        </w:rPr>
        <w:t>以上实质性</w:t>
      </w:r>
      <w:r>
        <w:rPr>
          <w:rFonts w:hint="eastAsia"/>
          <w:b/>
          <w:color w:val="FF0000"/>
        </w:rPr>
        <w:t>条款要求的，采购单位有权拒绝签订合同，一切后果由投标人承担。</w:t>
      </w:r>
    </w:p>
    <w:p>
      <w:pPr>
        <w:keepNext/>
        <w:keepLines/>
        <w:pageBreakBefore w:val="0"/>
        <w:tabs>
          <w:tab w:val="left" w:pos="1680"/>
        </w:tabs>
        <w:kinsoku/>
        <w:wordWrap/>
        <w:overflowPunct/>
        <w:topLinePunct w:val="0"/>
        <w:autoSpaceDE/>
        <w:autoSpaceDN/>
        <w:bidi w:val="0"/>
        <w:adjustRightInd/>
        <w:snapToGrid/>
        <w:spacing w:before="260" w:afterLines="25" w:line="540" w:lineRule="exact"/>
        <w:jc w:val="both"/>
        <w:textAlignment w:val="auto"/>
        <w:outlineLvl w:val="2"/>
        <w:rPr>
          <w:rFonts w:hint="eastAsia" w:ascii="Arial" w:hAnsi="Arial" w:eastAsia="宋体" w:cs="Times New Roman"/>
          <w:b/>
          <w:bCs/>
          <w:sz w:val="32"/>
          <w:szCs w:val="32"/>
          <w:lang w:eastAsia="zh-CN"/>
        </w:rPr>
      </w:pPr>
      <w:r>
        <w:rPr>
          <w:rFonts w:hint="eastAsia" w:ascii="Arial" w:hAnsi="Arial" w:eastAsia="宋体" w:cs="Times New Roman"/>
          <w:b/>
          <w:bCs/>
          <w:sz w:val="32"/>
          <w:szCs w:val="32"/>
          <w:lang w:val="en-US" w:eastAsia="zh-CN"/>
        </w:rPr>
        <w:t>四</w:t>
      </w:r>
      <w:r>
        <w:rPr>
          <w:rFonts w:hint="eastAsia" w:ascii="Arial" w:hAnsi="Arial" w:eastAsia="宋体" w:cs="Times New Roman"/>
          <w:b/>
          <w:bCs/>
          <w:sz w:val="32"/>
          <w:szCs w:val="32"/>
        </w:rPr>
        <w:t>、商务和服务条款</w:t>
      </w:r>
      <w:r>
        <w:rPr>
          <w:rFonts w:hint="eastAsia" w:ascii="Arial" w:hAnsi="Arial" w:eastAsia="宋体" w:cs="Times New Roman"/>
          <w:b/>
          <w:bCs/>
          <w:sz w:val="32"/>
          <w:szCs w:val="32"/>
          <w:lang w:val="en-US" w:eastAsia="zh-CN"/>
        </w:rPr>
        <w:t>要求</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剧目选择</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b/>
          <w:bCs/>
          <w:sz w:val="21"/>
          <w:szCs w:val="21"/>
          <w:lang w:val="en-US" w:eastAsia="zh-CN"/>
        </w:rPr>
        <w:t>童话剧</w:t>
      </w:r>
      <w:r>
        <w:rPr>
          <w:rFonts w:hint="eastAsia" w:asciiTheme="minorEastAsia" w:hAnsiTheme="minorEastAsia" w:eastAsiaTheme="minorEastAsia" w:cstheme="minorEastAsia"/>
          <w:sz w:val="21"/>
          <w:szCs w:val="21"/>
          <w:lang w:val="en-US" w:eastAsia="zh-CN"/>
        </w:rPr>
        <w:t>： 剧目应蕴含纯真美好与成长启迪，滋养儿童心灵：童话剧要深度挖掘经典童话内核，巧妙融入善良、勇敢、诚信、友爱等质朴却关键的正向品质。借由奇幻故事引领儿童分辨善恶是非，助力他们在成长初期构建稳固价值观，激发内在探索欲与同理心。</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b/>
          <w:bCs/>
          <w:sz w:val="21"/>
          <w:szCs w:val="21"/>
          <w:lang w:val="en-US" w:eastAsia="zh-CN"/>
        </w:rPr>
        <w:t>历史剧</w:t>
      </w:r>
      <w:r>
        <w:rPr>
          <w:rFonts w:hint="eastAsia" w:asciiTheme="minorEastAsia" w:hAnsiTheme="minorEastAsia" w:eastAsiaTheme="minorEastAsia" w:cstheme="minorEastAsia"/>
          <w:sz w:val="21"/>
          <w:szCs w:val="21"/>
          <w:lang w:val="en-US" w:eastAsia="zh-CN"/>
        </w:rPr>
        <w:t>：</w:t>
      </w:r>
      <w:r>
        <w:rPr>
          <w:rFonts w:hint="default" w:asciiTheme="minorEastAsia" w:hAnsiTheme="minorEastAsia" w:eastAsiaTheme="minorEastAsia" w:cstheme="minorEastAsia"/>
          <w:sz w:val="21"/>
          <w:szCs w:val="21"/>
          <w:lang w:val="en-US" w:eastAsia="zh-CN"/>
        </w:rPr>
        <w:t>剧目当承载厚重史实与人文精神，拓宽儿童视野：历史剧肩负传递真实历史片段、传承文化精髓重任。将复杂历史脉络梳理清晰，融入古人智慧、气节与民族精神；借古人励志求学、勤政治国故事，激励孩子汲取知识、胸怀大志，知晓先辈奋斗历程，深化民族自豪感与文化认同感。</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jc w:val="both"/>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b/>
          <w:bCs/>
          <w:sz w:val="21"/>
          <w:szCs w:val="21"/>
          <w:lang w:val="en-US" w:eastAsia="zh-CN"/>
        </w:rPr>
        <w:t>神话剧</w:t>
      </w:r>
      <w:r>
        <w:rPr>
          <w:rFonts w:hint="eastAsia" w:asciiTheme="minorEastAsia" w:hAnsiTheme="minorEastAsia" w:eastAsiaTheme="minorEastAsia" w:cstheme="minorEastAsia"/>
          <w:sz w:val="21"/>
          <w:szCs w:val="21"/>
          <w:lang w:val="en-US" w:eastAsia="zh-CN"/>
        </w:rPr>
        <w:t>：</w:t>
      </w:r>
      <w:r>
        <w:rPr>
          <w:rFonts w:hint="default" w:asciiTheme="minorEastAsia" w:hAnsiTheme="minorEastAsia" w:eastAsiaTheme="minorEastAsia" w:cstheme="minorEastAsia"/>
          <w:sz w:val="21"/>
          <w:szCs w:val="21"/>
          <w:lang w:val="en-US" w:eastAsia="zh-CN"/>
        </w:rPr>
        <w:t>剧目要彰显传统魅力与超凡哲思，滋养精神世界：神话剧蕴含民族古老信仰、创世传说与处世哲学，诠释开拓创新、无畏牺牲；彰显坚韧执着、不屈抗争。借神话故事传递顺应自然、敬畏生命理念，将神秘莫测的仙神鬼怪世界与凡人七情六欲勾连，启迪孩子敬畏天地、心怀悲悯，升华精神境界。</w:t>
      </w:r>
    </w:p>
    <w:p>
      <w:pPr>
        <w:pStyle w:val="2"/>
        <w:rPr>
          <w:rFonts w:hint="eastAsia"/>
          <w:sz w:val="21"/>
          <w:szCs w:val="21"/>
          <w:lang w:val="zh-TW"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演出安排</w:t>
      </w:r>
    </w:p>
    <w:p>
      <w:pPr>
        <w:pStyle w:val="11"/>
        <w:keepNext w:val="0"/>
        <w:keepLines w:val="0"/>
        <w:pageBreakBefore w:val="0"/>
        <w:kinsoku/>
        <w:wordWrap/>
        <w:overflowPunct/>
        <w:topLinePunct w:val="0"/>
        <w:autoSpaceDE/>
        <w:autoSpaceDN/>
        <w:bidi w:val="0"/>
        <w:adjustRightInd/>
        <w:snapToGrid/>
        <w:spacing w:line="540" w:lineRule="exact"/>
        <w:ind w:left="848" w:leftChars="304" w:right="1470" w:hanging="210" w:hangingChars="100"/>
        <w:textAlignment w:val="auto"/>
        <w:rPr>
          <w:rFonts w:hint="default" w:asciiTheme="minorEastAsia" w:hAnsiTheme="minorEastAsia" w:eastAsiaTheme="minorEastAsia" w:cstheme="minorEastAsia"/>
          <w:sz w:val="21"/>
          <w:szCs w:val="21"/>
          <w:highlight w:val="cyan"/>
          <w:lang w:val="en-US" w:eastAsia="zh-CN"/>
        </w:rPr>
      </w:pPr>
      <w:r>
        <w:rPr>
          <w:rFonts w:hint="eastAsia" w:asciiTheme="minorEastAsia" w:hAnsiTheme="minorEastAsia" w:eastAsiaTheme="minorEastAsia" w:cstheme="minorEastAsia"/>
          <w:b w:val="0"/>
          <w:bCs w:val="0"/>
          <w:kern w:val="2"/>
          <w:sz w:val="21"/>
          <w:szCs w:val="21"/>
          <w:lang w:val="en-US" w:eastAsia="zh-CN" w:bidi="ar-SA"/>
        </w:rPr>
        <w:t>1.</w:t>
      </w:r>
      <w:r>
        <w:rPr>
          <w:rFonts w:hint="eastAsia" w:asciiTheme="minorEastAsia" w:hAnsiTheme="minorEastAsia" w:eastAsiaTheme="minorEastAsia" w:cstheme="minorEastAsia"/>
          <w:sz w:val="21"/>
          <w:szCs w:val="21"/>
          <w:lang w:val="en-US" w:eastAsia="zh-CN"/>
        </w:rPr>
        <w:t>时间安排：</w:t>
      </w:r>
      <w:r>
        <w:rPr>
          <w:rFonts w:hint="eastAsia" w:asciiTheme="minorEastAsia" w:hAnsiTheme="minorEastAsia" w:eastAsiaTheme="minorEastAsia" w:cstheme="minorEastAsia"/>
          <w:sz w:val="21"/>
          <w:szCs w:val="21"/>
        </w:rPr>
        <w:t>202</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年</w:t>
      </w: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-12月</w:t>
      </w:r>
    </w:p>
    <w:p>
      <w:pPr>
        <w:pStyle w:val="11"/>
        <w:keepNext w:val="0"/>
        <w:keepLines w:val="0"/>
        <w:pageBreakBefore w:val="0"/>
        <w:kinsoku/>
        <w:wordWrap/>
        <w:overflowPunct/>
        <w:topLinePunct w:val="0"/>
        <w:autoSpaceDE/>
        <w:autoSpaceDN/>
        <w:bidi w:val="0"/>
        <w:adjustRightInd/>
        <w:snapToGrid/>
        <w:spacing w:line="540" w:lineRule="exact"/>
        <w:ind w:left="0" w:leftChars="0" w:right="1470" w:firstLine="630" w:firstLineChars="3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演出计划：</w:t>
      </w:r>
      <w:r>
        <w:rPr>
          <w:rFonts w:hint="eastAsia" w:asciiTheme="minorEastAsia" w:hAnsiTheme="minorEastAsia" w:cstheme="minorEastAsia"/>
          <w:sz w:val="21"/>
          <w:szCs w:val="21"/>
          <w:lang w:val="en-US" w:eastAsia="zh-CN"/>
        </w:rPr>
        <w:t>12</w:t>
      </w:r>
      <w:r>
        <w:rPr>
          <w:rFonts w:hint="eastAsia" w:asciiTheme="minorEastAsia" w:hAnsiTheme="minorEastAsia" w:eastAsiaTheme="minorEastAsia" w:cstheme="minorEastAsia"/>
          <w:sz w:val="21"/>
          <w:szCs w:val="21"/>
          <w:lang w:val="en-US" w:eastAsia="zh-CN"/>
        </w:rPr>
        <w:t>部剧共12场</w:t>
      </w:r>
    </w:p>
    <w:p>
      <w:pPr>
        <w:pStyle w:val="11"/>
        <w:keepNext w:val="0"/>
        <w:keepLines w:val="0"/>
        <w:pageBreakBefore w:val="0"/>
        <w:kinsoku/>
        <w:wordWrap/>
        <w:overflowPunct/>
        <w:topLinePunct w:val="0"/>
        <w:autoSpaceDE/>
        <w:autoSpaceDN/>
        <w:bidi w:val="0"/>
        <w:adjustRightInd/>
        <w:snapToGrid/>
        <w:spacing w:line="540" w:lineRule="exact"/>
        <w:ind w:left="0" w:leftChars="0" w:right="1470" w:firstLine="630" w:firstLineChars="300"/>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t>注：剧目演出时间及内容一经确定，原则上不予变更。因甲方原因导致剧目无法按期演出的，经甲乙双方协商后，乙方应配合甲方按需补充调整。</w:t>
      </w:r>
    </w:p>
    <w:p>
      <w:pPr>
        <w:pStyle w:val="2"/>
        <w:keepNext w:val="0"/>
        <w:keepLines w:val="0"/>
        <w:pageBreakBefore w:val="0"/>
        <w:numPr>
          <w:ilvl w:val="0"/>
          <w:numId w:val="0"/>
        </w:numPr>
        <w:kinsoku/>
        <w:wordWrap/>
        <w:overflowPunct/>
        <w:topLinePunct w:val="0"/>
        <w:autoSpaceDE/>
        <w:autoSpaceDN/>
        <w:bidi w:val="0"/>
        <w:adjustRightInd/>
        <w:snapToGrid/>
        <w:spacing w:line="540" w:lineRule="exact"/>
        <w:ind w:left="640" w:lef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bCs w:val="0"/>
          <w:kern w:val="2"/>
          <w:sz w:val="21"/>
          <w:szCs w:val="21"/>
          <w:lang w:val="en-US" w:eastAsia="zh-CN" w:bidi="ar-SA"/>
        </w:rPr>
        <w:t>2.演出期间需遵守剧场管理规定，确保演出顺利进行。</w:t>
      </w:r>
    </w:p>
    <w:p>
      <w:pPr>
        <w:pStyle w:val="2"/>
        <w:keepNext w:val="0"/>
        <w:keepLines w:val="0"/>
        <w:pageBreakBefore w:val="0"/>
        <w:kinsoku/>
        <w:wordWrap/>
        <w:overflowPunct/>
        <w:topLinePunct w:val="0"/>
        <w:autoSpaceDE/>
        <w:autoSpaceDN/>
        <w:bidi w:val="0"/>
        <w:adjustRightInd/>
        <w:snapToGrid/>
        <w:spacing w:line="540" w:lineRule="exact"/>
        <w:ind w:firstLine="420" w:firstLineChars="200"/>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（三）演出设备与技术</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b w:val="0"/>
          <w:bCs w:val="0"/>
          <w:kern w:val="2"/>
          <w:sz w:val="21"/>
          <w:szCs w:val="21"/>
          <w:lang w:val="en-US" w:eastAsia="zh-CN" w:bidi="ar-SA"/>
        </w:rPr>
        <w:t xml:space="preserve">  1.负责提供演出所需的全部设备（包括但不限于灯光、音响、道具、服装等），并确保设备性能良好，满足演出需求。</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 xml:space="preserve">   2.安排专业技术人员负责现场技术支持与保障，确保演出过程中设备稳定运行。</w:t>
      </w:r>
    </w:p>
    <w:p>
      <w:pPr>
        <w:pStyle w:val="2"/>
        <w:keepNext w:val="0"/>
        <w:keepLines w:val="0"/>
        <w:pageBreakBefore w:val="0"/>
        <w:kinsoku/>
        <w:wordWrap/>
        <w:overflowPunct/>
        <w:topLinePunct w:val="0"/>
        <w:autoSpaceDE/>
        <w:autoSpaceDN/>
        <w:bidi w:val="0"/>
        <w:adjustRightInd/>
        <w:snapToGrid/>
        <w:spacing w:line="540" w:lineRule="exact"/>
        <w:ind w:firstLine="420" w:firstLineChars="200"/>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（四）演出团队</w:t>
      </w:r>
    </w:p>
    <w:p>
      <w:pPr>
        <w:keepNext w:val="0"/>
        <w:keepLines w:val="0"/>
        <w:pageBreakBefore w:val="0"/>
        <w:kinsoku/>
        <w:wordWrap/>
        <w:overflowPunct/>
        <w:topLinePunct w:val="0"/>
        <w:autoSpaceDE/>
        <w:autoSpaceDN/>
        <w:bidi w:val="0"/>
        <w:adjustRightInd/>
        <w:snapToGrid/>
        <w:spacing w:line="540" w:lineRule="exact"/>
        <w:ind w:firstLine="420" w:firstLineChars="200"/>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1.提供专业的演出团队，包括演员、导演、编剧、舞台技术人员等，确保团队成员具备丰富的演出经验和良好的职业素养。</w:t>
      </w:r>
    </w:p>
    <w:p>
      <w:pPr>
        <w:keepNext w:val="0"/>
        <w:keepLines w:val="0"/>
        <w:pageBreakBefore w:val="0"/>
        <w:kinsoku/>
        <w:wordWrap/>
        <w:overflowPunct/>
        <w:topLinePunct w:val="0"/>
        <w:autoSpaceDE/>
        <w:autoSpaceDN/>
        <w:bidi w:val="0"/>
        <w:adjustRightInd/>
        <w:snapToGrid/>
        <w:spacing w:line="540" w:lineRule="exact"/>
        <w:ind w:firstLine="420" w:firstLineChars="200"/>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2.演出团队需提前与剧场方沟通，了解剧场设施、布局及观众特点，以便更好地调整演出方案。</w:t>
      </w:r>
    </w:p>
    <w:p>
      <w:pPr>
        <w:keepNext w:val="0"/>
        <w:keepLines w:val="0"/>
        <w:pageBreakBefore w:val="0"/>
        <w:kinsoku/>
        <w:wordWrap/>
        <w:overflowPunct/>
        <w:topLinePunct w:val="0"/>
        <w:autoSpaceDE/>
        <w:autoSpaceDN/>
        <w:bidi w:val="0"/>
        <w:adjustRightInd/>
        <w:snapToGrid/>
        <w:spacing w:line="540" w:lineRule="exact"/>
        <w:ind w:firstLine="420" w:firstLineChars="200"/>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3.演员要求：需具备专业表演素养，包括扎实的台词功底、精准的肢体表达和细腻的情感演绎。要有良好的职业道德，守时敬业、配合度高。同时，应保持良好的形象和状态，以饱满的热情为观众呈现精彩演出。</w:t>
      </w:r>
    </w:p>
    <w:p>
      <w:pPr>
        <w:keepNext w:val="0"/>
        <w:keepLines w:val="0"/>
        <w:pageBreakBefore w:val="0"/>
        <w:kinsoku/>
        <w:wordWrap/>
        <w:overflowPunct/>
        <w:topLinePunct w:val="0"/>
        <w:autoSpaceDE/>
        <w:autoSpaceDN/>
        <w:bidi w:val="0"/>
        <w:adjustRightInd/>
        <w:snapToGrid/>
        <w:spacing w:line="540" w:lineRule="exact"/>
        <w:ind w:firstLine="420" w:firstLineChars="200"/>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 xml:space="preserve"> 4.项目经理要求：擅长统筹协调各部门，高效组织排练。有敏锐的审美眼光，能准确把握剧目风格。需具备深厚的艺术素养和专业技能。具备创新思维，能为剧目注入独特创意。同时要有良好的沟通能力和领导力。</w:t>
      </w:r>
    </w:p>
    <w:p>
      <w:pPr>
        <w:keepNext w:val="0"/>
        <w:keepLines w:val="0"/>
        <w:pageBreakBefore w:val="0"/>
        <w:kinsoku/>
        <w:wordWrap/>
        <w:overflowPunct/>
        <w:topLinePunct w:val="0"/>
        <w:autoSpaceDE/>
        <w:autoSpaceDN/>
        <w:bidi w:val="0"/>
        <w:adjustRightInd/>
        <w:snapToGrid/>
        <w:spacing w:line="540" w:lineRule="exact"/>
        <w:ind w:firstLine="420" w:firstLineChars="200"/>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（五）宣传推广</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Theme="minorEastAsia" w:hAnsiTheme="minorEastAsia" w:eastAsiaTheme="minorEastAsia" w:cstheme="minorEastAsia"/>
          <w:b w:val="0"/>
          <w:bCs w:val="0"/>
          <w:kern w:val="2"/>
          <w:sz w:val="21"/>
          <w:szCs w:val="21"/>
          <w:lang w:val="en-US" w:eastAsia="zh-CN" w:bidi="ar-SA"/>
        </w:rPr>
      </w:pPr>
      <w:bookmarkStart w:id="15" w:name="OLE_LINK1"/>
      <w:r>
        <w:rPr>
          <w:rFonts w:hint="eastAsia" w:asciiTheme="minorEastAsia" w:hAnsiTheme="minorEastAsia" w:eastAsiaTheme="minorEastAsia" w:cstheme="minorEastAsia"/>
          <w:b w:val="0"/>
          <w:bCs w:val="0"/>
          <w:kern w:val="2"/>
          <w:sz w:val="21"/>
          <w:szCs w:val="21"/>
          <w:lang w:val="en-US" w:eastAsia="zh-CN" w:bidi="ar-SA"/>
        </w:rPr>
        <w:t>1.</w:t>
      </w:r>
      <w:bookmarkEnd w:id="15"/>
      <w:r>
        <w:rPr>
          <w:rFonts w:hint="eastAsia" w:asciiTheme="minorEastAsia" w:hAnsiTheme="minorEastAsia" w:eastAsiaTheme="minorEastAsia" w:cstheme="minorEastAsia"/>
          <w:b w:val="0"/>
          <w:bCs w:val="0"/>
          <w:kern w:val="2"/>
          <w:sz w:val="21"/>
          <w:szCs w:val="21"/>
          <w:lang w:val="en-US" w:eastAsia="zh-CN" w:bidi="ar-SA"/>
        </w:rPr>
        <w:t>协助青少年宫进行剧目宣传推广，并设计包括海报、节目单等各类宣传物料，运用社交媒体推广、线下宣传等多元化推广方式，制定详细的推广计划并严格按照计划执行。</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2.提供必要的宣传素材和宣传方案建议，提升青少年宫知名度与吸引力。</w:t>
      </w:r>
    </w:p>
    <w:p>
      <w:pPr>
        <w:pStyle w:val="2"/>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3.对于摄影摄像团队的要求，提供必要宣传素材和方案建议，针对不同题材剧目制定个性化拍摄方案，提供高质量剧照和宣传视频。还可拍摄幕后花絮、演员访谈等，以创意摄影摄像方案提升剧目知名度与吸引力。如拍摄剧目的精彩片段、演员表演瞬间及剧场氛围，制作短视频广泛传播。</w:t>
      </w:r>
    </w:p>
    <w:p>
      <w:pPr>
        <w:pStyle w:val="2"/>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（六）后勤服务</w:t>
      </w:r>
    </w:p>
    <w:p>
      <w:pPr>
        <w:pStyle w:val="2"/>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1.安保服务内容：配备专业安保人员，协助场务进行检票工作，严格管控人员及物品出入，在剧目演出过程中，进行全方位巡逻执勤，对演出场地及周边进行安全隐患排查，确保环境安全。</w:t>
      </w:r>
    </w:p>
    <w:p>
      <w:pPr>
        <w:pStyle w:val="2"/>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2.保洁服务内容：配备专业保洁人员，保证剧场环境干净、整洁。在演出结束后对演出场地进行全面清洁，包括舞台、化妆间、地面、座椅、扶手等。及时清理垃圾，保持场地整洁，为观众提供卫生的观演环境。</w:t>
      </w:r>
    </w:p>
    <w:p>
      <w:pPr>
        <w:keepNext/>
        <w:keepLines/>
        <w:pageBreakBefore w:val="0"/>
        <w:tabs>
          <w:tab w:val="left" w:pos="1680"/>
        </w:tabs>
        <w:kinsoku/>
        <w:wordWrap/>
        <w:overflowPunct/>
        <w:topLinePunct w:val="0"/>
        <w:autoSpaceDE/>
        <w:autoSpaceDN/>
        <w:bidi w:val="0"/>
        <w:adjustRightInd/>
        <w:snapToGrid/>
        <w:spacing w:before="260" w:afterLines="25" w:line="540" w:lineRule="exact"/>
        <w:jc w:val="both"/>
        <w:textAlignment w:val="auto"/>
        <w:outlineLvl w:val="2"/>
        <w:rPr>
          <w:rFonts w:hint="eastAsia" w:ascii="Arial" w:hAnsi="Arial" w:eastAsia="宋体" w:cs="Times New Roman"/>
          <w:b/>
          <w:bCs/>
          <w:sz w:val="32"/>
          <w:szCs w:val="32"/>
          <w:lang w:val="en-US" w:eastAsia="zh-CN"/>
        </w:rPr>
      </w:pPr>
      <w:r>
        <w:rPr>
          <w:rFonts w:hint="eastAsia" w:ascii="Arial" w:hAnsi="Arial" w:eastAsia="宋体" w:cs="Times New Roman"/>
          <w:b/>
          <w:bCs/>
          <w:sz w:val="32"/>
          <w:szCs w:val="32"/>
          <w:lang w:val="en-US" w:eastAsia="zh-CN"/>
        </w:rPr>
        <w:t>五、项目服务要求</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1.摄影摄像服务要求</w:t>
      </w:r>
    </w:p>
    <w:p>
      <w:pPr>
        <w:pStyle w:val="2"/>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针对每一部剧目制定个性化采访视频，内容包括演员的演出感想、儿童的观后感及家长的评价等，每条采访视频时长不低于30秒，并提供高质量剧照</w:t>
      </w:r>
      <w:r>
        <w:rPr>
          <w:rFonts w:hint="eastAsia" w:asciiTheme="minorEastAsia" w:hAnsiTheme="minorEastAsia" w:cstheme="minorEastAsia"/>
          <w:b w:val="0"/>
          <w:bCs w:val="0"/>
          <w:kern w:val="2"/>
          <w:sz w:val="21"/>
          <w:szCs w:val="21"/>
          <w:highlight w:val="none"/>
          <w:lang w:val="en-US" w:eastAsia="zh-CN" w:bidi="ar-SA"/>
        </w:rPr>
        <w:t>图片直播</w:t>
      </w:r>
      <w:r>
        <w:rPr>
          <w:rFonts w:hint="eastAsia" w:asciiTheme="minorEastAsia" w:hAnsiTheme="minorEastAsia" w:eastAsiaTheme="minorEastAsia" w:cstheme="minorEastAsia"/>
          <w:b w:val="0"/>
          <w:bCs w:val="0"/>
          <w:kern w:val="2"/>
          <w:sz w:val="21"/>
          <w:szCs w:val="21"/>
          <w:lang w:val="en-US" w:eastAsia="zh-CN" w:bidi="ar-SA"/>
        </w:rPr>
        <w:t>和精彩回顾宣传视频制作成短视频。</w:t>
      </w:r>
    </w:p>
    <w:p>
      <w:pPr>
        <w:pStyle w:val="2"/>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2.舆情控制管理要求</w:t>
      </w:r>
    </w:p>
    <w:p>
      <w:pPr>
        <w:pStyle w:val="2"/>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建立舆情监测机制，实时关注剧目相关舆情动态。制定应急预案，对负面舆情迅速响应。积极引导正面舆论，通过官方渠道及时发布准确信息。加强与媒体沟通合作，妥善处理舆情事件，维护剧目良好形象。</w:t>
      </w:r>
    </w:p>
    <w:p>
      <w:pPr>
        <w:pStyle w:val="2"/>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3.演出事故解决方案</w:t>
      </w:r>
    </w:p>
    <w:p>
      <w:pPr>
        <w:pStyle w:val="2"/>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建立应急预案，明确各部门职责。事故发生时迅速启动响应，妥善处理现场。及时评估损失，进行后续整改。</w:t>
      </w:r>
    </w:p>
    <w:p>
      <w:pPr>
        <w:pStyle w:val="2"/>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基本要求：强化安全意识，提前排查隐患。加强人员培训，提升应对能力。确保设备可靠，降低事故风险。</w:t>
      </w:r>
    </w:p>
    <w:p>
      <w:pPr>
        <w:keepNext/>
        <w:keepLines/>
        <w:pageBreakBefore w:val="0"/>
        <w:tabs>
          <w:tab w:val="left" w:pos="1680"/>
        </w:tabs>
        <w:kinsoku/>
        <w:wordWrap/>
        <w:overflowPunct/>
        <w:topLinePunct w:val="0"/>
        <w:autoSpaceDE/>
        <w:autoSpaceDN/>
        <w:bidi w:val="0"/>
        <w:adjustRightInd/>
        <w:snapToGrid/>
        <w:spacing w:before="260" w:afterLines="25" w:line="540" w:lineRule="exact"/>
        <w:jc w:val="both"/>
        <w:textAlignment w:val="auto"/>
        <w:outlineLvl w:val="2"/>
        <w:rPr>
          <w:rFonts w:hint="eastAsia" w:ascii="Arial" w:hAnsi="Arial" w:eastAsia="宋体" w:cs="Times New Roman"/>
          <w:b/>
          <w:bCs/>
          <w:sz w:val="32"/>
          <w:szCs w:val="32"/>
          <w:lang w:val="en-US" w:eastAsia="zh-CN"/>
        </w:rPr>
      </w:pPr>
      <w:r>
        <w:rPr>
          <w:rFonts w:hint="eastAsia" w:ascii="Arial" w:hAnsi="Arial" w:eastAsia="宋体" w:cs="Times New Roman"/>
          <w:b/>
          <w:bCs/>
          <w:sz w:val="32"/>
          <w:szCs w:val="32"/>
          <w:lang w:val="en-US" w:eastAsia="zh-CN"/>
        </w:rPr>
        <w:t>六、履约考核</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1.针对中标方的履约情况，由采购方组织考核，中标方须积极配合完成。</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2.考核内容包括但不限于人员数量、</w:t>
      </w:r>
      <w:r>
        <w:rPr>
          <w:rFonts w:hint="eastAsia" w:asciiTheme="minorEastAsia" w:hAnsiTheme="minorEastAsia" w:eastAsiaTheme="minorEastAsia" w:cstheme="minorEastAsia"/>
          <w:sz w:val="21"/>
          <w:szCs w:val="21"/>
          <w:lang w:val="en-US" w:eastAsia="zh-CN"/>
        </w:rPr>
        <w:t>剧场</w:t>
      </w:r>
      <w:r>
        <w:rPr>
          <w:rFonts w:hint="eastAsia" w:asciiTheme="minorEastAsia" w:hAnsiTheme="minorEastAsia" w:eastAsiaTheme="minorEastAsia" w:cstheme="minorEastAsia"/>
          <w:sz w:val="21"/>
          <w:szCs w:val="21"/>
        </w:rPr>
        <w:t>维护、安全管理、运营成果</w:t>
      </w:r>
      <w:r>
        <w:rPr>
          <w:rFonts w:hint="eastAsia" w:asciiTheme="minorEastAsia" w:hAnsiTheme="minorEastAsia" w:eastAsiaTheme="minorEastAsia" w:cstheme="minorEastAsia"/>
          <w:sz w:val="21"/>
          <w:szCs w:val="21"/>
          <w:lang w:val="en-US" w:eastAsia="zh-CN"/>
        </w:rPr>
        <w:t>舆情</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3.履约考核结果与项目结算及续签相关，若评价为“中”或“差”，采购方在项目结算时有权视情况减少项目管理费用并不予续签。</w:t>
      </w:r>
    </w:p>
    <w:p>
      <w:pPr>
        <w:keepNext/>
        <w:keepLines/>
        <w:pageBreakBefore w:val="0"/>
        <w:tabs>
          <w:tab w:val="left" w:pos="1680"/>
        </w:tabs>
        <w:kinsoku/>
        <w:wordWrap/>
        <w:overflowPunct/>
        <w:topLinePunct w:val="0"/>
        <w:autoSpaceDE/>
        <w:autoSpaceDN/>
        <w:bidi w:val="0"/>
        <w:adjustRightInd/>
        <w:snapToGrid/>
        <w:spacing w:before="260" w:afterLines="25" w:line="540" w:lineRule="exact"/>
        <w:jc w:val="both"/>
        <w:textAlignment w:val="auto"/>
        <w:outlineLvl w:val="2"/>
        <w:rPr>
          <w:rFonts w:hint="eastAsia" w:ascii="Arial" w:hAnsi="Arial" w:eastAsia="宋体" w:cs="Times New Roman"/>
          <w:b/>
          <w:bCs/>
          <w:sz w:val="32"/>
          <w:szCs w:val="32"/>
          <w:lang w:val="en-US" w:eastAsia="zh-CN"/>
        </w:rPr>
      </w:pPr>
      <w:r>
        <w:rPr>
          <w:rFonts w:hint="eastAsia" w:ascii="Arial" w:hAnsi="Arial" w:eastAsia="宋体" w:cs="Times New Roman"/>
          <w:b/>
          <w:bCs/>
          <w:sz w:val="32"/>
          <w:szCs w:val="32"/>
          <w:lang w:val="en-US" w:eastAsia="zh-CN"/>
        </w:rPr>
        <w:t>七、商务要求</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jc w:val="both"/>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1.时间安排：</w:t>
      </w:r>
      <w:r>
        <w:rPr>
          <w:rFonts w:hint="eastAsia" w:asciiTheme="minorEastAsia" w:hAnsiTheme="minorEastAsia" w:eastAsiaTheme="minorEastAsia" w:cstheme="minorEastAsia"/>
          <w:sz w:val="21"/>
          <w:szCs w:val="21"/>
          <w:highlight w:val="none"/>
        </w:rPr>
        <w:t>202</w:t>
      </w: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年</w:t>
      </w: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月</w:t>
      </w:r>
      <w:r>
        <w:rPr>
          <w:rFonts w:hint="eastAsia" w:asciiTheme="minorEastAsia" w:hAnsiTheme="minorEastAsia" w:eastAsiaTheme="minorEastAsia" w:cstheme="minorEastAsia"/>
          <w:sz w:val="21"/>
          <w:szCs w:val="21"/>
          <w:highlight w:val="none"/>
          <w:lang w:val="en-US" w:eastAsia="zh-CN"/>
        </w:rPr>
        <w:t>-12月</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演出计划：</w:t>
      </w:r>
      <w:r>
        <w:rPr>
          <w:rFonts w:hint="eastAsia" w:asciiTheme="minorEastAsia" w:hAnsiTheme="minorEastAsia" w:cstheme="minorEastAsia"/>
          <w:sz w:val="21"/>
          <w:szCs w:val="21"/>
          <w:highlight w:val="none"/>
          <w:lang w:val="en-US" w:eastAsia="zh-CN"/>
        </w:rPr>
        <w:t>12</w:t>
      </w:r>
      <w:r>
        <w:rPr>
          <w:rFonts w:hint="eastAsia" w:asciiTheme="minorEastAsia" w:hAnsiTheme="minorEastAsia" w:eastAsiaTheme="minorEastAsia" w:cstheme="minorEastAsia"/>
          <w:sz w:val="21"/>
          <w:szCs w:val="21"/>
          <w:highlight w:val="none"/>
          <w:lang w:val="en-US" w:eastAsia="zh-CN"/>
        </w:rPr>
        <w:t>部剧共12场</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注：具体演出时间视青少年宫实际情况而定。</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420" w:firstLineChars="2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付款方式：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val="en-US" w:eastAsia="zh-CN"/>
        </w:rPr>
        <w:t>1本合同剧目演出费用合计为：人民币</w:t>
      </w:r>
      <w:r>
        <w:rPr>
          <w:rFonts w:hint="eastAsia" w:asciiTheme="minorEastAsia" w:hAnsiTheme="minorEastAsia" w:cstheme="minorEastAsia"/>
          <w:sz w:val="21"/>
          <w:szCs w:val="21"/>
          <w:highlight w:val="none"/>
          <w:lang w:val="en-US" w:eastAsia="zh-CN"/>
        </w:rPr>
        <w:t>65</w:t>
      </w:r>
      <w:r>
        <w:rPr>
          <w:rFonts w:hint="eastAsia" w:asciiTheme="minorEastAsia" w:hAnsiTheme="minorEastAsia" w:eastAsiaTheme="minorEastAsia" w:cstheme="minorEastAsia"/>
          <w:sz w:val="21"/>
          <w:szCs w:val="21"/>
          <w:highlight w:val="none"/>
          <w:lang w:val="en-US" w:eastAsia="zh-CN"/>
        </w:rPr>
        <w:t>万元整，包括但不限于剧目制作费、演职人员劳动报酬等乙方因履行本合同义务所需支出的一切费用。除双方协商一致外，乙方不得另行增加本合同价款。</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val="en-US" w:eastAsia="zh-CN"/>
        </w:rPr>
        <w:t>合同签订后 15 日内，甲方需先支付合同含税总价款的 50%首款给乙方。项目结束后，甲方验收通过并签字，甲方支付合同含税剩余尾款50%给乙方。</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jc w:val="both"/>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3乙方应在甲方支付款项前向甲方出具正式合格税务发票。乙方无正当理由拒绝出具合格发票的，甲方有权拒绝付款。甲方收到发票后，按照深圳市龙华区财政国库集中支付程序办理支付手续，因政策、财政拨款、乙方原因导致延迟支付款项的不视为甲方违约，乙方不得据此拒绝履行合同义务。</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b/>
          <w:bCs w:val="0"/>
          <w:sz w:val="32"/>
          <w:szCs w:val="32"/>
        </w:rPr>
      </w:pPr>
      <w:r>
        <w:rPr>
          <w:rFonts w:hint="eastAsia" w:ascii="Arial" w:hAnsi="Arial" w:eastAsia="宋体" w:cs="Times New Roman"/>
          <w:b/>
          <w:bCs/>
          <w:sz w:val="32"/>
          <w:szCs w:val="32"/>
          <w:lang w:val="en-US" w:eastAsia="zh-CN"/>
        </w:rPr>
        <w:t>八、其他重要条款</w:t>
      </w:r>
    </w:p>
    <w:p>
      <w:pPr>
        <w:pageBreakBefore w:val="0"/>
        <w:kinsoku/>
        <w:wordWrap/>
        <w:overflowPunct/>
        <w:topLinePunct w:val="0"/>
        <w:autoSpaceDE/>
        <w:autoSpaceDN/>
        <w:bidi w:val="0"/>
        <w:adjustRightInd/>
        <w:snapToGrid/>
        <w:spacing w:line="540" w:lineRule="exact"/>
        <w:ind w:firstLine="420" w:firstLineChars="200"/>
        <w:textAlignment w:val="auto"/>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pStyle w:val="8"/>
        <w:pageBreakBefore w:val="0"/>
        <w:kinsoku/>
        <w:wordWrap/>
        <w:overflowPunct/>
        <w:topLinePunct w:val="0"/>
        <w:autoSpaceDE/>
        <w:autoSpaceDN/>
        <w:bidi w:val="0"/>
        <w:adjustRightInd/>
        <w:snapToGrid/>
        <w:spacing w:before="60" w:beforeLines="25" w:after="60" w:afterLines="25" w:line="540" w:lineRule="exact"/>
        <w:ind w:firstLine="392" w:firstLineChars="187"/>
        <w:textAlignment w:val="auto"/>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pPr>
        <w:pageBreakBefore w:val="0"/>
        <w:kinsoku/>
        <w:wordWrap/>
        <w:overflowPunct/>
        <w:topLinePunct w:val="0"/>
        <w:autoSpaceDE/>
        <w:autoSpaceDN/>
        <w:bidi w:val="0"/>
        <w:adjustRightInd/>
        <w:snapToGrid/>
        <w:spacing w:line="540" w:lineRule="exact"/>
        <w:ind w:firstLine="420" w:firstLineChars="200"/>
        <w:textAlignment w:val="auto"/>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pageBreakBefore w:val="0"/>
        <w:kinsoku/>
        <w:wordWrap/>
        <w:overflowPunct/>
        <w:topLinePunct w:val="0"/>
        <w:autoSpaceDE/>
        <w:autoSpaceDN/>
        <w:bidi w:val="0"/>
        <w:adjustRightInd/>
        <w:snapToGrid/>
        <w:spacing w:line="540" w:lineRule="exact"/>
        <w:ind w:firstLine="420" w:firstLineChars="200"/>
        <w:textAlignment w:val="auto"/>
        <w:rPr>
          <w:bCs/>
          <w:szCs w:val="21"/>
        </w:rPr>
      </w:pPr>
      <w:r>
        <w:rPr>
          <w:rFonts w:hint="eastAsia" w:ascii="Times New Roman" w:eastAsia="宋体"/>
          <w:bCs/>
          <w:szCs w:val="21"/>
          <w:lang w:val="en-US" w:eastAsia="zh-CN"/>
        </w:rPr>
        <w:t>4</w:t>
      </w:r>
      <w:r>
        <w:rPr>
          <w:rFonts w:hint="eastAsia"/>
          <w:bCs/>
          <w:szCs w:val="21"/>
        </w:rPr>
        <w:t>、除政府采购合同继续履行将损害国家利益和社会公共利益外，双方当事人不得擅自变更、中止或者终止合同。</w:t>
      </w:r>
    </w:p>
    <w:p>
      <w:pPr>
        <w:pageBreakBefore w:val="0"/>
        <w:kinsoku/>
        <w:wordWrap/>
        <w:overflowPunct/>
        <w:topLinePunct w:val="0"/>
        <w:autoSpaceDE/>
        <w:autoSpaceDN/>
        <w:bidi w:val="0"/>
        <w:adjustRightInd/>
        <w:snapToGrid/>
        <w:spacing w:line="540" w:lineRule="exact"/>
        <w:ind w:firstLine="420" w:firstLineChars="200"/>
        <w:textAlignment w:val="auto"/>
        <w:rPr>
          <w:rFonts w:hint="eastAsia"/>
          <w:bCs/>
          <w:szCs w:val="21"/>
          <w:lang w:val="en-US" w:eastAsia="zh-CN"/>
        </w:rPr>
      </w:pPr>
      <w:r>
        <w:rPr>
          <w:rFonts w:hint="eastAsia" w:ascii="Times New Roman" w:eastAsia="宋体"/>
          <w:bCs/>
          <w:szCs w:val="21"/>
          <w:lang w:val="en-US" w:eastAsia="zh-CN"/>
        </w:rPr>
        <w:t>5</w:t>
      </w:r>
      <w:r>
        <w:rPr>
          <w:rFonts w:hint="eastAsia"/>
          <w:bCs/>
          <w:szCs w:val="21"/>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r>
        <w:rPr>
          <w:rFonts w:hint="eastAsia" w:ascii="Times New Roman" w:eastAsia="宋体"/>
          <w:bCs/>
          <w:szCs w:val="21"/>
          <w:lang w:val="en-US" w:eastAsia="zh-CN"/>
        </w:rPr>
        <w:t>。</w:t>
      </w:r>
    </w:p>
    <w:p>
      <w:pPr>
        <w:pStyle w:val="2"/>
        <w:rPr>
          <w:rFonts w:hint="eastAsia"/>
          <w:bCs/>
          <w:szCs w:val="21"/>
        </w:rPr>
      </w:pPr>
    </w:p>
    <w:p>
      <w:pPr>
        <w:pStyle w:val="3"/>
        <w:rPr>
          <w:rFonts w:hint="eastAsia"/>
          <w:bCs/>
          <w:szCs w:val="21"/>
        </w:rPr>
      </w:pPr>
    </w:p>
    <w:p>
      <w:pPr>
        <w:pStyle w:val="3"/>
        <w:rPr>
          <w:rFonts w:hint="eastAsia"/>
          <w:bCs/>
          <w:szCs w:val="21"/>
        </w:rPr>
      </w:pPr>
    </w:p>
    <w:p>
      <w:pPr>
        <w:widowControl/>
        <w:jc w:val="left"/>
        <w:rPr>
          <w:rFonts w:ascii="宋体" w:hAnsi="宋体" w:eastAsia="黑体" w:cs="Times New Roman"/>
          <w:bCs/>
          <w:kern w:val="44"/>
          <w:sz w:val="28"/>
          <w:szCs w:val="44"/>
        </w:rPr>
      </w:pPr>
    </w:p>
    <w:p>
      <w:pP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br w:type="page"/>
      </w:r>
    </w:p>
    <w:p>
      <w:pPr>
        <w:keepNext/>
        <w:keepLines/>
        <w:pageBreakBefore w:val="0"/>
        <w:kinsoku/>
        <w:wordWrap/>
        <w:overflowPunct/>
        <w:topLinePunct w:val="0"/>
        <w:autoSpaceDE/>
        <w:autoSpaceDN/>
        <w:bidi w:val="0"/>
        <w:adjustRightInd w:val="0"/>
        <w:spacing w:line="320" w:lineRule="atLeast"/>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第四章</w:t>
      </w:r>
      <w:r>
        <w:rPr>
          <w:rFonts w:ascii="宋体" w:hAnsi="宋体" w:eastAsia="宋体" w:cs="Times New Roman"/>
          <w:b/>
          <w:bCs/>
          <w:kern w:val="0"/>
          <w:sz w:val="28"/>
          <w:szCs w:val="28"/>
        </w:rPr>
        <w:t xml:space="preserve"> </w:t>
      </w:r>
      <w:r>
        <w:rPr>
          <w:rFonts w:hint="eastAsia" w:ascii="宋体" w:hAnsi="宋体" w:eastAsia="宋体" w:cs="Times New Roman"/>
          <w:b/>
          <w:bCs/>
          <w:kern w:val="0"/>
          <w:sz w:val="28"/>
          <w:szCs w:val="28"/>
        </w:rPr>
        <w:t xml:space="preserve"> 投标文件组成要求及格式</w:t>
      </w:r>
    </w:p>
    <w:p>
      <w:pPr>
        <w:pStyle w:val="2"/>
        <w:rPr>
          <w:rFonts w:hint="eastAsia"/>
        </w:rPr>
      </w:pPr>
      <w:bookmarkStart w:id="16" w:name="_Hlk72257167"/>
    </w:p>
    <w:bookmarkEnd w:id="16"/>
    <w:p>
      <w:pPr>
        <w:pageBreakBefore w:val="0"/>
        <w:widowControl/>
        <w:kinsoku/>
        <w:wordWrap/>
        <w:overflowPunct/>
        <w:topLinePunct w:val="0"/>
        <w:autoSpaceDE/>
        <w:autoSpaceDN/>
        <w:bidi w:val="0"/>
        <w:spacing w:line="320" w:lineRule="atLeast"/>
        <w:jc w:val="left"/>
        <w:outlineLvl w:val="2"/>
        <w:rPr>
          <w:rFonts w:ascii="宋体" w:hAnsi="宋体" w:eastAsia="黑体" w:cs="Times New Roman"/>
          <w:bCs/>
          <w:kern w:val="44"/>
          <w:sz w:val="24"/>
          <w:szCs w:val="24"/>
        </w:rPr>
      </w:pPr>
      <w:r>
        <w:rPr>
          <w:rFonts w:hint="eastAsia" w:ascii="宋体" w:hAnsi="宋体" w:eastAsia="黑体" w:cs="Times New Roman"/>
          <w:bCs/>
          <w:kern w:val="44"/>
          <w:sz w:val="24"/>
          <w:szCs w:val="24"/>
        </w:rPr>
        <w:t>投标文件组成：</w:t>
      </w:r>
    </w:p>
    <w:p>
      <w:pPr>
        <w:outlineLvl w:val="0"/>
        <w:rPr>
          <w:rFonts w:ascii="宋体" w:hAnsi="宋体"/>
          <w:sz w:val="24"/>
        </w:rPr>
      </w:pPr>
      <w:bookmarkStart w:id="17" w:name="_Hlk72257771"/>
      <w:r>
        <w:rPr>
          <w:rFonts w:hint="eastAsia" w:ascii="宋体" w:hAnsi="宋体"/>
          <w:sz w:val="24"/>
        </w:rPr>
        <w:t>1.投标文件正文，主要包括以下内容：</w:t>
      </w:r>
    </w:p>
    <w:p>
      <w:pPr>
        <w:rPr>
          <w:szCs w:val="21"/>
        </w:rPr>
      </w:pPr>
      <w:r>
        <w:rPr>
          <w:rFonts w:hint="eastAsia"/>
          <w:szCs w:val="21"/>
        </w:rPr>
        <w:t>（1）</w:t>
      </w:r>
      <w:bookmarkStart w:id="18" w:name="_Hlk72070784"/>
      <w:r>
        <w:rPr>
          <w:rFonts w:hint="eastAsia"/>
          <w:szCs w:val="21"/>
        </w:rPr>
        <w:t>投标函</w:t>
      </w:r>
      <w:bookmarkEnd w:id="18"/>
    </w:p>
    <w:p>
      <w:pPr>
        <w:rPr>
          <w:szCs w:val="21"/>
        </w:rPr>
      </w:pPr>
      <w:r>
        <w:rPr>
          <w:rFonts w:hint="eastAsia"/>
          <w:szCs w:val="21"/>
        </w:rPr>
        <w:t>（2）</w:t>
      </w:r>
      <w:bookmarkStart w:id="19" w:name="_Hlk72062521"/>
      <w:r>
        <w:rPr>
          <w:rFonts w:hint="eastAsia"/>
          <w:szCs w:val="21"/>
        </w:rPr>
        <w:t>政府采购投标及履约承诺函</w:t>
      </w:r>
      <w:bookmarkEnd w:id="19"/>
    </w:p>
    <w:p>
      <w:pPr>
        <w:rPr>
          <w:rFonts w:hint="eastAsia"/>
          <w:szCs w:val="21"/>
        </w:rPr>
      </w:pPr>
      <w:r>
        <w:rPr>
          <w:rFonts w:hint="eastAsia"/>
          <w:szCs w:val="21"/>
        </w:rPr>
        <w:t>（3）投标人情况及资格证明文件</w:t>
      </w:r>
    </w:p>
    <w:p>
      <w:pPr>
        <w:rPr>
          <w:rFonts w:hint="eastAsia"/>
          <w:szCs w:val="21"/>
        </w:rPr>
      </w:pPr>
      <w:bookmarkStart w:id="20" w:name="_Hlk72257201"/>
      <w:r>
        <w:rPr>
          <w:rFonts w:hint="eastAsia"/>
          <w:szCs w:val="21"/>
        </w:rPr>
        <w:t>（4）项目详细报价</w:t>
      </w:r>
      <w:bookmarkEnd w:id="20"/>
    </w:p>
    <w:p>
      <w:pPr>
        <w:rPr>
          <w:rFonts w:hint="eastAsia"/>
          <w:szCs w:val="21"/>
        </w:rPr>
      </w:pPr>
      <w:r>
        <w:rPr>
          <w:rFonts w:hint="eastAsia"/>
          <w:szCs w:val="21"/>
        </w:rPr>
        <w:t>（5）股东构成审查表</w:t>
      </w:r>
    </w:p>
    <w:p>
      <w:pPr>
        <w:rPr>
          <w:rFonts w:hint="eastAsia"/>
          <w:szCs w:val="21"/>
        </w:rPr>
      </w:pPr>
      <w:r>
        <w:rPr>
          <w:rFonts w:hint="eastAsia"/>
          <w:szCs w:val="21"/>
          <w:lang w:eastAsia="zh-CN"/>
        </w:rPr>
        <w:t>（</w:t>
      </w:r>
      <w:r>
        <w:rPr>
          <w:rFonts w:hint="eastAsia"/>
          <w:szCs w:val="21"/>
          <w:lang w:val="en-US" w:eastAsia="zh-CN"/>
        </w:rPr>
        <w:t>6</w:t>
      </w:r>
      <w:r>
        <w:rPr>
          <w:rFonts w:hint="eastAsia"/>
          <w:szCs w:val="21"/>
          <w:lang w:eastAsia="zh-CN"/>
        </w:rPr>
        <w:t>）</w:t>
      </w:r>
      <w:r>
        <w:rPr>
          <w:rFonts w:hint="eastAsia"/>
          <w:szCs w:val="21"/>
        </w:rPr>
        <w:t>同类项目经验</w:t>
      </w:r>
    </w:p>
    <w:p>
      <w:pPr>
        <w:rPr>
          <w:rFonts w:hint="eastAsia"/>
          <w:szCs w:val="21"/>
        </w:rPr>
      </w:pPr>
      <w:r>
        <w:rPr>
          <w:rFonts w:hint="eastAsia"/>
          <w:szCs w:val="21"/>
          <w:lang w:eastAsia="zh-CN"/>
        </w:rPr>
        <w:t>（</w:t>
      </w:r>
      <w:r>
        <w:rPr>
          <w:rFonts w:hint="eastAsia"/>
          <w:szCs w:val="21"/>
          <w:lang w:val="en-US" w:eastAsia="zh-CN"/>
        </w:rPr>
        <w:t>7</w:t>
      </w:r>
      <w:r>
        <w:rPr>
          <w:rFonts w:hint="eastAsia"/>
          <w:szCs w:val="21"/>
          <w:lang w:eastAsia="zh-CN"/>
        </w:rPr>
        <w:t>）</w:t>
      </w:r>
      <w:r>
        <w:rPr>
          <w:rFonts w:hint="eastAsia"/>
          <w:szCs w:val="21"/>
        </w:rPr>
        <w:t>投标人获奖情况</w:t>
      </w:r>
    </w:p>
    <w:p>
      <w:pPr>
        <w:outlineLvl w:val="0"/>
        <w:rPr>
          <w:rFonts w:ascii="宋体" w:hAnsi="宋体"/>
          <w:sz w:val="24"/>
        </w:rPr>
      </w:pPr>
      <w:r>
        <w:rPr>
          <w:rFonts w:hint="eastAsia" w:ascii="宋体" w:hAnsi="宋体"/>
          <w:sz w:val="24"/>
        </w:rPr>
        <w:t>2.投标文件附件：主要包括以下内容：</w:t>
      </w:r>
    </w:p>
    <w:p>
      <w:pPr>
        <w:numPr>
          <w:ilvl w:val="0"/>
          <w:numId w:val="3"/>
        </w:numPr>
        <w:ind w:left="425" w:leftChars="0" w:hanging="425" w:firstLineChars="0"/>
        <w:rPr>
          <w:szCs w:val="21"/>
        </w:rPr>
      </w:pPr>
      <w:r>
        <w:rPr>
          <w:rFonts w:hint="eastAsia"/>
          <w:szCs w:val="21"/>
        </w:rPr>
        <w:t>法定代表人（负责人）证明书</w:t>
      </w:r>
    </w:p>
    <w:p>
      <w:pPr>
        <w:numPr>
          <w:ilvl w:val="0"/>
          <w:numId w:val="3"/>
        </w:numPr>
        <w:ind w:left="425" w:leftChars="0" w:hanging="425" w:firstLineChars="0"/>
        <w:rPr>
          <w:szCs w:val="21"/>
        </w:rPr>
      </w:pPr>
      <w:r>
        <w:rPr>
          <w:rFonts w:hint="eastAsia"/>
          <w:szCs w:val="21"/>
        </w:rPr>
        <w:t>投标文件签署授权委托书</w:t>
      </w:r>
    </w:p>
    <w:p>
      <w:pPr>
        <w:numPr>
          <w:ilvl w:val="0"/>
          <w:numId w:val="3"/>
        </w:numPr>
        <w:ind w:left="425" w:leftChars="0" w:hanging="425" w:firstLineChars="0"/>
        <w:rPr>
          <w:rFonts w:hint="eastAsia"/>
          <w:szCs w:val="21"/>
        </w:rPr>
      </w:pPr>
      <w:r>
        <w:rPr>
          <w:szCs w:val="21"/>
        </w:rPr>
        <w:t>实</w:t>
      </w:r>
      <w:bookmarkStart w:id="87" w:name="_GoBack"/>
      <w:bookmarkEnd w:id="87"/>
      <w:r>
        <w:rPr>
          <w:szCs w:val="21"/>
        </w:rPr>
        <w:t>质性条款响应情况表</w:t>
      </w:r>
    </w:p>
    <w:p>
      <w:pPr>
        <w:numPr>
          <w:ilvl w:val="0"/>
          <w:numId w:val="3"/>
        </w:numPr>
        <w:ind w:left="425" w:leftChars="0" w:hanging="425" w:firstLineChars="0"/>
        <w:rPr>
          <w:rFonts w:hint="eastAsia"/>
          <w:szCs w:val="21"/>
        </w:rPr>
      </w:pPr>
      <w:r>
        <w:rPr>
          <w:rFonts w:hint="eastAsia" w:asciiTheme="minorEastAsia" w:hAnsiTheme="minorEastAsia" w:eastAsiaTheme="minorEastAsia" w:cstheme="minorEastAsia"/>
          <w:b w:val="0"/>
          <w:bCs/>
          <w:color w:val="auto"/>
          <w:sz w:val="21"/>
          <w:szCs w:val="21"/>
          <w:highlight w:val="none"/>
          <w:lang w:val="en-US" w:eastAsia="zh-CN"/>
        </w:rPr>
        <w:t>实施方案</w:t>
      </w:r>
    </w:p>
    <w:p>
      <w:pPr>
        <w:numPr>
          <w:ilvl w:val="0"/>
          <w:numId w:val="3"/>
        </w:numPr>
        <w:ind w:left="425" w:leftChars="0" w:hanging="425" w:firstLineChars="0"/>
        <w:rPr>
          <w:rFonts w:hint="eastAsia"/>
          <w:szCs w:val="21"/>
        </w:rPr>
      </w:pPr>
      <w:r>
        <w:rPr>
          <w:rFonts w:hint="eastAsia" w:asciiTheme="minorEastAsia" w:hAnsiTheme="minorEastAsia" w:eastAsiaTheme="minorEastAsia" w:cstheme="minorEastAsia"/>
          <w:b w:val="0"/>
          <w:bCs/>
          <w:color w:val="auto"/>
          <w:sz w:val="21"/>
          <w:szCs w:val="21"/>
          <w:highlight w:val="none"/>
          <w:lang w:val="en-US" w:eastAsia="zh-CN"/>
        </w:rPr>
        <w:t>项目优势化分析、项目重难点及相关的合理化建议</w:t>
      </w:r>
    </w:p>
    <w:p>
      <w:pPr>
        <w:numPr>
          <w:ilvl w:val="0"/>
          <w:numId w:val="3"/>
        </w:numPr>
        <w:ind w:left="425" w:leftChars="0" w:hanging="425" w:firstLineChars="0"/>
        <w:rPr>
          <w:rFonts w:hint="eastAsia"/>
          <w:szCs w:val="21"/>
        </w:rPr>
      </w:pPr>
      <w:r>
        <w:rPr>
          <w:rFonts w:hint="eastAsia" w:asciiTheme="minorEastAsia" w:hAnsiTheme="minorEastAsia" w:eastAsiaTheme="minorEastAsia" w:cstheme="minorEastAsia"/>
          <w:b w:val="0"/>
          <w:bCs w:val="0"/>
          <w:sz w:val="21"/>
          <w:szCs w:val="21"/>
        </w:rPr>
        <w:t>质量保障措施</w:t>
      </w:r>
    </w:p>
    <w:p>
      <w:pPr>
        <w:numPr>
          <w:ilvl w:val="0"/>
          <w:numId w:val="3"/>
        </w:numPr>
        <w:ind w:left="425" w:leftChars="0" w:hanging="425" w:firstLineChars="0"/>
        <w:rPr>
          <w:rFonts w:hint="eastAsia"/>
          <w:szCs w:val="21"/>
        </w:rPr>
      </w:pPr>
      <w:r>
        <w:rPr>
          <w:rFonts w:hint="eastAsia" w:asciiTheme="minorEastAsia" w:hAnsiTheme="minorEastAsia" w:eastAsiaTheme="minorEastAsia" w:cstheme="minorEastAsia"/>
          <w:sz w:val="21"/>
          <w:szCs w:val="21"/>
        </w:rPr>
        <w:t>拟安排的项目团队成员情况</w:t>
      </w:r>
    </w:p>
    <w:p>
      <w:pPr>
        <w:numPr>
          <w:ilvl w:val="0"/>
          <w:numId w:val="3"/>
        </w:numPr>
        <w:ind w:left="425" w:leftChars="0" w:hanging="425" w:firstLineChars="0"/>
        <w:rPr>
          <w:rFonts w:hint="eastAsia"/>
          <w:szCs w:val="21"/>
        </w:rPr>
      </w:pPr>
      <w:r>
        <w:rPr>
          <w:rFonts w:hint="eastAsia"/>
          <w:szCs w:val="21"/>
        </w:rPr>
        <w:t>投标人认为需要加以说明的其他内容</w:t>
      </w:r>
    </w:p>
    <w:p>
      <w:pPr>
        <w:pageBreakBefore w:val="0"/>
        <w:kinsoku/>
        <w:wordWrap/>
        <w:overflowPunct/>
        <w:topLinePunct w:val="0"/>
        <w:autoSpaceDE/>
        <w:autoSpaceDN/>
        <w:bidi w:val="0"/>
        <w:spacing w:line="320" w:lineRule="atLeast"/>
        <w:rPr>
          <w:rFonts w:ascii="宋体" w:hAnsi="宋体"/>
          <w:b/>
          <w:sz w:val="24"/>
          <w:szCs w:val="24"/>
        </w:rPr>
      </w:pPr>
      <w:r>
        <w:rPr>
          <w:rFonts w:hint="eastAsia" w:ascii="宋体" w:hAnsi="宋体"/>
          <w:b/>
          <w:sz w:val="24"/>
          <w:szCs w:val="24"/>
        </w:rPr>
        <w:t>备注：</w:t>
      </w:r>
    </w:p>
    <w:p>
      <w:pPr>
        <w:pageBreakBefore w:val="0"/>
        <w:kinsoku/>
        <w:wordWrap/>
        <w:overflowPunct/>
        <w:topLinePunct w:val="0"/>
        <w:autoSpaceDE/>
        <w:autoSpaceDN/>
        <w:bidi w:val="0"/>
        <w:snapToGrid w:val="0"/>
        <w:spacing w:line="320" w:lineRule="atLeast"/>
        <w:ind w:firstLine="482" w:firstLineChars="200"/>
        <w:rPr>
          <w:rFonts w:ascii="宋体" w:hAnsi="宋体"/>
          <w:b/>
          <w:sz w:val="24"/>
          <w:szCs w:val="24"/>
        </w:rPr>
      </w:pPr>
      <w:r>
        <w:rPr>
          <w:rFonts w:hint="eastAsia" w:ascii="宋体" w:hAnsi="宋体"/>
          <w:b/>
          <w:sz w:val="24"/>
          <w:szCs w:val="24"/>
        </w:rPr>
        <w:t>1.本项目为网上电子投标项目，投标文件不需法人或授权委托人另行签字，无需加盖单位公章，招标文件另有规定的除外。</w:t>
      </w:r>
    </w:p>
    <w:p>
      <w:pPr>
        <w:pageBreakBefore w:val="0"/>
        <w:kinsoku/>
        <w:wordWrap/>
        <w:overflowPunct/>
        <w:topLinePunct w:val="0"/>
        <w:autoSpaceDE/>
        <w:autoSpaceDN/>
        <w:bidi w:val="0"/>
        <w:snapToGrid w:val="0"/>
        <w:spacing w:line="320" w:lineRule="atLeast"/>
        <w:ind w:firstLine="482" w:firstLineChars="200"/>
        <w:rPr>
          <w:rFonts w:ascii="宋体" w:hAnsi="宋体" w:eastAsia="黑体" w:cs="Times New Roman"/>
          <w:bCs/>
          <w:kern w:val="44"/>
          <w:sz w:val="32"/>
          <w:szCs w:val="32"/>
        </w:rPr>
      </w:pPr>
      <w:bookmarkStart w:id="21" w:name="_Hlk72263559"/>
      <w:r>
        <w:rPr>
          <w:rFonts w:hint="eastAsia" w:ascii="宋体" w:hAnsi="宋体"/>
          <w:b/>
          <w:sz w:val="24"/>
          <w:szCs w:val="24"/>
        </w:rPr>
        <w:t>2.关于填写“开标一览表”的说明：“开标一览表”中除“投标总价”外，其他信息不作评审依据。</w:t>
      </w:r>
      <w:bookmarkEnd w:id="17"/>
      <w:bookmarkEnd w:id="21"/>
      <w:r>
        <w:rPr>
          <w:rFonts w:ascii="宋体" w:hAnsi="宋体" w:eastAsia="黑体" w:cs="Times New Roman"/>
          <w:bCs/>
          <w:kern w:val="44"/>
          <w:sz w:val="32"/>
          <w:szCs w:val="32"/>
        </w:rPr>
        <w:br w:type="page"/>
      </w:r>
    </w:p>
    <w:p>
      <w:pPr>
        <w:widowControl/>
        <w:jc w:val="left"/>
        <w:outlineLvl w:val="2"/>
        <w:rPr>
          <w:rFonts w:ascii="宋体" w:hAnsi="宋体" w:eastAsia="宋体" w:cs="宋体"/>
          <w:b/>
          <w:color w:val="FF0000"/>
          <w:kern w:val="0"/>
          <w:sz w:val="32"/>
          <w:szCs w:val="32"/>
        </w:rPr>
      </w:pPr>
      <w:r>
        <w:rPr>
          <w:rFonts w:hint="eastAsia" w:ascii="宋体" w:hAnsi="宋体" w:eastAsia="宋体" w:cs="宋体"/>
          <w:b/>
          <w:color w:val="FF0000"/>
          <w:kern w:val="0"/>
          <w:sz w:val="32"/>
          <w:szCs w:val="32"/>
        </w:rPr>
        <w:t>（一）投标文件正文</w:t>
      </w:r>
    </w:p>
    <w:p>
      <w:pPr>
        <w:pStyle w:val="6"/>
        <w:jc w:val="center"/>
        <w:rPr>
          <w:rFonts w:ascii="黑体" w:eastAsia="黑体"/>
          <w:b w:val="0"/>
          <w:kern w:val="0"/>
          <w:sz w:val="24"/>
        </w:rPr>
      </w:pPr>
      <w:r>
        <w:rPr>
          <w:rFonts w:hint="eastAsia" w:ascii="黑体" w:eastAsia="黑体"/>
          <w:b w:val="0"/>
          <w:kern w:val="0"/>
          <w:sz w:val="24"/>
        </w:rPr>
        <w:t>一、投标函</w:t>
      </w:r>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rPr>
        <w:t>深圳公共资源交易中心</w:t>
      </w:r>
      <w:r>
        <w:rPr>
          <w:rFonts w:hint="eastAsia" w:ascii="宋体" w:hAnsi="宋体"/>
          <w:szCs w:val="21"/>
          <w:u w:val="single"/>
        </w:rPr>
        <w:t xml:space="preserve">  </w:t>
      </w:r>
    </w:p>
    <w:p>
      <w:pPr>
        <w:ind w:firstLine="420" w:firstLineChars="200"/>
        <w:rPr>
          <w:rFonts w:ascii="宋体" w:hAnsi="宋体"/>
          <w:szCs w:val="21"/>
        </w:rPr>
      </w:pPr>
      <w:bookmarkStart w:id="22" w:name="_Hlk73818812"/>
      <w:r>
        <w:rPr>
          <w:rFonts w:hint="eastAsia"/>
          <w:szCs w:val="21"/>
        </w:rPr>
        <w:t>1、根据已收到贵单位的项目编号为</w:t>
      </w:r>
      <w:r>
        <w:rPr>
          <w:rFonts w:hint="eastAsia"/>
          <w:szCs w:val="21"/>
          <w:u w:val="thick"/>
        </w:rPr>
        <w:t xml:space="preserve">        </w:t>
      </w:r>
      <w:r>
        <w:rPr>
          <w:rFonts w:hint="eastAsia"/>
          <w:szCs w:val="21"/>
        </w:rPr>
        <w:t>的</w:t>
      </w:r>
      <w:r>
        <w:rPr>
          <w:rFonts w:hint="eastAsia"/>
          <w:szCs w:val="21"/>
          <w:u w:val="thick"/>
        </w:rPr>
        <w:t xml:space="preserve">    </w:t>
      </w:r>
      <w:r>
        <w:rPr>
          <w:rFonts w:hint="eastAsia" w:eastAsia="宋体"/>
          <w:szCs w:val="21"/>
          <w:u w:val="thick"/>
          <w:lang w:eastAsia="zh-CN"/>
        </w:rPr>
        <w:t>（</w:t>
      </w:r>
      <w:r>
        <w:rPr>
          <w:rFonts w:hint="eastAsia"/>
          <w:szCs w:val="21"/>
          <w:u w:val="thick"/>
        </w:rPr>
        <w:t>项目</w:t>
      </w:r>
      <w:r>
        <w:rPr>
          <w:rFonts w:hint="eastAsia" w:ascii="Times New Roman" w:eastAsia="宋体"/>
          <w:szCs w:val="21"/>
          <w:u w:val="thick"/>
          <w:lang w:val="en-US" w:eastAsia="zh-CN"/>
        </w:rPr>
        <w:t>名称</w:t>
      </w:r>
      <w:r>
        <w:rPr>
          <w:rFonts w:hint="eastAsia" w:eastAsia="宋体"/>
          <w:szCs w:val="21"/>
          <w:u w:val="thick"/>
          <w:lang w:eastAsia="zh-CN"/>
        </w:rPr>
        <w:t>）</w:t>
      </w:r>
      <w:r>
        <w:rPr>
          <w:rFonts w:hint="eastAsia"/>
          <w:szCs w:val="21"/>
          <w:u w:val="thick"/>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23" w:name="_Hlk72263588"/>
      <w:r>
        <w:rPr>
          <w:rFonts w:hint="eastAsia"/>
          <w:szCs w:val="21"/>
        </w:rPr>
        <w:t>愿意按照招标文件要求承包上述项目并修补其任何缺陷。</w:t>
      </w:r>
      <w:bookmarkEnd w:id="23"/>
    </w:p>
    <w:p>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投标书编制软件中《开标一览表》中填写的投标总价。</w:t>
      </w:r>
    </w:p>
    <w:p>
      <w:pPr>
        <w:ind w:firstLine="420" w:firstLineChars="200"/>
        <w:rPr>
          <w:rFonts w:ascii="宋体" w:hAnsi="宋体"/>
          <w:szCs w:val="21"/>
        </w:rPr>
      </w:pPr>
      <w:r>
        <w:rPr>
          <w:rFonts w:hint="eastAsia" w:ascii="宋体" w:hAnsi="宋体"/>
          <w:szCs w:val="21"/>
        </w:rPr>
        <w:t>3、如果我单位中标，我单位将按照招标文件的要求足额提交履约担保。</w:t>
      </w:r>
    </w:p>
    <w:p>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pPr>
        <w:ind w:left="420" w:leftChars="200"/>
        <w:rPr>
          <w:rFonts w:hint="eastAsia" w:ascii="宋体" w:hAnsi="宋体"/>
          <w:szCs w:val="21"/>
        </w:rPr>
      </w:pPr>
      <w:r>
        <w:rPr>
          <w:rFonts w:hint="eastAsia" w:ascii="宋体" w:hAnsi="宋体"/>
          <w:szCs w:val="21"/>
        </w:rPr>
        <w:t>6、我单位理解贵单位将不受必须接受所收到的最低报价或其它任何投标文件的约束。</w:t>
      </w:r>
      <w:bookmarkEnd w:id="22"/>
    </w:p>
    <w:p>
      <w:pPr>
        <w:ind w:left="420" w:leftChars="200"/>
        <w:rPr>
          <w:rFonts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pPr>
        <w:ind w:left="420" w:leftChars="200" w:firstLine="210" w:firstLineChars="100"/>
        <w:rPr>
          <w:rFonts w:hint="eastAsia"/>
          <w:szCs w:val="21"/>
          <w:u w:val="none"/>
          <w:lang w:eastAsia="zh-CN"/>
        </w:rPr>
      </w:pPr>
      <w:r>
        <w:rPr>
          <w:rFonts w:hint="eastAsia"/>
          <w:szCs w:val="21"/>
        </w:rPr>
        <w:t>投标人：</w:t>
      </w:r>
      <w:r>
        <w:rPr>
          <w:rFonts w:hint="eastAsia"/>
          <w:szCs w:val="21"/>
          <w:u w:val="thick"/>
        </w:rPr>
        <w:t xml:space="preserve">       </w:t>
      </w:r>
      <w:r>
        <w:rPr>
          <w:rFonts w:hint="eastAsia" w:eastAsia="宋体"/>
          <w:szCs w:val="21"/>
          <w:lang w:eastAsia="zh-CN"/>
        </w:rPr>
        <w:t>；</w:t>
      </w:r>
      <w:r>
        <w:rPr>
          <w:rFonts w:hint="eastAsia"/>
          <w:szCs w:val="21"/>
        </w:rPr>
        <w:t xml:space="preserve">  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pPr>
        <w:ind w:left="420" w:leftChars="200" w:firstLine="210" w:firstLineChars="100"/>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eastAsia="宋体"/>
          <w:szCs w:val="21"/>
          <w:u w:val="none"/>
          <w:lang w:eastAsia="zh-CN"/>
        </w:rPr>
        <w:t>；</w:t>
      </w:r>
    </w:p>
    <w:p>
      <w:pPr>
        <w:ind w:left="420" w:leftChars="200" w:firstLine="210" w:firstLineChars="100"/>
        <w:rPr>
          <w:rFonts w:hint="eastAsia"/>
          <w:szCs w:val="21"/>
          <w:u w:val="none"/>
          <w:lang w:eastAsia="zh-CN"/>
        </w:rPr>
      </w:pPr>
      <w:r>
        <w:rPr>
          <w:rFonts w:hint="eastAsia" w:ascii="Times New Roman" w:eastAsia="宋体"/>
          <w:szCs w:val="21"/>
          <w:lang w:val="en-US" w:eastAsia="zh-CN"/>
        </w:rPr>
        <w:t>开户银行名称：</w:t>
      </w:r>
      <w:r>
        <w:rPr>
          <w:rFonts w:hint="eastAsia"/>
          <w:szCs w:val="21"/>
          <w:u w:val="thick"/>
        </w:rPr>
        <w:t xml:space="preserve">                        </w:t>
      </w:r>
      <w:r>
        <w:rPr>
          <w:rFonts w:hint="eastAsia" w:eastAsia="宋体"/>
          <w:szCs w:val="21"/>
          <w:u w:val="none"/>
          <w:lang w:eastAsia="zh-CN"/>
        </w:rPr>
        <w:t>；</w:t>
      </w:r>
    </w:p>
    <w:p>
      <w:pPr>
        <w:ind w:left="420" w:leftChars="200" w:firstLine="210" w:firstLineChars="100"/>
        <w:rPr>
          <w:rFonts w:hint="eastAsia"/>
          <w:szCs w:val="21"/>
          <w:u w:val="none"/>
          <w:lang w:eastAsia="zh-CN"/>
        </w:rPr>
      </w:pPr>
      <w:r>
        <w:rPr>
          <w:rFonts w:hint="eastAsia" w:ascii="Times New Roman" w:eastAsia="宋体"/>
          <w:szCs w:val="21"/>
          <w:lang w:val="en-US" w:eastAsia="zh-CN"/>
        </w:rPr>
        <w:t>开户银行账号：</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pPr>
        <w:ind w:left="420" w:leftChars="200" w:firstLine="210" w:firstLineChars="100"/>
        <w:rPr>
          <w:rFonts w:hint="eastAsia"/>
          <w:szCs w:val="21"/>
          <w:u w:val="none"/>
        </w:rPr>
      </w:pPr>
      <w:r>
        <w:rPr>
          <w:rFonts w:hint="eastAsia"/>
          <w:szCs w:val="21"/>
        </w:rPr>
        <w:t>邮政编码：</w:t>
      </w:r>
      <w:r>
        <w:rPr>
          <w:rFonts w:hint="eastAsia"/>
          <w:szCs w:val="21"/>
          <w:u w:val="thick"/>
        </w:rPr>
        <w:t xml:space="preserve">          </w:t>
      </w:r>
      <w:r>
        <w:rPr>
          <w:rFonts w:hint="eastAsia"/>
          <w:szCs w:val="21"/>
        </w:rPr>
        <w:t xml:space="preserve">  电话</w:t>
      </w:r>
      <w:r>
        <w:rPr>
          <w:rFonts w:hint="eastAsia"/>
          <w:szCs w:val="21"/>
          <w:u w:val="none"/>
        </w:rPr>
        <w:t>：</w:t>
      </w:r>
      <w:r>
        <w:rPr>
          <w:rFonts w:hint="eastAsia"/>
          <w:szCs w:val="21"/>
          <w:u w:val="thick"/>
        </w:rPr>
        <w:t xml:space="preserve">         </w:t>
      </w:r>
      <w:r>
        <w:rPr>
          <w:rFonts w:hint="eastAsia"/>
          <w:szCs w:val="21"/>
        </w:rPr>
        <w:t xml:space="preserve"> 传真：</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r>
        <w:rPr>
          <w:rFonts w:hint="eastAsia"/>
          <w:szCs w:val="21"/>
          <w:u w:val="none"/>
        </w:rPr>
        <w:t xml:space="preserve">     </w:t>
      </w:r>
    </w:p>
    <w:p>
      <w:pPr>
        <w:ind w:left="420" w:leftChars="200" w:firstLine="210" w:firstLineChars="100"/>
        <w:rPr>
          <w:rFonts w:hint="eastAsia"/>
          <w:szCs w:val="21"/>
          <w:u w:val="none"/>
        </w:rPr>
      </w:pPr>
    </w:p>
    <w:p>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pPr>
        <w:ind w:left="420" w:leftChars="200"/>
        <w:rPr>
          <w:sz w:val="24"/>
        </w:rPr>
      </w:pPr>
      <w:r>
        <w:rPr>
          <w:rFonts w:hint="eastAsia"/>
          <w:sz w:val="24"/>
        </w:rPr>
        <w:t xml:space="preserve">                       </w:t>
      </w:r>
    </w:p>
    <w:p>
      <w:pPr>
        <w:rPr>
          <w:rFonts w:ascii="黑体" w:hAnsi="宋体" w:eastAsia="黑体"/>
        </w:rPr>
      </w:pPr>
    </w:p>
    <w:p>
      <w:pPr>
        <w:rPr>
          <w:rFonts w:ascii="宋体" w:hAnsi="宋体"/>
          <w:szCs w:val="21"/>
        </w:rPr>
      </w:pPr>
    </w:p>
    <w:p>
      <w:pPr>
        <w:pStyle w:val="6"/>
        <w:jc w:val="center"/>
        <w:rPr>
          <w:rFonts w:ascii="黑体" w:eastAsia="黑体"/>
          <w:b w:val="0"/>
          <w:kern w:val="0"/>
          <w:sz w:val="24"/>
        </w:rPr>
      </w:pPr>
      <w:r>
        <w:rPr>
          <w:rFonts w:hint="eastAsia" w:ascii="黑体" w:eastAsia="黑体"/>
          <w:b w:val="0"/>
          <w:kern w:val="0"/>
          <w:sz w:val="24"/>
        </w:rPr>
        <w:t>二、政府采购投标及履约承诺函</w:t>
      </w:r>
    </w:p>
    <w:p>
      <w:pPr>
        <w:rPr>
          <w:rFonts w:ascii="宋体" w:hAnsi="宋体"/>
          <w:sz w:val="24"/>
        </w:rPr>
      </w:pPr>
    </w:p>
    <w:p>
      <w:pPr>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pPr>
        <w:ind w:right="-815" w:firstLine="420" w:firstLineChars="200"/>
        <w:rPr>
          <w:rFonts w:ascii="宋体" w:hAnsi="宋体"/>
          <w:szCs w:val="21"/>
        </w:rPr>
      </w:pPr>
      <w:r>
        <w:rPr>
          <w:rFonts w:hint="eastAsia" w:ascii="宋体" w:hAnsi="宋体"/>
          <w:szCs w:val="21"/>
        </w:rPr>
        <w:t>我单位承诺：</w:t>
      </w:r>
    </w:p>
    <w:p>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pPr>
        <w:ind w:firstLine="420" w:firstLineChars="200"/>
        <w:rPr>
          <w:rFonts w:hint="eastAsia"/>
          <w:lang w:eastAsia="zh-CN"/>
        </w:rPr>
      </w:pPr>
      <w:r>
        <w:rPr>
          <w:rFonts w:hint="eastAsia" w:ascii="宋体" w:hAnsi="宋体"/>
          <w:szCs w:val="21"/>
        </w:rPr>
        <w:t>4.我单位</w:t>
      </w:r>
      <w:r>
        <w:rPr>
          <w:rFonts w:hint="eastAsia"/>
        </w:rPr>
        <w:t>未被列入失信被执行人、重大税收违法案件当事人名单、政府采购严重违法失信行为记录名单</w:t>
      </w:r>
      <w:r>
        <w:rPr>
          <w:rFonts w:hint="eastAsia"/>
          <w:lang w:eastAsia="zh-CN"/>
        </w:rPr>
        <w:t>。</w:t>
      </w:r>
    </w:p>
    <w:p>
      <w:pPr>
        <w:ind w:firstLine="420" w:firstLineChars="200"/>
        <w:rPr>
          <w:rFonts w:hint="eastAsia"/>
          <w:lang w:eastAsia="zh-CN"/>
        </w:rPr>
      </w:pPr>
      <w:r>
        <w:rPr>
          <w:rFonts w:hint="eastAsia" w:ascii="Times New Roman" w:eastAsia="宋体"/>
          <w:color w:val="FF0000"/>
          <w:lang w:val="en-US" w:eastAsia="zh-CN"/>
        </w:rPr>
        <w:t>5.我单位不存在《深圳市财政局政府采购供应商信用信息管理办法》（深财规〔2023〕3号）列明的严重违法失信行为。</w:t>
      </w:r>
    </w:p>
    <w:p>
      <w:pPr>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hint="eastAsia" w:ascii="宋体" w:hAnsi="宋体"/>
          <w:szCs w:val="21"/>
          <w:lang w:val="en-US" w:eastAsia="zh-CN"/>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rPr>
      </w:pPr>
      <w:r>
        <w:rPr>
          <w:rFonts w:hint="eastAsia" w:ascii="宋体" w:hAnsi="宋体"/>
          <w:szCs w:val="21"/>
          <w:lang w:val="en-US" w:eastAsia="zh-CN"/>
        </w:rPr>
        <w:t>9</w:t>
      </w:r>
      <w:r>
        <w:rPr>
          <w:rFonts w:hint="eastAsia" w:ascii="宋体" w:hAnsi="宋体"/>
          <w:szCs w:val="21"/>
        </w:rPr>
        <w:t>.我单位承诺中标后项目不转包，未经采购人同意不进行分包。</w:t>
      </w:r>
    </w:p>
    <w:p>
      <w:pPr>
        <w:ind w:firstLine="420" w:firstLineChars="200"/>
        <w:rPr>
          <w:rFonts w:ascii="宋体" w:hAnsi="宋体"/>
        </w:rPr>
      </w:pPr>
      <w:r>
        <w:rPr>
          <w:rFonts w:hint="eastAsia" w:ascii="宋体" w:hAnsi="宋体"/>
          <w:szCs w:val="21"/>
          <w:lang w:val="en-US" w:eastAsia="zh-CN"/>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ascii="宋体" w:hAnsi="宋体" w:cs="宋体"/>
          <w:b/>
          <w:kern w:val="0"/>
          <w:szCs w:val="21"/>
        </w:rPr>
      </w:pPr>
      <w:r>
        <w:rPr>
          <w:rFonts w:hint="eastAsia" w:ascii="宋体" w:hAnsi="宋体"/>
        </w:rPr>
        <w:t>1</w:t>
      </w:r>
      <w:r>
        <w:rPr>
          <w:rFonts w:hint="eastAsia" w:ascii="宋体" w:hAnsi="宋体"/>
          <w:lang w:val="en-US" w:eastAsia="zh-CN"/>
        </w:rPr>
        <w:t>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r>
        <w:rPr>
          <w:rFonts w:hint="eastAsia" w:ascii="宋体" w:hAnsi="宋体"/>
          <w:lang w:val="en-US" w:eastAsia="zh-CN"/>
        </w:rPr>
        <w:t>若所投产品包括数据中心相关设备的，应满足</w:t>
      </w:r>
      <w:r>
        <w:rPr>
          <w:rFonts w:hint="eastAsia"/>
        </w:rPr>
        <w:t>《财政部 生态环境部 工业和信息化部关于印发&lt;绿色数据中心政府采购需求标准（试行）&gt;的通知》</w:t>
      </w:r>
      <w:r>
        <w:rPr>
          <w:rFonts w:hint="eastAsia" w:eastAsia="宋体"/>
          <w:lang w:eastAsia="zh-CN"/>
        </w:rPr>
        <w:t>（</w:t>
      </w:r>
      <w:r>
        <w:rPr>
          <w:rFonts w:hint="eastAsia"/>
        </w:rPr>
        <w:t>财库〔2023〕7号）</w:t>
      </w:r>
      <w:r>
        <w:rPr>
          <w:rFonts w:hint="eastAsia" w:ascii="Times New Roman" w:eastAsia="宋体"/>
          <w:lang w:val="en-US" w:eastAsia="zh-CN"/>
        </w:rPr>
        <w:t>要求。若所投产品涉及国家强制性标准的，所投产品应符合国家强制性标准相关要求。</w:t>
      </w:r>
    </w:p>
    <w:p>
      <w:pPr>
        <w:ind w:firstLine="420" w:firstLineChars="200"/>
        <w:rPr>
          <w:rFonts w:hint="eastAsia" w:ascii="宋体" w:hAnsi="宋体"/>
          <w:b w:val="0"/>
          <w:bCs/>
        </w:rPr>
      </w:pPr>
      <w:r>
        <w:rPr>
          <w:rFonts w:hint="eastAsia" w:ascii="宋体" w:hAnsi="宋体" w:cs="宋体"/>
          <w:b w:val="0"/>
          <w:bCs/>
          <w:kern w:val="0"/>
          <w:szCs w:val="21"/>
        </w:rPr>
        <w:t>1</w:t>
      </w:r>
      <w:r>
        <w:rPr>
          <w:rFonts w:hint="eastAsia" w:ascii="宋体" w:hAnsi="宋体" w:cs="宋体"/>
          <w:b w:val="0"/>
          <w:bCs/>
          <w:kern w:val="0"/>
          <w:szCs w:val="21"/>
          <w:lang w:val="en-US" w:eastAsia="zh-CN"/>
        </w:rPr>
        <w:t>2</w:t>
      </w:r>
      <w:r>
        <w:rPr>
          <w:rFonts w:hint="eastAsia" w:ascii="宋体" w:hAnsi="宋体" w:cs="宋体"/>
          <w:b w:val="0"/>
          <w:bCs/>
          <w:kern w:val="0"/>
          <w:szCs w:val="21"/>
        </w:rPr>
        <w:t>.</w:t>
      </w:r>
      <w:r>
        <w:rPr>
          <w:rFonts w:hint="eastAsia" w:ascii="宋体" w:hAnsi="宋体"/>
          <w:b w:val="0"/>
          <w:bCs/>
        </w:rPr>
        <w:t>我单位已知悉并同意中标（成交）结果信息公示（公开）的内容。</w:t>
      </w:r>
    </w:p>
    <w:p>
      <w:pPr>
        <w:ind w:firstLine="420" w:firstLineChars="200"/>
        <w:rPr>
          <w:rFonts w:hint="eastAsia" w:ascii="宋体" w:hAnsi="宋体"/>
          <w:b w:val="0"/>
          <w:bCs/>
        </w:rPr>
      </w:pPr>
      <w:r>
        <w:rPr>
          <w:rFonts w:hint="eastAsia" w:ascii="宋体" w:hAnsi="宋体"/>
          <w:b w:val="0"/>
          <w:bCs/>
        </w:rPr>
        <w:t>1</w:t>
      </w:r>
      <w:r>
        <w:rPr>
          <w:rFonts w:hint="eastAsia" w:ascii="宋体" w:hAnsi="宋体"/>
          <w:b w:val="0"/>
          <w:bCs/>
          <w:lang w:val="en-US" w:eastAsia="zh-CN"/>
        </w:rPr>
        <w:t>3</w:t>
      </w:r>
      <w:r>
        <w:rPr>
          <w:rFonts w:hint="eastAsia" w:ascii="宋体" w:hAnsi="宋体"/>
          <w:b w:val="0"/>
          <w:bCs/>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b w:val="0"/>
          <w:bCs/>
          <w:color w:val="FF0000"/>
          <w:lang w:val="en-US" w:eastAsia="zh-CN"/>
        </w:rPr>
        <w:t>若</w:t>
      </w:r>
      <w:r>
        <w:rPr>
          <w:rFonts w:hint="eastAsia" w:ascii="宋体" w:hAnsi="宋体"/>
          <w:b w:val="0"/>
          <w:bCs/>
          <w:color w:val="FF0000"/>
        </w:rPr>
        <w:t>存在“不同供应商的董事、股东或其他高级管理人员为同一人的”情形的，</w:t>
      </w:r>
      <w:r>
        <w:rPr>
          <w:rFonts w:hint="eastAsia" w:ascii="宋体" w:hAnsi="宋体"/>
          <w:b w:val="0"/>
          <w:bCs/>
          <w:color w:val="FF0000"/>
          <w:lang w:val="en-US" w:eastAsia="zh-CN"/>
        </w:rPr>
        <w:t>我单位保证</w:t>
      </w:r>
      <w:r>
        <w:rPr>
          <w:rFonts w:hint="eastAsia" w:ascii="宋体" w:hAnsi="宋体"/>
          <w:b w:val="0"/>
          <w:bCs/>
          <w:color w:val="FF0000"/>
        </w:rPr>
        <w:t>不存在串通投标、恶意串通或者视为串通投标的情形</w:t>
      </w:r>
      <w:r>
        <w:rPr>
          <w:rFonts w:hint="eastAsia" w:ascii="宋体" w:hAnsi="宋体"/>
          <w:b w:val="0"/>
          <w:bCs/>
          <w:color w:val="FF0000"/>
          <w:lang w:eastAsia="zh-CN"/>
        </w:rPr>
        <w:t>。</w:t>
      </w:r>
    </w:p>
    <w:p>
      <w:pPr>
        <w:ind w:firstLine="422" w:firstLineChars="200"/>
        <w:rPr>
          <w:rFonts w:ascii="宋体" w:hAnsi="宋体"/>
          <w:b/>
        </w:rPr>
      </w:pPr>
      <w:r>
        <w:rPr>
          <w:rFonts w:hint="eastAsia" w:ascii="宋体" w:hAnsi="宋体"/>
          <w:b/>
          <w:bCs w:val="0"/>
          <w:sz w:val="21"/>
          <w:lang w:val="en-US" w:eastAsia="zh-CN"/>
        </w:rPr>
        <w:t>14.我单位清楚，如存在违反投标承诺行为情节严重的，将根据《深圳市财政局关于印发&lt;深圳市财政局政府采购供应商信用信息管理办法&gt;的通知》，依法被列入失信信息。</w:t>
      </w:r>
    </w:p>
    <w:p>
      <w:pPr>
        <w:pStyle w:val="2"/>
        <w:ind w:firstLine="482" w:firstLineChars="200"/>
        <w:rPr>
          <w:rFonts w:ascii="宋体" w:hAnsi="宋体"/>
        </w:rPr>
      </w:pPr>
    </w:p>
    <w:p>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pPr>
        <w:spacing w:before="60" w:beforeLines="25" w:after="60" w:afterLines="25"/>
        <w:ind w:firstLine="5460" w:firstLineChars="2600"/>
        <w:rPr>
          <w:rFonts w:ascii="宋体" w:hAnsi="宋体"/>
          <w:szCs w:val="21"/>
        </w:rPr>
      </w:pPr>
      <w:r>
        <w:rPr>
          <w:rFonts w:hint="eastAsia" w:ascii="宋体" w:hAnsi="宋体"/>
          <w:szCs w:val="21"/>
        </w:rPr>
        <w:t xml:space="preserve">                                    </w:t>
      </w:r>
    </w:p>
    <w:p>
      <w:pPr>
        <w:spacing w:before="60" w:beforeLines="25" w:after="60" w:afterLines="25"/>
        <w:ind w:firstLine="5460" w:firstLineChars="2600"/>
        <w:rPr>
          <w:color w:val="FF0000"/>
        </w:rPr>
      </w:pPr>
      <w:r>
        <w:rPr>
          <w:rFonts w:hint="eastAsia"/>
          <w:color w:val="FF0000"/>
          <w:szCs w:val="21"/>
        </w:rPr>
        <w:t>投标人：</w:t>
      </w:r>
      <w:r>
        <w:rPr>
          <w:rFonts w:hint="eastAsia"/>
          <w:color w:val="FF0000"/>
          <w:szCs w:val="21"/>
          <w:u w:val="single"/>
        </w:rPr>
        <w:t xml:space="preserve">              </w:t>
      </w:r>
    </w:p>
    <w:p>
      <w:pPr>
        <w:ind w:firstLine="645"/>
        <w:rPr>
          <w:rFonts w:ascii="宋体" w:hAnsi="宋体"/>
          <w:color w:val="FF0000"/>
          <w:szCs w:val="21"/>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p/>
    <w:p>
      <w:pPr>
        <w:pStyle w:val="6"/>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pPr>
        <w:ind w:firstLine="2640" w:firstLineChars="1100"/>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pPr>
        <w:spacing w:before="120" w:beforeLines="50"/>
        <w:ind w:firstLine="422"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w:t>
      </w:r>
    </w:p>
    <w:p>
      <w:pPr>
        <w:ind w:firstLine="482" w:firstLineChars="200"/>
        <w:rPr>
          <w:b/>
          <w:sz w:val="24"/>
        </w:rPr>
      </w:pPr>
    </w:p>
    <w:p>
      <w:pPr>
        <w:ind w:firstLine="480" w:firstLineChars="200"/>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pPr>
        <w:jc w:val="left"/>
        <w:outlineLvl w:val="3"/>
        <w:rPr>
          <w:rFonts w:ascii="黑体" w:hAnsi="宋体" w:eastAsia="黑体"/>
          <w:bCs/>
          <w:kern w:val="0"/>
          <w:sz w:val="24"/>
          <w:szCs w:val="32"/>
        </w:rPr>
      </w:pP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填写指引：</w:t>
      </w:r>
    </w:p>
    <w:p>
      <w:pPr>
        <w:ind w:firstLine="420" w:firstLineChars="200"/>
        <w:outlineLvl w:val="3"/>
        <w:rPr>
          <w:rFonts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pPr>
        <w:ind w:firstLine="420" w:firstLineChars="200"/>
        <w:outlineLvl w:val="3"/>
        <w:rPr>
          <w:rFonts w:ascii="黑体" w:hAnsi="黑体" w:eastAsia="黑体"/>
          <w:color w:val="FF0000"/>
          <w:szCs w:val="21"/>
        </w:rPr>
      </w:pPr>
      <w:r>
        <w:rPr>
          <w:rFonts w:hint="eastAsia" w:ascii="黑体" w:hAnsi="黑体" w:eastAsia="黑体"/>
          <w:color w:val="FF0000"/>
          <w:szCs w:val="21"/>
        </w:rPr>
        <w:t>2、该部分内容填写需要参考的相关文件：</w:t>
      </w:r>
    </w:p>
    <w:p>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24"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 号</w:t>
      </w:r>
      <w:bookmarkEnd w:id="24"/>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pPr>
        <w:ind w:firstLine="420" w:firstLineChars="200"/>
        <w:outlineLvl w:val="3"/>
        <w:rPr>
          <w:rFonts w:ascii="黑体" w:hAnsi="黑体" w:eastAsia="黑体"/>
          <w:color w:val="FF0000"/>
          <w:szCs w:val="21"/>
        </w:rPr>
      </w:pPr>
      <w:r>
        <w:rPr>
          <w:rFonts w:hint="eastAsia" w:ascii="黑体" w:hAnsi="黑体" w:eastAsia="黑体"/>
          <w:color w:val="FF0000"/>
          <w:szCs w:val="21"/>
        </w:rPr>
        <w:t>(3)《统计上大中小微型企业划分办法(2017)》（国统字〔2017〕213 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(4)《关于促进残疾人就业政府采购政策的通知》（财库〔2017〕141号）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第二处，在“项目名称”下划线处如实填写采购项目名称；</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三处，在“标的名称”下划线处填写所采购服务（标的）的具体名称（以招标文件第一册第三章用户需求书“服务需求明细”的“服务需求名称”一栏为准）；如果涉及多项服务（标的）为同一企业制造，“标的名称”下划线处可以如实填写多项服务；</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第四处，在“招标文件中明确的所属行业”下划线处填写采购标的对应的中小企业划分标准所属行业（所属行业可在招标文件第一册第二章“对通用条款的补充内容及其他关键信息”章节查看）；</w:t>
      </w:r>
    </w:p>
    <w:p>
      <w:pPr>
        <w:ind w:firstLine="420" w:firstLineChars="200"/>
        <w:outlineLvl w:val="3"/>
        <w:rPr>
          <w:rFonts w:hint="eastAsia" w:ascii="黑体" w:hAnsi="宋体" w:eastAsia="黑体"/>
          <w:bCs/>
          <w:color w:val="FF0000"/>
          <w:kern w:val="0"/>
          <w:szCs w:val="21"/>
          <w:lang w:eastAsia="zh-CN"/>
        </w:rPr>
      </w:pPr>
      <w:r>
        <w:rPr>
          <w:rFonts w:hint="eastAsia" w:ascii="黑体" w:hAnsi="宋体" w:eastAsia="黑体"/>
          <w:bCs/>
          <w:color w:val="FF0000"/>
          <w:kern w:val="0"/>
          <w:szCs w:val="21"/>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w:t>
      </w:r>
      <w:r>
        <w:rPr>
          <w:rFonts w:hint="eastAsia" w:ascii="黑体" w:hAnsi="宋体" w:eastAsia="黑体"/>
          <w:bCs/>
          <w:color w:val="FF0000"/>
          <w:kern w:val="0"/>
          <w:szCs w:val="21"/>
          <w:lang w:val="en-US" w:eastAsia="zh-CN"/>
        </w:rPr>
        <w:t>供应商</w:t>
      </w:r>
      <w:r>
        <w:rPr>
          <w:rFonts w:hint="eastAsia" w:ascii="黑体" w:hAnsi="宋体" w:eastAsia="黑体"/>
          <w:bCs/>
          <w:color w:val="FF0000"/>
          <w:kern w:val="0"/>
          <w:szCs w:val="21"/>
        </w:rPr>
        <w:t>所属行业应当与招标文件要求的行业相一致，供应商如有疑问，可根据《国民经济行业分类》（GB/T 4754-2017），结合《关于印发中小企业划型标准规定的通知》（工信部联企业〔2011〕300号）进行判断。事业单位、社会组织等非企业主体不享受中小企业扶持政策</w:t>
      </w:r>
      <w:r>
        <w:rPr>
          <w:rFonts w:hint="eastAsia" w:ascii="黑体" w:hAnsi="宋体" w:eastAsia="黑体"/>
          <w:bCs/>
          <w:color w:val="FF0000"/>
          <w:kern w:val="0"/>
          <w:szCs w:val="21"/>
          <w:lang w:eastAsia="zh-CN"/>
        </w:rPr>
        <w:t>。</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（2）声明是残疾人福利性单位须填写《残疾人福利性单位声明函》的相关内容，具体参照以上《中小企业声明函》填写要求执行。</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（3）声明是监狱企业须填写《监狱企业声明函》的三项内容（填写位置的字体已加粗），具体参照以上《中小企业声明函》填写要求执行。</w:t>
      </w:r>
    </w:p>
    <w:p>
      <w:pPr>
        <w:ind w:firstLine="420" w:firstLineChars="200"/>
      </w:pPr>
      <w:r>
        <w:rPr>
          <w:rFonts w:hint="eastAsia" w:ascii="黑体" w:hAnsi="宋体" w:eastAsia="黑体"/>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ind w:firstLine="420" w:firstLineChars="200"/>
      </w:pPr>
    </w:p>
    <w:p>
      <w:pPr>
        <w:ind w:firstLine="420" w:firstLineChars="200"/>
      </w:pPr>
    </w:p>
    <w:p>
      <w:pPr>
        <w:numPr>
          <w:ilvl w:val="0"/>
          <w:numId w:val="4"/>
        </w:numPr>
        <w:jc w:val="center"/>
        <w:outlineLvl w:val="3"/>
        <w:rPr>
          <w:b/>
          <w:sz w:val="24"/>
        </w:rPr>
      </w:pPr>
      <w:r>
        <w:rPr>
          <w:b/>
          <w:sz w:val="24"/>
        </w:rPr>
        <w:t>中小企业声明函（</w:t>
      </w:r>
      <w:r>
        <w:rPr>
          <w:rFonts w:hint="eastAsia"/>
          <w:b/>
          <w:sz w:val="24"/>
        </w:rPr>
        <w:t>服务</w:t>
      </w:r>
      <w:r>
        <w:rPr>
          <w:b/>
          <w:sz w:val="24"/>
        </w:rPr>
        <w:t>）</w:t>
      </w:r>
    </w:p>
    <w:p>
      <w:pPr>
        <w:pStyle w:val="2"/>
        <w:numPr>
          <w:ilvl w:val="0"/>
          <w:numId w:val="0"/>
        </w:num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采购活动，服务全部由符合政策要求的中小企业承接。相关企业（含联合体中的中小企业、签订分包意向协议的中小企业）的具体情况如下：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（标的名称）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（采购文件中明确的所属行业）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行业</w:t>
      </w:r>
      <w:r>
        <w:rPr>
          <w:rFonts w:hint="eastAsia" w:asciiTheme="minorEastAsia" w:hAnsiTheme="minorEastAsia" w:eastAsiaTheme="minorEastAsia" w:cstheme="minorEastAsia"/>
          <w:kern w:val="2"/>
          <w:sz w:val="21"/>
          <w:szCs w:val="21"/>
          <w:lang w:val="en-US" w:eastAsia="zh-CN" w:bidi="ar-SA"/>
        </w:rPr>
        <w:t>；承接企业为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（企业名称</w:t>
      </w:r>
      <w:r>
        <w:rPr>
          <w:rFonts w:hint="eastAsia" w:asciiTheme="minorEastAsia" w:hAnsiTheme="minorEastAsia" w:eastAsiaTheme="minorEastAsia" w:cstheme="minorEastAsia"/>
          <w:b/>
          <w:bCs/>
          <w:i/>
          <w:iCs/>
          <w:sz w:val="21"/>
          <w:szCs w:val="21"/>
          <w:u w:val="single"/>
          <w:lang w:eastAsia="zh-CN"/>
        </w:rPr>
        <w:t>，要求</w:t>
      </w:r>
      <w:r>
        <w:rPr>
          <w:rFonts w:hint="eastAsia" w:asciiTheme="minorEastAsia" w:hAnsiTheme="minorEastAsia" w:eastAsiaTheme="minorEastAsia" w:cstheme="minorEastAsia"/>
          <w:b/>
          <w:bCs/>
          <w:i/>
          <w:iCs/>
          <w:sz w:val="21"/>
          <w:szCs w:val="21"/>
          <w:u w:val="single"/>
          <w:lang w:val="en-US" w:eastAsia="zh-CN"/>
        </w:rPr>
        <w:t>承接企业本身</w:t>
      </w:r>
      <w:r>
        <w:rPr>
          <w:rFonts w:hint="eastAsia" w:asciiTheme="minorEastAsia" w:hAnsiTheme="minorEastAsia" w:eastAsiaTheme="minorEastAsia" w:cstheme="minorEastAsia"/>
          <w:b/>
          <w:bCs/>
          <w:i/>
          <w:iCs/>
          <w:sz w:val="21"/>
          <w:szCs w:val="21"/>
          <w:u w:val="single"/>
          <w:lang w:eastAsia="zh-CN"/>
        </w:rPr>
        <w:t>所属行业应当与招标文件要求的行业相一致</w:t>
      </w:r>
      <w:r>
        <w:rPr>
          <w:rFonts w:hint="eastAsia" w:asciiTheme="minorEastAsia" w:hAnsiTheme="minorEastAsia" w:eastAsiaTheme="minorEastAsia" w:cstheme="minorEastAsia"/>
          <w:b/>
          <w:bCs/>
          <w:i/>
          <w:iCs/>
          <w:sz w:val="21"/>
          <w:szCs w:val="21"/>
          <w:u w:val="single"/>
        </w:rPr>
        <w:t>）</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，从业人员</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人，营业收入为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万元，资产总额为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（中型企业、小型企业、微型企业）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（标的名称）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（采购文件中明确的所属行业）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行业</w:t>
      </w:r>
      <w:r>
        <w:rPr>
          <w:rFonts w:hint="eastAsia" w:asciiTheme="minorEastAsia" w:hAnsiTheme="minorEastAsia" w:eastAsiaTheme="minorEastAsia" w:cstheme="minorEastAsia"/>
          <w:kern w:val="2"/>
          <w:sz w:val="21"/>
          <w:szCs w:val="21"/>
          <w:lang w:val="en-US" w:eastAsia="zh-CN" w:bidi="ar-SA"/>
        </w:rPr>
        <w:t>；承接企业为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（企业名称</w:t>
      </w:r>
      <w:r>
        <w:rPr>
          <w:rFonts w:hint="eastAsia" w:asciiTheme="minorEastAsia" w:hAnsiTheme="minorEastAsia" w:eastAsiaTheme="minorEastAsia" w:cstheme="minorEastAsia"/>
          <w:b/>
          <w:bCs/>
          <w:i/>
          <w:iCs/>
          <w:sz w:val="21"/>
          <w:szCs w:val="21"/>
          <w:u w:val="single"/>
          <w:lang w:eastAsia="zh-CN"/>
        </w:rPr>
        <w:t>，要求</w:t>
      </w:r>
      <w:r>
        <w:rPr>
          <w:rFonts w:hint="eastAsia" w:asciiTheme="minorEastAsia" w:hAnsiTheme="minorEastAsia" w:eastAsiaTheme="minorEastAsia" w:cstheme="minorEastAsia"/>
          <w:b/>
          <w:bCs/>
          <w:i/>
          <w:iCs/>
          <w:sz w:val="21"/>
          <w:szCs w:val="21"/>
          <w:u w:val="single"/>
          <w:lang w:val="en-US" w:eastAsia="zh-CN"/>
        </w:rPr>
        <w:t>承接企业本身</w:t>
      </w:r>
      <w:r>
        <w:rPr>
          <w:rFonts w:hint="eastAsia" w:asciiTheme="minorEastAsia" w:hAnsiTheme="minorEastAsia" w:eastAsiaTheme="minorEastAsia" w:cstheme="minorEastAsia"/>
          <w:b/>
          <w:bCs/>
          <w:i/>
          <w:iCs/>
          <w:sz w:val="21"/>
          <w:szCs w:val="21"/>
          <w:u w:val="single"/>
          <w:lang w:eastAsia="zh-CN"/>
        </w:rPr>
        <w:t>所属行业应当与招标文件要求的行业相一致</w:t>
      </w:r>
      <w:r>
        <w:rPr>
          <w:rFonts w:hint="eastAsia" w:asciiTheme="minorEastAsia" w:hAnsiTheme="minorEastAsia" w:eastAsiaTheme="minorEastAsia" w:cstheme="minorEastAsia"/>
          <w:b/>
          <w:bCs/>
          <w:i/>
          <w:iCs/>
          <w:sz w:val="21"/>
          <w:szCs w:val="21"/>
          <w:u w:val="single"/>
        </w:rPr>
        <w:t>）</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，从业人员</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人，营业收入为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万元，资产总额为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（中型企业、小型企业、微型企业）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bookmarkStart w:id="25" w:name="_Hlk73562275"/>
      <w:r>
        <w:rPr>
          <w:rFonts w:hint="eastAsia" w:asciiTheme="minorEastAsia" w:hAnsiTheme="minorEastAsia" w:eastAsiaTheme="minorEastAsia" w:cstheme="minorEastAsia"/>
          <w:kern w:val="2"/>
          <w:sz w:val="21"/>
          <w:szCs w:val="21"/>
          <w:lang w:val="en-US" w:eastAsia="zh-CN" w:bidi="ar-SA"/>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25"/>
    </w:p>
    <w:p>
      <w:pPr>
        <w:ind w:firstLine="420" w:firstLineChars="200"/>
      </w:pPr>
    </w:p>
    <w:p>
      <w:pPr>
        <w:jc w:val="center"/>
        <w:outlineLvl w:val="3"/>
        <w:rPr>
          <w:b/>
          <w:sz w:val="24"/>
        </w:rPr>
      </w:pPr>
      <w:r>
        <w:rPr>
          <w:rFonts w:hint="eastAsia"/>
          <w:b/>
          <w:sz w:val="24"/>
        </w:rPr>
        <w:t>2、残疾人福利性单位声明函</w:t>
      </w:r>
      <w:r>
        <w:rPr>
          <w:rFonts w:hint="eastAsia"/>
          <w:b/>
          <w:sz w:val="24"/>
          <w:lang w:eastAsia="zh-CN"/>
        </w:rPr>
        <w:t>（</w:t>
      </w:r>
      <w:r>
        <w:rPr>
          <w:rFonts w:hint="eastAsia"/>
          <w:b/>
          <w:sz w:val="24"/>
          <w:lang w:val="en-US" w:eastAsia="zh-CN"/>
        </w:rPr>
        <w:t>服务</w:t>
      </w:r>
      <w:r>
        <w:rPr>
          <w:rFonts w:hint="eastAsia"/>
          <w:b/>
          <w:sz w:val="24"/>
        </w:rPr>
        <w:t>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单位的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项目采购活动由本单位提供服务。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本投标人已知悉《财政部民政部中国残疾人联合会关于促进残疾人就业政府采购政策的通知》（财库〔2017〕141号）的规定，承诺提供的声明函内容是真实的，如提供声明函内容不实，则依法追究相关法律责任。</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pPr>
        <w:ind w:firstLine="420" w:firstLineChars="200"/>
        <w:rPr>
          <w:rFonts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pPr>
        <w:ind w:firstLine="420" w:firstLineChars="200"/>
        <w:rPr>
          <w:rFonts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pPr>
        <w:ind w:firstLine="420" w:firstLineChars="200"/>
        <w:outlineLvl w:val="3"/>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pPr>
        <w:rPr>
          <w:rFonts w:hint="eastAsia" w:ascii="宋体" w:hAnsi="宋体" w:eastAsia="宋体" w:cs="Times New Roman"/>
          <w:b/>
          <w:bCs/>
          <w:kern w:val="0"/>
          <w:sz w:val="24"/>
          <w:szCs w:val="20"/>
        </w:rPr>
      </w:pPr>
      <w:r>
        <w:rPr>
          <w:rFonts w:hint="eastAsia" w:ascii="宋体" w:hAnsi="宋体"/>
          <w:szCs w:val="21"/>
        </w:rPr>
        <w:t>附：省级以上监狱管理局、戒毒管理局（含新疆生产建设兵团）出具的监狱企业证明文件。</w:t>
      </w:r>
      <w:r>
        <w:rPr>
          <w:rFonts w:hint="eastAsia" w:ascii="宋体" w:hAnsi="宋体" w:eastAsia="宋体" w:cs="Times New Roman"/>
          <w:b/>
          <w:bCs/>
          <w:kern w:val="0"/>
          <w:sz w:val="24"/>
          <w:szCs w:val="20"/>
        </w:rPr>
        <w:br w:type="page"/>
      </w:r>
    </w:p>
    <w:p>
      <w:pPr>
        <w:pStyle w:val="6"/>
        <w:jc w:val="center"/>
        <w:rPr>
          <w:rFonts w:ascii="黑体" w:eastAsia="黑体"/>
          <w:b w:val="0"/>
          <w:sz w:val="24"/>
          <w:szCs w:val="24"/>
        </w:rPr>
      </w:pPr>
      <w:r>
        <w:rPr>
          <w:rFonts w:hint="eastAsia" w:ascii="黑体" w:eastAsia="黑体"/>
          <w:b w:val="0"/>
          <w:sz w:val="24"/>
          <w:szCs w:val="24"/>
        </w:rPr>
        <w:t>四、项目详细报价</w:t>
      </w:r>
    </w:p>
    <w:p>
      <w:pPr>
        <w:tabs>
          <w:tab w:val="left" w:pos="720"/>
        </w:tabs>
        <w:ind w:firstLine="3132" w:firstLineChars="1300"/>
        <w:rPr>
          <w:b/>
          <w:sz w:val="24"/>
        </w:rPr>
      </w:pPr>
      <w:r>
        <w:rPr>
          <w:rFonts w:hint="eastAsia"/>
          <w:b/>
          <w:sz w:val="24"/>
        </w:rPr>
        <w:t>（一）分项报价表</w:t>
      </w:r>
    </w:p>
    <w:tbl>
      <w:tblPr>
        <w:tblStyle w:val="17"/>
        <w:tblW w:w="8613" w:type="dxa"/>
        <w:tblInd w:w="0" w:type="dxa"/>
        <w:tblLayout w:type="fixed"/>
        <w:tblCellMar>
          <w:top w:w="0" w:type="dxa"/>
          <w:left w:w="108" w:type="dxa"/>
          <w:bottom w:w="0" w:type="dxa"/>
          <w:right w:w="108" w:type="dxa"/>
        </w:tblCellMar>
      </w:tblPr>
      <w:tblGrid>
        <w:gridCol w:w="618"/>
        <w:gridCol w:w="4168"/>
        <w:gridCol w:w="1559"/>
        <w:gridCol w:w="2268"/>
      </w:tblGrid>
      <w:tr>
        <w:tblPrEx>
          <w:tblCellMar>
            <w:top w:w="0" w:type="dxa"/>
            <w:left w:w="108" w:type="dxa"/>
            <w:bottom w:w="0" w:type="dxa"/>
            <w:right w:w="108" w:type="dxa"/>
          </w:tblCellMar>
        </w:tblPrEx>
        <w:trPr>
          <w:trHeight w:val="285" w:hRule="atLeast"/>
        </w:trPr>
        <w:tc>
          <w:tcPr>
            <w:tcW w:w="618" w:type="dxa"/>
            <w:tcBorders>
              <w:top w:val="single" w:color="auto" w:sz="8" w:space="0"/>
              <w:left w:val="single" w:color="auto" w:sz="8" w:space="0"/>
              <w:bottom w:val="single" w:color="auto" w:sz="4" w:space="0"/>
              <w:right w:val="single" w:color="auto" w:sz="4" w:space="0"/>
            </w:tcBorders>
            <w:shd w:val="clear" w:color="000000" w:fill="E7E6E6"/>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4168" w:type="dxa"/>
            <w:tcBorders>
              <w:top w:val="single" w:color="auto" w:sz="8" w:space="0"/>
              <w:left w:val="nil"/>
              <w:bottom w:val="single" w:color="auto" w:sz="4" w:space="0"/>
              <w:right w:val="single" w:color="auto" w:sz="4" w:space="0"/>
            </w:tcBorders>
            <w:shd w:val="clear" w:color="000000" w:fill="E7E6E6"/>
            <w:vAlign w:val="center"/>
          </w:tcPr>
          <w:p>
            <w:pPr>
              <w:widowControl/>
              <w:jc w:val="center"/>
              <w:rPr>
                <w:rFonts w:ascii="宋体" w:hAnsi="宋体" w:cs="宋体"/>
                <w:b/>
                <w:bCs/>
                <w:kern w:val="0"/>
                <w:sz w:val="20"/>
                <w:szCs w:val="20"/>
              </w:rPr>
            </w:pPr>
            <w:r>
              <w:rPr>
                <w:rFonts w:hint="eastAsia" w:ascii="宋体" w:hAnsi="宋体" w:cs="宋体"/>
                <w:b/>
                <w:bCs/>
                <w:kern w:val="0"/>
                <w:sz w:val="20"/>
                <w:szCs w:val="20"/>
                <w:lang w:val="en-US" w:eastAsia="zh-CN"/>
              </w:rPr>
              <w:t>项目</w:t>
            </w:r>
            <w:r>
              <w:rPr>
                <w:rFonts w:hint="eastAsia" w:ascii="宋体" w:hAnsi="宋体" w:cs="宋体"/>
                <w:b/>
                <w:bCs/>
                <w:kern w:val="0"/>
                <w:sz w:val="20"/>
                <w:szCs w:val="20"/>
              </w:rPr>
              <w:t>名称</w:t>
            </w:r>
          </w:p>
        </w:tc>
        <w:tc>
          <w:tcPr>
            <w:tcW w:w="1559" w:type="dxa"/>
            <w:tcBorders>
              <w:top w:val="single" w:color="auto" w:sz="8" w:space="0"/>
              <w:left w:val="nil"/>
              <w:bottom w:val="single" w:color="auto" w:sz="4" w:space="0"/>
              <w:right w:val="single" w:color="auto" w:sz="4" w:space="0"/>
            </w:tcBorders>
            <w:shd w:val="clear" w:color="000000" w:fill="E7E6E6"/>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金额（元）</w:t>
            </w:r>
          </w:p>
        </w:tc>
        <w:tc>
          <w:tcPr>
            <w:tcW w:w="2268" w:type="dxa"/>
            <w:tcBorders>
              <w:top w:val="single" w:color="auto" w:sz="8" w:space="0"/>
              <w:left w:val="nil"/>
              <w:bottom w:val="single" w:color="auto" w:sz="4" w:space="0"/>
              <w:right w:val="single" w:color="auto" w:sz="8" w:space="0"/>
            </w:tcBorders>
            <w:shd w:val="clear" w:color="000000" w:fill="E7E6E6"/>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说明</w:t>
            </w:r>
          </w:p>
        </w:tc>
      </w:tr>
      <w:tr>
        <w:tblPrEx>
          <w:tblCellMar>
            <w:top w:w="0" w:type="dxa"/>
            <w:left w:w="108" w:type="dxa"/>
            <w:bottom w:w="0" w:type="dxa"/>
            <w:right w:w="108" w:type="dxa"/>
          </w:tblCellMar>
        </w:tblPrEx>
        <w:trPr>
          <w:trHeight w:val="285" w:hRule="atLeast"/>
        </w:trPr>
        <w:tc>
          <w:tcPr>
            <w:tcW w:w="618"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w:t>
            </w:r>
          </w:p>
        </w:tc>
        <w:tc>
          <w:tcPr>
            <w:tcW w:w="41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559" w:type="dxa"/>
            <w:tcBorders>
              <w:top w:val="single" w:color="auto" w:sz="4" w:space="0"/>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c>
          <w:tcPr>
            <w:tcW w:w="416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合计(元)</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以上各项之和</w:t>
            </w:r>
          </w:p>
        </w:tc>
      </w:tr>
    </w:tbl>
    <w:p>
      <w:pPr>
        <w:pStyle w:val="2"/>
        <w:rPr>
          <w:rFonts w:hint="default"/>
          <w:lang w:val="en-US" w:eastAsia="zh-CN"/>
        </w:rPr>
      </w:pPr>
    </w:p>
    <w:p>
      <w:pPr>
        <w:tabs>
          <w:tab w:val="left" w:pos="720"/>
        </w:tabs>
        <w:jc w:val="center"/>
        <w:rPr>
          <w:rFonts w:ascii="Arial" w:hAnsi="Arial" w:eastAsia="宋体" w:cs="Times New Roman"/>
          <w:sz w:val="24"/>
          <w:szCs w:val="24"/>
        </w:rPr>
      </w:pPr>
      <w:r>
        <w:rPr>
          <w:rFonts w:hint="eastAsia"/>
          <w:b/>
          <w:sz w:val="24"/>
        </w:rPr>
        <w:t>（二）</w:t>
      </w:r>
      <w:bookmarkStart w:id="26" w:name="_Hlk72073235"/>
      <w:r>
        <w:rPr>
          <w:rFonts w:hint="eastAsia"/>
          <w:b/>
          <w:sz w:val="24"/>
        </w:rPr>
        <w:t>投标人认为需要涉及的其他内容报价清单</w:t>
      </w:r>
      <w:bookmarkEnd w:id="26"/>
    </w:p>
    <w:p>
      <w:pPr>
        <w:jc w:val="center"/>
        <w:rPr>
          <w:b/>
          <w:bCs/>
          <w:color w:val="FF0000"/>
          <w:sz w:val="24"/>
        </w:rPr>
      </w:pPr>
    </w:p>
    <w:p>
      <w:pPr>
        <w:jc w:val="center"/>
        <w:rPr>
          <w:rFonts w:hint="eastAsia" w:ascii="宋体" w:hAnsi="宋体"/>
        </w:rPr>
      </w:pPr>
      <w:r>
        <w:rPr>
          <w:rFonts w:hint="eastAsia"/>
          <w:b/>
          <w:bCs/>
          <w:color w:val="FF0000"/>
          <w:sz w:val="24"/>
        </w:rPr>
        <w:t>★</w:t>
      </w:r>
      <w:r>
        <w:rPr>
          <w:rFonts w:hint="eastAsia" w:ascii="黑体" w:eastAsia="黑体"/>
          <w:sz w:val="24"/>
          <w:szCs w:val="24"/>
        </w:rPr>
        <w:t>五、股东构成审查表</w:t>
      </w:r>
    </w:p>
    <w:p>
      <w:pPr>
        <w:pStyle w:val="6"/>
        <w:numPr>
          <w:ilvl w:val="0"/>
          <w:numId w:val="5"/>
        </w:numPr>
        <w:spacing w:before="0" w:after="0" w:line="360" w:lineRule="auto"/>
        <w:rPr>
          <w:rFonts w:ascii="Times New Roman" w:hAnsi="Times New Roman" w:cs="Times New Roman"/>
          <w:b w:val="0"/>
          <w:bCs w:val="0"/>
          <w:sz w:val="21"/>
          <w:szCs w:val="24"/>
        </w:rPr>
      </w:pPr>
      <w:r>
        <w:rPr>
          <w:rFonts w:hint="eastAsia" w:ascii="Times New Roman" w:hAnsi="Times New Roman" w:cs="Times New Roman"/>
          <w:b w:val="0"/>
          <w:bCs w:val="0"/>
          <w:sz w:val="21"/>
          <w:szCs w:val="24"/>
        </w:rPr>
        <w:t>提供投标人所在地的市场监督管理部门“商事登记簿查询（商事主体登记及备案信息查询）”查询截图；参考示例“深圳市市场监督管理局——商事登记簿查询（商事主体登记及备案信息查询）：</w:t>
      </w:r>
      <w:r>
        <w:fldChar w:fldCharType="begin"/>
      </w:r>
      <w:r>
        <w:instrText xml:space="preserve"> HYPERLINK "https://amr.sz.gov.cn/outer/entSelect/gs.html" </w:instrText>
      </w:r>
      <w:r>
        <w:fldChar w:fldCharType="separate"/>
      </w:r>
      <w:r>
        <w:rPr>
          <w:rStyle w:val="27"/>
          <w:rFonts w:hint="eastAsia" w:ascii="Times New Roman" w:hAnsi="Times New Roman" w:cs="Times New Roman"/>
          <w:b w:val="0"/>
          <w:bCs w:val="0"/>
          <w:sz w:val="21"/>
          <w:szCs w:val="24"/>
        </w:rPr>
        <w:t>https://amr.sz.gov.cn/outer/entSelect/gs.html”。</w:t>
      </w:r>
      <w:r>
        <w:rPr>
          <w:rStyle w:val="27"/>
          <w:rFonts w:hint="eastAsia" w:ascii="Times New Roman" w:hAnsi="Times New Roman" w:cs="Times New Roman"/>
          <w:b w:val="0"/>
          <w:bCs w:val="0"/>
          <w:sz w:val="21"/>
          <w:szCs w:val="24"/>
        </w:rPr>
        <w:fldChar w:fldCharType="end"/>
      </w:r>
    </w:p>
    <w:p>
      <w:pPr>
        <w:rPr>
          <w:b/>
          <w:bCs/>
          <w:color w:val="FF0000"/>
          <w:highlight w:val="yellow"/>
        </w:rPr>
      </w:pPr>
      <w:r>
        <w:rPr>
          <w:rFonts w:hint="eastAsia"/>
          <w:b/>
          <w:bCs/>
          <w:color w:val="FF0000"/>
          <w:highlight w:val="yellow"/>
        </w:rPr>
        <w:t>提示：如果投标供应商</w:t>
      </w:r>
      <w:r>
        <w:rPr>
          <w:rFonts w:ascii="宋体" w:hAnsi="宋体"/>
          <w:b/>
          <w:bCs/>
          <w:color w:val="FF0000"/>
          <w:highlight w:val="yellow"/>
        </w:rPr>
        <w:t>存在单位负责人为同一人</w:t>
      </w:r>
      <w:r>
        <w:rPr>
          <w:rFonts w:hint="eastAsia" w:ascii="宋体" w:hAnsi="宋体"/>
          <w:b/>
          <w:bCs/>
          <w:color w:val="FF0000"/>
          <w:highlight w:val="yellow"/>
        </w:rPr>
        <w:t>，</w:t>
      </w:r>
      <w:r>
        <w:rPr>
          <w:rFonts w:ascii="宋体" w:hAnsi="宋体"/>
          <w:b/>
          <w:bCs/>
          <w:color w:val="FF0000"/>
          <w:highlight w:val="yellow"/>
        </w:rPr>
        <w:t>或者存在直接控股、</w:t>
      </w:r>
      <w:r>
        <w:rPr>
          <w:rFonts w:hint="eastAsia" w:ascii="宋体" w:hAnsi="宋体"/>
          <w:b/>
          <w:bCs/>
          <w:color w:val="FF0000"/>
          <w:highlight w:val="yellow"/>
        </w:rPr>
        <w:t>间接控股、</w:t>
      </w:r>
      <w:r>
        <w:rPr>
          <w:rFonts w:ascii="宋体" w:hAnsi="宋体"/>
          <w:b/>
          <w:bCs/>
          <w:color w:val="FF0000"/>
          <w:highlight w:val="yellow"/>
        </w:rPr>
        <w:t>管理关系</w:t>
      </w:r>
      <w:r>
        <w:rPr>
          <w:rFonts w:hint="eastAsia" w:ascii="宋体" w:hAnsi="宋体"/>
          <w:b/>
          <w:bCs/>
          <w:color w:val="FF0000"/>
          <w:highlight w:val="yellow"/>
        </w:rPr>
        <w:t>等情形，将被纳入交易监管平台产生示警信息，由此产生的负面影响，由投标人自行承担。</w:t>
      </w:r>
    </w:p>
    <w:p/>
    <w:p>
      <w:pPr>
        <w:pStyle w:val="6"/>
        <w:spacing w:before="0" w:after="0" w:line="360" w:lineRule="auto"/>
        <w:rPr>
          <w:rFonts w:ascii="Times New Roman" w:hAnsi="Times New Roman" w:cs="Times New Roman"/>
          <w:b w:val="0"/>
          <w:bCs w:val="0"/>
          <w:sz w:val="21"/>
          <w:szCs w:val="24"/>
        </w:rPr>
      </w:pPr>
      <w:r>
        <w:rPr>
          <w:rFonts w:hint="eastAsia" w:ascii="Times New Roman" w:hAnsi="Times New Roman" w:cs="Times New Roman"/>
          <w:b w:val="0"/>
          <w:bCs w:val="0"/>
          <w:sz w:val="21"/>
          <w:szCs w:val="24"/>
        </w:rPr>
        <w:t>2、股东构成审查表</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14"/>
        <w:gridCol w:w="63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投标人名称</w:t>
            </w:r>
          </w:p>
        </w:tc>
        <w:tc>
          <w:tcPr>
            <w:tcW w:w="63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hint="eastAsia" w:ascii="宋体" w:hAnsi="宋体" w:cs="Segoe UI Symbol"/>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本单位负责人（法定代表人）姓名</w:t>
            </w:r>
          </w:p>
        </w:tc>
        <w:tc>
          <w:tcPr>
            <w:tcW w:w="63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hint="eastAsia" w:ascii="宋体" w:hAnsi="宋体" w:cs="Segoe UI Symbol"/>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是否存在本单位的控股股东</w:t>
            </w:r>
          </w:p>
        </w:tc>
        <w:tc>
          <w:tcPr>
            <w:tcW w:w="63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hint="eastAsia" w:ascii="宋体" w:hAnsi="宋体" w:cs="Segoe UI Symbol"/>
                <w:color w:val="000000"/>
                <w:kern w:val="0"/>
                <w:szCs w:val="21"/>
                <w:u w:val="single"/>
              </w:rPr>
            </w:pPr>
            <w:r>
              <w:rPr>
                <w:rFonts w:hint="eastAsia" w:ascii="宋体" w:hAnsi="宋体" w:cs="Segoe UI Symbol"/>
                <w:color w:val="000000"/>
                <w:kern w:val="0"/>
                <w:szCs w:val="21"/>
              </w:rPr>
              <w:t>□是，其控股股东为：</w:t>
            </w:r>
            <w:r>
              <w:rPr>
                <w:rFonts w:hint="eastAsia" w:ascii="宋体" w:hAnsi="宋体" w:cs="Segoe UI Symbol"/>
                <w:color w:val="000000"/>
                <w:kern w:val="0"/>
                <w:szCs w:val="21"/>
                <w:u w:val="single"/>
              </w:rPr>
              <w:t xml:space="preserve">              </w:t>
            </w:r>
            <w:r>
              <w:rPr>
                <w:rFonts w:hint="eastAsia" w:ascii="宋体" w:hAnsi="宋体" w:cs="Segoe UI Symbol"/>
                <w:color w:val="000000"/>
                <w:kern w:val="0"/>
                <w:szCs w:val="21"/>
              </w:rPr>
              <w:t>，股份占比：</w:t>
            </w:r>
            <w:r>
              <w:rPr>
                <w:rFonts w:hint="eastAsia" w:ascii="宋体" w:hAnsi="宋体" w:cs="Segoe UI Symbol"/>
                <w:color w:val="000000"/>
                <w:kern w:val="0"/>
                <w:szCs w:val="21"/>
                <w:u w:val="single"/>
              </w:rPr>
              <w:t xml:space="preserve">           </w:t>
            </w:r>
            <w:r>
              <w:rPr>
                <w:rFonts w:hint="eastAsia" w:ascii="宋体" w:hAnsi="宋体" w:cs="Segoe UI Symbol"/>
                <w:color w:val="000000"/>
                <w:kern w:val="0"/>
                <w:szCs w:val="21"/>
              </w:rPr>
              <w:t>；</w:t>
            </w:r>
          </w:p>
          <w:p>
            <w:pPr>
              <w:autoSpaceDE w:val="0"/>
              <w:autoSpaceDN w:val="0"/>
              <w:adjustRightInd w:val="0"/>
              <w:snapToGrid w:val="0"/>
              <w:jc w:val="left"/>
              <w:rPr>
                <w:rFonts w:hint="eastAsia" w:ascii="宋体" w:hAnsi="宋体" w:cs="Segoe UI Symbol"/>
                <w:color w:val="000000"/>
                <w:kern w:val="0"/>
                <w:szCs w:val="21"/>
              </w:rPr>
            </w:pPr>
            <w:r>
              <w:rPr>
                <w:rFonts w:hint="eastAsia" w:ascii="宋体" w:hAnsi="宋体" w:cs="Segoe UI Symbol"/>
                <w:color w:val="000000"/>
                <w:kern w:val="0"/>
                <w:szCs w:val="21"/>
              </w:rPr>
              <w:t>其他主要股东及其股份占比：</w:t>
            </w:r>
            <w:r>
              <w:rPr>
                <w:rFonts w:hint="eastAsia" w:ascii="宋体" w:hAnsi="宋体" w:cs="Segoe UI Symbol"/>
                <w:color w:val="000000"/>
                <w:kern w:val="0"/>
                <w:szCs w:val="21"/>
                <w:u w:val="single"/>
              </w:rPr>
              <w:t xml:space="preserve">                               </w:t>
            </w:r>
            <w:r>
              <w:rPr>
                <w:rFonts w:hint="eastAsia" w:ascii="宋体" w:hAnsi="宋体" w:cs="Segoe UI Symbol"/>
                <w:color w:val="000000"/>
                <w:kern w:val="0"/>
                <w:szCs w:val="21"/>
              </w:rPr>
              <w:t>。</w:t>
            </w:r>
          </w:p>
          <w:p>
            <w:pPr>
              <w:autoSpaceDE w:val="0"/>
              <w:autoSpaceDN w:val="0"/>
              <w:adjustRightInd w:val="0"/>
              <w:snapToGrid w:val="0"/>
              <w:jc w:val="left"/>
              <w:rPr>
                <w:rFonts w:hint="eastAsia" w:ascii="宋体" w:hAnsi="宋体"/>
                <w:b/>
                <w:bCs/>
                <w:color w:val="000000"/>
                <w:szCs w:val="21"/>
              </w:rPr>
            </w:pPr>
            <w:r>
              <w:rPr>
                <w:rFonts w:hint="eastAsia" w:ascii="宋体" w:hAnsi="宋体" w:cs="Segoe UI Symbol"/>
                <w:color w:val="000000"/>
                <w:kern w:val="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6"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是否存在“与本单位存在管理关系的单位”</w:t>
            </w:r>
          </w:p>
        </w:tc>
        <w:tc>
          <w:tcPr>
            <w:tcW w:w="63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hint="eastAsia" w:ascii="宋体" w:hAnsi="宋体" w:cs="Segoe UI Symbol"/>
                <w:color w:val="000000"/>
                <w:kern w:val="0"/>
                <w:szCs w:val="21"/>
                <w:u w:val="single"/>
              </w:rPr>
            </w:pPr>
            <w:r>
              <w:rPr>
                <w:rFonts w:hint="eastAsia" w:ascii="宋体" w:hAnsi="宋体" w:cs="Segoe UI Symbol"/>
                <w:color w:val="000000"/>
                <w:kern w:val="0"/>
                <w:szCs w:val="21"/>
              </w:rPr>
              <w:t>□是，该单位为：</w:t>
            </w:r>
            <w:r>
              <w:rPr>
                <w:rFonts w:hint="eastAsia" w:ascii="宋体" w:hAnsi="宋体" w:cs="Segoe UI Symbol"/>
                <w:color w:val="000000"/>
                <w:kern w:val="0"/>
                <w:szCs w:val="21"/>
                <w:u w:val="single"/>
              </w:rPr>
              <w:t xml:space="preserve">                                          </w:t>
            </w:r>
          </w:p>
          <w:p>
            <w:pPr>
              <w:autoSpaceDE w:val="0"/>
              <w:autoSpaceDN w:val="0"/>
              <w:adjustRightInd w:val="0"/>
              <w:snapToGrid w:val="0"/>
              <w:jc w:val="left"/>
              <w:rPr>
                <w:rFonts w:hint="eastAsia" w:ascii="宋体" w:hAnsi="宋体"/>
                <w:b/>
                <w:bCs/>
                <w:color w:val="000000"/>
                <w:szCs w:val="21"/>
              </w:rPr>
            </w:pPr>
            <w:r>
              <w:rPr>
                <w:rFonts w:hint="eastAsia" w:ascii="宋体" w:hAnsi="宋体" w:cs="Segoe UI Symbol"/>
                <w:color w:val="000000"/>
                <w:kern w:val="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是否存在“与招标人有利害关系”的情况</w:t>
            </w:r>
          </w:p>
        </w:tc>
        <w:tc>
          <w:tcPr>
            <w:tcW w:w="63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hint="eastAsia" w:ascii="宋体" w:hAnsi="宋体" w:cs="Segoe UI Symbol"/>
                <w:color w:val="000000"/>
                <w:kern w:val="0"/>
                <w:szCs w:val="21"/>
                <w:u w:val="single"/>
              </w:rPr>
            </w:pPr>
            <w:r>
              <w:rPr>
                <w:rFonts w:hint="eastAsia" w:ascii="宋体" w:hAnsi="宋体" w:cs="Segoe UI Symbol"/>
                <w:color w:val="000000"/>
                <w:kern w:val="0"/>
                <w:szCs w:val="21"/>
              </w:rPr>
              <w:t>□是，与招标人的关系为：</w:t>
            </w:r>
            <w:r>
              <w:rPr>
                <w:rFonts w:hint="eastAsia" w:ascii="宋体" w:hAnsi="宋体" w:cs="Segoe UI Symbol"/>
                <w:color w:val="000000"/>
                <w:kern w:val="0"/>
                <w:szCs w:val="21"/>
                <w:u w:val="single"/>
              </w:rPr>
              <w:t xml:space="preserve">                                   </w:t>
            </w:r>
          </w:p>
          <w:p>
            <w:pPr>
              <w:autoSpaceDE w:val="0"/>
              <w:autoSpaceDN w:val="0"/>
              <w:adjustRightInd w:val="0"/>
              <w:snapToGrid w:val="0"/>
              <w:jc w:val="left"/>
              <w:rPr>
                <w:rFonts w:hint="eastAsia" w:ascii="宋体" w:hAnsi="宋体" w:cs="Segoe UI Symbol"/>
                <w:color w:val="000000"/>
                <w:kern w:val="0"/>
                <w:szCs w:val="21"/>
              </w:rPr>
            </w:pPr>
            <w:r>
              <w:rPr>
                <w:rFonts w:hint="eastAsia" w:ascii="宋体" w:hAnsi="宋体" w:cs="Segoe UI Symbol"/>
                <w:color w:val="000000"/>
                <w:kern w:val="0"/>
                <w:szCs w:val="21"/>
              </w:rPr>
              <w:t>□否</w:t>
            </w:r>
          </w:p>
        </w:tc>
      </w:tr>
    </w:tbl>
    <w:p>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注：</w:t>
      </w:r>
    </w:p>
    <w:p>
      <w:pPr>
        <w:autoSpaceDE w:val="0"/>
        <w:autoSpaceDN w:val="0"/>
        <w:adjustRightInd w:val="0"/>
        <w:snapToGrid w:val="0"/>
        <w:jc w:val="left"/>
        <w:rPr>
          <w:rFonts w:hint="eastAsia" w:ascii="宋体" w:hAnsi="宋体"/>
          <w:bCs/>
          <w:color w:val="000000"/>
          <w:szCs w:val="21"/>
        </w:rPr>
      </w:pPr>
      <w:r>
        <w:rPr>
          <w:rFonts w:hint="eastAsia" w:ascii="宋体" w:hAnsi="宋体"/>
          <w:bCs/>
          <w:color w:val="000000"/>
          <w:szCs w:val="21"/>
        </w:rPr>
        <w:t>1、控股是指：其出资额占有限责任公司资本总额百分之五十以上或其持有的股份占股份有限公司股本总额百分之五十以上的股东；出资额或者持有股份的比例虽然不足百分之五十，但依其出资额或者或其持有的股份享有的表决权已足以对股东会、股东大会的决议产生重大影响的股东；</w:t>
      </w:r>
    </w:p>
    <w:p>
      <w:pPr>
        <w:autoSpaceDE w:val="0"/>
        <w:autoSpaceDN w:val="0"/>
        <w:adjustRightInd w:val="0"/>
        <w:snapToGrid w:val="0"/>
        <w:jc w:val="left"/>
        <w:rPr>
          <w:rFonts w:hint="eastAsia" w:ascii="宋体" w:hAnsi="宋体"/>
          <w:bCs/>
          <w:color w:val="000000"/>
          <w:szCs w:val="21"/>
        </w:rPr>
      </w:pPr>
      <w:r>
        <w:rPr>
          <w:rFonts w:hint="eastAsia" w:ascii="宋体" w:hAnsi="宋体"/>
          <w:bCs/>
          <w:color w:val="000000"/>
          <w:szCs w:val="21"/>
        </w:rPr>
        <w:t>2、投标人需如实填写上述信息，如查实上述信息与实际不符，视为提供虚假证明材料骗取中标，投标人应承担相应法律后果。</w:t>
      </w:r>
    </w:p>
    <w:p>
      <w:pPr>
        <w:rPr>
          <w:rFonts w:hint="eastAsia" w:ascii="宋体" w:hAnsi="宋体"/>
        </w:rPr>
      </w:pPr>
    </w:p>
    <w:p>
      <w:pPr>
        <w:widowControl/>
        <w:jc w:val="center"/>
        <w:rPr>
          <w:rFonts w:hint="eastAsia" w:ascii="Arial" w:hAnsi="Arial" w:eastAsia="宋体" w:cs="Times New Roman"/>
          <w:b/>
          <w:sz w:val="24"/>
          <w:szCs w:val="24"/>
          <w:lang w:val="en-US" w:eastAsia="zh-CN"/>
        </w:rPr>
      </w:pPr>
      <w:r>
        <w:rPr>
          <w:rFonts w:hint="eastAsia" w:ascii="Arial" w:hAnsi="Arial" w:eastAsia="宋体" w:cs="Times New Roman"/>
          <w:b/>
          <w:sz w:val="24"/>
          <w:szCs w:val="24"/>
          <w:lang w:val="en-US" w:eastAsia="zh-CN"/>
        </w:rPr>
        <w:t>六、同类项目经验</w:t>
      </w:r>
    </w:p>
    <w:p>
      <w:pPr>
        <w:spacing w:line="400" w:lineRule="exact"/>
        <w:jc w:val="center"/>
        <w:rPr>
          <w:rFonts w:hint="eastAsia"/>
          <w:lang w:val="en-US" w:eastAsia="zh-CN"/>
        </w:rPr>
      </w:pPr>
      <w:r>
        <w:rPr>
          <w:rFonts w:hint="eastAsia" w:ascii="Verdana" w:hAnsi="Verdana" w:eastAsia="仿宋_GB2312"/>
          <w:color w:val="FF0000"/>
          <w:sz w:val="24"/>
          <w:szCs w:val="24"/>
        </w:rPr>
        <w:t>（根据评分细则的要求提供，格式自拟）</w:t>
      </w:r>
    </w:p>
    <w:p>
      <w:pPr>
        <w:widowControl/>
        <w:numPr>
          <w:ilvl w:val="0"/>
          <w:numId w:val="6"/>
        </w:numPr>
        <w:jc w:val="center"/>
        <w:rPr>
          <w:rFonts w:hint="eastAsia" w:ascii="Arial" w:hAnsi="Arial" w:eastAsia="宋体" w:cs="Times New Roman"/>
          <w:b/>
          <w:sz w:val="24"/>
          <w:szCs w:val="24"/>
          <w:lang w:val="en-US" w:eastAsia="zh-CN"/>
        </w:rPr>
      </w:pPr>
      <w:r>
        <w:rPr>
          <w:rFonts w:hint="eastAsia" w:ascii="Arial" w:hAnsi="Arial" w:eastAsia="宋体" w:cs="Times New Roman"/>
          <w:b/>
          <w:sz w:val="24"/>
          <w:szCs w:val="24"/>
          <w:lang w:val="en-US" w:eastAsia="zh-CN"/>
        </w:rPr>
        <w:t>投标人获奖情</w:t>
      </w:r>
    </w:p>
    <w:p>
      <w:pPr>
        <w:widowControl/>
        <w:numPr>
          <w:ilvl w:val="0"/>
          <w:numId w:val="0"/>
        </w:numPr>
        <w:jc w:val="center"/>
        <w:rPr>
          <w:rFonts w:hint="eastAsia"/>
        </w:rPr>
      </w:pPr>
      <w:r>
        <w:rPr>
          <w:rFonts w:hint="eastAsia" w:ascii="Verdana" w:hAnsi="Verdana" w:eastAsia="仿宋_GB2312"/>
          <w:color w:val="FF0000"/>
          <w:sz w:val="24"/>
          <w:szCs w:val="24"/>
        </w:rPr>
        <w:t>（根据评分细则的要求提供，格式自拟）</w:t>
      </w:r>
    </w:p>
    <w:p>
      <w:pPr>
        <w:widowControl/>
        <w:jc w:val="left"/>
        <w:rPr>
          <w:rFonts w:ascii="Arial" w:hAnsi="Arial" w:eastAsia="宋体" w:cs="Times New Roman"/>
          <w:szCs w:val="24"/>
        </w:rPr>
      </w:pPr>
    </w:p>
    <w:p>
      <w:pPr>
        <w:rPr>
          <w:rFonts w:hint="eastAsia" w:ascii="Arial" w:hAnsi="Arial" w:eastAsia="宋体" w:cs="Times New Roman"/>
          <w:b/>
          <w:color w:val="FF0000"/>
          <w:sz w:val="32"/>
          <w:szCs w:val="32"/>
        </w:rPr>
      </w:pPr>
      <w:r>
        <w:rPr>
          <w:rFonts w:hint="eastAsia" w:ascii="Arial" w:hAnsi="Arial" w:eastAsia="宋体" w:cs="Times New Roman"/>
          <w:b/>
          <w:color w:val="FF0000"/>
          <w:sz w:val="32"/>
          <w:szCs w:val="32"/>
        </w:rPr>
        <w:br w:type="page"/>
      </w:r>
    </w:p>
    <w:p>
      <w:pPr>
        <w:spacing w:afterLines="25" w:line="300" w:lineRule="auto"/>
        <w:outlineLvl w:val="2"/>
        <w:rPr>
          <w:rFonts w:ascii="Arial" w:hAnsi="Arial" w:eastAsia="宋体" w:cs="Times New Roman"/>
          <w:b/>
          <w:color w:val="FF0000"/>
          <w:sz w:val="32"/>
          <w:szCs w:val="32"/>
        </w:rPr>
      </w:pPr>
      <w:r>
        <w:rPr>
          <w:rFonts w:hint="eastAsia" w:ascii="Arial" w:hAnsi="Arial" w:eastAsia="宋体" w:cs="Times New Roman"/>
          <w:b/>
          <w:color w:val="FF0000"/>
          <w:sz w:val="32"/>
          <w:szCs w:val="32"/>
        </w:rPr>
        <w:t>（二）投标文件附件</w:t>
      </w:r>
    </w:p>
    <w:p>
      <w:pPr>
        <w:pStyle w:val="6"/>
        <w:jc w:val="center"/>
        <w:rPr>
          <w:rFonts w:ascii="黑体" w:eastAsia="黑体"/>
          <w:b w:val="0"/>
          <w:sz w:val="24"/>
        </w:rPr>
      </w:pPr>
      <w:r>
        <w:rPr>
          <w:rFonts w:hint="eastAsia" w:ascii="黑体" w:eastAsia="黑体"/>
          <w:b w:val="0"/>
          <w:sz w:val="24"/>
        </w:rPr>
        <w:t>一、</w:t>
      </w:r>
      <w:bookmarkStart w:id="27" w:name="_Hlk72092499"/>
      <w:r>
        <w:rPr>
          <w:rFonts w:hint="eastAsia" w:ascii="黑体" w:eastAsia="黑体"/>
          <w:b w:val="0"/>
          <w:sz w:val="24"/>
        </w:rPr>
        <w:t>法定代表人（负责人）证明书</w:t>
      </w:r>
      <w:bookmarkEnd w:id="27"/>
    </w:p>
    <w:p>
      <w:pPr>
        <w:rPr>
          <w:sz w:val="24"/>
        </w:rPr>
      </w:pPr>
    </w:p>
    <w:p>
      <w:pPr>
        <w:spacing w:line="360" w:lineRule="auto"/>
        <w:ind w:firstLine="420" w:firstLineChars="200"/>
        <w:rPr>
          <w:rFonts w:hint="default" w:eastAsia="宋体"/>
          <w:szCs w:val="21"/>
          <w:lang w:val="en-US" w:eastAsia="zh-CN"/>
        </w:rPr>
      </w:pP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eastAsia="宋体"/>
          <w:szCs w:val="21"/>
          <w:u w:val="none"/>
          <w:lang w:eastAsia="zh-CN"/>
        </w:rPr>
        <w:t>（</w:t>
      </w:r>
      <w:r>
        <w:rPr>
          <w:rFonts w:hint="eastAsia" w:ascii="Times New Roman" w:eastAsia="宋体"/>
          <w:szCs w:val="21"/>
          <w:u w:val="none"/>
          <w:lang w:val="en-US" w:eastAsia="zh-CN"/>
        </w:rPr>
        <w:t>姓名</w:t>
      </w:r>
      <w:r>
        <w:rPr>
          <w:rFonts w:hint="eastAsia" w:eastAsia="宋体"/>
          <w:szCs w:val="21"/>
          <w:u w:val="none"/>
          <w:lang w:eastAsia="zh-CN"/>
        </w:rPr>
        <w:t>）</w:t>
      </w:r>
      <w:r>
        <w:rPr>
          <w:rFonts w:hint="eastAsia"/>
          <w:szCs w:val="21"/>
        </w:rPr>
        <w:t>，现任我单位</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szCs w:val="21"/>
        </w:rPr>
        <w:t>职务，为法定代表人（负责人），</w:t>
      </w:r>
      <w:r>
        <w:rPr>
          <w:rFonts w:hint="eastAsia" w:ascii="Times New Roman" w:eastAsia="宋体"/>
          <w:szCs w:val="21"/>
          <w:lang w:val="en-US" w:eastAsia="zh-CN"/>
        </w:rPr>
        <w:t>身份证件</w:t>
      </w:r>
      <w:r>
        <w:rPr>
          <w:rFonts w:hint="eastAsia"/>
          <w:szCs w:val="21"/>
        </w:rPr>
        <w:t>号</w:t>
      </w:r>
      <w:r>
        <w:rPr>
          <w:rFonts w:hint="eastAsia" w:ascii="Times New Roman" w:eastAsia="宋体"/>
          <w:szCs w:val="21"/>
          <w:lang w:val="en-US" w:eastAsia="zh-CN"/>
        </w:rPr>
        <w:t>为</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联系电话：</w:t>
      </w:r>
      <w:r>
        <w:rPr>
          <w:rFonts w:hint="eastAsia" w:ascii="Times New Roman" w:eastAsia="宋体"/>
          <w:szCs w:val="21"/>
          <w:u w:val="single"/>
          <w:lang w:val="en-US" w:eastAsia="zh-CN"/>
        </w:rPr>
        <w:t xml:space="preserve">                </w:t>
      </w:r>
      <w:r>
        <w:rPr>
          <w:rFonts w:hint="eastAsia" w:ascii="Times New Roman" w:eastAsia="宋体"/>
          <w:szCs w:val="21"/>
          <w:lang w:val="en-US" w:eastAsia="zh-CN"/>
        </w:rPr>
        <w:t>。</w:t>
      </w:r>
    </w:p>
    <w:p>
      <w:pPr>
        <w:spacing w:line="360" w:lineRule="auto"/>
        <w:ind w:firstLine="420" w:firstLineChars="200"/>
        <w:rPr>
          <w:szCs w:val="21"/>
        </w:rPr>
      </w:pPr>
      <w:r>
        <w:rPr>
          <w:rFonts w:hint="eastAsia"/>
          <w:szCs w:val="21"/>
        </w:rPr>
        <w:t>特此证明。</w:t>
      </w:r>
    </w:p>
    <w:p>
      <w:pPr>
        <w:spacing w:line="360" w:lineRule="auto"/>
        <w:ind w:firstLine="420" w:firstLineChars="200"/>
        <w:rPr>
          <w:rFonts w:hint="eastAsia"/>
          <w:szCs w:val="21"/>
        </w:rPr>
      </w:pPr>
      <w:r>
        <w:rPr>
          <w:rFonts w:hint="eastAsia"/>
          <w:szCs w:val="21"/>
        </w:rPr>
        <w:t>说明：1、法定代表人为投标人（企业事业单位、国家机关、社会团体）的主要行政负责人。</w:t>
      </w:r>
    </w:p>
    <w:p>
      <w:pPr>
        <w:numPr>
          <w:ilvl w:val="0"/>
          <w:numId w:val="7"/>
        </w:numPr>
        <w:spacing w:line="360" w:lineRule="auto"/>
        <w:ind w:firstLine="420" w:firstLineChars="200"/>
        <w:rPr>
          <w:rFonts w:hint="eastAsia"/>
          <w:color w:val="auto"/>
          <w:szCs w:val="21"/>
          <w:lang w:val="en-US" w:eastAsia="zh-CN"/>
        </w:rPr>
      </w:pPr>
      <w:r>
        <w:rPr>
          <w:rFonts w:hint="eastAsia" w:eastAsia="宋体"/>
          <w:color w:val="auto"/>
          <w:szCs w:val="21"/>
          <w:lang w:eastAsia="zh-Hans"/>
        </w:rPr>
        <w:t>本证明书要供法定代表人（负责人）</w:t>
      </w:r>
      <w:r>
        <w:rPr>
          <w:rFonts w:hint="eastAsia" w:ascii="Times New Roman" w:eastAsia="宋体"/>
          <w:color w:val="auto"/>
          <w:szCs w:val="21"/>
          <w:lang w:val="en-US" w:eastAsia="zh-CN"/>
        </w:rPr>
        <w:t>相关身份证明文件：身份证扫描件（正反两面）；港澳台居民可提供来往通行证扫描件；非中国国籍管辖范围人员，可提供公安部门认可的身份证明材料扫描件。</w:t>
      </w:r>
    </w:p>
    <w:p>
      <w:pPr>
        <w:numPr>
          <w:ilvl w:val="0"/>
          <w:numId w:val="7"/>
        </w:numPr>
        <w:spacing w:line="360" w:lineRule="auto"/>
        <w:ind w:firstLine="420" w:firstLineChars="200"/>
        <w:rPr>
          <w:szCs w:val="21"/>
        </w:rPr>
      </w:pPr>
      <w:r>
        <w:rPr>
          <w:rFonts w:hint="eastAsia" w:eastAsia="宋体"/>
          <w:color w:val="auto"/>
          <w:szCs w:val="21"/>
          <w:lang w:eastAsia="zh-Hans"/>
        </w:rPr>
        <w:t>本项目投标授权代表为法定代表人（负责人）的，无需提供</w:t>
      </w:r>
      <w:r>
        <w:rPr>
          <w:rFonts w:hint="eastAsia"/>
          <w:color w:val="auto"/>
          <w:szCs w:val="21"/>
        </w:rPr>
        <w:t>《投标文件签署授权委托书》</w:t>
      </w:r>
      <w:r>
        <w:rPr>
          <w:rFonts w:hint="eastAsia" w:eastAsia="宋体"/>
          <w:color w:val="auto"/>
          <w:szCs w:val="21"/>
          <w:lang w:eastAsia="zh-Hans"/>
        </w:rPr>
        <w:t>。</w:t>
      </w:r>
    </w:p>
    <w:p>
      <w:pPr>
        <w:numPr>
          <w:ilvl w:val="0"/>
          <w:numId w:val="7"/>
        </w:numPr>
        <w:spacing w:line="360" w:lineRule="auto"/>
        <w:ind w:firstLine="420" w:firstLineChars="200"/>
        <w:rPr>
          <w:szCs w:val="21"/>
        </w:rPr>
      </w:pPr>
      <w:r>
        <w:rPr>
          <w:rFonts w:hint="eastAsia"/>
          <w:szCs w:val="21"/>
        </w:rPr>
        <w:t>内容必须填写真实、清楚，涂改无效，不得转让、买卖。</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pPr>
              <w:jc w:val="center"/>
              <w:rPr>
                <w:rFonts w:hint="eastAsia"/>
                <w:lang w:val="en-US" w:eastAsia="zh-CN"/>
              </w:rPr>
            </w:pPr>
            <w:r>
              <w:rPr>
                <w:rFonts w:hint="eastAsia" w:ascii="Times New Roman" w:eastAsia="宋体"/>
                <w:lang w:val="en-US" w:eastAsia="zh-CN"/>
              </w:rPr>
              <w:t>证件扫描件正面</w:t>
            </w:r>
          </w:p>
          <w:p>
            <w:pPr>
              <w:pStyle w:val="2"/>
              <w:jc w:val="center"/>
              <w:rPr>
                <w:rFonts w:hint="eastAsia"/>
                <w:lang w:val="en-US" w:eastAsia="zh-CN"/>
              </w:rPr>
            </w:pPr>
          </w:p>
          <w:p>
            <w:pPr>
              <w:pStyle w:val="3"/>
              <w:jc w:val="center"/>
              <w:rPr>
                <w:rFonts w:hint="default"/>
                <w:lang w:val="en-US" w:eastAsia="zh-CN"/>
              </w:rPr>
            </w:pPr>
          </w:p>
        </w:tc>
        <w:tc>
          <w:tcPr>
            <w:tcW w:w="4265" w:type="dxa"/>
            <w:vAlign w:val="top"/>
          </w:tcPr>
          <w:p>
            <w:pPr>
              <w:jc w:val="center"/>
              <w:rPr>
                <w:rFonts w:hint="eastAsia"/>
                <w:lang w:val="en-US" w:eastAsia="zh-CN"/>
              </w:rPr>
            </w:pPr>
            <w:r>
              <w:rPr>
                <w:rFonts w:hint="eastAsia" w:ascii="Times New Roman" w:eastAsia="宋体"/>
                <w:lang w:val="en-US" w:eastAsia="zh-CN"/>
              </w:rPr>
              <w:t>证件扫描件反面</w:t>
            </w:r>
          </w:p>
          <w:p>
            <w:pPr>
              <w:pStyle w:val="2"/>
              <w:jc w:val="center"/>
              <w:rPr>
                <w:rFonts w:hint="eastAsia"/>
                <w:lang w:val="en-US" w:eastAsia="zh-CN"/>
              </w:rPr>
            </w:pPr>
          </w:p>
          <w:p>
            <w:pPr>
              <w:pStyle w:val="3"/>
              <w:jc w:val="center"/>
              <w:rPr>
                <w:rFonts w:hint="eastAsia"/>
                <w:sz w:val="24"/>
                <w:vertAlign w:val="baseline"/>
                <w:lang w:val="en-US" w:eastAsia="zh-CN"/>
              </w:rPr>
            </w:pPr>
          </w:p>
        </w:tc>
      </w:tr>
    </w:tbl>
    <w:p>
      <w:pPr>
        <w:rPr>
          <w:sz w:val="24"/>
        </w:rPr>
      </w:pPr>
    </w:p>
    <w:p>
      <w:pPr>
        <w:pStyle w:val="6"/>
        <w:spacing w:before="120" w:after="120"/>
        <w:jc w:val="center"/>
        <w:rPr>
          <w:rFonts w:ascii="黑体" w:eastAsia="黑体"/>
          <w:b w:val="0"/>
          <w:sz w:val="24"/>
        </w:rPr>
      </w:pPr>
      <w:r>
        <w:rPr>
          <w:rFonts w:hint="eastAsia" w:ascii="黑体" w:eastAsia="黑体"/>
          <w:b w:val="0"/>
          <w:sz w:val="24"/>
        </w:rPr>
        <w:t>二、投标文件签署授权委托书</w:t>
      </w:r>
    </w:p>
    <w:p>
      <w:pPr>
        <w:spacing w:line="360" w:lineRule="auto"/>
        <w:ind w:firstLine="420" w:firstLineChars="200"/>
        <w:rPr>
          <w:rFonts w:hint="eastAsia"/>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spacing w:line="360" w:lineRule="auto"/>
        <w:ind w:firstLine="420" w:firstLineChars="200"/>
        <w:rPr>
          <w:rFonts w:hint="eastAsia"/>
          <w:szCs w:val="21"/>
        </w:rPr>
      </w:pPr>
      <w:r>
        <w:rPr>
          <w:rFonts w:hint="eastAsia"/>
          <w:szCs w:val="21"/>
        </w:rPr>
        <w:t>代理人无转委托权，特此委托。</w:t>
      </w:r>
    </w:p>
    <w:p>
      <w:pPr>
        <w:spacing w:line="360" w:lineRule="auto"/>
        <w:ind w:firstLine="420" w:firstLineChars="200"/>
        <w:rPr>
          <w:rFonts w:hint="eastAsia"/>
          <w:szCs w:val="21"/>
        </w:rPr>
      </w:pPr>
    </w:p>
    <w:p>
      <w:pPr>
        <w:spacing w:line="360" w:lineRule="auto"/>
        <w:ind w:firstLine="420" w:firstLineChars="200"/>
        <w:rPr>
          <w:rFonts w:hint="eastAsia"/>
          <w:szCs w:val="21"/>
          <w:u w:val="none"/>
          <w:lang w:eastAsia="zh-CN"/>
        </w:rPr>
      </w:pPr>
      <w:r>
        <w:rPr>
          <w:rFonts w:hint="eastAsia"/>
          <w:szCs w:val="21"/>
        </w:rPr>
        <w:t>代理人</w:t>
      </w:r>
      <w:r>
        <w:rPr>
          <w:rFonts w:hint="eastAsia" w:eastAsia="宋体"/>
          <w:szCs w:val="21"/>
          <w:lang w:eastAsia="zh-CN"/>
        </w:rPr>
        <w:t>：</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pPr>
        <w:spacing w:line="360" w:lineRule="auto"/>
        <w:ind w:firstLine="420" w:firstLineChars="200"/>
        <w:rPr>
          <w:rFonts w:hint="eastAsia"/>
          <w:szCs w:val="21"/>
          <w:u w:val="none"/>
          <w:lang w:eastAsia="zh-CN"/>
        </w:rPr>
      </w:pPr>
      <w:r>
        <w:rPr>
          <w:rFonts w:hint="eastAsia"/>
          <w:szCs w:val="21"/>
        </w:rPr>
        <w:t>身份</w:t>
      </w:r>
      <w:r>
        <w:rPr>
          <w:rFonts w:hint="eastAsia" w:ascii="Times New Roman" w:eastAsia="宋体"/>
          <w:szCs w:val="21"/>
          <w:lang w:val="en-US" w:eastAsia="zh-CN"/>
        </w:rPr>
        <w:t>证件号</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职务：</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pPr>
        <w:spacing w:line="360" w:lineRule="auto"/>
        <w:ind w:firstLine="420" w:firstLineChars="200"/>
        <w:rPr>
          <w:rFonts w:hint="default"/>
          <w:szCs w:val="21"/>
          <w:u w:val="none"/>
          <w:lang w:val="en-US" w:eastAsia="zh-CN"/>
        </w:rPr>
      </w:pPr>
      <w:r>
        <w:rPr>
          <w:rFonts w:hint="eastAsia"/>
          <w:szCs w:val="21"/>
        </w:rPr>
        <w:t>联系电话：</w:t>
      </w:r>
      <w:r>
        <w:rPr>
          <w:rFonts w:hint="eastAsia"/>
          <w:szCs w:val="21"/>
          <w:u w:val="single"/>
        </w:rPr>
        <w:t xml:space="preserve">         </w:t>
      </w:r>
      <w:r>
        <w:rPr>
          <w:rFonts w:hint="eastAsia" w:eastAsia="宋体"/>
          <w:szCs w:val="21"/>
          <w:lang w:eastAsia="zh-CN"/>
        </w:rPr>
        <w:t>，</w:t>
      </w:r>
      <w:r>
        <w:rPr>
          <w:rFonts w:hint="eastAsia"/>
          <w:szCs w:val="21"/>
        </w:rPr>
        <w:t>手机：</w:t>
      </w:r>
      <w:r>
        <w:rPr>
          <w:rFonts w:hint="eastAsia"/>
          <w:szCs w:val="21"/>
          <w:u w:val="single"/>
        </w:rPr>
        <w:t xml:space="preserve">                </w:t>
      </w:r>
      <w:r>
        <w:rPr>
          <w:rFonts w:hint="eastAsia" w:eastAsia="宋体"/>
          <w:szCs w:val="21"/>
          <w:u w:val="none"/>
          <w:lang w:eastAsia="zh-CN"/>
        </w:rPr>
        <w:t>，</w:t>
      </w:r>
      <w:r>
        <w:rPr>
          <w:rFonts w:hint="eastAsia" w:ascii="Times New Roman" w:eastAsia="宋体"/>
          <w:szCs w:val="21"/>
          <w:u w:val="none"/>
          <w:lang w:val="en-US" w:eastAsia="zh-CN"/>
        </w:rPr>
        <w:t>电子邮箱：</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pPr>
        <w:spacing w:line="360" w:lineRule="auto"/>
        <w:ind w:firstLine="420" w:firstLineChars="200"/>
        <w:rPr>
          <w:rFonts w:hint="eastAsia" w:eastAsia="宋体"/>
          <w:szCs w:val="21"/>
          <w:lang w:eastAsia="zh-CN"/>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r>
        <w:rPr>
          <w:rFonts w:hint="eastAsia" w:eastAsia="宋体"/>
          <w:szCs w:val="21"/>
          <w:lang w:eastAsia="zh-CN"/>
        </w:rPr>
        <w:t>。</w:t>
      </w:r>
    </w:p>
    <w:p>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pPr>
              <w:jc w:val="center"/>
              <w:rPr>
                <w:rFonts w:hint="eastAsia"/>
                <w:lang w:val="en-US" w:eastAsia="zh-CN"/>
              </w:rPr>
            </w:pPr>
            <w:r>
              <w:rPr>
                <w:rFonts w:hint="eastAsia" w:ascii="Times New Roman" w:eastAsia="宋体"/>
                <w:lang w:val="en-US" w:eastAsia="zh-CN"/>
              </w:rPr>
              <w:t>证件扫描件正面</w:t>
            </w:r>
          </w:p>
          <w:p>
            <w:pPr>
              <w:pStyle w:val="2"/>
              <w:jc w:val="center"/>
              <w:rPr>
                <w:rFonts w:hint="eastAsia"/>
                <w:lang w:val="en-US" w:eastAsia="zh-CN"/>
              </w:rPr>
            </w:pPr>
          </w:p>
          <w:p>
            <w:pPr>
              <w:pStyle w:val="3"/>
              <w:jc w:val="center"/>
              <w:rPr>
                <w:rFonts w:hint="default"/>
                <w:lang w:val="en-US" w:eastAsia="zh-CN"/>
              </w:rPr>
            </w:pPr>
          </w:p>
        </w:tc>
        <w:tc>
          <w:tcPr>
            <w:tcW w:w="4265" w:type="dxa"/>
            <w:vAlign w:val="top"/>
          </w:tcPr>
          <w:p>
            <w:pPr>
              <w:jc w:val="center"/>
              <w:rPr>
                <w:rFonts w:hint="eastAsia"/>
                <w:lang w:val="en-US" w:eastAsia="zh-CN"/>
              </w:rPr>
            </w:pPr>
            <w:r>
              <w:rPr>
                <w:rFonts w:hint="eastAsia" w:ascii="Times New Roman" w:eastAsia="宋体"/>
                <w:lang w:val="en-US" w:eastAsia="zh-CN"/>
              </w:rPr>
              <w:t>证件扫描件反面</w:t>
            </w:r>
          </w:p>
          <w:p>
            <w:pPr>
              <w:pStyle w:val="2"/>
              <w:jc w:val="center"/>
              <w:rPr>
                <w:rFonts w:hint="eastAsia"/>
                <w:lang w:val="en-US" w:eastAsia="zh-CN"/>
              </w:rPr>
            </w:pPr>
          </w:p>
          <w:p>
            <w:pPr>
              <w:pStyle w:val="3"/>
              <w:jc w:val="center"/>
              <w:rPr>
                <w:rFonts w:hint="eastAsia"/>
                <w:sz w:val="24"/>
                <w:vertAlign w:val="baseline"/>
                <w:lang w:val="en-US" w:eastAsia="zh-CN"/>
              </w:rPr>
            </w:pPr>
          </w:p>
        </w:tc>
      </w:tr>
    </w:tbl>
    <w:p>
      <w:pPr>
        <w:tabs>
          <w:tab w:val="left" w:pos="651"/>
        </w:tabs>
        <w:snapToGrid w:val="0"/>
        <w:jc w:val="both"/>
        <w:rPr>
          <w:rFonts w:ascii="宋体" w:hAnsi="宋体" w:eastAsia="宋体" w:cs="Times New Roman"/>
          <w:color w:val="FF0000"/>
          <w:sz w:val="28"/>
          <w:szCs w:val="28"/>
        </w:rPr>
      </w:pPr>
    </w:p>
    <w:p>
      <w:pPr>
        <w:pStyle w:val="6"/>
        <w:jc w:val="center"/>
        <w:rPr>
          <w:rFonts w:ascii="黑体" w:eastAsia="黑体"/>
          <w:b w:val="0"/>
          <w:kern w:val="0"/>
          <w:sz w:val="24"/>
          <w:szCs w:val="24"/>
        </w:rPr>
      </w:pPr>
      <w:r>
        <w:rPr>
          <w:rFonts w:hint="eastAsia" w:ascii="黑体" w:eastAsia="黑体"/>
          <w:b w:val="0"/>
          <w:kern w:val="0"/>
          <w:sz w:val="24"/>
          <w:szCs w:val="24"/>
        </w:rPr>
        <w:t>三、</w:t>
      </w:r>
      <w:bookmarkStart w:id="28" w:name="_Hlk72092634"/>
      <w:r>
        <w:rPr>
          <w:rFonts w:hint="eastAsia" w:ascii="黑体" w:eastAsia="黑体"/>
          <w:b w:val="0"/>
          <w:kern w:val="0"/>
          <w:sz w:val="24"/>
          <w:szCs w:val="24"/>
        </w:rPr>
        <w:t>实质性条款响应情况表</w:t>
      </w:r>
      <w:bookmarkEnd w:id="28"/>
    </w:p>
    <w:tbl>
      <w:tblPr>
        <w:tblStyle w:val="17"/>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664"/>
        <w:gridCol w:w="1588"/>
        <w:gridCol w:w="184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pPr>
              <w:adjustRightInd w:val="0"/>
              <w:snapToGrid w:val="0"/>
              <w:spacing w:line="360" w:lineRule="auto"/>
              <w:jc w:val="center"/>
              <w:rPr>
                <w:rFonts w:ascii="宋体" w:hAnsi="宋体"/>
                <w:kern w:val="0"/>
                <w:szCs w:val="21"/>
              </w:rPr>
            </w:pPr>
            <w:bookmarkStart w:id="29" w:name="_Hlk72092651"/>
            <w:r>
              <w:rPr>
                <w:rFonts w:hint="eastAsia" w:ascii="宋体" w:hAnsi="宋体"/>
                <w:kern w:val="0"/>
                <w:szCs w:val="21"/>
              </w:rPr>
              <w:t>序号</w:t>
            </w:r>
          </w:p>
        </w:tc>
        <w:tc>
          <w:tcPr>
            <w:tcW w:w="2664"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88" w:type="dxa"/>
            <w:vAlign w:val="center"/>
          </w:tcPr>
          <w:p>
            <w:pPr>
              <w:adjustRightInd w:val="0"/>
              <w:snapToGrid w:val="0"/>
              <w:spacing w:line="360" w:lineRule="auto"/>
              <w:jc w:val="center"/>
              <w:rPr>
                <w:rFonts w:ascii="宋体" w:hAnsi="宋体"/>
                <w:kern w:val="0"/>
                <w:szCs w:val="21"/>
              </w:rPr>
            </w:pPr>
            <w:r>
              <w:rPr>
                <w:rFonts w:hint="eastAsia"/>
              </w:rPr>
              <w:t>投标响应</w:t>
            </w:r>
          </w:p>
        </w:tc>
        <w:tc>
          <w:tcPr>
            <w:tcW w:w="1842" w:type="dxa"/>
            <w:vAlign w:val="center"/>
          </w:tcPr>
          <w:p>
            <w:pPr>
              <w:adjustRightInd w:val="0"/>
              <w:snapToGrid w:val="0"/>
              <w:spacing w:line="360" w:lineRule="auto"/>
              <w:jc w:val="center"/>
              <w:rPr>
                <w:rFonts w:ascii="宋体" w:hAnsi="宋体"/>
                <w:kern w:val="0"/>
                <w:szCs w:val="21"/>
              </w:rPr>
            </w:pPr>
            <w:r>
              <w:rPr>
                <w:rFonts w:hint="eastAsia"/>
              </w:rPr>
              <w:t>偏离情况</w:t>
            </w:r>
          </w:p>
        </w:tc>
        <w:tc>
          <w:tcPr>
            <w:tcW w:w="1418" w:type="dxa"/>
            <w:vAlign w:val="center"/>
          </w:tcPr>
          <w:p>
            <w:pPr>
              <w:adjustRightInd w:val="0"/>
              <w:snapToGrid w:val="0"/>
              <w:spacing w:line="360" w:lineRule="auto"/>
              <w:jc w:val="center"/>
              <w:rPr>
                <w:rFonts w:ascii="宋体" w:hAnsi="宋体"/>
                <w:kern w:val="0"/>
                <w:szCs w:val="21"/>
              </w:rPr>
            </w:pPr>
            <w:r>
              <w:rPr>
                <w:rFonts w:hint="eastAsia"/>
              </w:rPr>
              <w:t>说明</w:t>
            </w:r>
          </w:p>
        </w:tc>
      </w:tr>
      <w:bookmark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1</w:t>
            </w:r>
          </w:p>
        </w:tc>
        <w:tc>
          <w:tcPr>
            <w:tcW w:w="2664" w:type="dxa"/>
            <w:vAlign w:val="center"/>
          </w:tcPr>
          <w:p>
            <w:pPr>
              <w:adjustRightInd w:val="0"/>
              <w:snapToGrid w:val="0"/>
              <w:spacing w:line="360" w:lineRule="auto"/>
              <w:jc w:val="center"/>
              <w:rPr>
                <w:rFonts w:hAnsi="宋体"/>
                <w:kern w:val="0"/>
                <w:szCs w:val="21"/>
              </w:rPr>
            </w:pPr>
            <w:r>
              <w:rPr>
                <w:rFonts w:hint="eastAsia" w:hAnsi="宋体"/>
                <w:kern w:val="0"/>
                <w:szCs w:val="21"/>
              </w:rPr>
              <w:t>本项目第三章用户需求书全部内容</w:t>
            </w:r>
          </w:p>
        </w:tc>
        <w:tc>
          <w:tcPr>
            <w:tcW w:w="1588" w:type="dxa"/>
          </w:tcPr>
          <w:p>
            <w:pPr>
              <w:adjustRightInd w:val="0"/>
              <w:snapToGrid w:val="0"/>
              <w:spacing w:line="360" w:lineRule="auto"/>
              <w:rPr>
                <w:rFonts w:ascii="宋体" w:hAnsi="宋体"/>
                <w:kern w:val="0"/>
                <w:szCs w:val="21"/>
              </w:rPr>
            </w:pPr>
            <w:r>
              <w:rPr>
                <w:rFonts w:hint="eastAsia" w:ascii="宋体" w:hAnsi="宋体"/>
                <w:kern w:val="0"/>
                <w:szCs w:val="21"/>
              </w:rPr>
              <w:t>本项目第三章用户需求书全部内容</w:t>
            </w:r>
          </w:p>
        </w:tc>
        <w:tc>
          <w:tcPr>
            <w:tcW w:w="1842" w:type="dxa"/>
          </w:tcPr>
          <w:p>
            <w:pPr>
              <w:adjustRightInd w:val="0"/>
              <w:snapToGrid w:val="0"/>
              <w:spacing w:line="360" w:lineRule="auto"/>
              <w:rPr>
                <w:rFonts w:ascii="宋体" w:hAnsi="宋体"/>
                <w:kern w:val="0"/>
                <w:szCs w:val="21"/>
              </w:rPr>
            </w:pPr>
            <w:r>
              <w:rPr>
                <w:rFonts w:hint="eastAsia" w:ascii="宋体" w:hAnsi="宋体"/>
                <w:kern w:val="0"/>
                <w:szCs w:val="21"/>
              </w:rPr>
              <w:t>无偏离</w:t>
            </w:r>
          </w:p>
        </w:tc>
        <w:tc>
          <w:tcPr>
            <w:tcW w:w="1418" w:type="dxa"/>
          </w:tcPr>
          <w:p>
            <w:pPr>
              <w:adjustRightInd w:val="0"/>
              <w:snapToGrid w:val="0"/>
              <w:spacing w:line="360" w:lineRule="auto"/>
              <w:rPr>
                <w:rFonts w:ascii="宋体" w:hAnsi="宋体"/>
                <w:kern w:val="0"/>
                <w:szCs w:val="21"/>
              </w:rPr>
            </w:pPr>
          </w:p>
        </w:tc>
      </w:tr>
    </w:tbl>
    <w:p>
      <w:pPr>
        <w:ind w:firstLine="482" w:firstLineChars="200"/>
        <w:rPr>
          <w:b/>
          <w:sz w:val="24"/>
          <w:szCs w:val="22"/>
        </w:rPr>
      </w:pPr>
      <w:r>
        <w:rPr>
          <w:rFonts w:hint="eastAsia"/>
          <w:b/>
          <w:sz w:val="24"/>
          <w:szCs w:val="22"/>
        </w:rPr>
        <w:t>注：1.上表所列各项均为不可负偏离条款。</w:t>
      </w:r>
    </w:p>
    <w:p>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pPr>
        <w:ind w:firstLine="482" w:firstLineChars="200"/>
        <w:rPr>
          <w:b/>
          <w:sz w:val="24"/>
        </w:rPr>
      </w:pPr>
      <w:r>
        <w:rPr>
          <w:b/>
          <w:sz w:val="24"/>
        </w:rPr>
        <w:t>4.</w:t>
      </w:r>
      <w:r>
        <w:rPr>
          <w:rFonts w:hint="eastAsia"/>
          <w:b/>
          <w:sz w:val="24"/>
        </w:rPr>
        <w:t>评审委员会有权对投标响应情况作出判断（作出评审结论）。</w:t>
      </w:r>
    </w:p>
    <w:p>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pPr>
        <w:ind w:firstLine="482" w:firstLineChars="200"/>
        <w:rPr>
          <w:b/>
          <w:sz w:val="24"/>
          <w:szCs w:val="22"/>
        </w:rPr>
      </w:pPr>
      <w:r>
        <w:rPr>
          <w:rFonts w:hint="eastAsia"/>
          <w:b/>
          <w:sz w:val="24"/>
          <w:szCs w:val="22"/>
        </w:rPr>
        <w:t>6.要求提供证明资料，在“说明”一栏中列明证明资料的位置,以便评审；未要求提供证明材料的，投标人可以不提供。</w:t>
      </w:r>
    </w:p>
    <w:p>
      <w:pPr>
        <w:ind w:firstLine="420" w:firstLineChars="200"/>
      </w:pPr>
    </w:p>
    <w:p>
      <w:pPr>
        <w:rPr>
          <w:b/>
          <w:bCs/>
          <w:sz w:val="24"/>
        </w:rPr>
      </w:pPr>
    </w:p>
    <w:p>
      <w:pPr>
        <w:pStyle w:val="6"/>
        <w:numPr>
          <w:ilvl w:val="0"/>
          <w:numId w:val="8"/>
        </w:numPr>
        <w:jc w:val="center"/>
        <w:rPr>
          <w:rFonts w:hint="eastAsia" w:ascii="黑体" w:eastAsia="黑体"/>
          <w:b w:val="0"/>
          <w:bCs w:val="0"/>
          <w:sz w:val="24"/>
          <w:szCs w:val="20"/>
        </w:rPr>
      </w:pPr>
      <w:bookmarkStart w:id="30" w:name="_Hlk72062872"/>
      <w:r>
        <w:rPr>
          <w:rFonts w:hint="eastAsia" w:ascii="黑体" w:eastAsia="黑体"/>
          <w:b w:val="0"/>
          <w:bCs w:val="0"/>
          <w:sz w:val="24"/>
          <w:szCs w:val="20"/>
        </w:rPr>
        <w:t>实施方案</w:t>
      </w:r>
    </w:p>
    <w:p>
      <w:pPr>
        <w:spacing w:line="400" w:lineRule="exact"/>
        <w:jc w:val="center"/>
        <w:rPr>
          <w:rFonts w:hint="eastAsia"/>
        </w:rPr>
      </w:pPr>
      <w:r>
        <w:rPr>
          <w:rFonts w:hint="eastAsia" w:ascii="Verdana" w:hAnsi="Verdana" w:eastAsia="仿宋_GB2312"/>
          <w:color w:val="FF0000"/>
          <w:sz w:val="24"/>
          <w:szCs w:val="24"/>
        </w:rPr>
        <w:t>（根据评分细则的要求提供，格式自拟）</w:t>
      </w:r>
    </w:p>
    <w:p>
      <w:pPr>
        <w:pStyle w:val="6"/>
        <w:numPr>
          <w:ilvl w:val="0"/>
          <w:numId w:val="8"/>
        </w:numPr>
        <w:ind w:left="0" w:leftChars="0" w:firstLine="0" w:firstLineChars="0"/>
        <w:jc w:val="center"/>
        <w:rPr>
          <w:rFonts w:hint="eastAsia" w:ascii="黑体" w:eastAsia="黑体"/>
          <w:b w:val="0"/>
          <w:bCs w:val="0"/>
          <w:sz w:val="24"/>
          <w:szCs w:val="20"/>
        </w:rPr>
      </w:pPr>
      <w:r>
        <w:rPr>
          <w:rFonts w:hint="eastAsia" w:ascii="黑体" w:eastAsia="黑体"/>
          <w:b w:val="0"/>
          <w:bCs w:val="0"/>
          <w:sz w:val="24"/>
          <w:szCs w:val="20"/>
        </w:rPr>
        <w:t>项目优势化分析、项目重难点及相关的合理化建议</w:t>
      </w:r>
    </w:p>
    <w:p>
      <w:pPr>
        <w:spacing w:line="400" w:lineRule="exact"/>
        <w:jc w:val="center"/>
        <w:rPr>
          <w:rFonts w:hint="eastAsia"/>
        </w:rPr>
      </w:pPr>
      <w:r>
        <w:rPr>
          <w:rFonts w:hint="eastAsia" w:ascii="Verdana" w:hAnsi="Verdana" w:eastAsia="仿宋_GB2312"/>
          <w:color w:val="FF0000"/>
          <w:sz w:val="24"/>
          <w:szCs w:val="24"/>
        </w:rPr>
        <w:t>（根据评分细则的要求提供，格式自拟）</w:t>
      </w:r>
    </w:p>
    <w:p>
      <w:pPr>
        <w:pStyle w:val="6"/>
        <w:numPr>
          <w:ilvl w:val="0"/>
          <w:numId w:val="8"/>
        </w:numPr>
        <w:ind w:left="0" w:leftChars="0" w:firstLine="0" w:firstLineChars="0"/>
        <w:jc w:val="center"/>
        <w:rPr>
          <w:rFonts w:hint="eastAsia" w:ascii="黑体" w:eastAsia="黑体"/>
          <w:b w:val="0"/>
          <w:bCs w:val="0"/>
          <w:sz w:val="24"/>
          <w:szCs w:val="20"/>
        </w:rPr>
      </w:pPr>
      <w:r>
        <w:rPr>
          <w:rFonts w:hint="eastAsia" w:ascii="黑体" w:eastAsia="黑体"/>
          <w:b w:val="0"/>
          <w:bCs w:val="0"/>
          <w:sz w:val="24"/>
          <w:szCs w:val="20"/>
        </w:rPr>
        <w:t>质量保障措施</w:t>
      </w:r>
    </w:p>
    <w:p>
      <w:pPr>
        <w:spacing w:line="400" w:lineRule="exact"/>
        <w:jc w:val="center"/>
        <w:rPr>
          <w:rFonts w:hint="eastAsia"/>
        </w:rPr>
      </w:pPr>
      <w:r>
        <w:rPr>
          <w:rFonts w:hint="eastAsia" w:ascii="Verdana" w:hAnsi="Verdana" w:eastAsia="仿宋_GB2312"/>
          <w:color w:val="FF0000"/>
          <w:sz w:val="24"/>
          <w:szCs w:val="24"/>
        </w:rPr>
        <w:t>（根据评分细则的要求提供，格式自拟）</w:t>
      </w:r>
    </w:p>
    <w:p>
      <w:pPr>
        <w:pStyle w:val="6"/>
        <w:numPr>
          <w:ilvl w:val="0"/>
          <w:numId w:val="8"/>
        </w:numPr>
        <w:ind w:left="0" w:leftChars="0" w:firstLine="0" w:firstLineChars="0"/>
        <w:jc w:val="center"/>
        <w:rPr>
          <w:rFonts w:hint="eastAsia" w:ascii="黑体" w:eastAsia="黑体"/>
          <w:b w:val="0"/>
          <w:bCs w:val="0"/>
          <w:sz w:val="24"/>
          <w:szCs w:val="20"/>
        </w:rPr>
      </w:pPr>
      <w:r>
        <w:rPr>
          <w:rFonts w:hint="eastAsia" w:ascii="黑体" w:eastAsia="黑体"/>
          <w:b w:val="0"/>
          <w:bCs w:val="0"/>
          <w:sz w:val="24"/>
          <w:szCs w:val="20"/>
        </w:rPr>
        <w:t>拟安排的项目团队成员情况</w:t>
      </w:r>
    </w:p>
    <w:p>
      <w:pPr>
        <w:spacing w:line="400" w:lineRule="exact"/>
        <w:jc w:val="center"/>
        <w:rPr>
          <w:rFonts w:hint="eastAsia"/>
        </w:rPr>
      </w:pPr>
      <w:r>
        <w:rPr>
          <w:rFonts w:hint="eastAsia" w:ascii="Verdana" w:hAnsi="Verdana" w:eastAsia="仿宋_GB2312"/>
          <w:color w:val="FF0000"/>
          <w:sz w:val="24"/>
          <w:szCs w:val="24"/>
        </w:rPr>
        <w:t>（根据评分细则的要求提供，格式自拟）</w:t>
      </w:r>
    </w:p>
    <w:p>
      <w:pPr>
        <w:pStyle w:val="6"/>
        <w:jc w:val="center"/>
        <w:rPr>
          <w:rFonts w:hint="eastAsia" w:ascii="黑体" w:eastAsia="黑体"/>
          <w:b w:val="0"/>
          <w:bCs w:val="0"/>
          <w:sz w:val="24"/>
          <w:szCs w:val="20"/>
        </w:rPr>
      </w:pPr>
      <w:r>
        <w:rPr>
          <w:rFonts w:hint="eastAsia" w:ascii="黑体" w:eastAsia="黑体"/>
          <w:b w:val="0"/>
          <w:bCs w:val="0"/>
          <w:sz w:val="24"/>
          <w:szCs w:val="20"/>
          <w:lang w:val="en-US" w:eastAsia="zh-CN"/>
        </w:rPr>
        <w:t>八、</w:t>
      </w:r>
      <w:r>
        <w:rPr>
          <w:rFonts w:hint="eastAsia" w:ascii="黑体" w:eastAsia="黑体"/>
          <w:b w:val="0"/>
          <w:bCs w:val="0"/>
          <w:sz w:val="24"/>
          <w:szCs w:val="20"/>
        </w:rPr>
        <w:t>投标人认为需要加以说明的其他内容</w:t>
      </w:r>
    </w:p>
    <w:bookmarkEnd w:id="30"/>
    <w:p>
      <w:pPr>
        <w:widowControl/>
        <w:jc w:val="center"/>
        <w:rPr>
          <w:rFonts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政府采购违法行为风险知悉确认书</w:t>
      </w:r>
    </w:p>
    <w:p>
      <w:pPr>
        <w:widowControl/>
        <w:jc w:val="center"/>
        <w:rPr>
          <w:rFonts w:ascii="黑体" w:hAnsi="宋体" w:eastAsia="黑体"/>
          <w:kern w:val="0"/>
          <w:sz w:val="24"/>
          <w:szCs w:val="20"/>
        </w:rPr>
      </w:pPr>
    </w:p>
    <w:p>
      <w:pPr>
        <w:ind w:firstLine="420" w:firstLineChars="200"/>
      </w:pPr>
      <w:r>
        <w:rPr>
          <w:rFonts w:hint="eastAsia"/>
        </w:rPr>
        <w:t>本公司在投标前已充分知悉以下情形为参与政府采购活动时的重大风险事项，并承诺已对下述风险提示事项重点排查，做到严谨、诚信、依法依规参与政府采购活动。</w:t>
      </w:r>
    </w:p>
    <w:p>
      <w:pPr>
        <w:ind w:firstLine="422" w:firstLineChars="200"/>
        <w:rPr>
          <w:b/>
        </w:rPr>
      </w:pPr>
      <w:r>
        <w:rPr>
          <w:rFonts w:hint="eastAsia"/>
          <w:b/>
        </w:rPr>
        <w:t>一、本公司已充分知悉“隐瞒真实情况，提供虚假资料”的法定情形，相关情形包括但不限于：</w:t>
      </w:r>
    </w:p>
    <w:p>
      <w:pPr>
        <w:ind w:firstLine="420" w:firstLineChars="200"/>
      </w:pPr>
      <w:r>
        <w:rPr>
          <w:rFonts w:hint="eastAsia"/>
        </w:rPr>
        <w:t>（一）通过转让或者租借等方式从其他单位获取资格或者资质证书投标的。</w:t>
      </w:r>
    </w:p>
    <w:p>
      <w:pPr>
        <w:ind w:firstLine="420" w:firstLineChars="200"/>
      </w:pPr>
      <w:r>
        <w:rPr>
          <w:rFonts w:hint="eastAsia"/>
        </w:rPr>
        <w:t>（二）由其他单位或者其他单位负责人在投标供应商编制的投标文件上加盖印章或者签字的。</w:t>
      </w:r>
    </w:p>
    <w:p>
      <w:pPr>
        <w:ind w:firstLine="420" w:firstLineChars="200"/>
      </w:pPr>
      <w:r>
        <w:rPr>
          <w:rFonts w:hint="eastAsia"/>
        </w:rPr>
        <w:t>（三）项目负责人或者主要技术人员不是本单位人员的。</w:t>
      </w:r>
    </w:p>
    <w:p>
      <w:pPr>
        <w:ind w:firstLine="420" w:firstLineChars="200"/>
      </w:pPr>
      <w:r>
        <w:rPr>
          <w:rFonts w:hint="eastAsia"/>
        </w:rPr>
        <w:t>（四）投标保证金不是从投标供应商基本账户转出的。</w:t>
      </w:r>
    </w:p>
    <w:p>
      <w:pPr>
        <w:ind w:firstLine="420" w:firstLineChars="200"/>
      </w:pPr>
      <w:r>
        <w:rPr>
          <w:rFonts w:hint="eastAsia"/>
        </w:rPr>
        <w:t>（五）其他隐瞒真实情况、提供虚假资料的行为。</w:t>
      </w:r>
    </w:p>
    <w:p>
      <w:pPr>
        <w:ind w:firstLine="422" w:firstLineChars="200"/>
        <w:rPr>
          <w:b/>
        </w:rPr>
      </w:pPr>
      <w:r>
        <w:rPr>
          <w:rFonts w:hint="eastAsia"/>
          <w:b/>
        </w:rPr>
        <w:t>二、本公司已充分知悉“与其他采购参加人串通投标”的法定情形，相关情形包括但不限于：</w:t>
      </w:r>
    </w:p>
    <w:p>
      <w:pPr>
        <w:ind w:firstLine="420" w:firstLineChars="200"/>
      </w:pPr>
      <w:r>
        <w:rPr>
          <w:rFonts w:hint="eastAsia"/>
        </w:rPr>
        <w:t>（一）投标供应商之间相互约定给予未中标的供应商利益补偿。</w:t>
      </w:r>
    </w:p>
    <w:p>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pPr>
        <w:ind w:firstLine="420" w:firstLineChars="200"/>
      </w:pPr>
      <w:r>
        <w:rPr>
          <w:rFonts w:hint="eastAsia"/>
        </w:rPr>
        <w:t>（三）不同投标供应商的投标文件由同一单位或者同一人编制，或者由同一人分阶段参与编制的。</w:t>
      </w:r>
    </w:p>
    <w:p>
      <w:pPr>
        <w:ind w:firstLine="420" w:firstLineChars="200"/>
      </w:pPr>
      <w:r>
        <w:rPr>
          <w:rFonts w:hint="eastAsia"/>
        </w:rPr>
        <w:t>（四）不同投标供应商的投标文件或部分投标文件相互混装。</w:t>
      </w:r>
    </w:p>
    <w:p>
      <w:pPr>
        <w:ind w:firstLine="420" w:firstLineChars="200"/>
      </w:pPr>
      <w:r>
        <w:rPr>
          <w:rFonts w:hint="eastAsia"/>
        </w:rPr>
        <w:t>（五）不同投标供应商的投标文件内容存在非正常一致。</w:t>
      </w:r>
    </w:p>
    <w:p>
      <w:pPr>
        <w:ind w:firstLine="420" w:firstLineChars="200"/>
      </w:pPr>
      <w:r>
        <w:rPr>
          <w:rFonts w:hint="eastAsia"/>
        </w:rPr>
        <w:t>（六）由同一单位工作人员为两家以上（含两家）供应商进行同一项投标活动的。</w:t>
      </w:r>
    </w:p>
    <w:p>
      <w:pPr>
        <w:ind w:firstLine="420" w:firstLineChars="200"/>
      </w:pPr>
      <w:r>
        <w:rPr>
          <w:rFonts w:hint="eastAsia"/>
        </w:rPr>
        <w:t>（七）不同投标人的投标报价呈规律性差异。</w:t>
      </w:r>
    </w:p>
    <w:p>
      <w:pPr>
        <w:ind w:firstLine="420" w:firstLineChars="200"/>
      </w:pPr>
      <w:r>
        <w:rPr>
          <w:rFonts w:hint="eastAsia"/>
        </w:rPr>
        <w:t>（八）不同投标人的投标保证金从同一单位或者个人的账户转出。</w:t>
      </w:r>
    </w:p>
    <w:p>
      <w:pPr>
        <w:ind w:firstLine="420" w:firstLineChars="200"/>
      </w:pPr>
      <w:r>
        <w:rPr>
          <w:rFonts w:hint="eastAsia"/>
        </w:rPr>
        <w:t>（九）主管部门依照法律、法规认定的其他情形。</w:t>
      </w:r>
    </w:p>
    <w:p>
      <w:pPr>
        <w:ind w:firstLine="422" w:firstLineChars="200"/>
        <w:rPr>
          <w:b/>
        </w:rPr>
      </w:pPr>
      <w:r>
        <w:rPr>
          <w:rFonts w:hint="eastAsia"/>
          <w:b/>
        </w:rPr>
        <w:t>三、本公司已充分知悉下列情形所对应的法律风险，并在投标前已对相关风险事项进行排查。</w:t>
      </w:r>
    </w:p>
    <w:p>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pPr>
      <w:r>
        <w:rPr>
          <w:rFonts w:hint="eastAsia"/>
        </w:rPr>
        <w:t>（三）对于涉及安全生产、特种作业、抢险救灾、防疫等政府采购项目，供应商实施提供虚假资料、串通投标等违法行为的，主管部门将依法从严处理。</w:t>
      </w:r>
    </w:p>
    <w:p>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ind w:firstLine="420" w:firstLineChars="200"/>
      </w:pPr>
      <w:r>
        <w:rPr>
          <w:rFonts w:hint="eastAsi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ind w:firstLine="420" w:firstLineChars="200"/>
      </w:pPr>
      <w:r>
        <w:rPr>
          <w:rFonts w:hint="eastAsia"/>
        </w:rPr>
        <w:t>（六）单位负责人为同一人或者存在直接控股、管理关系的不同供应商，不得参加同一合同项下的政府采购活动。相关情形如查实，依法作投标无效处理；涉嫌串通投标等违法行为的，主管部门将依法调查处理。</w:t>
      </w:r>
    </w:p>
    <w:p>
      <w:pPr>
        <w:ind w:firstLine="422" w:firstLineChars="200"/>
        <w:rPr>
          <w:b/>
        </w:rPr>
      </w:pPr>
      <w:r>
        <w:rPr>
          <w:rFonts w:hint="eastAsia"/>
          <w:b/>
        </w:rPr>
        <w:t>四、本公司已充分知悉政府采购违法、违规行为的法律后果。</w:t>
      </w:r>
    </w:p>
    <w:p>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pPr>
      <w:r>
        <w:rPr>
          <w:rFonts w:hint="eastAsia"/>
          <w:highlight w:val="yellow"/>
        </w:rPr>
        <w:t>以下文字请投标供应商抄写并确认：“本公司已仔细阅读《政府采购违法行为风险知悉确认书》，充分知悉违法行为的法律后果，并承诺将严谨、诚信、依法依规参与政府采购活动”。</w:t>
      </w:r>
    </w:p>
    <w:tbl>
      <w:tblPr>
        <w:tblStyle w:val="44"/>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400" w:lineRule="exact"/>
              <w:ind w:firstLine="1866"/>
              <w:rPr>
                <w:rFonts w:ascii="宋体" w:hAnsi="宋体" w:eastAsiaTheme="minorEastAsia"/>
                <w:spacing w:val="-4"/>
                <w:kern w:val="0"/>
                <w:szCs w:val="21"/>
              </w:rPr>
            </w:pPr>
          </w:p>
        </w:tc>
      </w:tr>
    </w:tbl>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1414" w:firstLine="404" w:firstLineChars="200"/>
        <w:jc w:val="right"/>
        <w:rPr>
          <w:rFonts w:ascii="宋体" w:hAnsi="宋体" w:eastAsiaTheme="minorEastAsia"/>
          <w:spacing w:val="-4"/>
          <w:kern w:val="0"/>
          <w:szCs w:val="21"/>
        </w:rPr>
      </w:pPr>
      <w:r>
        <w:rPr>
          <w:rFonts w:hint="eastAsia" w:ascii="宋体" w:hAnsi="宋体" w:eastAsiaTheme="minorEastAsia"/>
          <w:spacing w:val="-4"/>
          <w:kern w:val="0"/>
          <w:szCs w:val="21"/>
        </w:rPr>
        <w:t xml:space="preserve">     </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06" w:firstLineChars="200"/>
        <w:jc w:val="left"/>
        <w:rPr>
          <w:rFonts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w:t>
      </w:r>
      <w:r>
        <w:rPr>
          <w:rFonts w:hint="eastAsia" w:ascii="宋体" w:hAnsi="宋体" w:eastAsiaTheme="minorEastAsia"/>
          <w:b/>
          <w:bCs/>
          <w:color w:val="FF0000"/>
          <w:spacing w:val="-4"/>
          <w:kern w:val="0"/>
          <w:szCs w:val="21"/>
          <w:highlight w:val="yellow"/>
        </w:rPr>
        <w:t>并加盖单位公章</w:t>
      </w:r>
      <w:r>
        <w:rPr>
          <w:rFonts w:hint="eastAsia" w:ascii="宋体" w:hAnsi="宋体" w:eastAsiaTheme="minorEastAsia"/>
          <w:b/>
          <w:bCs/>
          <w:color w:val="FF0000"/>
          <w:spacing w:val="-4"/>
          <w:kern w:val="0"/>
          <w:szCs w:val="21"/>
        </w:rPr>
        <w:t>后，扫描上传至投标文件一并提交。</w:t>
      </w:r>
    </w:p>
    <w:p>
      <w:pPr>
        <w:widowControl/>
        <w:autoSpaceDE w:val="0"/>
        <w:autoSpaceDN w:val="0"/>
        <w:spacing w:line="400" w:lineRule="exact"/>
        <w:ind w:right="1414" w:firstLine="480" w:firstLineChars="200"/>
        <w:jc w:val="right"/>
        <w:rPr>
          <w:rFonts w:eastAsiaTheme="minorEastAsia"/>
          <w:kern w:val="0"/>
          <w:sz w:val="24"/>
        </w:rPr>
      </w:pPr>
    </w:p>
    <w:p>
      <w:pPr>
        <w:widowControl/>
        <w:jc w:val="center"/>
        <w:rPr>
          <w:rFonts w:ascii="黑体" w:hAnsi="宋体" w:eastAsia="黑体"/>
          <w:kern w:val="0"/>
          <w:sz w:val="24"/>
          <w:szCs w:val="20"/>
        </w:rPr>
      </w:pPr>
      <w:r>
        <w:rPr>
          <w:rFonts w:hint="eastAsia" w:ascii="黑体" w:hAnsi="宋体" w:eastAsia="黑体"/>
          <w:kern w:val="0"/>
          <w:sz w:val="24"/>
          <w:szCs w:val="20"/>
        </w:rPr>
        <w:t>（二）投标人认为需要加以说明的其他内容（格式自定）</w:t>
      </w:r>
    </w:p>
    <w:p>
      <w:pPr>
        <w:pStyle w:val="2"/>
        <w:sectPr>
          <w:pgSz w:w="11907" w:h="16840"/>
          <w:pgMar w:top="1440" w:right="1797" w:bottom="1440" w:left="1797" w:header="851" w:footer="992" w:gutter="0"/>
          <w:cols w:space="425" w:num="1"/>
          <w:titlePg/>
          <w:docGrid w:linePitch="462" w:charSpace="0"/>
        </w:sectPr>
      </w:pPr>
    </w:p>
    <w:p>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第五章  合同条款及格式</w:t>
      </w:r>
    </w:p>
    <w:p>
      <w:pPr>
        <w:widowControl/>
        <w:jc w:val="center"/>
        <w:rPr>
          <w:rFonts w:ascii="宋体" w:hAnsi="宋体" w:eastAsia="黑体" w:cs="Times New Roman"/>
          <w:bCs/>
          <w:kern w:val="44"/>
          <w:sz w:val="28"/>
          <w:szCs w:val="44"/>
        </w:rPr>
      </w:pPr>
      <w:bookmarkStart w:id="31" w:name="_Hlk72574405"/>
      <w:r>
        <w:rPr>
          <w:rFonts w:hint="eastAsia"/>
          <w:b/>
          <w:sz w:val="24"/>
        </w:rPr>
        <w:t>（仅供参考，具体以项目需求及采购结果为准）</w:t>
      </w:r>
      <w:bookmarkEnd w:id="31"/>
    </w:p>
    <w:p>
      <w:pPr>
        <w:snapToGrid w:val="0"/>
        <w:spacing w:line="300" w:lineRule="auto"/>
        <w:jc w:val="center"/>
        <w:rPr>
          <w:rFonts w:ascii="仿宋" w:hAnsi="仿宋" w:eastAsia="仿宋" w:cs="Times New Roman"/>
          <w:sz w:val="28"/>
          <w:szCs w:val="28"/>
        </w:rPr>
      </w:pPr>
    </w:p>
    <w:p>
      <w:pPr>
        <w:rPr>
          <w:rFonts w:ascii="宋体" w:hAnsi="宋体" w:eastAsia="宋体" w:cs="Times New Roman"/>
          <w:b/>
          <w:bCs/>
          <w:sz w:val="24"/>
          <w:szCs w:val="24"/>
        </w:rPr>
      </w:pPr>
      <w:r>
        <w:rPr>
          <w:rFonts w:hint="eastAsia" w:ascii="宋体" w:hAnsi="宋体" w:eastAsia="宋体" w:cs="Times New Roman"/>
          <w:b/>
          <w:bCs/>
          <w:sz w:val="24"/>
          <w:szCs w:val="24"/>
        </w:rPr>
        <w:t>甲方：</w:t>
      </w:r>
    </w:p>
    <w:p>
      <w:pPr>
        <w:rPr>
          <w:rFonts w:ascii="宋体" w:hAnsi="宋体" w:eastAsia="宋体" w:cs="Times New Roman"/>
          <w:sz w:val="24"/>
          <w:szCs w:val="24"/>
        </w:rPr>
      </w:pPr>
      <w:r>
        <w:rPr>
          <w:rFonts w:hint="eastAsia" w:ascii="宋体" w:hAnsi="宋体" w:eastAsia="宋体" w:cs="Times New Roman"/>
          <w:sz w:val="24"/>
          <w:szCs w:val="24"/>
        </w:rPr>
        <w:t>地址：</w:t>
      </w:r>
    </w:p>
    <w:p>
      <w:pPr>
        <w:rPr>
          <w:rFonts w:ascii="宋体" w:hAnsi="宋体" w:eastAsia="宋体" w:cs="Times New Roman"/>
          <w:sz w:val="24"/>
          <w:szCs w:val="24"/>
        </w:rPr>
      </w:pPr>
      <w:r>
        <w:rPr>
          <w:rFonts w:hint="eastAsia" w:ascii="宋体" w:hAnsi="宋体" w:eastAsia="宋体" w:cs="Times New Roman"/>
          <w:sz w:val="24"/>
          <w:szCs w:val="24"/>
        </w:rPr>
        <w:t>联系人：</w:t>
      </w:r>
    </w:p>
    <w:p>
      <w:pPr>
        <w:rPr>
          <w:rFonts w:ascii="宋体" w:hAnsi="宋体" w:eastAsia="宋体" w:cs="Times New Roman"/>
          <w:b/>
          <w:bCs/>
          <w:sz w:val="24"/>
          <w:szCs w:val="24"/>
        </w:rPr>
      </w:pPr>
      <w:r>
        <w:rPr>
          <w:rFonts w:hint="eastAsia" w:ascii="宋体" w:hAnsi="宋体" w:eastAsia="宋体" w:cs="Times New Roman"/>
          <w:sz w:val="24"/>
          <w:szCs w:val="24"/>
        </w:rPr>
        <w:t>联系电话：</w:t>
      </w:r>
    </w:p>
    <w:p>
      <w:pPr>
        <w:rPr>
          <w:rFonts w:ascii="宋体" w:hAnsi="宋体" w:eastAsia="宋体" w:cs="Times New Roman"/>
          <w:b/>
          <w:bCs/>
          <w:sz w:val="24"/>
          <w:szCs w:val="24"/>
        </w:rPr>
      </w:pPr>
    </w:p>
    <w:p>
      <w:pPr>
        <w:rPr>
          <w:rFonts w:ascii="宋体" w:hAnsi="宋体" w:eastAsia="宋体" w:cs="Times New Roman"/>
          <w:b/>
          <w:bCs/>
          <w:sz w:val="24"/>
          <w:szCs w:val="24"/>
        </w:rPr>
      </w:pPr>
      <w:r>
        <w:rPr>
          <w:rFonts w:hint="eastAsia" w:ascii="宋体" w:hAnsi="宋体" w:eastAsia="宋体" w:cs="Times New Roman"/>
          <w:b/>
          <w:bCs/>
          <w:sz w:val="24"/>
          <w:szCs w:val="24"/>
        </w:rPr>
        <w:t>乙方：</w:t>
      </w:r>
    </w:p>
    <w:p>
      <w:pPr>
        <w:rPr>
          <w:rFonts w:ascii="宋体" w:hAnsi="宋体" w:eastAsia="宋体" w:cs="Times New Roman"/>
          <w:sz w:val="24"/>
          <w:szCs w:val="24"/>
        </w:rPr>
      </w:pPr>
      <w:r>
        <w:rPr>
          <w:rFonts w:hint="eastAsia" w:ascii="宋体" w:hAnsi="宋体" w:eastAsia="宋体" w:cs="Times New Roman"/>
          <w:sz w:val="24"/>
          <w:szCs w:val="24"/>
        </w:rPr>
        <w:t>地址：</w:t>
      </w:r>
    </w:p>
    <w:p>
      <w:pPr>
        <w:rPr>
          <w:rFonts w:ascii="宋体" w:hAnsi="宋体" w:eastAsia="宋体" w:cs="Times New Roman"/>
          <w:sz w:val="24"/>
          <w:szCs w:val="24"/>
        </w:rPr>
      </w:pPr>
      <w:r>
        <w:rPr>
          <w:rFonts w:hint="eastAsia" w:ascii="宋体" w:hAnsi="宋体" w:eastAsia="宋体" w:cs="Times New Roman"/>
          <w:sz w:val="24"/>
          <w:szCs w:val="24"/>
        </w:rPr>
        <w:t>联系人：</w:t>
      </w:r>
    </w:p>
    <w:p>
      <w:pPr>
        <w:rPr>
          <w:rFonts w:ascii="宋体" w:hAnsi="宋体" w:eastAsia="宋体" w:cs="Times New Roman"/>
          <w:b/>
          <w:bCs/>
          <w:sz w:val="24"/>
          <w:szCs w:val="24"/>
        </w:rPr>
      </w:pPr>
      <w:r>
        <w:rPr>
          <w:rFonts w:hint="eastAsia" w:ascii="宋体" w:hAnsi="宋体" w:eastAsia="宋体" w:cs="Times New Roman"/>
          <w:sz w:val="24"/>
          <w:szCs w:val="24"/>
        </w:rPr>
        <w:t>联系电话：</w:t>
      </w:r>
    </w:p>
    <w:p>
      <w:pPr>
        <w:rPr>
          <w:rFonts w:ascii="宋体" w:hAnsi="宋体" w:eastAsia="宋体" w:cs="Times New Roman"/>
          <w:sz w:val="24"/>
          <w:szCs w:val="24"/>
        </w:rPr>
      </w:pPr>
    </w:p>
    <w:p>
      <w:pPr>
        <w:rPr>
          <w:rFonts w:ascii="宋体" w:hAnsi="宋体" w:eastAsia="宋体" w:cs="Times New Roman"/>
          <w:sz w:val="24"/>
          <w:szCs w:val="24"/>
        </w:rPr>
      </w:pP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根据深圳公共资源交易中心（深圳交易集团有限公司*</w:t>
      </w:r>
      <w:r>
        <w:rPr>
          <w:rFonts w:ascii="宋体" w:hAnsi="宋体" w:eastAsia="宋体" w:cs="Times New Roman"/>
          <w:sz w:val="24"/>
          <w:szCs w:val="24"/>
        </w:rPr>
        <w:t>**</w:t>
      </w:r>
      <w:r>
        <w:rPr>
          <w:rFonts w:hint="eastAsia" w:ascii="宋体" w:hAnsi="宋体" w:eastAsia="宋体" w:cs="Times New Roman"/>
          <w:sz w:val="24"/>
          <w:szCs w:val="24"/>
        </w:rPr>
        <w:t>分公司）*</w:t>
      </w:r>
      <w:r>
        <w:rPr>
          <w:rFonts w:ascii="宋体" w:hAnsi="宋体" w:eastAsia="宋体" w:cs="Times New Roman"/>
          <w:sz w:val="24"/>
          <w:szCs w:val="24"/>
        </w:rPr>
        <w:t>**</w:t>
      </w:r>
      <w:r>
        <w:rPr>
          <w:rFonts w:hint="eastAsia" w:ascii="宋体" w:hAnsi="宋体" w:eastAsia="宋体" w:cs="Times New Roman"/>
          <w:sz w:val="24"/>
          <w:szCs w:val="24"/>
        </w:rPr>
        <w:t>号项目结果，*</w:t>
      </w:r>
      <w:r>
        <w:rPr>
          <w:rFonts w:ascii="宋体" w:hAnsi="宋体" w:eastAsia="宋体" w:cs="Times New Roman"/>
          <w:sz w:val="24"/>
          <w:szCs w:val="24"/>
        </w:rPr>
        <w:t>**</w:t>
      </w:r>
      <w:r>
        <w:rPr>
          <w:rFonts w:hint="eastAsia" w:ascii="宋体" w:hAnsi="宋体" w:eastAsia="宋体" w:cs="Times New Roman"/>
          <w:sz w:val="24"/>
          <w:szCs w:val="24"/>
        </w:rPr>
        <w:t>单位为中标人。按照《中华人民共和国民法典》（第三编 合同）》和《深圳经济特区政府采购条例》，经深圳市（以下简称甲方）和单位（以下简称乙方）协商，就甲方委托乙方承担</w:t>
      </w:r>
      <w:r>
        <w:rPr>
          <w:rFonts w:hint="eastAsia" w:ascii="宋体" w:hAnsi="宋体" w:eastAsia="宋体" w:cs="Times New Roman"/>
          <w:b/>
          <w:bCs/>
          <w:snapToGrid w:val="0"/>
          <w:kern w:val="0"/>
          <w:sz w:val="24"/>
          <w:szCs w:val="24"/>
          <w:u w:val="single"/>
          <w:lang w:val="zh-CN"/>
        </w:rPr>
        <w:t xml:space="preserve">                      项目</w:t>
      </w:r>
      <w:r>
        <w:rPr>
          <w:rFonts w:hint="eastAsia" w:ascii="宋体" w:hAnsi="宋体" w:eastAsia="宋体" w:cs="Times New Roman"/>
          <w:sz w:val="24"/>
          <w:szCs w:val="24"/>
        </w:rPr>
        <w:t>，达成以下合同条款：</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第一条　项目概况</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项目名称： </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项目内容： </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服务时间： </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合同价款：合同总价为元，含一切税、费。</w:t>
      </w:r>
      <w:r>
        <w:rPr>
          <w:rFonts w:ascii="Times New Roman" w:hAnsi="Times New Roman" w:eastAsia="宋体" w:cs="Times New Roman"/>
          <w:sz w:val="24"/>
          <w:szCs w:val="24"/>
        </w:rPr>
        <w:t>本合同总价包括</w:t>
      </w:r>
      <w:r>
        <w:rPr>
          <w:rFonts w:hint="eastAsia" w:ascii="宋体" w:hAnsi="宋体" w:eastAsia="宋体" w:cs="Times New Roman"/>
          <w:sz w:val="24"/>
          <w:szCs w:val="24"/>
        </w:rPr>
        <w:t>乙方为实施本项目*</w:t>
      </w:r>
      <w:r>
        <w:rPr>
          <w:rFonts w:ascii="宋体" w:hAnsi="宋体" w:eastAsia="宋体" w:cs="Times New Roman"/>
          <w:sz w:val="24"/>
          <w:szCs w:val="24"/>
        </w:rPr>
        <w:t>**</w:t>
      </w:r>
      <w:r>
        <w:rPr>
          <w:rFonts w:hint="eastAsia" w:ascii="宋体" w:hAnsi="宋体" w:eastAsia="宋体" w:cs="Times New Roman"/>
          <w:sz w:val="24"/>
          <w:szCs w:val="24"/>
        </w:rPr>
        <w:t>所需的设备仪器费、车辆租赁费、</w:t>
      </w:r>
      <w:r>
        <w:rPr>
          <w:rFonts w:ascii="Times New Roman" w:hAnsi="Times New Roman" w:eastAsia="宋体" w:cs="Times New Roman"/>
          <w:sz w:val="24"/>
          <w:szCs w:val="24"/>
        </w:rPr>
        <w:t>服务</w:t>
      </w:r>
      <w:r>
        <w:rPr>
          <w:rFonts w:hint="eastAsia" w:ascii="Times New Roman" w:hAnsi="Times New Roman" w:eastAsia="宋体" w:cs="Times New Roman"/>
          <w:sz w:val="24"/>
          <w:szCs w:val="24"/>
        </w:rPr>
        <w:t>和</w:t>
      </w:r>
      <w:r>
        <w:rPr>
          <w:rFonts w:ascii="Times New Roman" w:hAnsi="Times New Roman" w:eastAsia="宋体" w:cs="Times New Roman"/>
          <w:sz w:val="24"/>
          <w:szCs w:val="24"/>
        </w:rPr>
        <w:t>技术费用</w:t>
      </w:r>
      <w:r>
        <w:rPr>
          <w:rFonts w:hint="eastAsia" w:ascii="Times New Roman" w:hAnsi="Times New Roman" w:eastAsia="宋体" w:cs="Times New Roman"/>
          <w:sz w:val="24"/>
          <w:szCs w:val="24"/>
        </w:rPr>
        <w:t>等</w:t>
      </w:r>
      <w:r>
        <w:rPr>
          <w:rFonts w:ascii="Times New Roman" w:hAnsi="Times New Roman" w:eastAsia="宋体" w:cs="Times New Roman"/>
          <w:sz w:val="24"/>
          <w:szCs w:val="24"/>
        </w:rPr>
        <w:t>，为固定不变价格，且不随通货膨胀的影响而波动。合同总价包括</w:t>
      </w:r>
      <w:r>
        <w:rPr>
          <w:rFonts w:hint="eastAsia" w:ascii="宋体" w:hAnsi="宋体" w:eastAsia="宋体" w:cs="Times New Roman"/>
          <w:sz w:val="24"/>
          <w:szCs w:val="24"/>
        </w:rPr>
        <w:t>乙方</w:t>
      </w:r>
      <w:r>
        <w:rPr>
          <w:rFonts w:ascii="Times New Roman" w:hAnsi="Times New Roman" w:eastAsia="宋体" w:cs="Times New Roman"/>
          <w:sz w:val="24"/>
          <w:szCs w:val="24"/>
        </w:rPr>
        <w:t>履行本合同义务所发生的一切费用和支出和以各种方式寄送技术资料到</w:t>
      </w:r>
      <w:r>
        <w:rPr>
          <w:rFonts w:hint="eastAsia" w:ascii="Times New Roman" w:hAnsi="Times New Roman" w:eastAsia="宋体" w:cs="Times New Roman"/>
          <w:sz w:val="24"/>
          <w:szCs w:val="24"/>
        </w:rPr>
        <w:t>甲</w:t>
      </w:r>
      <w:r>
        <w:rPr>
          <w:rFonts w:ascii="Times New Roman" w:hAnsi="Times New Roman" w:eastAsia="宋体" w:cs="Times New Roman"/>
          <w:sz w:val="24"/>
          <w:szCs w:val="24"/>
        </w:rPr>
        <w:t>方办公室所发生的费用。</w:t>
      </w:r>
    </w:p>
    <w:p>
      <w:pPr>
        <w:ind w:firstLine="420"/>
        <w:rPr>
          <w:rFonts w:ascii="宋体" w:hAnsi="宋体" w:eastAsia="宋体" w:cs="Times New Roman"/>
          <w:sz w:val="24"/>
          <w:szCs w:val="24"/>
        </w:rPr>
      </w:pPr>
      <w:r>
        <w:rPr>
          <w:rFonts w:hint="eastAsia" w:ascii="宋体" w:hAnsi="宋体" w:eastAsia="宋体" w:cs="Times New Roman"/>
          <w:sz w:val="24"/>
          <w:szCs w:val="24"/>
        </w:rPr>
        <w:t>支付方式：分期支付。</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第二条  服务范围</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1、  </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2、  </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3、  </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4、 其他合同未明示的相关工作。</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第三条  时间要求及阶段成果</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1、合同签订天内完成项目实施的准备工作，包括工作大纲和试验细则的编制；</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2、 </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3、</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4、</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第四条  咨询服务资料归属</w:t>
      </w:r>
    </w:p>
    <w:p>
      <w:pPr>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w:t>
      </w:r>
      <w:r>
        <w:rPr>
          <w:rFonts w:ascii="Times New Roman" w:hAnsi="Times New Roman" w:eastAsia="宋体" w:cs="Times New Roman"/>
          <w:sz w:val="24"/>
          <w:szCs w:val="24"/>
        </w:rPr>
        <w:t>所有提交给</w:t>
      </w:r>
      <w:r>
        <w:rPr>
          <w:rFonts w:hint="eastAsia" w:ascii="Times New Roman" w:hAnsi="Times New Roman" w:eastAsia="宋体" w:cs="Times New Roman"/>
          <w:sz w:val="24"/>
          <w:szCs w:val="24"/>
        </w:rPr>
        <w:t>甲</w:t>
      </w:r>
      <w:r>
        <w:rPr>
          <w:rFonts w:ascii="Times New Roman" w:hAnsi="Times New Roman" w:eastAsia="宋体" w:cs="Times New Roman"/>
          <w:sz w:val="24"/>
          <w:szCs w:val="24"/>
        </w:rPr>
        <w:t>方的咨询服务</w:t>
      </w:r>
      <w:r>
        <w:rPr>
          <w:rFonts w:hint="eastAsia" w:ascii="Times New Roman" w:hAnsi="Times New Roman" w:eastAsia="宋体" w:cs="Times New Roman"/>
          <w:sz w:val="24"/>
          <w:szCs w:val="24"/>
        </w:rPr>
        <w:t>文件</w:t>
      </w:r>
      <w:r>
        <w:rPr>
          <w:rFonts w:ascii="Times New Roman" w:hAnsi="Times New Roman" w:eastAsia="宋体" w:cs="Times New Roman"/>
          <w:sz w:val="24"/>
          <w:szCs w:val="24"/>
        </w:rPr>
        <w:t>及相关的资料的最后文本，包括为履行技术咨询服务范围所编制的图纸、计划和证明资料等，都属于</w:t>
      </w:r>
      <w:r>
        <w:rPr>
          <w:rFonts w:hint="eastAsia" w:ascii="Times New Roman" w:hAnsi="Times New Roman" w:eastAsia="宋体" w:cs="Times New Roman"/>
          <w:sz w:val="24"/>
          <w:szCs w:val="24"/>
        </w:rPr>
        <w:t>甲</w:t>
      </w:r>
      <w:r>
        <w:rPr>
          <w:rFonts w:ascii="Times New Roman" w:hAnsi="Times New Roman" w:eastAsia="宋体" w:cs="Times New Roman"/>
          <w:sz w:val="24"/>
          <w:szCs w:val="24"/>
        </w:rPr>
        <w:t>方的财产，</w:t>
      </w:r>
      <w:r>
        <w:rPr>
          <w:rFonts w:hint="eastAsia" w:ascii="宋体" w:hAnsi="宋体" w:eastAsia="宋体" w:cs="Times New Roman"/>
          <w:sz w:val="24"/>
          <w:szCs w:val="24"/>
        </w:rPr>
        <w:t>乙</w:t>
      </w:r>
      <w:r>
        <w:rPr>
          <w:rFonts w:ascii="Times New Roman" w:hAnsi="Times New Roman" w:eastAsia="宋体" w:cs="Times New Roman"/>
          <w:sz w:val="24"/>
          <w:szCs w:val="24"/>
        </w:rPr>
        <w:t>方在提交给</w:t>
      </w:r>
      <w:r>
        <w:rPr>
          <w:rFonts w:hint="eastAsia" w:ascii="Times New Roman" w:hAnsi="Times New Roman" w:eastAsia="宋体" w:cs="Times New Roman"/>
          <w:sz w:val="24"/>
          <w:szCs w:val="24"/>
        </w:rPr>
        <w:t>甲</w:t>
      </w:r>
      <w:r>
        <w:rPr>
          <w:rFonts w:ascii="Times New Roman" w:hAnsi="Times New Roman" w:eastAsia="宋体" w:cs="Times New Roman"/>
          <w:sz w:val="24"/>
          <w:szCs w:val="24"/>
        </w:rPr>
        <w:t>方之前应将上述资料进行整理归类和编制索引</w:t>
      </w:r>
      <w:r>
        <w:rPr>
          <w:rFonts w:hint="eastAsia" w:ascii="Times New Roman" w:hAnsi="Times New Roman" w:eastAsia="宋体" w:cs="Times New Roman"/>
          <w:sz w:val="24"/>
          <w:szCs w:val="24"/>
        </w:rPr>
        <w:t>。</w:t>
      </w:r>
    </w:p>
    <w:p>
      <w:pPr>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hint="eastAsia" w:ascii="宋体" w:hAnsi="宋体" w:eastAsia="宋体" w:cs="Times New Roman"/>
          <w:sz w:val="24"/>
          <w:szCs w:val="24"/>
        </w:rPr>
        <w:t>乙</w:t>
      </w:r>
      <w:r>
        <w:rPr>
          <w:rFonts w:ascii="Times New Roman" w:hAnsi="Times New Roman" w:eastAsia="宋体" w:cs="Times New Roman"/>
          <w:sz w:val="24"/>
          <w:szCs w:val="24"/>
        </w:rPr>
        <w:t>方未经</w:t>
      </w:r>
      <w:r>
        <w:rPr>
          <w:rFonts w:hint="eastAsia" w:ascii="Times New Roman" w:hAnsi="Times New Roman" w:eastAsia="宋体" w:cs="Times New Roman"/>
          <w:sz w:val="24"/>
          <w:szCs w:val="24"/>
        </w:rPr>
        <w:t>甲</w:t>
      </w:r>
      <w:r>
        <w:rPr>
          <w:rFonts w:ascii="Times New Roman" w:hAnsi="Times New Roman" w:eastAsia="宋体" w:cs="Times New Roman"/>
          <w:sz w:val="24"/>
          <w:szCs w:val="24"/>
        </w:rPr>
        <w:t>方的书面同意，不得将上述资料用于与本咨询服务项目之外的任何项目</w:t>
      </w:r>
      <w:r>
        <w:rPr>
          <w:rFonts w:hint="eastAsia" w:ascii="Times New Roman" w:hAnsi="Times New Roman" w:eastAsia="宋体" w:cs="Times New Roman"/>
          <w:sz w:val="24"/>
          <w:szCs w:val="24"/>
        </w:rPr>
        <w:t>。</w:t>
      </w:r>
    </w:p>
    <w:p>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合同履行</w:t>
      </w:r>
      <w:r>
        <w:rPr>
          <w:rFonts w:hint="eastAsia" w:ascii="Times New Roman" w:hAnsi="Times New Roman" w:eastAsia="宋体" w:cs="Times New Roman"/>
          <w:sz w:val="24"/>
          <w:szCs w:val="24"/>
        </w:rPr>
        <w:t>完毕，</w:t>
      </w:r>
      <w:r>
        <w:rPr>
          <w:rFonts w:ascii="Times New Roman" w:hAnsi="Times New Roman" w:eastAsia="宋体" w:cs="Times New Roman"/>
          <w:sz w:val="24"/>
          <w:szCs w:val="24"/>
        </w:rPr>
        <w:t>未经</w:t>
      </w:r>
      <w:r>
        <w:rPr>
          <w:rFonts w:hint="eastAsia" w:ascii="Times New Roman" w:hAnsi="Times New Roman" w:eastAsia="宋体" w:cs="Times New Roman"/>
          <w:sz w:val="24"/>
          <w:szCs w:val="24"/>
        </w:rPr>
        <w:t>甲</w:t>
      </w:r>
      <w:r>
        <w:rPr>
          <w:rFonts w:ascii="Times New Roman" w:hAnsi="Times New Roman" w:eastAsia="宋体" w:cs="Times New Roman"/>
          <w:sz w:val="24"/>
          <w:szCs w:val="24"/>
        </w:rPr>
        <w:t>方的书面同意</w:t>
      </w:r>
      <w:r>
        <w:rPr>
          <w:rFonts w:hint="eastAsia" w:ascii="Times New Roman" w:hAnsi="Times New Roman" w:eastAsia="宋体" w:cs="Times New Roman"/>
          <w:sz w:val="24"/>
          <w:szCs w:val="24"/>
        </w:rPr>
        <w:t>，</w:t>
      </w:r>
      <w:r>
        <w:rPr>
          <w:rFonts w:hint="eastAsia" w:ascii="宋体" w:hAnsi="宋体" w:eastAsia="宋体" w:cs="Times New Roman"/>
          <w:sz w:val="24"/>
          <w:szCs w:val="24"/>
        </w:rPr>
        <w:t>乙</w:t>
      </w:r>
      <w:r>
        <w:rPr>
          <w:rFonts w:ascii="Times New Roman" w:hAnsi="Times New Roman" w:eastAsia="宋体" w:cs="Times New Roman"/>
          <w:sz w:val="24"/>
          <w:szCs w:val="24"/>
        </w:rPr>
        <w:t>方</w:t>
      </w:r>
      <w:r>
        <w:rPr>
          <w:rFonts w:hint="eastAsia" w:ascii="Times New Roman" w:hAnsi="Times New Roman" w:eastAsia="宋体" w:cs="Times New Roman"/>
          <w:sz w:val="24"/>
          <w:szCs w:val="24"/>
        </w:rPr>
        <w:t>不得保存在</w:t>
      </w:r>
      <w:r>
        <w:rPr>
          <w:rFonts w:ascii="Times New Roman" w:hAnsi="Times New Roman" w:eastAsia="宋体" w:cs="Times New Roman"/>
          <w:sz w:val="24"/>
          <w:szCs w:val="24"/>
        </w:rPr>
        <w:t>履行合同过程中所获得或接触到的任何</w:t>
      </w:r>
      <w:r>
        <w:rPr>
          <w:rFonts w:hint="eastAsia" w:ascii="宋体" w:hAnsi="宋体" w:eastAsia="宋体" w:cs="Times New Roman"/>
          <w:sz w:val="24"/>
          <w:szCs w:val="24"/>
        </w:rPr>
        <w:t>内部数据资料。</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第五条  甲方的义务</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1、负责与本咨询服务项目有关的第三方的协调，提供开展咨询服务工作的外部条件。</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2、向乙方提供与本项目咨询服务工作有关的资料。</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3、负责组织有关专家对项目试验成果评估报告的评审。</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第六条　乙方的义务</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１、应按照招标文件、投标文件要求按期完成本项目咨询服务工作。</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2、负责组织项目的实施，保证工程进度和成桥荷载试验工作质量，并满足交通部交工验收相关标准。</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3、向甲方提交检测资料等各套，一套电子版文件。</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4、在履行合同期间或合同规定期限内，不得泄露与本合同规定业务活动有关的保密资料。</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第七条  甲方的权利</w:t>
      </w:r>
    </w:p>
    <w:p>
      <w:pPr>
        <w:ind w:firstLine="480" w:firstLineChars="20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、有权向乙方询问工作进展情况及相关的内容。</w:t>
      </w:r>
    </w:p>
    <w:p>
      <w:pPr>
        <w:ind w:firstLine="480" w:firstLineChars="20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、有权阐述对具体问题的意见和建议。</w:t>
      </w:r>
    </w:p>
    <w:p>
      <w:pPr>
        <w:ind w:firstLine="480" w:firstLineChars="200"/>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、当甲方认定乙方人员不按合同履行其职责，或与第三人串通给甲方造成经济损失的，甲方有权要求更换人员，直至终止合同并要求乙方承担相应的赔偿责任。</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第八条  乙方的权利</w:t>
      </w:r>
    </w:p>
    <w:p>
      <w:pPr>
        <w:ind w:firstLine="480" w:firstLineChars="20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、乙方在本项目服务过程中，如甲方提供的资料不明确时可向甲方提出书面报告。</w:t>
      </w:r>
    </w:p>
    <w:p>
      <w:pPr>
        <w:ind w:firstLine="480" w:firstLineChars="20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、乙方在本项目服务过程中，有权对第三方提出与本咨询服务业务有关的问题进行核对或查问。</w:t>
      </w:r>
    </w:p>
    <w:p>
      <w:pPr>
        <w:ind w:firstLine="480" w:firstLineChars="200"/>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、乙方在本项目服务过程中，有到工程现场勘察的权利。</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第九条  甲方的责任</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1、应当履行本合同约定的义务，如有违反则应当承担违约责任，赔偿给乙方造成的损失。</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2、甲方向乙方提出赔偿要求不能成立时，则应补偿由于该赔偿或其他要求所导致乙方的各种费用的支出。</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第十条  乙方的责任</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1、乙方的责任期即本合同有效期。如因非乙方的责任造成进度的推迟或延误而超过约定的日期，双方应进一步约定相应延长合同有效期。</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2、乙方的责任期内，应当履行本合同中约定的义务，因乙方的单方过失造成的经济损失，应当向甲方进行赔偿。</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3、乙方对甲方或第三方所提出的问题不能及时核对或答复，导致合同不能全部或部分履行，乙方应承担责任。</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4、乙方向甲方提出赔偿要求不能成立时，则应补偿由于该赔偿或其他要求所导致甲方的各种费用的支出。</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第十一条  人员要求</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1、参加本项目试验的人员必须具有国家和有关部门规定的相应资质。</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2、 参加本项目的试验人员的配置必须与投标文件中的服务承诺书和试验服务组织实施方案一致。</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3、必须以直属试验人员参与本项目服务，不得使用挂靠队伍。</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第十二条  乙方咨询服务工具要求</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1、乙方应配备中标项目所需的足够数量的仪器、仪表以及工具等设备。用户不需向乙方提供施工工具和仪器、仪表。</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2、乙方在提供服务过程中应自备车辆。</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第十三条  保密要求</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乙方在履行合同过程中所获得或接触到的任何</w:t>
      </w:r>
      <w:r>
        <w:rPr>
          <w:rFonts w:hint="eastAsia" w:ascii="宋体" w:hAnsi="宋体" w:eastAsia="宋体" w:cs="Times New Roman"/>
          <w:sz w:val="24"/>
          <w:szCs w:val="24"/>
        </w:rPr>
        <w:t>内部数据资料，未经甲方同意，不得向第三方透露。</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乙方</w:t>
      </w:r>
      <w:r>
        <w:rPr>
          <w:rFonts w:hint="eastAsia" w:ascii="宋体" w:hAnsi="宋体" w:eastAsia="宋体" w:cs="Times New Roman"/>
          <w:sz w:val="24"/>
          <w:szCs w:val="24"/>
        </w:rPr>
        <w:t>实施项目的一切程序都应符合国家安全、保密的有关规定和标准。</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乙方</w:t>
      </w:r>
      <w:r>
        <w:rPr>
          <w:rFonts w:hint="eastAsia" w:ascii="宋体" w:hAnsi="宋体" w:eastAsia="宋体" w:cs="Times New Roman"/>
          <w:sz w:val="24"/>
          <w:szCs w:val="24"/>
        </w:rPr>
        <w:t>参加项目的有关人员均需同甲方签订保密协议。</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 xml:space="preserve">第十四条  验收     </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1、下列文件的验收分为</w:t>
      </w:r>
      <w:r>
        <w:rPr>
          <w:rFonts w:hint="eastAsia" w:ascii="宋体" w:hAnsi="宋体" w:eastAsia="宋体" w:cs="Times New Roman"/>
          <w:sz w:val="24"/>
          <w:szCs w:val="24"/>
          <w:u w:val="single"/>
        </w:rPr>
        <w:t xml:space="preserve">          三</w:t>
      </w:r>
      <w:r>
        <w:rPr>
          <w:rFonts w:hint="eastAsia" w:ascii="宋体" w:hAnsi="宋体" w:eastAsia="宋体" w:cs="Times New Roman"/>
          <w:sz w:val="24"/>
          <w:szCs w:val="24"/>
        </w:rPr>
        <w:t>个阶段:</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2、其余文件和工作由用户组织有关技术人员根据国家和行业有关规范、规程、标准和用户需求直接验收。</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3、验收依据为招标文件、投标文件，国家和行业有关规范、规程和标准。</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第十五条  付款方式</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1、合同签订后   天内乙方向甲方开具合法有效的发票后，甲方于   天内向乙方支付合同总价%的款项。</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2、检测完成并提交评估报告后  天内，乙方向甲方开具合法有效发票后 天，甲方向乙方支付合同总价%的款项。</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3、报告通过专家评审后，甲方向乙方支付合同总价%的款项。</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第十六条  争议解决办法</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执行本合同发生的争议，由甲乙双方协商解决，如协商不成的，应提交甲方所在地人民法院诉讼解决。</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第十七条  风险责任</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１、乙方应完全地按照招标文件的要求和乙方投标文件的承诺完成本项目，出于自身财务、技术、人力等原因导致项目失败的，应承担全部责任。</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2、乙方在实施荷载试验过程中应对自身的安全生产负责，若非因甲方原因发生的各种事故甲方不承担任何责任。</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第十八条  违约责任</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１、因乙方原因，未能按规定时间完成有关工作的，每延误一天，甲方可在支付合同余款中扣除合同价款千分之一。</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2、由于乙方原因造成试验成果质量低劣，不能满足大纲要求时，应继续完善试验工作，其费用由乙方承担。</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5、乙方或其工作人员违反本合同约定的保密义务，甲方有权要求乙方按合同总额   %支付违约金；造成不良影响或对甲方造成损失的，甲方有权要求乙方消除影响，承担赔偿责任，并有权解除合同。</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6、因乙方提供的服务成果受到侵权指控或者引发法律纠纷，影响甲方使用服务成果或者导致合同目的不能实现的，甲方有权要求乙方按合同总额   %支付违约金，并有权解除合同。</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第十九条  其他</w:t>
      </w:r>
    </w:p>
    <w:p>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1、本协议书与下列文件一起构成合同文件，如下述文件之间有任何抵触、矛盾或歧义，应按以下顺序解释：</w:t>
      </w:r>
    </w:p>
    <w:p>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（1）政府采购合同协议书及其变更、补充协议</w:t>
      </w:r>
    </w:p>
    <w:p>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（2）政府采购合同专用条款</w:t>
      </w:r>
    </w:p>
    <w:p>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（3）政府采购合同通用条款</w:t>
      </w:r>
    </w:p>
    <w:p>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（4）中标（成交）通知书</w:t>
      </w:r>
    </w:p>
    <w:p>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（5）投标（响应）文件</w:t>
      </w:r>
    </w:p>
    <w:p>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（6）采购文件</w:t>
      </w:r>
    </w:p>
    <w:p>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（7）有关技术文件，图纸</w:t>
      </w:r>
    </w:p>
    <w:p>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（8）国家法律、行政法规和规章制度规定或合同约定的作为合同组成部分的其他文件。</w:t>
      </w:r>
    </w:p>
    <w:p>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2、下列文件均为本合同的组成部分：</w:t>
      </w:r>
    </w:p>
    <w:p>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（1）号招标文件、答疑及补充通知；</w:t>
      </w:r>
    </w:p>
    <w:p>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（2）投标文件；</w:t>
      </w:r>
    </w:p>
    <w:p>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（3）本合同执行中共同签署的补充与修正文件。</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本合同一式份，甲、乙方双方各执份，具有同等法律效力。本合同自双方法人代表签字（盖章）认可之日起生效。</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本合同未尽事宜，双方友好协商，达成解决方案，经双方签字后，可作为本合同的有效附件。</w:t>
      </w:r>
    </w:p>
    <w:p>
      <w:pPr>
        <w:ind w:firstLine="480" w:firstLineChars="200"/>
        <w:rPr>
          <w:rFonts w:ascii="宋体" w:hAnsi="宋体" w:eastAsia="宋体" w:cs="Times New Roman"/>
          <w:sz w:val="24"/>
          <w:szCs w:val="24"/>
        </w:rPr>
      </w:pPr>
    </w:p>
    <w:p>
      <w:pPr>
        <w:ind w:firstLine="480" w:firstLineChars="200"/>
        <w:rPr>
          <w:rFonts w:ascii="宋体" w:hAnsi="宋体" w:eastAsia="宋体" w:cs="Times New Roman"/>
          <w:sz w:val="24"/>
          <w:szCs w:val="24"/>
        </w:rPr>
      </w:pPr>
    </w:p>
    <w:p>
      <w:pPr>
        <w:spacing w:line="360" w:lineRule="auto"/>
        <w:ind w:firstLine="560"/>
        <w:jc w:val="left"/>
        <w:rPr>
          <w:rFonts w:ascii="宋体" w:hAnsi="宋体" w:eastAsia="宋体" w:cs="Times New Roman"/>
          <w:sz w:val="24"/>
          <w:szCs w:val="24"/>
        </w:rPr>
      </w:pPr>
      <w:r>
        <w:rPr>
          <w:rFonts w:hint="eastAsia" w:ascii="宋体" w:hAnsi="宋体" w:eastAsia="宋体" w:cs="Times New Roman"/>
          <w:sz w:val="24"/>
          <w:szCs w:val="24"/>
        </w:rPr>
        <w:t>甲方（采购人）：   （盖章）       乙方（供应商）：    （盖章）</w:t>
      </w:r>
    </w:p>
    <w:p>
      <w:pPr>
        <w:spacing w:line="360" w:lineRule="auto"/>
        <w:ind w:firstLine="560"/>
        <w:jc w:val="left"/>
        <w:rPr>
          <w:rFonts w:ascii="宋体" w:hAnsi="宋体" w:eastAsia="宋体" w:cs="Times New Roman"/>
          <w:sz w:val="24"/>
          <w:szCs w:val="24"/>
        </w:rPr>
      </w:pPr>
      <w:r>
        <w:rPr>
          <w:rFonts w:hint="eastAsia" w:ascii="宋体" w:hAnsi="宋体" w:eastAsia="宋体" w:cs="Times New Roman"/>
          <w:sz w:val="24"/>
          <w:szCs w:val="24"/>
        </w:rPr>
        <w:t xml:space="preserve">法定代表人：                     法定代表人： </w:t>
      </w:r>
    </w:p>
    <w:p>
      <w:pPr>
        <w:spacing w:line="360" w:lineRule="auto"/>
        <w:ind w:firstLine="560"/>
        <w:jc w:val="left"/>
        <w:rPr>
          <w:rFonts w:ascii="宋体" w:hAnsi="宋体" w:eastAsia="宋体" w:cs="Times New Roman"/>
          <w:sz w:val="24"/>
          <w:szCs w:val="24"/>
        </w:rPr>
      </w:pPr>
      <w:r>
        <w:rPr>
          <w:rFonts w:hint="eastAsia" w:ascii="宋体" w:hAnsi="宋体" w:eastAsia="宋体" w:cs="Times New Roman"/>
          <w:sz w:val="24"/>
          <w:szCs w:val="24"/>
        </w:rPr>
        <w:t>委托代理人：                     委托代理人：</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日期：   年     月    日         日期：   年     月    日</w:t>
      </w:r>
    </w:p>
    <w:p>
      <w:pPr>
        <w:snapToGrid w:val="0"/>
        <w:spacing w:line="300" w:lineRule="auto"/>
        <w:rPr>
          <w:rFonts w:ascii="仿宋_GB2312" w:hAnsi="华文仿宋" w:eastAsia="仿宋_GB2312" w:cs="Times New Roman"/>
          <w:sz w:val="28"/>
        </w:rPr>
      </w:pPr>
    </w:p>
    <w:p>
      <w:pPr>
        <w:widowControl/>
        <w:jc w:val="left"/>
        <w:rPr>
          <w:rFonts w:ascii="Arial" w:hAnsi="Arial" w:eastAsia="宋体" w:cs="Times New Roman"/>
          <w:color w:val="FF0000"/>
          <w:szCs w:val="24"/>
        </w:rPr>
      </w:pPr>
    </w:p>
    <w:p>
      <w:pPr>
        <w:widowControl/>
        <w:jc w:val="left"/>
        <w:rPr>
          <w:b/>
          <w:color w:val="FF0000"/>
          <w:sz w:val="52"/>
          <w:szCs w:val="52"/>
        </w:rPr>
      </w:pPr>
      <w:r>
        <w:rPr>
          <w:b/>
          <w:color w:val="FF0000"/>
          <w:sz w:val="52"/>
          <w:szCs w:val="52"/>
        </w:rPr>
        <w:br w:type="page"/>
      </w:r>
    </w:p>
    <w:p>
      <w:pPr>
        <w:keepNext/>
        <w:keepLines/>
        <w:spacing w:before="340" w:afterLines="25" w:line="578" w:lineRule="auto"/>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第二册  通用条款（公开招标）</w:t>
      </w:r>
    </w:p>
    <w:p>
      <w:pPr>
        <w:pStyle w:val="38"/>
        <w:keepNext/>
        <w:keepLines/>
        <w:numPr>
          <w:ilvl w:val="0"/>
          <w:numId w:val="9"/>
        </w:numPr>
        <w:tabs>
          <w:tab w:val="left" w:pos="720"/>
        </w:tabs>
        <w:adjustRightInd w:val="0"/>
        <w:spacing w:beforeLines="50" w:afterLines="50"/>
        <w:ind w:firstLineChars="0"/>
        <w:jc w:val="center"/>
        <w:textAlignment w:val="baseline"/>
        <w:outlineLvl w:val="1"/>
        <w:rPr>
          <w:rFonts w:asciiTheme="majorHAnsi" w:hAnsiTheme="majorHAnsi" w:eastAsiaTheme="majorEastAsia" w:cstheme="majorBidi"/>
          <w:b/>
          <w:bCs/>
          <w:sz w:val="28"/>
          <w:szCs w:val="28"/>
        </w:rPr>
      </w:pPr>
      <w:bookmarkStart w:id="32" w:name="_Hlk72399513"/>
      <w:r>
        <w:rPr>
          <w:rFonts w:hint="eastAsia" w:asciiTheme="majorHAnsi" w:hAnsiTheme="majorHAnsi" w:eastAsiaTheme="majorEastAsia" w:cstheme="majorBidi"/>
          <w:b/>
          <w:bCs/>
          <w:sz w:val="28"/>
          <w:szCs w:val="28"/>
        </w:rPr>
        <w:t>总则</w:t>
      </w:r>
    </w:p>
    <w:bookmarkEnd w:id="32"/>
    <w:p>
      <w:pPr>
        <w:rPr>
          <w:rFonts w:ascii="黑体" w:hAnsi="宋体" w:eastAsia="黑体"/>
          <w:sz w:val="24"/>
        </w:rPr>
      </w:pPr>
      <w:bookmarkStart w:id="33" w:name="_Hlk72439706"/>
      <w:r>
        <w:rPr>
          <w:rFonts w:hint="eastAsia" w:ascii="黑体" w:hAnsi="宋体" w:eastAsia="黑体"/>
          <w:sz w:val="24"/>
        </w:rPr>
        <w:t>1. 通用条款说明</w:t>
      </w:r>
    </w:p>
    <w:p>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34" w:name="_Hlk72399729"/>
      <w:r>
        <w:rPr>
          <w:rFonts w:hint="eastAsia" w:ascii="宋体" w:hAnsi="宋体"/>
          <w:szCs w:val="21"/>
        </w:rPr>
        <w:t>如有需要，政府集中采购机构可以对通用条款的内容进行补充。</w:t>
      </w:r>
      <w:bookmarkEnd w:id="34"/>
    </w:p>
    <w:p>
      <w:pPr>
        <w:ind w:firstLine="411" w:firstLineChars="196"/>
        <w:rPr>
          <w:rFonts w:ascii="宋体" w:hAnsi="宋体"/>
          <w:szCs w:val="21"/>
        </w:rPr>
      </w:pPr>
      <w:r>
        <w:rPr>
          <w:rFonts w:hint="eastAsia" w:ascii="宋体" w:hAnsi="宋体"/>
          <w:szCs w:val="21"/>
        </w:rPr>
        <w:t>1.2招标文件分为第一册“专用条款”和第二册“通用条款”。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pPr>
        <w:ind w:firstLine="411" w:firstLineChars="196"/>
        <w:rPr>
          <w:rFonts w:ascii="宋体" w:hAnsi="宋体"/>
          <w:szCs w:val="21"/>
        </w:rPr>
      </w:pPr>
      <w:r>
        <w:rPr>
          <w:rFonts w:hint="eastAsia" w:ascii="宋体" w:hAnsi="宋体"/>
          <w:szCs w:val="21"/>
        </w:rPr>
        <w:t>本项目</w:t>
      </w:r>
      <w:r>
        <w:rPr>
          <w:rFonts w:hint="eastAsia" w:ascii="宋体" w:hAnsi="宋体"/>
          <w:szCs w:val="21"/>
          <w:lang w:eastAsia="zh-CN"/>
        </w:rPr>
        <w:t>参照</w:t>
      </w:r>
      <w:r>
        <w:rPr>
          <w:rFonts w:hint="eastAsia" w:ascii="宋体" w:hAnsi="宋体"/>
          <w:szCs w:val="21"/>
        </w:rPr>
        <w:t>《深圳经济特区政府采购条例》、《深圳经济特区政府采购条例实施细则》及政府采购其他法律法规，通过公开招标方式确定中标供应商。</w:t>
      </w:r>
    </w:p>
    <w:p>
      <w:pPr>
        <w:rPr>
          <w:rFonts w:ascii="黑体" w:hAnsi="宋体" w:eastAsia="黑体"/>
          <w:sz w:val="24"/>
        </w:rPr>
      </w:pPr>
      <w:r>
        <w:rPr>
          <w:rFonts w:hint="eastAsia" w:ascii="黑体" w:hAnsi="宋体" w:eastAsia="黑体"/>
          <w:sz w:val="24"/>
        </w:rPr>
        <w:t>3．定义</w:t>
      </w:r>
    </w:p>
    <w:p>
      <w:pPr>
        <w:ind w:firstLine="420" w:firstLineChars="200"/>
        <w:rPr>
          <w:rFonts w:ascii="宋体" w:hAnsi="宋体"/>
          <w:szCs w:val="21"/>
        </w:rPr>
      </w:pPr>
      <w:r>
        <w:rPr>
          <w:rFonts w:ascii="宋体" w:hAnsi="宋体"/>
          <w:szCs w:val="21"/>
        </w:rPr>
        <w:t>招标文件中下列术语应解释为：</w:t>
      </w:r>
    </w:p>
    <w:p>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ind w:firstLine="411" w:firstLineChars="196"/>
        <w:rPr>
          <w:rFonts w:ascii="宋体" w:hAnsi="宋体"/>
          <w:szCs w:val="21"/>
        </w:rPr>
      </w:pPr>
      <w:r>
        <w:rPr>
          <w:rFonts w:hint="eastAsia" w:ascii="宋体" w:hAnsi="宋体"/>
          <w:szCs w:val="21"/>
        </w:rPr>
        <w:t>3.6“合同”指由本次招标所产生的合同或合约文件；</w:t>
      </w:r>
    </w:p>
    <w:p>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w:t>
      </w:r>
      <w:r>
        <w:rPr>
          <w:rFonts w:hint="eastAsia" w:ascii="宋体" w:hAnsi="宋体"/>
          <w:b/>
          <w:bCs/>
          <w:color w:val="FF0000"/>
          <w:szCs w:val="21"/>
          <w:lang w:eastAsia="zh-CN"/>
        </w:rPr>
        <w:t>龙华</w:t>
      </w:r>
      <w:r>
        <w:rPr>
          <w:rFonts w:hint="eastAsia" w:ascii="宋体" w:hAnsi="宋体"/>
          <w:b/>
          <w:bCs/>
          <w:color w:val="FF0000"/>
          <w:szCs w:val="21"/>
        </w:rPr>
        <w:t>分公司）</w:t>
      </w:r>
      <w:r>
        <w:rPr>
          <w:rFonts w:hint="eastAsia" w:ascii="宋体" w:hAnsi="宋体"/>
          <w:szCs w:val="21"/>
        </w:rPr>
        <w:t>网站提供的深圳智慧采购平台投标文件制作专用软件（以下简称：投标文件制作软件）制作并加密的投标文件,适用于网上投标；（投标文件制作软件可从“下载地址：http://zfcg.szggzy.com:8081/cgxy/013002/20210923/173e0b2c-7a4c-4246-a0c7-e0ea75d84dd6.html深圳智慧采购平台投标文件制作专用软件.zip”下载）</w:t>
      </w:r>
    </w:p>
    <w:p>
      <w:pPr>
        <w:ind w:firstLine="411" w:firstLineChars="196"/>
        <w:rPr>
          <w:rFonts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w:t>
      </w:r>
      <w:r>
        <w:rPr>
          <w:rFonts w:hint="eastAsia" w:ascii="宋体" w:hAnsi="宋体"/>
          <w:b/>
          <w:bCs/>
          <w:color w:val="FF0000"/>
          <w:szCs w:val="21"/>
          <w:lang w:eastAsia="zh-CN"/>
        </w:rPr>
        <w:t>龙华</w:t>
      </w:r>
      <w:r>
        <w:rPr>
          <w:rFonts w:hint="eastAsia" w:ascii="宋体" w:hAnsi="宋体"/>
          <w:b/>
          <w:bCs/>
          <w:color w:val="FF0000"/>
          <w:szCs w:val="21"/>
        </w:rPr>
        <w:t>分公司）</w:t>
      </w:r>
      <w:r>
        <w:rPr>
          <w:rFonts w:hint="eastAsia" w:ascii="宋体" w:hAnsi="宋体"/>
          <w:szCs w:val="21"/>
        </w:rPr>
        <w:t>网站上传电子投标文件；</w:t>
      </w:r>
    </w:p>
    <w:p>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pPr>
        <w:rPr>
          <w:rFonts w:ascii="黑体" w:hAnsi="宋体" w:eastAsia="黑体"/>
          <w:sz w:val="24"/>
        </w:rPr>
      </w:pPr>
      <w:r>
        <w:rPr>
          <w:rFonts w:hint="eastAsia" w:ascii="黑体" w:hAnsi="宋体" w:eastAsia="黑体"/>
          <w:sz w:val="24"/>
        </w:rPr>
        <w:t xml:space="preserve">4. </w:t>
      </w:r>
      <w:bookmarkStart w:id="35" w:name="_Hlk72398643"/>
      <w:r>
        <w:rPr>
          <w:rFonts w:hint="eastAsia" w:ascii="黑体" w:hAnsi="宋体" w:eastAsia="黑体"/>
          <w:sz w:val="24"/>
        </w:rPr>
        <w:t>政府采购供应商责任</w:t>
      </w:r>
    </w:p>
    <w:p>
      <w:pPr>
        <w:ind w:firstLine="411" w:firstLineChars="196"/>
        <w:rPr>
          <w:rFonts w:ascii="宋体" w:hAnsi="宋体"/>
          <w:szCs w:val="21"/>
        </w:rPr>
      </w:pPr>
      <w:r>
        <w:rPr>
          <w:rFonts w:hint="eastAsia" w:ascii="宋体" w:hAnsi="宋体"/>
          <w:szCs w:val="21"/>
        </w:rPr>
        <w:t>4.1欢迎诚信、有实力和有社会责任心的供应商参与政府采购事业。</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rPr>
          <w:rFonts w:ascii="黑体" w:hAnsi="宋体" w:eastAsia="黑体"/>
          <w:sz w:val="24"/>
        </w:rPr>
      </w:pPr>
      <w:r>
        <w:rPr>
          <w:rFonts w:hint="eastAsia" w:ascii="黑体" w:hAnsi="宋体" w:eastAsia="黑体"/>
          <w:sz w:val="24"/>
        </w:rPr>
        <w:t>5．投标人参加政府采购的条件</w:t>
      </w:r>
    </w:p>
    <w:p>
      <w:pPr>
        <w:ind w:firstLine="411" w:firstLineChars="196"/>
        <w:jc w:val="left"/>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r>
        <w:rPr>
          <w:rFonts w:hint="eastAsia" w:ascii="宋体" w:hAnsi="宋体"/>
          <w:szCs w:val="21"/>
          <w:lang w:val="en-US" w:eastAsia="zh-CN"/>
        </w:rPr>
        <w:t>。</w:t>
      </w:r>
    </w:p>
    <w:p>
      <w:pPr>
        <w:ind w:firstLine="411" w:firstLineChars="196"/>
        <w:rPr>
          <w:rFonts w:ascii="宋体" w:hAnsi="宋体"/>
          <w:szCs w:val="21"/>
        </w:rPr>
      </w:pPr>
      <w:r>
        <w:rPr>
          <w:rFonts w:hint="eastAsia" w:ascii="宋体" w:hAnsi="宋体"/>
          <w:szCs w:val="21"/>
        </w:rPr>
        <w:t>5.2投标人资格要求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pPr>
        <w:ind w:firstLine="411" w:firstLineChars="196"/>
        <w:rPr>
          <w:rFonts w:ascii="宋体" w:hAnsi="宋体"/>
          <w:szCs w:val="21"/>
        </w:rPr>
      </w:pPr>
      <w:r>
        <w:rPr>
          <w:rFonts w:hint="eastAsia" w:ascii="宋体" w:hAnsi="宋体"/>
          <w:szCs w:val="21"/>
        </w:rPr>
        <w:t>5.3联合体投标</w:t>
      </w:r>
    </w:p>
    <w:p>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11" w:firstLineChars="196"/>
        <w:rPr>
          <w:rFonts w:ascii="宋体" w:hAnsi="宋体"/>
        </w:rPr>
      </w:pPr>
      <w:r>
        <w:rPr>
          <w:rFonts w:hint="eastAsia" w:ascii="宋体" w:hAnsi="宋体"/>
        </w:rPr>
        <w:t>（1）投标联合体各方参加政府采购活动应当具备下列条件：</w:t>
      </w:r>
      <w:r>
        <w:rPr>
          <w:rFonts w:ascii="宋体" w:hAnsi="宋体"/>
        </w:rPr>
        <w:t xml:space="preserve"> </w:t>
      </w:r>
    </w:p>
    <w:p>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pPr>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pPr>
        <w:ind w:firstLine="411" w:firstLineChars="196"/>
        <w:rPr>
          <w:rFonts w:ascii="宋体" w:hAnsi="宋体"/>
        </w:rPr>
      </w:pPr>
      <w:r>
        <w:rPr>
          <w:rFonts w:hint="eastAsia" w:ascii="宋体" w:hAnsi="宋体"/>
        </w:rPr>
        <w:t>（2）在投标截止前，投标联合体各方均应注册成政府集中采购机构供应商；</w:t>
      </w:r>
    </w:p>
    <w:p>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pPr>
        <w:ind w:firstLine="411" w:firstLineChars="196"/>
        <w:rPr>
          <w:rFonts w:ascii="宋体" w:hAnsi="宋体"/>
        </w:rPr>
      </w:pPr>
      <w:r>
        <w:rPr>
          <w:rFonts w:hint="eastAsia" w:ascii="宋体" w:hAnsi="宋体"/>
        </w:rPr>
        <w:t>（5）投标人的投标文件及中标后签署的合同协议对联合体各方均具法律约束力；</w:t>
      </w:r>
    </w:p>
    <w:p>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1" w:firstLineChars="196"/>
        <w:rPr>
          <w:rFonts w:ascii="宋体" w:hAnsi="宋体"/>
          <w:szCs w:val="21"/>
        </w:rPr>
      </w:pPr>
      <w:r>
        <w:rPr>
          <w:rFonts w:hint="eastAsia" w:ascii="宋体" w:hAnsi="宋体"/>
        </w:rPr>
        <w:t>（9）本通用条款中“投标人”一词亦指联合体各方，专用条款另有规定或说明的除外。</w:t>
      </w:r>
    </w:p>
    <w:p>
      <w:pPr>
        <w:rPr>
          <w:rFonts w:ascii="黑体" w:hAnsi="宋体" w:eastAsia="黑体"/>
          <w:sz w:val="24"/>
        </w:rPr>
      </w:pPr>
      <w:r>
        <w:rPr>
          <w:rFonts w:hint="eastAsia" w:ascii="黑体" w:hAnsi="宋体" w:eastAsia="黑体"/>
          <w:sz w:val="24"/>
        </w:rPr>
        <w:t>6．政策导向</w:t>
      </w:r>
    </w:p>
    <w:p>
      <w:pPr>
        <w:ind w:firstLine="411" w:firstLineChars="196"/>
        <w:rPr>
          <w:rFonts w:ascii="宋体" w:hAnsi="宋体"/>
        </w:rPr>
      </w:pPr>
      <w:r>
        <w:rPr>
          <w:rFonts w:hint="eastAsia" w:ascii="宋体" w:hAnsi="宋体"/>
        </w:rPr>
        <w:t>6.1</w:t>
      </w:r>
      <w:r>
        <w:rPr>
          <w:rFonts w:ascii="宋体" w:hAnsi="宋体"/>
        </w:rPr>
        <w:t xml:space="preserve">  </w:t>
      </w:r>
      <w:r>
        <w:rPr>
          <w:rFonts w:hint="eastAsia" w:ascii="宋体" w:hAnsi="宋体"/>
        </w:rPr>
        <w:t>政府采购支持本国产品、支持中小企业、监狱企业和残疾人福利性单位发展，支持乡村产业振兴，支持创新、节能减排、绿色环保等。</w:t>
      </w:r>
    </w:p>
    <w:p>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pPr>
        <w:ind w:firstLine="405"/>
        <w:rPr>
          <w:rFonts w:hint="default" w:eastAsia="宋体"/>
          <w:lang w:val="en-US" w:eastAsia="zh-CN"/>
        </w:rPr>
      </w:pPr>
      <w:r>
        <w:rPr>
          <w:rFonts w:hint="eastAsia" w:ascii="宋体" w:hAnsi="宋体"/>
          <w:lang w:val="en-US" w:eastAsia="zh-CN"/>
        </w:rPr>
        <w:t>6.3  本项目支持投标人性别平等的相关政策。</w:t>
      </w:r>
    </w:p>
    <w:p>
      <w:pPr>
        <w:rPr>
          <w:rFonts w:ascii="黑体" w:hAnsi="宋体" w:eastAsia="黑体"/>
          <w:sz w:val="24"/>
        </w:rPr>
      </w:pPr>
      <w:r>
        <w:rPr>
          <w:rFonts w:hint="eastAsia" w:ascii="黑体" w:hAnsi="宋体" w:eastAsia="黑体"/>
          <w:sz w:val="24"/>
        </w:rPr>
        <w:t>7. 本项目若涉及采购货物，则合格的货物及相应服务应满足以下要求：</w:t>
      </w:r>
    </w:p>
    <w:p>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36"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36"/>
    </w:p>
    <w:p>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pPr>
        <w:rPr>
          <w:rFonts w:ascii="黑体" w:hAnsi="宋体" w:eastAsia="黑体"/>
          <w:sz w:val="24"/>
        </w:rPr>
      </w:pPr>
      <w:r>
        <w:rPr>
          <w:rFonts w:hint="eastAsia" w:ascii="黑体" w:hAnsi="宋体" w:eastAsia="黑体"/>
          <w:sz w:val="24"/>
        </w:rPr>
        <w:t>8．投标费用</w:t>
      </w:r>
    </w:p>
    <w:p>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pPr>
        <w:rPr>
          <w:rFonts w:ascii="黑体" w:hAnsi="宋体" w:eastAsia="黑体"/>
          <w:sz w:val="24"/>
        </w:rPr>
      </w:pPr>
      <w:r>
        <w:rPr>
          <w:rFonts w:hint="eastAsia" w:ascii="黑体" w:hAnsi="宋体" w:eastAsia="黑体"/>
          <w:sz w:val="24"/>
        </w:rPr>
        <w:t>9．踏勘现场</w:t>
      </w:r>
    </w:p>
    <w:p>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rPr>
      </w:pPr>
      <w:r>
        <w:rPr>
          <w:rFonts w:hint="eastAsia" w:ascii="宋体" w:hAnsi="宋体"/>
        </w:rPr>
        <w:t>9.3采购人应当通过政府集中采购机构向投标人提供有关现场的书面资料和数据。</w:t>
      </w:r>
    </w:p>
    <w:p>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35"/>
    <w:p>
      <w:pPr>
        <w:ind w:firstLine="411" w:firstLineChars="196"/>
        <w:rPr>
          <w:rFonts w:ascii="宋体" w:hAnsi="宋体"/>
        </w:rPr>
      </w:pPr>
    </w:p>
    <w:p>
      <w:pPr>
        <w:pStyle w:val="5"/>
        <w:numPr>
          <w:ilvl w:val="0"/>
          <w:numId w:val="10"/>
        </w:numPr>
        <w:spacing w:before="120" w:beforeLines="50" w:after="120" w:afterLines="50"/>
        <w:ind w:left="562" w:hanging="562"/>
        <w:rPr>
          <w:sz w:val="28"/>
          <w:szCs w:val="28"/>
        </w:rPr>
      </w:pPr>
      <w:r>
        <w:rPr>
          <w:rFonts w:hint="eastAsia"/>
          <w:sz w:val="28"/>
          <w:szCs w:val="28"/>
        </w:rPr>
        <w:t>招标文件</w:t>
      </w:r>
    </w:p>
    <w:p>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37" w:name="_Hlk72399819"/>
      <w:r>
        <w:rPr>
          <w:rFonts w:hint="eastAsia" w:ascii="黑体" w:hAnsi="宋体" w:eastAsia="黑体"/>
          <w:sz w:val="24"/>
        </w:rPr>
        <w:t>招标文件的编制与组成</w:t>
      </w:r>
    </w:p>
    <w:p>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3"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对通用条款的补充内容及其他关键信息</w:t>
      </w:r>
    </w:p>
    <w:p>
      <w:pPr>
        <w:ind w:left="630" w:leftChars="300" w:firstLine="411" w:firstLineChars="196"/>
        <w:rPr>
          <w:rFonts w:ascii="宋体" w:hAnsi="宋体"/>
          <w:szCs w:val="21"/>
        </w:rPr>
      </w:pPr>
      <w:r>
        <w:rPr>
          <w:rFonts w:hint="eastAsia" w:ascii="宋体" w:hAnsi="宋体"/>
          <w:szCs w:val="21"/>
        </w:rPr>
        <w:t>第三章  用户需求书</w:t>
      </w:r>
    </w:p>
    <w:p>
      <w:pPr>
        <w:ind w:left="630" w:leftChars="300" w:firstLine="411" w:firstLineChars="196"/>
        <w:rPr>
          <w:rFonts w:ascii="宋体" w:hAnsi="宋体"/>
          <w:szCs w:val="21"/>
        </w:rPr>
      </w:pPr>
      <w:r>
        <w:rPr>
          <w:rFonts w:hint="eastAsia"/>
        </w:rPr>
        <w:t xml:space="preserve">第四章 </w:t>
      </w:r>
      <w:r>
        <w:t xml:space="preserve"> </w:t>
      </w:r>
      <w:r>
        <w:rPr>
          <w:rFonts w:hint="eastAsia"/>
        </w:rPr>
        <w:t>投标文件格式及附件</w:t>
      </w:r>
    </w:p>
    <w:p>
      <w:pPr>
        <w:ind w:left="630" w:leftChars="300" w:firstLine="411" w:firstLineChars="196"/>
        <w:rPr>
          <w:rFonts w:ascii="宋体" w:hAnsi="宋体"/>
          <w:szCs w:val="21"/>
        </w:rPr>
      </w:pPr>
      <w:r>
        <w:rPr>
          <w:rFonts w:hint="eastAsia" w:ascii="宋体" w:hAnsi="宋体"/>
          <w:szCs w:val="21"/>
        </w:rPr>
        <w:t>第五章  合同条款及格式</w:t>
      </w:r>
    </w:p>
    <w:p>
      <w:pPr>
        <w:ind w:left="420" w:leftChars="200" w:firstLine="413" w:firstLineChars="196"/>
        <w:rPr>
          <w:rFonts w:ascii="宋体" w:hAnsi="宋体"/>
          <w:b/>
          <w:szCs w:val="21"/>
        </w:rPr>
      </w:pPr>
      <w:r>
        <w:rPr>
          <w:rFonts w:hint="eastAsia" w:ascii="宋体" w:hAnsi="宋体"/>
          <w:b/>
          <w:szCs w:val="21"/>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pPr>
        <w:ind w:left="630" w:leftChars="300" w:firstLine="411" w:firstLineChars="196"/>
        <w:rPr>
          <w:rFonts w:ascii="宋体" w:hAnsi="宋体"/>
          <w:szCs w:val="21"/>
        </w:rPr>
      </w:pPr>
      <w:r>
        <w:rPr>
          <w:rFonts w:hint="eastAsia" w:ascii="宋体" w:hAnsi="宋体"/>
          <w:szCs w:val="21"/>
        </w:rPr>
        <w:t>第十一章  质疑处理</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37"/>
    </w:p>
    <w:p>
      <w:pPr>
        <w:rPr>
          <w:rFonts w:ascii="宋体" w:hAnsi="宋体"/>
          <w:szCs w:val="21"/>
        </w:rPr>
      </w:pPr>
    </w:p>
    <w:p>
      <w:pPr>
        <w:pStyle w:val="5"/>
        <w:numPr>
          <w:ilvl w:val="0"/>
          <w:numId w:val="10"/>
        </w:numPr>
        <w:spacing w:before="120" w:beforeLines="50" w:after="120" w:afterLines="50"/>
        <w:ind w:left="562" w:hanging="562"/>
        <w:rPr>
          <w:sz w:val="28"/>
          <w:szCs w:val="28"/>
        </w:rPr>
      </w:pPr>
      <w:r>
        <w:rPr>
          <w:rFonts w:hint="eastAsia"/>
          <w:sz w:val="28"/>
          <w:szCs w:val="28"/>
        </w:rPr>
        <w:t>投标文件的编制</w:t>
      </w:r>
    </w:p>
    <w:p>
      <w:pPr>
        <w:rPr>
          <w:rFonts w:ascii="黑体" w:hAnsi="宋体" w:eastAsia="黑体"/>
          <w:sz w:val="24"/>
        </w:rPr>
      </w:pPr>
      <w:r>
        <w:rPr>
          <w:rFonts w:hint="eastAsia" w:ascii="黑体" w:hAnsi="宋体" w:eastAsia="黑体"/>
          <w:sz w:val="24"/>
        </w:rPr>
        <w:t>14．</w:t>
      </w:r>
      <w:bookmarkStart w:id="38" w:name="_Hlk72400236"/>
      <w:r>
        <w:rPr>
          <w:rFonts w:hint="eastAsia" w:ascii="黑体" w:hAnsi="宋体" w:eastAsia="黑体"/>
          <w:sz w:val="24"/>
        </w:rPr>
        <w:t>投标文件的语言及度量单位</w:t>
      </w:r>
    </w:p>
    <w:p>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38"/>
    <w:p>
      <w:pPr>
        <w:rPr>
          <w:rFonts w:ascii="黑体" w:hAnsi="宋体" w:eastAsia="黑体"/>
          <w:sz w:val="24"/>
        </w:rPr>
      </w:pPr>
      <w:r>
        <w:rPr>
          <w:rFonts w:hint="eastAsia" w:ascii="黑体" w:hAnsi="宋体" w:eastAsia="黑体"/>
          <w:sz w:val="24"/>
        </w:rPr>
        <w:t>15．</w:t>
      </w:r>
      <w:bookmarkStart w:id="39" w:name="_Hlk72401567"/>
      <w:r>
        <w:rPr>
          <w:rFonts w:hint="eastAsia" w:ascii="黑体" w:hAnsi="宋体" w:eastAsia="黑体"/>
          <w:sz w:val="24"/>
        </w:rPr>
        <w:t>投标文件的组成</w:t>
      </w:r>
    </w:p>
    <w:p>
      <w:pPr>
        <w:ind w:firstLine="411" w:firstLineChars="196"/>
        <w:rPr>
          <w:rFonts w:ascii="宋体" w:hAnsi="宋体"/>
          <w:szCs w:val="21"/>
        </w:rPr>
      </w:pPr>
      <w:r>
        <w:rPr>
          <w:rFonts w:hint="eastAsia" w:ascii="宋体" w:hAnsi="宋体"/>
          <w:szCs w:val="21"/>
        </w:rPr>
        <w:t>具体内容在招标文件专用条款中进行规定。</w:t>
      </w:r>
    </w:p>
    <w:p>
      <w:pPr>
        <w:rPr>
          <w:rFonts w:ascii="黑体" w:hAnsi="宋体" w:eastAsia="黑体"/>
          <w:sz w:val="24"/>
        </w:rPr>
      </w:pPr>
      <w:r>
        <w:rPr>
          <w:rFonts w:ascii="黑体" w:hAnsi="宋体" w:eastAsia="黑体"/>
          <w:sz w:val="24"/>
        </w:rPr>
        <w:t>16．投标文件格式</w:t>
      </w:r>
    </w:p>
    <w:p>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pPr>
        <w:rPr>
          <w:rFonts w:ascii="黑体" w:hAnsi="宋体" w:eastAsia="黑体"/>
          <w:sz w:val="24"/>
        </w:rPr>
      </w:pPr>
      <w:r>
        <w:rPr>
          <w:rFonts w:hint="eastAsia" w:ascii="黑体" w:hAnsi="宋体" w:eastAsia="黑体"/>
          <w:sz w:val="24"/>
        </w:rPr>
        <w:t>17．投标货币</w:t>
      </w:r>
    </w:p>
    <w:p>
      <w:pPr>
        <w:ind w:firstLine="411" w:firstLineChars="196"/>
        <w:rPr>
          <w:rFonts w:ascii="宋体" w:hAnsi="宋体"/>
          <w:szCs w:val="21"/>
        </w:rPr>
      </w:pPr>
      <w:r>
        <w:rPr>
          <w:rFonts w:hint="eastAsia" w:ascii="宋体" w:hAnsi="宋体"/>
          <w:szCs w:val="21"/>
        </w:rPr>
        <w:t>本项目的投标报价应以人民币计。</w:t>
      </w:r>
    </w:p>
    <w:bookmarkEnd w:id="39"/>
    <w:p>
      <w:pPr>
        <w:rPr>
          <w:rFonts w:ascii="黑体" w:hAnsi="宋体" w:eastAsia="黑体"/>
          <w:sz w:val="24"/>
        </w:rPr>
      </w:pPr>
      <w:r>
        <w:rPr>
          <w:rFonts w:hint="eastAsia" w:ascii="黑体" w:hAnsi="宋体" w:eastAsia="黑体"/>
          <w:sz w:val="24"/>
        </w:rPr>
        <w:t>18．</w:t>
      </w:r>
      <w:bookmarkStart w:id="40" w:name="_Hlk72401735"/>
      <w:r>
        <w:rPr>
          <w:rFonts w:hint="eastAsia" w:ascii="黑体" w:hAnsi="宋体" w:eastAsia="黑体"/>
          <w:sz w:val="24"/>
        </w:rPr>
        <w:t>证明投标文件投标技术方案的合格性和符合招标文件规定的文件要求</w:t>
      </w:r>
    </w:p>
    <w:p>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40"/>
    <w:p>
      <w:pPr>
        <w:rPr>
          <w:rFonts w:ascii="黑体" w:hAnsi="宋体" w:eastAsia="黑体"/>
          <w:sz w:val="24"/>
        </w:rPr>
      </w:pPr>
      <w:r>
        <w:rPr>
          <w:rFonts w:hint="eastAsia" w:ascii="黑体" w:hAnsi="宋体" w:eastAsia="黑体"/>
          <w:sz w:val="24"/>
        </w:rPr>
        <w:t>19．</w:t>
      </w:r>
      <w:bookmarkStart w:id="41" w:name="_Hlk72402034"/>
      <w:r>
        <w:rPr>
          <w:rFonts w:hint="eastAsia" w:ascii="黑体" w:hAnsi="宋体" w:eastAsia="黑体"/>
          <w:sz w:val="24"/>
        </w:rPr>
        <w:t>投标文件其他证明文件的要求</w:t>
      </w:r>
    </w:p>
    <w:p>
      <w:pPr>
        <w:rPr>
          <w:rFonts w:ascii="宋体" w:hAnsi="宋体"/>
          <w:color w:val="FF0000"/>
          <w:szCs w:val="21"/>
        </w:rPr>
      </w:pPr>
      <w:r>
        <w:rPr>
          <w:rFonts w:hint="eastAsia" w:ascii="黑体" w:hAnsi="宋体" w:eastAsia="黑体"/>
          <w:sz w:val="24"/>
        </w:rPr>
        <w:t xml:space="preserve">    </w:t>
      </w:r>
      <w:r>
        <w:rPr>
          <w:rFonts w:hint="eastAsia" w:ascii="宋体" w:hAnsi="宋体"/>
          <w:szCs w:val="21"/>
        </w:rPr>
        <w:t>19.1</w:t>
      </w:r>
      <w:bookmarkStart w:id="42" w:name="_Hlk71407299"/>
      <w:r>
        <w:rPr>
          <w:rFonts w:hint="eastAsia" w:ascii="宋体" w:hAnsi="宋体"/>
          <w:szCs w:val="21"/>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42"/>
    <w:p>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hAnsi="宋体" w:eastAsia="黑体"/>
          <w:sz w:val="24"/>
        </w:rPr>
      </w:pPr>
      <w:r>
        <w:rPr>
          <w:rFonts w:hint="eastAsia" w:ascii="黑体" w:hAnsi="宋体" w:eastAsia="黑体"/>
          <w:sz w:val="24"/>
        </w:rPr>
        <w:t>20．投标有效期</w:t>
      </w:r>
    </w:p>
    <w:bookmarkEnd w:id="41"/>
    <w:p>
      <w:pPr>
        <w:ind w:firstLine="411" w:firstLineChars="196"/>
        <w:rPr>
          <w:rFonts w:ascii="宋体" w:hAnsi="宋体"/>
          <w:szCs w:val="21"/>
        </w:rPr>
      </w:pPr>
      <w:bookmarkStart w:id="43"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43"/>
    <w:p>
      <w:pPr>
        <w:rPr>
          <w:rFonts w:ascii="黑体" w:hAnsi="宋体" w:eastAsia="黑体"/>
          <w:sz w:val="24"/>
        </w:rPr>
      </w:pPr>
      <w:r>
        <w:rPr>
          <w:rFonts w:hint="eastAsia" w:ascii="黑体" w:hAnsi="宋体" w:eastAsia="黑体"/>
          <w:sz w:val="24"/>
        </w:rPr>
        <w:t>21．</w:t>
      </w:r>
      <w:bookmarkStart w:id="44" w:name="_Hlk72402325"/>
      <w:r>
        <w:rPr>
          <w:rFonts w:hint="eastAsia" w:ascii="黑体" w:hAnsi="宋体" w:eastAsia="黑体"/>
          <w:sz w:val="24"/>
        </w:rPr>
        <w:t xml:space="preserve">关于投标保证金 </w:t>
      </w:r>
    </w:p>
    <w:p>
      <w:pPr>
        <w:rPr>
          <w:rFonts w:ascii="宋体" w:hAnsi="宋体"/>
          <w:szCs w:val="21"/>
        </w:rPr>
      </w:pPr>
      <w:r>
        <w:rPr>
          <w:rFonts w:hint="eastAsia" w:ascii="宋体" w:hAnsi="宋体"/>
          <w:szCs w:val="21"/>
        </w:rPr>
        <w:t xml:space="preserve">    21.1</w:t>
      </w:r>
      <w:r>
        <w:rPr>
          <w:rFonts w:hint="eastAsia"/>
        </w:rPr>
        <w:t>根据《深圳市财政局关于调整政府采购投标（响应）保证金管理政策的通知》（深财购〔2021〕51号）文的规定，本项目不收取投标保证金。</w:t>
      </w:r>
    </w:p>
    <w:p>
      <w:pPr>
        <w:rPr>
          <w:rFonts w:ascii="黑体" w:hAnsi="宋体" w:eastAsia="黑体"/>
          <w:sz w:val="24"/>
        </w:rPr>
      </w:pPr>
      <w:r>
        <w:rPr>
          <w:rFonts w:hint="eastAsia" w:ascii="黑体" w:hAnsi="宋体" w:eastAsia="黑体"/>
          <w:sz w:val="24"/>
        </w:rPr>
        <w:t>22．投标人的替代方案</w:t>
      </w:r>
    </w:p>
    <w:p>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44"/>
    <w:p>
      <w:pPr>
        <w:rPr>
          <w:rFonts w:ascii="黑体" w:hAnsi="宋体" w:eastAsia="黑体"/>
          <w:sz w:val="24"/>
        </w:rPr>
      </w:pPr>
      <w:r>
        <w:rPr>
          <w:rFonts w:hint="eastAsia" w:ascii="黑体" w:hAnsi="宋体" w:eastAsia="黑体"/>
          <w:sz w:val="24"/>
        </w:rPr>
        <w:t>23．</w:t>
      </w:r>
      <w:bookmarkStart w:id="45"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pPr>
        <w:ind w:firstLine="411" w:firstLineChars="196"/>
        <w:rPr>
          <w:rFonts w:ascii="宋体" w:hAnsi="宋体"/>
        </w:rPr>
      </w:pPr>
      <w:r>
        <w:rPr>
          <w:rFonts w:hint="eastAsia" w:ascii="宋体" w:hAnsi="宋体"/>
        </w:rPr>
        <w:t>23.1投标人应准备所投项目的电子投标文件一份。</w:t>
      </w:r>
    </w:p>
    <w:p>
      <w:pPr>
        <w:ind w:firstLine="411" w:firstLineChars="196"/>
        <w:rPr>
          <w:rFonts w:ascii="宋体" w:hAnsi="宋体"/>
        </w:rPr>
      </w:pPr>
      <w:r>
        <w:rPr>
          <w:rFonts w:hint="eastAsia" w:ascii="宋体" w:hAnsi="宋体"/>
        </w:rPr>
        <w:t>23.2投标人在使用《投标书编制软件》编制投标书时须注意：</w:t>
      </w:r>
    </w:p>
    <w:p>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pPr>
        <w:ind w:firstLine="411" w:firstLineChars="196"/>
        <w:rPr>
          <w:rFonts w:ascii="宋体" w:hAnsi="宋体"/>
        </w:rPr>
      </w:pPr>
      <w:r>
        <w:rPr>
          <w:rFonts w:hint="eastAsia" w:ascii="宋体" w:hAnsi="宋体"/>
        </w:rPr>
        <w:t>23.2.7投标文件编写完成后，</w:t>
      </w:r>
      <w:r>
        <w:rPr>
          <w:rFonts w:hint="eastAsia" w:ascii="宋体" w:hAnsi="宋体"/>
          <w:b/>
        </w:rPr>
        <w:t>必须用属于投标人的电子密钥</w:t>
      </w:r>
      <w:r>
        <w:rPr>
          <w:rFonts w:hint="eastAsia" w:ascii="宋体" w:hAnsi="宋体"/>
          <w:b/>
          <w:lang w:val="en-US" w:eastAsia="zh-CN"/>
        </w:rPr>
        <w:t>或电子营业执照</w:t>
      </w:r>
      <w:r>
        <w:rPr>
          <w:rFonts w:hint="eastAsia" w:ascii="宋体" w:hAnsi="宋体"/>
          <w:b/>
        </w:rPr>
        <w:t>进行加密，否则视同未盖公章，将导致投标文件无效。</w:t>
      </w:r>
    </w:p>
    <w:p>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pPr>
        <w:ind w:firstLine="411" w:firstLineChars="196"/>
        <w:rPr>
          <w:rFonts w:ascii="宋体" w:hAnsi="宋体"/>
        </w:rPr>
      </w:pPr>
      <w:r>
        <w:rPr>
          <w:rFonts w:hint="eastAsia" w:ascii="宋体" w:hAnsi="宋体"/>
        </w:rPr>
        <w:t>23.3电报、电话、传真形式的投标概不接受。</w:t>
      </w:r>
    </w:p>
    <w:p>
      <w:pPr>
        <w:ind w:firstLine="413" w:firstLineChars="196"/>
        <w:rPr>
          <w:rFonts w:ascii="宋体" w:hAnsi="宋体"/>
          <w:b/>
        </w:rPr>
      </w:pPr>
      <w:r>
        <w:rPr>
          <w:rFonts w:hint="eastAsia" w:ascii="宋体" w:hAnsi="宋体"/>
          <w:b/>
        </w:rPr>
        <w:t>23.4经投标人电子密钥</w:t>
      </w:r>
      <w:r>
        <w:rPr>
          <w:rFonts w:hint="eastAsia" w:ascii="宋体" w:hAnsi="宋体"/>
          <w:b/>
          <w:lang w:val="en-US" w:eastAsia="zh-CN"/>
        </w:rPr>
        <w:t>或电子营业执照</w:t>
      </w:r>
      <w:r>
        <w:rPr>
          <w:rFonts w:hint="eastAsia" w:ascii="宋体" w:hAnsi="宋体"/>
          <w:b/>
        </w:rPr>
        <w:t>加密的投标文件无须盖章或签字，</w:t>
      </w:r>
      <w:r>
        <w:rPr>
          <w:rFonts w:hint="eastAsia" w:ascii="宋体" w:hAnsi="宋体"/>
        </w:rPr>
        <w:t>专用条款另有要求的除外。</w:t>
      </w:r>
    </w:p>
    <w:p>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45"/>
    </w:p>
    <w:p>
      <w:pPr>
        <w:ind w:firstLine="411" w:firstLineChars="196"/>
        <w:rPr>
          <w:rFonts w:ascii="宋体" w:hAnsi="宋体"/>
          <w:szCs w:val="21"/>
        </w:rPr>
      </w:pPr>
    </w:p>
    <w:p>
      <w:pPr>
        <w:pStyle w:val="5"/>
        <w:numPr>
          <w:ilvl w:val="0"/>
          <w:numId w:val="10"/>
        </w:numPr>
        <w:spacing w:before="120" w:beforeLines="50" w:after="120" w:afterLines="50"/>
        <w:ind w:left="562" w:hanging="562"/>
        <w:rPr>
          <w:sz w:val="28"/>
          <w:szCs w:val="28"/>
        </w:rPr>
      </w:pPr>
      <w:r>
        <w:rPr>
          <w:rFonts w:hint="eastAsia"/>
          <w:sz w:val="28"/>
          <w:szCs w:val="28"/>
        </w:rPr>
        <w:t>投标文件的递交</w:t>
      </w:r>
    </w:p>
    <w:p>
      <w:pPr>
        <w:rPr>
          <w:rFonts w:ascii="黑体" w:hAnsi="宋体" w:eastAsia="黑体"/>
          <w:sz w:val="24"/>
        </w:rPr>
      </w:pPr>
      <w:bookmarkStart w:id="46" w:name="_Hlk72405459"/>
      <w:r>
        <w:rPr>
          <w:rFonts w:hint="eastAsia" w:ascii="黑体" w:hAnsi="宋体" w:eastAsia="黑体"/>
          <w:sz w:val="24"/>
        </w:rPr>
        <w:t>24．投标文件的保密</w:t>
      </w:r>
    </w:p>
    <w:p>
      <w:pPr>
        <w:ind w:firstLine="411" w:firstLineChars="196"/>
        <w:rPr>
          <w:rFonts w:hint="eastAsia" w:ascii="宋体" w:hAnsi="宋体" w:eastAsiaTheme="minorEastAsia"/>
          <w:lang w:eastAsia="zh-CN"/>
        </w:rPr>
      </w:pPr>
      <w:r>
        <w:rPr>
          <w:rFonts w:hint="eastAsia" w:ascii="宋体" w:hAnsi="宋体"/>
        </w:rPr>
        <w:t>24.1在投标文件制作完成后，生成后会选择是否加密投标文件，如不加密则直接点击生成文件即可，如需加密请插入CA锁，点击加密后生成文件，需输入CA锁密码即可加密成功</w:t>
      </w:r>
      <w:r>
        <w:rPr>
          <w:rFonts w:hint="eastAsia" w:ascii="宋体" w:hAnsi="宋体"/>
          <w:lang w:eastAsia="zh-CN"/>
        </w:rPr>
        <w:t>。加密后会提示文件生成成功！</w:t>
      </w:r>
      <w:r>
        <w:rPr>
          <w:rFonts w:hint="eastAsia" w:ascii="宋体" w:hAnsi="宋体"/>
          <w:highlight w:val="yellow"/>
          <w:lang w:eastAsia="zh-CN"/>
        </w:rPr>
        <w:t>(注意：加密的投标文件开标时须使用加密文件时使用的锁在项目规定时间内解密！)</w:t>
      </w:r>
    </w:p>
    <w:p>
      <w:pPr>
        <w:rPr>
          <w:rFonts w:ascii="宋体" w:hAnsi="宋体"/>
          <w:b/>
        </w:rPr>
      </w:pPr>
      <w:r>
        <w:rPr>
          <w:rFonts w:hint="eastAsia" w:ascii="宋体" w:hAnsi="宋体"/>
          <w:b/>
        </w:rPr>
        <w:t>24.2若采购项目出现延期情况：</w:t>
      </w:r>
    </w:p>
    <w:p>
      <w:pPr>
        <w:ind w:firstLine="422" w:firstLineChars="200"/>
        <w:rPr>
          <w:rFonts w:ascii="黑体" w:hAnsi="宋体" w:eastAsia="黑体"/>
          <w:b/>
          <w:sz w:val="24"/>
        </w:rPr>
      </w:pPr>
      <w:r>
        <w:rPr>
          <w:rFonts w:hint="eastAsia" w:ascii="宋体" w:hAnsi="宋体"/>
          <w:b/>
        </w:rPr>
        <w:t>如果供下载的招标文件有更新，投标人必须重新下载招标文件、重新制作投标文件、重新加密投标文件、重新上传投标文件。</w:t>
      </w:r>
    </w:p>
    <w:p>
      <w:pPr>
        <w:rPr>
          <w:rFonts w:ascii="黑体" w:hAnsi="宋体" w:eastAsia="黑体"/>
          <w:sz w:val="24"/>
        </w:rPr>
      </w:pPr>
      <w:r>
        <w:rPr>
          <w:rFonts w:hint="eastAsia" w:ascii="黑体" w:hAnsi="宋体" w:eastAsia="黑体"/>
          <w:sz w:val="24"/>
        </w:rPr>
        <w:t>25．上传投标文件及投标截止日期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w:t>
      </w:r>
      <w:r>
        <w:rPr>
          <w:rFonts w:hint="eastAsia" w:ascii="宋体" w:hAnsi="宋体"/>
          <w:lang w:eastAsia="zh-CN"/>
        </w:rPr>
        <w:t>政府采购</w:t>
      </w:r>
      <w:r>
        <w:rPr>
          <w:rFonts w:hint="eastAsia" w:ascii="宋体" w:hAnsi="宋体"/>
        </w:rPr>
        <w:t>自行采购系统（https://trade.szggzy.com/ggzy/center/#/login）”上传投标文件。如上传过程中遇到问题，可拨打</w:t>
      </w:r>
      <w:r>
        <w:rPr>
          <w:rFonts w:hint="eastAsia" w:ascii="宋体" w:hAnsi="宋体"/>
          <w:lang w:val="en-US" w:eastAsia="zh-CN"/>
        </w:rPr>
        <w:t>采购公告中的技术支持电话</w:t>
      </w:r>
      <w:r>
        <w:rPr>
          <w:rFonts w:hint="eastAsia" w:ascii="宋体" w:hAnsi="宋体"/>
        </w:rPr>
        <w:t>。如多次上传均告失败，请在投标截止时间之前携带加密后的电子投标文件送达至</w:t>
      </w:r>
      <w:r>
        <w:rPr>
          <w:rFonts w:hint="eastAsia" w:ascii="宋体" w:hAnsi="宋体"/>
          <w:b/>
          <w:bCs/>
          <w:szCs w:val="21"/>
        </w:rPr>
        <w:t>深圳公共资源交易中心（深圳交易集团有限公司龙华分公司）（地址：深圳市龙华区观湖街道大和社区大和路288号宝观城锦鲤大厦办公楼22楼）协助上传，但上传过程中投标截止时间到达仍无法上传成功的，由投标人自行负责</w:t>
      </w:r>
      <w:r>
        <w:rPr>
          <w:rFonts w:hint="eastAsia" w:ascii="宋体" w:hAnsi="宋体"/>
        </w:rPr>
        <w:t>。</w:t>
      </w:r>
    </w:p>
    <w:p>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pPr>
        <w:ind w:firstLine="411" w:firstLineChars="196"/>
        <w:rPr>
          <w:rFonts w:ascii="宋体" w:hAnsi="宋体"/>
        </w:rPr>
      </w:pPr>
    </w:p>
    <w:p>
      <w:pPr>
        <w:ind w:firstLine="411" w:firstLineChars="196"/>
        <w:rPr>
          <w:rFonts w:ascii="宋体" w:hAnsi="宋体"/>
        </w:rPr>
      </w:pPr>
    </w:p>
    <w:bookmarkEnd w:id="46"/>
    <w:p>
      <w:pPr>
        <w:rPr>
          <w:rFonts w:ascii="黑体" w:hAnsi="宋体" w:eastAsia="黑体"/>
          <w:sz w:val="24"/>
        </w:rPr>
      </w:pPr>
      <w:r>
        <w:rPr>
          <w:rFonts w:hint="eastAsia" w:ascii="黑体" w:hAnsi="宋体" w:eastAsia="黑体"/>
          <w:sz w:val="24"/>
        </w:rPr>
        <w:t>26. 样品、现场演示、方案讲解</w:t>
      </w:r>
    </w:p>
    <w:p>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pPr>
        <w:rPr>
          <w:rFonts w:ascii="黑体" w:hAnsi="宋体" w:eastAsia="黑体"/>
          <w:sz w:val="24"/>
        </w:rPr>
      </w:pPr>
      <w:bookmarkStart w:id="47"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47"/>
    <w:p>
      <w:pPr>
        <w:pStyle w:val="5"/>
        <w:numPr>
          <w:ilvl w:val="0"/>
          <w:numId w:val="10"/>
        </w:numPr>
        <w:spacing w:before="120" w:beforeLines="50" w:after="120" w:afterLines="50"/>
        <w:ind w:left="562" w:hanging="562"/>
        <w:rPr>
          <w:sz w:val="28"/>
          <w:szCs w:val="28"/>
        </w:rPr>
      </w:pPr>
      <w:r>
        <w:rPr>
          <w:rFonts w:hint="eastAsia"/>
          <w:sz w:val="28"/>
          <w:szCs w:val="28"/>
        </w:rPr>
        <w:t>开标</w:t>
      </w:r>
    </w:p>
    <w:p>
      <w:pPr>
        <w:rPr>
          <w:rFonts w:ascii="黑体" w:hAnsi="宋体" w:eastAsia="黑体"/>
          <w:sz w:val="24"/>
        </w:rPr>
      </w:pPr>
      <w:r>
        <w:rPr>
          <w:rFonts w:hint="eastAsia" w:ascii="黑体" w:hAnsi="宋体" w:eastAsia="黑体"/>
          <w:sz w:val="24"/>
        </w:rPr>
        <w:t>28．开标</w:t>
      </w:r>
    </w:p>
    <w:p>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w:t>
      </w:r>
      <w:r>
        <w:rPr>
          <w:rFonts w:hint="eastAsia" w:ascii="宋体" w:hAnsi="宋体"/>
        </w:rPr>
        <w:t>深圳</w:t>
      </w:r>
      <w:r>
        <w:rPr>
          <w:rFonts w:hint="eastAsia" w:ascii="宋体" w:hAnsi="宋体"/>
          <w:lang w:eastAsia="zh-CN"/>
        </w:rPr>
        <w:t>政府采购</w:t>
      </w:r>
      <w:r>
        <w:rPr>
          <w:rFonts w:hint="eastAsia" w:ascii="宋体" w:hAnsi="宋体"/>
        </w:rPr>
        <w:t>自行采购系统（https://trade.szggzy.com/ggzy/center/#/login）</w:t>
      </w:r>
      <w:r>
        <w:rPr>
          <w:rFonts w:hint="eastAsia" w:ascii="宋体" w:hAnsi="宋体"/>
          <w:szCs w:val="21"/>
        </w:rPr>
        <w:t>”，使用本单位制作电子投标文件同一个电子密钥进行在线解密、查询开标情况。</w:t>
      </w:r>
    </w:p>
    <w:p>
      <w:pPr>
        <w:ind w:firstLine="315" w:firstLineChars="150"/>
        <w:rPr>
          <w:rFonts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ascii="宋体" w:hAnsi="宋体"/>
          <w:szCs w:val="21"/>
        </w:rPr>
      </w:pPr>
    </w:p>
    <w:p>
      <w:pPr>
        <w:pStyle w:val="5"/>
        <w:numPr>
          <w:ilvl w:val="0"/>
          <w:numId w:val="10"/>
        </w:numPr>
        <w:spacing w:before="120" w:beforeLines="50" w:after="120" w:afterLines="50"/>
        <w:ind w:left="562" w:hanging="562"/>
        <w:rPr>
          <w:sz w:val="28"/>
          <w:szCs w:val="28"/>
        </w:rPr>
      </w:pPr>
      <w:r>
        <w:rPr>
          <w:rFonts w:hint="eastAsia"/>
          <w:sz w:val="28"/>
          <w:szCs w:val="28"/>
        </w:rPr>
        <w:t>评审要求</w:t>
      </w:r>
    </w:p>
    <w:p>
      <w:pPr>
        <w:rPr>
          <w:rFonts w:ascii="黑体" w:hAnsi="宋体" w:eastAsia="黑体"/>
          <w:sz w:val="24"/>
        </w:rPr>
      </w:pPr>
      <w:r>
        <w:rPr>
          <w:rFonts w:hint="eastAsia" w:ascii="黑体" w:hAnsi="宋体" w:eastAsia="黑体"/>
          <w:sz w:val="24"/>
        </w:rPr>
        <w:t>29．评审委员会组成</w:t>
      </w:r>
    </w:p>
    <w:p>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pPr>
        <w:ind w:firstLine="411" w:firstLineChars="196"/>
        <w:rPr>
          <w:rFonts w:ascii="宋体" w:hAnsi="宋体"/>
        </w:rPr>
      </w:pPr>
      <w:bookmarkStart w:id="48"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48"/>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pPr>
        <w:ind w:firstLine="411" w:firstLineChars="196"/>
        <w:rPr>
          <w:rFonts w:ascii="宋体" w:hAnsi="宋体"/>
        </w:rPr>
      </w:pPr>
      <w:r>
        <w:rPr>
          <w:rFonts w:hint="eastAsia" w:ascii="宋体" w:hAnsi="宋体"/>
        </w:rPr>
        <w:t>29.2评审定标应当遵循公平、公正、科学、择优的原则。</w:t>
      </w:r>
    </w:p>
    <w:p>
      <w:pPr>
        <w:ind w:firstLine="411" w:firstLineChars="196"/>
        <w:rPr>
          <w:rFonts w:ascii="宋体" w:hAnsi="宋体"/>
        </w:rPr>
      </w:pPr>
      <w:r>
        <w:rPr>
          <w:rFonts w:hint="eastAsia" w:ascii="宋体" w:hAnsi="宋体"/>
        </w:rPr>
        <w:t>29.3评审活动依法进行，任何单位和个人不得非法干预评标过程和结果。</w:t>
      </w:r>
    </w:p>
    <w:p>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pPr>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（3）招标文件规定的投标人的资格、财政预算限额、商务条款；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（5）招标文件所列示的资格性审查表及符合性审查表。</w:t>
      </w:r>
    </w:p>
    <w:p>
      <w:pPr>
        <w:rPr>
          <w:rFonts w:ascii="黑体" w:hAnsi="宋体" w:eastAsia="黑体"/>
          <w:sz w:val="24"/>
        </w:rPr>
      </w:pPr>
      <w:r>
        <w:rPr>
          <w:rFonts w:hint="eastAsia" w:ascii="黑体" w:hAnsi="宋体" w:eastAsia="黑体"/>
          <w:sz w:val="24"/>
        </w:rPr>
        <w:t>31．独立评审</w:t>
      </w:r>
    </w:p>
    <w:p>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pPr>
        <w:ind w:firstLine="411" w:firstLineChars="196"/>
        <w:rPr>
          <w:rFonts w:ascii="宋体" w:hAnsi="宋体"/>
          <w:bCs/>
          <w:szCs w:val="21"/>
        </w:rPr>
      </w:pPr>
    </w:p>
    <w:p>
      <w:pPr>
        <w:pStyle w:val="5"/>
        <w:numPr>
          <w:ilvl w:val="0"/>
          <w:numId w:val="10"/>
        </w:numPr>
        <w:spacing w:before="120" w:beforeLines="50" w:after="120" w:afterLines="50"/>
        <w:ind w:left="562" w:hanging="562"/>
        <w:rPr>
          <w:sz w:val="28"/>
          <w:szCs w:val="28"/>
        </w:rPr>
      </w:pPr>
      <w:r>
        <w:rPr>
          <w:rFonts w:hint="eastAsia"/>
          <w:sz w:val="28"/>
          <w:szCs w:val="28"/>
        </w:rPr>
        <w:t>评审程序及评审方法</w:t>
      </w:r>
    </w:p>
    <w:p>
      <w:pPr>
        <w:rPr>
          <w:rFonts w:ascii="黑体" w:hAnsi="宋体" w:eastAsia="黑体"/>
          <w:sz w:val="24"/>
        </w:rPr>
      </w:pPr>
      <w:r>
        <w:rPr>
          <w:rFonts w:hint="eastAsia" w:ascii="黑体" w:hAnsi="宋体" w:eastAsia="黑体"/>
          <w:sz w:val="24"/>
        </w:rPr>
        <w:t>32．投标文件初审</w:t>
      </w:r>
    </w:p>
    <w:p>
      <w:pPr>
        <w:ind w:firstLine="411" w:firstLineChars="196"/>
        <w:rPr>
          <w:rFonts w:ascii="宋体" w:hAnsi="宋体"/>
        </w:rPr>
      </w:pPr>
      <w:r>
        <w:rPr>
          <w:rFonts w:hint="eastAsia" w:ascii="宋体" w:hAnsi="宋体"/>
        </w:rPr>
        <w:t>32.1投标文件初审包括资格性审查和符合性审查。</w:t>
      </w:r>
    </w:p>
    <w:p>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pPr>
        <w:ind w:firstLine="411" w:firstLineChars="196"/>
        <w:rPr>
          <w:rFonts w:ascii="宋体" w:hAnsi="宋体"/>
          <w:bCs/>
        </w:rPr>
      </w:pPr>
      <w:r>
        <w:rPr>
          <w:rFonts w:hint="eastAsia" w:ascii="宋体" w:hAnsi="宋体"/>
          <w:bCs/>
        </w:rPr>
        <w:t>32.3 投标文件初审中关于供应商家数的计算:</w:t>
      </w:r>
    </w:p>
    <w:p>
      <w:pPr>
        <w:ind w:firstLine="411" w:firstLineChars="196"/>
        <w:rPr>
          <w:rFonts w:ascii="宋体" w:hAnsi="宋体"/>
          <w:bCs/>
        </w:rPr>
      </w:pPr>
      <w:r>
        <w:rPr>
          <w:rFonts w:hint="eastAsia" w:ascii="宋体" w:hAnsi="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hint="eastAsia" w:ascii="宋体" w:hAnsi="宋体"/>
        </w:rPr>
        <w:t>32.4投标人投标文件作无效处理的情形，具体包括但不限于以下：</w:t>
      </w:r>
    </w:p>
    <w:p>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pPr>
        <w:ind w:firstLine="411" w:firstLineChars="196"/>
        <w:rPr>
          <w:rFonts w:ascii="宋体" w:hAnsi="宋体"/>
        </w:rPr>
      </w:pPr>
      <w:r>
        <w:rPr>
          <w:rFonts w:hint="eastAsia" w:ascii="宋体" w:hAnsi="宋体"/>
        </w:rPr>
        <w:t>32.4.3不同投标人的投标文件载明的项目管理成员或者联系人员为同一人；</w:t>
      </w:r>
    </w:p>
    <w:p>
      <w:pPr>
        <w:ind w:firstLine="411" w:firstLineChars="196"/>
        <w:rPr>
          <w:rFonts w:ascii="宋体" w:hAnsi="宋体"/>
        </w:rPr>
      </w:pPr>
      <w:r>
        <w:rPr>
          <w:rFonts w:hint="eastAsia" w:ascii="宋体" w:hAnsi="宋体"/>
        </w:rPr>
        <w:t>32.4.4不同投标人的投标文件异常一致或者投标报价呈规律性差异；</w:t>
      </w:r>
    </w:p>
    <w:p>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pPr>
        <w:ind w:firstLine="411" w:firstLineChars="196"/>
        <w:rPr>
          <w:rFonts w:ascii="宋体" w:hAnsi="宋体"/>
        </w:rPr>
      </w:pPr>
      <w:r>
        <w:rPr>
          <w:rFonts w:hint="eastAsia" w:ascii="宋体" w:hAnsi="宋体"/>
        </w:rPr>
        <w:t>32.4.6投标供应商之间相互约定给予未中标的供应商利益补偿；</w:t>
      </w:r>
    </w:p>
    <w:p>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32.4.8不同投标供应商的投标文件内容存在非正常一致；</w:t>
      </w:r>
    </w:p>
    <w:p>
      <w:pPr>
        <w:ind w:firstLine="411" w:firstLineChars="196"/>
        <w:rPr>
          <w:rFonts w:ascii="宋体" w:hAnsi="宋体"/>
        </w:rPr>
      </w:pPr>
      <w:r>
        <w:rPr>
          <w:rFonts w:hint="eastAsia" w:ascii="宋体" w:hAnsi="宋体"/>
        </w:rPr>
        <w:t>32.4.9在同一单位工作人员为两家以上（含两家）供应商进行同一项投标活动；</w:t>
      </w:r>
    </w:p>
    <w:p>
      <w:pPr>
        <w:ind w:firstLine="411" w:firstLineChars="196"/>
        <w:rPr>
          <w:rFonts w:ascii="宋体" w:hAnsi="宋体"/>
        </w:rPr>
      </w:pPr>
      <w:r>
        <w:rPr>
          <w:rFonts w:hint="eastAsia" w:ascii="宋体" w:hAnsi="宋体"/>
        </w:rPr>
        <w:t>32.4.10主管部门依照法律、法规认定的其他情形。</w:t>
      </w:r>
    </w:p>
    <w:p>
      <w:pPr>
        <w:rPr>
          <w:rFonts w:hint="eastAsia" w:ascii="宋体" w:hAnsi="宋体"/>
        </w:rPr>
      </w:pPr>
      <w:r>
        <w:rPr>
          <w:rFonts w:hint="eastAsia" w:ascii="宋体" w:hAnsi="宋体"/>
        </w:rPr>
        <w:t>32.5对不属于《资格性审查表》和《符合性审查表》所列的其他情形，除专用条款另有规定和32.4条款所列情形外，不得作为投标无效的理由。</w:t>
      </w:r>
    </w:p>
    <w:p>
      <w:pPr>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rPr>
      </w:pPr>
      <w:bookmarkStart w:id="49"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49"/>
    </w:p>
    <w:p>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pPr>
        <w:ind w:firstLine="411" w:firstLineChars="196"/>
        <w:rPr>
          <w:rFonts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rPr>
          <w:rFonts w:ascii="黑体" w:hAnsi="宋体" w:eastAsia="黑体"/>
          <w:sz w:val="24"/>
        </w:rPr>
      </w:pPr>
      <w:bookmarkStart w:id="50" w:name="_Toc73521669"/>
      <w:bookmarkStart w:id="51" w:name="_Toc73517673"/>
      <w:bookmarkStart w:id="52" w:name="_Toc73518151"/>
      <w:bookmarkStart w:id="53" w:name="_Toc100052400"/>
      <w:bookmarkStart w:id="54" w:name="_Toc73521581"/>
      <w:r>
        <w:rPr>
          <w:rFonts w:hint="eastAsia" w:ascii="黑体" w:hAnsi="宋体" w:eastAsia="黑体"/>
          <w:sz w:val="24"/>
        </w:rPr>
        <w:t>34．错误的修正</w:t>
      </w:r>
      <w:bookmarkEnd w:id="50"/>
      <w:bookmarkEnd w:id="51"/>
      <w:bookmarkEnd w:id="52"/>
      <w:bookmarkEnd w:id="53"/>
      <w:bookmarkEnd w:id="54"/>
    </w:p>
    <w:p>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rPr>
          <w:rFonts w:ascii="黑体" w:hAnsi="宋体" w:eastAsia="黑体"/>
          <w:sz w:val="24"/>
        </w:rPr>
      </w:pPr>
      <w:r>
        <w:rPr>
          <w:rFonts w:hint="eastAsia" w:ascii="黑体" w:hAnsi="宋体" w:eastAsia="黑体"/>
          <w:sz w:val="24"/>
        </w:rPr>
        <w:t>35．投标文件的比较与评价</w:t>
      </w:r>
    </w:p>
    <w:p>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rPr>
          <w:rFonts w:ascii="黑体" w:hAnsi="宋体" w:eastAsia="黑体"/>
          <w:sz w:val="24"/>
        </w:rPr>
      </w:pPr>
      <w:r>
        <w:rPr>
          <w:rFonts w:hint="eastAsia" w:ascii="黑体" w:hAnsi="宋体" w:eastAsia="黑体"/>
          <w:sz w:val="24"/>
        </w:rPr>
        <w:t>36. 实地考察或资料查验</w:t>
      </w:r>
    </w:p>
    <w:p>
      <w:pPr>
        <w:ind w:firstLine="411" w:firstLineChars="196"/>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pPr>
        <w:rPr>
          <w:rFonts w:ascii="黑体" w:hAnsi="宋体" w:eastAsia="黑体"/>
          <w:sz w:val="24"/>
        </w:rPr>
      </w:pPr>
      <w:r>
        <w:rPr>
          <w:rFonts w:hint="eastAsia" w:ascii="黑体" w:hAnsi="宋体" w:eastAsia="黑体"/>
          <w:sz w:val="24"/>
        </w:rPr>
        <w:t>37．评审方法</w:t>
      </w:r>
    </w:p>
    <w:p>
      <w:pPr>
        <w:ind w:firstLine="413" w:firstLineChars="196"/>
        <w:rPr>
          <w:rFonts w:ascii="宋体" w:hAnsi="宋体"/>
          <w:b/>
          <w:bCs/>
          <w:szCs w:val="21"/>
        </w:rPr>
      </w:pPr>
      <w:bookmarkStart w:id="55" w:name="_Hlk72438142"/>
      <w:r>
        <w:rPr>
          <w:rFonts w:hint="eastAsia" w:ascii="宋体" w:hAnsi="宋体"/>
          <w:b/>
          <w:bCs/>
          <w:szCs w:val="21"/>
        </w:rPr>
        <w:t>37.1.1最低价法</w:t>
      </w:r>
    </w:p>
    <w:p>
      <w:pPr>
        <w:ind w:firstLine="411" w:firstLineChars="196"/>
        <w:rPr>
          <w:rFonts w:hint="eastAsia" w:ascii="ˎ̥" w:hAnsi="ˎ̥"/>
          <w:lang w:eastAsia="zh-CN"/>
        </w:rPr>
      </w:pPr>
      <w:r>
        <w:rPr>
          <w:rFonts w:ascii="ˎ̥" w:hAnsi="ˎ̥"/>
        </w:rPr>
        <w:t>最低价法，</w:t>
      </w:r>
      <w:r>
        <w:rPr>
          <w:rFonts w:hint="eastAsia" w:ascii="ˎ̥" w:hAnsi="ˎ̥"/>
        </w:rPr>
        <w:t>是指投标文件满足招标文件全部实质性要求，且投标报价最低的投标人为中标候选人的评标方法</w:t>
      </w:r>
      <w:r>
        <w:rPr>
          <w:rFonts w:hint="eastAsia" w:ascii="ˎ̥" w:hAnsi="ˎ̥"/>
          <w:lang w:eastAsia="zh-CN"/>
        </w:rPr>
        <w:t>。</w:t>
      </w:r>
    </w:p>
    <w:p>
      <w:pPr>
        <w:ind w:firstLine="411" w:firstLineChars="196"/>
        <w:rPr>
          <w:rFonts w:hint="eastAsia" w:ascii="ˎ̥" w:hAnsi="ˎ̥" w:eastAsia="宋体"/>
          <w:lang w:eastAsia="zh-CN"/>
        </w:rPr>
      </w:pPr>
      <w:r>
        <w:rPr>
          <w:rFonts w:hint="eastAsia" w:ascii="ˎ̥" w:hAnsi="ˎ̥"/>
          <w:lang w:eastAsia="zh-CN"/>
        </w:rPr>
        <w:t>采用最低价法的，评标结果按投标报价由低到高顺序排列。投标报价相同的并列。投标文件满足招标文件全部实质性要求且投标报价最低的投标人为排名第一的中标候选人。</w:t>
      </w:r>
      <w:r>
        <w:rPr>
          <w:rFonts w:hint="eastAsia" w:ascii="ˎ̥" w:hAnsi="ˎ̥"/>
        </w:rPr>
        <w:t>出现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pPr>
        <w:ind w:firstLine="413" w:firstLineChars="196"/>
        <w:rPr>
          <w:rFonts w:ascii="宋体" w:hAnsi="宋体"/>
          <w:b/>
          <w:bCs/>
          <w:szCs w:val="21"/>
        </w:rPr>
      </w:pPr>
      <w:r>
        <w:rPr>
          <w:rFonts w:hint="eastAsia" w:ascii="宋体" w:hAnsi="宋体"/>
          <w:b/>
          <w:bCs/>
          <w:szCs w:val="21"/>
        </w:rPr>
        <w:t>37.1.2综合评分法</w:t>
      </w:r>
    </w:p>
    <w:p>
      <w:pPr>
        <w:ind w:firstLine="411" w:firstLineChars="196"/>
        <w:rPr>
          <w:rFonts w:hint="eastAsia" w:ascii="ˎ̥" w:hAnsi="ˎ̥"/>
          <w:lang w:eastAsia="zh-CN"/>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r>
        <w:rPr>
          <w:rFonts w:hint="eastAsia" w:ascii="ˎ̥" w:hAnsi="ˎ̥"/>
          <w:lang w:eastAsia="zh-CN"/>
        </w:rPr>
        <w:t>。</w:t>
      </w:r>
    </w:p>
    <w:p>
      <w:pPr>
        <w:ind w:firstLine="411" w:firstLineChars="196"/>
        <w:rPr>
          <w:rFonts w:ascii="ˎ̥" w:hAnsi="ˎ̥"/>
        </w:rPr>
      </w:pPr>
      <w:r>
        <w:rPr>
          <w:rFonts w:hint="eastAsia" w:ascii="ˎ̥" w:hAnsi="ˎ̥"/>
          <w:lang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ˎ̥" w:hAnsi="ˎ̥"/>
        </w:rPr>
        <w:t>出现得分且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bookmarkEnd w:id="55"/>
    </w:p>
    <w:p>
      <w:pPr>
        <w:ind w:firstLine="413" w:firstLineChars="196"/>
        <w:rPr>
          <w:rFonts w:ascii="宋体" w:hAnsi="宋体"/>
          <w:b/>
          <w:bCs/>
          <w:szCs w:val="21"/>
        </w:rPr>
      </w:pPr>
      <w:r>
        <w:rPr>
          <w:rFonts w:hint="eastAsia" w:ascii="宋体" w:hAnsi="宋体"/>
          <w:b/>
          <w:bCs/>
          <w:szCs w:val="21"/>
        </w:rPr>
        <w:t>37.2 本项目采用的评审方法见本项目招标文件第一册“专用条款”的相关内容。</w:t>
      </w:r>
    </w:p>
    <w:p>
      <w:pPr>
        <w:ind w:firstLine="413" w:firstLineChars="196"/>
        <w:rPr>
          <w:rFonts w:ascii="宋体" w:hAnsi="宋体"/>
          <w:b/>
          <w:bCs/>
          <w:szCs w:val="21"/>
        </w:rPr>
      </w:pPr>
      <w:r>
        <w:rPr>
          <w:rFonts w:hint="eastAsia" w:ascii="宋体" w:hAnsi="宋体"/>
          <w:b/>
          <w:bCs/>
          <w:szCs w:val="21"/>
        </w:rPr>
        <w:t>37.3重新评审的情形</w:t>
      </w:r>
    </w:p>
    <w:p>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pPr>
        <w:ind w:firstLine="411" w:firstLineChars="196"/>
        <w:rPr>
          <w:rFonts w:ascii="宋体" w:hAnsi="宋体" w:cs="宋体"/>
          <w:kern w:val="0"/>
          <w:szCs w:val="21"/>
        </w:rPr>
      </w:pPr>
      <w:r>
        <w:rPr>
          <w:rFonts w:hint="eastAsia" w:ascii="宋体" w:hAnsi="宋体" w:cs="宋体"/>
          <w:kern w:val="0"/>
          <w:szCs w:val="21"/>
        </w:rPr>
        <w:t>37.3.1分值汇总计算错误的；</w:t>
      </w:r>
    </w:p>
    <w:p>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13" w:firstLineChars="196"/>
        <w:rPr>
          <w:rFonts w:ascii="宋体" w:hAnsi="宋体"/>
          <w:b/>
          <w:bCs/>
          <w:szCs w:val="21"/>
        </w:rPr>
      </w:pPr>
      <w:r>
        <w:rPr>
          <w:rFonts w:hint="eastAsia" w:ascii="宋体" w:hAnsi="宋体"/>
          <w:b/>
          <w:bCs/>
          <w:szCs w:val="21"/>
        </w:rPr>
        <w:t xml:space="preserve"> 37.4重新组建评审委员会的情形</w:t>
      </w:r>
    </w:p>
    <w:p>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pPr>
        <w:ind w:firstLine="411" w:firstLineChars="196"/>
        <w:rPr>
          <w:rFonts w:ascii="宋体" w:hAnsi="宋体"/>
          <w:szCs w:val="21"/>
        </w:rPr>
      </w:pPr>
    </w:p>
    <w:p>
      <w:pPr>
        <w:pStyle w:val="5"/>
        <w:numPr>
          <w:ilvl w:val="0"/>
          <w:numId w:val="10"/>
        </w:numPr>
        <w:spacing w:before="120" w:beforeLines="50" w:after="120" w:afterLines="50"/>
        <w:ind w:left="562" w:hanging="562"/>
        <w:rPr>
          <w:sz w:val="28"/>
          <w:szCs w:val="28"/>
        </w:rPr>
      </w:pPr>
      <w:r>
        <w:rPr>
          <w:rFonts w:hint="eastAsia"/>
          <w:sz w:val="28"/>
          <w:szCs w:val="28"/>
        </w:rPr>
        <w:t>定标及公示</w:t>
      </w:r>
    </w:p>
    <w:p>
      <w:pPr>
        <w:rPr>
          <w:rFonts w:ascii="黑体" w:hAnsi="宋体" w:eastAsia="黑体"/>
          <w:sz w:val="24"/>
        </w:rPr>
      </w:pPr>
      <w:r>
        <w:rPr>
          <w:rFonts w:hint="eastAsia" w:ascii="黑体" w:hAnsi="宋体" w:eastAsia="黑体"/>
          <w:sz w:val="24"/>
        </w:rPr>
        <w:t>38．定标方法</w:t>
      </w:r>
    </w:p>
    <w:p>
      <w:pPr>
        <w:ind w:firstLine="411" w:firstLineChars="196"/>
        <w:rPr>
          <w:rFonts w:ascii="宋体" w:hAnsi="宋体"/>
          <w:szCs w:val="21"/>
        </w:rPr>
      </w:pPr>
      <w:bookmarkStart w:id="56" w:name="_Hlk73782795"/>
      <w:r>
        <w:rPr>
          <w:rFonts w:hint="eastAsia" w:ascii="宋体" w:hAnsi="宋体"/>
          <w:szCs w:val="21"/>
        </w:rPr>
        <w:t>38.1非评定分离项目定标方法</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11" w:firstLineChars="196"/>
        <w:rPr>
          <w:rFonts w:hint="eastAsia" w:ascii="ˎ̥" w:hAnsi="ˎ̥" w:eastAsiaTheme="minorEastAsia"/>
          <w:lang w:eastAsia="zh-CN"/>
        </w:rPr>
      </w:pPr>
      <w:r>
        <w:rPr>
          <w:rFonts w:hint="eastAsia" w:ascii="ˎ̥" w:hAnsi="ˎ̥" w:eastAsiaTheme="minorEastAsia"/>
          <w:lang w:eastAsia="zh-CN"/>
        </w:rPr>
        <w:t>38.1.2采用最低价法的，评审结果按投标报价由低到高顺序排列。投标报价相同的并列。投标文件满足招标文件全部实质性要求且投标报价最低的投标人为中标供应商（排名第二的投标人为第一替补中标候选人、排名第三的投标人为第二替补中标候选人）。出现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pPr>
        <w:ind w:firstLine="411" w:firstLineChars="196"/>
        <w:rPr>
          <w:rFonts w:hint="eastAsia" w:ascii="ˎ̥" w:hAnsi="ˎ̥" w:eastAsiaTheme="minorEastAsia"/>
          <w:lang w:eastAsia="zh-CN"/>
        </w:rPr>
      </w:pPr>
      <w:r>
        <w:rPr>
          <w:rFonts w:hint="eastAsia" w:ascii="ˎ̥" w:hAnsi="ˎ̥" w:eastAsiaTheme="minorEastAsia"/>
          <w:lang w:eastAsia="zh-CN"/>
        </w:rPr>
        <w:t>38.1.3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供应商（排名第二的投标人为第一替补中标候选人、排名第三的投标人为第二替补中标候选人）。出现得分且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pPr>
        <w:ind w:firstLine="411" w:firstLineChars="196"/>
        <w:rPr>
          <w:rFonts w:ascii="宋体" w:hAnsi="宋体"/>
          <w:szCs w:val="21"/>
        </w:rPr>
      </w:pPr>
      <w:r>
        <w:rPr>
          <w:rFonts w:hint="eastAsia" w:ascii="宋体" w:hAnsi="宋体"/>
          <w:szCs w:val="21"/>
        </w:rPr>
        <w:t>38.2评定分离项目定标方法</w:t>
      </w:r>
    </w:p>
    <w:p>
      <w:pPr>
        <w:ind w:firstLine="411" w:firstLineChars="196"/>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1" w:firstLineChars="196"/>
      </w:pPr>
      <w:r>
        <w:rPr>
          <w:rFonts w:ascii="宋体" w:hAnsi="宋体"/>
          <w:szCs w:val="21"/>
        </w:rPr>
        <w:t xml:space="preserve">38.2.2 </w:t>
      </w:r>
      <w:bookmarkStart w:id="57"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pPr>
        <w:ind w:firstLine="411" w:firstLineChars="196"/>
        <w:rPr>
          <w:rFonts w:ascii="宋体" w:hAnsi="宋体"/>
          <w:szCs w:val="21"/>
        </w:rPr>
      </w:pPr>
      <w:r>
        <w:rPr>
          <w:rFonts w:hint="eastAsia" w:ascii="宋体" w:hAnsi="宋体"/>
          <w:szCs w:val="21"/>
        </w:rPr>
        <w:t>38.2.3</w:t>
      </w:r>
      <w:bookmarkStart w:id="58"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57"/>
      <w:bookmarkEnd w:id="58"/>
    </w:p>
    <w:p>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hint="eastAsia" w:ascii="宋体" w:hAnsi="宋体"/>
        </w:rPr>
        <w:t>〈</w:t>
      </w:r>
      <w:r>
        <w:t>深圳市政府采购评标定标分离管理办法</w:t>
      </w:r>
      <w:r>
        <w:rPr>
          <w:rFonts w:hint="eastAsia" w:ascii="宋体" w:hAnsi="宋体"/>
        </w:rPr>
        <w:t>〉</w:t>
      </w:r>
      <w:r>
        <w:t>的通知</w:t>
      </w:r>
      <w:r>
        <w:rPr>
          <w:rFonts w:hint="eastAsia"/>
        </w:rPr>
        <w:t>》（深财规【2</w:t>
      </w:r>
      <w:r>
        <w:t>020</w:t>
      </w:r>
      <w:r>
        <w:rPr>
          <w:rFonts w:hint="eastAsia"/>
        </w:rPr>
        <w:t>】1号）执行。</w:t>
      </w:r>
    </w:p>
    <w:p>
      <w:pPr>
        <w:ind w:firstLine="411" w:firstLineChars="196"/>
        <w:rPr>
          <w:rFonts w:ascii="宋体" w:hAnsi="宋体"/>
          <w:szCs w:val="21"/>
        </w:rPr>
      </w:pPr>
      <w:r>
        <w:rPr>
          <w:rFonts w:hint="eastAsia" w:ascii="宋体" w:hAnsi="宋体"/>
          <w:szCs w:val="21"/>
        </w:rPr>
        <w:t>说明：采购人及投标供应商应按照上述方法提前做好相关准备。</w:t>
      </w:r>
    </w:p>
    <w:p>
      <w:pPr>
        <w:ind w:firstLine="411" w:firstLineChars="196"/>
        <w:rPr>
          <w:rFonts w:ascii="宋体" w:hAnsi="宋体"/>
          <w:szCs w:val="21"/>
        </w:rPr>
      </w:pPr>
      <w:r>
        <w:rPr>
          <w:rFonts w:hint="eastAsia" w:ascii="宋体" w:hAnsi="宋体"/>
          <w:szCs w:val="21"/>
        </w:rPr>
        <w:t>38.3专用条款另有规定的，按专用条款相关要求定标。</w:t>
      </w:r>
      <w:bookmarkEnd w:id="56"/>
    </w:p>
    <w:p>
      <w:pPr>
        <w:rPr>
          <w:rFonts w:ascii="黑体" w:hAnsi="宋体" w:eastAsia="黑体"/>
          <w:sz w:val="24"/>
        </w:rPr>
      </w:pPr>
      <w:r>
        <w:rPr>
          <w:rFonts w:hint="eastAsia" w:ascii="黑体" w:hAnsi="宋体" w:eastAsia="黑体"/>
          <w:sz w:val="24"/>
        </w:rPr>
        <w:t>39．编写评审报告</w:t>
      </w:r>
    </w:p>
    <w:p>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hAnsi="宋体" w:eastAsia="黑体"/>
          <w:sz w:val="24"/>
        </w:rPr>
      </w:pPr>
      <w:r>
        <w:rPr>
          <w:rFonts w:hint="eastAsia" w:ascii="黑体" w:hAnsi="宋体" w:eastAsia="黑体"/>
          <w:sz w:val="24"/>
        </w:rPr>
        <w:t>40．中标公告</w:t>
      </w:r>
    </w:p>
    <w:p>
      <w:pPr>
        <w:ind w:firstLine="411" w:firstLineChars="196"/>
        <w:rPr>
          <w:rFonts w:ascii="宋体" w:hAnsi="宋体"/>
          <w:szCs w:val="21"/>
        </w:rPr>
      </w:pPr>
      <w:r>
        <w:rPr>
          <w:rFonts w:hint="eastAsia" w:ascii="宋体" w:hAnsi="宋体"/>
          <w:szCs w:val="21"/>
        </w:rPr>
        <w:t>40.1</w:t>
      </w:r>
      <w:bookmarkStart w:id="59"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rPr>
        <w:t>深圳</w:t>
      </w:r>
      <w:r>
        <w:rPr>
          <w:rFonts w:hint="eastAsia" w:ascii="宋体" w:hAnsi="宋体"/>
          <w:b/>
          <w:bCs/>
          <w:lang w:eastAsia="zh-CN"/>
        </w:rPr>
        <w:t>政府采购</w:t>
      </w:r>
      <w:r>
        <w:rPr>
          <w:rFonts w:hint="eastAsia" w:ascii="宋体" w:hAnsi="宋体"/>
          <w:b/>
          <w:bCs/>
        </w:rPr>
        <w:t>自行采购系统</w:t>
      </w:r>
      <w:r>
        <w:rPr>
          <w:rFonts w:hint="eastAsia" w:ascii="宋体" w:hAnsi="宋体"/>
          <w:b/>
          <w:bCs/>
          <w:szCs w:val="21"/>
        </w:rPr>
        <w:t>（https://zxcg.szggzy.com/home/index.html）</w:t>
      </w:r>
      <w:r>
        <w:rPr>
          <w:rFonts w:hint="eastAsia" w:ascii="宋体" w:hAnsi="宋体"/>
          <w:szCs w:val="21"/>
        </w:rPr>
        <w:t>上发布中标结果公告。</w:t>
      </w:r>
      <w:bookmarkEnd w:id="59"/>
      <w:bookmarkStart w:id="60"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60"/>
    <w:p>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pPr>
        <w:rPr>
          <w:rFonts w:ascii="黑体" w:hAnsi="宋体" w:eastAsia="黑体"/>
          <w:sz w:val="24"/>
        </w:rPr>
      </w:pPr>
      <w:r>
        <w:rPr>
          <w:rFonts w:hint="eastAsia" w:ascii="黑体" w:hAnsi="宋体" w:eastAsia="黑体"/>
          <w:sz w:val="24"/>
        </w:rPr>
        <w:t>41．中标通知书</w:t>
      </w:r>
    </w:p>
    <w:p>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61" w:name="_Hlk72438863"/>
      <w:r>
        <w:rPr>
          <w:rFonts w:hint="eastAsia" w:ascii="宋体" w:hAnsi="宋体"/>
          <w:szCs w:val="21"/>
        </w:rPr>
        <w:t>中标公告公布以后无异常的情况下,中标供应商和采购人可自行</w:t>
      </w:r>
      <w:r>
        <w:rPr>
          <w:rFonts w:hint="eastAsia" w:ascii="宋体" w:hAnsi="宋体"/>
          <w:szCs w:val="21"/>
          <w:lang w:eastAsia="zh-CN"/>
        </w:rPr>
        <w:t>登录</w:t>
      </w:r>
      <w:r>
        <w:rPr>
          <w:rFonts w:hint="eastAsia" w:ascii="宋体" w:hAnsi="宋体"/>
          <w:b/>
          <w:bCs/>
          <w:szCs w:val="21"/>
        </w:rPr>
        <w:t>“</w:t>
      </w:r>
      <w:r>
        <w:rPr>
          <w:rFonts w:hint="eastAsia" w:ascii="宋体" w:hAnsi="宋体"/>
        </w:rPr>
        <w:t>深圳</w:t>
      </w:r>
      <w:r>
        <w:rPr>
          <w:rFonts w:hint="eastAsia" w:ascii="宋体" w:hAnsi="宋体"/>
          <w:lang w:eastAsia="zh-CN"/>
        </w:rPr>
        <w:t>政府采购</w:t>
      </w:r>
      <w:r>
        <w:rPr>
          <w:rFonts w:hint="eastAsia" w:ascii="宋体" w:hAnsi="宋体"/>
        </w:rPr>
        <w:t>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61"/>
    </w:p>
    <w:p>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11" w:firstLineChars="196"/>
        <w:rPr>
          <w:rFonts w:ascii="宋体" w:hAnsi="宋体"/>
          <w:szCs w:val="21"/>
        </w:rPr>
      </w:pPr>
      <w:bookmarkStart w:id="62" w:name="_Hlk71407340"/>
      <w:r>
        <w:rPr>
          <w:rFonts w:hint="eastAsia" w:ascii="宋体" w:hAnsi="宋体"/>
          <w:szCs w:val="21"/>
        </w:rPr>
        <w:t>41.3因质疑投诉或其它原因导致项目结果变更或采购终止的，政府集中采购机构有权吊销中标通知书。</w:t>
      </w:r>
    </w:p>
    <w:bookmarkEnd w:id="62"/>
    <w:p>
      <w:pPr>
        <w:ind w:firstLine="411" w:firstLineChars="196"/>
        <w:rPr>
          <w:rFonts w:ascii="宋体" w:hAnsi="宋体"/>
          <w:szCs w:val="21"/>
        </w:rPr>
      </w:pPr>
    </w:p>
    <w:p>
      <w:pPr>
        <w:pStyle w:val="5"/>
        <w:numPr>
          <w:ilvl w:val="0"/>
          <w:numId w:val="10"/>
        </w:numPr>
        <w:spacing w:before="120" w:beforeLines="50" w:after="120" w:afterLines="50"/>
        <w:ind w:left="562" w:hanging="562"/>
        <w:rPr>
          <w:sz w:val="28"/>
          <w:szCs w:val="28"/>
        </w:rPr>
      </w:pPr>
      <w:r>
        <w:rPr>
          <w:rFonts w:hint="eastAsia"/>
          <w:sz w:val="28"/>
          <w:szCs w:val="28"/>
        </w:rPr>
        <w:t>公开招标失败的后续处理</w:t>
      </w:r>
    </w:p>
    <w:p>
      <w:pPr>
        <w:rPr>
          <w:rFonts w:ascii="黑体" w:hAnsi="宋体" w:eastAsia="黑体"/>
          <w:sz w:val="24"/>
        </w:rPr>
      </w:pPr>
      <w:r>
        <w:rPr>
          <w:rFonts w:hint="eastAsia" w:ascii="黑体" w:hAnsi="宋体" w:eastAsia="黑体"/>
          <w:sz w:val="24"/>
        </w:rPr>
        <w:t>42．公开招标失败的处理</w:t>
      </w:r>
    </w:p>
    <w:p>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rPr>
      </w:pPr>
      <w:r>
        <w:rPr>
          <w:rFonts w:hint="eastAsia" w:ascii="宋体" w:hAnsi="宋体"/>
        </w:rPr>
        <w:t>（1）由政府集中采购机构重新组织公开招标；</w:t>
      </w:r>
    </w:p>
    <w:p>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pPr>
        <w:rPr>
          <w:rFonts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pPr>
        <w:rPr>
          <w:rFonts w:ascii="黑体" w:hAnsi="宋体" w:eastAsia="黑体"/>
          <w:sz w:val="24"/>
        </w:rPr>
      </w:pPr>
    </w:p>
    <w:p>
      <w:pPr>
        <w:pStyle w:val="5"/>
        <w:numPr>
          <w:ilvl w:val="0"/>
          <w:numId w:val="10"/>
        </w:numPr>
        <w:spacing w:before="120" w:beforeLines="50" w:after="120" w:afterLines="50"/>
        <w:ind w:left="562" w:hanging="562"/>
        <w:rPr>
          <w:sz w:val="28"/>
          <w:szCs w:val="28"/>
        </w:rPr>
      </w:pPr>
      <w:bookmarkStart w:id="63" w:name="_Hlk72439043"/>
      <w:r>
        <w:rPr>
          <w:rFonts w:hint="eastAsia"/>
          <w:sz w:val="28"/>
          <w:szCs w:val="28"/>
        </w:rPr>
        <w:t>合同的授予与备案</w:t>
      </w:r>
      <w:bookmarkEnd w:id="63"/>
    </w:p>
    <w:p>
      <w:pPr>
        <w:rPr>
          <w:rFonts w:ascii="黑体" w:hAnsi="宋体" w:eastAsia="黑体"/>
          <w:sz w:val="24"/>
        </w:rPr>
      </w:pPr>
      <w:bookmarkStart w:id="64" w:name="_Toc73518157"/>
      <w:bookmarkStart w:id="65" w:name="_Toc73521674"/>
      <w:bookmarkStart w:id="66" w:name="_Toc100052408"/>
      <w:bookmarkStart w:id="67" w:name="_Toc73517679"/>
      <w:bookmarkStart w:id="68" w:name="_Toc73521586"/>
      <w:bookmarkStart w:id="69" w:name="_Hlk72439088"/>
      <w:r>
        <w:rPr>
          <w:rFonts w:hint="eastAsia" w:ascii="黑体" w:hAnsi="宋体" w:eastAsia="黑体"/>
          <w:sz w:val="24"/>
        </w:rPr>
        <w:t>43．合同授予标准</w:t>
      </w:r>
      <w:bookmarkEnd w:id="64"/>
      <w:bookmarkEnd w:id="65"/>
      <w:bookmarkEnd w:id="66"/>
      <w:bookmarkEnd w:id="67"/>
      <w:bookmarkEnd w:id="68"/>
    </w:p>
    <w:p>
      <w:pPr>
        <w:ind w:firstLine="411" w:firstLineChars="196"/>
        <w:rPr>
          <w:rFonts w:ascii="宋体" w:hAnsi="宋体"/>
          <w:szCs w:val="21"/>
        </w:rPr>
      </w:pPr>
      <w:r>
        <w:rPr>
          <w:rFonts w:hint="eastAsia" w:ascii="宋体" w:hAnsi="宋体"/>
          <w:szCs w:val="21"/>
        </w:rPr>
        <w:t>本项目的合同将授予经本招标文件规定评审确定的中标供应商。</w:t>
      </w:r>
    </w:p>
    <w:p>
      <w:pPr>
        <w:rPr>
          <w:rFonts w:ascii="黑体" w:hAnsi="宋体" w:eastAsia="黑体"/>
          <w:sz w:val="24"/>
        </w:rPr>
      </w:pPr>
      <w:bookmarkStart w:id="70" w:name="_Toc73517680"/>
      <w:bookmarkStart w:id="71" w:name="_Toc73521675"/>
      <w:bookmarkStart w:id="72" w:name="_Toc73521587"/>
      <w:bookmarkStart w:id="73" w:name="_Toc73518158"/>
      <w:bookmarkStart w:id="74" w:name="_Toc100052409"/>
      <w:r>
        <w:rPr>
          <w:rFonts w:hint="eastAsia" w:ascii="黑体" w:hAnsi="宋体" w:eastAsia="黑体"/>
          <w:sz w:val="24"/>
        </w:rPr>
        <w:t>44．</w:t>
      </w:r>
      <w:bookmarkEnd w:id="70"/>
      <w:bookmarkEnd w:id="71"/>
      <w:bookmarkEnd w:id="72"/>
      <w:bookmarkEnd w:id="73"/>
      <w:bookmarkEnd w:id="74"/>
      <w:r>
        <w:rPr>
          <w:rFonts w:hint="eastAsia" w:ascii="黑体" w:hAnsi="宋体" w:eastAsia="黑体"/>
          <w:sz w:val="24"/>
        </w:rPr>
        <w:t>接受和拒绝任何或所有投标的权力</w:t>
      </w:r>
    </w:p>
    <w:p>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hAnsi="宋体" w:eastAsia="黑体"/>
          <w:sz w:val="24"/>
        </w:rPr>
      </w:pPr>
      <w:bookmarkStart w:id="75" w:name="_Toc73521589"/>
      <w:bookmarkStart w:id="76" w:name="_Toc73518160"/>
      <w:bookmarkStart w:id="77" w:name="_Toc73517682"/>
      <w:bookmarkStart w:id="78" w:name="_Toc100052410"/>
      <w:bookmarkStart w:id="79" w:name="_Toc73521677"/>
      <w:r>
        <w:rPr>
          <w:rFonts w:hint="eastAsia" w:ascii="黑体" w:hAnsi="宋体" w:eastAsia="黑体"/>
          <w:sz w:val="24"/>
        </w:rPr>
        <w:t>45．合同的签订</w:t>
      </w:r>
      <w:bookmarkEnd w:id="75"/>
      <w:bookmarkEnd w:id="76"/>
      <w:bookmarkEnd w:id="77"/>
      <w:bookmarkEnd w:id="78"/>
      <w:bookmarkEnd w:id="79"/>
    </w:p>
    <w:p>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pPr>
        <w:rPr>
          <w:rFonts w:ascii="黑体" w:hAnsi="宋体" w:eastAsia="黑体"/>
          <w:sz w:val="24"/>
        </w:rPr>
      </w:pPr>
      <w:bookmarkStart w:id="80" w:name="_Toc73518161"/>
      <w:bookmarkStart w:id="81" w:name="_Toc73517683"/>
      <w:bookmarkStart w:id="82" w:name="_Toc73521678"/>
      <w:bookmarkStart w:id="83" w:name="_Toc100052411"/>
      <w:bookmarkStart w:id="84" w:name="_Toc73521590"/>
      <w:r>
        <w:rPr>
          <w:rFonts w:hint="eastAsia" w:ascii="黑体" w:hAnsi="宋体" w:eastAsia="黑体"/>
          <w:sz w:val="24"/>
        </w:rPr>
        <w:t>46．履约担保</w:t>
      </w:r>
      <w:bookmarkEnd w:id="80"/>
      <w:bookmarkEnd w:id="81"/>
      <w:bookmarkEnd w:id="82"/>
      <w:bookmarkEnd w:id="83"/>
      <w:bookmarkEnd w:id="84"/>
    </w:p>
    <w:p>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pPr>
        <w:rPr>
          <w:rFonts w:ascii="黑体" w:hAnsi="宋体" w:eastAsia="黑体"/>
          <w:sz w:val="24"/>
        </w:rPr>
      </w:pPr>
      <w:r>
        <w:rPr>
          <w:rFonts w:hint="eastAsia" w:ascii="黑体" w:hAnsi="宋体" w:eastAsia="黑体"/>
          <w:sz w:val="24"/>
        </w:rPr>
        <w:t>47. 合同备案</w:t>
      </w:r>
    </w:p>
    <w:p>
      <w:pPr>
        <w:rPr>
          <w:rFonts w:ascii="黑体" w:hAnsi="宋体" w:eastAsia="黑体"/>
          <w:sz w:val="24"/>
        </w:rPr>
      </w:pPr>
      <w:r>
        <w:rPr>
          <w:rFonts w:hint="eastAsia" w:ascii="宋体" w:hAnsi="宋体" w:eastAsia="宋体" w:cs="Times New Roman"/>
          <w:kern w:val="2"/>
          <w:sz w:val="21"/>
          <w:szCs w:val="21"/>
          <w:lang w:eastAsia="zh-Hans"/>
        </w:rPr>
        <w:t>采购人与中标供应商自中标通知书发出之日起10个工作日内签订政府采购合同，</w:t>
      </w:r>
      <w:r>
        <w:rPr>
          <w:rFonts w:hint="eastAsia" w:ascii="宋体" w:hAnsi="宋体" w:eastAsia="宋体" w:cs="Times New Roman"/>
          <w:kern w:val="2"/>
          <w:sz w:val="21"/>
          <w:szCs w:val="21"/>
          <w:lang w:val="en-US" w:eastAsia="zh-CN"/>
        </w:rPr>
        <w:t>并按财政部门规定提交备案。</w:t>
      </w:r>
      <w:r>
        <w:rPr>
          <w:rFonts w:hint="eastAsia" w:ascii="黑体" w:hAnsi="宋体" w:eastAsia="黑体"/>
          <w:sz w:val="24"/>
        </w:rPr>
        <w:t>48. 合同变更</w:t>
      </w:r>
    </w:p>
    <w:p>
      <w:pPr>
        <w:ind w:firstLine="411" w:firstLineChars="196"/>
        <w:rPr>
          <w:rFonts w:ascii="宋体" w:hAnsi="宋体"/>
          <w:szCs w:val="21"/>
        </w:rPr>
      </w:pPr>
      <w:r>
        <w:rPr>
          <w:rFonts w:hint="eastAsia" w:ascii="宋体" w:hAnsi="宋体"/>
          <w:szCs w:val="21"/>
        </w:rPr>
        <w:t>合同变更事宜按《深圳市财政局关于优化政府采购合同备案的通知》（深财发保〔2022〕2号）相关规定执行。</w:t>
      </w:r>
    </w:p>
    <w:p>
      <w:pPr>
        <w:rPr>
          <w:rFonts w:ascii="黑体" w:hAnsi="宋体" w:eastAsia="黑体"/>
          <w:sz w:val="24"/>
        </w:rPr>
      </w:pPr>
      <w:r>
        <w:rPr>
          <w:rFonts w:hint="eastAsia" w:ascii="黑体" w:hAnsi="宋体" w:eastAsia="黑体"/>
          <w:sz w:val="24"/>
        </w:rPr>
        <w:t>49. 项目验收</w:t>
      </w:r>
    </w:p>
    <w:p>
      <w:pPr>
        <w:widowControl/>
        <w:ind w:right="176" w:firstLine="420"/>
        <w:jc w:val="left"/>
        <w:rPr>
          <w:rFonts w:ascii="宋体" w:hAnsi="宋体"/>
        </w:rPr>
      </w:pPr>
      <w:r>
        <w:rPr>
          <w:rFonts w:hint="eastAsia" w:ascii="宋体" w:hAnsi="宋体"/>
        </w:rPr>
        <w:t>49.1采购人应当按照招标文件和合同规定的标准和方法，及时组织验收。</w:t>
      </w:r>
      <w:r>
        <w:rPr>
          <w:rFonts w:ascii="宋体" w:hAnsi="宋体"/>
        </w:rPr>
        <w:t xml:space="preserve"> </w:t>
      </w:r>
    </w:p>
    <w:p>
      <w:pPr>
        <w:rPr>
          <w:rFonts w:ascii="黑体" w:hAnsi="宋体" w:eastAsia="黑体"/>
          <w:sz w:val="24"/>
        </w:rPr>
      </w:pPr>
      <w:r>
        <w:rPr>
          <w:rFonts w:hint="eastAsia" w:ascii="黑体" w:hAnsi="宋体" w:eastAsia="黑体"/>
          <w:sz w:val="24"/>
        </w:rPr>
        <w:t>50. 宣传</w:t>
      </w:r>
    </w:p>
    <w:p>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pPr>
        <w:ind w:left="210" w:leftChars="100" w:firstLine="411" w:firstLineChars="196"/>
        <w:rPr>
          <w:rFonts w:ascii="宋体" w:hAnsi="宋体"/>
        </w:rPr>
      </w:pPr>
      <w:r>
        <w:rPr>
          <w:rFonts w:ascii="宋体" w:hAnsi="宋体"/>
        </w:rPr>
        <w:t>a.名片、宣传册、广告标语等；</w:t>
      </w:r>
    </w:p>
    <w:p>
      <w:pPr>
        <w:ind w:left="210" w:leftChars="100" w:firstLine="411" w:firstLineChars="196"/>
        <w:rPr>
          <w:rFonts w:ascii="宋体" w:hAnsi="宋体"/>
        </w:rPr>
      </w:pPr>
      <w:r>
        <w:rPr>
          <w:rFonts w:ascii="宋体" w:hAnsi="宋体"/>
        </w:rPr>
        <w:t>b.案例介绍、推广等；</w:t>
      </w:r>
    </w:p>
    <w:p>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pPr>
        <w:rPr>
          <w:rFonts w:ascii="黑体" w:hAnsi="宋体" w:eastAsia="黑体"/>
          <w:sz w:val="24"/>
        </w:rPr>
      </w:pPr>
      <w:r>
        <w:rPr>
          <w:rFonts w:hint="eastAsia" w:ascii="黑体" w:hAnsi="宋体" w:eastAsia="黑体"/>
          <w:sz w:val="24"/>
        </w:rPr>
        <w:t>51. 供应商违法责任</w:t>
      </w:r>
    </w:p>
    <w:p>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ascii="宋体" w:hAnsi="宋体"/>
          <w:szCs w:val="21"/>
        </w:rPr>
      </w:pPr>
      <w:r>
        <w:rPr>
          <w:rFonts w:hint="eastAsia" w:ascii="宋体" w:hAnsi="宋体"/>
          <w:szCs w:val="21"/>
        </w:rPr>
        <w:t>（1）在采购活动中应当回避而未回避的；</w:t>
      </w:r>
    </w:p>
    <w:p>
      <w:pPr>
        <w:ind w:firstLine="411" w:firstLineChars="196"/>
        <w:rPr>
          <w:rFonts w:ascii="宋体" w:hAnsi="宋体"/>
          <w:szCs w:val="21"/>
        </w:rPr>
      </w:pPr>
      <w:r>
        <w:rPr>
          <w:rFonts w:hint="eastAsia" w:ascii="宋体" w:hAnsi="宋体"/>
          <w:szCs w:val="21"/>
        </w:rPr>
        <w:t>（2）未按本条例规定签订、履行采购合同，造成严重后果的；</w:t>
      </w:r>
    </w:p>
    <w:p>
      <w:pPr>
        <w:ind w:firstLine="411" w:firstLineChars="196"/>
        <w:rPr>
          <w:rFonts w:ascii="宋体" w:hAnsi="宋体"/>
          <w:szCs w:val="21"/>
        </w:rPr>
      </w:pPr>
      <w:r>
        <w:rPr>
          <w:rFonts w:hint="eastAsia" w:ascii="宋体" w:hAnsi="宋体"/>
          <w:szCs w:val="21"/>
        </w:rPr>
        <w:t>（3）隐瞒真实情况，提供虚假资料的；</w:t>
      </w:r>
    </w:p>
    <w:p>
      <w:pPr>
        <w:ind w:firstLine="411" w:firstLineChars="196"/>
        <w:rPr>
          <w:rFonts w:ascii="宋体" w:hAnsi="宋体"/>
          <w:szCs w:val="21"/>
        </w:rPr>
      </w:pPr>
      <w:r>
        <w:rPr>
          <w:rFonts w:hint="eastAsia" w:ascii="宋体" w:hAnsi="宋体"/>
          <w:szCs w:val="21"/>
        </w:rPr>
        <w:t>（4）以非法手段排斥其他供应商参与竞争的；</w:t>
      </w:r>
    </w:p>
    <w:p>
      <w:pPr>
        <w:ind w:firstLine="411" w:firstLineChars="196"/>
        <w:rPr>
          <w:rFonts w:ascii="宋体" w:hAnsi="宋体"/>
          <w:szCs w:val="21"/>
        </w:rPr>
      </w:pPr>
      <w:r>
        <w:rPr>
          <w:rFonts w:hint="eastAsia" w:ascii="宋体" w:hAnsi="宋体"/>
          <w:szCs w:val="21"/>
        </w:rPr>
        <w:t>（5）与其他采购参加人串通投标的；</w:t>
      </w:r>
    </w:p>
    <w:p>
      <w:pPr>
        <w:ind w:firstLine="411" w:firstLineChars="196"/>
        <w:rPr>
          <w:rFonts w:ascii="宋体" w:hAnsi="宋体"/>
          <w:szCs w:val="21"/>
        </w:rPr>
      </w:pPr>
      <w:r>
        <w:rPr>
          <w:rFonts w:hint="eastAsia" w:ascii="宋体" w:hAnsi="宋体"/>
          <w:szCs w:val="21"/>
        </w:rPr>
        <w:t>（6）恶意投诉的；</w:t>
      </w:r>
    </w:p>
    <w:p>
      <w:pPr>
        <w:ind w:firstLine="411" w:firstLineChars="196"/>
        <w:rPr>
          <w:rFonts w:ascii="宋体" w:hAnsi="宋体"/>
          <w:szCs w:val="21"/>
        </w:rPr>
      </w:pPr>
      <w:r>
        <w:rPr>
          <w:rFonts w:hint="eastAsia" w:ascii="宋体" w:hAnsi="宋体"/>
          <w:szCs w:val="21"/>
        </w:rPr>
        <w:t>（7）向采购项目相关人行贿或者提供其他不当利益的；</w:t>
      </w:r>
    </w:p>
    <w:p>
      <w:pPr>
        <w:ind w:firstLine="411" w:firstLineChars="196"/>
        <w:rPr>
          <w:rFonts w:ascii="宋体" w:hAnsi="宋体"/>
          <w:szCs w:val="21"/>
        </w:rPr>
      </w:pPr>
      <w:r>
        <w:rPr>
          <w:rFonts w:hint="eastAsia" w:ascii="宋体" w:hAnsi="宋体"/>
          <w:szCs w:val="21"/>
        </w:rPr>
        <w:t>（8）阻碍、抗拒主管部门监督检查的；</w:t>
      </w:r>
    </w:p>
    <w:p>
      <w:pPr>
        <w:ind w:firstLine="411" w:firstLineChars="196"/>
        <w:rPr>
          <w:rFonts w:ascii="宋体" w:hAnsi="宋体"/>
          <w:szCs w:val="21"/>
        </w:rPr>
      </w:pPr>
      <w:r>
        <w:rPr>
          <w:rFonts w:hint="eastAsia" w:ascii="宋体" w:hAnsi="宋体"/>
          <w:szCs w:val="21"/>
        </w:rPr>
        <w:t>（9）其他违反本条例规定的行为。</w:t>
      </w:r>
    </w:p>
    <w:p>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号）的要求，供应商在政府采购活动中出现《深圳经济特区政府采购条例实施细则》第八十条所列情形的，</w:t>
      </w:r>
      <w:bookmarkStart w:id="85" w:name="_Hlk72440769"/>
      <w:r>
        <w:rPr>
          <w:rFonts w:hint="eastAsia" w:ascii="宋体" w:hAnsi="宋体"/>
          <w:szCs w:val="21"/>
        </w:rPr>
        <w:t>政府集中采购机构或采购人不予退还其交纳的谈判保证金，情节严重的，并由主管部门</w:t>
      </w:r>
      <w:bookmarkEnd w:id="85"/>
      <w:r>
        <w:rPr>
          <w:rFonts w:hint="eastAsia" w:ascii="宋体" w:hAnsi="宋体"/>
          <w:szCs w:val="21"/>
        </w:rPr>
        <w:t>记入供应商诚信档案，予以通报：</w:t>
      </w:r>
    </w:p>
    <w:p>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69"/>
    <w:p>
      <w:pPr>
        <w:pStyle w:val="5"/>
        <w:numPr>
          <w:ilvl w:val="0"/>
          <w:numId w:val="10"/>
        </w:numPr>
        <w:spacing w:before="120" w:beforeLines="50" w:after="120" w:afterLines="50"/>
        <w:ind w:left="562" w:hanging="562"/>
        <w:rPr>
          <w:sz w:val="28"/>
          <w:szCs w:val="28"/>
        </w:rPr>
      </w:pPr>
      <w:r>
        <w:rPr>
          <w:rFonts w:hint="eastAsia"/>
          <w:sz w:val="28"/>
          <w:szCs w:val="28"/>
        </w:rPr>
        <w:t>质疑处理</w:t>
      </w:r>
    </w:p>
    <w:p>
      <w:pPr>
        <w:rPr>
          <w:rFonts w:ascii="黑体" w:hAnsi="宋体" w:eastAsia="黑体"/>
          <w:sz w:val="24"/>
        </w:rPr>
      </w:pPr>
      <w:r>
        <w:rPr>
          <w:rFonts w:hint="eastAsia" w:ascii="黑体" w:hAnsi="宋体" w:eastAsia="黑体"/>
          <w:sz w:val="24"/>
        </w:rPr>
        <w:t>52.质疑提出与答复</w:t>
      </w:r>
    </w:p>
    <w:p>
      <w:pPr>
        <w:rPr>
          <w:rFonts w:ascii="宋体" w:hAnsi="宋体"/>
          <w:szCs w:val="21"/>
        </w:rPr>
      </w:pPr>
      <w:r>
        <w:rPr>
          <w:rFonts w:hint="eastAsia" w:ascii="宋体" w:hAnsi="宋体"/>
          <w:szCs w:val="21"/>
        </w:rPr>
        <w:t xml:space="preserve">    52.1提出质疑</w:t>
      </w:r>
    </w:p>
    <w:p>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ascii="宋体" w:hAnsi="宋体"/>
          <w:szCs w:val="21"/>
        </w:rPr>
      </w:pPr>
      <w:r>
        <w:rPr>
          <w:rFonts w:hint="eastAsia" w:ascii="宋体" w:hAnsi="宋体"/>
          <w:szCs w:val="21"/>
        </w:rPr>
        <w:t xml:space="preserve">    52.2</w:t>
      </w:r>
      <w:r>
        <w:rPr>
          <w:rFonts w:ascii="宋体" w:hAnsi="宋体"/>
          <w:szCs w:val="21"/>
        </w:rPr>
        <w:t>法律依据</w:t>
      </w:r>
    </w:p>
    <w:p>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pPr>
        <w:rPr>
          <w:rFonts w:ascii="宋体" w:hAnsi="宋体"/>
          <w:szCs w:val="21"/>
        </w:rPr>
      </w:pPr>
      <w:r>
        <w:rPr>
          <w:rFonts w:hint="eastAsia" w:ascii="宋体" w:hAnsi="宋体"/>
          <w:szCs w:val="21"/>
        </w:rPr>
        <w:t xml:space="preserve">    52.3.1提出质疑的供应商应当是参与所质疑项目采购活动的供应商；</w:t>
      </w:r>
      <w:bookmarkStart w:id="86" w:name="_Hlk75374941"/>
      <w:r>
        <w:rPr>
          <w:rFonts w:hint="eastAsia" w:ascii="宋体" w:hAnsi="宋体"/>
          <w:szCs w:val="21"/>
        </w:rPr>
        <w:t>以联合体形式参与的，质疑应当由组成联合体的所有成员共同提出</w:t>
      </w:r>
      <w:bookmarkEnd w:id="86"/>
      <w:r>
        <w:rPr>
          <w:rFonts w:hint="eastAsia" w:ascii="宋体" w:hAnsi="宋体"/>
          <w:szCs w:val="21"/>
        </w:rPr>
        <w:t>；</w:t>
      </w:r>
    </w:p>
    <w:p>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pPr>
        <w:ind w:firstLine="420"/>
        <w:rPr>
          <w:rFonts w:ascii="宋体" w:hAnsi="宋体"/>
          <w:szCs w:val="21"/>
        </w:rPr>
      </w:pPr>
      <w:r>
        <w:rPr>
          <w:rFonts w:hint="eastAsia" w:ascii="宋体" w:hAnsi="宋体"/>
          <w:szCs w:val="21"/>
        </w:rPr>
        <w:t>（1）供应商的名称（或者姓名）、地址、邮编、邮箱、联系人及联系电话；</w:t>
      </w:r>
    </w:p>
    <w:p>
      <w:pPr>
        <w:ind w:firstLine="420" w:firstLineChars="200"/>
        <w:rPr>
          <w:rFonts w:ascii="宋体" w:hAnsi="宋体"/>
          <w:szCs w:val="21"/>
        </w:rPr>
      </w:pPr>
      <w:r>
        <w:rPr>
          <w:rFonts w:hint="eastAsia" w:ascii="宋体" w:hAnsi="宋体"/>
          <w:szCs w:val="21"/>
        </w:rPr>
        <w:t>（2）质疑项目的名称、编号；</w:t>
      </w:r>
    </w:p>
    <w:p>
      <w:pPr>
        <w:ind w:firstLine="420" w:firstLineChars="200"/>
        <w:rPr>
          <w:rFonts w:ascii="宋体" w:hAnsi="宋体"/>
          <w:szCs w:val="21"/>
        </w:rPr>
      </w:pPr>
      <w:r>
        <w:rPr>
          <w:rFonts w:hint="eastAsia" w:ascii="宋体" w:hAnsi="宋体"/>
          <w:szCs w:val="21"/>
        </w:rPr>
        <w:t>（3）具体、明确的质疑对象、质疑事项和质疑请求；</w:t>
      </w:r>
    </w:p>
    <w:p>
      <w:pPr>
        <w:ind w:firstLine="420" w:firstLineChars="200"/>
        <w:rPr>
          <w:rFonts w:ascii="宋体" w:hAnsi="宋体"/>
          <w:szCs w:val="21"/>
        </w:rPr>
      </w:pPr>
      <w:r>
        <w:rPr>
          <w:rFonts w:hint="eastAsia" w:ascii="宋体" w:hAnsi="宋体"/>
          <w:szCs w:val="21"/>
        </w:rPr>
        <w:t>（4）因质疑事项而受损害的权益；</w:t>
      </w:r>
    </w:p>
    <w:p>
      <w:pPr>
        <w:ind w:firstLine="420" w:firstLineChars="200"/>
        <w:rPr>
          <w:rFonts w:ascii="宋体" w:hAnsi="宋体"/>
          <w:szCs w:val="21"/>
        </w:rPr>
      </w:pPr>
      <w:r>
        <w:rPr>
          <w:rFonts w:hint="eastAsia" w:ascii="宋体" w:hAnsi="宋体"/>
          <w:szCs w:val="21"/>
        </w:rPr>
        <w:t>（5）事实依据；</w:t>
      </w:r>
    </w:p>
    <w:p>
      <w:pPr>
        <w:ind w:firstLine="420" w:firstLineChars="200"/>
        <w:rPr>
          <w:rFonts w:ascii="宋体" w:hAnsi="宋体"/>
          <w:szCs w:val="21"/>
        </w:rPr>
      </w:pPr>
      <w:r>
        <w:rPr>
          <w:rFonts w:hint="eastAsia" w:ascii="宋体" w:hAnsi="宋体"/>
          <w:szCs w:val="21"/>
        </w:rPr>
        <w:t>（6）必要的法律依据；</w:t>
      </w:r>
    </w:p>
    <w:p>
      <w:pPr>
        <w:ind w:firstLine="420" w:firstLineChars="200"/>
        <w:rPr>
          <w:rFonts w:ascii="宋体" w:hAnsi="宋体"/>
          <w:szCs w:val="21"/>
        </w:rPr>
      </w:pPr>
      <w:r>
        <w:rPr>
          <w:rFonts w:hint="eastAsia" w:ascii="宋体" w:hAnsi="宋体"/>
          <w:szCs w:val="21"/>
        </w:rPr>
        <w:t>（7）提出质疑的日期。</w:t>
      </w:r>
    </w:p>
    <w:p>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rPr>
      </w:pPr>
      <w:r>
        <w:rPr>
          <w:rFonts w:hint="eastAsia" w:ascii="宋体" w:hAnsi="宋体"/>
          <w:szCs w:val="21"/>
        </w:rPr>
        <w:t>52.4提交</w:t>
      </w:r>
      <w:r>
        <w:rPr>
          <w:rFonts w:ascii="宋体" w:hAnsi="宋体"/>
          <w:szCs w:val="21"/>
        </w:rPr>
        <w:t>材料</w:t>
      </w:r>
    </w:p>
    <w:p>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rPr>
      </w:pPr>
      <w:r>
        <w:rPr>
          <w:rFonts w:hint="eastAsia" w:ascii="宋体" w:hAnsi="宋体"/>
          <w:szCs w:val="21"/>
        </w:rPr>
        <w:t>52.5收文地点</w:t>
      </w:r>
    </w:p>
    <w:p>
      <w:pPr>
        <w:ind w:firstLine="422" w:firstLineChars="200"/>
        <w:rPr>
          <w:rFonts w:ascii="宋体" w:hAnsi="宋体"/>
          <w:b/>
          <w:bCs/>
          <w:szCs w:val="21"/>
        </w:rPr>
      </w:pPr>
      <w:r>
        <w:rPr>
          <w:rFonts w:hint="eastAsia" w:ascii="宋体" w:hAnsi="宋体"/>
          <w:b/>
          <w:bCs/>
          <w:szCs w:val="21"/>
        </w:rPr>
        <w:t>地址：深圳公共资源交易中心（深圳交易集团有限公司龙华分公司）（地址：深圳市龙华区观湖街道大和社区大和路288号宝观城锦鲤大厦办公楼22楼）。</w:t>
      </w:r>
    </w:p>
    <w:p>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ascii="宋体" w:hAnsi="宋体"/>
          <w:szCs w:val="21"/>
        </w:rPr>
      </w:pPr>
      <w:r>
        <w:rPr>
          <w:rFonts w:hint="eastAsia" w:ascii="宋体" w:hAnsi="宋体"/>
          <w:szCs w:val="21"/>
        </w:rPr>
        <w:t>供应商提交的质疑存在下列情形之一的，不予受理：</w:t>
      </w:r>
    </w:p>
    <w:p>
      <w:pPr>
        <w:ind w:firstLine="420" w:firstLineChars="200"/>
        <w:rPr>
          <w:rFonts w:ascii="宋体" w:hAnsi="宋体"/>
          <w:szCs w:val="21"/>
        </w:rPr>
      </w:pPr>
      <w:r>
        <w:rPr>
          <w:rFonts w:hint="eastAsia" w:ascii="宋体" w:hAnsi="宋体"/>
          <w:szCs w:val="21"/>
        </w:rPr>
        <w:t>（1）质疑主体不满足要求的；</w:t>
      </w:r>
    </w:p>
    <w:p>
      <w:pPr>
        <w:ind w:firstLine="420" w:firstLineChars="200"/>
        <w:rPr>
          <w:rFonts w:ascii="宋体" w:hAnsi="宋体"/>
          <w:szCs w:val="21"/>
        </w:rPr>
      </w:pPr>
      <w:r>
        <w:rPr>
          <w:rFonts w:hint="eastAsia" w:ascii="宋体" w:hAnsi="宋体"/>
          <w:szCs w:val="21"/>
        </w:rPr>
        <w:t>（2）供应商自身权益未受到损害的；</w:t>
      </w:r>
    </w:p>
    <w:p>
      <w:pPr>
        <w:ind w:firstLine="420" w:firstLineChars="200"/>
        <w:rPr>
          <w:rFonts w:ascii="宋体" w:hAnsi="宋体"/>
          <w:szCs w:val="21"/>
        </w:rPr>
      </w:pPr>
      <w:r>
        <w:rPr>
          <w:rFonts w:hint="eastAsia" w:ascii="宋体" w:hAnsi="宋体"/>
          <w:szCs w:val="21"/>
        </w:rPr>
        <w:t>（3）供应商未在法定质疑期限内提出质疑的；</w:t>
      </w:r>
    </w:p>
    <w:p>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ascii="宋体" w:hAnsi="宋体"/>
          <w:szCs w:val="21"/>
        </w:rPr>
      </w:pPr>
      <w:r>
        <w:rPr>
          <w:rFonts w:hint="eastAsia" w:ascii="宋体" w:hAnsi="宋体"/>
          <w:szCs w:val="21"/>
        </w:rPr>
        <w:t>（5）其他不符合受理条件情形的。</w:t>
      </w:r>
    </w:p>
    <w:p>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pPr>
        <w:rPr>
          <w:rFonts w:ascii="宋体" w:hAnsi="宋体"/>
          <w:szCs w:val="21"/>
        </w:rPr>
      </w:pPr>
      <w:r>
        <w:rPr>
          <w:rFonts w:hint="eastAsia" w:ascii="宋体" w:hAnsi="宋体"/>
          <w:szCs w:val="21"/>
        </w:rPr>
        <w:t xml:space="preserve">    自收文之日起七个工作日内。</w:t>
      </w:r>
    </w:p>
    <w:p>
      <w:pPr>
        <w:rPr>
          <w:rFonts w:ascii="宋体" w:hAnsi="宋体"/>
          <w:szCs w:val="21"/>
        </w:rPr>
      </w:pPr>
      <w:r>
        <w:rPr>
          <w:rFonts w:hint="eastAsia" w:ascii="宋体" w:hAnsi="宋体"/>
          <w:szCs w:val="21"/>
        </w:rPr>
        <w:t xml:space="preserve">    52.8投诉</w:t>
      </w:r>
    </w:p>
    <w:p>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对质疑答复不满意或者未在规定时间内答复的，提出质疑的供应商可以在答复期满后15个工作日内向本项目预算主管单位投诉。</w:t>
      </w:r>
    </w:p>
    <w:p>
      <w:pPr>
        <w:rPr>
          <w:rFonts w:ascii="黑体" w:hAnsi="宋体" w:eastAsia="黑体"/>
          <w:sz w:val="24"/>
        </w:rPr>
      </w:pPr>
      <w:r>
        <w:rPr>
          <w:rFonts w:hint="eastAsia" w:ascii="黑体" w:hAnsi="宋体" w:eastAsia="黑体"/>
          <w:sz w:val="24"/>
        </w:rPr>
        <w:t>53. 质疑后续处理</w:t>
      </w:r>
    </w:p>
    <w:p>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pPr>
        <w:jc w:val="cente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r>
        <w:t>---- END ----</w:t>
      </w:r>
    </w:p>
    <w:p>
      <w:pPr>
        <w:jc w:val="center"/>
        <w:rPr>
          <w:rFonts w:ascii="Times New Roman" w:hAnsi="Times New Roman" w:eastAsia="宋体" w:cs="Times New Roman"/>
          <w:szCs w:val="24"/>
        </w:rPr>
      </w:pPr>
      <w:r>
        <w:rPr>
          <w:rFonts w:ascii="Times New Roman" w:hAnsi="Times New Roman" w:eastAsia="宋体" w:cs="Times New Roman"/>
          <w:szCs w:val="24"/>
        </w:rPr>
        <w:t>---- END ----</w:t>
      </w:r>
      <w:bookmarkEnd w:id="33"/>
    </w:p>
    <w:p>
      <w:pPr>
        <w:rPr>
          <w:b/>
          <w:color w:val="FF0000"/>
          <w:sz w:val="52"/>
          <w:szCs w:val="52"/>
        </w:rPr>
      </w:pPr>
    </w:p>
    <w:p>
      <w:pPr>
        <w:rPr>
          <w:b/>
          <w:color w:val="FF0000"/>
          <w:sz w:val="52"/>
          <w:szCs w:val="5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417" w:bottom="1440"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060"/>
      <w:docPartObj>
        <w:docPartGallery w:val="autotext"/>
      </w:docPartObj>
    </w:sdtPr>
    <w:sdtContent>
      <w:p>
        <w:pPr>
          <w:pStyle w:val="13"/>
          <w:jc w:val="center"/>
        </w:pPr>
        <w:r>
          <w:fldChar w:fldCharType="begin"/>
        </w:r>
        <w:r>
          <w:instrText xml:space="preserve"> PAGE   \* MERGEFORMAT </w:instrText>
        </w:r>
        <w:r>
          <w:fldChar w:fldCharType="separate"/>
        </w:r>
        <w:r>
          <w:rPr>
            <w:lang w:val="zh-CN"/>
          </w:rPr>
          <w:t>40</w:t>
        </w:r>
        <w:r>
          <w:rPr>
            <w:lang w:val="zh-CN"/>
          </w:rPr>
          <w:fldChar w:fldCharType="end"/>
        </w:r>
      </w:p>
    </w:sdtContent>
  </w:sdt>
  <w:p>
    <w:pPr>
      <w:pStyle w:val="13"/>
      <w:spacing w:after="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after="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after="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12F8A"/>
    <w:multiLevelType w:val="singleLevel"/>
    <w:tmpl w:val="92F12F8A"/>
    <w:lvl w:ilvl="0" w:tentative="0">
      <w:start w:val="2"/>
      <w:numFmt w:val="decimal"/>
      <w:lvlText w:val="%1."/>
      <w:lvlJc w:val="left"/>
      <w:pPr>
        <w:tabs>
          <w:tab w:val="left" w:pos="312"/>
        </w:tabs>
      </w:pPr>
    </w:lvl>
  </w:abstractNum>
  <w:abstractNum w:abstractNumId="1">
    <w:nsid w:val="A702A6DD"/>
    <w:multiLevelType w:val="singleLevel"/>
    <w:tmpl w:val="A702A6DD"/>
    <w:lvl w:ilvl="0" w:tentative="0">
      <w:start w:val="1"/>
      <w:numFmt w:val="decimal"/>
      <w:suff w:val="nothing"/>
      <w:lvlText w:val="%1、"/>
      <w:lvlJc w:val="left"/>
    </w:lvl>
  </w:abstractNum>
  <w:abstractNum w:abstractNumId="2">
    <w:nsid w:val="B9358C2E"/>
    <w:multiLevelType w:val="singleLevel"/>
    <w:tmpl w:val="B9358C2E"/>
    <w:lvl w:ilvl="0" w:tentative="0">
      <w:start w:val="2"/>
      <w:numFmt w:val="decimal"/>
      <w:suff w:val="nothing"/>
      <w:lvlText w:val="%1、"/>
      <w:lvlJc w:val="left"/>
    </w:lvl>
  </w:abstractNum>
  <w:abstractNum w:abstractNumId="3">
    <w:nsid w:val="C3C4A55E"/>
    <w:multiLevelType w:val="singleLevel"/>
    <w:tmpl w:val="C3C4A55E"/>
    <w:lvl w:ilvl="0" w:tentative="0">
      <w:start w:val="4"/>
      <w:numFmt w:val="chineseCounting"/>
      <w:suff w:val="nothing"/>
      <w:lvlText w:val="%1、"/>
      <w:lvlJc w:val="left"/>
      <w:rPr>
        <w:rFonts w:hint="eastAsia"/>
      </w:rPr>
    </w:lvl>
  </w:abstractNum>
  <w:abstractNum w:abstractNumId="4">
    <w:nsid w:val="C82B67B0"/>
    <w:multiLevelType w:val="singleLevel"/>
    <w:tmpl w:val="C82B67B0"/>
    <w:lvl w:ilvl="0" w:tentative="0">
      <w:start w:val="1"/>
      <w:numFmt w:val="chineseCounting"/>
      <w:suff w:val="nothing"/>
      <w:lvlText w:val="（%1）"/>
      <w:lvlJc w:val="left"/>
      <w:rPr>
        <w:rFonts w:hint="eastAsia"/>
      </w:rPr>
    </w:lvl>
  </w:abstractNum>
  <w:abstractNum w:abstractNumId="5">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D261732"/>
    <w:multiLevelType w:val="singleLevel"/>
    <w:tmpl w:val="1D261732"/>
    <w:lvl w:ilvl="0" w:tentative="0">
      <w:start w:val="7"/>
      <w:numFmt w:val="chineseCounting"/>
      <w:suff w:val="nothing"/>
      <w:lvlText w:val="%1、"/>
      <w:lvlJc w:val="left"/>
      <w:rPr>
        <w:rFonts w:hint="eastAsia"/>
      </w:rPr>
    </w:lvl>
  </w:abstractNum>
  <w:abstractNum w:abstractNumId="7">
    <w:nsid w:val="21D192F8"/>
    <w:multiLevelType w:val="singleLevel"/>
    <w:tmpl w:val="21D192F8"/>
    <w:lvl w:ilvl="0" w:tentative="0">
      <w:start w:val="1"/>
      <w:numFmt w:val="decimal"/>
      <w:lvlText w:val="(%1)"/>
      <w:lvlJc w:val="left"/>
      <w:pPr>
        <w:ind w:left="425" w:hanging="425"/>
      </w:pPr>
      <w:rPr>
        <w:rFonts w:hint="default" w:ascii="宋体" w:hAnsi="宋体" w:eastAsia="宋体" w:cstheme="minorEastAsia"/>
        <w:sz w:val="21"/>
        <w:szCs w:val="21"/>
      </w:rPr>
    </w:lvl>
  </w:abstractNum>
  <w:abstractNum w:abstractNumId="8">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21CBBE0"/>
    <w:multiLevelType w:val="singleLevel"/>
    <w:tmpl w:val="721CBBE0"/>
    <w:lvl w:ilvl="0" w:tentative="0">
      <w:start w:val="1"/>
      <w:numFmt w:val="decimal"/>
      <w:suff w:val="nothing"/>
      <w:lvlText w:val="%1、"/>
      <w:lvlJc w:val="left"/>
    </w:lvl>
  </w:abstractNum>
  <w:num w:numId="1">
    <w:abstractNumId w:val="4"/>
  </w:num>
  <w:num w:numId="2">
    <w:abstractNumId w:val="0"/>
  </w:num>
  <w:num w:numId="3">
    <w:abstractNumId w:val="7"/>
  </w:num>
  <w:num w:numId="4">
    <w:abstractNumId w:val="1"/>
  </w:num>
  <w:num w:numId="5">
    <w:abstractNumId w:val="9"/>
  </w:num>
  <w:num w:numId="6">
    <w:abstractNumId w:val="6"/>
  </w:num>
  <w:num w:numId="7">
    <w:abstractNumId w:val="2"/>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4MzNjNTZhNGM0YTE3ZjgzOTRkNDEyYTU2ZDNiMWQifQ=="/>
  </w:docVars>
  <w:rsids>
    <w:rsidRoot w:val="002B296E"/>
    <w:rsid w:val="00002E60"/>
    <w:rsid w:val="000048FF"/>
    <w:rsid w:val="00004FA5"/>
    <w:rsid w:val="0000723B"/>
    <w:rsid w:val="000114D0"/>
    <w:rsid w:val="00012263"/>
    <w:rsid w:val="00015C20"/>
    <w:rsid w:val="000165A0"/>
    <w:rsid w:val="00017ECC"/>
    <w:rsid w:val="00024DCF"/>
    <w:rsid w:val="00026B1C"/>
    <w:rsid w:val="0002788F"/>
    <w:rsid w:val="00027E40"/>
    <w:rsid w:val="00030854"/>
    <w:rsid w:val="00030B9F"/>
    <w:rsid w:val="000325CA"/>
    <w:rsid w:val="0003474D"/>
    <w:rsid w:val="00035243"/>
    <w:rsid w:val="000354DF"/>
    <w:rsid w:val="000413CE"/>
    <w:rsid w:val="00041760"/>
    <w:rsid w:val="00046AE3"/>
    <w:rsid w:val="00047161"/>
    <w:rsid w:val="00047CFA"/>
    <w:rsid w:val="00047F90"/>
    <w:rsid w:val="000509B8"/>
    <w:rsid w:val="000549AF"/>
    <w:rsid w:val="00055C90"/>
    <w:rsid w:val="000572C4"/>
    <w:rsid w:val="0008028B"/>
    <w:rsid w:val="00082568"/>
    <w:rsid w:val="000839B0"/>
    <w:rsid w:val="00083BC2"/>
    <w:rsid w:val="00083FD9"/>
    <w:rsid w:val="000844B8"/>
    <w:rsid w:val="0008773C"/>
    <w:rsid w:val="0009130D"/>
    <w:rsid w:val="00091343"/>
    <w:rsid w:val="00094FCC"/>
    <w:rsid w:val="000A7A9D"/>
    <w:rsid w:val="000B5D94"/>
    <w:rsid w:val="000B6946"/>
    <w:rsid w:val="000C0D21"/>
    <w:rsid w:val="000C0E1A"/>
    <w:rsid w:val="000C106C"/>
    <w:rsid w:val="000C4236"/>
    <w:rsid w:val="000D406E"/>
    <w:rsid w:val="000D4A50"/>
    <w:rsid w:val="000D4B12"/>
    <w:rsid w:val="000D6122"/>
    <w:rsid w:val="000E13A3"/>
    <w:rsid w:val="000F1328"/>
    <w:rsid w:val="000F34B2"/>
    <w:rsid w:val="000F4368"/>
    <w:rsid w:val="000F50E1"/>
    <w:rsid w:val="000F6FF0"/>
    <w:rsid w:val="001031B0"/>
    <w:rsid w:val="0010408D"/>
    <w:rsid w:val="001053A0"/>
    <w:rsid w:val="001063E2"/>
    <w:rsid w:val="00110CBD"/>
    <w:rsid w:val="00111349"/>
    <w:rsid w:val="00112D2A"/>
    <w:rsid w:val="00113412"/>
    <w:rsid w:val="00114DD8"/>
    <w:rsid w:val="00115E40"/>
    <w:rsid w:val="00115FE9"/>
    <w:rsid w:val="00116C4B"/>
    <w:rsid w:val="00121E98"/>
    <w:rsid w:val="00122F53"/>
    <w:rsid w:val="00123D4F"/>
    <w:rsid w:val="00126CD8"/>
    <w:rsid w:val="00130EED"/>
    <w:rsid w:val="001318CF"/>
    <w:rsid w:val="0013313E"/>
    <w:rsid w:val="00135D16"/>
    <w:rsid w:val="001405FA"/>
    <w:rsid w:val="001423E8"/>
    <w:rsid w:val="00142726"/>
    <w:rsid w:val="00143A07"/>
    <w:rsid w:val="0014406D"/>
    <w:rsid w:val="00147326"/>
    <w:rsid w:val="001477E0"/>
    <w:rsid w:val="001478A4"/>
    <w:rsid w:val="0015184C"/>
    <w:rsid w:val="00152E85"/>
    <w:rsid w:val="00154E87"/>
    <w:rsid w:val="00155971"/>
    <w:rsid w:val="001559D5"/>
    <w:rsid w:val="00156956"/>
    <w:rsid w:val="00170A76"/>
    <w:rsid w:val="00171482"/>
    <w:rsid w:val="001776D1"/>
    <w:rsid w:val="00184554"/>
    <w:rsid w:val="00184F4C"/>
    <w:rsid w:val="001872EC"/>
    <w:rsid w:val="00190D4E"/>
    <w:rsid w:val="00191DBC"/>
    <w:rsid w:val="00192AD1"/>
    <w:rsid w:val="00196ADD"/>
    <w:rsid w:val="001A4CD3"/>
    <w:rsid w:val="001A5C09"/>
    <w:rsid w:val="001A6041"/>
    <w:rsid w:val="001B0953"/>
    <w:rsid w:val="001B1074"/>
    <w:rsid w:val="001B150F"/>
    <w:rsid w:val="001B51BE"/>
    <w:rsid w:val="001B5B31"/>
    <w:rsid w:val="001B77F3"/>
    <w:rsid w:val="001B7F44"/>
    <w:rsid w:val="001C09D9"/>
    <w:rsid w:val="001C2014"/>
    <w:rsid w:val="001C2B16"/>
    <w:rsid w:val="001C3631"/>
    <w:rsid w:val="001D0EB9"/>
    <w:rsid w:val="001D33A2"/>
    <w:rsid w:val="001E10E8"/>
    <w:rsid w:val="001E12CE"/>
    <w:rsid w:val="001E18EF"/>
    <w:rsid w:val="001E2BD6"/>
    <w:rsid w:val="001E76F0"/>
    <w:rsid w:val="001E7CA2"/>
    <w:rsid w:val="001E7E39"/>
    <w:rsid w:val="001F0086"/>
    <w:rsid w:val="001F0952"/>
    <w:rsid w:val="001F2FF4"/>
    <w:rsid w:val="001F3848"/>
    <w:rsid w:val="001F3DC3"/>
    <w:rsid w:val="001F587F"/>
    <w:rsid w:val="001F6634"/>
    <w:rsid w:val="0020017A"/>
    <w:rsid w:val="00201302"/>
    <w:rsid w:val="002051F9"/>
    <w:rsid w:val="00205AF2"/>
    <w:rsid w:val="0020663F"/>
    <w:rsid w:val="00207A91"/>
    <w:rsid w:val="00210E25"/>
    <w:rsid w:val="00212161"/>
    <w:rsid w:val="0021479B"/>
    <w:rsid w:val="002177DC"/>
    <w:rsid w:val="0022303D"/>
    <w:rsid w:val="00223EEB"/>
    <w:rsid w:val="002244C7"/>
    <w:rsid w:val="00225DED"/>
    <w:rsid w:val="002278BD"/>
    <w:rsid w:val="00227BC5"/>
    <w:rsid w:val="00231E55"/>
    <w:rsid w:val="00232987"/>
    <w:rsid w:val="0023517A"/>
    <w:rsid w:val="002378E5"/>
    <w:rsid w:val="0024137C"/>
    <w:rsid w:val="002425D6"/>
    <w:rsid w:val="00244C00"/>
    <w:rsid w:val="00246372"/>
    <w:rsid w:val="002505A6"/>
    <w:rsid w:val="0025158C"/>
    <w:rsid w:val="00254904"/>
    <w:rsid w:val="00262AF1"/>
    <w:rsid w:val="00263E6E"/>
    <w:rsid w:val="0026418F"/>
    <w:rsid w:val="0026450A"/>
    <w:rsid w:val="00267A80"/>
    <w:rsid w:val="002709A8"/>
    <w:rsid w:val="00273346"/>
    <w:rsid w:val="002746A1"/>
    <w:rsid w:val="00276D6D"/>
    <w:rsid w:val="002805D4"/>
    <w:rsid w:val="00282867"/>
    <w:rsid w:val="00284C24"/>
    <w:rsid w:val="00285DE2"/>
    <w:rsid w:val="002933B7"/>
    <w:rsid w:val="00293B10"/>
    <w:rsid w:val="002942A3"/>
    <w:rsid w:val="0029795C"/>
    <w:rsid w:val="002A0ED3"/>
    <w:rsid w:val="002A29E5"/>
    <w:rsid w:val="002A758C"/>
    <w:rsid w:val="002B0948"/>
    <w:rsid w:val="002B296E"/>
    <w:rsid w:val="002B5C22"/>
    <w:rsid w:val="002B6F9C"/>
    <w:rsid w:val="002C3F0A"/>
    <w:rsid w:val="002C3FC4"/>
    <w:rsid w:val="002C500F"/>
    <w:rsid w:val="002D2996"/>
    <w:rsid w:val="002D4DB4"/>
    <w:rsid w:val="002D5EB6"/>
    <w:rsid w:val="002D67D0"/>
    <w:rsid w:val="002E1005"/>
    <w:rsid w:val="002E6F35"/>
    <w:rsid w:val="002F019C"/>
    <w:rsid w:val="002F218D"/>
    <w:rsid w:val="002F3F2C"/>
    <w:rsid w:val="002F4FC9"/>
    <w:rsid w:val="002F7BA0"/>
    <w:rsid w:val="00305131"/>
    <w:rsid w:val="003075D2"/>
    <w:rsid w:val="00307991"/>
    <w:rsid w:val="00311E94"/>
    <w:rsid w:val="00315035"/>
    <w:rsid w:val="0031695C"/>
    <w:rsid w:val="00317044"/>
    <w:rsid w:val="00321622"/>
    <w:rsid w:val="0032311B"/>
    <w:rsid w:val="00323813"/>
    <w:rsid w:val="00324CB2"/>
    <w:rsid w:val="00331FE7"/>
    <w:rsid w:val="00334D55"/>
    <w:rsid w:val="00335A76"/>
    <w:rsid w:val="00340524"/>
    <w:rsid w:val="00342876"/>
    <w:rsid w:val="0034457F"/>
    <w:rsid w:val="00345849"/>
    <w:rsid w:val="00347ADA"/>
    <w:rsid w:val="003553CD"/>
    <w:rsid w:val="00356426"/>
    <w:rsid w:val="00356A28"/>
    <w:rsid w:val="00362CA7"/>
    <w:rsid w:val="0036622C"/>
    <w:rsid w:val="003706DD"/>
    <w:rsid w:val="0037109F"/>
    <w:rsid w:val="00372805"/>
    <w:rsid w:val="00372E27"/>
    <w:rsid w:val="00373CC6"/>
    <w:rsid w:val="00376180"/>
    <w:rsid w:val="00376EF5"/>
    <w:rsid w:val="003802A7"/>
    <w:rsid w:val="003811DD"/>
    <w:rsid w:val="00384539"/>
    <w:rsid w:val="00386271"/>
    <w:rsid w:val="003876BD"/>
    <w:rsid w:val="00387C79"/>
    <w:rsid w:val="00391E72"/>
    <w:rsid w:val="003936FB"/>
    <w:rsid w:val="003938DE"/>
    <w:rsid w:val="00395B93"/>
    <w:rsid w:val="003977F7"/>
    <w:rsid w:val="003A283F"/>
    <w:rsid w:val="003A5619"/>
    <w:rsid w:val="003A6825"/>
    <w:rsid w:val="003B1124"/>
    <w:rsid w:val="003B2CDB"/>
    <w:rsid w:val="003B2D06"/>
    <w:rsid w:val="003B3F59"/>
    <w:rsid w:val="003C7B60"/>
    <w:rsid w:val="003D016D"/>
    <w:rsid w:val="003E1A20"/>
    <w:rsid w:val="003E3A5C"/>
    <w:rsid w:val="003E3CEC"/>
    <w:rsid w:val="003F0736"/>
    <w:rsid w:val="003F0EBF"/>
    <w:rsid w:val="003F1B3F"/>
    <w:rsid w:val="003F385B"/>
    <w:rsid w:val="003F3E0E"/>
    <w:rsid w:val="003F3FB9"/>
    <w:rsid w:val="003F5EFA"/>
    <w:rsid w:val="003F5F84"/>
    <w:rsid w:val="003F6980"/>
    <w:rsid w:val="003F6F74"/>
    <w:rsid w:val="0040232B"/>
    <w:rsid w:val="00411AD4"/>
    <w:rsid w:val="004155CD"/>
    <w:rsid w:val="0041767A"/>
    <w:rsid w:val="004208A5"/>
    <w:rsid w:val="00420DE3"/>
    <w:rsid w:val="0042513B"/>
    <w:rsid w:val="004338D4"/>
    <w:rsid w:val="004340BA"/>
    <w:rsid w:val="00434434"/>
    <w:rsid w:val="00434C62"/>
    <w:rsid w:val="004370D7"/>
    <w:rsid w:val="00440482"/>
    <w:rsid w:val="004437AE"/>
    <w:rsid w:val="00444582"/>
    <w:rsid w:val="00446748"/>
    <w:rsid w:val="0045104F"/>
    <w:rsid w:val="004515EE"/>
    <w:rsid w:val="004519A1"/>
    <w:rsid w:val="00451D23"/>
    <w:rsid w:val="00460ABA"/>
    <w:rsid w:val="00460E5B"/>
    <w:rsid w:val="00463379"/>
    <w:rsid w:val="0046375D"/>
    <w:rsid w:val="00463D37"/>
    <w:rsid w:val="00471274"/>
    <w:rsid w:val="00471E81"/>
    <w:rsid w:val="00473EA5"/>
    <w:rsid w:val="0047463B"/>
    <w:rsid w:val="004747A0"/>
    <w:rsid w:val="00480F0D"/>
    <w:rsid w:val="00482482"/>
    <w:rsid w:val="00487E35"/>
    <w:rsid w:val="00492CAF"/>
    <w:rsid w:val="00493F5B"/>
    <w:rsid w:val="004A019E"/>
    <w:rsid w:val="004A19DD"/>
    <w:rsid w:val="004A20E5"/>
    <w:rsid w:val="004B294D"/>
    <w:rsid w:val="004B30D9"/>
    <w:rsid w:val="004B3548"/>
    <w:rsid w:val="004B3730"/>
    <w:rsid w:val="004B5FA8"/>
    <w:rsid w:val="004B6143"/>
    <w:rsid w:val="004C2208"/>
    <w:rsid w:val="004C3ADD"/>
    <w:rsid w:val="004C3E0E"/>
    <w:rsid w:val="004C44EC"/>
    <w:rsid w:val="004D1052"/>
    <w:rsid w:val="004D7F2E"/>
    <w:rsid w:val="004E00DC"/>
    <w:rsid w:val="004E0362"/>
    <w:rsid w:val="004E3FBD"/>
    <w:rsid w:val="004E5F98"/>
    <w:rsid w:val="004E714A"/>
    <w:rsid w:val="004E7B5C"/>
    <w:rsid w:val="004F29F5"/>
    <w:rsid w:val="004F7062"/>
    <w:rsid w:val="00500956"/>
    <w:rsid w:val="00501787"/>
    <w:rsid w:val="00501B5F"/>
    <w:rsid w:val="005038E9"/>
    <w:rsid w:val="00504893"/>
    <w:rsid w:val="00506897"/>
    <w:rsid w:val="005129E6"/>
    <w:rsid w:val="00513456"/>
    <w:rsid w:val="0051395D"/>
    <w:rsid w:val="00516147"/>
    <w:rsid w:val="0052007E"/>
    <w:rsid w:val="005252BE"/>
    <w:rsid w:val="00526A79"/>
    <w:rsid w:val="00532047"/>
    <w:rsid w:val="00532FBA"/>
    <w:rsid w:val="00535134"/>
    <w:rsid w:val="00536A0C"/>
    <w:rsid w:val="00537AA3"/>
    <w:rsid w:val="00537F1E"/>
    <w:rsid w:val="00540B12"/>
    <w:rsid w:val="00542681"/>
    <w:rsid w:val="005436FB"/>
    <w:rsid w:val="00543EBF"/>
    <w:rsid w:val="00545710"/>
    <w:rsid w:val="00546A86"/>
    <w:rsid w:val="00546E60"/>
    <w:rsid w:val="00552DE9"/>
    <w:rsid w:val="00553482"/>
    <w:rsid w:val="005537A7"/>
    <w:rsid w:val="005568B0"/>
    <w:rsid w:val="00557C1B"/>
    <w:rsid w:val="00563968"/>
    <w:rsid w:val="005668BA"/>
    <w:rsid w:val="00566A6A"/>
    <w:rsid w:val="00575109"/>
    <w:rsid w:val="005755D6"/>
    <w:rsid w:val="00576EAB"/>
    <w:rsid w:val="00581EE1"/>
    <w:rsid w:val="00582807"/>
    <w:rsid w:val="00582ECC"/>
    <w:rsid w:val="00582FA7"/>
    <w:rsid w:val="0058780A"/>
    <w:rsid w:val="00590EB6"/>
    <w:rsid w:val="00591BAF"/>
    <w:rsid w:val="00594D4B"/>
    <w:rsid w:val="00596152"/>
    <w:rsid w:val="005965FD"/>
    <w:rsid w:val="005A482C"/>
    <w:rsid w:val="005A6D72"/>
    <w:rsid w:val="005B1875"/>
    <w:rsid w:val="005B28C9"/>
    <w:rsid w:val="005B3AB8"/>
    <w:rsid w:val="005B749E"/>
    <w:rsid w:val="005B7B25"/>
    <w:rsid w:val="005C09EC"/>
    <w:rsid w:val="005C26DC"/>
    <w:rsid w:val="005C4B92"/>
    <w:rsid w:val="005C5083"/>
    <w:rsid w:val="005C5333"/>
    <w:rsid w:val="005C5ED0"/>
    <w:rsid w:val="005D1B8A"/>
    <w:rsid w:val="005D5EB2"/>
    <w:rsid w:val="005E24CF"/>
    <w:rsid w:val="005E27B2"/>
    <w:rsid w:val="005E513F"/>
    <w:rsid w:val="005E6307"/>
    <w:rsid w:val="005E7861"/>
    <w:rsid w:val="005F0ACD"/>
    <w:rsid w:val="005F0B55"/>
    <w:rsid w:val="005F1D5B"/>
    <w:rsid w:val="005F378B"/>
    <w:rsid w:val="005F4CF2"/>
    <w:rsid w:val="00603B6D"/>
    <w:rsid w:val="00604DC0"/>
    <w:rsid w:val="00607011"/>
    <w:rsid w:val="006137B4"/>
    <w:rsid w:val="00613CE9"/>
    <w:rsid w:val="00622334"/>
    <w:rsid w:val="006279EE"/>
    <w:rsid w:val="0063107F"/>
    <w:rsid w:val="00631EC8"/>
    <w:rsid w:val="006322DC"/>
    <w:rsid w:val="006331E8"/>
    <w:rsid w:val="00633C10"/>
    <w:rsid w:val="00634CA8"/>
    <w:rsid w:val="00634D11"/>
    <w:rsid w:val="006357F8"/>
    <w:rsid w:val="00636B59"/>
    <w:rsid w:val="0063769B"/>
    <w:rsid w:val="00637C05"/>
    <w:rsid w:val="006416BE"/>
    <w:rsid w:val="00650F5B"/>
    <w:rsid w:val="006529BC"/>
    <w:rsid w:val="00652E82"/>
    <w:rsid w:val="006530D0"/>
    <w:rsid w:val="0065516B"/>
    <w:rsid w:val="00662335"/>
    <w:rsid w:val="0066606D"/>
    <w:rsid w:val="00666B5D"/>
    <w:rsid w:val="0067242A"/>
    <w:rsid w:val="00673CED"/>
    <w:rsid w:val="00674722"/>
    <w:rsid w:val="006749FE"/>
    <w:rsid w:val="006801A9"/>
    <w:rsid w:val="00681D73"/>
    <w:rsid w:val="006821DB"/>
    <w:rsid w:val="00684C4D"/>
    <w:rsid w:val="00691817"/>
    <w:rsid w:val="0069374B"/>
    <w:rsid w:val="00696FD7"/>
    <w:rsid w:val="006A5F3A"/>
    <w:rsid w:val="006A6F0A"/>
    <w:rsid w:val="006B00E1"/>
    <w:rsid w:val="006B1578"/>
    <w:rsid w:val="006B6920"/>
    <w:rsid w:val="006B6BCB"/>
    <w:rsid w:val="006C01D1"/>
    <w:rsid w:val="006C13B8"/>
    <w:rsid w:val="006C5B1E"/>
    <w:rsid w:val="006C5C51"/>
    <w:rsid w:val="006C5CD4"/>
    <w:rsid w:val="006D4663"/>
    <w:rsid w:val="006D5BEC"/>
    <w:rsid w:val="006D6273"/>
    <w:rsid w:val="006F3A9D"/>
    <w:rsid w:val="006F6AAD"/>
    <w:rsid w:val="006F77AA"/>
    <w:rsid w:val="00701EE1"/>
    <w:rsid w:val="00702DD5"/>
    <w:rsid w:val="007037E0"/>
    <w:rsid w:val="00715EA0"/>
    <w:rsid w:val="00716DDE"/>
    <w:rsid w:val="00721211"/>
    <w:rsid w:val="0072143A"/>
    <w:rsid w:val="00722517"/>
    <w:rsid w:val="00722B3F"/>
    <w:rsid w:val="00725998"/>
    <w:rsid w:val="00725B12"/>
    <w:rsid w:val="007311C0"/>
    <w:rsid w:val="00731E2A"/>
    <w:rsid w:val="00734FD4"/>
    <w:rsid w:val="00740FDB"/>
    <w:rsid w:val="0074155C"/>
    <w:rsid w:val="00742715"/>
    <w:rsid w:val="0074419A"/>
    <w:rsid w:val="00744AC7"/>
    <w:rsid w:val="0074718B"/>
    <w:rsid w:val="00752F41"/>
    <w:rsid w:val="00755821"/>
    <w:rsid w:val="00756CF3"/>
    <w:rsid w:val="00760711"/>
    <w:rsid w:val="00764256"/>
    <w:rsid w:val="0076454F"/>
    <w:rsid w:val="00767B75"/>
    <w:rsid w:val="007700F8"/>
    <w:rsid w:val="007764F5"/>
    <w:rsid w:val="0078066F"/>
    <w:rsid w:val="0078157F"/>
    <w:rsid w:val="00781A4A"/>
    <w:rsid w:val="0079172F"/>
    <w:rsid w:val="00791C67"/>
    <w:rsid w:val="00793C07"/>
    <w:rsid w:val="007941DC"/>
    <w:rsid w:val="00794DAC"/>
    <w:rsid w:val="007958AE"/>
    <w:rsid w:val="0079703B"/>
    <w:rsid w:val="0079727B"/>
    <w:rsid w:val="007A0D34"/>
    <w:rsid w:val="007A5852"/>
    <w:rsid w:val="007A5F9B"/>
    <w:rsid w:val="007A7C7A"/>
    <w:rsid w:val="007B6A73"/>
    <w:rsid w:val="007C175B"/>
    <w:rsid w:val="007C3FAA"/>
    <w:rsid w:val="007D3AB6"/>
    <w:rsid w:val="007D4637"/>
    <w:rsid w:val="007D4C6C"/>
    <w:rsid w:val="007D569A"/>
    <w:rsid w:val="007D64F6"/>
    <w:rsid w:val="007D7F8F"/>
    <w:rsid w:val="007E4C94"/>
    <w:rsid w:val="007E5F04"/>
    <w:rsid w:val="007F2B36"/>
    <w:rsid w:val="007F2C2A"/>
    <w:rsid w:val="007F360E"/>
    <w:rsid w:val="007F4A22"/>
    <w:rsid w:val="007F5365"/>
    <w:rsid w:val="00800B76"/>
    <w:rsid w:val="00812DDE"/>
    <w:rsid w:val="008140E8"/>
    <w:rsid w:val="00815186"/>
    <w:rsid w:val="00816199"/>
    <w:rsid w:val="00816284"/>
    <w:rsid w:val="00817DB8"/>
    <w:rsid w:val="008223B6"/>
    <w:rsid w:val="008234AD"/>
    <w:rsid w:val="00824D57"/>
    <w:rsid w:val="00830E2C"/>
    <w:rsid w:val="00831A8D"/>
    <w:rsid w:val="00835FB6"/>
    <w:rsid w:val="008401DA"/>
    <w:rsid w:val="00844AC5"/>
    <w:rsid w:val="00845602"/>
    <w:rsid w:val="00846672"/>
    <w:rsid w:val="00847099"/>
    <w:rsid w:val="00853091"/>
    <w:rsid w:val="00861B0D"/>
    <w:rsid w:val="00864234"/>
    <w:rsid w:val="008642D5"/>
    <w:rsid w:val="00865A6F"/>
    <w:rsid w:val="00867AC8"/>
    <w:rsid w:val="0087133C"/>
    <w:rsid w:val="00872B38"/>
    <w:rsid w:val="008801A3"/>
    <w:rsid w:val="00880599"/>
    <w:rsid w:val="00882212"/>
    <w:rsid w:val="00883AA8"/>
    <w:rsid w:val="008853B1"/>
    <w:rsid w:val="0088696D"/>
    <w:rsid w:val="00887858"/>
    <w:rsid w:val="00887B87"/>
    <w:rsid w:val="00890BC9"/>
    <w:rsid w:val="0089165B"/>
    <w:rsid w:val="008920BC"/>
    <w:rsid w:val="00893242"/>
    <w:rsid w:val="008944F3"/>
    <w:rsid w:val="008A06BA"/>
    <w:rsid w:val="008A06DF"/>
    <w:rsid w:val="008A2AD6"/>
    <w:rsid w:val="008A2E3D"/>
    <w:rsid w:val="008A2FC0"/>
    <w:rsid w:val="008A59E6"/>
    <w:rsid w:val="008A6F34"/>
    <w:rsid w:val="008B2078"/>
    <w:rsid w:val="008B5366"/>
    <w:rsid w:val="008C3CB6"/>
    <w:rsid w:val="008C4241"/>
    <w:rsid w:val="008C444B"/>
    <w:rsid w:val="008C60E7"/>
    <w:rsid w:val="008D1150"/>
    <w:rsid w:val="008D16DC"/>
    <w:rsid w:val="008D1E2F"/>
    <w:rsid w:val="008E1FB9"/>
    <w:rsid w:val="008E3462"/>
    <w:rsid w:val="008E58D8"/>
    <w:rsid w:val="008E6A1B"/>
    <w:rsid w:val="008E6B4B"/>
    <w:rsid w:val="008F615A"/>
    <w:rsid w:val="008F6B49"/>
    <w:rsid w:val="0090150F"/>
    <w:rsid w:val="009025C1"/>
    <w:rsid w:val="009047BE"/>
    <w:rsid w:val="00904AF7"/>
    <w:rsid w:val="009059F6"/>
    <w:rsid w:val="00905EC4"/>
    <w:rsid w:val="00906E89"/>
    <w:rsid w:val="00914845"/>
    <w:rsid w:val="009159E1"/>
    <w:rsid w:val="00926143"/>
    <w:rsid w:val="0092669F"/>
    <w:rsid w:val="00932626"/>
    <w:rsid w:val="00937032"/>
    <w:rsid w:val="00937148"/>
    <w:rsid w:val="00941419"/>
    <w:rsid w:val="00942353"/>
    <w:rsid w:val="009437A8"/>
    <w:rsid w:val="00946EFC"/>
    <w:rsid w:val="00946F9D"/>
    <w:rsid w:val="00952D54"/>
    <w:rsid w:val="00953043"/>
    <w:rsid w:val="00954CB2"/>
    <w:rsid w:val="00960804"/>
    <w:rsid w:val="00960E38"/>
    <w:rsid w:val="00967D3B"/>
    <w:rsid w:val="00970EA5"/>
    <w:rsid w:val="00971A55"/>
    <w:rsid w:val="00972180"/>
    <w:rsid w:val="00973CA7"/>
    <w:rsid w:val="0097679F"/>
    <w:rsid w:val="00984C36"/>
    <w:rsid w:val="00986108"/>
    <w:rsid w:val="00987D22"/>
    <w:rsid w:val="00991008"/>
    <w:rsid w:val="009929A4"/>
    <w:rsid w:val="009963B1"/>
    <w:rsid w:val="009A0EA8"/>
    <w:rsid w:val="009A1BDE"/>
    <w:rsid w:val="009A4B3F"/>
    <w:rsid w:val="009A7DA8"/>
    <w:rsid w:val="009B352B"/>
    <w:rsid w:val="009B39E3"/>
    <w:rsid w:val="009B5D6F"/>
    <w:rsid w:val="009C3B31"/>
    <w:rsid w:val="009C4A73"/>
    <w:rsid w:val="009C5CF6"/>
    <w:rsid w:val="009C75DB"/>
    <w:rsid w:val="009D062B"/>
    <w:rsid w:val="009D1E75"/>
    <w:rsid w:val="009D389A"/>
    <w:rsid w:val="009D61CA"/>
    <w:rsid w:val="009E3496"/>
    <w:rsid w:val="009E444A"/>
    <w:rsid w:val="009E44D1"/>
    <w:rsid w:val="009F0561"/>
    <w:rsid w:val="009F1C8C"/>
    <w:rsid w:val="009F249A"/>
    <w:rsid w:val="009F6A79"/>
    <w:rsid w:val="00A00532"/>
    <w:rsid w:val="00A027FE"/>
    <w:rsid w:val="00A049ED"/>
    <w:rsid w:val="00A13FD3"/>
    <w:rsid w:val="00A15662"/>
    <w:rsid w:val="00A15B4D"/>
    <w:rsid w:val="00A17A05"/>
    <w:rsid w:val="00A201BA"/>
    <w:rsid w:val="00A20B5D"/>
    <w:rsid w:val="00A23F78"/>
    <w:rsid w:val="00A26C10"/>
    <w:rsid w:val="00A32364"/>
    <w:rsid w:val="00A32B12"/>
    <w:rsid w:val="00A332CD"/>
    <w:rsid w:val="00A33AC6"/>
    <w:rsid w:val="00A35840"/>
    <w:rsid w:val="00A43C61"/>
    <w:rsid w:val="00A44087"/>
    <w:rsid w:val="00A50064"/>
    <w:rsid w:val="00A50762"/>
    <w:rsid w:val="00A50EFB"/>
    <w:rsid w:val="00A51785"/>
    <w:rsid w:val="00A518CC"/>
    <w:rsid w:val="00A51DA0"/>
    <w:rsid w:val="00A52400"/>
    <w:rsid w:val="00A53AEC"/>
    <w:rsid w:val="00A5552F"/>
    <w:rsid w:val="00A557BC"/>
    <w:rsid w:val="00A57FA5"/>
    <w:rsid w:val="00A63D89"/>
    <w:rsid w:val="00A64913"/>
    <w:rsid w:val="00A66F56"/>
    <w:rsid w:val="00A70FB7"/>
    <w:rsid w:val="00A73159"/>
    <w:rsid w:val="00A90CAD"/>
    <w:rsid w:val="00A91710"/>
    <w:rsid w:val="00A921BD"/>
    <w:rsid w:val="00A925B1"/>
    <w:rsid w:val="00A92A0C"/>
    <w:rsid w:val="00A95ABA"/>
    <w:rsid w:val="00A96575"/>
    <w:rsid w:val="00AA1DA9"/>
    <w:rsid w:val="00AA3C1D"/>
    <w:rsid w:val="00AA470C"/>
    <w:rsid w:val="00AA6718"/>
    <w:rsid w:val="00AA733B"/>
    <w:rsid w:val="00AB0EAD"/>
    <w:rsid w:val="00AB2F6A"/>
    <w:rsid w:val="00AB686A"/>
    <w:rsid w:val="00AC108C"/>
    <w:rsid w:val="00AC1A00"/>
    <w:rsid w:val="00AC2AA0"/>
    <w:rsid w:val="00AC4E3E"/>
    <w:rsid w:val="00AD1041"/>
    <w:rsid w:val="00AD273D"/>
    <w:rsid w:val="00AD518D"/>
    <w:rsid w:val="00AD5200"/>
    <w:rsid w:val="00AD5F49"/>
    <w:rsid w:val="00AE19A1"/>
    <w:rsid w:val="00AE7D66"/>
    <w:rsid w:val="00AF0598"/>
    <w:rsid w:val="00AF15DE"/>
    <w:rsid w:val="00AF1826"/>
    <w:rsid w:val="00AF6FAC"/>
    <w:rsid w:val="00B00551"/>
    <w:rsid w:val="00B053A8"/>
    <w:rsid w:val="00B1021A"/>
    <w:rsid w:val="00B1504B"/>
    <w:rsid w:val="00B153BA"/>
    <w:rsid w:val="00B16372"/>
    <w:rsid w:val="00B16D72"/>
    <w:rsid w:val="00B176D7"/>
    <w:rsid w:val="00B200B5"/>
    <w:rsid w:val="00B20E1B"/>
    <w:rsid w:val="00B21432"/>
    <w:rsid w:val="00B232BF"/>
    <w:rsid w:val="00B246C8"/>
    <w:rsid w:val="00B2524F"/>
    <w:rsid w:val="00B2636C"/>
    <w:rsid w:val="00B26C75"/>
    <w:rsid w:val="00B31267"/>
    <w:rsid w:val="00B316F7"/>
    <w:rsid w:val="00B36C6F"/>
    <w:rsid w:val="00B44A67"/>
    <w:rsid w:val="00B45AD9"/>
    <w:rsid w:val="00B46B50"/>
    <w:rsid w:val="00B46F12"/>
    <w:rsid w:val="00B50FAF"/>
    <w:rsid w:val="00B56DC4"/>
    <w:rsid w:val="00B63EEA"/>
    <w:rsid w:val="00B64301"/>
    <w:rsid w:val="00B64CA6"/>
    <w:rsid w:val="00B64F0D"/>
    <w:rsid w:val="00B652C9"/>
    <w:rsid w:val="00B66291"/>
    <w:rsid w:val="00B6685C"/>
    <w:rsid w:val="00B67E44"/>
    <w:rsid w:val="00B70889"/>
    <w:rsid w:val="00B72209"/>
    <w:rsid w:val="00B723C4"/>
    <w:rsid w:val="00B73AEF"/>
    <w:rsid w:val="00B73D7A"/>
    <w:rsid w:val="00B759D9"/>
    <w:rsid w:val="00B75E35"/>
    <w:rsid w:val="00B762CF"/>
    <w:rsid w:val="00B8127D"/>
    <w:rsid w:val="00B8450A"/>
    <w:rsid w:val="00B94787"/>
    <w:rsid w:val="00B95FA8"/>
    <w:rsid w:val="00B96E1B"/>
    <w:rsid w:val="00B97368"/>
    <w:rsid w:val="00B97861"/>
    <w:rsid w:val="00B97CCE"/>
    <w:rsid w:val="00BA0C36"/>
    <w:rsid w:val="00BB22AB"/>
    <w:rsid w:val="00BB4B9A"/>
    <w:rsid w:val="00BB5734"/>
    <w:rsid w:val="00BB612C"/>
    <w:rsid w:val="00BB61A5"/>
    <w:rsid w:val="00BB74E8"/>
    <w:rsid w:val="00BC2E32"/>
    <w:rsid w:val="00BC3A0B"/>
    <w:rsid w:val="00BC4919"/>
    <w:rsid w:val="00BC7592"/>
    <w:rsid w:val="00BC79A5"/>
    <w:rsid w:val="00BD00BC"/>
    <w:rsid w:val="00BD3394"/>
    <w:rsid w:val="00BD4173"/>
    <w:rsid w:val="00BD4618"/>
    <w:rsid w:val="00BD4F05"/>
    <w:rsid w:val="00BD69D0"/>
    <w:rsid w:val="00BD72CF"/>
    <w:rsid w:val="00BD7899"/>
    <w:rsid w:val="00BE3DF4"/>
    <w:rsid w:val="00BE6581"/>
    <w:rsid w:val="00BE7E28"/>
    <w:rsid w:val="00BF0E74"/>
    <w:rsid w:val="00BF3488"/>
    <w:rsid w:val="00BF55BD"/>
    <w:rsid w:val="00C02333"/>
    <w:rsid w:val="00C05D05"/>
    <w:rsid w:val="00C06DAA"/>
    <w:rsid w:val="00C14B6A"/>
    <w:rsid w:val="00C15825"/>
    <w:rsid w:val="00C169A3"/>
    <w:rsid w:val="00C20E8D"/>
    <w:rsid w:val="00C217C3"/>
    <w:rsid w:val="00C225A6"/>
    <w:rsid w:val="00C23C13"/>
    <w:rsid w:val="00C240A7"/>
    <w:rsid w:val="00C25258"/>
    <w:rsid w:val="00C255CE"/>
    <w:rsid w:val="00C27BEA"/>
    <w:rsid w:val="00C3712E"/>
    <w:rsid w:val="00C40B64"/>
    <w:rsid w:val="00C435E6"/>
    <w:rsid w:val="00C443E4"/>
    <w:rsid w:val="00C446EE"/>
    <w:rsid w:val="00C4660F"/>
    <w:rsid w:val="00C471AC"/>
    <w:rsid w:val="00C476C8"/>
    <w:rsid w:val="00C51754"/>
    <w:rsid w:val="00C51F32"/>
    <w:rsid w:val="00C547A9"/>
    <w:rsid w:val="00C56E41"/>
    <w:rsid w:val="00C57192"/>
    <w:rsid w:val="00C609D6"/>
    <w:rsid w:val="00C64BB6"/>
    <w:rsid w:val="00C67553"/>
    <w:rsid w:val="00C67EFD"/>
    <w:rsid w:val="00C705B3"/>
    <w:rsid w:val="00C719FB"/>
    <w:rsid w:val="00C71C81"/>
    <w:rsid w:val="00C71F2E"/>
    <w:rsid w:val="00C72BA4"/>
    <w:rsid w:val="00C7311A"/>
    <w:rsid w:val="00C778D5"/>
    <w:rsid w:val="00C803D0"/>
    <w:rsid w:val="00C80A7E"/>
    <w:rsid w:val="00C85D36"/>
    <w:rsid w:val="00C867A5"/>
    <w:rsid w:val="00C86A3C"/>
    <w:rsid w:val="00C86FA4"/>
    <w:rsid w:val="00C87D50"/>
    <w:rsid w:val="00C90586"/>
    <w:rsid w:val="00C9432C"/>
    <w:rsid w:val="00C95401"/>
    <w:rsid w:val="00CA6AFC"/>
    <w:rsid w:val="00CA717E"/>
    <w:rsid w:val="00CB1580"/>
    <w:rsid w:val="00CB2684"/>
    <w:rsid w:val="00CB327E"/>
    <w:rsid w:val="00CB4CF4"/>
    <w:rsid w:val="00CB6D8B"/>
    <w:rsid w:val="00CB757F"/>
    <w:rsid w:val="00CB7714"/>
    <w:rsid w:val="00CB7888"/>
    <w:rsid w:val="00CC0D34"/>
    <w:rsid w:val="00CC1F52"/>
    <w:rsid w:val="00CC3CEC"/>
    <w:rsid w:val="00CC5650"/>
    <w:rsid w:val="00CC601E"/>
    <w:rsid w:val="00CD0810"/>
    <w:rsid w:val="00CD0871"/>
    <w:rsid w:val="00CD15AC"/>
    <w:rsid w:val="00CD16EF"/>
    <w:rsid w:val="00CD6E04"/>
    <w:rsid w:val="00CE0038"/>
    <w:rsid w:val="00CE00DF"/>
    <w:rsid w:val="00CE0EE9"/>
    <w:rsid w:val="00CE2815"/>
    <w:rsid w:val="00CE4363"/>
    <w:rsid w:val="00CE6145"/>
    <w:rsid w:val="00CE7493"/>
    <w:rsid w:val="00CF1384"/>
    <w:rsid w:val="00CF31A3"/>
    <w:rsid w:val="00CF5029"/>
    <w:rsid w:val="00D0005C"/>
    <w:rsid w:val="00D03E68"/>
    <w:rsid w:val="00D0649F"/>
    <w:rsid w:val="00D101DB"/>
    <w:rsid w:val="00D10EC7"/>
    <w:rsid w:val="00D14647"/>
    <w:rsid w:val="00D14DA8"/>
    <w:rsid w:val="00D152BD"/>
    <w:rsid w:val="00D1696C"/>
    <w:rsid w:val="00D173FA"/>
    <w:rsid w:val="00D17566"/>
    <w:rsid w:val="00D20765"/>
    <w:rsid w:val="00D20FE1"/>
    <w:rsid w:val="00D22980"/>
    <w:rsid w:val="00D251EF"/>
    <w:rsid w:val="00D25271"/>
    <w:rsid w:val="00D26AD1"/>
    <w:rsid w:val="00D27104"/>
    <w:rsid w:val="00D30143"/>
    <w:rsid w:val="00D31DD4"/>
    <w:rsid w:val="00D348B0"/>
    <w:rsid w:val="00D3713E"/>
    <w:rsid w:val="00D40793"/>
    <w:rsid w:val="00D436C6"/>
    <w:rsid w:val="00D463F3"/>
    <w:rsid w:val="00D47072"/>
    <w:rsid w:val="00D514DB"/>
    <w:rsid w:val="00D51D5A"/>
    <w:rsid w:val="00D526AB"/>
    <w:rsid w:val="00D54B44"/>
    <w:rsid w:val="00D558E1"/>
    <w:rsid w:val="00D57026"/>
    <w:rsid w:val="00D627C9"/>
    <w:rsid w:val="00D71828"/>
    <w:rsid w:val="00D800DA"/>
    <w:rsid w:val="00D8218E"/>
    <w:rsid w:val="00D8346E"/>
    <w:rsid w:val="00D86650"/>
    <w:rsid w:val="00D86D55"/>
    <w:rsid w:val="00D921FE"/>
    <w:rsid w:val="00D9496D"/>
    <w:rsid w:val="00D95BB3"/>
    <w:rsid w:val="00D97380"/>
    <w:rsid w:val="00DA044F"/>
    <w:rsid w:val="00DA105C"/>
    <w:rsid w:val="00DA2163"/>
    <w:rsid w:val="00DA28B2"/>
    <w:rsid w:val="00DA6C09"/>
    <w:rsid w:val="00DA6ECE"/>
    <w:rsid w:val="00DA7095"/>
    <w:rsid w:val="00DA72AF"/>
    <w:rsid w:val="00DB223F"/>
    <w:rsid w:val="00DB57BB"/>
    <w:rsid w:val="00DB6A83"/>
    <w:rsid w:val="00DC0B27"/>
    <w:rsid w:val="00DC3998"/>
    <w:rsid w:val="00DC4475"/>
    <w:rsid w:val="00DC5E9F"/>
    <w:rsid w:val="00DC7567"/>
    <w:rsid w:val="00DD645B"/>
    <w:rsid w:val="00DE1A22"/>
    <w:rsid w:val="00DE1CCA"/>
    <w:rsid w:val="00DE6729"/>
    <w:rsid w:val="00DE7E2D"/>
    <w:rsid w:val="00DF193F"/>
    <w:rsid w:val="00DF25E1"/>
    <w:rsid w:val="00DF3523"/>
    <w:rsid w:val="00E01458"/>
    <w:rsid w:val="00E0332B"/>
    <w:rsid w:val="00E036CD"/>
    <w:rsid w:val="00E049D9"/>
    <w:rsid w:val="00E07100"/>
    <w:rsid w:val="00E07FC2"/>
    <w:rsid w:val="00E10C3F"/>
    <w:rsid w:val="00E13124"/>
    <w:rsid w:val="00E153BB"/>
    <w:rsid w:val="00E21413"/>
    <w:rsid w:val="00E22D57"/>
    <w:rsid w:val="00E22EBC"/>
    <w:rsid w:val="00E251C7"/>
    <w:rsid w:val="00E278B7"/>
    <w:rsid w:val="00E30D44"/>
    <w:rsid w:val="00E329CC"/>
    <w:rsid w:val="00E37343"/>
    <w:rsid w:val="00E45FFA"/>
    <w:rsid w:val="00E50F9B"/>
    <w:rsid w:val="00E54396"/>
    <w:rsid w:val="00E5578E"/>
    <w:rsid w:val="00E604F1"/>
    <w:rsid w:val="00E61654"/>
    <w:rsid w:val="00E6680C"/>
    <w:rsid w:val="00E66C37"/>
    <w:rsid w:val="00E7270D"/>
    <w:rsid w:val="00E737A3"/>
    <w:rsid w:val="00E7592D"/>
    <w:rsid w:val="00E81AF6"/>
    <w:rsid w:val="00E826CD"/>
    <w:rsid w:val="00E843C6"/>
    <w:rsid w:val="00E85903"/>
    <w:rsid w:val="00E85964"/>
    <w:rsid w:val="00E85CA9"/>
    <w:rsid w:val="00E86560"/>
    <w:rsid w:val="00E86589"/>
    <w:rsid w:val="00E90411"/>
    <w:rsid w:val="00E90B57"/>
    <w:rsid w:val="00E90E77"/>
    <w:rsid w:val="00E91D47"/>
    <w:rsid w:val="00E950F7"/>
    <w:rsid w:val="00E9738B"/>
    <w:rsid w:val="00E97ED5"/>
    <w:rsid w:val="00EA2A02"/>
    <w:rsid w:val="00EA3FB7"/>
    <w:rsid w:val="00EA4881"/>
    <w:rsid w:val="00EA6339"/>
    <w:rsid w:val="00EB0F3C"/>
    <w:rsid w:val="00EB13A1"/>
    <w:rsid w:val="00EB1B29"/>
    <w:rsid w:val="00EB1F22"/>
    <w:rsid w:val="00EB4289"/>
    <w:rsid w:val="00EB5885"/>
    <w:rsid w:val="00EB6854"/>
    <w:rsid w:val="00EB75BE"/>
    <w:rsid w:val="00EC1352"/>
    <w:rsid w:val="00EC2549"/>
    <w:rsid w:val="00EC2883"/>
    <w:rsid w:val="00EC2BB5"/>
    <w:rsid w:val="00EC3810"/>
    <w:rsid w:val="00EC40A2"/>
    <w:rsid w:val="00EC4B4C"/>
    <w:rsid w:val="00EC4D83"/>
    <w:rsid w:val="00EC5F28"/>
    <w:rsid w:val="00EC69E5"/>
    <w:rsid w:val="00EE126C"/>
    <w:rsid w:val="00EE32ED"/>
    <w:rsid w:val="00EE7E2F"/>
    <w:rsid w:val="00EF31F9"/>
    <w:rsid w:val="00EF4E8F"/>
    <w:rsid w:val="00EF5AA6"/>
    <w:rsid w:val="00EF6661"/>
    <w:rsid w:val="00F02D10"/>
    <w:rsid w:val="00F0669D"/>
    <w:rsid w:val="00F07E14"/>
    <w:rsid w:val="00F10E50"/>
    <w:rsid w:val="00F211FE"/>
    <w:rsid w:val="00F224EF"/>
    <w:rsid w:val="00F234A7"/>
    <w:rsid w:val="00F238BB"/>
    <w:rsid w:val="00F2456F"/>
    <w:rsid w:val="00F261FD"/>
    <w:rsid w:val="00F27DDA"/>
    <w:rsid w:val="00F37F8A"/>
    <w:rsid w:val="00F42EDE"/>
    <w:rsid w:val="00F43EFC"/>
    <w:rsid w:val="00F446EB"/>
    <w:rsid w:val="00F46B36"/>
    <w:rsid w:val="00F47157"/>
    <w:rsid w:val="00F5336A"/>
    <w:rsid w:val="00F54C2B"/>
    <w:rsid w:val="00F567E7"/>
    <w:rsid w:val="00F571BE"/>
    <w:rsid w:val="00F5795E"/>
    <w:rsid w:val="00F57A49"/>
    <w:rsid w:val="00F61B76"/>
    <w:rsid w:val="00F643A2"/>
    <w:rsid w:val="00F643F2"/>
    <w:rsid w:val="00F65F03"/>
    <w:rsid w:val="00F6601D"/>
    <w:rsid w:val="00F673CB"/>
    <w:rsid w:val="00F67588"/>
    <w:rsid w:val="00F70F4B"/>
    <w:rsid w:val="00F72D0E"/>
    <w:rsid w:val="00F758CB"/>
    <w:rsid w:val="00F76A4D"/>
    <w:rsid w:val="00F8221A"/>
    <w:rsid w:val="00F87178"/>
    <w:rsid w:val="00F87390"/>
    <w:rsid w:val="00F90B59"/>
    <w:rsid w:val="00F91549"/>
    <w:rsid w:val="00F9208B"/>
    <w:rsid w:val="00F93EE8"/>
    <w:rsid w:val="00F943BD"/>
    <w:rsid w:val="00FA440F"/>
    <w:rsid w:val="00FA6888"/>
    <w:rsid w:val="00FB762C"/>
    <w:rsid w:val="00FC18D7"/>
    <w:rsid w:val="00FC6BE7"/>
    <w:rsid w:val="00FC7535"/>
    <w:rsid w:val="00FD0135"/>
    <w:rsid w:val="00FD028C"/>
    <w:rsid w:val="00FD2052"/>
    <w:rsid w:val="00FE0575"/>
    <w:rsid w:val="00FE26CC"/>
    <w:rsid w:val="00FE78A2"/>
    <w:rsid w:val="00FF3E28"/>
    <w:rsid w:val="00FF77D0"/>
    <w:rsid w:val="00FF7C8C"/>
    <w:rsid w:val="01415CD2"/>
    <w:rsid w:val="01DA23AF"/>
    <w:rsid w:val="025739FF"/>
    <w:rsid w:val="02581525"/>
    <w:rsid w:val="02971D9B"/>
    <w:rsid w:val="02B30143"/>
    <w:rsid w:val="037B5E49"/>
    <w:rsid w:val="040F20B8"/>
    <w:rsid w:val="04A120E1"/>
    <w:rsid w:val="04BF11F3"/>
    <w:rsid w:val="055408A9"/>
    <w:rsid w:val="05BC0BF8"/>
    <w:rsid w:val="05CF5FA2"/>
    <w:rsid w:val="060C467C"/>
    <w:rsid w:val="062A31D9"/>
    <w:rsid w:val="062F259D"/>
    <w:rsid w:val="063A028F"/>
    <w:rsid w:val="06565574"/>
    <w:rsid w:val="06654211"/>
    <w:rsid w:val="068C25DB"/>
    <w:rsid w:val="06AE79A3"/>
    <w:rsid w:val="06B47C7B"/>
    <w:rsid w:val="06D575E9"/>
    <w:rsid w:val="06EB2968"/>
    <w:rsid w:val="06ED4932"/>
    <w:rsid w:val="06F04C85"/>
    <w:rsid w:val="07106873"/>
    <w:rsid w:val="071C0D73"/>
    <w:rsid w:val="07504EC1"/>
    <w:rsid w:val="07835317"/>
    <w:rsid w:val="07856926"/>
    <w:rsid w:val="07CF735F"/>
    <w:rsid w:val="07EE41F1"/>
    <w:rsid w:val="080324F7"/>
    <w:rsid w:val="0805367D"/>
    <w:rsid w:val="082F13F4"/>
    <w:rsid w:val="08373B10"/>
    <w:rsid w:val="08381BDD"/>
    <w:rsid w:val="083D1CD8"/>
    <w:rsid w:val="085E6480"/>
    <w:rsid w:val="087516B5"/>
    <w:rsid w:val="08E16B89"/>
    <w:rsid w:val="093478C1"/>
    <w:rsid w:val="09A10A0F"/>
    <w:rsid w:val="0A1C72DC"/>
    <w:rsid w:val="0A947A52"/>
    <w:rsid w:val="0AC37758"/>
    <w:rsid w:val="0B154457"/>
    <w:rsid w:val="0B212DFC"/>
    <w:rsid w:val="0B3E2722"/>
    <w:rsid w:val="0B91507D"/>
    <w:rsid w:val="0BBA6DAD"/>
    <w:rsid w:val="0C27455C"/>
    <w:rsid w:val="0C610D37"/>
    <w:rsid w:val="0C8278CB"/>
    <w:rsid w:val="0CB642E9"/>
    <w:rsid w:val="0D0F2768"/>
    <w:rsid w:val="0D335780"/>
    <w:rsid w:val="0D82095F"/>
    <w:rsid w:val="0D8458C4"/>
    <w:rsid w:val="0DAD4E1B"/>
    <w:rsid w:val="0E1704E7"/>
    <w:rsid w:val="0EB628D0"/>
    <w:rsid w:val="0F030445"/>
    <w:rsid w:val="0F751969"/>
    <w:rsid w:val="0FDD1D3C"/>
    <w:rsid w:val="102B5847"/>
    <w:rsid w:val="10964BDC"/>
    <w:rsid w:val="10B169D0"/>
    <w:rsid w:val="10B72ECD"/>
    <w:rsid w:val="10B90864"/>
    <w:rsid w:val="10F90F82"/>
    <w:rsid w:val="111019FE"/>
    <w:rsid w:val="11627CCB"/>
    <w:rsid w:val="1279351E"/>
    <w:rsid w:val="1283393D"/>
    <w:rsid w:val="12A13FAF"/>
    <w:rsid w:val="130D3C66"/>
    <w:rsid w:val="133B4F81"/>
    <w:rsid w:val="134358DA"/>
    <w:rsid w:val="134C478E"/>
    <w:rsid w:val="13533D6F"/>
    <w:rsid w:val="13A9398F"/>
    <w:rsid w:val="13BF03CA"/>
    <w:rsid w:val="143851FF"/>
    <w:rsid w:val="148B578A"/>
    <w:rsid w:val="14943E0F"/>
    <w:rsid w:val="1510485B"/>
    <w:rsid w:val="151E215B"/>
    <w:rsid w:val="15853F88"/>
    <w:rsid w:val="16157E2D"/>
    <w:rsid w:val="16393F65"/>
    <w:rsid w:val="16435794"/>
    <w:rsid w:val="16866209"/>
    <w:rsid w:val="16E021B0"/>
    <w:rsid w:val="174727ED"/>
    <w:rsid w:val="175D29A3"/>
    <w:rsid w:val="17D66D1D"/>
    <w:rsid w:val="18294330"/>
    <w:rsid w:val="18312189"/>
    <w:rsid w:val="18517A73"/>
    <w:rsid w:val="18E31223"/>
    <w:rsid w:val="18F25DD8"/>
    <w:rsid w:val="1945415A"/>
    <w:rsid w:val="196C5B8A"/>
    <w:rsid w:val="199F50F2"/>
    <w:rsid w:val="19AC5F87"/>
    <w:rsid w:val="19CF7EC7"/>
    <w:rsid w:val="19D5786F"/>
    <w:rsid w:val="1A134258"/>
    <w:rsid w:val="1A27385F"/>
    <w:rsid w:val="1A396A26"/>
    <w:rsid w:val="1A3D3083"/>
    <w:rsid w:val="1A9D2818"/>
    <w:rsid w:val="1AB75623"/>
    <w:rsid w:val="1ABE298D"/>
    <w:rsid w:val="1B297ECA"/>
    <w:rsid w:val="1B754C1C"/>
    <w:rsid w:val="1B8C6F40"/>
    <w:rsid w:val="1BA91321"/>
    <w:rsid w:val="1C140FA2"/>
    <w:rsid w:val="1C422BD3"/>
    <w:rsid w:val="1C4C57FF"/>
    <w:rsid w:val="1C56667E"/>
    <w:rsid w:val="1C607754"/>
    <w:rsid w:val="1CA266AD"/>
    <w:rsid w:val="1CE27F12"/>
    <w:rsid w:val="1CF75746"/>
    <w:rsid w:val="1D686669"/>
    <w:rsid w:val="1DAC1F34"/>
    <w:rsid w:val="1DD82FFB"/>
    <w:rsid w:val="1E432C51"/>
    <w:rsid w:val="1E4F15D7"/>
    <w:rsid w:val="1E571888"/>
    <w:rsid w:val="1E7E1F44"/>
    <w:rsid w:val="1EAD1FE0"/>
    <w:rsid w:val="1ECC7CDD"/>
    <w:rsid w:val="1EFA59E6"/>
    <w:rsid w:val="1F15650D"/>
    <w:rsid w:val="1F7B3932"/>
    <w:rsid w:val="1FD565CD"/>
    <w:rsid w:val="1FFB5111"/>
    <w:rsid w:val="200A7F1B"/>
    <w:rsid w:val="20DB53A4"/>
    <w:rsid w:val="20E650B5"/>
    <w:rsid w:val="210A78C1"/>
    <w:rsid w:val="211D0AE0"/>
    <w:rsid w:val="214D3DFF"/>
    <w:rsid w:val="215E2E47"/>
    <w:rsid w:val="217B429F"/>
    <w:rsid w:val="218277E0"/>
    <w:rsid w:val="2186530F"/>
    <w:rsid w:val="21AB2FC8"/>
    <w:rsid w:val="21F104B3"/>
    <w:rsid w:val="22552F34"/>
    <w:rsid w:val="22843E91"/>
    <w:rsid w:val="23256E5B"/>
    <w:rsid w:val="239A734A"/>
    <w:rsid w:val="23A943F2"/>
    <w:rsid w:val="23BF77F9"/>
    <w:rsid w:val="242F7EE0"/>
    <w:rsid w:val="243B244C"/>
    <w:rsid w:val="24A02B8C"/>
    <w:rsid w:val="24BD4AEE"/>
    <w:rsid w:val="25BF7042"/>
    <w:rsid w:val="25C26B32"/>
    <w:rsid w:val="25E8116C"/>
    <w:rsid w:val="26046FC6"/>
    <w:rsid w:val="262B0B7B"/>
    <w:rsid w:val="26372DC2"/>
    <w:rsid w:val="263E1924"/>
    <w:rsid w:val="26582864"/>
    <w:rsid w:val="270D0281"/>
    <w:rsid w:val="27430095"/>
    <w:rsid w:val="27677991"/>
    <w:rsid w:val="27EC23B7"/>
    <w:rsid w:val="280D2781"/>
    <w:rsid w:val="28680AD8"/>
    <w:rsid w:val="28715905"/>
    <w:rsid w:val="28BE14E7"/>
    <w:rsid w:val="28CD68E9"/>
    <w:rsid w:val="292D1901"/>
    <w:rsid w:val="29826EE0"/>
    <w:rsid w:val="2A23469B"/>
    <w:rsid w:val="2A7B2E88"/>
    <w:rsid w:val="2AAC55EE"/>
    <w:rsid w:val="2B1241D5"/>
    <w:rsid w:val="2B1E480B"/>
    <w:rsid w:val="2B3D1DC1"/>
    <w:rsid w:val="2B886128"/>
    <w:rsid w:val="2C023A0C"/>
    <w:rsid w:val="2C115FA8"/>
    <w:rsid w:val="2C475F3C"/>
    <w:rsid w:val="2CEB4BC0"/>
    <w:rsid w:val="2D0E31F8"/>
    <w:rsid w:val="2D170DFB"/>
    <w:rsid w:val="2D586C64"/>
    <w:rsid w:val="2D6B72D5"/>
    <w:rsid w:val="2D88240F"/>
    <w:rsid w:val="2DA51213"/>
    <w:rsid w:val="2DA67392"/>
    <w:rsid w:val="2DC076E4"/>
    <w:rsid w:val="2DCF1E6F"/>
    <w:rsid w:val="2E150147"/>
    <w:rsid w:val="2E4F4001"/>
    <w:rsid w:val="2EC857DA"/>
    <w:rsid w:val="2EF36F14"/>
    <w:rsid w:val="2F6057DD"/>
    <w:rsid w:val="2F980EA6"/>
    <w:rsid w:val="2FA17BFB"/>
    <w:rsid w:val="2FC841E5"/>
    <w:rsid w:val="2FFA56D7"/>
    <w:rsid w:val="300852DE"/>
    <w:rsid w:val="301B3177"/>
    <w:rsid w:val="303F76FD"/>
    <w:rsid w:val="30586CDF"/>
    <w:rsid w:val="31992E3D"/>
    <w:rsid w:val="319B502B"/>
    <w:rsid w:val="31E06CBE"/>
    <w:rsid w:val="32236BAB"/>
    <w:rsid w:val="3244289A"/>
    <w:rsid w:val="328651F9"/>
    <w:rsid w:val="32B97377"/>
    <w:rsid w:val="32BC21C9"/>
    <w:rsid w:val="32D17F26"/>
    <w:rsid w:val="33941B0E"/>
    <w:rsid w:val="33C91D38"/>
    <w:rsid w:val="33D96FC2"/>
    <w:rsid w:val="33F21BA4"/>
    <w:rsid w:val="34291934"/>
    <w:rsid w:val="348D06FD"/>
    <w:rsid w:val="34B34216"/>
    <w:rsid w:val="34CC177B"/>
    <w:rsid w:val="34DF325D"/>
    <w:rsid w:val="362E697F"/>
    <w:rsid w:val="362F1FC2"/>
    <w:rsid w:val="36AD0447"/>
    <w:rsid w:val="36CF4B1B"/>
    <w:rsid w:val="36F33C0B"/>
    <w:rsid w:val="37144761"/>
    <w:rsid w:val="375A6BCB"/>
    <w:rsid w:val="37813E56"/>
    <w:rsid w:val="37AB5678"/>
    <w:rsid w:val="37BB3520"/>
    <w:rsid w:val="37C24F6B"/>
    <w:rsid w:val="37D7173E"/>
    <w:rsid w:val="37F17D73"/>
    <w:rsid w:val="37FA3F1D"/>
    <w:rsid w:val="382F48C6"/>
    <w:rsid w:val="38312021"/>
    <w:rsid w:val="389A2BC9"/>
    <w:rsid w:val="38B817B4"/>
    <w:rsid w:val="38C05153"/>
    <w:rsid w:val="393B4A71"/>
    <w:rsid w:val="398E34A3"/>
    <w:rsid w:val="3A7E52C6"/>
    <w:rsid w:val="3A8F1281"/>
    <w:rsid w:val="3A9B5E78"/>
    <w:rsid w:val="3AAC1E33"/>
    <w:rsid w:val="3AB17F7A"/>
    <w:rsid w:val="3ACA22B9"/>
    <w:rsid w:val="3B0E58C7"/>
    <w:rsid w:val="3B304812"/>
    <w:rsid w:val="3B5210CF"/>
    <w:rsid w:val="3BCE7B87"/>
    <w:rsid w:val="3BD8175F"/>
    <w:rsid w:val="3C033730"/>
    <w:rsid w:val="3C2E4FEE"/>
    <w:rsid w:val="3C4D41CF"/>
    <w:rsid w:val="3C746980"/>
    <w:rsid w:val="3D406863"/>
    <w:rsid w:val="3DDF607B"/>
    <w:rsid w:val="3E260CC7"/>
    <w:rsid w:val="3EB968CD"/>
    <w:rsid w:val="3EF8229A"/>
    <w:rsid w:val="3F0F109B"/>
    <w:rsid w:val="3F3917BB"/>
    <w:rsid w:val="3F4435BF"/>
    <w:rsid w:val="3F446ADE"/>
    <w:rsid w:val="3F4563B2"/>
    <w:rsid w:val="40356427"/>
    <w:rsid w:val="40526902"/>
    <w:rsid w:val="40A35A86"/>
    <w:rsid w:val="40D93256"/>
    <w:rsid w:val="41281AE7"/>
    <w:rsid w:val="418961FE"/>
    <w:rsid w:val="41C2018E"/>
    <w:rsid w:val="42103A4A"/>
    <w:rsid w:val="42764E69"/>
    <w:rsid w:val="427D5E63"/>
    <w:rsid w:val="42805951"/>
    <w:rsid w:val="42D55C9F"/>
    <w:rsid w:val="43290586"/>
    <w:rsid w:val="434370AD"/>
    <w:rsid w:val="43702137"/>
    <w:rsid w:val="4416031D"/>
    <w:rsid w:val="44315157"/>
    <w:rsid w:val="447C67B9"/>
    <w:rsid w:val="447E374E"/>
    <w:rsid w:val="44B10046"/>
    <w:rsid w:val="44C04B5B"/>
    <w:rsid w:val="450811BF"/>
    <w:rsid w:val="452614AD"/>
    <w:rsid w:val="4542602E"/>
    <w:rsid w:val="45785DEB"/>
    <w:rsid w:val="45823E47"/>
    <w:rsid w:val="45C7169F"/>
    <w:rsid w:val="46084B6A"/>
    <w:rsid w:val="4613530C"/>
    <w:rsid w:val="468635AE"/>
    <w:rsid w:val="46B17C96"/>
    <w:rsid w:val="46B300A5"/>
    <w:rsid w:val="46B8390E"/>
    <w:rsid w:val="47120827"/>
    <w:rsid w:val="471E5E67"/>
    <w:rsid w:val="472E5C1A"/>
    <w:rsid w:val="47721D0E"/>
    <w:rsid w:val="47C754C6"/>
    <w:rsid w:val="47D71C0C"/>
    <w:rsid w:val="486E0FF2"/>
    <w:rsid w:val="486F44A0"/>
    <w:rsid w:val="48C447EC"/>
    <w:rsid w:val="4932465D"/>
    <w:rsid w:val="49534995"/>
    <w:rsid w:val="49680B13"/>
    <w:rsid w:val="498270B3"/>
    <w:rsid w:val="49D7054F"/>
    <w:rsid w:val="4A757163"/>
    <w:rsid w:val="4BA12BC2"/>
    <w:rsid w:val="4BB275BC"/>
    <w:rsid w:val="4BF06C84"/>
    <w:rsid w:val="4C0F7955"/>
    <w:rsid w:val="4C15710C"/>
    <w:rsid w:val="4C6C1422"/>
    <w:rsid w:val="4C7812B7"/>
    <w:rsid w:val="4CE2651F"/>
    <w:rsid w:val="4CEE068F"/>
    <w:rsid w:val="4D0553D3"/>
    <w:rsid w:val="4D346757"/>
    <w:rsid w:val="4D3B1D7F"/>
    <w:rsid w:val="4DE82A5F"/>
    <w:rsid w:val="4DEE4FE0"/>
    <w:rsid w:val="4E045131"/>
    <w:rsid w:val="4E402DC8"/>
    <w:rsid w:val="4E896D6E"/>
    <w:rsid w:val="4E9C50B5"/>
    <w:rsid w:val="4EDD03B5"/>
    <w:rsid w:val="4F955F9D"/>
    <w:rsid w:val="4FA93BA7"/>
    <w:rsid w:val="4FAC52CF"/>
    <w:rsid w:val="50170AF5"/>
    <w:rsid w:val="50487D45"/>
    <w:rsid w:val="50C30FDE"/>
    <w:rsid w:val="50C431DE"/>
    <w:rsid w:val="50F639B0"/>
    <w:rsid w:val="51121E6C"/>
    <w:rsid w:val="514C35D0"/>
    <w:rsid w:val="5176064D"/>
    <w:rsid w:val="51887260"/>
    <w:rsid w:val="52533F75"/>
    <w:rsid w:val="52C84ED8"/>
    <w:rsid w:val="52CA126A"/>
    <w:rsid w:val="52DB2E5E"/>
    <w:rsid w:val="52F13DE7"/>
    <w:rsid w:val="530103EA"/>
    <w:rsid w:val="531445C2"/>
    <w:rsid w:val="53650979"/>
    <w:rsid w:val="53A07C03"/>
    <w:rsid w:val="54006EBD"/>
    <w:rsid w:val="540208BE"/>
    <w:rsid w:val="540D4E72"/>
    <w:rsid w:val="542425E2"/>
    <w:rsid w:val="54D45DB6"/>
    <w:rsid w:val="550E3F9A"/>
    <w:rsid w:val="55766E6E"/>
    <w:rsid w:val="559B2D78"/>
    <w:rsid w:val="559B53B0"/>
    <w:rsid w:val="55B81234"/>
    <w:rsid w:val="55C135BF"/>
    <w:rsid w:val="55C261D3"/>
    <w:rsid w:val="55F1544B"/>
    <w:rsid w:val="55FE01DE"/>
    <w:rsid w:val="565F3711"/>
    <w:rsid w:val="567F7FA4"/>
    <w:rsid w:val="568252A1"/>
    <w:rsid w:val="56951575"/>
    <w:rsid w:val="56B17AF5"/>
    <w:rsid w:val="56D7393C"/>
    <w:rsid w:val="57656331"/>
    <w:rsid w:val="57672F12"/>
    <w:rsid w:val="57F16C7F"/>
    <w:rsid w:val="57F95B34"/>
    <w:rsid w:val="58E10F36"/>
    <w:rsid w:val="591075D9"/>
    <w:rsid w:val="592E180D"/>
    <w:rsid w:val="59361538"/>
    <w:rsid w:val="59BA5EBD"/>
    <w:rsid w:val="59CA6C37"/>
    <w:rsid w:val="59DD51A2"/>
    <w:rsid w:val="5A241C82"/>
    <w:rsid w:val="5A655703"/>
    <w:rsid w:val="5AC8016B"/>
    <w:rsid w:val="5ACD1DFE"/>
    <w:rsid w:val="5AD07020"/>
    <w:rsid w:val="5AE605F2"/>
    <w:rsid w:val="5AF1641D"/>
    <w:rsid w:val="5B204D10"/>
    <w:rsid w:val="5B2D7FCE"/>
    <w:rsid w:val="5CA93FCD"/>
    <w:rsid w:val="5D0631CD"/>
    <w:rsid w:val="5D3445F3"/>
    <w:rsid w:val="5E4717A2"/>
    <w:rsid w:val="5E487850"/>
    <w:rsid w:val="5E4A70E9"/>
    <w:rsid w:val="5E6A778C"/>
    <w:rsid w:val="5E8310B6"/>
    <w:rsid w:val="5EC310D2"/>
    <w:rsid w:val="5ED821DF"/>
    <w:rsid w:val="5EDB41E5"/>
    <w:rsid w:val="5F2B2A77"/>
    <w:rsid w:val="5F456359"/>
    <w:rsid w:val="5FD35B6B"/>
    <w:rsid w:val="5FDE3F8D"/>
    <w:rsid w:val="6023524B"/>
    <w:rsid w:val="60675D31"/>
    <w:rsid w:val="608F41B1"/>
    <w:rsid w:val="609A4358"/>
    <w:rsid w:val="612756CF"/>
    <w:rsid w:val="61665FE8"/>
    <w:rsid w:val="61AD7FEE"/>
    <w:rsid w:val="61B07C17"/>
    <w:rsid w:val="61BC56D7"/>
    <w:rsid w:val="622E7DF0"/>
    <w:rsid w:val="625E5246"/>
    <w:rsid w:val="62747816"/>
    <w:rsid w:val="62A3501A"/>
    <w:rsid w:val="62C21949"/>
    <w:rsid w:val="62C52A98"/>
    <w:rsid w:val="63382DD7"/>
    <w:rsid w:val="63C05E4E"/>
    <w:rsid w:val="64135D66"/>
    <w:rsid w:val="6445282D"/>
    <w:rsid w:val="64DA7491"/>
    <w:rsid w:val="64F127A8"/>
    <w:rsid w:val="652D4363"/>
    <w:rsid w:val="65BE5407"/>
    <w:rsid w:val="65CB6AD7"/>
    <w:rsid w:val="65E505B2"/>
    <w:rsid w:val="66444FD8"/>
    <w:rsid w:val="665F7EA6"/>
    <w:rsid w:val="67065B78"/>
    <w:rsid w:val="67310E46"/>
    <w:rsid w:val="674F751F"/>
    <w:rsid w:val="675D6C23"/>
    <w:rsid w:val="677243C5"/>
    <w:rsid w:val="67770DF9"/>
    <w:rsid w:val="67D77C40"/>
    <w:rsid w:val="67DA328C"/>
    <w:rsid w:val="681D46DD"/>
    <w:rsid w:val="686B2F0B"/>
    <w:rsid w:val="6881130A"/>
    <w:rsid w:val="68C06BF6"/>
    <w:rsid w:val="68E32614"/>
    <w:rsid w:val="69651231"/>
    <w:rsid w:val="696B1E57"/>
    <w:rsid w:val="698A2836"/>
    <w:rsid w:val="69913E34"/>
    <w:rsid w:val="69E0280F"/>
    <w:rsid w:val="6A99742E"/>
    <w:rsid w:val="6AF405C0"/>
    <w:rsid w:val="6B555802"/>
    <w:rsid w:val="6CE013DA"/>
    <w:rsid w:val="6CF5724A"/>
    <w:rsid w:val="6E14501E"/>
    <w:rsid w:val="6E971ED7"/>
    <w:rsid w:val="6EA27F90"/>
    <w:rsid w:val="6EB15DD3"/>
    <w:rsid w:val="6EC91D52"/>
    <w:rsid w:val="6ED07E1A"/>
    <w:rsid w:val="6EE85353"/>
    <w:rsid w:val="6EF32E85"/>
    <w:rsid w:val="6F417E36"/>
    <w:rsid w:val="6F7A7850"/>
    <w:rsid w:val="70375E2A"/>
    <w:rsid w:val="703D7D6C"/>
    <w:rsid w:val="704C2999"/>
    <w:rsid w:val="70AD75A8"/>
    <w:rsid w:val="70C87915"/>
    <w:rsid w:val="70CE05A3"/>
    <w:rsid w:val="71107D1F"/>
    <w:rsid w:val="711D5CF9"/>
    <w:rsid w:val="71213CDA"/>
    <w:rsid w:val="7130512A"/>
    <w:rsid w:val="71A50ADE"/>
    <w:rsid w:val="7204188A"/>
    <w:rsid w:val="729B4FAB"/>
    <w:rsid w:val="73DD5247"/>
    <w:rsid w:val="73EF2A80"/>
    <w:rsid w:val="742064CB"/>
    <w:rsid w:val="7476258E"/>
    <w:rsid w:val="748F01F5"/>
    <w:rsid w:val="74AB46FD"/>
    <w:rsid w:val="75357D54"/>
    <w:rsid w:val="755A5A0C"/>
    <w:rsid w:val="75AF2758"/>
    <w:rsid w:val="75C80BC8"/>
    <w:rsid w:val="75E44CC4"/>
    <w:rsid w:val="762A72B5"/>
    <w:rsid w:val="762B1157"/>
    <w:rsid w:val="768F16E6"/>
    <w:rsid w:val="76AD7DBE"/>
    <w:rsid w:val="76EE4427"/>
    <w:rsid w:val="770B6281"/>
    <w:rsid w:val="77183DD1"/>
    <w:rsid w:val="77F71C38"/>
    <w:rsid w:val="78003D06"/>
    <w:rsid w:val="78825E3B"/>
    <w:rsid w:val="78AA314A"/>
    <w:rsid w:val="78C25DA2"/>
    <w:rsid w:val="78CD0CE6"/>
    <w:rsid w:val="78FD6F1C"/>
    <w:rsid w:val="792A3948"/>
    <w:rsid w:val="79D07A75"/>
    <w:rsid w:val="79FB4704"/>
    <w:rsid w:val="7A1F0A71"/>
    <w:rsid w:val="7A3A5E0C"/>
    <w:rsid w:val="7A71379F"/>
    <w:rsid w:val="7AD141A1"/>
    <w:rsid w:val="7BC566B5"/>
    <w:rsid w:val="7BCE22CB"/>
    <w:rsid w:val="7D5F203D"/>
    <w:rsid w:val="7DCB394B"/>
    <w:rsid w:val="7DCC1471"/>
    <w:rsid w:val="7E70572F"/>
    <w:rsid w:val="7E7A031E"/>
    <w:rsid w:val="7EF40783"/>
    <w:rsid w:val="7F482D79"/>
    <w:rsid w:val="7F820039"/>
    <w:rsid w:val="7FCA6DEF"/>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7"/>
    <w:qFormat/>
    <w:uiPriority w:val="0"/>
    <w:pPr>
      <w:keepNext/>
      <w:keepLines/>
      <w:spacing w:before="340" w:afterLines="25" w:line="578" w:lineRule="auto"/>
      <w:outlineLvl w:val="0"/>
    </w:pPr>
    <w:rPr>
      <w:rFonts w:ascii="Arial" w:hAnsi="Arial" w:eastAsia="宋体" w:cs="Times New Roman"/>
      <w:b/>
      <w:bCs/>
      <w:kern w:val="44"/>
      <w:sz w:val="44"/>
      <w:szCs w:val="44"/>
    </w:rPr>
  </w:style>
  <w:style w:type="paragraph" w:styleId="5">
    <w:name w:val="heading 2"/>
    <w:basedOn w:val="1"/>
    <w:next w:val="1"/>
    <w:link w:val="4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7"/>
    <w:next w:val="1"/>
    <w:qFormat/>
    <w:uiPriority w:val="9"/>
    <w:pPr>
      <w:spacing w:before="260" w:after="260" w:line="240" w:lineRule="auto"/>
      <w:outlineLvl w:val="2"/>
    </w:pPr>
    <w:rPr>
      <w:rFonts w:ascii="宋体" w:hAnsi="宋体" w:eastAsia="宋体"/>
      <w:szCs w:val="32"/>
    </w:rPr>
  </w:style>
  <w:style w:type="paragraph" w:styleId="7">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b/>
      <w:bCs/>
      <w:sz w:val="24"/>
    </w:rPr>
  </w:style>
  <w:style w:type="paragraph" w:styleId="3">
    <w:name w:val="Body Text 2"/>
    <w:basedOn w:val="1"/>
    <w:qFormat/>
    <w:uiPriority w:val="0"/>
    <w:pPr>
      <w:spacing w:line="360" w:lineRule="auto"/>
    </w:pPr>
    <w:rPr>
      <w:sz w:val="24"/>
    </w:rPr>
  </w:style>
  <w:style w:type="paragraph" w:styleId="8">
    <w:name w:val="Normal Indent"/>
    <w:basedOn w:val="1"/>
    <w:qFormat/>
    <w:uiPriority w:val="0"/>
    <w:pPr>
      <w:ind w:firstLine="420"/>
    </w:pPr>
    <w:rPr>
      <w:szCs w:val="20"/>
    </w:rPr>
  </w:style>
  <w:style w:type="paragraph" w:styleId="9">
    <w:name w:val="Document Map"/>
    <w:basedOn w:val="1"/>
    <w:link w:val="39"/>
    <w:semiHidden/>
    <w:unhideWhenUsed/>
    <w:qFormat/>
    <w:uiPriority w:val="99"/>
    <w:rPr>
      <w:rFonts w:ascii="宋体" w:eastAsia="宋体"/>
      <w:sz w:val="18"/>
      <w:szCs w:val="18"/>
    </w:rPr>
  </w:style>
  <w:style w:type="paragraph" w:styleId="10">
    <w:name w:val="annotation text"/>
    <w:basedOn w:val="1"/>
    <w:link w:val="41"/>
    <w:semiHidden/>
    <w:unhideWhenUsed/>
    <w:qFormat/>
    <w:uiPriority w:val="99"/>
    <w:pPr>
      <w:jc w:val="left"/>
    </w:pPr>
  </w:style>
  <w:style w:type="paragraph" w:styleId="11">
    <w:name w:val="Block Text"/>
    <w:basedOn w:val="1"/>
    <w:qFormat/>
    <w:uiPriority w:val="0"/>
    <w:pPr>
      <w:tabs>
        <w:tab w:val="left" w:pos="426"/>
      </w:tabs>
      <w:spacing w:after="120"/>
      <w:ind w:left="1440" w:leftChars="700" w:right="1440" w:rightChars="700"/>
    </w:pPr>
  </w:style>
  <w:style w:type="paragraph" w:styleId="12">
    <w:name w:val="Balloon Text"/>
    <w:basedOn w:val="1"/>
    <w:link w:val="35"/>
    <w:semiHidden/>
    <w:unhideWhenUsed/>
    <w:qFormat/>
    <w:uiPriority w:val="99"/>
    <w:rPr>
      <w:sz w:val="18"/>
      <w:szCs w:val="18"/>
    </w:rPr>
  </w:style>
  <w:style w:type="paragraph" w:styleId="13">
    <w:name w:val="footer"/>
    <w:basedOn w:val="1"/>
    <w:link w:val="34"/>
    <w:unhideWhenUsed/>
    <w:qFormat/>
    <w:uiPriority w:val="99"/>
    <w:pPr>
      <w:tabs>
        <w:tab w:val="center" w:pos="4153"/>
        <w:tab w:val="right" w:pos="8306"/>
      </w:tabs>
      <w:snapToGrid w:val="0"/>
      <w:jc w:val="left"/>
    </w:pPr>
    <w:rPr>
      <w:sz w:val="18"/>
      <w:szCs w:val="18"/>
    </w:rPr>
  </w:style>
  <w:style w:type="paragraph" w:styleId="14">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link w:val="36"/>
    <w:qFormat/>
    <w:uiPriority w:val="99"/>
    <w:pPr>
      <w:widowControl/>
      <w:spacing w:before="100" w:beforeAutospacing="1" w:afterAutospacing="1"/>
      <w:jc w:val="left"/>
    </w:pPr>
    <w:rPr>
      <w:rFonts w:ascii="宋体" w:hAnsi="宋体"/>
      <w:sz w:val="24"/>
      <w:szCs w:val="24"/>
    </w:rPr>
  </w:style>
  <w:style w:type="paragraph" w:styleId="16">
    <w:name w:val="annotation subject"/>
    <w:basedOn w:val="10"/>
    <w:next w:val="10"/>
    <w:link w:val="43"/>
    <w:semiHidden/>
    <w:unhideWhenUsed/>
    <w:qFormat/>
    <w:uiPriority w:val="99"/>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bCs/>
    </w:rPr>
  </w:style>
  <w:style w:type="character" w:styleId="21">
    <w:name w:val="FollowedHyperlink"/>
    <w:basedOn w:val="19"/>
    <w:semiHidden/>
    <w:unhideWhenUsed/>
    <w:qFormat/>
    <w:uiPriority w:val="99"/>
    <w:rPr>
      <w:color w:val="800080" w:themeColor="followedHyperlink"/>
      <w:u w:val="single"/>
      <w14:textFill>
        <w14:solidFill>
          <w14:schemeClr w14:val="folHlink"/>
        </w14:solidFill>
      </w14:textFill>
    </w:rPr>
  </w:style>
  <w:style w:type="character" w:styleId="22">
    <w:name w:val="Emphasis"/>
    <w:basedOn w:val="19"/>
    <w:qFormat/>
    <w:uiPriority w:val="20"/>
    <w:rPr>
      <w:b/>
      <w:bCs/>
    </w:rPr>
  </w:style>
  <w:style w:type="character" w:styleId="23">
    <w:name w:val="HTML Definition"/>
    <w:basedOn w:val="19"/>
    <w:semiHidden/>
    <w:unhideWhenUsed/>
    <w:qFormat/>
    <w:uiPriority w:val="99"/>
  </w:style>
  <w:style w:type="character" w:styleId="24">
    <w:name w:val="HTML Typewriter"/>
    <w:basedOn w:val="19"/>
    <w:semiHidden/>
    <w:unhideWhenUsed/>
    <w:qFormat/>
    <w:uiPriority w:val="99"/>
    <w:rPr>
      <w:rFonts w:hint="default" w:ascii="monospace" w:hAnsi="monospace" w:eastAsia="monospace" w:cs="monospace"/>
      <w:vanish/>
      <w:sz w:val="20"/>
    </w:rPr>
  </w:style>
  <w:style w:type="character" w:styleId="25">
    <w:name w:val="HTML Acronym"/>
    <w:basedOn w:val="19"/>
    <w:semiHidden/>
    <w:unhideWhenUsed/>
    <w:qFormat/>
    <w:uiPriority w:val="99"/>
  </w:style>
  <w:style w:type="character" w:styleId="26">
    <w:name w:val="HTML Variable"/>
    <w:basedOn w:val="19"/>
    <w:semiHidden/>
    <w:unhideWhenUsed/>
    <w:qFormat/>
    <w:uiPriority w:val="99"/>
  </w:style>
  <w:style w:type="character" w:styleId="27">
    <w:name w:val="Hyperlink"/>
    <w:basedOn w:val="19"/>
    <w:unhideWhenUsed/>
    <w:qFormat/>
    <w:uiPriority w:val="99"/>
    <w:rPr>
      <w:color w:val="0000FF" w:themeColor="hyperlink"/>
      <w:u w:val="single"/>
      <w14:textFill>
        <w14:solidFill>
          <w14:schemeClr w14:val="hlink"/>
        </w14:solidFill>
      </w14:textFill>
    </w:rPr>
  </w:style>
  <w:style w:type="character" w:styleId="28">
    <w:name w:val="HTML Code"/>
    <w:basedOn w:val="19"/>
    <w:semiHidden/>
    <w:unhideWhenUsed/>
    <w:qFormat/>
    <w:uiPriority w:val="99"/>
    <w:rPr>
      <w:rFonts w:ascii="monospace" w:hAnsi="monospace" w:eastAsia="monospace" w:cs="monospace"/>
      <w:sz w:val="20"/>
    </w:rPr>
  </w:style>
  <w:style w:type="character" w:styleId="29">
    <w:name w:val="annotation reference"/>
    <w:basedOn w:val="19"/>
    <w:semiHidden/>
    <w:unhideWhenUsed/>
    <w:qFormat/>
    <w:uiPriority w:val="99"/>
    <w:rPr>
      <w:sz w:val="21"/>
      <w:szCs w:val="21"/>
    </w:rPr>
  </w:style>
  <w:style w:type="character" w:styleId="30">
    <w:name w:val="HTML Cite"/>
    <w:basedOn w:val="19"/>
    <w:semiHidden/>
    <w:unhideWhenUsed/>
    <w:qFormat/>
    <w:uiPriority w:val="99"/>
  </w:style>
  <w:style w:type="character" w:styleId="31">
    <w:name w:val="HTML Keyboard"/>
    <w:basedOn w:val="19"/>
    <w:semiHidden/>
    <w:unhideWhenUsed/>
    <w:qFormat/>
    <w:uiPriority w:val="99"/>
    <w:rPr>
      <w:rFonts w:hint="default" w:ascii="monospace" w:hAnsi="monospace" w:eastAsia="monospace" w:cs="monospace"/>
      <w:sz w:val="20"/>
    </w:rPr>
  </w:style>
  <w:style w:type="character" w:styleId="32">
    <w:name w:val="HTML Sample"/>
    <w:basedOn w:val="19"/>
    <w:semiHidden/>
    <w:unhideWhenUsed/>
    <w:qFormat/>
    <w:uiPriority w:val="99"/>
    <w:rPr>
      <w:rFonts w:hint="default" w:ascii="monospace" w:hAnsi="monospace" w:eastAsia="monospace" w:cs="monospace"/>
    </w:rPr>
  </w:style>
  <w:style w:type="character" w:customStyle="1" w:styleId="33">
    <w:name w:val="页眉 Char"/>
    <w:basedOn w:val="19"/>
    <w:link w:val="14"/>
    <w:semiHidden/>
    <w:qFormat/>
    <w:uiPriority w:val="99"/>
    <w:rPr>
      <w:sz w:val="18"/>
      <w:szCs w:val="18"/>
    </w:rPr>
  </w:style>
  <w:style w:type="character" w:customStyle="1" w:styleId="34">
    <w:name w:val="页脚 Char"/>
    <w:basedOn w:val="19"/>
    <w:link w:val="13"/>
    <w:qFormat/>
    <w:uiPriority w:val="99"/>
    <w:rPr>
      <w:sz w:val="18"/>
      <w:szCs w:val="18"/>
    </w:rPr>
  </w:style>
  <w:style w:type="character" w:customStyle="1" w:styleId="35">
    <w:name w:val="批注框文本 Char"/>
    <w:basedOn w:val="19"/>
    <w:link w:val="12"/>
    <w:semiHidden/>
    <w:qFormat/>
    <w:uiPriority w:val="99"/>
    <w:rPr>
      <w:sz w:val="18"/>
      <w:szCs w:val="18"/>
    </w:rPr>
  </w:style>
  <w:style w:type="character" w:customStyle="1" w:styleId="36">
    <w:name w:val="普通(网站) Char"/>
    <w:link w:val="15"/>
    <w:qFormat/>
    <w:uiPriority w:val="99"/>
    <w:rPr>
      <w:rFonts w:ascii="宋体" w:hAnsi="宋体"/>
      <w:sz w:val="24"/>
      <w:szCs w:val="24"/>
    </w:rPr>
  </w:style>
  <w:style w:type="character" w:customStyle="1" w:styleId="37">
    <w:name w:val="标题 1 Char"/>
    <w:basedOn w:val="19"/>
    <w:link w:val="4"/>
    <w:qFormat/>
    <w:uiPriority w:val="0"/>
    <w:rPr>
      <w:rFonts w:ascii="Arial" w:hAnsi="Arial" w:eastAsia="宋体" w:cs="Times New Roman"/>
      <w:b/>
      <w:bCs/>
      <w:kern w:val="44"/>
      <w:sz w:val="44"/>
      <w:szCs w:val="44"/>
    </w:rPr>
  </w:style>
  <w:style w:type="paragraph" w:styleId="38">
    <w:name w:val="List Paragraph"/>
    <w:basedOn w:val="1"/>
    <w:qFormat/>
    <w:uiPriority w:val="34"/>
    <w:pPr>
      <w:ind w:firstLine="420" w:firstLineChars="200"/>
    </w:pPr>
  </w:style>
  <w:style w:type="character" w:customStyle="1" w:styleId="39">
    <w:name w:val="文档结构图 Char"/>
    <w:basedOn w:val="19"/>
    <w:link w:val="9"/>
    <w:semiHidden/>
    <w:qFormat/>
    <w:uiPriority w:val="99"/>
    <w:rPr>
      <w:rFonts w:ascii="宋体" w:eastAsia="宋体"/>
      <w:sz w:val="18"/>
      <w:szCs w:val="18"/>
    </w:rPr>
  </w:style>
  <w:style w:type="character" w:customStyle="1" w:styleId="40">
    <w:name w:val="标题 2 Char"/>
    <w:basedOn w:val="19"/>
    <w:link w:val="5"/>
    <w:semiHidden/>
    <w:qFormat/>
    <w:uiPriority w:val="9"/>
    <w:rPr>
      <w:rFonts w:asciiTheme="majorHAnsi" w:hAnsiTheme="majorHAnsi" w:eastAsiaTheme="majorEastAsia" w:cstheme="majorBidi"/>
      <w:b/>
      <w:bCs/>
      <w:sz w:val="32"/>
      <w:szCs w:val="32"/>
    </w:rPr>
  </w:style>
  <w:style w:type="character" w:customStyle="1" w:styleId="41">
    <w:name w:val="批注文字 Char"/>
    <w:basedOn w:val="19"/>
    <w:link w:val="10"/>
    <w:semiHidden/>
    <w:qFormat/>
    <w:uiPriority w:val="99"/>
  </w:style>
  <w:style w:type="character" w:customStyle="1" w:styleId="42">
    <w:name w:val="标题 3 Char"/>
    <w:qFormat/>
    <w:uiPriority w:val="0"/>
    <w:rPr>
      <w:rFonts w:ascii="黑体" w:eastAsia="黑体"/>
      <w:bCs/>
      <w:sz w:val="30"/>
    </w:rPr>
  </w:style>
  <w:style w:type="character" w:customStyle="1" w:styleId="43">
    <w:name w:val="批注主题 Char"/>
    <w:basedOn w:val="41"/>
    <w:link w:val="16"/>
    <w:semiHidden/>
    <w:qFormat/>
    <w:uiPriority w:val="99"/>
    <w:rPr>
      <w:b/>
      <w:bCs/>
      <w:kern w:val="2"/>
      <w:sz w:val="21"/>
      <w:szCs w:val="22"/>
    </w:rPr>
  </w:style>
  <w:style w:type="table" w:customStyle="1" w:styleId="44">
    <w:name w:val="网格型1"/>
    <w:basedOn w:val="17"/>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5">
    <w:name w:val="hover"/>
    <w:basedOn w:val="19"/>
    <w:qFormat/>
    <w:uiPriority w:val="0"/>
    <w:rPr>
      <w:color w:val="2590EB"/>
    </w:rPr>
  </w:style>
  <w:style w:type="character" w:customStyle="1" w:styleId="46">
    <w:name w:val="hover1"/>
    <w:basedOn w:val="19"/>
    <w:qFormat/>
    <w:uiPriority w:val="0"/>
    <w:rPr>
      <w:color w:val="2590EB"/>
      <w:shd w:val="clear" w:fill="E9F4FD"/>
    </w:rPr>
  </w:style>
  <w:style w:type="character" w:customStyle="1" w:styleId="47">
    <w:name w:val="hover2"/>
    <w:basedOn w:val="19"/>
    <w:qFormat/>
    <w:uiPriority w:val="0"/>
    <w:rPr>
      <w:color w:val="2590EB"/>
    </w:rPr>
  </w:style>
  <w:style w:type="character" w:customStyle="1" w:styleId="48">
    <w:name w:val="hover3"/>
    <w:basedOn w:val="1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48</Pages>
  <Words>39621</Words>
  <Characters>41564</Characters>
  <Lines>316</Lines>
  <Paragraphs>89</Paragraphs>
  <TotalTime>10</TotalTime>
  <ScaleCrop>false</ScaleCrop>
  <LinksUpToDate>false</LinksUpToDate>
  <CharactersWithSpaces>42873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2021-03-03T00:56:00Z</dcterms:created>
  <dc:creator>win7-1</dc:creator>
  <cp:lastModifiedBy>DELL</cp:lastModifiedBy>
  <cp:lastPrinted>2021-01-15T01:17:00Z</cp:lastPrinted>
  <dcterms:modified xsi:type="dcterms:W3CDTF">2024-12-18T06:39:59Z</dcterms:modified>
  <cp:revision>708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F7A568B62AE34A8DBD72B9D8652C5037_13</vt:lpwstr>
  </property>
</Properties>
</file>