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8B0261">
      <w:pPr>
        <w:adjustRightInd w:val="0"/>
        <w:snapToGrid w:val="0"/>
        <w:spacing w:line="560" w:lineRule="exact"/>
        <w:jc w:val="center"/>
        <w:rPr>
          <w:rFonts w:hint="eastAsia" w:ascii="Times New Roman" w:hAnsi="Times New Roman" w:eastAsia="方正小标宋简体" w:cs="方正小标宋简体"/>
          <w:bCs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方正小标宋简体"/>
          <w:bCs/>
          <w:sz w:val="44"/>
          <w:szCs w:val="44"/>
          <w:highlight w:val="none"/>
          <w:lang w:val="en-US" w:eastAsia="zh-CN"/>
        </w:rPr>
        <w:t>龙岗区产服集团关于与杭州启盈云商科技</w:t>
      </w:r>
      <w:r>
        <w:rPr>
          <w:rFonts w:hint="eastAsia" w:ascii="Times New Roman" w:hAnsi="Times New Roman" w:eastAsia="方正小标宋简体" w:cs="方正小标宋简体"/>
          <w:bCs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组建</w:t>
      </w:r>
    </w:p>
    <w:p w14:paraId="481CBB30">
      <w:pPr>
        <w:adjustRightInd w:val="0"/>
        <w:snapToGrid w:val="0"/>
        <w:spacing w:line="560" w:lineRule="exact"/>
        <w:jc w:val="center"/>
        <w:rPr>
          <w:rFonts w:hint="eastAsia" w:ascii="Times New Roman" w:hAnsi="Times New Roman" w:eastAsia="方正小标宋简体" w:cs="方正小标宋简体"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bCs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合资公司</w:t>
      </w:r>
      <w:r>
        <w:rPr>
          <w:rFonts w:hint="eastAsia" w:ascii="Times New Roman" w:hAnsi="Times New Roman" w:eastAsia="方正小标宋简体" w:cs="方正小标宋简体"/>
          <w:bCs/>
          <w:sz w:val="44"/>
          <w:szCs w:val="44"/>
          <w:highlight w:val="none"/>
          <w:lang w:val="en-US" w:eastAsia="zh-CN"/>
        </w:rPr>
        <w:t>项目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  <w:lang w:val="en-US" w:eastAsia="zh-CN"/>
        </w:rPr>
        <w:t>可行性研究</w:t>
      </w:r>
      <w:r>
        <w:rPr>
          <w:rFonts w:hint="eastAsia" w:ascii="Times New Roman" w:hAnsi="Times New Roman" w:eastAsia="方正小标宋简体" w:cs="方正小标宋简体"/>
          <w:bCs/>
          <w:sz w:val="44"/>
          <w:szCs w:val="44"/>
          <w:highlight w:val="none"/>
          <w:lang w:val="en-US" w:eastAsia="zh-CN"/>
        </w:rPr>
        <w:t>服务采购公告</w:t>
      </w:r>
    </w:p>
    <w:p w14:paraId="422CE73F">
      <w:pPr>
        <w:spacing w:line="560" w:lineRule="exact"/>
        <w:ind w:firstLine="640" w:firstLineChars="200"/>
        <w:rPr>
          <w:rFonts w:ascii="Times New Roman" w:hAnsi="Times New Roman" w:eastAsia="黑体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</w:p>
    <w:p w14:paraId="5914FF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黑体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一、项目概况</w:t>
      </w:r>
    </w:p>
    <w:p w14:paraId="40F874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theme="minorBidi"/>
          <w:color w:val="000000" w:themeColor="text1"/>
          <w:kern w:val="2"/>
          <w:sz w:val="32"/>
          <w:szCs w:val="20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theme="minorBidi"/>
          <w:color w:val="000000" w:themeColor="text1"/>
          <w:kern w:val="2"/>
          <w:sz w:val="32"/>
          <w:szCs w:val="20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为深度融入龙岗区“All in AI”战略布局，创新园区产业服务模式，精准赋能全区OPC企业</w:t>
      </w:r>
      <w:bookmarkStart w:id="0" w:name="_GoBack"/>
      <w:bookmarkEnd w:id="0"/>
      <w:r>
        <w:rPr>
          <w:rFonts w:hint="eastAsia" w:ascii="Times New Roman" w:hAnsi="Times New Roman" w:eastAsia="仿宋_GB2312" w:cstheme="minorBidi"/>
          <w:color w:val="000000" w:themeColor="text1"/>
          <w:kern w:val="2"/>
          <w:sz w:val="32"/>
          <w:szCs w:val="20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培育壮大，区产服集团拟与杭州启盈云商科技组建合资公司，整合双方优势赋能区域数字经济与实体经济深度融合发展。我集团需研判成立合资公司可行性，故拟聘请第三方服务单位开展可行性研究。</w:t>
      </w:r>
    </w:p>
    <w:p w14:paraId="1D477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二、主要工作内容</w:t>
      </w:r>
    </w:p>
    <w:p w14:paraId="6D0382D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000000"/>
          <w:kern w:val="2"/>
          <w:sz w:val="32"/>
          <w:szCs w:val="32"/>
          <w:highlight w:val="none"/>
          <w:lang w:val="en-US" w:eastAsia="zh-CN" w:bidi="ar-SA"/>
        </w:rPr>
        <w:t>为科学评估成立合资公司的可行性，为项目决策与落地实施提供依据，可研报告主要研究内容如下：</w:t>
      </w:r>
    </w:p>
    <w:p w14:paraId="2212498F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000000"/>
          <w:kern w:val="2"/>
          <w:sz w:val="32"/>
          <w:szCs w:val="32"/>
          <w:highlight w:val="none"/>
          <w:lang w:val="en-US" w:eastAsia="zh-CN" w:bidi="ar-SA"/>
        </w:rPr>
        <w:t>合资公司市场可行性及成立的必要性分析。立足龙岗“All in AI”战略及 OPC产业培育政策导向，依托区产服集团企业服务职能开展产业调研，摸清OPC企业全生命周期发展痛点；研判数字经济、科创服务相关政策与行业趋势，对比区域同类服务平台供给缺口，论证项目市场空间；同时梳理合作双方资源禀赋，论证“国资赋能 + 市场化运营” 模式的协同价值，以及对于补齐龙岗区OPC服务短板、培育人工智能产业生态的现实意义。</w:t>
      </w:r>
    </w:p>
    <w:p w14:paraId="2E7CF0A0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000000"/>
          <w:kern w:val="2"/>
          <w:sz w:val="32"/>
          <w:szCs w:val="32"/>
          <w:highlight w:val="none"/>
          <w:lang w:val="en-US" w:eastAsia="zh-CN" w:bidi="ar-SA"/>
        </w:rPr>
        <w:t>合资公司商业模式研究论证。立足OPC企业核心发展诉求，针对性提出合资公司业务模块布局方案，打通服务供需链路；深入论证合资公司运营商业模式，梳理各项业务营收渠道与盈利模式，构建稳定可持续的商业闭环。</w:t>
      </w:r>
    </w:p>
    <w:p w14:paraId="3146C491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000000"/>
          <w:kern w:val="2"/>
          <w:sz w:val="32"/>
          <w:szCs w:val="32"/>
          <w:highlight w:val="none"/>
          <w:lang w:val="en-US" w:eastAsia="zh-CN" w:bidi="ar-SA"/>
        </w:rPr>
        <w:t>财务风险研判与综合效益评估。测算项目投资、收支及现金流，依托核心财务指标评估可持续经营能力。结合行业特点识别政策、市场、运营等各类风险并制定分级防控举措。综合研判项目价值，最终形成可行性结论，提出落地实施建议。</w:t>
      </w:r>
    </w:p>
    <w:p w14:paraId="70CEE4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黑体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三、采购上限价</w:t>
      </w:r>
    </w:p>
    <w:p w14:paraId="14885C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本次招标控制价为7.71</w:t>
      </w: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万元。</w:t>
      </w:r>
    </w:p>
    <w:p w14:paraId="447422F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黑体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theme="minorBidi"/>
          <w:color w:val="000000" w:themeColor="text1"/>
          <w:kern w:val="2"/>
          <w:sz w:val="32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Times New Roman" w:hAnsi="Times New Roman" w:eastAsia="黑体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报价要求</w:t>
      </w:r>
    </w:p>
    <w:p w14:paraId="7FF8EF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b/>
          <w:bCs/>
          <w:kern w:val="0"/>
          <w:sz w:val="24"/>
          <w:szCs w:val="20"/>
          <w:highlight w:val="none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投标单位根据报价清单在采购控制价下自行报价，超出控制价的为无效报价。</w:t>
      </w:r>
    </w:p>
    <w:p w14:paraId="4179B2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合同按含税总价包干，成交供应商的投标报价即为最终合同价</w:t>
      </w: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按照合同节点分阶段支付。</w:t>
      </w:r>
    </w:p>
    <w:p w14:paraId="619C39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黑体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Times New Roman" w:hAnsi="Times New Roman" w:eastAsia="黑体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、投标单位资</w:t>
      </w:r>
      <w:r>
        <w:rPr>
          <w:rFonts w:hint="eastAsia" w:ascii="Times New Roman" w:hAnsi="Times New Roman" w:eastAsia="黑体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信</w:t>
      </w:r>
      <w:r>
        <w:rPr>
          <w:rFonts w:hint="eastAsia" w:ascii="Times New Roman" w:hAnsi="Times New Roman" w:eastAsia="黑体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要求</w:t>
      </w:r>
    </w:p>
    <w:p w14:paraId="4603CC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20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20"/>
          <w:highlight w:val="none"/>
          <w:lang w:val="en-US" w:eastAsia="zh-CN" w:bidi="ar-SA"/>
        </w:rPr>
        <w:t>1.完成全国投资项目在线审批监管平台备案。</w:t>
      </w:r>
    </w:p>
    <w:p w14:paraId="23B6D00E">
      <w:pPr>
        <w:pStyle w:val="2"/>
        <w:rPr>
          <w:rFonts w:hint="default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32"/>
          <w:szCs w:val="20"/>
          <w:highlight w:val="none"/>
          <w:lang w:val="en-US" w:eastAsia="zh-CN" w:bidi="ar-SA"/>
        </w:rPr>
        <w:t>2.</w:t>
      </w:r>
      <w:r>
        <w:rPr>
          <w:rFonts w:hint="eastAsia"/>
          <w:lang w:val="en-US" w:eastAsia="zh-CN"/>
        </w:rPr>
        <w:t>具备工程咨询单位资信证书。</w:t>
      </w:r>
    </w:p>
    <w:p w14:paraId="5FB0FC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黑体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Times New Roman" w:hAnsi="Times New Roman" w:eastAsia="黑体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、评审方法</w:t>
      </w:r>
    </w:p>
    <w:p w14:paraId="1F1E7B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综合评分法（见附件</w:t>
      </w: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37775E05">
      <w:pPr>
        <w:pStyle w:val="2"/>
        <w:keepNext w:val="0"/>
        <w:keepLines w:val="0"/>
        <w:pageBreakBefore w:val="0"/>
        <w:tabs>
          <w:tab w:val="left" w:pos="4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Times New Roman" w:hAnsi="Times New Roman" w:eastAsia="黑体"/>
          <w:color w:val="000000" w:themeColor="text1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/>
          <w:color w:val="000000" w:themeColor="text1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="Times New Roman" w:hAnsi="Times New Roman" w:eastAsia="黑体"/>
          <w:color w:val="000000" w:themeColor="text1"/>
          <w:szCs w:val="24"/>
          <w:highlight w:val="none"/>
          <w14:textFill>
            <w14:solidFill>
              <w14:schemeClr w14:val="tx1"/>
            </w14:solidFill>
          </w14:textFill>
        </w:rPr>
        <w:t>、服务酬劳的支付</w:t>
      </w:r>
    </w:p>
    <w:p w14:paraId="33CC83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合同签订后，根据合同价，分项、分阶段支付费用，本合同价款分</w:t>
      </w: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期付款：</w:t>
      </w:r>
    </w:p>
    <w:p w14:paraId="6AF9F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000000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color w:val="000000"/>
          <w:sz w:val="32"/>
          <w:highlight w:val="none"/>
        </w:rPr>
        <w:t>首期</w:t>
      </w:r>
      <w:r>
        <w:rPr>
          <w:rFonts w:hint="eastAsia" w:ascii="Times New Roman" w:hAnsi="Times New Roman" w:eastAsia="仿宋_GB2312"/>
          <w:color w:val="000000"/>
          <w:sz w:val="32"/>
          <w:highlight w:val="none"/>
          <w:lang w:val="en-US" w:eastAsia="zh-CN"/>
        </w:rPr>
        <w:t>：签订合同后支付合同款的20%。</w:t>
      </w:r>
    </w:p>
    <w:p w14:paraId="764B6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000000"/>
          <w:sz w:val="32"/>
          <w:highlight w:val="none"/>
          <w:lang w:eastAsia="zh-CN"/>
        </w:rPr>
      </w:pPr>
      <w:r>
        <w:rPr>
          <w:rFonts w:hint="eastAsia" w:ascii="Times New Roman" w:hAnsi="Times New Roman" w:eastAsia="仿宋_GB2312"/>
          <w:color w:val="000000"/>
          <w:sz w:val="32"/>
          <w:highlight w:val="none"/>
          <w:lang w:val="en-US" w:eastAsia="zh-CN"/>
        </w:rPr>
        <w:t>第2期：完成可研报告初稿，报甲方确认后</w:t>
      </w:r>
      <w:r>
        <w:rPr>
          <w:rFonts w:hint="eastAsia" w:ascii="Times New Roman" w:hAnsi="Times New Roman" w:eastAsia="仿宋_GB2312"/>
          <w:color w:val="000000"/>
          <w:sz w:val="32"/>
          <w:highlight w:val="none"/>
        </w:rPr>
        <w:t>，支付合同款的</w:t>
      </w:r>
      <w:r>
        <w:rPr>
          <w:rFonts w:hint="eastAsia" w:ascii="Times New Roman" w:hAnsi="Times New Roman" w:eastAsia="仿宋_GB2312"/>
          <w:color w:val="000000"/>
          <w:sz w:val="32"/>
          <w:highlight w:val="none"/>
          <w:lang w:val="en-US" w:eastAsia="zh-CN"/>
        </w:rPr>
        <w:t>30</w:t>
      </w:r>
      <w:r>
        <w:rPr>
          <w:rFonts w:hint="eastAsia" w:ascii="Times New Roman" w:hAnsi="Times New Roman" w:eastAsia="仿宋_GB2312"/>
          <w:color w:val="000000"/>
          <w:sz w:val="32"/>
          <w:highlight w:val="none"/>
        </w:rPr>
        <w:t>%</w:t>
      </w:r>
      <w:r>
        <w:rPr>
          <w:rFonts w:hint="eastAsia" w:ascii="Times New Roman" w:hAnsi="Times New Roman" w:eastAsia="仿宋_GB2312"/>
          <w:color w:val="000000"/>
          <w:sz w:val="32"/>
          <w:highlight w:val="none"/>
          <w:lang w:eastAsia="zh-CN"/>
        </w:rPr>
        <w:t>。</w:t>
      </w:r>
    </w:p>
    <w:p w14:paraId="34F017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000000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color w:val="000000"/>
          <w:sz w:val="32"/>
          <w:highlight w:val="none"/>
        </w:rPr>
        <w:t>第</w:t>
      </w:r>
      <w:r>
        <w:rPr>
          <w:rFonts w:hint="eastAsia" w:ascii="Times New Roman" w:hAnsi="Times New Roman" w:eastAsia="仿宋_GB2312"/>
          <w:color w:val="000000"/>
          <w:sz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仿宋_GB2312"/>
          <w:color w:val="000000"/>
          <w:sz w:val="32"/>
          <w:highlight w:val="none"/>
        </w:rPr>
        <w:t>期</w:t>
      </w:r>
      <w:r>
        <w:rPr>
          <w:rFonts w:hint="eastAsia" w:ascii="Times New Roman" w:hAnsi="Times New Roman" w:eastAsia="仿宋_GB2312"/>
          <w:color w:val="000000"/>
          <w:sz w:val="32"/>
          <w:highlight w:val="none"/>
          <w:lang w:val="en-US" w:eastAsia="zh-CN"/>
        </w:rPr>
        <w:t>：可研报告</w:t>
      </w:r>
      <w:r>
        <w:rPr>
          <w:rFonts w:hint="eastAsia" w:ascii="Times New Roman" w:hAnsi="Times New Roman" w:eastAsia="仿宋_GB2312"/>
          <w:color w:val="000000"/>
          <w:sz w:val="32"/>
          <w:highlight w:val="none"/>
        </w:rPr>
        <w:t>通过专家评审并根据专家意见修改完成后，支付合同款的</w:t>
      </w:r>
      <w:r>
        <w:rPr>
          <w:rFonts w:hint="eastAsia" w:ascii="Times New Roman" w:hAnsi="Times New Roman" w:eastAsia="仿宋_GB2312"/>
          <w:color w:val="000000"/>
          <w:sz w:val="32"/>
          <w:highlight w:val="none"/>
          <w:lang w:val="en-US" w:eastAsia="zh-CN"/>
        </w:rPr>
        <w:t>40</w:t>
      </w:r>
      <w:r>
        <w:rPr>
          <w:rFonts w:hint="eastAsia" w:ascii="Times New Roman" w:hAnsi="Times New Roman" w:eastAsia="仿宋_GB2312"/>
          <w:color w:val="000000"/>
          <w:sz w:val="32"/>
          <w:highlight w:val="none"/>
        </w:rPr>
        <w:t>%</w:t>
      </w:r>
      <w:r>
        <w:rPr>
          <w:rFonts w:hint="eastAsia" w:ascii="Times New Roman" w:hAnsi="Times New Roman" w:eastAsia="仿宋_GB2312"/>
          <w:color w:val="000000"/>
          <w:sz w:val="32"/>
          <w:highlight w:val="none"/>
          <w:lang w:eastAsia="zh-CN"/>
        </w:rPr>
        <w:t>。</w:t>
      </w:r>
    </w:p>
    <w:p w14:paraId="753CA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000000"/>
          <w:sz w:val="32"/>
          <w:highlight w:val="none"/>
        </w:rPr>
      </w:pPr>
      <w:r>
        <w:rPr>
          <w:rFonts w:hint="eastAsia" w:ascii="Times New Roman" w:hAnsi="Times New Roman" w:eastAsia="仿宋_GB2312"/>
          <w:color w:val="000000"/>
          <w:sz w:val="32"/>
          <w:highlight w:val="none"/>
        </w:rPr>
        <w:t>第</w:t>
      </w:r>
      <w:r>
        <w:rPr>
          <w:rFonts w:hint="eastAsia" w:ascii="Times New Roman" w:hAnsi="Times New Roman" w:eastAsia="仿宋_GB2312"/>
          <w:color w:val="000000"/>
          <w:sz w:val="32"/>
          <w:highlight w:val="none"/>
          <w:lang w:val="en-US" w:eastAsia="zh-CN"/>
        </w:rPr>
        <w:t>4</w:t>
      </w:r>
      <w:r>
        <w:rPr>
          <w:rFonts w:hint="eastAsia" w:ascii="Times New Roman" w:hAnsi="Times New Roman" w:eastAsia="仿宋_GB2312"/>
          <w:color w:val="000000"/>
          <w:sz w:val="32"/>
          <w:highlight w:val="none"/>
        </w:rPr>
        <w:t>期</w:t>
      </w:r>
      <w:r>
        <w:rPr>
          <w:rFonts w:hint="eastAsia" w:ascii="Times New Roman" w:hAnsi="Times New Roman" w:eastAsia="仿宋_GB2312"/>
          <w:color w:val="000000"/>
          <w:sz w:val="32"/>
          <w:highlight w:val="none"/>
          <w:lang w:val="en-US" w:eastAsia="zh-CN"/>
        </w:rPr>
        <w:t>：</w:t>
      </w:r>
      <w:r>
        <w:rPr>
          <w:rFonts w:hint="eastAsia" w:ascii="Times New Roman" w:hAnsi="Times New Roman" w:eastAsia="仿宋_GB2312"/>
          <w:color w:val="000000"/>
          <w:sz w:val="32"/>
          <w:highlight w:val="none"/>
        </w:rPr>
        <w:t xml:space="preserve">根据履约评价得分情况，完成合同最终结算后支付 </w:t>
      </w:r>
      <w:r>
        <w:rPr>
          <w:rFonts w:hint="eastAsia" w:ascii="Times New Roman" w:hAnsi="Times New Roman" w:eastAsia="仿宋_GB2312"/>
          <w:color w:val="000000"/>
          <w:sz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仿宋_GB2312"/>
          <w:color w:val="000000"/>
          <w:sz w:val="32"/>
          <w:highlight w:val="none"/>
        </w:rPr>
        <w:t>0%。</w:t>
      </w:r>
    </w:p>
    <w:p w14:paraId="390F2E3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2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22"/>
          <w:highlight w:val="none"/>
          <w:lang w:val="en-US" w:eastAsia="zh-CN" w:bidi="ar-SA"/>
        </w:rPr>
        <w:t>根据集团有关会议研究决策项目退出时，对于已提供服务但未到支付节点的，不再支付费用。</w:t>
      </w:r>
    </w:p>
    <w:p w14:paraId="09AD86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黑体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Times New Roman" w:hAnsi="Times New Roman" w:eastAsia="黑体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、投标文件要求</w:t>
      </w:r>
    </w:p>
    <w:p w14:paraId="490724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color w:val="0000FF"/>
          <w:sz w:val="32"/>
          <w:highlight w:val="none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投标文件必须密封包装，密封袋封口处盖骑缝章，于20</w:t>
      </w: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26</w:t>
      </w: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14:00</w:t>
      </w: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之前由专人送</w:t>
      </w: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至</w:t>
      </w: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深圳市龙岗区中心城腾飞路创投大厦17楼1703室。</w:t>
      </w:r>
    </w:p>
    <w:p w14:paraId="0234AF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投标文件包括：</w:t>
      </w:r>
    </w:p>
    <w:p w14:paraId="62263D5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（1）基本情况：提供投资项目在线审批监管平台备案证明、资信证书复印件、营业执照复印件、相关业绩合同复印件（根据资格要求提供）、法定代表人证明书及身份证复印件、法定代表人授权委托书及身份证复印件、投标人控股及管理关系情况申报表。</w:t>
      </w:r>
    </w:p>
    <w:p w14:paraId="6E84EDF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000000" w:themeColor="text1"/>
          <w:sz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（2）业绩文件：投标人提供近3年内具有同类项目</w:t>
      </w: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可行性研究经验，</w:t>
      </w: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同一个集团公司或同一法人下的业绩需提供关联关系证明</w:t>
      </w: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071E022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 xml:space="preserve">（3）拟派团队：提供项目负责人及团队成员相应工作经历及学历、学位证书、执业资格证书复印件、业绩证明文件。  </w:t>
      </w:r>
    </w:p>
    <w:p w14:paraId="5EADCCE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（4）项目服务方案：出具技术服务方案，包括不限于对项目工作内容理解、项目工作实施方案、项目工作重难点及应对措施、服务质量保证措施等。</w:t>
      </w:r>
    </w:p>
    <w:p w14:paraId="2725930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highlight w:val="none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（5）报价文件：投标人按照投标报价承诺函格式进行投标报价，报价不得超过采购上限价。</w:t>
      </w:r>
    </w:p>
    <w:p w14:paraId="5B6FD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黑体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九</w:t>
      </w:r>
      <w:r>
        <w:rPr>
          <w:rFonts w:hint="eastAsia" w:ascii="Times New Roman" w:hAnsi="Times New Roman" w:eastAsia="黑体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、招标结果公示</w:t>
      </w:r>
    </w:p>
    <w:p w14:paraId="3CA78D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递交投标文件截止后，采购人将自行组织投标文件开启、评审等工作，确定成交服务单位后将在龙岗区产服集团企业网站、深圳阳光采购平台</w:t>
      </w: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同步</w:t>
      </w: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公示。</w:t>
      </w:r>
    </w:p>
    <w:p w14:paraId="02D2AEC1">
      <w:pPr>
        <w:pStyle w:val="2"/>
        <w:rPr>
          <w:rFonts w:hint="eastAsia"/>
        </w:rPr>
      </w:pPr>
    </w:p>
    <w:p w14:paraId="5E863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特别说明：所有投标单位视为同意上述公告内容，确定为成交服务单位后按公告约定与采购人签署合同。</w:t>
      </w: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ab/>
      </w:r>
    </w:p>
    <w:p w14:paraId="0BA6CC7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highlight w:val="none"/>
        </w:rPr>
      </w:pPr>
    </w:p>
    <w:p w14:paraId="743A8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附件：</w:t>
      </w: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1.综合评分</w:t>
      </w:r>
      <w:r>
        <w:rPr>
          <w:rFonts w:hint="eastAsia" w:ascii="Times New Roman" w:hAnsi="Times New Roman"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表</w:t>
      </w:r>
    </w:p>
    <w:p w14:paraId="7BC7A4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1600" w:firstLineChars="500"/>
        <w:textAlignment w:val="auto"/>
        <w:rPr>
          <w:rFonts w:hint="eastAsia" w:ascii="Times New Roman" w:hAnsi="Times New Roman" w:eastAsia="仿宋_GB2312"/>
          <w:color w:val="000000"/>
          <w:sz w:val="32"/>
          <w:szCs w:val="20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color w:val="000000"/>
          <w:sz w:val="32"/>
          <w:szCs w:val="20"/>
          <w:highlight w:val="none"/>
          <w:lang w:val="en-US" w:eastAsia="zh-CN"/>
        </w:rPr>
        <w:t>2.投标报价承诺函</w:t>
      </w:r>
    </w:p>
    <w:p w14:paraId="38136C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1600" w:firstLineChars="500"/>
        <w:textAlignment w:val="auto"/>
        <w:rPr>
          <w:rFonts w:hint="default" w:ascii="Times New Roman" w:hAnsi="Times New Roman" w:eastAsia="仿宋_GB2312"/>
          <w:color w:val="000000"/>
          <w:sz w:val="32"/>
          <w:szCs w:val="20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color w:val="000000"/>
          <w:sz w:val="32"/>
          <w:szCs w:val="20"/>
          <w:highlight w:val="none"/>
          <w:lang w:val="en-US" w:eastAsia="zh-CN"/>
        </w:rPr>
        <w:t>3.投标人控股及管理</w:t>
      </w:r>
      <w:r>
        <w:rPr>
          <w:rFonts w:hint="eastAsia" w:ascii="Times New Roman" w:hAnsi="Times New Roman" w:eastAsia="仿宋_GB2312"/>
          <w:color w:val="000000"/>
          <w:sz w:val="32"/>
          <w:szCs w:val="20"/>
          <w:highlight w:val="none"/>
        </w:rPr>
        <w:t>关系情况申报表</w:t>
      </w:r>
    </w:p>
    <w:p w14:paraId="066301D5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12358B2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FDF2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Times New Roman" w:hAnsi="Times New Roman" w:eastAsia="仿宋_GB2312"/>
          <w:sz w:val="32"/>
          <w:highlight w:val="none"/>
        </w:rPr>
      </w:pPr>
      <w:r>
        <w:rPr>
          <w:rFonts w:hint="eastAsia" w:ascii="Times New Roman" w:hAnsi="Times New Roman" w:eastAsia="仿宋_GB2312"/>
          <w:sz w:val="32"/>
          <w:highlight w:val="none"/>
        </w:rPr>
        <w:t xml:space="preserve">            采购人：深圳市龙岗区产业投资服务集团有限公司</w:t>
      </w:r>
    </w:p>
    <w:p w14:paraId="4F516B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1587" w:leftChars="756" w:right="55"/>
        <w:jc w:val="left"/>
        <w:textAlignment w:val="auto"/>
        <w:rPr>
          <w:rFonts w:ascii="Times New Roman" w:hAnsi="Times New Roman" w:eastAsia="仿宋_GB2312"/>
          <w:sz w:val="32"/>
          <w:highlight w:val="none"/>
        </w:rPr>
      </w:pPr>
      <w:r>
        <w:rPr>
          <w:rFonts w:hint="eastAsia" w:ascii="Times New Roman" w:hAnsi="Times New Roman" w:eastAsia="仿宋_GB2312"/>
          <w:sz w:val="32"/>
          <w:highlight w:val="none"/>
        </w:rPr>
        <w:t xml:space="preserve">                          202</w:t>
      </w:r>
      <w:r>
        <w:rPr>
          <w:rFonts w:hint="eastAsia" w:ascii="Times New Roman" w:hAnsi="Times New Roman" w:eastAsia="仿宋_GB2312"/>
          <w:sz w:val="32"/>
          <w:highlight w:val="none"/>
          <w:lang w:val="en-US" w:eastAsia="zh-CN"/>
        </w:rPr>
        <w:t>6</w:t>
      </w:r>
      <w:r>
        <w:rPr>
          <w:rFonts w:hint="eastAsia" w:ascii="Times New Roman" w:hAnsi="Times New Roman" w:eastAsia="仿宋_GB2312"/>
          <w:sz w:val="32"/>
          <w:highlight w:val="none"/>
        </w:rPr>
        <w:t>年</w:t>
      </w:r>
      <w:r>
        <w:rPr>
          <w:rFonts w:hint="eastAsia" w:ascii="Times New Roman" w:hAnsi="Times New Roman" w:eastAsia="仿宋_GB2312"/>
          <w:sz w:val="32"/>
          <w:highlight w:val="none"/>
          <w:lang w:val="en-US" w:eastAsia="zh-CN"/>
        </w:rPr>
        <w:t>9</w:t>
      </w:r>
      <w:r>
        <w:rPr>
          <w:rFonts w:hint="eastAsia" w:ascii="Times New Roman" w:hAnsi="Times New Roman" w:eastAsia="仿宋_GB2312"/>
          <w:sz w:val="32"/>
          <w:highlight w:val="none"/>
        </w:rPr>
        <w:t>月</w:t>
      </w:r>
      <w:r>
        <w:rPr>
          <w:rFonts w:hint="eastAsia" w:ascii="Times New Roman" w:hAnsi="Times New Roman" w:eastAsia="仿宋_GB2312"/>
          <w:sz w:val="32"/>
          <w:highlight w:val="none"/>
          <w:lang w:val="en-US" w:eastAsia="zh-CN"/>
        </w:rPr>
        <w:t>14</w:t>
      </w:r>
      <w:r>
        <w:rPr>
          <w:rFonts w:hint="eastAsia" w:ascii="Times New Roman" w:hAnsi="Times New Roman" w:eastAsia="仿宋_GB2312"/>
          <w:sz w:val="32"/>
          <w:highlight w:val="none"/>
        </w:rPr>
        <w:t>日</w:t>
      </w:r>
    </w:p>
    <w:sectPr>
      <w:headerReference r:id="rId3" w:type="default"/>
      <w:footerReference r:id="rId4" w:type="default"/>
      <w:pgSz w:w="11906" w:h="16781"/>
      <w:pgMar w:top="2098" w:right="1474" w:bottom="1984" w:left="1587" w:header="851" w:footer="992" w:gutter="0"/>
      <w:cols w:space="0" w:num="1"/>
      <w:docGrid w:type="linesAndChars" w:linePitch="57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BEF9086-F144-4CAE-86AA-A32764C6771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BC3392C-8B7F-4FE5-94FB-79B22847A26C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A17B4B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6C5059"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A1BA9C"/>
    <w:multiLevelType w:val="singleLevel"/>
    <w:tmpl w:val="88A1BA9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210"/>
  <w:drawingGridVerticalSpacing w:val="289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2MDQ2YjFjNzdhZGQzNmE4ZmFjOTQwMzhjNmM1YTEifQ=="/>
  </w:docVars>
  <w:rsids>
    <w:rsidRoot w:val="1EA037C3"/>
    <w:rsid w:val="000D52C0"/>
    <w:rsid w:val="001727C4"/>
    <w:rsid w:val="00172B21"/>
    <w:rsid w:val="002D61EF"/>
    <w:rsid w:val="0033146E"/>
    <w:rsid w:val="003531F0"/>
    <w:rsid w:val="00486C48"/>
    <w:rsid w:val="005E2830"/>
    <w:rsid w:val="006A45C4"/>
    <w:rsid w:val="00873205"/>
    <w:rsid w:val="00C21A2E"/>
    <w:rsid w:val="00C83350"/>
    <w:rsid w:val="00DB2B60"/>
    <w:rsid w:val="00E35535"/>
    <w:rsid w:val="00F264AD"/>
    <w:rsid w:val="00F80BCC"/>
    <w:rsid w:val="00FA4FB5"/>
    <w:rsid w:val="00FB3638"/>
    <w:rsid w:val="00FB7777"/>
    <w:rsid w:val="043F78FE"/>
    <w:rsid w:val="05E360D9"/>
    <w:rsid w:val="073C654F"/>
    <w:rsid w:val="07B30C51"/>
    <w:rsid w:val="08204893"/>
    <w:rsid w:val="099218B3"/>
    <w:rsid w:val="103647F4"/>
    <w:rsid w:val="10B14C22"/>
    <w:rsid w:val="10D426BF"/>
    <w:rsid w:val="13065655"/>
    <w:rsid w:val="13B074E1"/>
    <w:rsid w:val="14F41582"/>
    <w:rsid w:val="16AE20EC"/>
    <w:rsid w:val="16DC73F7"/>
    <w:rsid w:val="18A4506D"/>
    <w:rsid w:val="19323364"/>
    <w:rsid w:val="1AC50920"/>
    <w:rsid w:val="1B5A5FD9"/>
    <w:rsid w:val="1BB76E65"/>
    <w:rsid w:val="1C52249A"/>
    <w:rsid w:val="1D1E345D"/>
    <w:rsid w:val="1D230C56"/>
    <w:rsid w:val="1D7E4142"/>
    <w:rsid w:val="1EA037C3"/>
    <w:rsid w:val="208D460E"/>
    <w:rsid w:val="217E00E7"/>
    <w:rsid w:val="21D8144D"/>
    <w:rsid w:val="25F33AE3"/>
    <w:rsid w:val="25F84D0D"/>
    <w:rsid w:val="262C73DB"/>
    <w:rsid w:val="28D63020"/>
    <w:rsid w:val="28FA637F"/>
    <w:rsid w:val="2BE94E19"/>
    <w:rsid w:val="2DE0224B"/>
    <w:rsid w:val="2E6A5D43"/>
    <w:rsid w:val="306453B6"/>
    <w:rsid w:val="32E4633A"/>
    <w:rsid w:val="332A7E02"/>
    <w:rsid w:val="344C2E59"/>
    <w:rsid w:val="36842CA7"/>
    <w:rsid w:val="37712166"/>
    <w:rsid w:val="377547CD"/>
    <w:rsid w:val="37A72A1E"/>
    <w:rsid w:val="38001024"/>
    <w:rsid w:val="393530C7"/>
    <w:rsid w:val="39FE32D8"/>
    <w:rsid w:val="3A1E205F"/>
    <w:rsid w:val="3C1001A0"/>
    <w:rsid w:val="3F2C130C"/>
    <w:rsid w:val="3F3E1FD1"/>
    <w:rsid w:val="40907646"/>
    <w:rsid w:val="43D1290A"/>
    <w:rsid w:val="473C385A"/>
    <w:rsid w:val="49522CE5"/>
    <w:rsid w:val="4A6461B7"/>
    <w:rsid w:val="4A671C77"/>
    <w:rsid w:val="4B8859D4"/>
    <w:rsid w:val="4C55703E"/>
    <w:rsid w:val="4C7D56AD"/>
    <w:rsid w:val="4D7044F4"/>
    <w:rsid w:val="4D874AAA"/>
    <w:rsid w:val="4DEE4149"/>
    <w:rsid w:val="4FA35C59"/>
    <w:rsid w:val="50A15412"/>
    <w:rsid w:val="52556463"/>
    <w:rsid w:val="532952A0"/>
    <w:rsid w:val="54932F81"/>
    <w:rsid w:val="54E53089"/>
    <w:rsid w:val="57592F82"/>
    <w:rsid w:val="598A180B"/>
    <w:rsid w:val="5A1E690A"/>
    <w:rsid w:val="5A795DF3"/>
    <w:rsid w:val="5C10115F"/>
    <w:rsid w:val="5CB445D4"/>
    <w:rsid w:val="5FA14AEF"/>
    <w:rsid w:val="5FF81376"/>
    <w:rsid w:val="620A1F41"/>
    <w:rsid w:val="644239B2"/>
    <w:rsid w:val="64D61A04"/>
    <w:rsid w:val="64DC2FF8"/>
    <w:rsid w:val="6646288C"/>
    <w:rsid w:val="66AC6A80"/>
    <w:rsid w:val="67D807CB"/>
    <w:rsid w:val="67EC0C7A"/>
    <w:rsid w:val="67FF04F1"/>
    <w:rsid w:val="69CD14B6"/>
    <w:rsid w:val="69CE1061"/>
    <w:rsid w:val="69D15430"/>
    <w:rsid w:val="6DC762F5"/>
    <w:rsid w:val="70227EC6"/>
    <w:rsid w:val="70EB0B1A"/>
    <w:rsid w:val="7148395C"/>
    <w:rsid w:val="727D54C4"/>
    <w:rsid w:val="72A918EE"/>
    <w:rsid w:val="737E5413"/>
    <w:rsid w:val="75AD6116"/>
    <w:rsid w:val="780B4C2A"/>
    <w:rsid w:val="78AC023A"/>
    <w:rsid w:val="78E43EED"/>
    <w:rsid w:val="78F60A4E"/>
    <w:rsid w:val="79FC4CD9"/>
    <w:rsid w:val="7A355744"/>
    <w:rsid w:val="7A48596E"/>
    <w:rsid w:val="7AD173C0"/>
    <w:rsid w:val="7B2B1A66"/>
    <w:rsid w:val="7CDE2F5A"/>
    <w:rsid w:val="7D3D1E9B"/>
    <w:rsid w:val="7FA7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560" w:lineRule="exact"/>
      <w:ind w:firstLine="200" w:firstLineChars="200"/>
    </w:pPr>
    <w:rPr>
      <w:rFonts w:eastAsia="仿宋_GB2312"/>
      <w:sz w:val="32"/>
      <w:szCs w:val="20"/>
    </w:rPr>
  </w:style>
  <w:style w:type="paragraph" w:styleId="4">
    <w:name w:val="Plain Text"/>
    <w:basedOn w:val="1"/>
    <w:qFormat/>
    <w:uiPriority w:val="0"/>
    <w:rPr>
      <w:rFonts w:ascii="宋体" w:hAnsi="Courier New"/>
      <w:szCs w:val="20"/>
    </w:rPr>
  </w:style>
  <w:style w:type="paragraph" w:styleId="5">
    <w:name w:val="Balloon Text"/>
    <w:basedOn w:val="1"/>
    <w:link w:val="11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批注框文本 Char"/>
    <w:basedOn w:val="10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TENCENT</Company>
  <Pages>4</Pages>
  <Words>1546</Words>
  <Characters>1598</Characters>
  <Lines>12</Lines>
  <Paragraphs>3</Paragraphs>
  <TotalTime>59</TotalTime>
  <ScaleCrop>false</ScaleCrop>
  <LinksUpToDate>false</LinksUpToDate>
  <CharactersWithSpaces>1656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2023-05-15T03:24:00Z</dcterms:created>
  <dc:creator>奚克璇</dc:creator>
  <cp:lastModifiedBy>陈驿男</cp:lastModifiedBy>
  <cp:lastPrinted>2026-09-09T10:53:00Z</cp:lastPrinted>
  <dcterms:modified xsi:type="dcterms:W3CDTF">2026-09-14T09:08:19Z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748ACDE9374C44D09306B87687CD57FF_13</vt:lpwstr>
  </property>
  <property fmtid="{D5CDD505-2E9C-101B-9397-08002B2CF9AE}" pid="4" name="KSOTemplateDocerSaveRecord">
    <vt:lpwstr>eyJoZGlkIjoiMjg0NWM2MzNmNmY4NGZjNDU2OTViOWM0YTY5ZGQxN2MiLCJ1c2VySWQiOiIzOTU4MzcyNTUifQ==</vt:lpwstr>
  </property>
</Properties>
</file>