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rFonts w:hint="eastAsia" w:eastAsia="宋体"/>
                <w:sz w:val="30"/>
                <w:szCs w:val="30"/>
                <w:lang w:val="en-US" w:eastAsia="zh-CN"/>
              </w:rPr>
            </w:pPr>
            <w:r>
              <w:rPr>
                <w:rFonts w:hint="eastAsia"/>
                <w:sz w:val="30"/>
                <w:szCs w:val="30"/>
              </w:rPr>
              <w:t>LGZXCG-2025-0000</w:t>
            </w:r>
            <w:r>
              <w:rPr>
                <w:rFonts w:hint="eastAsia"/>
                <w:sz w:val="30"/>
                <w:szCs w:val="30"/>
                <w:lang w:val="en-US" w:eastAsia="zh-CN"/>
              </w:rPr>
              <w:t>8</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龙岗区建设工程质量检测中心抗渗试样制样装卸、水泥试模拆装和垃圾清运及其他项目辅助工作服务采购</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hint="eastAsia" w:ascii="黑体" w:hAnsi="黑体" w:eastAsia="黑体"/>
          <w:sz w:val="40"/>
          <w:szCs w:val="40"/>
        </w:rPr>
      </w:pPr>
    </w:p>
    <w:p>
      <w:pPr>
        <w:pStyle w:val="37"/>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color w:val="FF0000"/>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szCs w:val="21"/>
                <w:lang w:val="en-US"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szCs w:val="21"/>
                <w:lang w:val="en-US" w:eastAsia="zh-CN"/>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default" w:eastAsia="宋体"/>
                <w:szCs w:val="21"/>
                <w:lang w:val="en-US" w:eastAsia="zh-CN"/>
              </w:rPr>
            </w:pPr>
            <w:r>
              <w:rPr>
                <w:rFonts w:hint="eastAsia"/>
                <w:szCs w:val="21"/>
                <w:lang w:val="en-US" w:eastAsia="zh-CN"/>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Pr>
        <w:pStyle w:val="37"/>
        <w:jc w:val="center"/>
        <w:outlineLvl w:val="1"/>
        <w:rPr>
          <w:rFonts w:hint="eastAsia" w:ascii="黑体" w:hAnsi="黑体" w:eastAsia="黑体"/>
          <w:sz w:val="40"/>
          <w:szCs w:val="40"/>
        </w:rPr>
      </w:pPr>
    </w:p>
    <w:p>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tc>
      </w:tr>
    </w:tbl>
    <w:p>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397"/>
        <w:gridCol w:w="786"/>
        <w:gridCol w:w="45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863"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4"/>
                <w:szCs w:val="24"/>
              </w:rPr>
            </w:pPr>
            <w:r>
              <w:rPr>
                <w:rFonts w:hint="eastAsia" w:ascii="宋体" w:hAnsi="宋体" w:eastAsia="宋体" w:cs="宋体"/>
                <w:b/>
                <w:bCs/>
                <w:sz w:val="24"/>
                <w:szCs w:val="24"/>
              </w:rPr>
              <w:t>评分项</w:t>
            </w:r>
          </w:p>
        </w:tc>
        <w:tc>
          <w:tcPr>
            <w:tcW w:w="4529"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eastAsia="宋体" w:cs="宋体"/>
                <w:b/>
                <w:bCs/>
                <w:sz w:val="24"/>
                <w:szCs w:val="24"/>
              </w:rPr>
            </w:pPr>
            <w:r>
              <w:rPr>
                <w:rFonts w:hint="eastAsia" w:ascii="宋体" w:hAnsi="宋体" w:eastAsia="宋体" w:cs="宋体"/>
                <w:b/>
                <w:bCs/>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1</w:t>
            </w:r>
          </w:p>
        </w:tc>
        <w:tc>
          <w:tcPr>
            <w:tcW w:w="386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价格</w:t>
            </w:r>
          </w:p>
        </w:tc>
        <w:tc>
          <w:tcPr>
            <w:tcW w:w="4529"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lang w:val="en-US"/>
              </w:rPr>
            </w:pPr>
            <w:r>
              <w:rPr>
                <w:rFonts w:hint="eastAsia" w:ascii="宋体" w:hAnsi="宋体" w:eastAsia="宋体" w:cs="宋体"/>
                <w:b/>
                <w:bCs/>
                <w:color w:val="0000FF"/>
                <w:sz w:val="24"/>
                <w:szCs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2</w:t>
            </w:r>
          </w:p>
        </w:tc>
        <w:tc>
          <w:tcPr>
            <w:tcW w:w="386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技术部分</w:t>
            </w:r>
          </w:p>
        </w:tc>
        <w:tc>
          <w:tcPr>
            <w:tcW w:w="4529"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5</w:t>
            </w:r>
            <w:r>
              <w:rPr>
                <w:rFonts w:hint="eastAsia" w:ascii="宋体" w:hAnsi="宋体" w:cs="宋体"/>
                <w:b/>
                <w:bCs/>
                <w:color w:val="0000FF"/>
                <w:sz w:val="24"/>
                <w:szCs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9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8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权重(%)</w:t>
            </w:r>
          </w:p>
        </w:tc>
        <w:tc>
          <w:tcPr>
            <w:tcW w:w="452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39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服务管理整体管理方式和工作计划、人员的配置、培训与管理制度、措施</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制定符合本项目的管理实施方案，内容包括：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1、项目整体设想及策划；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cs="宋体"/>
                <w:kern w:val="0"/>
                <w:sz w:val="24"/>
                <w:szCs w:val="24"/>
                <w:lang w:val="en-US" w:eastAsia="zh-CN"/>
              </w:rPr>
              <w:t>员工</w:t>
            </w:r>
            <w:r>
              <w:rPr>
                <w:rFonts w:hint="eastAsia" w:ascii="宋体" w:hAnsi="宋体" w:eastAsia="宋体" w:cs="宋体"/>
                <w:kern w:val="0"/>
                <w:sz w:val="24"/>
                <w:szCs w:val="24"/>
              </w:rPr>
              <w:t>培训与管理措施；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3、保洁管理</w:t>
            </w:r>
            <w:r>
              <w:rPr>
                <w:rFonts w:hint="eastAsia" w:ascii="宋体" w:hAnsi="宋体" w:cs="宋体"/>
                <w:kern w:val="0"/>
                <w:sz w:val="24"/>
                <w:szCs w:val="24"/>
                <w:lang w:val="en-US" w:eastAsia="zh-CN"/>
              </w:rPr>
              <w:t>方案</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4、安全管理服务</w:t>
            </w:r>
            <w:r>
              <w:rPr>
                <w:rFonts w:hint="eastAsia" w:ascii="宋体" w:hAnsi="宋体" w:cs="宋体"/>
                <w:kern w:val="0"/>
                <w:sz w:val="24"/>
                <w:szCs w:val="24"/>
                <w:lang w:val="en-US" w:eastAsia="zh-CN"/>
              </w:rPr>
              <w:t>方案</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w:t>
            </w:r>
            <w:r>
              <w:rPr>
                <w:rFonts w:hint="default" w:ascii="宋体" w:hAnsi="宋体" w:eastAsia="宋体" w:cs="宋体"/>
                <w:kern w:val="0"/>
                <w:sz w:val="24"/>
                <w:szCs w:val="24"/>
                <w:lang w:val="en-US"/>
              </w:rPr>
              <w:t>设备</w:t>
            </w:r>
            <w:r>
              <w:rPr>
                <w:rFonts w:hint="eastAsia" w:ascii="宋体" w:hAnsi="宋体" w:cs="宋体"/>
                <w:kern w:val="0"/>
                <w:sz w:val="24"/>
                <w:szCs w:val="24"/>
                <w:lang w:val="en-US" w:eastAsia="zh-CN"/>
              </w:rPr>
              <w:t>管理服务方案</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1、每提供上述一项内容的得15</w:t>
            </w:r>
            <w:r>
              <w:rPr>
                <w:rFonts w:hint="eastAsia" w:ascii="宋体" w:hAnsi="宋体" w:eastAsia="宋体" w:cs="宋体"/>
                <w:b w:val="0"/>
                <w:bCs/>
                <w:sz w:val="24"/>
                <w:szCs w:val="24"/>
                <w:lang w:eastAsia="zh-CN"/>
              </w:rPr>
              <w:t>分</w:t>
            </w:r>
            <w:r>
              <w:rPr>
                <w:rFonts w:hint="eastAsia" w:ascii="宋体" w:hAnsi="宋体" w:eastAsia="宋体" w:cs="宋体"/>
                <w:sz w:val="24"/>
                <w:szCs w:val="24"/>
              </w:rPr>
              <w:t>，全部提供的得75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（1）总体规划科学合理，能根据采购单位需求进行详细分析，服务实施方案合理，评审为优，加25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（2）总体规划有一定特点，分析合理、切合现场实际情况，服务方案比较合理，评审为良，加15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397" w:type="dxa"/>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试验场所保洁服务</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制定符合本项目的保洁服务方案，内容包括：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1、试验场所保洁管理服务；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2、设备保洁服务；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3、试验样品留置区保洁；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w:t>
            </w:r>
            <w:r>
              <w:rPr>
                <w:rFonts w:hint="eastAsia" w:ascii="宋体" w:hAnsi="宋体" w:cs="宋体"/>
                <w:kern w:val="0"/>
                <w:sz w:val="24"/>
                <w:szCs w:val="24"/>
                <w:lang w:val="en-US" w:eastAsia="zh-CN"/>
              </w:rPr>
              <w:t>保洁</w:t>
            </w:r>
            <w:r>
              <w:rPr>
                <w:rFonts w:hint="eastAsia" w:ascii="宋体" w:hAnsi="宋体" w:eastAsia="宋体" w:cs="宋体"/>
                <w:kern w:val="0"/>
                <w:sz w:val="24"/>
                <w:szCs w:val="24"/>
              </w:rPr>
              <w:t>人员配置</w:t>
            </w:r>
            <w:r>
              <w:rPr>
                <w:rFonts w:hint="eastAsia" w:ascii="宋体" w:hAnsi="宋体" w:cs="宋体"/>
                <w:kern w:val="0"/>
                <w:sz w:val="24"/>
                <w:szCs w:val="24"/>
                <w:lang w:val="en-US" w:eastAsia="zh-CN"/>
              </w:rPr>
              <w:t>与</w:t>
            </w:r>
            <w:r>
              <w:rPr>
                <w:rFonts w:hint="eastAsia" w:ascii="宋体" w:hAnsi="宋体" w:eastAsia="宋体" w:cs="宋体"/>
                <w:kern w:val="0"/>
                <w:sz w:val="24"/>
                <w:szCs w:val="24"/>
              </w:rPr>
              <w:t>管理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1、每提供上述一项内容的得20</w:t>
            </w:r>
            <w:r>
              <w:rPr>
                <w:rFonts w:hint="eastAsia" w:ascii="宋体" w:hAnsi="宋体" w:eastAsia="宋体" w:cs="宋体"/>
                <w:sz w:val="24"/>
                <w:szCs w:val="24"/>
                <w:lang w:eastAsia="zh-CN"/>
              </w:rPr>
              <w:t>分</w:t>
            </w:r>
            <w:r>
              <w:rPr>
                <w:rFonts w:hint="eastAsia" w:ascii="宋体" w:hAnsi="宋体" w:eastAsia="宋体" w:cs="宋体"/>
                <w:sz w:val="24"/>
                <w:szCs w:val="24"/>
              </w:rPr>
              <w:t>，全部提供的得80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（1）总体规划科学合理，能根据采购单位需求进行详细分析，服务实施方案合理，评审为优，加20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39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安全管理服务突发事件应急处理措施</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制定符合本项目的安全管理实施方案，内容包括：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1、秩序与安全管理服务；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2、突发事件应急预案；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3、安全事故处理措施；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4、防止发生次生、衍生事故的次要措施</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1、每提供上述一项内容的得20</w:t>
            </w:r>
            <w:r>
              <w:rPr>
                <w:rFonts w:hint="eastAsia" w:ascii="宋体" w:hAnsi="宋体" w:eastAsia="宋体" w:cs="宋体"/>
                <w:sz w:val="24"/>
                <w:szCs w:val="24"/>
                <w:lang w:eastAsia="zh-CN"/>
              </w:rPr>
              <w:t>分</w:t>
            </w:r>
            <w:r>
              <w:rPr>
                <w:rFonts w:hint="eastAsia" w:ascii="宋体" w:hAnsi="宋体" w:eastAsia="宋体" w:cs="宋体"/>
                <w:sz w:val="24"/>
                <w:szCs w:val="24"/>
              </w:rPr>
              <w:t>，全部提供的得80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（1）总体规划科学合理，能根据采购单位需求进行详细分析，服务实施方案合理，评审为优，加20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4</w:t>
            </w:r>
          </w:p>
        </w:tc>
        <w:tc>
          <w:tcPr>
            <w:tcW w:w="2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垃圾清运措施服务</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制定符合本项目的垃圾清运实施方案，内容包括：</w:t>
            </w:r>
            <w:r>
              <w:rPr>
                <w:rFonts w:hint="eastAsia" w:ascii="宋体" w:hAnsi="宋体" w:eastAsia="宋体" w:cs="宋体"/>
                <w:b/>
                <w:kern w:val="0"/>
                <w:sz w:val="24"/>
                <w:szCs w:val="24"/>
              </w:rPr>
              <w:br w:type="textWrapping"/>
            </w:r>
            <w:r>
              <w:rPr>
                <w:rFonts w:hint="eastAsia" w:ascii="宋体" w:hAnsi="宋体" w:eastAsia="宋体" w:cs="宋体"/>
                <w:kern w:val="0"/>
                <w:sz w:val="24"/>
                <w:szCs w:val="24"/>
              </w:rPr>
              <w:t>1、可回收试验样品清运方案措施；</w:t>
            </w:r>
            <w:r>
              <w:rPr>
                <w:rFonts w:hint="eastAsia" w:ascii="宋体" w:hAnsi="宋体" w:eastAsia="宋体" w:cs="宋体"/>
                <w:b/>
                <w:kern w:val="0"/>
                <w:sz w:val="24"/>
                <w:szCs w:val="24"/>
              </w:rPr>
              <w:br w:type="textWrapping"/>
            </w:r>
            <w:r>
              <w:rPr>
                <w:rFonts w:hint="eastAsia" w:ascii="宋体" w:hAnsi="宋体" w:eastAsia="宋体" w:cs="宋体"/>
                <w:kern w:val="0"/>
                <w:sz w:val="24"/>
                <w:szCs w:val="24"/>
              </w:rPr>
              <w:t>2、不可回收试验样品垃圾清运方案措施；</w:t>
            </w:r>
            <w:r>
              <w:rPr>
                <w:rFonts w:hint="eastAsia" w:ascii="宋体" w:hAnsi="宋体" w:eastAsia="宋体" w:cs="宋体"/>
                <w:b/>
                <w:kern w:val="0"/>
                <w:sz w:val="24"/>
                <w:szCs w:val="24"/>
              </w:rPr>
              <w:br w:type="textWrapping"/>
            </w:r>
            <w:r>
              <w:rPr>
                <w:rFonts w:hint="eastAsia" w:ascii="宋体" w:hAnsi="宋体" w:eastAsia="宋体" w:cs="宋体"/>
                <w:kern w:val="0"/>
                <w:sz w:val="24"/>
                <w:szCs w:val="24"/>
              </w:rPr>
              <w:t>3、垃圾清运安全操作措施；</w:t>
            </w:r>
            <w:r>
              <w:rPr>
                <w:rFonts w:hint="eastAsia" w:ascii="宋体" w:hAnsi="宋体" w:eastAsia="宋体" w:cs="宋体"/>
                <w:b/>
                <w:kern w:val="0"/>
                <w:sz w:val="24"/>
                <w:szCs w:val="24"/>
              </w:rPr>
              <w:br w:type="textWrapping"/>
            </w:r>
            <w:r>
              <w:rPr>
                <w:rFonts w:hint="eastAsia" w:ascii="宋体" w:hAnsi="宋体" w:eastAsia="宋体" w:cs="宋体"/>
                <w:kern w:val="0"/>
                <w:sz w:val="24"/>
                <w:szCs w:val="24"/>
              </w:rPr>
              <w:t>4、清运人员管理</w:t>
            </w:r>
            <w:r>
              <w:rPr>
                <w:rFonts w:hint="eastAsia" w:ascii="宋体" w:hAnsi="宋体" w:cs="宋体"/>
                <w:kern w:val="0"/>
                <w:sz w:val="24"/>
                <w:szCs w:val="24"/>
                <w:lang w:eastAsia="zh-CN"/>
              </w:rPr>
              <w:t>。</w:t>
            </w:r>
            <w:bookmarkStart w:id="101" w:name="_GoBack"/>
            <w:bookmarkEnd w:id="101"/>
            <w:r>
              <w:rPr>
                <w:rFonts w:hint="eastAsia" w:ascii="宋体" w:hAnsi="宋体" w:eastAsia="宋体" w:cs="宋体"/>
                <w:b/>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1、每提供上述一项内容的得20</w:t>
            </w:r>
            <w:r>
              <w:rPr>
                <w:rFonts w:hint="eastAsia" w:ascii="宋体" w:hAnsi="宋体" w:eastAsia="宋体" w:cs="宋体"/>
                <w:sz w:val="24"/>
                <w:szCs w:val="24"/>
                <w:lang w:eastAsia="zh-CN"/>
              </w:rPr>
              <w:t>分</w:t>
            </w:r>
            <w:r>
              <w:rPr>
                <w:rFonts w:hint="eastAsia" w:ascii="宋体" w:hAnsi="宋体" w:eastAsia="宋体" w:cs="宋体"/>
                <w:sz w:val="24"/>
                <w:szCs w:val="24"/>
              </w:rPr>
              <w:t>，全部提供的得80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（1）总体规划科学合理，能根据采购单位需求进行详细分析，服务实施方案合理，评审为优，加20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5</w:t>
            </w:r>
          </w:p>
        </w:tc>
        <w:tc>
          <w:tcPr>
            <w:tcW w:w="2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其他项目辅助工作措施</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4529"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宋体" w:hAnsi="宋体" w:eastAsia="宋体" w:cs="宋体"/>
                <w:sz w:val="24"/>
                <w:szCs w:val="24"/>
                <w:lang w:eastAsia="zh-CN"/>
              </w:rPr>
            </w:pPr>
            <w:r>
              <w:rPr>
                <w:rFonts w:hint="eastAsia" w:ascii="宋体" w:hAnsi="宋体" w:eastAsia="宋体" w:cs="宋体"/>
                <w:b/>
                <w:sz w:val="24"/>
                <w:szCs w:val="24"/>
                <w:lang w:eastAsia="zh-CN"/>
              </w:rPr>
              <w:t>（一）评分内容：</w:t>
            </w:r>
          </w:p>
          <w:p>
            <w:pPr>
              <w:wordWrap w:val="0"/>
              <w:rPr>
                <w:rFonts w:hint="eastAsia" w:ascii="宋体" w:hAnsi="宋体" w:eastAsia="宋体" w:cs="宋体"/>
                <w:sz w:val="24"/>
                <w:szCs w:val="24"/>
                <w:lang w:eastAsia="zh-CN"/>
              </w:rPr>
            </w:pPr>
            <w:r>
              <w:rPr>
                <w:rFonts w:hint="eastAsia" w:ascii="宋体" w:hAnsi="宋体" w:eastAsia="宋体" w:cs="宋体"/>
                <w:kern w:val="0"/>
                <w:sz w:val="24"/>
                <w:szCs w:val="24"/>
              </w:rPr>
              <w:t>制定符合本项目的管理实施方案，内容包括：</w:t>
            </w:r>
            <w:r>
              <w:rPr>
                <w:rFonts w:hint="eastAsia" w:ascii="宋体" w:hAnsi="宋体" w:eastAsia="宋体" w:cs="宋体"/>
                <w:b/>
                <w:kern w:val="0"/>
                <w:sz w:val="24"/>
                <w:szCs w:val="24"/>
              </w:rPr>
              <w:br w:type="textWrapping"/>
            </w:r>
            <w:r>
              <w:rPr>
                <w:rFonts w:hint="eastAsia" w:ascii="宋体" w:hAnsi="宋体" w:eastAsia="宋体" w:cs="宋体"/>
                <w:sz w:val="24"/>
                <w:szCs w:val="24"/>
              </w:rPr>
              <w:t>1、辅助工作的人员配置；</w:t>
            </w:r>
            <w:r>
              <w:rPr>
                <w:rFonts w:hint="eastAsia" w:ascii="宋体" w:hAnsi="宋体" w:eastAsia="宋体" w:cs="宋体"/>
                <w:b/>
                <w:sz w:val="24"/>
                <w:szCs w:val="24"/>
              </w:rPr>
              <w:br w:type="textWrapping"/>
            </w:r>
            <w:r>
              <w:rPr>
                <w:rFonts w:hint="eastAsia" w:ascii="宋体" w:hAnsi="宋体" w:eastAsia="宋体" w:cs="宋体"/>
                <w:sz w:val="24"/>
                <w:szCs w:val="24"/>
              </w:rPr>
              <w:t>2、</w:t>
            </w:r>
            <w:r>
              <w:rPr>
                <w:rFonts w:hint="eastAsia" w:ascii="宋体" w:hAnsi="宋体" w:cs="宋体"/>
                <w:sz w:val="24"/>
                <w:szCs w:val="24"/>
                <w:lang w:val="en-US" w:eastAsia="zh-CN"/>
              </w:rPr>
              <w:t>其他</w:t>
            </w:r>
            <w:r>
              <w:rPr>
                <w:rFonts w:hint="eastAsia" w:ascii="宋体" w:hAnsi="宋体" w:eastAsia="宋体" w:cs="宋体"/>
                <w:sz w:val="24"/>
                <w:szCs w:val="24"/>
              </w:rPr>
              <w:t>秩序与安全管理服务；</w:t>
            </w:r>
            <w:r>
              <w:rPr>
                <w:rFonts w:hint="eastAsia" w:ascii="宋体" w:hAnsi="宋体" w:eastAsia="宋体" w:cs="宋体"/>
                <w:b/>
                <w:sz w:val="24"/>
                <w:szCs w:val="24"/>
              </w:rPr>
              <w:br w:type="textWrapping"/>
            </w:r>
            <w:r>
              <w:rPr>
                <w:rFonts w:hint="eastAsia" w:ascii="宋体" w:hAnsi="宋体" w:eastAsia="宋体" w:cs="宋体"/>
                <w:sz w:val="24"/>
                <w:szCs w:val="24"/>
              </w:rPr>
              <w:t>3、试验设备的看护服务</w:t>
            </w:r>
            <w:r>
              <w:rPr>
                <w:rFonts w:hint="eastAsia" w:ascii="宋体" w:hAnsi="宋体" w:cs="宋体"/>
                <w:sz w:val="24"/>
                <w:szCs w:val="24"/>
                <w:lang w:eastAsia="zh-CN"/>
              </w:rPr>
              <w:t>。</w:t>
            </w:r>
            <w:r>
              <w:rPr>
                <w:rFonts w:hint="eastAsia" w:ascii="宋体" w:hAnsi="宋体" w:eastAsia="宋体" w:cs="宋体"/>
                <w:b/>
                <w:kern w:val="0"/>
                <w:sz w:val="24"/>
                <w:szCs w:val="24"/>
              </w:rPr>
              <w:br w:type="textWrapping"/>
            </w:r>
            <w:r>
              <w:rPr>
                <w:rFonts w:hint="eastAsia" w:ascii="宋体" w:hAnsi="宋体" w:eastAsia="宋体" w:cs="宋体"/>
                <w:b/>
                <w:sz w:val="24"/>
                <w:szCs w:val="24"/>
                <w:lang w:eastAsia="zh-CN"/>
              </w:rPr>
              <w:t>（二）评分依据：</w:t>
            </w:r>
          </w:p>
          <w:p>
            <w:pPr>
              <w:wordWrap w:val="0"/>
              <w:rPr>
                <w:rFonts w:hint="eastAsia" w:ascii="宋体" w:hAnsi="宋体" w:eastAsia="宋体" w:cs="宋体"/>
                <w:sz w:val="24"/>
                <w:szCs w:val="24"/>
              </w:rPr>
            </w:pPr>
            <w:r>
              <w:rPr>
                <w:rFonts w:hint="eastAsia" w:ascii="宋体" w:hAnsi="宋体" w:eastAsia="宋体" w:cs="宋体"/>
                <w:sz w:val="24"/>
                <w:szCs w:val="24"/>
              </w:rPr>
              <w:t>1、每提供上述一项内容的得20</w:t>
            </w:r>
            <w:r>
              <w:rPr>
                <w:rFonts w:hint="eastAsia" w:ascii="宋体" w:hAnsi="宋体" w:eastAsia="宋体" w:cs="宋体"/>
                <w:sz w:val="24"/>
                <w:szCs w:val="24"/>
                <w:lang w:eastAsia="zh-CN"/>
              </w:rPr>
              <w:t>分</w:t>
            </w:r>
            <w:r>
              <w:rPr>
                <w:rFonts w:hint="eastAsia" w:ascii="宋体" w:hAnsi="宋体" w:eastAsia="宋体" w:cs="宋体"/>
                <w:sz w:val="24"/>
                <w:szCs w:val="24"/>
              </w:rPr>
              <w:t>，全部提供的得60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2、在此基础上，由评审委员进行评价：</w:t>
            </w:r>
          </w:p>
          <w:p>
            <w:pPr>
              <w:wordWrap w:val="0"/>
              <w:rPr>
                <w:rFonts w:hint="eastAsia" w:ascii="宋体" w:hAnsi="宋体" w:eastAsia="宋体" w:cs="宋体"/>
                <w:sz w:val="24"/>
                <w:szCs w:val="24"/>
              </w:rPr>
            </w:pPr>
            <w:r>
              <w:rPr>
                <w:rFonts w:hint="eastAsia" w:ascii="宋体" w:hAnsi="宋体" w:eastAsia="宋体" w:cs="宋体"/>
                <w:sz w:val="24"/>
                <w:szCs w:val="24"/>
              </w:rPr>
              <w:t>（1）总体规划科学合理，能根据采购单位需求进行详细分析，服务实施方案合理，评审为优，加40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（2）总体规划有一定特点，分析合理、切合现场实际情况，服务方案比较合理，评审为良，加30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（3）总体规划无突出特点，分析合理，服务方案一般，评审为中，加10</w:t>
            </w:r>
            <w:r>
              <w:rPr>
                <w:rFonts w:hint="eastAsia" w:ascii="宋体" w:hAnsi="宋体" w:eastAsia="宋体" w:cs="宋体"/>
                <w:sz w:val="24"/>
                <w:szCs w:val="24"/>
                <w:lang w:eastAsia="zh-CN"/>
              </w:rPr>
              <w:t>分</w:t>
            </w:r>
            <w:r>
              <w:rPr>
                <w:rFonts w:hint="eastAsia" w:ascii="宋体" w:hAnsi="宋体" w:eastAsia="宋体" w:cs="宋体"/>
                <w:sz w:val="24"/>
                <w:szCs w:val="24"/>
              </w:rPr>
              <w:t>；</w:t>
            </w:r>
          </w:p>
          <w:p>
            <w:pPr>
              <w:wordWrap w:val="0"/>
              <w:rPr>
                <w:rFonts w:hint="eastAsia" w:ascii="宋体" w:hAnsi="宋体" w:eastAsia="宋体" w:cs="宋体"/>
                <w:sz w:val="24"/>
                <w:szCs w:val="24"/>
              </w:rPr>
            </w:pPr>
            <w:r>
              <w:rPr>
                <w:rFonts w:hint="eastAsia" w:ascii="宋体" w:hAnsi="宋体" w:eastAsia="宋体" w:cs="宋体"/>
                <w:sz w:val="24"/>
                <w:szCs w:val="24"/>
              </w:rPr>
              <w:t>（4）总体规划无特点，配套措施较差，服务方案较差，评审为差，不加分。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3</w:t>
            </w:r>
          </w:p>
        </w:tc>
        <w:tc>
          <w:tcPr>
            <w:tcW w:w="386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综合实力</w:t>
            </w:r>
          </w:p>
        </w:tc>
        <w:tc>
          <w:tcPr>
            <w:tcW w:w="4529"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1</w:t>
            </w:r>
            <w:r>
              <w:rPr>
                <w:rFonts w:hint="eastAsia" w:ascii="宋体" w:hAnsi="宋体" w:cs="宋体"/>
                <w:b/>
                <w:bCs/>
                <w:color w:val="0000FF"/>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9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8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权重(%)</w:t>
            </w:r>
          </w:p>
        </w:tc>
        <w:tc>
          <w:tcPr>
            <w:tcW w:w="452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同类项目业绩</w:t>
            </w:r>
          </w:p>
        </w:tc>
        <w:tc>
          <w:tcPr>
            <w:tcW w:w="78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2</w:t>
            </w:r>
          </w:p>
        </w:tc>
        <w:tc>
          <w:tcPr>
            <w:tcW w:w="4529" w:type="dxa"/>
            <w:tcBorders>
              <w:top w:val="single" w:color="000000" w:sz="8" w:space="0"/>
              <w:left w:val="single" w:color="000000" w:sz="8" w:space="0"/>
              <w:bottom w:val="single" w:color="000000" w:sz="8" w:space="0"/>
              <w:right w:val="single" w:color="000000" w:sz="8" w:space="0"/>
            </w:tcBorders>
            <w:vAlign w:val="top"/>
          </w:tcPr>
          <w:p>
            <w:pPr>
              <w:pStyle w:val="17"/>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lang w:eastAsia="zh-CN"/>
              </w:rPr>
              <w:t>（一）评分内容：</w:t>
            </w:r>
          </w:p>
          <w:p>
            <w:pPr>
              <w:pStyle w:val="17"/>
              <w:numPr>
                <w:ilvl w:val="-1"/>
                <w:numId w:val="0"/>
              </w:numPr>
              <w:wordWrap w:val="0"/>
              <w:rPr>
                <w:rFonts w:hint="eastAsia" w:ascii="宋体" w:hAnsi="宋体" w:eastAsia="宋体" w:cs="宋体"/>
                <w:color w:val="000000"/>
                <w:sz w:val="24"/>
                <w:szCs w:val="24"/>
              </w:rPr>
            </w:pPr>
            <w:r>
              <w:rPr>
                <w:rFonts w:hint="eastAsia" w:ascii="宋体" w:hAnsi="宋体" w:eastAsia="宋体" w:cs="宋体"/>
                <w:color w:val="000000"/>
                <w:sz w:val="24"/>
                <w:szCs w:val="24"/>
              </w:rPr>
              <w:t>投标人2018年1月1日至本项目投标截止时间，以合同签订日期为准：每具有一项</w:t>
            </w:r>
            <w:r>
              <w:rPr>
                <w:rFonts w:hint="eastAsia" w:ascii="宋体" w:hAnsi="宋体" w:eastAsia="宋体" w:cs="宋体"/>
                <w:sz w:val="24"/>
                <w:szCs w:val="24"/>
              </w:rPr>
              <w:t>同类项目</w:t>
            </w:r>
            <w:r>
              <w:rPr>
                <w:rStyle w:val="50"/>
                <w:rFonts w:hint="eastAsia" w:ascii="宋体" w:hAnsi="宋体" w:eastAsia="宋体" w:cs="宋体"/>
                <w:sz w:val="24"/>
                <w:szCs w:val="24"/>
              </w:rPr>
              <w:t>（服务过相关试验场地辅助工作及垃圾清运工作）</w:t>
            </w:r>
            <w:r>
              <w:rPr>
                <w:rFonts w:hint="eastAsia" w:ascii="宋体" w:hAnsi="宋体" w:eastAsia="宋体" w:cs="宋体"/>
                <w:color w:val="000000"/>
                <w:sz w:val="24"/>
                <w:szCs w:val="24"/>
              </w:rPr>
              <w:t>且经采购单位或被服务单位总体履约评价结果为“合格”或“优”或“满意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的得25</w:t>
            </w:r>
            <w:r>
              <w:rPr>
                <w:rFonts w:hint="eastAsia" w:ascii="宋体" w:hAnsi="宋体" w:eastAsia="宋体" w:cs="宋体"/>
                <w:color w:val="000000"/>
                <w:sz w:val="24"/>
                <w:szCs w:val="24"/>
                <w:lang w:eastAsia="zh-CN"/>
              </w:rPr>
              <w:t>分</w:t>
            </w:r>
            <w:r>
              <w:rPr>
                <w:rFonts w:hint="eastAsia" w:ascii="宋体" w:hAnsi="宋体" w:eastAsia="宋体" w:cs="宋体"/>
                <w:color w:val="000000"/>
                <w:sz w:val="24"/>
                <w:szCs w:val="24"/>
              </w:rPr>
              <w:t>，最高得100</w:t>
            </w:r>
            <w:r>
              <w:rPr>
                <w:rFonts w:hint="eastAsia" w:ascii="宋体" w:hAnsi="宋体" w:eastAsia="宋体" w:cs="宋体"/>
                <w:color w:val="000000"/>
                <w:sz w:val="24"/>
                <w:szCs w:val="24"/>
                <w:lang w:eastAsia="zh-CN"/>
              </w:rPr>
              <w:t>分</w:t>
            </w:r>
            <w:r>
              <w:rPr>
                <w:rFonts w:hint="eastAsia" w:ascii="宋体" w:hAnsi="宋体" w:eastAsia="宋体" w:cs="宋体"/>
                <w:color w:val="000000"/>
                <w:sz w:val="24"/>
                <w:szCs w:val="24"/>
              </w:rPr>
              <w:t>。</w:t>
            </w:r>
          </w:p>
          <w:p>
            <w:pPr>
              <w:pStyle w:val="1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（二）评分依据：</w:t>
            </w:r>
          </w:p>
          <w:p>
            <w:pPr>
              <w:pStyle w:val="17"/>
              <w:rPr>
                <w:rFonts w:hint="eastAsia" w:ascii="宋体" w:hAnsi="宋体" w:eastAsia="宋体" w:cs="宋体"/>
                <w:color w:val="000000"/>
                <w:sz w:val="24"/>
                <w:szCs w:val="24"/>
                <w:lang w:eastAsia="zh-CN"/>
              </w:rPr>
            </w:pPr>
            <w:r>
              <w:rPr>
                <w:rFonts w:hint="eastAsia" w:ascii="宋体" w:hAnsi="宋体" w:eastAsia="宋体" w:cs="宋体"/>
                <w:sz w:val="24"/>
                <w:szCs w:val="24"/>
              </w:rPr>
              <w:t>业绩须按以下要求提供</w:t>
            </w:r>
            <w:r>
              <w:rPr>
                <w:rFonts w:hint="eastAsia" w:ascii="宋体" w:hAnsi="宋体" w:cs="宋体"/>
                <w:sz w:val="24"/>
                <w:szCs w:val="24"/>
                <w:lang w:val="en-US" w:eastAsia="zh-CN"/>
              </w:rPr>
              <w:t>同时</w:t>
            </w:r>
            <w:r>
              <w:rPr>
                <w:rFonts w:hint="eastAsia" w:ascii="宋体" w:hAnsi="宋体" w:eastAsia="宋体" w:cs="宋体"/>
                <w:sz w:val="24"/>
                <w:szCs w:val="24"/>
              </w:rPr>
              <w:t>完整准确的证明文件，一年一签的长期服务续签合同只计算一个业绩：</w:t>
            </w:r>
          </w:p>
          <w:p>
            <w:pPr>
              <w:pStyle w:val="17"/>
              <w:rPr>
                <w:rFonts w:hint="eastAsia" w:ascii="宋体" w:hAnsi="宋体" w:eastAsia="宋体" w:cs="宋体"/>
                <w:color w:val="000000"/>
                <w:sz w:val="24"/>
                <w:szCs w:val="24"/>
              </w:rPr>
            </w:pPr>
            <w:r>
              <w:rPr>
                <w:rFonts w:hint="eastAsia" w:ascii="宋体" w:hAnsi="宋体" w:eastAsia="宋体" w:cs="宋体"/>
                <w:color w:val="000000"/>
                <w:sz w:val="24"/>
                <w:szCs w:val="24"/>
              </w:rPr>
              <w:t>1.中标（成交）通知书；</w:t>
            </w:r>
          </w:p>
          <w:p>
            <w:pPr>
              <w:pStyle w:val="17"/>
              <w:rPr>
                <w:rFonts w:hint="eastAsia" w:ascii="宋体" w:hAnsi="宋体" w:eastAsia="宋体" w:cs="宋体"/>
                <w:color w:val="000000"/>
                <w:sz w:val="24"/>
                <w:szCs w:val="24"/>
              </w:rPr>
            </w:pPr>
            <w:r>
              <w:rPr>
                <w:rFonts w:hint="eastAsia" w:ascii="宋体" w:hAnsi="宋体" w:eastAsia="宋体" w:cs="宋体"/>
                <w:color w:val="000000"/>
                <w:sz w:val="24"/>
                <w:szCs w:val="24"/>
              </w:rPr>
              <w:t>2.合同关键页</w:t>
            </w:r>
            <w:r>
              <w:rPr>
                <w:rFonts w:hint="eastAsia" w:ascii="宋体" w:hAnsi="宋体" w:eastAsia="宋体" w:cs="宋体"/>
                <w:sz w:val="24"/>
                <w:szCs w:val="24"/>
              </w:rPr>
              <w:t>（包括但不限于封面、项目名称、服务内容、甲乙双方签字盖章页</w:t>
            </w:r>
            <w:r>
              <w:rPr>
                <w:rFonts w:hint="eastAsia" w:ascii="宋体" w:hAnsi="宋体" w:eastAsia="宋体" w:cs="宋体"/>
                <w:color w:val="000000"/>
                <w:sz w:val="24"/>
                <w:szCs w:val="24"/>
              </w:rPr>
              <w:t>）；</w:t>
            </w:r>
          </w:p>
          <w:p>
            <w:pPr>
              <w:pStyle w:val="17"/>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3</w:t>
            </w:r>
            <w:r>
              <w:rPr>
                <w:rFonts w:hint="eastAsia" w:hAnsi="宋体" w:cs="宋体"/>
                <w:sz w:val="24"/>
                <w:szCs w:val="24"/>
                <w:lang w:val="en-US" w:eastAsia="zh-CN"/>
              </w:rPr>
              <w:t>、</w:t>
            </w:r>
            <w:r>
              <w:rPr>
                <w:rFonts w:hint="eastAsia" w:ascii="宋体" w:hAnsi="宋体" w:eastAsia="宋体" w:cs="宋体"/>
                <w:sz w:val="24"/>
                <w:szCs w:val="24"/>
                <w:lang w:val="en-US" w:eastAsia="zh-CN"/>
              </w:rPr>
              <w:t>采购单位或</w:t>
            </w:r>
            <w:r>
              <w:rPr>
                <w:rFonts w:hint="eastAsia" w:ascii="宋体" w:hAnsi="宋体" w:eastAsia="宋体" w:cs="宋体"/>
                <w:color w:val="auto"/>
                <w:sz w:val="24"/>
                <w:szCs w:val="24"/>
                <w:highlight w:val="none"/>
              </w:rPr>
              <w:t>被服务单位履约评价为</w:t>
            </w:r>
            <w:r>
              <w:rPr>
                <w:rFonts w:hint="eastAsia" w:ascii="宋体" w:hAnsi="宋体" w:eastAsia="宋体" w:cs="宋体"/>
                <w:color w:val="000000"/>
                <w:sz w:val="24"/>
                <w:szCs w:val="24"/>
              </w:rPr>
              <w:t>“合格”或“优”或“满意”</w:t>
            </w:r>
            <w:r>
              <w:rPr>
                <w:rFonts w:hint="eastAsia" w:ascii="宋体" w:hAnsi="宋体" w:eastAsia="宋体" w:cs="宋体"/>
                <w:color w:val="auto"/>
                <w:sz w:val="24"/>
                <w:szCs w:val="24"/>
                <w:highlight w:val="none"/>
              </w:rPr>
              <w:t>并加盖被服务单位公章</w:t>
            </w:r>
            <w:r>
              <w:rPr>
                <w:rFonts w:hint="eastAsia" w:ascii="宋体" w:hAnsi="宋体" w:eastAsia="宋体" w:cs="宋体"/>
                <w:color w:val="auto"/>
                <w:sz w:val="24"/>
                <w:szCs w:val="24"/>
                <w:highlight w:val="none"/>
                <w:lang w:val="en-US" w:eastAsia="zh-CN"/>
              </w:rPr>
              <w:t>或业务章</w:t>
            </w:r>
            <w:r>
              <w:rPr>
                <w:rFonts w:hint="eastAsia" w:ascii="宋体" w:hAnsi="宋体" w:eastAsia="宋体" w:cs="宋体"/>
                <w:color w:val="auto"/>
                <w:sz w:val="24"/>
                <w:szCs w:val="24"/>
                <w:highlight w:val="none"/>
              </w:rPr>
              <w:t>的相关证明文件。证明文件的内容包括但不仅限于合同的项目名称、总体履约评价结果、出具证明的签署日期等相关内容,如提交的证明材料其评价结果没有结论而仅是打分的（比如打100分、98分、95分、85分等的）不计分；</w:t>
            </w:r>
          </w:p>
          <w:p>
            <w:pPr>
              <w:pStyle w:val="17"/>
              <w:rPr>
                <w:rFonts w:hint="eastAsia" w:ascii="宋体" w:hAnsi="宋体" w:eastAsia="宋体" w:cs="宋体"/>
                <w:color w:val="auto"/>
                <w:sz w:val="24"/>
                <w:szCs w:val="24"/>
                <w:highlight w:val="none"/>
              </w:rPr>
            </w:pPr>
            <w:r>
              <w:rPr>
                <w:rFonts w:hint="eastAsia" w:ascii="宋体" w:hAnsi="宋体" w:cs="宋体"/>
                <w:color w:val="000000"/>
                <w:sz w:val="24"/>
                <w:lang w:val="en-US" w:eastAsia="zh-CN"/>
              </w:rPr>
              <w:t>4</w:t>
            </w:r>
            <w:r>
              <w:rPr>
                <w:rFonts w:hint="eastAsia" w:ascii="宋体" w:hAnsi="宋体" w:cs="宋体"/>
                <w:color w:val="000000"/>
                <w:sz w:val="24"/>
              </w:rPr>
              <w:t>、以上证明材料未按要求提供或提供不清晰导致专家无法判断的不得分。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4</w:t>
            </w:r>
          </w:p>
        </w:tc>
        <w:tc>
          <w:tcPr>
            <w:tcW w:w="386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诚信情况</w:t>
            </w:r>
          </w:p>
        </w:tc>
        <w:tc>
          <w:tcPr>
            <w:tcW w:w="4529"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szCs w:val="24"/>
              </w:rPr>
            </w:pPr>
            <w:r>
              <w:rPr>
                <w:rFonts w:hint="eastAsia" w:ascii="宋体" w:hAnsi="宋体" w:eastAsia="宋体" w:cs="宋体"/>
                <w:b/>
                <w:bCs/>
                <w:color w:val="0000FF"/>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hint="eastAsia"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9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8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权重(%)</w:t>
            </w:r>
          </w:p>
        </w:tc>
        <w:tc>
          <w:tcPr>
            <w:tcW w:w="452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39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 w:val="24"/>
                <w:szCs w:val="24"/>
              </w:rPr>
            </w:pPr>
            <w:r>
              <w:rPr>
                <w:rFonts w:hint="eastAsia" w:ascii="宋体" w:hAnsi="宋体" w:eastAsia="宋体" w:cs="宋体"/>
                <w:sz w:val="24"/>
                <w:szCs w:val="24"/>
              </w:rPr>
              <w:t>诚信情况</w:t>
            </w:r>
          </w:p>
        </w:tc>
        <w:tc>
          <w:tcPr>
            <w:tcW w:w="786"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eastAsia" w:ascii="宋体" w:hAnsi="宋体" w:eastAsia="宋体" w:cs="宋体"/>
                <w:sz w:val="24"/>
                <w:szCs w:val="24"/>
              </w:rPr>
            </w:pPr>
            <w:r>
              <w:rPr>
                <w:rFonts w:hint="eastAsia" w:ascii="宋体" w:hAnsi="宋体" w:eastAsia="宋体" w:cs="宋体"/>
                <w:sz w:val="24"/>
                <w:szCs w:val="24"/>
              </w:rPr>
              <w:t>5</w:t>
            </w:r>
          </w:p>
        </w:tc>
        <w:tc>
          <w:tcPr>
            <w:tcW w:w="4529" w:type="dxa"/>
            <w:tcBorders>
              <w:top w:val="single" w:color="000000" w:sz="8" w:space="0"/>
              <w:left w:val="single" w:color="000000" w:sz="8" w:space="0"/>
              <w:bottom w:val="single" w:color="000000" w:sz="8" w:space="0"/>
              <w:right w:val="single" w:color="000000" w:sz="8" w:space="0"/>
            </w:tcBorders>
            <w:vAlign w:val="top"/>
          </w:tcPr>
          <w:p>
            <w:pPr>
              <w:pStyle w:val="3"/>
              <w:wordWrap w:val="0"/>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宋体" w:hAnsi="宋体" w:eastAsia="宋体" w:cs="宋体"/>
                <w:b w:val="0"/>
                <w:bCs w:val="0"/>
                <w:sz w:val="24"/>
                <w:szCs w:val="24"/>
                <w:lang w:val="en-US" w:eastAsia="zh-CN"/>
              </w:rPr>
              <w:t>有关</w:t>
            </w:r>
            <w:r>
              <w:rPr>
                <w:rFonts w:hint="eastAsia" w:ascii="宋体" w:hAnsi="宋体" w:eastAsia="宋体" w:cs="宋体"/>
                <w:b w:val="0"/>
                <w:bCs w:val="0"/>
                <w:sz w:val="24"/>
                <w:szCs w:val="24"/>
              </w:rPr>
              <w:t>供应商诚信查询结果。</w:t>
            </w:r>
          </w:p>
          <w:p>
            <w:pPr>
              <w:pStyle w:val="3"/>
              <w:wordWrap w:val="0"/>
              <w:spacing w:line="24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ascii="宋体" w:hAnsi="宋体"/>
          <w:sz w:val="24"/>
        </w:rPr>
      </w:pPr>
    </w:p>
    <w:p>
      <w:pPr>
        <w:sectPr>
          <w:pgSz w:w="11907" w:h="16840"/>
          <w:pgMar w:top="1440" w:right="1417" w:bottom="1440" w:left="1417" w:header="851" w:footer="992" w:gutter="0"/>
          <w:cols w:space="425" w:num="1"/>
          <w:titlePg/>
          <w:docGrid w:linePitch="462" w:charSpace="0"/>
        </w:sectPr>
      </w:pPr>
    </w:p>
    <w:p>
      <w:pPr>
        <w:jc w:val="center"/>
        <w:rPr>
          <w:rFonts w:hint="eastAsia"/>
          <w:b/>
          <w:sz w:val="120"/>
          <w:szCs w:val="120"/>
        </w:rPr>
      </w:pPr>
    </w:p>
    <w:p>
      <w:pPr>
        <w:jc w:val="center"/>
        <w:rPr>
          <w:rFonts w:hint="eastAsia"/>
          <w:b/>
          <w:sz w:val="120"/>
          <w:szCs w:val="120"/>
        </w:rPr>
      </w:pPr>
    </w:p>
    <w:p>
      <w:pPr>
        <w:jc w:val="center"/>
        <w:rPr>
          <w:rFonts w:hint="eastAsia"/>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w:t>
      </w:r>
      <w:bookmarkEnd w:id="0"/>
    </w:p>
    <w:p>
      <w:pPr>
        <w:ind w:firstLine="420" w:firstLineChars="200"/>
        <w:rPr>
          <w:rFonts w:hint="eastAsia"/>
        </w:rPr>
      </w:pPr>
      <w:r>
        <w:rPr>
          <w:rFonts w:hint="eastAsia"/>
        </w:rPr>
        <w:br w:type="page"/>
      </w:r>
    </w:p>
    <w:p>
      <w:pPr>
        <w:pStyle w:val="7"/>
        <w:ind w:firstLine="3855" w:firstLineChars="1600"/>
        <w:jc w:val="both"/>
        <w:rPr>
          <w:color w:val="FF0000"/>
          <w:szCs w:val="21"/>
        </w:rPr>
      </w:pPr>
      <w:r>
        <w:rPr>
          <w:rFonts w:hint="eastAsia"/>
          <w:b/>
          <w:bCs/>
          <w:color w:val="FF0000"/>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rFonts w:hint="eastAsia"/>
          <w:b/>
          <w:color w:val="FF0000"/>
        </w:rPr>
      </w:pPr>
      <w:r>
        <w:rPr>
          <w:rFonts w:hint="eastAsia"/>
          <w:b/>
          <w:color w:val="FF0000"/>
        </w:rPr>
        <w:t>四、请投标供应商阅读《政府采购违法行为风险知悉确认书》（内容详见“投标文件附件”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0"/>
          <w:szCs w:val="20"/>
        </w:rPr>
        <w:t>取消参与本市政府采购资格</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依法吊销其营业</w:t>
      </w:r>
      <w:r>
        <w:rPr>
          <w:rFonts w:hint="eastAsia" w:ascii="宋体" w:hAnsi="宋体" w:eastAsia="宋体" w:cs="宋体"/>
          <w:color w:val="FF0000"/>
          <w:sz w:val="20"/>
          <w:szCs w:val="20"/>
          <w:lang w:val="en-US" w:eastAsia="zh-CN"/>
        </w:rPr>
        <w:t>执照等行政处罚，</w:t>
      </w:r>
      <w:r>
        <w:rPr>
          <w:rFonts w:hint="eastAsia" w:ascii="宋体" w:hAnsi="宋体" w:eastAsia="宋体" w:cs="宋体"/>
          <w:color w:val="FF0000"/>
          <w:sz w:val="20"/>
          <w:szCs w:val="20"/>
        </w:rPr>
        <w:t>构成犯罪的，依法追究刑事责任</w:t>
      </w:r>
      <w:r>
        <w:rPr>
          <w:rFonts w:hint="eastAsia" w:ascii="宋体" w:hAnsi="宋体" w:eastAsia="宋体" w:cs="宋体"/>
          <w:b w:val="0"/>
          <w:bCs/>
          <w:color w:val="FF0000"/>
          <w:sz w:val="20"/>
          <w:szCs w:val="20"/>
          <w:lang w:val="en-US" w:eastAsia="zh-CN"/>
        </w:rPr>
        <w:t>，请各供应商独立编制、上传投标文件，妥善保管和使用电子秘钥。</w:t>
      </w:r>
    </w:p>
    <w:p>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pPr>
        <w:pStyle w:val="4"/>
      </w:pPr>
      <w:r>
        <w:rPr>
          <w:rFonts w:hint="eastAsia"/>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4"/>
        <w:rPr>
          <w:sz w:val="24"/>
        </w:rPr>
      </w:pPr>
      <w:r>
        <w:br w:type="page"/>
      </w:r>
      <w:bookmarkStart w:id="2" w:name="bt投标报价汇总表"/>
      <w:bookmarkEnd w:id="2"/>
      <w:bookmarkStart w:id="3" w:name="bt商务标投标文件格式"/>
      <w:bookmarkEnd w:id="3"/>
      <w:bookmarkStart w:id="4" w:name="bt合同条款及格式"/>
      <w:bookmarkEnd w:id="4"/>
      <w:bookmarkStart w:id="5" w:name="bt合同格式"/>
      <w:bookmarkEnd w:id="5"/>
      <w:bookmarkStart w:id="6" w:name="bt开标一览表"/>
      <w:bookmarkEnd w:id="6"/>
      <w:bookmarkStart w:id="7" w:name="bt投标函"/>
      <w:bookmarkEnd w:id="7"/>
      <w:bookmarkStart w:id="8" w:name="bt本工程承诺书"/>
      <w:bookmarkEnd w:id="8"/>
      <w:bookmarkStart w:id="9" w:name="bt项目管理班子配备情况"/>
      <w:bookmarkEnd w:id="9"/>
      <w:bookmarkStart w:id="10" w:name="bt投标人须知"/>
      <w:bookmarkEnd w:id="10"/>
      <w:bookmarkStart w:id="11" w:name="bt技术标投标文件格式"/>
      <w:bookmarkEnd w:id="11"/>
      <w:bookmarkStart w:id="12" w:name="bt合同条款"/>
      <w:bookmarkEnd w:id="12"/>
      <w:bookmarkStart w:id="13" w:name="bt投标人情况介绍"/>
      <w:bookmarkEnd w:id="13"/>
      <w:bookmarkStart w:id="14" w:name="bt说明"/>
      <w:bookmarkEnd w:id="14"/>
      <w:bookmarkStart w:id="15" w:name="bt其他资料2"/>
      <w:bookmarkEnd w:id="15"/>
      <w:bookmarkStart w:id="16" w:name="bt其他资料由投标人自定"/>
      <w:bookmarkEnd w:id="16"/>
      <w:bookmarkStart w:id="17" w:name="合同格式"/>
      <w:bookmarkEnd w:id="17"/>
      <w:bookmarkStart w:id="18" w:name="bt投标文件签署授权委托书"/>
      <w:bookmarkEnd w:id="18"/>
      <w:r>
        <w:rPr>
          <w:rFonts w:hint="eastAsia"/>
        </w:rPr>
        <w:t>第一册</w:t>
      </w:r>
      <w:r>
        <w:rPr>
          <w:rFonts w:hint="eastAsia"/>
          <w:lang w:val="en-US" w:eastAsia="zh-CN"/>
        </w:rPr>
        <w:t xml:space="preserve">  </w:t>
      </w:r>
      <w:r>
        <w:rPr>
          <w:rFonts w:hint="eastAsia"/>
        </w:rPr>
        <w:t>专用条款</w:t>
      </w:r>
    </w:p>
    <w:p>
      <w:pPr>
        <w:pStyle w:val="7"/>
        <w:rPr>
          <w:rFonts w:hint="eastAsia"/>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具有独立承担民事责任的能力（提供营业执照或事业单位法人证书等证明资料扫描件，原件备查）</w:t>
                  </w:r>
                  <w:bookmarkEnd w:id="19"/>
                  <w:r>
                    <w:rPr>
                      <w:rFonts w:hint="eastAsia" w:eastAsia="宋体"/>
                      <w:lang w:eastAsia="zh-CN"/>
                    </w:rPr>
                    <w:t>；</w:t>
                  </w:r>
                </w:p>
                <w:p>
                  <w:pPr>
                    <w:ind w:firstLine="630" w:firstLineChars="300"/>
                    <w:rPr>
                      <w:rFonts w:ascii="宋体" w:hAnsi="宋体" w:cs="宋体"/>
                      <w:kern w:val="0"/>
                      <w:szCs w:val="21"/>
                    </w:rPr>
                  </w:pPr>
                  <w:r>
                    <w:rPr>
                      <w:rFonts w:hint="eastAsia" w:ascii="宋体" w:hAnsi="宋体" w:cs="宋体"/>
                      <w:color w:val="FF0000"/>
                      <w:kern w:val="0"/>
                      <w:szCs w:val="21"/>
                    </w:rPr>
                    <w:t>2.本项目不接受联合体投标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w:t>
                  </w:r>
                  <w:r>
                    <w:rPr>
                      <w:rFonts w:hint="eastAsia" w:ascii="宋体" w:hAnsi="宋体" w:cs="宋体"/>
                      <w:color w:val="FF0000"/>
                      <w:kern w:val="0"/>
                      <w:szCs w:val="21"/>
                      <w:lang w:val="en-US" w:eastAsia="zh-CN"/>
                    </w:rPr>
                    <w:t>不允许分包，</w:t>
                  </w:r>
                  <w:r>
                    <w:rPr>
                      <w:rFonts w:hint="eastAsia" w:ascii="宋体" w:hAnsi="宋体" w:cs="宋体"/>
                      <w:color w:val="FF0000"/>
                      <w:kern w:val="0"/>
                      <w:szCs w:val="21"/>
                    </w:rPr>
                    <w:t>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auto"/>
                      <w:kern w:val="0"/>
                      <w:szCs w:val="21"/>
                      <w:lang w:val="en-US" w:eastAsia="zh-CN"/>
                    </w:rPr>
                    <w:t>6.不存在《深圳市财政局政府采购供应商信用信息管理办法》（深财规〔2023〕3号）列明的严重违法失信行为</w:t>
                  </w:r>
                  <w:r>
                    <w:rPr>
                      <w:rFonts w:hint="eastAsia" w:ascii="宋体" w:hAnsi="宋体" w:cs="宋体"/>
                      <w:color w:val="auto"/>
                      <w:kern w:val="0"/>
                      <w:szCs w:val="21"/>
                    </w:rPr>
                    <w:t>（由供应商在《政府采购投标及履约承诺函》中作出声明）</w:t>
                  </w:r>
                  <w:r>
                    <w:rPr>
                      <w:rFonts w:hint="eastAsia" w:ascii="宋体" w:hAnsi="宋体" w:cs="宋体"/>
                      <w:color w:val="auto"/>
                      <w:kern w:val="0"/>
                      <w:szCs w:val="21"/>
                      <w:lang w:eastAsia="zh-CN"/>
                    </w:rPr>
                    <w:t>；</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ascii="宋体" w:hAnsi="宋体" w:cs="宋体"/>
                      <w:b/>
                      <w:bCs/>
                      <w:color w:val="FF0000"/>
                      <w:kern w:val="0"/>
                      <w:szCs w:val="21"/>
                    </w:rPr>
                  </w:pPr>
                  <w:r>
                    <w:rPr>
                      <w:rFonts w:hint="eastAsia" w:ascii="宋体" w:hAnsi="宋体" w:cs="宋体"/>
                      <w:color w:val="FF0000"/>
                      <w:kern w:val="0"/>
                      <w:szCs w:val="21"/>
                      <w:lang w:val="en-US" w:eastAsia="zh-CN"/>
                    </w:rPr>
                    <w:t>8</w:t>
                  </w:r>
                  <w:r>
                    <w:rPr>
                      <w:rFonts w:hint="eastAsia" w:ascii="宋体" w:hAnsi="宋体" w:cs="宋体"/>
                      <w:color w:val="FF0000"/>
                      <w:kern w:val="0"/>
                      <w:szCs w:val="21"/>
                    </w:rPr>
                    <w:t>.本项目是（否）专门面向中小企业采购</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否</w:t>
                  </w:r>
                  <w:r>
                    <w:rPr>
                      <w:rFonts w:hint="eastAsia" w:ascii="宋体" w:hAnsi="宋体" w:cs="宋体"/>
                      <w:color w:val="FF0000"/>
                      <w:kern w:val="0"/>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pPr>
              <w:rPr>
                <w:rFonts w:ascii="宋体" w:hAnsi="宋体" w:cs="宋体"/>
                <w:sz w:val="24"/>
              </w:rPr>
            </w:pPr>
          </w:p>
        </w:tc>
      </w:tr>
    </w:tbl>
    <w:p>
      <w:r>
        <w:rPr>
          <w:rFonts w:hint="eastAsia"/>
        </w:rPr>
        <w:br w:type="page"/>
      </w:r>
    </w:p>
    <w:p>
      <w:pPr>
        <w:pStyle w:val="7"/>
        <w:rPr>
          <w:sz w:val="28"/>
          <w:szCs w:val="28"/>
        </w:rPr>
      </w:pPr>
      <w:r>
        <w:rPr>
          <w:rFonts w:hint="eastAsia"/>
          <w:sz w:val="28"/>
          <w:szCs w:val="28"/>
        </w:rPr>
        <w:t>第二章 对通用条款的补充内容及其他关键信息</w:t>
      </w:r>
    </w:p>
    <w:p>
      <w:pPr>
        <w:pStyle w:val="7"/>
        <w:spacing w:before="120" w:beforeLines="50" w:after="120" w:afterLines="50"/>
        <w:rPr>
          <w:sz w:val="28"/>
          <w:szCs w:val="28"/>
        </w:rPr>
      </w:pPr>
      <w:bookmarkStart w:id="20" w:name="_Toc73521547"/>
      <w:bookmarkStart w:id="21" w:name="_Toc60631620"/>
      <w:bookmarkStart w:id="22" w:name="_Toc73517639"/>
      <w:bookmarkStart w:id="23" w:name="_Toc73518117"/>
      <w:bookmarkStart w:id="24" w:name="_Toc100052364"/>
      <w:bookmarkStart w:id="25" w:name="_Toc73521635"/>
      <w:bookmarkStart w:id="26" w:name="_Toc60560625"/>
      <w:bookmarkStart w:id="27" w:name="_Toc101074876"/>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深圳市龙岗区建设工程质量检测中心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深圳公共资源交易中心（深圳交易集团有限公司</w:t>
            </w:r>
            <w:r>
              <w:rPr>
                <w:rFonts w:hint="eastAsia" w:ascii="宋体" w:hAnsi="宋体" w:cs="宋体"/>
                <w:kern w:val="0"/>
              </w:rPr>
              <w:t>龙岗</w:t>
            </w:r>
            <w:r>
              <w:rPr>
                <w:rFonts w:hint="eastAsia" w:ascii="宋体" w:hAnsi="宋体"/>
              </w:rPr>
              <w:t>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2409" w:type="dxa"/>
            <w:vAlign w:val="center"/>
          </w:tcPr>
          <w:p>
            <w:pPr>
              <w:jc w:val="center"/>
              <w:rPr>
                <w:rFonts w:ascii="宋体" w:hAnsi="宋体"/>
              </w:rPr>
            </w:pPr>
            <w:r>
              <w:rPr>
                <w:rFonts w:hint="eastAsia" w:ascii="宋体" w:hAnsi="宋体"/>
              </w:rPr>
              <w:t>联合体投标</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不需要</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4"/>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7"/>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957" w:type="dxa"/>
          </w:tcPr>
          <w:p>
            <w:pPr>
              <w:jc w:val="center"/>
            </w:pPr>
            <w:r>
              <w:rPr>
                <w:rFonts w:hint="eastAsia"/>
              </w:rPr>
              <w:t>评标方法</w:t>
            </w:r>
          </w:p>
        </w:tc>
        <w:tc>
          <w:tcPr>
            <w:tcW w:w="4502" w:type="dxa"/>
          </w:tcPr>
          <w:p>
            <w:pPr>
              <w:jc w:val="center"/>
              <w:rPr>
                <w:rFonts w:hint="default" w:eastAsia="宋体"/>
                <w:lang w:val="en-US" w:eastAsia="zh-CN"/>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957" w:type="dxa"/>
          </w:tcPr>
          <w:p>
            <w:pPr>
              <w:jc w:val="center"/>
            </w:pPr>
            <w:r>
              <w:rPr>
                <w:rFonts w:hint="eastAsia"/>
              </w:rPr>
              <w:t>候选中标供应商家数</w:t>
            </w:r>
          </w:p>
        </w:tc>
        <w:tc>
          <w:tcPr>
            <w:tcW w:w="4502" w:type="dxa"/>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957" w:type="dxa"/>
          </w:tcPr>
          <w:p>
            <w:pPr>
              <w:jc w:val="center"/>
            </w:pPr>
            <w:r>
              <w:rPr>
                <w:rFonts w:hint="eastAsia"/>
              </w:rPr>
              <w:t>中标供应商家数</w:t>
            </w:r>
          </w:p>
        </w:tc>
        <w:tc>
          <w:tcPr>
            <w:tcW w:w="4502" w:type="dxa"/>
          </w:tcPr>
          <w:p>
            <w:pPr>
              <w:jc w:val="center"/>
            </w:pPr>
            <w:r>
              <w:rPr>
                <w:rFonts w:hint="eastAsia"/>
              </w:rPr>
              <w:t>1</w:t>
            </w:r>
          </w:p>
        </w:tc>
      </w:tr>
    </w:tbl>
    <w:p>
      <w:pPr>
        <w:pStyle w:val="35"/>
      </w:pPr>
    </w:p>
    <w:bookmarkEnd w:id="29"/>
    <w:p>
      <w:pPr>
        <w:ind w:firstLine="422" w:firstLineChars="200"/>
        <w:rPr>
          <w:rFonts w:hint="eastAsia"/>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rPr>
        <w:t>的扣除，用扣除后的价格参与评审。满足多项优惠政策的企业，不重复享受多项价格扣除政策。</w:t>
      </w:r>
    </w:p>
    <w:p>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rFonts w:hint="eastAsia"/>
          <w:sz w:val="21"/>
          <w:szCs w:val="21"/>
        </w:rPr>
      </w:pPr>
      <w:r>
        <w:rPr>
          <w:rFonts w:ascii="宋体" w:hAnsi="宋体" w:eastAsia="宋体" w:cs="宋体"/>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《中小企业声明函》中相关企业所属行业应当与采购标的所属行业相一致。</w:t>
      </w:r>
      <w:r>
        <w:rPr>
          <w:rFonts w:hint="eastAsia"/>
          <w:sz w:val="21"/>
          <w:szCs w:val="21"/>
        </w:rPr>
        <w:t>本项目采购标的（龙岗区建设工程质量检测中心抗渗试样制样装卸、水泥试模拆装和垃圾清运及其他项目辅助工作服务采购）对应的中小企业划分标准所属行业为</w:t>
      </w:r>
      <w:r>
        <w:rPr>
          <w:color w:val="FF0000"/>
          <w:sz w:val="21"/>
          <w:szCs w:val="21"/>
          <w:u w:val="single"/>
        </w:rPr>
        <w:t xml:space="preserve">  </w:t>
      </w:r>
      <w:r>
        <w:rPr>
          <w:rFonts w:hint="eastAsia"/>
          <w:color w:val="FF0000"/>
          <w:u w:val="single"/>
        </w:rPr>
        <w:t>其他未列明行业</w:t>
      </w:r>
      <w:r>
        <w:rPr>
          <w:color w:val="FF0000"/>
          <w:sz w:val="21"/>
          <w:szCs w:val="21"/>
          <w:u w:val="single"/>
        </w:rPr>
        <w:t xml:space="preserve"> </w:t>
      </w:r>
      <w:r>
        <w:rPr>
          <w:rFonts w:hint="eastAsia" w:ascii="Times New Roman" w:eastAsia="宋体"/>
          <w:color w:val="FF0000"/>
          <w:sz w:val="21"/>
          <w:szCs w:val="21"/>
          <w:u w:val="single"/>
          <w:lang w:val="en-US" w:eastAsia="zh-CN"/>
        </w:rPr>
        <w:t xml:space="preserve"> </w:t>
      </w:r>
    </w:p>
    <w:p>
      <w:pPr>
        <w:numPr>
          <w:ilvl w:val="0"/>
          <w:numId w:val="7"/>
        </w:numPr>
        <w:ind w:firstLine="420" w:firstLineChars="200"/>
      </w:pPr>
      <w:r>
        <w:rPr>
          <w:rFonts w:hint="eastAsia"/>
          <w:sz w:val="21"/>
          <w:szCs w:val="21"/>
        </w:rPr>
        <w:t>小型企业、微</w:t>
      </w:r>
      <w:r>
        <w:rPr>
          <w:rFonts w:hint="eastAsia"/>
        </w:rPr>
        <w:t xml:space="preserve">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w:t>
      </w:r>
      <w:r>
        <w:rPr>
          <w:rFonts w:hint="eastAsia"/>
          <w:lang w:eastAsia="zh-CN"/>
        </w:rPr>
        <w:t>“</w:t>
      </w:r>
      <w:r>
        <w:rPr>
          <w:rFonts w:hint="eastAsia"/>
        </w:rPr>
        <w:t>投标文件组成要求及格式”中“投标人情况及资格证明文件”章节提供的格式）。</w:t>
      </w:r>
    </w:p>
    <w:p>
      <w:pPr>
        <w:numPr>
          <w:ilvl w:val="0"/>
          <w:numId w:val="7"/>
        </w:numPr>
        <w:ind w:firstLine="420" w:firstLineChars="200"/>
        <w:rPr>
          <w:rFonts w:hint="eastAsia"/>
        </w:rPr>
      </w:pPr>
      <w:r>
        <w:rPr>
          <w:rFonts w:hint="eastAsia"/>
        </w:rPr>
        <w:t>享受价格扣除获得政府采购合同的，小微企业不得将合同分包给大中型企业。</w:t>
      </w:r>
    </w:p>
    <w:p>
      <w:pPr>
        <w:ind w:firstLine="422" w:firstLineChars="200"/>
        <w:rPr>
          <w:rFonts w:hint="eastAsia"/>
          <w:b/>
        </w:rPr>
      </w:pPr>
      <w:r>
        <w:rPr>
          <w:rFonts w:hint="eastAsia" w:ascii="Times New Roman" w:eastAsia="宋体"/>
          <w:b/>
          <w:bCs/>
          <w:lang w:val="en-US" w:eastAsia="zh-CN"/>
        </w:rPr>
        <w:t>2、本项目为代理服务项目，将向中标（成交）供应商收取代理服务费。</w:t>
      </w:r>
      <w:bookmarkStart w:id="30" w:name="_Hlk72594729"/>
      <w:bookmarkStart w:id="31" w:name="_Hlk76855768"/>
    </w:p>
    <w:bookmarkEnd w:id="30"/>
    <w:bookmarkEnd w:id="31"/>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val="en-US" w:eastAsia="zh-CN"/>
        </w:rPr>
        <w:t>龙岗</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24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240" w:lineRule="auto"/>
              <w:jc w:val="center"/>
            </w:pPr>
            <w:r>
              <w:rPr>
                <w:rFonts w:hint="eastAsia"/>
              </w:rPr>
              <w:t>货物采购</w:t>
            </w:r>
          </w:p>
        </w:tc>
        <w:tc>
          <w:tcPr>
            <w:tcW w:w="1799" w:type="dxa"/>
            <w:vAlign w:val="center"/>
          </w:tcPr>
          <w:p>
            <w:pPr>
              <w:widowControl/>
              <w:spacing w:line="240" w:lineRule="auto"/>
              <w:jc w:val="center"/>
            </w:pPr>
            <w:r>
              <w:rPr>
                <w:rFonts w:hint="eastAsia"/>
              </w:rPr>
              <w:t>服务采购</w:t>
            </w:r>
          </w:p>
        </w:tc>
        <w:tc>
          <w:tcPr>
            <w:tcW w:w="1799" w:type="dxa"/>
            <w:vAlign w:val="center"/>
          </w:tcPr>
          <w:p>
            <w:pPr>
              <w:widowControl/>
              <w:spacing w:line="24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100万元以下</w:t>
            </w:r>
          </w:p>
        </w:tc>
        <w:tc>
          <w:tcPr>
            <w:tcW w:w="1799" w:type="dxa"/>
            <w:vAlign w:val="center"/>
          </w:tcPr>
          <w:p>
            <w:pPr>
              <w:widowControl/>
              <w:spacing w:line="240" w:lineRule="auto"/>
              <w:jc w:val="center"/>
            </w:pPr>
            <w:r>
              <w:rPr>
                <w:rFonts w:hint="eastAsia"/>
              </w:rPr>
              <w:t>1.5%</w:t>
            </w:r>
          </w:p>
        </w:tc>
        <w:tc>
          <w:tcPr>
            <w:tcW w:w="1799" w:type="dxa"/>
            <w:vAlign w:val="center"/>
          </w:tcPr>
          <w:p>
            <w:pPr>
              <w:widowControl/>
              <w:spacing w:line="240" w:lineRule="auto"/>
              <w:jc w:val="center"/>
            </w:pPr>
            <w:r>
              <w:rPr>
                <w:rFonts w:hint="eastAsia"/>
              </w:rPr>
              <w:t>1.5%</w:t>
            </w:r>
          </w:p>
        </w:tc>
        <w:tc>
          <w:tcPr>
            <w:tcW w:w="1799" w:type="dxa"/>
            <w:vAlign w:val="center"/>
          </w:tcPr>
          <w:p>
            <w:pPr>
              <w:widowControl/>
              <w:spacing w:line="24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100万元（含）-500万元</w:t>
            </w:r>
          </w:p>
        </w:tc>
        <w:tc>
          <w:tcPr>
            <w:tcW w:w="1799" w:type="dxa"/>
            <w:vAlign w:val="center"/>
          </w:tcPr>
          <w:p>
            <w:pPr>
              <w:widowControl/>
              <w:spacing w:line="240" w:lineRule="auto"/>
              <w:jc w:val="center"/>
            </w:pPr>
            <w:r>
              <w:rPr>
                <w:rFonts w:hint="eastAsia"/>
              </w:rPr>
              <w:t>1.1%</w:t>
            </w:r>
          </w:p>
        </w:tc>
        <w:tc>
          <w:tcPr>
            <w:tcW w:w="1799" w:type="dxa"/>
            <w:vAlign w:val="center"/>
          </w:tcPr>
          <w:p>
            <w:pPr>
              <w:widowControl/>
              <w:spacing w:line="240" w:lineRule="auto"/>
              <w:jc w:val="center"/>
            </w:pPr>
            <w:r>
              <w:rPr>
                <w:rFonts w:hint="eastAsia"/>
              </w:rPr>
              <w:t>0.8%</w:t>
            </w:r>
          </w:p>
        </w:tc>
        <w:tc>
          <w:tcPr>
            <w:tcW w:w="1799" w:type="dxa"/>
            <w:vAlign w:val="center"/>
          </w:tcPr>
          <w:p>
            <w:pPr>
              <w:widowControl/>
              <w:spacing w:line="24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500万元（含）-1000万元</w:t>
            </w:r>
          </w:p>
        </w:tc>
        <w:tc>
          <w:tcPr>
            <w:tcW w:w="1799" w:type="dxa"/>
            <w:vAlign w:val="center"/>
          </w:tcPr>
          <w:p>
            <w:pPr>
              <w:widowControl/>
              <w:spacing w:line="240" w:lineRule="auto"/>
              <w:jc w:val="center"/>
            </w:pPr>
            <w:r>
              <w:rPr>
                <w:rFonts w:hint="eastAsia"/>
              </w:rPr>
              <w:t>0.8%</w:t>
            </w:r>
          </w:p>
        </w:tc>
        <w:tc>
          <w:tcPr>
            <w:tcW w:w="1799" w:type="dxa"/>
            <w:vAlign w:val="center"/>
          </w:tcPr>
          <w:p>
            <w:pPr>
              <w:widowControl/>
              <w:spacing w:line="240" w:lineRule="auto"/>
              <w:jc w:val="center"/>
            </w:pPr>
            <w:r>
              <w:rPr>
                <w:rFonts w:hint="eastAsia"/>
              </w:rPr>
              <w:t>0.45%</w:t>
            </w:r>
          </w:p>
        </w:tc>
        <w:tc>
          <w:tcPr>
            <w:tcW w:w="1799" w:type="dxa"/>
            <w:vAlign w:val="center"/>
          </w:tcPr>
          <w:p>
            <w:pPr>
              <w:widowControl/>
              <w:spacing w:line="24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1000万元（含）-5000万元</w:t>
            </w:r>
          </w:p>
        </w:tc>
        <w:tc>
          <w:tcPr>
            <w:tcW w:w="1799" w:type="dxa"/>
            <w:vAlign w:val="center"/>
          </w:tcPr>
          <w:p>
            <w:pPr>
              <w:widowControl/>
              <w:spacing w:line="240" w:lineRule="auto"/>
              <w:jc w:val="center"/>
            </w:pPr>
            <w:r>
              <w:rPr>
                <w:rFonts w:hint="eastAsia"/>
              </w:rPr>
              <w:t>0.5%</w:t>
            </w:r>
          </w:p>
        </w:tc>
        <w:tc>
          <w:tcPr>
            <w:tcW w:w="1799" w:type="dxa"/>
            <w:vAlign w:val="center"/>
          </w:tcPr>
          <w:p>
            <w:pPr>
              <w:widowControl/>
              <w:spacing w:line="240" w:lineRule="auto"/>
              <w:jc w:val="center"/>
            </w:pPr>
            <w:r>
              <w:rPr>
                <w:rFonts w:hint="eastAsia"/>
              </w:rPr>
              <w:t>0.25%</w:t>
            </w:r>
          </w:p>
        </w:tc>
        <w:tc>
          <w:tcPr>
            <w:tcW w:w="1799" w:type="dxa"/>
            <w:vAlign w:val="center"/>
          </w:tcPr>
          <w:p>
            <w:pPr>
              <w:widowControl/>
              <w:spacing w:line="24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5000万元（含）-1亿元</w:t>
            </w:r>
          </w:p>
        </w:tc>
        <w:tc>
          <w:tcPr>
            <w:tcW w:w="1799" w:type="dxa"/>
            <w:vAlign w:val="center"/>
          </w:tcPr>
          <w:p>
            <w:pPr>
              <w:widowControl/>
              <w:spacing w:line="240" w:lineRule="auto"/>
              <w:jc w:val="center"/>
            </w:pPr>
            <w:r>
              <w:rPr>
                <w:rFonts w:hint="eastAsia"/>
              </w:rPr>
              <w:t>0.25%</w:t>
            </w:r>
          </w:p>
        </w:tc>
        <w:tc>
          <w:tcPr>
            <w:tcW w:w="1799" w:type="dxa"/>
            <w:vAlign w:val="center"/>
          </w:tcPr>
          <w:p>
            <w:pPr>
              <w:widowControl/>
              <w:spacing w:line="240" w:lineRule="auto"/>
              <w:jc w:val="center"/>
            </w:pPr>
            <w:r>
              <w:rPr>
                <w:rFonts w:hint="eastAsia"/>
              </w:rPr>
              <w:t>0.1%</w:t>
            </w:r>
          </w:p>
        </w:tc>
        <w:tc>
          <w:tcPr>
            <w:tcW w:w="1799" w:type="dxa"/>
            <w:vAlign w:val="center"/>
          </w:tcPr>
          <w:p>
            <w:pPr>
              <w:widowControl/>
              <w:spacing w:line="24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1亿元（含）-5亿元</w:t>
            </w:r>
          </w:p>
        </w:tc>
        <w:tc>
          <w:tcPr>
            <w:tcW w:w="1799" w:type="dxa"/>
            <w:vAlign w:val="center"/>
          </w:tcPr>
          <w:p>
            <w:pPr>
              <w:widowControl/>
              <w:spacing w:line="240" w:lineRule="auto"/>
              <w:jc w:val="center"/>
            </w:pPr>
            <w:r>
              <w:rPr>
                <w:rFonts w:hint="eastAsia"/>
              </w:rPr>
              <w:t>0.05%</w:t>
            </w:r>
          </w:p>
        </w:tc>
        <w:tc>
          <w:tcPr>
            <w:tcW w:w="1799" w:type="dxa"/>
            <w:vAlign w:val="center"/>
          </w:tcPr>
          <w:p>
            <w:pPr>
              <w:widowControl/>
              <w:spacing w:line="240" w:lineRule="auto"/>
              <w:jc w:val="center"/>
            </w:pPr>
            <w:r>
              <w:rPr>
                <w:rFonts w:hint="eastAsia"/>
              </w:rPr>
              <w:t>0.05%</w:t>
            </w:r>
          </w:p>
        </w:tc>
        <w:tc>
          <w:tcPr>
            <w:tcW w:w="1799" w:type="dxa"/>
            <w:vAlign w:val="center"/>
          </w:tcPr>
          <w:p>
            <w:pPr>
              <w:widowControl/>
              <w:spacing w:line="24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5亿元（含）-10亿元</w:t>
            </w:r>
          </w:p>
        </w:tc>
        <w:tc>
          <w:tcPr>
            <w:tcW w:w="1799" w:type="dxa"/>
            <w:vAlign w:val="center"/>
          </w:tcPr>
          <w:p>
            <w:pPr>
              <w:widowControl/>
              <w:spacing w:line="240" w:lineRule="auto"/>
              <w:jc w:val="center"/>
            </w:pPr>
            <w:r>
              <w:rPr>
                <w:rFonts w:hint="eastAsia"/>
              </w:rPr>
              <w:t>0.035%</w:t>
            </w:r>
          </w:p>
        </w:tc>
        <w:tc>
          <w:tcPr>
            <w:tcW w:w="1799" w:type="dxa"/>
            <w:vAlign w:val="center"/>
          </w:tcPr>
          <w:p>
            <w:pPr>
              <w:widowControl/>
              <w:spacing w:line="240" w:lineRule="auto"/>
              <w:jc w:val="center"/>
            </w:pPr>
            <w:r>
              <w:rPr>
                <w:rFonts w:hint="eastAsia"/>
              </w:rPr>
              <w:t>0.035%</w:t>
            </w:r>
          </w:p>
        </w:tc>
        <w:tc>
          <w:tcPr>
            <w:tcW w:w="1799" w:type="dxa"/>
            <w:vAlign w:val="center"/>
          </w:tcPr>
          <w:p>
            <w:pPr>
              <w:widowControl/>
              <w:spacing w:line="24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240" w:lineRule="auto"/>
              <w:jc w:val="center"/>
            </w:pPr>
            <w:r>
              <w:rPr>
                <w:rFonts w:hint="eastAsia"/>
              </w:rPr>
              <w:t>10亿元（含）-50亿元</w:t>
            </w:r>
          </w:p>
        </w:tc>
        <w:tc>
          <w:tcPr>
            <w:tcW w:w="1799" w:type="dxa"/>
            <w:vAlign w:val="center"/>
          </w:tcPr>
          <w:p>
            <w:pPr>
              <w:widowControl/>
              <w:spacing w:line="240" w:lineRule="auto"/>
              <w:jc w:val="center"/>
            </w:pPr>
            <w:r>
              <w:rPr>
                <w:rFonts w:hint="eastAsia"/>
              </w:rPr>
              <w:t>0.008%</w:t>
            </w:r>
          </w:p>
        </w:tc>
        <w:tc>
          <w:tcPr>
            <w:tcW w:w="1799" w:type="dxa"/>
            <w:vAlign w:val="center"/>
          </w:tcPr>
          <w:p>
            <w:pPr>
              <w:widowControl/>
              <w:spacing w:line="240" w:lineRule="auto"/>
              <w:jc w:val="center"/>
            </w:pPr>
            <w:r>
              <w:rPr>
                <w:rFonts w:hint="eastAsia"/>
              </w:rPr>
              <w:t>0.008%</w:t>
            </w:r>
          </w:p>
        </w:tc>
        <w:tc>
          <w:tcPr>
            <w:tcW w:w="1799" w:type="dxa"/>
            <w:vAlign w:val="center"/>
          </w:tcPr>
          <w:p>
            <w:pPr>
              <w:widowControl/>
              <w:spacing w:line="24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50亿元（含）-100亿元</w:t>
            </w:r>
          </w:p>
        </w:tc>
        <w:tc>
          <w:tcPr>
            <w:tcW w:w="1799" w:type="dxa"/>
            <w:vAlign w:val="center"/>
          </w:tcPr>
          <w:p>
            <w:pPr>
              <w:widowControl/>
              <w:spacing w:line="240" w:lineRule="auto"/>
              <w:jc w:val="center"/>
            </w:pPr>
            <w:r>
              <w:rPr>
                <w:rFonts w:hint="eastAsia"/>
              </w:rPr>
              <w:t>0.006%</w:t>
            </w:r>
          </w:p>
        </w:tc>
        <w:tc>
          <w:tcPr>
            <w:tcW w:w="1799" w:type="dxa"/>
            <w:vAlign w:val="center"/>
          </w:tcPr>
          <w:p>
            <w:pPr>
              <w:widowControl/>
              <w:spacing w:line="240" w:lineRule="auto"/>
              <w:jc w:val="center"/>
            </w:pPr>
            <w:r>
              <w:rPr>
                <w:rFonts w:hint="eastAsia"/>
              </w:rPr>
              <w:t>0.006%</w:t>
            </w:r>
          </w:p>
        </w:tc>
        <w:tc>
          <w:tcPr>
            <w:tcW w:w="1799" w:type="dxa"/>
            <w:vAlign w:val="center"/>
          </w:tcPr>
          <w:p>
            <w:pPr>
              <w:widowControl/>
              <w:spacing w:line="24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jc w:val="center"/>
            </w:pPr>
            <w:r>
              <w:rPr>
                <w:rFonts w:hint="eastAsia"/>
              </w:rPr>
              <w:t>100亿元（含）以上</w:t>
            </w:r>
          </w:p>
        </w:tc>
        <w:tc>
          <w:tcPr>
            <w:tcW w:w="1799" w:type="dxa"/>
            <w:vAlign w:val="center"/>
          </w:tcPr>
          <w:p>
            <w:pPr>
              <w:widowControl/>
              <w:spacing w:line="240" w:lineRule="auto"/>
              <w:jc w:val="center"/>
            </w:pPr>
            <w:r>
              <w:rPr>
                <w:rFonts w:hint="eastAsia"/>
              </w:rPr>
              <w:t>0.004%</w:t>
            </w:r>
          </w:p>
        </w:tc>
        <w:tc>
          <w:tcPr>
            <w:tcW w:w="1799" w:type="dxa"/>
            <w:vAlign w:val="center"/>
          </w:tcPr>
          <w:p>
            <w:pPr>
              <w:widowControl/>
              <w:spacing w:line="240" w:lineRule="auto"/>
              <w:jc w:val="center"/>
            </w:pPr>
            <w:r>
              <w:rPr>
                <w:rFonts w:hint="eastAsia"/>
              </w:rPr>
              <w:t>0.004%</w:t>
            </w:r>
          </w:p>
        </w:tc>
        <w:tc>
          <w:tcPr>
            <w:tcW w:w="1799" w:type="dxa"/>
            <w:vAlign w:val="center"/>
          </w:tcPr>
          <w:p>
            <w:pPr>
              <w:widowControl/>
              <w:spacing w:line="24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pPr>
        <w:pStyle w:val="3"/>
        <w:rPr>
          <w:b/>
        </w:rPr>
      </w:pPr>
    </w:p>
    <w:p>
      <w:pPr>
        <w:rPr>
          <w:b/>
        </w:rPr>
        <w:sectPr>
          <w:pgSz w:w="11907" w:h="16840"/>
          <w:pgMar w:top="1440" w:right="1797" w:bottom="1440" w:left="1797" w:header="851" w:footer="992" w:gutter="0"/>
          <w:cols w:space="425" w:num="1"/>
          <w:titlePg/>
          <w:docGrid w:linePitch="462" w:charSpace="0"/>
        </w:sectPr>
      </w:pPr>
    </w:p>
    <w:p>
      <w:pPr>
        <w:pStyle w:val="7"/>
        <w:rPr>
          <w:sz w:val="28"/>
          <w:szCs w:val="28"/>
        </w:rPr>
      </w:pPr>
      <w:bookmarkStart w:id="32" w:name="_Toc128884461"/>
      <w:r>
        <w:rPr>
          <w:rFonts w:hint="eastAsia"/>
          <w:sz w:val="28"/>
          <w:szCs w:val="28"/>
        </w:rPr>
        <w:t>第三章 用户需求书</w:t>
      </w:r>
    </w:p>
    <w:p>
      <w:pPr>
        <w:pStyle w:val="7"/>
        <w:spacing w:before="120" w:beforeLines="50" w:after="120" w:afterLines="50"/>
        <w:rPr>
          <w:szCs w:val="24"/>
        </w:rPr>
      </w:pPr>
      <w:r>
        <w:rPr>
          <w:rFonts w:hint="eastAsia"/>
          <w:szCs w:val="24"/>
        </w:rPr>
        <w:t>一、项目基本信息</w:t>
      </w: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29"/>
        <w:gridCol w:w="4422"/>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57" w:type="dxa"/>
            <w:vAlign w:val="center"/>
          </w:tcPr>
          <w:p>
            <w:pPr>
              <w:jc w:val="center"/>
              <w:rPr>
                <w:b w:val="0"/>
                <w:bCs/>
                <w:color w:val="auto"/>
                <w:szCs w:val="21"/>
              </w:rPr>
            </w:pPr>
            <w:r>
              <w:rPr>
                <w:rFonts w:hint="eastAsia"/>
                <w:b w:val="0"/>
                <w:bCs/>
                <w:color w:val="auto"/>
                <w:szCs w:val="21"/>
              </w:rPr>
              <w:t>序号</w:t>
            </w:r>
          </w:p>
        </w:tc>
        <w:tc>
          <w:tcPr>
            <w:tcW w:w="1829" w:type="dxa"/>
            <w:vAlign w:val="center"/>
          </w:tcPr>
          <w:p>
            <w:pPr>
              <w:jc w:val="center"/>
              <w:rPr>
                <w:b w:val="0"/>
                <w:bCs/>
                <w:color w:val="auto"/>
                <w:szCs w:val="21"/>
              </w:rPr>
            </w:pPr>
            <w:r>
              <w:rPr>
                <w:rFonts w:hint="eastAsia"/>
                <w:b w:val="0"/>
                <w:bCs/>
                <w:color w:val="auto"/>
                <w:szCs w:val="21"/>
              </w:rPr>
              <w:t>采购计划编号</w:t>
            </w:r>
          </w:p>
        </w:tc>
        <w:tc>
          <w:tcPr>
            <w:tcW w:w="4422" w:type="dxa"/>
            <w:vAlign w:val="center"/>
          </w:tcPr>
          <w:p>
            <w:pPr>
              <w:jc w:val="center"/>
              <w:rPr>
                <w:b w:val="0"/>
                <w:bCs/>
                <w:color w:val="auto"/>
                <w:szCs w:val="21"/>
              </w:rPr>
            </w:pPr>
            <w:r>
              <w:rPr>
                <w:rFonts w:hint="eastAsia"/>
                <w:b w:val="0"/>
                <w:bCs/>
                <w:color w:val="auto"/>
                <w:szCs w:val="21"/>
              </w:rPr>
              <w:t>采购项目名称</w:t>
            </w:r>
          </w:p>
        </w:tc>
        <w:tc>
          <w:tcPr>
            <w:tcW w:w="1521" w:type="dxa"/>
            <w:vAlign w:val="center"/>
          </w:tcPr>
          <w:p>
            <w:pPr>
              <w:jc w:val="center"/>
              <w:rPr>
                <w:b w:val="0"/>
                <w:bCs/>
                <w:color w:val="auto"/>
                <w:szCs w:val="21"/>
              </w:rPr>
            </w:pPr>
            <w:r>
              <w:rPr>
                <w:rFonts w:hint="eastAsia"/>
                <w:b w:val="0"/>
                <w:bCs/>
                <w:color w:val="auto"/>
                <w:szCs w:val="21"/>
              </w:rPr>
              <w:t>预算</w:t>
            </w:r>
            <w:r>
              <w:rPr>
                <w:rFonts w:hint="eastAsia"/>
                <w:b w:val="0"/>
                <w:bCs/>
                <w:color w:val="auto"/>
                <w:szCs w:val="21"/>
                <w:lang w:val="en-US" w:eastAsia="zh-CN"/>
              </w:rPr>
              <w:t>金额</w:t>
            </w:r>
            <w:r>
              <w:rPr>
                <w:rFonts w:hint="eastAsia"/>
                <w:b w:val="0"/>
                <w:bCs/>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7" w:type="dxa"/>
            <w:vAlign w:val="center"/>
          </w:tcPr>
          <w:p>
            <w:pPr>
              <w:jc w:val="center"/>
              <w:rPr>
                <w:b w:val="0"/>
                <w:bCs/>
                <w:color w:val="auto"/>
                <w:szCs w:val="21"/>
              </w:rPr>
            </w:pPr>
            <w:r>
              <w:rPr>
                <w:rFonts w:hint="eastAsia"/>
                <w:b w:val="0"/>
                <w:bCs/>
                <w:color w:val="auto"/>
                <w:szCs w:val="21"/>
              </w:rPr>
              <w:t>1</w:t>
            </w:r>
          </w:p>
        </w:tc>
        <w:tc>
          <w:tcPr>
            <w:tcW w:w="1829" w:type="dxa"/>
            <w:vAlign w:val="center"/>
          </w:tcPr>
          <w:p>
            <w:pPr>
              <w:jc w:val="center"/>
              <w:rPr>
                <w:b w:val="0"/>
                <w:bCs/>
                <w:color w:val="auto"/>
                <w:szCs w:val="21"/>
              </w:rPr>
            </w:pPr>
            <w:r>
              <w:rPr>
                <w:rFonts w:hint="eastAsia"/>
                <w:b w:val="0"/>
                <w:bCs/>
                <w:color w:val="auto"/>
                <w:szCs w:val="21"/>
              </w:rPr>
              <w:t>JYCG-DECL-2025-0508</w:t>
            </w:r>
          </w:p>
        </w:tc>
        <w:tc>
          <w:tcPr>
            <w:tcW w:w="4422" w:type="dxa"/>
            <w:vAlign w:val="center"/>
          </w:tcPr>
          <w:p>
            <w:pPr>
              <w:jc w:val="center"/>
              <w:rPr>
                <w:b w:val="0"/>
                <w:bCs/>
                <w:color w:val="auto"/>
                <w:szCs w:val="21"/>
              </w:rPr>
            </w:pPr>
            <w:r>
              <w:rPr>
                <w:rFonts w:hint="eastAsia"/>
                <w:b w:val="0"/>
                <w:bCs/>
                <w:color w:val="auto"/>
                <w:szCs w:val="21"/>
              </w:rPr>
              <w:t>龙岗区建设工程质量检测中心抗渗试样制样装卸、水泥试模拆装和垃圾清运及其他项目辅助工作服务采购</w:t>
            </w:r>
          </w:p>
        </w:tc>
        <w:tc>
          <w:tcPr>
            <w:tcW w:w="1521" w:type="dxa"/>
            <w:vAlign w:val="center"/>
          </w:tcPr>
          <w:p>
            <w:pPr>
              <w:jc w:val="center"/>
              <w:rPr>
                <w:b w:val="0"/>
                <w:bCs/>
                <w:color w:val="auto"/>
                <w:szCs w:val="21"/>
              </w:rPr>
            </w:pPr>
            <w:r>
              <w:rPr>
                <w:rFonts w:hint="eastAsia"/>
                <w:b w:val="0"/>
                <w:bCs/>
                <w:color w:val="auto"/>
                <w:szCs w:val="21"/>
              </w:rPr>
              <w:t>800000</w:t>
            </w:r>
          </w:p>
        </w:tc>
      </w:tr>
    </w:tbl>
    <w:p>
      <w:pPr>
        <w:rPr>
          <w:rFonts w:ascii="宋体" w:hAnsi="宋体"/>
          <w:b/>
          <w:color w:val="FF0000"/>
          <w:szCs w:val="21"/>
        </w:rPr>
      </w:pPr>
    </w:p>
    <w:p>
      <w:pPr>
        <w:pStyle w:val="7"/>
        <w:spacing w:before="120" w:beforeLines="50" w:after="120" w:afterLines="50"/>
        <w:rPr>
          <w:szCs w:val="24"/>
        </w:rPr>
      </w:pPr>
      <w:r>
        <w:rPr>
          <w:rFonts w:hint="eastAsia"/>
          <w:szCs w:val="24"/>
        </w:rPr>
        <w:t>二、项目概况</w:t>
      </w:r>
    </w:p>
    <w:p>
      <w:pPr>
        <w:bidi w:val="0"/>
        <w:spacing w:line="360" w:lineRule="auto"/>
        <w:ind w:firstLine="480" w:firstLineChars="200"/>
        <w:rPr>
          <w:rFonts w:hint="eastAsia" w:ascii="宋体" w:hAnsi="宋体" w:eastAsia="宋体" w:cs="宋体"/>
          <w:bCs/>
          <w:kern w:val="0"/>
          <w:sz w:val="24"/>
          <w:szCs w:val="24"/>
          <w:u w:val="none"/>
          <w:lang w:val="en-US" w:eastAsia="zh-CN" w:bidi="ar-SA"/>
        </w:rPr>
      </w:pPr>
      <w:r>
        <w:rPr>
          <w:rFonts w:hint="eastAsia" w:ascii="宋体" w:hAnsi="宋体" w:eastAsia="宋体" w:cs="宋体"/>
          <w:bCs/>
          <w:kern w:val="0"/>
          <w:sz w:val="24"/>
          <w:szCs w:val="24"/>
          <w:u w:val="none"/>
          <w:lang w:val="en-US" w:eastAsia="zh-CN" w:bidi="ar-SA"/>
        </w:rPr>
        <w:t>本项目预算金额80万元，涉及服务包含抗渗试样制作和安装、拆卸等；水泥试样模具的拆卸、安装、垃圾清运及所有其它项目的辅助工作等。</w:t>
      </w:r>
    </w:p>
    <w:p>
      <w:pPr>
        <w:pStyle w:val="7"/>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57"/>
        <w:gridCol w:w="4404"/>
        <w:gridCol w:w="65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9" w:type="dxa"/>
            <w:vAlign w:val="center"/>
          </w:tcPr>
          <w:p>
            <w:pPr>
              <w:jc w:val="center"/>
              <w:rPr>
                <w:b w:val="0"/>
                <w:bCs/>
                <w:color w:val="auto"/>
                <w:szCs w:val="21"/>
              </w:rPr>
            </w:pPr>
            <w:r>
              <w:rPr>
                <w:rFonts w:hint="eastAsia"/>
                <w:b w:val="0"/>
                <w:bCs/>
                <w:color w:val="auto"/>
                <w:szCs w:val="21"/>
              </w:rPr>
              <w:t>序号</w:t>
            </w:r>
          </w:p>
        </w:tc>
        <w:tc>
          <w:tcPr>
            <w:tcW w:w="1857" w:type="dxa"/>
            <w:vAlign w:val="center"/>
          </w:tcPr>
          <w:p>
            <w:pPr>
              <w:jc w:val="center"/>
              <w:rPr>
                <w:b w:val="0"/>
                <w:bCs/>
                <w:color w:val="auto"/>
                <w:szCs w:val="21"/>
              </w:rPr>
            </w:pPr>
            <w:r>
              <w:rPr>
                <w:rFonts w:hint="eastAsia"/>
                <w:b w:val="0"/>
                <w:bCs/>
                <w:color w:val="auto"/>
                <w:szCs w:val="21"/>
              </w:rPr>
              <w:t>采购计划编号</w:t>
            </w:r>
          </w:p>
        </w:tc>
        <w:tc>
          <w:tcPr>
            <w:tcW w:w="4404" w:type="dxa"/>
            <w:vAlign w:val="center"/>
          </w:tcPr>
          <w:p>
            <w:pPr>
              <w:jc w:val="center"/>
              <w:rPr>
                <w:b w:val="0"/>
                <w:bCs/>
                <w:color w:val="auto"/>
                <w:szCs w:val="21"/>
              </w:rPr>
            </w:pPr>
            <w:r>
              <w:rPr>
                <w:rFonts w:hint="eastAsia"/>
                <w:b w:val="0"/>
                <w:bCs/>
                <w:color w:val="auto"/>
                <w:szCs w:val="21"/>
              </w:rPr>
              <w:t>服务需求名称（标的名称）</w:t>
            </w:r>
          </w:p>
        </w:tc>
        <w:tc>
          <w:tcPr>
            <w:tcW w:w="657" w:type="dxa"/>
            <w:vAlign w:val="center"/>
          </w:tcPr>
          <w:p>
            <w:pPr>
              <w:jc w:val="center"/>
              <w:rPr>
                <w:b w:val="0"/>
                <w:bCs/>
                <w:color w:val="auto"/>
                <w:szCs w:val="21"/>
              </w:rPr>
            </w:pPr>
            <w:r>
              <w:rPr>
                <w:rFonts w:hint="eastAsia"/>
                <w:b w:val="0"/>
                <w:bCs/>
                <w:color w:val="auto"/>
                <w:szCs w:val="21"/>
              </w:rPr>
              <w:t>数量</w:t>
            </w:r>
          </w:p>
        </w:tc>
        <w:tc>
          <w:tcPr>
            <w:tcW w:w="872" w:type="dxa"/>
            <w:vAlign w:val="center"/>
          </w:tcPr>
          <w:p>
            <w:pPr>
              <w:jc w:val="center"/>
              <w:rPr>
                <w:b w:val="0"/>
                <w:bCs/>
                <w:color w:val="auto"/>
                <w:szCs w:val="21"/>
              </w:rPr>
            </w:pPr>
            <w:r>
              <w:rPr>
                <w:rFonts w:hint="eastAsia"/>
                <w:b w:val="0"/>
                <w:bCs/>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pPr>
              <w:jc w:val="center"/>
              <w:rPr>
                <w:b w:val="0"/>
                <w:bCs/>
                <w:color w:val="auto"/>
                <w:szCs w:val="21"/>
              </w:rPr>
            </w:pPr>
            <w:r>
              <w:rPr>
                <w:rFonts w:hint="eastAsia"/>
                <w:b w:val="0"/>
                <w:bCs/>
                <w:color w:val="auto"/>
                <w:szCs w:val="21"/>
              </w:rPr>
              <w:t>1</w:t>
            </w:r>
          </w:p>
        </w:tc>
        <w:tc>
          <w:tcPr>
            <w:tcW w:w="1857" w:type="dxa"/>
            <w:vAlign w:val="center"/>
          </w:tcPr>
          <w:p>
            <w:pPr>
              <w:jc w:val="center"/>
              <w:rPr>
                <w:b w:val="0"/>
                <w:bCs/>
                <w:color w:val="auto"/>
                <w:szCs w:val="21"/>
              </w:rPr>
            </w:pPr>
            <w:r>
              <w:rPr>
                <w:rFonts w:hint="eastAsia"/>
                <w:b w:val="0"/>
                <w:bCs/>
                <w:color w:val="auto"/>
                <w:szCs w:val="21"/>
              </w:rPr>
              <w:t>JYCG-DECL-2025-0508</w:t>
            </w:r>
          </w:p>
        </w:tc>
        <w:tc>
          <w:tcPr>
            <w:tcW w:w="4404" w:type="dxa"/>
            <w:vAlign w:val="center"/>
          </w:tcPr>
          <w:p>
            <w:pPr>
              <w:jc w:val="center"/>
              <w:rPr>
                <w:b w:val="0"/>
                <w:bCs/>
                <w:color w:val="auto"/>
                <w:szCs w:val="21"/>
              </w:rPr>
            </w:pPr>
            <w:r>
              <w:rPr>
                <w:rFonts w:hint="eastAsia"/>
                <w:b w:val="0"/>
                <w:bCs/>
                <w:color w:val="auto"/>
                <w:szCs w:val="21"/>
              </w:rPr>
              <w:t>龙岗区建设工程质量检测中心抗渗试样制样装卸、水泥试模拆装和垃圾清运及其他项目辅助工作服务采购</w:t>
            </w:r>
          </w:p>
        </w:tc>
        <w:tc>
          <w:tcPr>
            <w:tcW w:w="657" w:type="dxa"/>
            <w:vAlign w:val="center"/>
          </w:tcPr>
          <w:p>
            <w:pPr>
              <w:jc w:val="center"/>
              <w:rPr>
                <w:rFonts w:hint="eastAsia" w:eastAsia="宋体"/>
                <w:b w:val="0"/>
                <w:bCs/>
                <w:color w:val="auto"/>
                <w:szCs w:val="21"/>
                <w:lang w:val="en-US" w:eastAsia="zh-CN"/>
              </w:rPr>
            </w:pPr>
            <w:r>
              <w:rPr>
                <w:rFonts w:hint="eastAsia"/>
                <w:b w:val="0"/>
                <w:bCs/>
                <w:color w:val="auto"/>
                <w:szCs w:val="21"/>
                <w:lang w:val="en-US" w:eastAsia="zh-CN"/>
              </w:rPr>
              <w:t>1</w:t>
            </w:r>
          </w:p>
        </w:tc>
        <w:tc>
          <w:tcPr>
            <w:tcW w:w="872" w:type="dxa"/>
            <w:vAlign w:val="center"/>
          </w:tcPr>
          <w:p>
            <w:pPr>
              <w:jc w:val="center"/>
              <w:rPr>
                <w:rFonts w:hint="eastAsia" w:eastAsia="宋体"/>
                <w:b w:val="0"/>
                <w:bCs/>
                <w:color w:val="auto"/>
                <w:szCs w:val="21"/>
                <w:lang w:val="en-US" w:eastAsia="zh-CN"/>
              </w:rPr>
            </w:pPr>
            <w:r>
              <w:rPr>
                <w:rFonts w:hint="eastAsia"/>
                <w:b w:val="0"/>
                <w:bCs/>
                <w:color w:val="auto"/>
                <w:szCs w:val="21"/>
                <w:lang w:val="en-US" w:eastAsia="zh-CN"/>
              </w:rPr>
              <w:t>项</w:t>
            </w:r>
          </w:p>
        </w:tc>
      </w:tr>
    </w:tbl>
    <w:p>
      <w:pPr>
        <w:rPr>
          <w:rFonts w:ascii="宋体" w:hAnsi="宋体"/>
          <w:b/>
          <w:color w:val="FF0000"/>
          <w:szCs w:val="21"/>
        </w:rPr>
      </w:pPr>
    </w:p>
    <w:p>
      <w:pPr>
        <w:pStyle w:val="7"/>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240" w:lineRule="auto"/>
              <w:jc w:val="center"/>
              <w:rPr>
                <w:rFonts w:ascii="宋体" w:hAnsi="宋体"/>
                <w:kern w:val="0"/>
                <w:szCs w:val="21"/>
              </w:rPr>
            </w:pPr>
            <w:r>
              <w:rPr>
                <w:rFonts w:hint="eastAsia" w:ascii="宋体" w:hAnsi="宋体"/>
                <w:kern w:val="0"/>
                <w:szCs w:val="21"/>
              </w:rPr>
              <w:t>序号</w:t>
            </w:r>
          </w:p>
        </w:tc>
        <w:tc>
          <w:tcPr>
            <w:tcW w:w="7795" w:type="dxa"/>
          </w:tcPr>
          <w:p>
            <w:pPr>
              <w:adjustRightInd w:val="0"/>
              <w:snapToGrid w:val="0"/>
              <w:spacing w:line="24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240" w:lineRule="auto"/>
              <w:jc w:val="center"/>
              <w:rPr>
                <w:rFonts w:ascii="宋体" w:hAnsi="宋体"/>
                <w:kern w:val="0"/>
                <w:szCs w:val="21"/>
              </w:rPr>
            </w:pPr>
            <w:r>
              <w:rPr>
                <w:rFonts w:hint="eastAsia" w:ascii="宋体" w:hAnsi="宋体"/>
                <w:kern w:val="0"/>
                <w:szCs w:val="21"/>
              </w:rPr>
              <w:t>1</w:t>
            </w:r>
          </w:p>
        </w:tc>
        <w:tc>
          <w:tcPr>
            <w:tcW w:w="7795" w:type="dxa"/>
          </w:tcPr>
          <w:p>
            <w:pPr>
              <w:spacing w:line="240" w:lineRule="auto"/>
              <w:rPr>
                <w:rFonts w:hAnsi="宋体" w:eastAsiaTheme="minorEastAsia"/>
                <w:kern w:val="0"/>
                <w:szCs w:val="21"/>
              </w:rPr>
            </w:pPr>
            <w:r>
              <w:rPr>
                <w:rFonts w:hint="eastAsia" w:hAnsi="宋体" w:eastAsiaTheme="minorEastAsia"/>
                <w:kern w:val="0"/>
                <w:szCs w:val="21"/>
              </w:rPr>
              <w:t>项目人员需求一览表★人员类别★数量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240" w:lineRule="auto"/>
              <w:jc w:val="center"/>
              <w:rPr>
                <w:rFonts w:ascii="宋体" w:hAnsi="宋体"/>
                <w:kern w:val="0"/>
                <w:szCs w:val="21"/>
              </w:rPr>
            </w:pPr>
            <w:r>
              <w:rPr>
                <w:rFonts w:hint="eastAsia" w:ascii="宋体" w:hAnsi="宋体"/>
                <w:kern w:val="0"/>
                <w:szCs w:val="21"/>
              </w:rPr>
              <w:t>2</w:t>
            </w:r>
          </w:p>
        </w:tc>
        <w:tc>
          <w:tcPr>
            <w:tcW w:w="7795" w:type="dxa"/>
          </w:tcPr>
          <w:p>
            <w:pPr>
              <w:spacing w:line="240" w:lineRule="auto"/>
              <w:rPr>
                <w:rFonts w:hint="eastAsia" w:hAnsi="宋体" w:eastAsiaTheme="minorEastAsia"/>
                <w:kern w:val="0"/>
                <w:szCs w:val="21"/>
              </w:rPr>
            </w:pPr>
            <w:r>
              <w:rPr>
                <w:rFonts w:hint="eastAsia" w:hAnsi="宋体" w:eastAsiaTheme="minorEastAsia"/>
                <w:kern w:val="0"/>
                <w:szCs w:val="21"/>
                <w:lang w:val="en-US" w:eastAsia="zh-CN"/>
              </w:rPr>
              <w:t>★</w:t>
            </w:r>
            <w:r>
              <w:rPr>
                <w:rFonts w:hint="eastAsia" w:hAnsi="宋体" w:eastAsiaTheme="minorEastAsia"/>
                <w:kern w:val="0"/>
                <w:szCs w:val="21"/>
                <w:lang w:eastAsia="zh-CN"/>
              </w:rPr>
              <w:t>（</w:t>
            </w:r>
            <w:r>
              <w:rPr>
                <w:rFonts w:hint="eastAsia" w:hAnsi="宋体" w:eastAsiaTheme="minorEastAsia"/>
                <w:kern w:val="0"/>
                <w:szCs w:val="21"/>
                <w:lang w:val="en-US" w:eastAsia="zh-CN"/>
              </w:rPr>
              <w:t>一</w:t>
            </w:r>
            <w:r>
              <w:rPr>
                <w:rFonts w:hint="eastAsia" w:hAnsi="宋体" w:eastAsiaTheme="minorEastAsia"/>
                <w:kern w:val="0"/>
                <w:szCs w:val="21"/>
                <w:lang w:eastAsia="zh-CN"/>
              </w:rPr>
              <w:t>）</w:t>
            </w:r>
            <w:r>
              <w:rPr>
                <w:rFonts w:hint="eastAsia" w:hAnsi="宋体" w:eastAsiaTheme="minorEastAsia"/>
                <w:kern w:val="0"/>
                <w:szCs w:val="21"/>
              </w:rPr>
              <w:t>服务期限：</w:t>
            </w:r>
          </w:p>
          <w:p>
            <w:pPr>
              <w:spacing w:line="240" w:lineRule="auto"/>
              <w:rPr>
                <w:rFonts w:asciiTheme="minorEastAsia" w:hAnsiTheme="minorEastAsia" w:eastAsiaTheme="minorEastAsia"/>
              </w:rPr>
            </w:pPr>
            <w:r>
              <w:rPr>
                <w:rFonts w:hint="eastAsia" w:hAnsi="宋体" w:eastAsiaTheme="minorEastAsia"/>
                <w:kern w:val="0"/>
                <w:szCs w:val="21"/>
              </w:rPr>
              <w:t>自合同签订之日起一年。合同期结束后，经采购人对中标人服务质量考核合格并经双方协商一致可续签下一个年度合同，考核合格后，合同最长可续签2次，即延期至满3年</w:t>
            </w:r>
          </w:p>
        </w:tc>
      </w:tr>
    </w:tbl>
    <w:p>
      <w:pPr>
        <w:pStyle w:val="6"/>
        <w:keepNext/>
        <w:keepLines/>
        <w:pageBreakBefore w:val="0"/>
        <w:widowControl w:val="0"/>
        <w:tabs>
          <w:tab w:val="left" w:pos="765"/>
        </w:tabs>
        <w:kinsoku/>
        <w:wordWrap/>
        <w:overflowPunct/>
        <w:topLinePunct w:val="0"/>
        <w:autoSpaceDE/>
        <w:autoSpaceDN/>
        <w:bidi w:val="0"/>
        <w:adjustRightInd/>
        <w:snapToGrid/>
        <w:spacing w:before="0" w:after="0" w:line="240" w:lineRule="auto"/>
        <w:textAlignment w:val="auto"/>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32"/>
    </w:p>
    <w:p>
      <w:pPr>
        <w:pStyle w:val="7"/>
        <w:spacing w:before="120" w:beforeLines="50" w:after="120" w:afterLines="50"/>
        <w:rPr>
          <w:szCs w:val="24"/>
        </w:rPr>
      </w:pPr>
      <w:r>
        <w:rPr>
          <w:rFonts w:hint="eastAsia"/>
          <w:szCs w:val="24"/>
        </w:rPr>
        <w:t>五、技术要求</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服务需求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抗渗试样制作和安装、拆卸等；水泥试样模具的拆卸、安装、垃圾清运及所有其它项目的辅助工作等。</w:t>
      </w:r>
      <w:r>
        <w:rPr>
          <w:rFonts w:hint="eastAsia" w:ascii="宋体" w:hAnsi="宋体" w:eastAsia="宋体" w:cs="宋体"/>
          <w:sz w:val="24"/>
          <w:szCs w:val="24"/>
          <w:lang w:val="en-US" w:eastAsia="zh-CN"/>
        </w:rPr>
        <w:t>详情如下：</w:t>
      </w:r>
    </w:p>
    <w:p>
      <w:pPr>
        <w:pStyle w:val="194"/>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u w:val="single"/>
        </w:rPr>
        <w:t>检验室龙城、吉华</w:t>
      </w:r>
      <w:r>
        <w:rPr>
          <w:rFonts w:hint="eastAsia" w:ascii="宋体" w:hAnsi="宋体" w:eastAsia="宋体" w:cs="宋体"/>
          <w:bCs/>
          <w:sz w:val="24"/>
          <w:szCs w:val="24"/>
        </w:rPr>
        <w:t>两处抗渗试验样品工作：检验室龙城抗渗试块每个试样涂摸上石蜡，套上塑料胶套，装入钢模套，然后安装在试验机，再锁紧6颗螺栓进行试验，（吉华10台机器已经无需上述步骤）</w:t>
      </w:r>
      <w:r>
        <w:rPr>
          <w:rFonts w:hint="eastAsia" w:ascii="宋体" w:hAnsi="宋体" w:eastAsia="宋体" w:cs="宋体"/>
          <w:sz w:val="24"/>
          <w:szCs w:val="24"/>
        </w:rPr>
        <w:t>经试验前试压，如试压渗水，则须拆下重新密封，直至试压不渗水。</w:t>
      </w:r>
      <w:r>
        <w:rPr>
          <w:rFonts w:hint="eastAsia" w:ascii="宋体" w:hAnsi="宋体" w:eastAsia="宋体" w:cs="宋体"/>
          <w:bCs/>
          <w:sz w:val="24"/>
          <w:szCs w:val="24"/>
        </w:rPr>
        <w:t xml:space="preserve">完成试验后再拆下试样，留下的钢模套重复下次试验。13台试验机（检验室龙城、吉华单次完成试样均为40组），每年约5300组试样，每组6个试样；有试样情况下，每台每周至少需完成试验两次。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2、水泥试样的拆卸工作：松开水泥样品的试模，小木锤轻敲螺丝，防止原来试样崩角，松散、开裂。清干净模板表面的水泥浆，按试模编号装模组，装好，扫上黄油，以便下次使用，每年约4200组试样。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3、垃圾清运每月大约120吨，试验后垃圾清至指定场所，每周至少两次，按规定清运到垃圾填埋场。</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4、协助</w:t>
      </w:r>
      <w:r>
        <w:rPr>
          <w:rFonts w:hint="eastAsia" w:ascii="宋体" w:hAnsi="宋体" w:eastAsia="宋体" w:cs="宋体"/>
          <w:bCs/>
          <w:sz w:val="24"/>
          <w:szCs w:val="24"/>
        </w:rPr>
        <w:t>检验室龙城、吉华</w:t>
      </w:r>
      <w:r>
        <w:rPr>
          <w:rFonts w:hint="eastAsia" w:ascii="宋体" w:hAnsi="宋体" w:eastAsia="宋体" w:cs="宋体"/>
          <w:kern w:val="0"/>
          <w:sz w:val="24"/>
          <w:szCs w:val="24"/>
        </w:rPr>
        <w:t>所有检验检测项目（包括新项目）辅助工作，搬运、装卸、输送、测量等，钢筋、混凝土抗压、抗折、防水、涂料、门窗、电气、抗渗样品、（室内检测主要是常规建筑材料检测、沥青及混合料、塑料管材、建筑外窗、建筑型材、防水材料、电线电缆、开关电气、外墙涂料、高强螺栓、建筑陶瓷砖、建筑节能、无机非金属建筑及装修材料（放射性或污染物）检测；室外检测主要有</w:t>
      </w:r>
      <w:r>
        <w:rPr>
          <w:rFonts w:hint="eastAsia" w:ascii="宋体" w:hAnsi="宋体" w:eastAsia="宋体" w:cs="宋体"/>
          <w:sz w:val="24"/>
          <w:szCs w:val="24"/>
        </w:rPr>
        <w:t>基桩、地基、市政道路、建筑结构等中抽取的砼芯样，</w:t>
      </w:r>
      <w:r>
        <w:rPr>
          <w:rFonts w:hint="eastAsia" w:ascii="宋体" w:hAnsi="宋体" w:eastAsia="宋体" w:cs="宋体"/>
          <w:kern w:val="0"/>
          <w:sz w:val="24"/>
          <w:szCs w:val="24"/>
        </w:rPr>
        <w:t>土工、建筑结构、钢结构、室内环境检测、其它新项目，试验设备的辅助养护，试验辅助材料搬运、试验设备、试验样品的输送、试验设备及场所清洁卫生等工作。）按照我中心的试验程序执行，听从我中心工作人员安排。</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5、以上项目样品，输送试验室，负责样品的转样，试验完成样品收集，置指定位置按组存放至规定期限后，再将废样品运至</w:t>
      </w:r>
      <w:r>
        <w:rPr>
          <w:rFonts w:hint="eastAsia" w:ascii="宋体" w:hAnsi="宋体" w:eastAsia="宋体" w:cs="宋体"/>
          <w:sz w:val="24"/>
          <w:szCs w:val="24"/>
        </w:rPr>
        <w:t>垃圾填埋场。</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6、试验室样品的大约数量，工作量有波动，请谨慎投标。</w:t>
      </w:r>
    </w:p>
    <w:tbl>
      <w:tblPr>
        <w:tblStyle w:val="43"/>
        <w:tblW w:w="7386" w:type="dxa"/>
        <w:jc w:val="center"/>
        <w:tblLayout w:type="fixed"/>
        <w:tblCellMar>
          <w:top w:w="0" w:type="dxa"/>
          <w:left w:w="108" w:type="dxa"/>
          <w:bottom w:w="0" w:type="dxa"/>
          <w:right w:w="108" w:type="dxa"/>
        </w:tblCellMar>
      </w:tblPr>
      <w:tblGrid>
        <w:gridCol w:w="2062"/>
        <w:gridCol w:w="2788"/>
        <w:gridCol w:w="2536"/>
      </w:tblGrid>
      <w:tr>
        <w:tblPrEx>
          <w:tblCellMar>
            <w:top w:w="0" w:type="dxa"/>
            <w:left w:w="108" w:type="dxa"/>
            <w:bottom w:w="0" w:type="dxa"/>
            <w:right w:w="108" w:type="dxa"/>
          </w:tblCellMar>
        </w:tblPrEx>
        <w:trPr>
          <w:trHeight w:val="28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名 称</w:t>
            </w:r>
          </w:p>
        </w:tc>
        <w:tc>
          <w:tcPr>
            <w:tcW w:w="27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组 数</w:t>
            </w:r>
          </w:p>
        </w:tc>
        <w:tc>
          <w:tcPr>
            <w:tcW w:w="2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个 数</w:t>
            </w:r>
          </w:p>
        </w:tc>
      </w:tr>
      <w:tr>
        <w:tblPrEx>
          <w:tblCellMar>
            <w:top w:w="0" w:type="dxa"/>
            <w:left w:w="108" w:type="dxa"/>
            <w:bottom w:w="0" w:type="dxa"/>
            <w:right w:w="108" w:type="dxa"/>
          </w:tblCellMar>
        </w:tblPrEx>
        <w:trPr>
          <w:trHeight w:val="168"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混凝土试块</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122000（龙城、吉华）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芯样</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35000（龙城）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钢筋</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49000（龙城、吉华）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净浆和砂浆试块</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17000（龙城、吉华）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砖</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砂和石</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沥青</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pvc</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1100（吉华）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5条/组、8条/组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窗</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310（龙城、吉华）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3套/组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型材</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2条/组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电线</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900（吉华）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1卷/组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开关</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6个/组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涂料</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910（吉华）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防水</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550（吉华）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瓷砖</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340（吉华）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10片/500mm,30/500mm以下</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节能</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1000（龙城）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3块/组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无机建材</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抗渗</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5300（龙城、吉华）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6*9kg(54kg/组）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水泥</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4200（龙城）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10kg/组</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拆水泥钢模</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7200（龙城）</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7200个</w:t>
            </w:r>
          </w:p>
        </w:tc>
      </w:tr>
      <w:tr>
        <w:tblPrEx>
          <w:tblCellMar>
            <w:top w:w="0" w:type="dxa"/>
            <w:left w:w="108" w:type="dxa"/>
            <w:bottom w:w="0" w:type="dxa"/>
            <w:right w:w="108" w:type="dxa"/>
          </w:tblCellMar>
        </w:tblPrEx>
        <w:trPr>
          <w:trHeight w:val="285" w:hRule="atLeast"/>
          <w:jc w:val="center"/>
        </w:trPr>
        <w:tc>
          <w:tcPr>
            <w:tcW w:w="206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新项目样品</w:t>
            </w:r>
          </w:p>
        </w:tc>
        <w:tc>
          <w:tcPr>
            <w:tcW w:w="27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含脚手架扣件</w:t>
            </w:r>
          </w:p>
        </w:tc>
        <w:tc>
          <w:tcPr>
            <w:tcW w:w="25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r>
    </w:tbl>
    <w:p>
      <w:pPr>
        <w:rPr>
          <w:rFonts w:hint="eastAsia" w:ascii="宋体" w:hAnsi="宋体" w:eastAsia="宋体" w:cs="宋体"/>
          <w:b/>
          <w:bCs/>
          <w:sz w:val="24"/>
          <w:szCs w:val="24"/>
          <w:lang w:eastAsia="zh-CN"/>
        </w:rPr>
      </w:pP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）服务标准及要求</w:t>
      </w:r>
    </w:p>
    <w:p>
      <w:pPr>
        <w:pStyle w:val="194"/>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1、服务场所：检验室（龙城）以及检验室（吉华）两处。</w:t>
      </w:r>
    </w:p>
    <w:p>
      <w:pPr>
        <w:pStyle w:val="194"/>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2、中标方须安排辅助员工完成招标方分派的工作任务。所有辅助员工（简称员工）的工资以及福利（保险、奖金、加班费、吃宿、五险一金等）均由中标方负责。</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员工日常工作安排由招标方负责安排。员工必须遵守招标方组织纪律及有关规章制度，严格按照招标方上班时间工作并保持工作环境清洁，正常工作时间周1、2、3、4、5和周六、日上午，特殊情况下需要加班完成工作的招标方可以要求辅助员工加班。</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4、员工在工作期间不遵守招标方有关规定的员工或造成招标方经济损失的，招标方有权要求中标方赔偿并将其解雇。</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5、中标方员工在从事检测中心工作中，若有发生安全事故问题由中标方负责。</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6、不得更换试样样品，一旦发现追究法律责任。</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7、不符合要求的，无条件重新制样返工，听从我中心工作人员安排，及时完成任务。</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8、无故障情况下，毎台砼抗渗仪制作试验2组／毎星期，水泥拆模听从我中心安排。</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9、保持试验仪器设备场所的清洁干净，地面无积水现象，确保用电安全。</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10、建材试验垃圾堆放场，必须及时清运，保持清洁干净；试验场所及设备清洁干净，并且场地无积水等。</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11、试验后材料有存样规定的，按相关规定执行。</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12、回收样品堆放到一定数量，中标人必须及时清运。</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中标方安排的员工在工作中应遵循安全操作、文明作业的相关规定，在从事本项目工作中，采取严格的安全措施。本合同实施过程中所发生的一切安全责任事故以及由此引发的一切责任，均全部由乙方承担。中标方安排的人员的行为导致招标方或任何第三方遭受损失的，均由中标方承担一切责任。</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14、中标方除为12名员工购买5险一金外还需为每位员工购买人身意外险，购买后需提供相关证明材料给招标方。</w:t>
      </w:r>
    </w:p>
    <w:p>
      <w:pPr>
        <w:pStyle w:val="19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15、中标方对建材试验垃圾需清运至合法的填埋处或破碎厂，需提供相关证明材料给招标方。</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）主要设备介绍</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1、检验室（龙城）抗渗机：主机3台，配置的抗渗台分别为一拖五台，一拖八台，一拖八台，配置抗渗试模252个，脱模机2台。</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2、检验室（龙城）万能试验机4台，压力试验机及抗折试验机6台，水泥试模50个。</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3、检验室吉华分部抗渗机：主机10台，单次可以完成四十组试样，脱模机1台。</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4、检验室（吉华)万能试验机3台，压力试验机2台。</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5、辅助设备一批等，具体中标后清点。</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）服务管理有关说明</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人员配备要求：</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照项目管理服务和地点要求，设置岗位，配备相关人员。其中检验室（龙城）及检验室（吉华)须在投入人员中指定项目主管各1人。中标人所派工作人员应服从采购人工作安排，若不符合采购方工作要求的，中标人应予更换，直至满足需求。</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中标人应制定合理的薪资制度，以保障辅助员工的稳定性，不得违反劳动法的相关规定，否则引起的一切法律纠纷由中标人自行负责，与采购人无关，若因此造成采购人工作延误损失，采购人有权索偿并单方中止合同。</w:t>
      </w:r>
    </w:p>
    <w:p>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中标人应制定表格，对派出人员出工进行记录，并由采购人进行监督，不在岗的人次每1人次，采购人有权扣除100元。</w:t>
      </w:r>
    </w:p>
    <w:p>
      <w:pPr>
        <w:ind w:firstLine="42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采购人将制定制度进行综合管理，并纳入合同条款。</w:t>
      </w:r>
    </w:p>
    <w:p>
      <w:pPr>
        <w:spacing w:line="360" w:lineRule="auto"/>
        <w:ind w:firstLine="480" w:firstLineChars="200"/>
        <w:jc w:val="center"/>
        <w:rPr>
          <w:rFonts w:hint="eastAsia" w:ascii="宋体" w:hAnsi="宋体" w:eastAsia="宋体" w:cs="宋体"/>
          <w:kern w:val="0"/>
          <w:sz w:val="24"/>
          <w:szCs w:val="24"/>
          <w:lang w:val="en-US" w:eastAsia="zh-CN" w:bidi="ar-SA"/>
        </w:rPr>
      </w:pPr>
    </w:p>
    <w:p>
      <w:pPr>
        <w:spacing w:line="360" w:lineRule="auto"/>
        <w:ind w:firstLine="480" w:firstLineChars="20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项目人员需求一览表</w:t>
      </w:r>
    </w:p>
    <w:tbl>
      <w:tblPr>
        <w:tblStyle w:val="4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501"/>
        <w:gridCol w:w="1150"/>
        <w:gridCol w:w="2238"/>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25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★人员类别</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w:t>
            </w:r>
          </w:p>
        </w:tc>
        <w:tc>
          <w:tcPr>
            <w:tcW w:w="22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岗位要求</w:t>
            </w:r>
          </w:p>
        </w:tc>
        <w:tc>
          <w:tcPr>
            <w:tcW w:w="19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jc w:val="both"/>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p>
        </w:tc>
        <w:tc>
          <w:tcPr>
            <w:tcW w:w="25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主管</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22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w:t>
            </w:r>
          </w:p>
        </w:tc>
        <w:tc>
          <w:tcPr>
            <w:tcW w:w="1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25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辅助人员</w:t>
            </w:r>
            <w:r>
              <w:rPr>
                <w:rFonts w:hint="eastAsia" w:ascii="宋体" w:hAnsi="宋体" w:cs="宋体"/>
                <w:kern w:val="0"/>
                <w:sz w:val="24"/>
                <w:szCs w:val="24"/>
                <w:lang w:val="en-US" w:eastAsia="zh-CN" w:bidi="ar-SA"/>
              </w:rPr>
              <w:t>(主管除外）</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0</w:t>
            </w:r>
          </w:p>
        </w:tc>
        <w:tc>
          <w:tcPr>
            <w:tcW w:w="22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45周岁以下</w:t>
            </w:r>
          </w:p>
        </w:tc>
        <w:tc>
          <w:tcPr>
            <w:tcW w:w="193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9" w:type="dxa"/>
            <w:gridSpan w:val="5"/>
          </w:tcPr>
          <w:p>
            <w:pPr>
              <w:spacing w:line="24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表中所列人员数量为基本必备要求，投标单位应充分考虑业务繁忙时检验辅助人员需求增加的情况，确保满足我中心检验工作需要，根据工作性质如中标单位安排辅助人员无法胜任，招标方可要求中标单位进行更换。</w:t>
            </w:r>
          </w:p>
        </w:tc>
      </w:tr>
    </w:tbl>
    <w:p>
      <w:pPr>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五</w:t>
      </w:r>
      <w:r>
        <w:rPr>
          <w:rFonts w:hint="eastAsia" w:ascii="宋体" w:hAnsi="宋体" w:cs="宋体"/>
          <w:b/>
          <w:bCs/>
          <w:sz w:val="24"/>
          <w:szCs w:val="24"/>
          <w:lang w:eastAsia="zh-CN"/>
        </w:rPr>
        <w:t>）</w:t>
      </w:r>
      <w:r>
        <w:rPr>
          <w:rFonts w:hint="eastAsia" w:ascii="宋体" w:hAnsi="宋体" w:eastAsia="宋体" w:cs="宋体"/>
          <w:b/>
          <w:bCs/>
          <w:sz w:val="24"/>
          <w:szCs w:val="24"/>
          <w:lang w:eastAsia="zh-CN"/>
        </w:rPr>
        <w:t>投标价格及服务管理经费</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1、本项目服务服务费采用包干制，包括服务服务成本、法定税费和服务管理企业的利润、五险一金等一切应尽费用。应包括以下内容：</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(1)行政费用，包括：员工</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管理人员工资、社保等费用，办公经费等。</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(2)环境清洁卫生费。</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(3)不可预见费。</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(4)法定税费。</w:t>
      </w:r>
    </w:p>
    <w:p>
      <w:pPr>
        <w:pStyle w:val="2"/>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（5）招标范围有关项目内容要求所列的各项指定费用。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2、员工劳动保障要求：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（1）中标单位必须依法与员工签订书面劳动合同，并全部承担与劳动合同相关的责任和义务。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（2）中标单位支付员工工资不能低于当年深圳市人均最低工资标准。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（3）中标单位必须按规定比例为员工购买养老保险、医疗保险、工伤保险、失业保险，并向采购单位提供相关证明材料备案。</w:t>
      </w:r>
    </w:p>
    <w:p>
      <w:pPr>
        <w:pStyle w:val="2"/>
        <w:spacing w:line="360" w:lineRule="auto"/>
        <w:ind w:left="393" w:leftChars="187" w:firstLine="0"/>
        <w:rPr>
          <w:rFonts w:hint="eastAsia" w:ascii="宋体" w:hAnsi="宋体" w:eastAsia="宋体" w:cs="宋体"/>
          <w:color w:val="000000"/>
          <w:sz w:val="24"/>
          <w:szCs w:val="24"/>
        </w:rPr>
      </w:pPr>
      <w:r>
        <w:rPr>
          <w:rFonts w:hint="eastAsia" w:ascii="宋体" w:hAnsi="宋体" w:eastAsia="宋体" w:cs="宋体"/>
          <w:sz w:val="24"/>
          <w:szCs w:val="24"/>
        </w:rPr>
        <w:t>（4）中标单位必须保障员工正常休息时间。</w:t>
      </w:r>
      <w:r>
        <w:rPr>
          <w:rFonts w:hint="eastAsia" w:ascii="宋体" w:hAnsi="宋体" w:eastAsia="宋体" w:cs="宋体"/>
          <w:sz w:val="24"/>
          <w:szCs w:val="24"/>
        </w:rPr>
        <w:cr/>
      </w:r>
      <w:r>
        <w:rPr>
          <w:rFonts w:hint="eastAsia" w:ascii="宋体" w:hAnsi="宋体" w:eastAsia="宋体" w:cs="宋体"/>
          <w:sz w:val="24"/>
          <w:szCs w:val="24"/>
        </w:rPr>
        <w:t>3、投</w:t>
      </w:r>
      <w:r>
        <w:rPr>
          <w:rFonts w:hint="eastAsia" w:ascii="宋体" w:hAnsi="宋体" w:eastAsia="宋体" w:cs="宋体"/>
          <w:color w:val="000000"/>
          <w:sz w:val="24"/>
          <w:szCs w:val="24"/>
        </w:rPr>
        <w:t>标人应根据本企业的成本自行决定报价，但不得以低于其企业成本的报价投标。</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eastAsia="宋体" w:cs="宋体"/>
          <w:color w:val="000000"/>
          <w:sz w:val="24"/>
          <w:szCs w:val="24"/>
        </w:rPr>
        <w:t>4、投标人的投标报价不得超过财政预算限额。</w:t>
      </w:r>
    </w:p>
    <w:p>
      <w:pPr>
        <w:pStyle w:val="2"/>
        <w:spacing w:line="360" w:lineRule="auto"/>
        <w:ind w:firstLine="448" w:firstLineChars="187"/>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、投标人投标报价总额一经中标后，即作为中标单位与采购单位签订该项目合同的总价。</w:t>
      </w:r>
    </w:p>
    <w:p>
      <w:pPr>
        <w:pStyle w:val="2"/>
        <w:spacing w:line="360" w:lineRule="auto"/>
        <w:ind w:firstLine="448" w:firstLineChars="187"/>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2"/>
        <w:spacing w:line="360" w:lineRule="auto"/>
        <w:ind w:firstLine="448" w:firstLineChars="187"/>
        <w:rPr>
          <w:rFonts w:hint="eastAsia" w:ascii="宋体" w:hAnsi="宋体" w:eastAsia="宋体" w:cs="宋体"/>
          <w:sz w:val="24"/>
          <w:szCs w:val="24"/>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、中标人根据有关服务管理法规与采购单位签订的服务管理委托合同，对该服务实行统一管理，综合服务，自主经营，自负盈亏。</w:t>
      </w:r>
    </w:p>
    <w:p>
      <w:pPr>
        <w:pStyle w:val="7"/>
        <w:spacing w:before="120" w:beforeLines="50" w:after="120" w:afterLines="50" w:line="360" w:lineRule="auto"/>
        <w:rPr>
          <w:rFonts w:hint="eastAsia" w:ascii="宋体" w:hAnsi="宋体" w:eastAsia="宋体" w:cs="宋体"/>
          <w:sz w:val="24"/>
          <w:szCs w:val="24"/>
        </w:rPr>
      </w:pPr>
      <w:r>
        <w:rPr>
          <w:rFonts w:hint="eastAsia" w:ascii="宋体" w:hAnsi="宋体" w:eastAsia="宋体" w:cs="宋体"/>
          <w:sz w:val="24"/>
          <w:szCs w:val="24"/>
        </w:rPr>
        <w:t>六、商务要求</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kern w:val="0"/>
          <w:sz w:val="24"/>
          <w:szCs w:val="24"/>
          <w:lang w:val="en-US" w:eastAsia="zh-CN" w:bidi="ar-SA"/>
        </w:rPr>
        <w:t>★</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eastAsia="宋体" w:cs="宋体"/>
          <w:bCs/>
          <w:sz w:val="24"/>
          <w:szCs w:val="24"/>
        </w:rPr>
        <w:t>服务期限：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自合同签订之日起一年。合同期结束后，经采购人对中标人服务质量考核合格并经双方协商一致可续签下一个年度合同，考核合格后，合同最长可续签2次，即延期至满3年。</w:t>
      </w:r>
    </w:p>
    <w:p>
      <w:pPr>
        <w:pStyle w:val="2"/>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（二）合同方式：固定总价合同，包干制，中标价即为全年结算总价。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（三）付款方式：合同金额将按月结形式，服务费款按月结算（中标价除以12个月），当月服务结束，次月收到中标（成交）供应商提供的有效发票后，采购人将在10个工作日内支付给中标（成交）供应商。</w:t>
      </w:r>
    </w:p>
    <w:p>
      <w:pPr>
        <w:spacing w:line="360" w:lineRule="auto"/>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（四）合同期间乙方单方无故解除合同，甲方有权向乙方收取违约金（中标价的10%）。</w:t>
      </w:r>
    </w:p>
    <w:p>
      <w:pPr>
        <w:pStyle w:val="7"/>
        <w:spacing w:before="120" w:beforeLines="50" w:after="120" w:afterLines="50" w:line="360" w:lineRule="auto"/>
        <w:rPr>
          <w:szCs w:val="24"/>
        </w:rPr>
      </w:pPr>
      <w:r>
        <w:rPr>
          <w:rFonts w:hint="eastAsia"/>
          <w:szCs w:val="24"/>
          <w:lang w:val="en-US" w:eastAsia="zh-CN"/>
        </w:rPr>
        <w:t>七</w:t>
      </w:r>
      <w:r>
        <w:rPr>
          <w:rFonts w:hint="eastAsia"/>
          <w:szCs w:val="24"/>
        </w:rPr>
        <w:t>、其他重要条款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val="0"/>
          <w:sz w:val="24"/>
          <w:szCs w:val="24"/>
        </w:rPr>
      </w:pPr>
      <w:r>
        <w:rPr>
          <w:rFonts w:hint="eastAsia" w:ascii="宋体" w:hAnsi="宋体" w:cs="宋体"/>
          <w:bCs w:val="0"/>
          <w:sz w:val="24"/>
          <w:szCs w:val="24"/>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spacing w:line="360" w:lineRule="auto"/>
        <w:ind w:firstLine="480" w:firstLineChars="200"/>
        <w:rPr>
          <w:rFonts w:hint="eastAsia" w:ascii="宋体" w:hAnsi="宋体" w:cs="宋体"/>
          <w:sz w:val="24"/>
          <w:szCs w:val="24"/>
        </w:rPr>
      </w:pPr>
      <w:r>
        <w:rPr>
          <w:rFonts w:hint="eastAsia" w:ascii="宋体" w:hAnsi="宋体" w:cs="宋体"/>
          <w:bCs w:val="0"/>
          <w:sz w:val="24"/>
          <w:szCs w:val="24"/>
        </w:rPr>
        <w:t>2、投标人应充分了解项目的位置、情况、道路及任何其它足以影响投标报价的情况，任何因忽视或误解项目情况而导致的索赔或服务期限延长申请将不获批准。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val="0"/>
          <w:sz w:val="24"/>
          <w:szCs w:val="24"/>
        </w:rPr>
      </w:pPr>
      <w:r>
        <w:rPr>
          <w:rFonts w:hint="eastAsia" w:ascii="宋体" w:hAnsi="宋体" w:cs="宋体"/>
          <w:bCs w:val="0"/>
          <w:sz w:val="24"/>
          <w:szCs w:val="24"/>
        </w:rPr>
        <w:t>3、投标人不得期望通过索赔等方式获取补偿，否则，除可能遭到拒绝外，还可能将被作为不良行为记录在案，并可能影响其以后参加政府采购的项目投标。各投标人在投标报价时，应充分考虑投标报价的风险。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val="0"/>
          <w:sz w:val="24"/>
          <w:szCs w:val="24"/>
        </w:rPr>
      </w:pPr>
      <w:r>
        <w:rPr>
          <w:rFonts w:hint="eastAsia" w:ascii="宋体" w:hAnsi="宋体" w:eastAsia="宋体" w:cs="宋体"/>
          <w:bCs w:val="0"/>
          <w:sz w:val="24"/>
          <w:szCs w:val="24"/>
          <w:lang w:val="en-US" w:eastAsia="zh-CN"/>
        </w:rPr>
        <w:t>4</w:t>
      </w:r>
      <w:r>
        <w:rPr>
          <w:rFonts w:hint="eastAsia" w:ascii="宋体" w:hAnsi="宋体" w:cs="宋体"/>
          <w:bCs w:val="0"/>
          <w:sz w:val="24"/>
          <w:szCs w:val="24"/>
        </w:rPr>
        <w:t>、除政府采购合同继续履行将损害国家利益和社会公共利益外，双方当事人不得擅自变更、中止或者终止合同。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bCs w:val="0"/>
          <w:sz w:val="24"/>
          <w:szCs w:val="24"/>
          <w:lang w:val="en-US" w:eastAsia="zh-CN"/>
        </w:rPr>
        <w:t>5</w:t>
      </w:r>
      <w:r>
        <w:rPr>
          <w:rFonts w:hint="eastAsia" w:ascii="宋体" w:hAnsi="宋体" w:cs="宋体"/>
          <w:bCs w:val="0"/>
          <w:sz w:val="24"/>
          <w:szCs w:val="24"/>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宋体" w:hAnsi="宋体" w:eastAsia="宋体" w:cs="宋体"/>
          <w:bCs w:val="0"/>
          <w:sz w:val="24"/>
          <w:szCs w:val="24"/>
          <w:lang w:val="en-US" w:eastAsia="zh-CN"/>
        </w:rPr>
        <w:t>。</w:t>
      </w:r>
      <w:r>
        <w:rPr>
          <w:rFonts w:hint="eastAsia"/>
        </w:rPr>
        <w:br w:type="page"/>
      </w:r>
    </w:p>
    <w:p>
      <w:pPr>
        <w:pStyle w:val="7"/>
        <w:rPr>
          <w:kern w:val="2"/>
        </w:rPr>
      </w:pPr>
      <w:r>
        <w:rPr>
          <w:rFonts w:hint="eastAsia"/>
          <w:kern w:val="2"/>
        </w:rPr>
        <w:t>第四章 投标文件组成要求及格式</w:t>
      </w:r>
    </w:p>
    <w:p>
      <w:pPr>
        <w:rPr>
          <w:rFonts w:ascii="宋体" w:hAnsi="宋体"/>
          <w:sz w:val="24"/>
        </w:rPr>
      </w:pPr>
      <w:r>
        <w:rPr>
          <w:rFonts w:hint="eastAsia" w:ascii="宋体" w:hAnsi="宋体"/>
          <w:sz w:val="24"/>
        </w:rPr>
        <w:t>投标文件组成：</w:t>
      </w:r>
    </w:p>
    <w:p>
      <w:pPr>
        <w:ind w:firstLine="1200" w:firstLineChars="500"/>
        <w:outlineLvl w:val="0"/>
        <w:rPr>
          <w:rFonts w:ascii="宋体" w:hAnsi="宋体"/>
          <w:sz w:val="24"/>
        </w:rPr>
      </w:pPr>
      <w:r>
        <w:rPr>
          <w:rFonts w:hint="eastAsia" w:ascii="宋体" w:hAnsi="宋体"/>
          <w:sz w:val="24"/>
        </w:rPr>
        <w:t>1.投标文件正文，主要包括以下内容：</w:t>
      </w:r>
    </w:p>
    <w:p>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rFonts w:hint="eastAsia"/>
          <w:szCs w:val="21"/>
        </w:rPr>
      </w:pPr>
      <w:bookmarkStart w:id="36" w:name="_Hlk72257201"/>
      <w:r>
        <w:rPr>
          <w:rFonts w:hint="eastAsia"/>
          <w:szCs w:val="21"/>
        </w:rPr>
        <w:t>（4）项目详细报价</w:t>
      </w:r>
      <w:bookmarkEnd w:id="36"/>
    </w:p>
    <w:p>
      <w:pPr>
        <w:ind w:left="718" w:leftChars="342" w:firstLine="1417" w:firstLineChars="675"/>
        <w:rPr>
          <w:rFonts w:hint="eastAsia"/>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同类项目业绩</w:t>
      </w:r>
    </w:p>
    <w:p>
      <w:pPr>
        <w:ind w:firstLine="1200" w:firstLineChars="500"/>
        <w:outlineLvl w:val="0"/>
        <w:rPr>
          <w:rFonts w:ascii="宋体" w:hAnsi="宋体"/>
          <w:sz w:val="24"/>
        </w:rPr>
      </w:pPr>
      <w:r>
        <w:rPr>
          <w:rFonts w:hint="eastAsia" w:ascii="宋体" w:hAnsi="宋体"/>
          <w:sz w:val="24"/>
        </w:rPr>
        <w:t>2.投标文件附件：主要包括以下内容：</w:t>
      </w:r>
    </w:p>
    <w:p>
      <w:pPr>
        <w:ind w:left="718" w:leftChars="342" w:firstLine="1417" w:firstLineChars="675"/>
        <w:rPr>
          <w:rFonts w:hint="eastAsia"/>
          <w:szCs w:val="21"/>
        </w:rPr>
      </w:pPr>
      <w:r>
        <w:rPr>
          <w:rFonts w:hint="eastAsia"/>
          <w:szCs w:val="21"/>
        </w:rPr>
        <w:t>（1）法定代表人（负责人）证明书</w:t>
      </w:r>
    </w:p>
    <w:p>
      <w:pPr>
        <w:ind w:left="718" w:leftChars="342" w:firstLine="1417" w:firstLineChars="675"/>
        <w:rPr>
          <w:rFonts w:hint="eastAsia"/>
          <w:szCs w:val="21"/>
        </w:rPr>
      </w:pPr>
      <w:r>
        <w:rPr>
          <w:rFonts w:hint="eastAsia"/>
          <w:szCs w:val="21"/>
        </w:rPr>
        <w:t>（2）投标文件签署授权委托书</w:t>
      </w:r>
    </w:p>
    <w:p>
      <w:pPr>
        <w:ind w:left="718" w:leftChars="342" w:firstLine="1417" w:firstLineChars="675"/>
        <w:rPr>
          <w:rFonts w:hint="eastAsia"/>
          <w:szCs w:val="21"/>
        </w:rPr>
      </w:pPr>
      <w:r>
        <w:rPr>
          <w:rFonts w:hint="eastAsia"/>
          <w:szCs w:val="21"/>
        </w:rPr>
        <w:t>（3）实质性条款响应情况表</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服务管理整体管理方式和工作计划、人员的配置、培训与管理制度、措施</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试验场所保洁服务</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安全管理服务突发事件应急处理措施</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垃圾清运措施服务</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其他项目辅助工作措施</w:t>
      </w:r>
    </w:p>
    <w:p>
      <w:pPr>
        <w:ind w:left="718" w:leftChars="342" w:firstLine="1417" w:firstLineChars="675"/>
        <w:rPr>
          <w:rFonts w:hint="eastAsia" w:eastAsia="宋体"/>
          <w:szCs w:val="21"/>
          <w:lang w:eastAsia="zh-CN"/>
        </w:rPr>
      </w:pPr>
      <w:r>
        <w:rPr>
          <w:rFonts w:hint="eastAsia"/>
          <w:szCs w:val="21"/>
        </w:rPr>
        <w:t>（</w:t>
      </w:r>
      <w:r>
        <w:rPr>
          <w:rFonts w:hint="eastAsia"/>
          <w:szCs w:val="21"/>
          <w:lang w:val="en-US" w:eastAsia="zh-CN"/>
        </w:rPr>
        <w:t>9</w:t>
      </w:r>
      <w:r>
        <w:rPr>
          <w:rFonts w:hint="eastAsia"/>
          <w:szCs w:val="21"/>
        </w:rPr>
        <w:t>）投标人认为需要加以说明的其他内容</w:t>
      </w:r>
    </w:p>
    <w:p>
      <w:pPr>
        <w:pStyle w:val="3"/>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w:t>
      </w:r>
    </w:p>
    <w:p>
      <w:pPr>
        <w:pStyle w:val="5"/>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7"/>
    </w:p>
    <w:p>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5"/>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pStyle w:val="3"/>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ascii="宋体" w:hAnsi="宋体"/>
          <w:szCs w:val="21"/>
        </w:rPr>
      </w:pPr>
    </w:p>
    <w:p>
      <w:pPr>
        <w:rPr>
          <w:rFonts w:ascii="宋体" w:hAnsi="宋体"/>
          <w:szCs w:val="21"/>
        </w:rPr>
      </w:pPr>
    </w:p>
    <w:p/>
    <w:p/>
    <w:p>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r>
        <w:rPr>
          <w:rFonts w:hint="eastAsia" w:eastAsia="宋体"/>
          <w:b/>
          <w:bCs/>
          <w:color w:val="FF0000"/>
          <w:lang w:eastAsia="zh-CN"/>
        </w:rPr>
        <w:t>，</w:t>
      </w:r>
      <w:r>
        <w:rPr>
          <w:rFonts w:hint="eastAsia" w:ascii="Times New Roman" w:eastAsia="宋体"/>
          <w:b/>
          <w:bCs/>
          <w:color w:val="FF0000"/>
          <w:lang w:val="en-US" w:eastAsia="zh-CN"/>
        </w:rPr>
        <w:t>其中要求提供《政府采购投标及履约承诺函》且已在“二、政府采购投标及履约承诺函”章节中提供了，此处可不重复提供</w:t>
      </w:r>
      <w:r>
        <w:rPr>
          <w:rFonts w:hint="eastAsia"/>
          <w:b/>
          <w:bCs/>
          <w:color w:val="FF0000"/>
        </w:rPr>
        <w:t>。）</w:t>
      </w:r>
    </w:p>
    <w:p>
      <w:pPr>
        <w:ind w:firstLine="482" w:firstLineChars="200"/>
        <w:rPr>
          <w:b/>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9"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9"/>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r>
        <w:rPr>
          <w:rFonts w:hint="eastAsia" w:ascii="黑体" w:hAnsi="宋体" w:eastAsia="黑体"/>
          <w:bCs/>
          <w:color w:val="FF0000"/>
          <w:kern w:val="0"/>
          <w:szCs w:val="21"/>
          <w:highlight w:val="yellow"/>
        </w:rPr>
        <w:t>如存在联合体或分包的，需标明联合体中中小企业承担的具体内容或者中小企业的具体分包内容。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w:t>
      </w:r>
      <w:r>
        <w:rPr>
          <w:rFonts w:hint="eastAsia" w:ascii="黑体" w:hAnsi="宋体" w:eastAsia="黑体"/>
          <w:bCs/>
          <w:color w:val="FF0000"/>
          <w:kern w:val="0"/>
          <w:szCs w:val="21"/>
          <w:highlight w:val="yellow"/>
        </w:rPr>
        <w:t>在“企业名称”下划线处如实填写制造商名称（针对货物类项目）或投标人名称（针对服务类或工程类项目）</w:t>
      </w:r>
      <w:r>
        <w:rPr>
          <w:rFonts w:hint="eastAsia" w:ascii="黑体" w:hAnsi="宋体" w:eastAsia="黑体"/>
          <w:bCs/>
          <w:color w:val="FF0000"/>
          <w:kern w:val="0"/>
          <w:szCs w:val="21"/>
        </w:rPr>
        <w:t>；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宋体" w:eastAsia="黑体"/>
          <w:bCs/>
          <w:color w:val="FF0000"/>
          <w:kern w:val="0"/>
          <w:szCs w:val="21"/>
          <w:lang w:val="en-US" w:eastAsia="zh-CN"/>
        </w:rPr>
        <w:t>供应商</w:t>
      </w:r>
      <w:r>
        <w:rPr>
          <w:rFonts w:hint="eastAsia" w:ascii="黑体" w:hAnsi="宋体" w:eastAsia="黑体"/>
          <w:bCs/>
          <w:color w:val="FF0000"/>
          <w:kern w:val="0"/>
          <w:szCs w:val="21"/>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6、本项目属于服务类项目，相关服务的承接商应当为中小企业或残疾人福利性单位或监狱企业，如包含硬件设备、产品等货物采购的，不再对其中涉及的货物的制造商作出要求。</w:t>
      </w:r>
    </w:p>
    <w:p>
      <w:pPr>
        <w:ind w:firstLine="420" w:firstLineChars="200"/>
        <w:rPr>
          <w:rFonts w:hint="default"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w:t>
      </w:r>
      <w:r>
        <w:rPr>
          <w:rFonts w:hint="default" w:ascii="黑体" w:hAnsi="宋体" w:eastAsia="黑体"/>
          <w:bCs/>
          <w:color w:val="FF0000"/>
          <w:kern w:val="0"/>
          <w:szCs w:val="21"/>
          <w:lang w:val="en-US" w:eastAsia="zh-CN"/>
        </w:rPr>
        <w:t>.以联合体形式参加政府采购活动或者合同分包的，《中小企业声明函》中需填写联合体中的中小企业或签订分包意向协议的中小企业相关信息。否则，声明函视为无效</w:t>
      </w:r>
      <w:r>
        <w:rPr>
          <w:rFonts w:hint="eastAsia" w:ascii="黑体" w:hAnsi="宋体" w:eastAsia="黑体"/>
          <w:bCs/>
          <w:color w:val="FF0000"/>
          <w:kern w:val="0"/>
          <w:szCs w:val="21"/>
          <w:lang w:val="en-US" w:eastAsia="zh-CN"/>
        </w:rPr>
        <w:t>。</w:t>
      </w:r>
    </w:p>
    <w:p>
      <w:pPr>
        <w:ind w:firstLine="420" w:firstLineChars="200"/>
      </w:pPr>
    </w:p>
    <w:p>
      <w:pPr>
        <w:ind w:firstLine="420" w:firstLineChars="200"/>
      </w:pPr>
    </w:p>
    <w:p>
      <w:pPr>
        <w:numPr>
          <w:ilvl w:val="0"/>
          <w:numId w:val="8"/>
        </w:numPr>
        <w:jc w:val="center"/>
        <w:outlineLvl w:val="3"/>
        <w:rPr>
          <w:b/>
          <w:sz w:val="24"/>
        </w:rPr>
      </w:pPr>
      <w:r>
        <w:rPr>
          <w:b/>
          <w:sz w:val="24"/>
        </w:rPr>
        <w:t>中小企业声明函（</w:t>
      </w:r>
      <w:r>
        <w:rPr>
          <w:rFonts w:hint="eastAsia"/>
          <w:b/>
          <w:sz w:val="24"/>
        </w:rPr>
        <w:t>服务</w:t>
      </w:r>
      <w:r>
        <w:rPr>
          <w:b/>
          <w:sz w:val="24"/>
        </w:rPr>
        <w:t>）</w:t>
      </w:r>
    </w:p>
    <w:p>
      <w:pPr>
        <w:pStyle w:val="3"/>
        <w:numPr>
          <w:ilvl w:val="0"/>
          <w:numId w:val="0"/>
        </w:num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40"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pPr>
        <w:ind w:firstLine="420" w:firstLineChars="200"/>
      </w:pPr>
    </w:p>
    <w:p>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rPr>
          <w:b/>
          <w:sz w:val="24"/>
        </w:rPr>
      </w:pPr>
      <w:r>
        <w:rPr>
          <w:b/>
          <w:sz w:val="24"/>
        </w:rPr>
        <w:br w:type="page"/>
      </w:r>
    </w:p>
    <w:p>
      <w:pPr>
        <w:pStyle w:val="42"/>
      </w:pPr>
    </w:p>
    <w:p>
      <w:pPr>
        <w:ind w:left="723" w:hanging="723" w:hangingChars="300"/>
        <w:rPr>
          <w:b/>
          <w:sz w:val="24"/>
        </w:rPr>
      </w:pPr>
    </w:p>
    <w:p>
      <w:pPr>
        <w:pStyle w:val="5"/>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4"/>
        <w:gridCol w:w="2800"/>
        <w:gridCol w:w="10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800"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1071"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none"/>
              </w:rPr>
              <w:t>龙岗区建设工程质量检测中心抗渗试样制样装卸、水泥试模拆装和垃圾清运及其他项目辅助工作服务采购</w:t>
            </w:r>
          </w:p>
        </w:tc>
        <w:tc>
          <w:tcPr>
            <w:tcW w:w="2800" w:type="dxa"/>
            <w:tcBorders>
              <w:top w:val="single" w:color="auto" w:sz="4" w:space="0"/>
            </w:tcBorders>
            <w:vAlign w:val="center"/>
          </w:tcPr>
          <w:p>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1071"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ind w:left="632" w:hanging="632" w:hangingChars="300"/>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1、投标人的投标报价不得超过预算金额，否则将导致投标被否决。</w:t>
      </w:r>
    </w:p>
    <w:p>
      <w:pPr>
        <w:ind w:firstLine="482" w:firstLineChars="200"/>
        <w:rPr>
          <w:rFonts w:hAnsi="宋体"/>
          <w:b/>
          <w:bCs/>
          <w:sz w:val="24"/>
        </w:rPr>
      </w:pPr>
    </w:p>
    <w:p>
      <w:pPr>
        <w:ind w:firstLine="482" w:firstLineChars="200"/>
        <w:rPr>
          <w:rFonts w:hint="default" w:hAnsi="宋体" w:eastAsia="宋体"/>
          <w:b/>
          <w:bCs/>
          <w:sz w:val="24"/>
          <w:lang w:val="en-US" w:eastAsia="zh-CN"/>
        </w:rPr>
      </w:pPr>
    </w:p>
    <w:p>
      <w:pPr>
        <w:tabs>
          <w:tab w:val="left" w:pos="720"/>
        </w:tabs>
        <w:jc w:val="center"/>
        <w:rPr>
          <w:b/>
          <w:sz w:val="24"/>
        </w:rPr>
      </w:pPr>
      <w:r>
        <w:rPr>
          <w:rFonts w:hint="eastAsia"/>
          <w:b/>
          <w:sz w:val="24"/>
        </w:rPr>
        <w:t>（二）投标人认为需要涉及的其他内容报价清单</w:t>
      </w:r>
    </w:p>
    <w:p>
      <w:pPr>
        <w:rPr>
          <w:b/>
          <w:bCs/>
        </w:rPr>
      </w:pPr>
    </w:p>
    <w:p>
      <w:pPr>
        <w:pStyle w:val="3"/>
        <w:ind w:firstLine="0" w:firstLineChars="0"/>
      </w:pPr>
    </w:p>
    <w:p>
      <w:pPr>
        <w:pStyle w:val="5"/>
        <w:jc w:val="center"/>
      </w:pPr>
      <w:r>
        <w:rPr>
          <w:rFonts w:hint="eastAsia" w:ascii="黑体" w:eastAsia="黑体"/>
          <w:b w:val="0"/>
          <w:sz w:val="24"/>
          <w:szCs w:val="24"/>
          <w:lang w:val="en-US" w:eastAsia="zh-CN"/>
        </w:rPr>
        <w:t>五</w:t>
      </w:r>
      <w:r>
        <w:rPr>
          <w:rFonts w:hint="eastAsia" w:ascii="黑体" w:eastAsia="黑体"/>
          <w:b w:val="0"/>
          <w:sz w:val="24"/>
          <w:szCs w:val="24"/>
        </w:rPr>
        <w:t>、同类项目业绩</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（特别提示：投标人须按本招标文件评标信息中“同类项目业绩”这一评审因素要求，提供证明资料）</w:t>
      </w:r>
    </w:p>
    <w:p>
      <w:pPr>
        <w:pStyle w:val="35"/>
      </w:pPr>
    </w:p>
    <w:p>
      <w:pPr>
        <w:jc w:val="both"/>
        <w:rPr>
          <w:b/>
          <w:sz w:val="32"/>
          <w:szCs w:val="32"/>
        </w:rPr>
      </w:pPr>
    </w:p>
    <w:p>
      <w:pPr>
        <w:rPr>
          <w:rFonts w:ascii="仿宋_GB2312" w:eastAsia="仿宋_GB2312"/>
          <w:b/>
          <w:sz w:val="30"/>
          <w:szCs w:val="30"/>
        </w:rPr>
      </w:pPr>
      <w:r>
        <w:rPr>
          <w:rFonts w:hint="eastAsia" w:ascii="仿宋_GB2312" w:eastAsia="仿宋_GB2312"/>
          <w:b/>
          <w:sz w:val="30"/>
          <w:szCs w:val="30"/>
        </w:rPr>
        <w:br w:type="page"/>
      </w:r>
    </w:p>
    <w:p>
      <w:pPr>
        <w:outlineLvl w:val="1"/>
        <w:rPr>
          <w:rFonts w:ascii="宋体" w:hAnsi="宋体"/>
          <w:b/>
          <w:color w:val="FF0000"/>
          <w:sz w:val="28"/>
          <w:szCs w:val="28"/>
        </w:rPr>
      </w:pPr>
      <w:r>
        <w:rPr>
          <w:rFonts w:hint="eastAsia" w:ascii="宋体" w:hAnsi="宋体"/>
          <w:b/>
          <w:color w:val="FF0000"/>
          <w:sz w:val="28"/>
          <w:szCs w:val="28"/>
        </w:rPr>
        <w:t>投标文件附件</w:t>
      </w:r>
    </w:p>
    <w:p>
      <w:pPr>
        <w:pStyle w:val="5"/>
        <w:jc w:val="center"/>
        <w:rPr>
          <w:rFonts w:ascii="黑体" w:eastAsia="黑体"/>
          <w:b w:val="0"/>
          <w:sz w:val="24"/>
        </w:rPr>
      </w:pPr>
      <w:r>
        <w:rPr>
          <w:rFonts w:hint="eastAsia" w:ascii="黑体" w:eastAsia="黑体"/>
          <w:b w:val="0"/>
          <w:sz w:val="24"/>
        </w:rPr>
        <w:t>一、</w:t>
      </w:r>
      <w:bookmarkStart w:id="41" w:name="_Hlk72092499"/>
      <w:r>
        <w:rPr>
          <w:rFonts w:hint="eastAsia" w:ascii="黑体" w:eastAsia="黑体"/>
          <w:b w:val="0"/>
          <w:sz w:val="24"/>
        </w:rPr>
        <w:t>法定代表人（负责人）证明书</w:t>
      </w:r>
      <w:bookmarkEnd w:id="41"/>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9"/>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9"/>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3"/>
              <w:jc w:val="center"/>
              <w:rPr>
                <w:rFonts w:hint="eastAsia"/>
                <w:lang w:val="en-US" w:eastAsia="zh-CN"/>
              </w:rPr>
            </w:pPr>
          </w:p>
          <w:p>
            <w:pPr>
              <w:pStyle w:val="35"/>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3"/>
              <w:jc w:val="center"/>
              <w:rPr>
                <w:rFonts w:hint="eastAsia"/>
                <w:lang w:val="en-US" w:eastAsia="zh-CN"/>
              </w:rPr>
            </w:pPr>
          </w:p>
          <w:p>
            <w:pPr>
              <w:pStyle w:val="35"/>
              <w:jc w:val="center"/>
              <w:rPr>
                <w:rFonts w:hint="eastAsia"/>
                <w:sz w:val="24"/>
                <w:vertAlign w:val="baseline"/>
                <w:lang w:val="en-US" w:eastAsia="zh-CN"/>
              </w:rPr>
            </w:pPr>
          </w:p>
        </w:tc>
      </w:tr>
    </w:tbl>
    <w:p>
      <w:pPr>
        <w:rPr>
          <w:sz w:val="24"/>
        </w:rPr>
      </w:pPr>
    </w:p>
    <w:p>
      <w:pPr>
        <w:pStyle w:val="5"/>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3"/>
              <w:jc w:val="center"/>
              <w:rPr>
                <w:rFonts w:hint="eastAsia"/>
                <w:lang w:val="en-US" w:eastAsia="zh-CN"/>
              </w:rPr>
            </w:pPr>
          </w:p>
          <w:p>
            <w:pPr>
              <w:pStyle w:val="35"/>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3"/>
              <w:jc w:val="center"/>
              <w:rPr>
                <w:rFonts w:hint="eastAsia"/>
                <w:lang w:val="en-US" w:eastAsia="zh-CN"/>
              </w:rPr>
            </w:pPr>
          </w:p>
          <w:p>
            <w:pPr>
              <w:pStyle w:val="35"/>
              <w:jc w:val="center"/>
              <w:rPr>
                <w:rFonts w:hint="eastAsia"/>
                <w:sz w:val="24"/>
                <w:vertAlign w:val="baseline"/>
                <w:lang w:val="en-US" w:eastAsia="zh-CN"/>
              </w:rPr>
            </w:pPr>
          </w:p>
        </w:tc>
      </w:tr>
    </w:tbl>
    <w:p>
      <w:pPr>
        <w:pStyle w:val="5"/>
        <w:jc w:val="center"/>
        <w:rPr>
          <w:rFonts w:ascii="黑体" w:eastAsia="黑体"/>
          <w:b w:val="0"/>
          <w:kern w:val="0"/>
          <w:sz w:val="24"/>
          <w:szCs w:val="24"/>
        </w:rPr>
      </w:pPr>
      <w:r>
        <w:rPr>
          <w:rFonts w:hint="eastAsia" w:ascii="黑体" w:eastAsia="黑体"/>
          <w:b w:val="0"/>
          <w:kern w:val="0"/>
          <w:sz w:val="24"/>
          <w:szCs w:val="24"/>
        </w:rPr>
        <w:t>三、</w:t>
      </w:r>
      <w:bookmarkStart w:id="42" w:name="_Hlk72092634"/>
      <w:r>
        <w:rPr>
          <w:rFonts w:hint="eastAsia" w:ascii="黑体" w:eastAsia="黑体"/>
          <w:b w:val="0"/>
          <w:kern w:val="0"/>
          <w:sz w:val="24"/>
          <w:szCs w:val="24"/>
        </w:rPr>
        <w:t>实质性条款响应情况表</w:t>
      </w:r>
      <w:bookmarkEnd w:id="42"/>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16"/>
        <w:gridCol w:w="1250"/>
        <w:gridCol w:w="130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5" w:type="dxa"/>
            <w:vAlign w:val="center"/>
          </w:tcPr>
          <w:p>
            <w:pPr>
              <w:adjustRightInd w:val="0"/>
              <w:snapToGrid w:val="0"/>
              <w:spacing w:line="240" w:lineRule="auto"/>
              <w:jc w:val="center"/>
              <w:rPr>
                <w:rFonts w:ascii="宋体" w:hAnsi="宋体"/>
                <w:kern w:val="0"/>
                <w:szCs w:val="21"/>
              </w:rPr>
            </w:pPr>
            <w:bookmarkStart w:id="43" w:name="_Hlk72092651"/>
            <w:r>
              <w:rPr>
                <w:rFonts w:hint="eastAsia" w:ascii="宋体" w:hAnsi="宋体"/>
                <w:kern w:val="0"/>
                <w:szCs w:val="21"/>
              </w:rPr>
              <w:t>序号</w:t>
            </w:r>
          </w:p>
        </w:tc>
        <w:tc>
          <w:tcPr>
            <w:tcW w:w="3916" w:type="dxa"/>
            <w:vAlign w:val="center"/>
          </w:tcPr>
          <w:p>
            <w:pPr>
              <w:adjustRightInd w:val="0"/>
              <w:snapToGrid w:val="0"/>
              <w:spacing w:line="240" w:lineRule="auto"/>
              <w:jc w:val="center"/>
              <w:rPr>
                <w:rFonts w:ascii="宋体" w:hAnsi="宋体"/>
                <w:kern w:val="0"/>
                <w:szCs w:val="21"/>
              </w:rPr>
            </w:pPr>
            <w:r>
              <w:rPr>
                <w:rFonts w:hint="eastAsia" w:ascii="宋体" w:hAnsi="宋体"/>
                <w:kern w:val="0"/>
                <w:szCs w:val="21"/>
              </w:rPr>
              <w:t>实质性条款具体内容</w:t>
            </w:r>
          </w:p>
        </w:tc>
        <w:tc>
          <w:tcPr>
            <w:tcW w:w="1250" w:type="dxa"/>
            <w:vAlign w:val="center"/>
          </w:tcPr>
          <w:p>
            <w:pPr>
              <w:adjustRightInd w:val="0"/>
              <w:snapToGrid w:val="0"/>
              <w:spacing w:line="240" w:lineRule="auto"/>
              <w:jc w:val="center"/>
              <w:rPr>
                <w:rFonts w:ascii="宋体" w:hAnsi="宋体"/>
                <w:kern w:val="0"/>
                <w:szCs w:val="21"/>
              </w:rPr>
            </w:pPr>
            <w:r>
              <w:rPr>
                <w:rFonts w:hint="eastAsia"/>
              </w:rPr>
              <w:t>投标响应</w:t>
            </w:r>
          </w:p>
        </w:tc>
        <w:tc>
          <w:tcPr>
            <w:tcW w:w="1300" w:type="dxa"/>
            <w:vAlign w:val="center"/>
          </w:tcPr>
          <w:p>
            <w:pPr>
              <w:adjustRightInd w:val="0"/>
              <w:snapToGrid w:val="0"/>
              <w:spacing w:line="240" w:lineRule="auto"/>
              <w:jc w:val="center"/>
              <w:rPr>
                <w:rFonts w:ascii="宋体" w:hAnsi="宋体"/>
                <w:kern w:val="0"/>
                <w:szCs w:val="21"/>
              </w:rPr>
            </w:pPr>
            <w:r>
              <w:rPr>
                <w:rFonts w:hint="eastAsia"/>
              </w:rPr>
              <w:t>偏离情况</w:t>
            </w:r>
          </w:p>
        </w:tc>
        <w:tc>
          <w:tcPr>
            <w:tcW w:w="1046" w:type="dxa"/>
            <w:vAlign w:val="center"/>
          </w:tcPr>
          <w:p>
            <w:pPr>
              <w:adjustRightInd w:val="0"/>
              <w:snapToGrid w:val="0"/>
              <w:spacing w:line="240" w:lineRule="auto"/>
              <w:jc w:val="center"/>
              <w:rPr>
                <w:rFonts w:ascii="宋体" w:hAnsi="宋体"/>
                <w:kern w:val="0"/>
                <w:szCs w:val="21"/>
              </w:rPr>
            </w:pPr>
            <w:r>
              <w:rPr>
                <w:rFonts w:hint="eastAsia"/>
              </w:rPr>
              <w:t>说明</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240" w:lineRule="auto"/>
              <w:jc w:val="center"/>
              <w:rPr>
                <w:rFonts w:ascii="宋体" w:hAnsi="宋体"/>
                <w:kern w:val="0"/>
                <w:szCs w:val="21"/>
              </w:rPr>
            </w:pPr>
            <w:r>
              <w:rPr>
                <w:rFonts w:hint="eastAsia" w:ascii="宋体" w:hAnsi="宋体"/>
                <w:kern w:val="0"/>
                <w:szCs w:val="21"/>
              </w:rPr>
              <w:t>1</w:t>
            </w:r>
          </w:p>
        </w:tc>
        <w:tc>
          <w:tcPr>
            <w:tcW w:w="3916" w:type="dxa"/>
            <w:vAlign w:val="top"/>
          </w:tcPr>
          <w:p>
            <w:pPr>
              <w:spacing w:line="240" w:lineRule="auto"/>
              <w:rPr>
                <w:rFonts w:hAnsi="宋体"/>
                <w:kern w:val="0"/>
                <w:szCs w:val="21"/>
              </w:rPr>
            </w:pPr>
            <w:r>
              <w:rPr>
                <w:rFonts w:hint="eastAsia" w:hAnsi="宋体" w:eastAsiaTheme="minorEastAsia"/>
                <w:kern w:val="0"/>
                <w:szCs w:val="21"/>
              </w:rPr>
              <w:t>项目人员需求一览表★人员类别★数量</w:t>
            </w:r>
          </w:p>
        </w:tc>
        <w:tc>
          <w:tcPr>
            <w:tcW w:w="1250" w:type="dxa"/>
          </w:tcPr>
          <w:p>
            <w:pPr>
              <w:adjustRightInd w:val="0"/>
              <w:snapToGrid w:val="0"/>
              <w:spacing w:line="240" w:lineRule="auto"/>
              <w:rPr>
                <w:rFonts w:ascii="宋体" w:hAnsi="宋体"/>
                <w:kern w:val="0"/>
                <w:szCs w:val="21"/>
              </w:rPr>
            </w:pPr>
          </w:p>
        </w:tc>
        <w:tc>
          <w:tcPr>
            <w:tcW w:w="1300" w:type="dxa"/>
          </w:tcPr>
          <w:p>
            <w:pPr>
              <w:adjustRightInd w:val="0"/>
              <w:snapToGrid w:val="0"/>
              <w:spacing w:line="240" w:lineRule="auto"/>
              <w:rPr>
                <w:rFonts w:ascii="宋体" w:hAnsi="宋体"/>
                <w:kern w:val="0"/>
                <w:szCs w:val="21"/>
              </w:rPr>
            </w:pPr>
          </w:p>
        </w:tc>
        <w:tc>
          <w:tcPr>
            <w:tcW w:w="1046" w:type="dxa"/>
          </w:tcPr>
          <w:p>
            <w:pPr>
              <w:adjustRightInd w:val="0"/>
              <w:snapToGrid w:val="0"/>
              <w:spacing w:line="24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240" w:lineRule="auto"/>
              <w:jc w:val="center"/>
              <w:rPr>
                <w:rFonts w:ascii="宋体" w:hAnsi="宋体"/>
                <w:kern w:val="0"/>
                <w:szCs w:val="21"/>
              </w:rPr>
            </w:pPr>
            <w:r>
              <w:rPr>
                <w:rFonts w:hint="eastAsia" w:ascii="宋体" w:hAnsi="宋体"/>
                <w:kern w:val="0"/>
                <w:szCs w:val="21"/>
              </w:rPr>
              <w:t>2</w:t>
            </w:r>
          </w:p>
        </w:tc>
        <w:tc>
          <w:tcPr>
            <w:tcW w:w="3916" w:type="dxa"/>
            <w:vAlign w:val="top"/>
          </w:tcPr>
          <w:p>
            <w:pPr>
              <w:spacing w:line="240" w:lineRule="auto"/>
              <w:rPr>
                <w:rFonts w:hint="eastAsia" w:hAnsi="宋体" w:eastAsiaTheme="minorEastAsia"/>
                <w:kern w:val="0"/>
                <w:szCs w:val="21"/>
              </w:rPr>
            </w:pPr>
            <w:r>
              <w:rPr>
                <w:rFonts w:hint="eastAsia" w:hAnsi="宋体" w:eastAsiaTheme="minorEastAsia"/>
                <w:kern w:val="0"/>
                <w:szCs w:val="21"/>
                <w:lang w:val="en-US" w:eastAsia="zh-CN"/>
              </w:rPr>
              <w:t>★</w:t>
            </w:r>
            <w:r>
              <w:rPr>
                <w:rFonts w:hint="eastAsia" w:hAnsi="宋体" w:eastAsiaTheme="minorEastAsia"/>
                <w:kern w:val="0"/>
                <w:szCs w:val="21"/>
                <w:lang w:eastAsia="zh-CN"/>
              </w:rPr>
              <w:t>（</w:t>
            </w:r>
            <w:r>
              <w:rPr>
                <w:rFonts w:hint="eastAsia" w:hAnsi="宋体" w:eastAsiaTheme="minorEastAsia"/>
                <w:kern w:val="0"/>
                <w:szCs w:val="21"/>
                <w:lang w:val="en-US" w:eastAsia="zh-CN"/>
              </w:rPr>
              <w:t>一</w:t>
            </w:r>
            <w:r>
              <w:rPr>
                <w:rFonts w:hint="eastAsia" w:hAnsi="宋体" w:eastAsiaTheme="minorEastAsia"/>
                <w:kern w:val="0"/>
                <w:szCs w:val="21"/>
                <w:lang w:eastAsia="zh-CN"/>
              </w:rPr>
              <w:t>）</w:t>
            </w:r>
            <w:r>
              <w:rPr>
                <w:rFonts w:hint="eastAsia" w:hAnsi="宋体" w:eastAsiaTheme="minorEastAsia"/>
                <w:kern w:val="0"/>
                <w:szCs w:val="21"/>
              </w:rPr>
              <w:t>服务期限：</w:t>
            </w:r>
          </w:p>
          <w:p>
            <w:pPr>
              <w:spacing w:line="240" w:lineRule="auto"/>
              <w:rPr>
                <w:rFonts w:hAnsi="宋体"/>
                <w:kern w:val="0"/>
                <w:szCs w:val="21"/>
              </w:rPr>
            </w:pPr>
            <w:r>
              <w:rPr>
                <w:rFonts w:hint="eastAsia" w:hAnsi="宋体" w:eastAsiaTheme="minorEastAsia"/>
                <w:kern w:val="0"/>
                <w:szCs w:val="21"/>
              </w:rPr>
              <w:t>自合同签订之日起一年。合同期结束后，经采购人对中标人服务质量考核合格并经双方协商一致可续签下一个年度合同，考核合格后，合同最长可续签2次，即延期至满3年</w:t>
            </w:r>
          </w:p>
        </w:tc>
        <w:tc>
          <w:tcPr>
            <w:tcW w:w="1250" w:type="dxa"/>
          </w:tcPr>
          <w:p>
            <w:pPr>
              <w:adjustRightInd w:val="0"/>
              <w:snapToGrid w:val="0"/>
              <w:spacing w:line="240" w:lineRule="auto"/>
              <w:rPr>
                <w:rFonts w:ascii="宋体" w:hAnsi="宋体"/>
                <w:kern w:val="0"/>
                <w:szCs w:val="21"/>
              </w:rPr>
            </w:pPr>
          </w:p>
        </w:tc>
        <w:tc>
          <w:tcPr>
            <w:tcW w:w="1300" w:type="dxa"/>
          </w:tcPr>
          <w:p>
            <w:pPr>
              <w:adjustRightInd w:val="0"/>
              <w:snapToGrid w:val="0"/>
              <w:spacing w:line="240" w:lineRule="auto"/>
              <w:rPr>
                <w:rFonts w:ascii="宋体" w:hAnsi="宋体"/>
                <w:kern w:val="0"/>
                <w:szCs w:val="21"/>
              </w:rPr>
            </w:pPr>
          </w:p>
        </w:tc>
        <w:tc>
          <w:tcPr>
            <w:tcW w:w="1046" w:type="dxa"/>
          </w:tcPr>
          <w:p>
            <w:pPr>
              <w:adjustRightInd w:val="0"/>
              <w:snapToGrid w:val="0"/>
              <w:spacing w:line="24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0" w:firstLineChars="200"/>
      </w:pPr>
    </w:p>
    <w:p>
      <w:pPr>
        <w:rPr>
          <w:b/>
          <w:bCs/>
          <w:sz w:val="24"/>
        </w:rPr>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四、</w:t>
      </w:r>
      <w:r>
        <w:rPr>
          <w:rFonts w:hint="eastAsia" w:ascii="黑体" w:eastAsia="黑体"/>
          <w:b w:val="0"/>
          <w:kern w:val="0"/>
          <w:sz w:val="24"/>
          <w:szCs w:val="24"/>
        </w:rPr>
        <w:t>服务管理整体管理方式和工作计划、人员的配置、培训与管理制度、措施</w:t>
      </w:r>
    </w:p>
    <w:p>
      <w:pPr>
        <w:pStyle w:val="2"/>
        <w:ind w:firstLine="0"/>
        <w:rPr>
          <w:rFonts w:hint="eastAsia" w:ascii="黑体" w:eastAsia="黑体"/>
          <w:b w:val="0"/>
          <w:kern w:val="0"/>
          <w:sz w:val="24"/>
          <w:szCs w:val="24"/>
          <w:lang w:val="en-US" w:eastAsia="zh-CN"/>
        </w:rPr>
      </w:pPr>
      <w:r>
        <w:t xml:space="preserve">  </w:t>
      </w:r>
      <w:r>
        <w:rPr>
          <w:rFonts w:hint="eastAsia" w:asciiTheme="minorEastAsia" w:hAnsiTheme="minorEastAsia" w:eastAsiaTheme="minorEastAsia" w:cstheme="minorEastAsia"/>
          <w:color w:val="FF0000"/>
          <w:sz w:val="24"/>
        </w:rPr>
        <w:t>（特别提示：投标人须按本招标文件评标信息中“服务管理整体管理方式和工作计划、人员的配置、培训与管理制度、措施”这一评审因素要求，提供证明资料）</w:t>
      </w:r>
    </w:p>
    <w:p>
      <w:pPr>
        <w:pStyle w:val="5"/>
        <w:numPr>
          <w:ilvl w:val="0"/>
          <w:numId w:val="10"/>
        </w:numPr>
        <w:jc w:val="center"/>
        <w:rPr>
          <w:rFonts w:hint="eastAsia" w:ascii="黑体" w:eastAsia="黑体"/>
          <w:b w:val="0"/>
          <w:kern w:val="0"/>
          <w:sz w:val="24"/>
          <w:szCs w:val="24"/>
        </w:rPr>
      </w:pPr>
      <w:r>
        <w:rPr>
          <w:rFonts w:hint="eastAsia" w:ascii="黑体" w:eastAsia="黑体"/>
          <w:b w:val="0"/>
          <w:kern w:val="0"/>
          <w:sz w:val="24"/>
          <w:szCs w:val="24"/>
        </w:rPr>
        <w:t>试验场所保洁服务</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（特别提示：投标人须按本招标文件评标信息中“试验场所保洁服务”这一评审因素要求，提供证明资料）</w:t>
      </w:r>
    </w:p>
    <w:p>
      <w:pPr>
        <w:numPr>
          <w:ilvl w:val="0"/>
          <w:numId w:val="0"/>
        </w:numPr>
        <w:rPr>
          <w:rFonts w:hint="eastAsia"/>
        </w:rPr>
      </w:pPr>
    </w:p>
    <w:p>
      <w:pPr>
        <w:pStyle w:val="5"/>
        <w:numPr>
          <w:ilvl w:val="0"/>
          <w:numId w:val="10"/>
        </w:numPr>
        <w:ind w:left="0" w:leftChars="0" w:firstLine="0" w:firstLineChars="0"/>
        <w:jc w:val="center"/>
        <w:rPr>
          <w:rFonts w:hint="eastAsia" w:ascii="黑体" w:eastAsia="黑体"/>
          <w:b w:val="0"/>
          <w:kern w:val="0"/>
          <w:sz w:val="24"/>
          <w:szCs w:val="24"/>
        </w:rPr>
      </w:pPr>
      <w:r>
        <w:rPr>
          <w:rFonts w:hint="eastAsia" w:ascii="黑体" w:eastAsia="黑体"/>
          <w:b w:val="0"/>
          <w:kern w:val="0"/>
          <w:sz w:val="24"/>
          <w:szCs w:val="24"/>
        </w:rPr>
        <w:t>安全管理服务突发事件应急处理措施</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（特别提示：投标人须按本招标文件评标信息中“安全管理服务突发事件应急处理措施”这一评审因素要求，提供证明资料）</w:t>
      </w:r>
    </w:p>
    <w:p>
      <w:pPr>
        <w:numPr>
          <w:ilvl w:val="0"/>
          <w:numId w:val="0"/>
        </w:numPr>
        <w:ind w:leftChars="0"/>
        <w:rPr>
          <w:rFonts w:hint="eastAsia"/>
        </w:rPr>
      </w:pPr>
    </w:p>
    <w:p>
      <w:pPr>
        <w:pStyle w:val="5"/>
        <w:numPr>
          <w:ilvl w:val="0"/>
          <w:numId w:val="10"/>
        </w:numPr>
        <w:ind w:left="0" w:leftChars="0" w:firstLine="0" w:firstLineChars="0"/>
        <w:jc w:val="center"/>
        <w:rPr>
          <w:rFonts w:hint="eastAsia" w:ascii="黑体" w:eastAsia="黑体"/>
          <w:b w:val="0"/>
          <w:kern w:val="0"/>
          <w:sz w:val="24"/>
          <w:szCs w:val="24"/>
        </w:rPr>
      </w:pPr>
      <w:r>
        <w:rPr>
          <w:rFonts w:hint="eastAsia" w:ascii="黑体" w:eastAsia="黑体"/>
          <w:b w:val="0"/>
          <w:kern w:val="0"/>
          <w:sz w:val="24"/>
          <w:szCs w:val="24"/>
        </w:rPr>
        <w:t>垃圾清运措施服务</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（特别提示：投标人须按本招标文件评标信息中“垃圾清运措施服务”这一评审因素要求，提供证明资料）</w:t>
      </w:r>
    </w:p>
    <w:p>
      <w:pPr>
        <w:numPr>
          <w:ilvl w:val="0"/>
          <w:numId w:val="0"/>
        </w:numPr>
        <w:ind w:leftChars="0"/>
        <w:rPr>
          <w:rFonts w:hint="eastAsia"/>
        </w:rPr>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其他项目辅助工作措施</w:t>
      </w:r>
    </w:p>
    <w:p>
      <w:pPr>
        <w:pStyle w:val="2"/>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（特别提示：投标人须按本招标文件评标信息中“其他项目辅助工作措施”这一评审因素要求，提供证明资料）</w:t>
      </w:r>
    </w:p>
    <w:p>
      <w:pPr>
        <w:pStyle w:val="5"/>
        <w:jc w:val="center"/>
        <w:rPr>
          <w:rFonts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w:t>
      </w:r>
      <w:bookmarkStart w:id="44" w:name="_Hlk72062872"/>
      <w:r>
        <w:rPr>
          <w:rFonts w:hint="eastAsia" w:ascii="黑体" w:eastAsia="黑体"/>
          <w:b w:val="0"/>
          <w:bCs w:val="0"/>
          <w:sz w:val="24"/>
          <w:szCs w:val="20"/>
        </w:rPr>
        <w:t>投标人认为需要加以说明的其他内容</w:t>
      </w:r>
      <w:bookmarkEnd w:id="44"/>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autoSpaceDE w:val="0"/>
        <w:autoSpaceDN w:val="0"/>
        <w:spacing w:line="400" w:lineRule="exact"/>
        <w:ind w:right="1414"/>
        <w:jc w:val="both"/>
        <w:rPr>
          <w:rFonts w:eastAsiaTheme="minorEastAsia"/>
          <w:kern w:val="0"/>
          <w:sz w:val="24"/>
        </w:rPr>
      </w:pPr>
    </w:p>
    <w:p>
      <w:pPr>
        <w:widowControl/>
        <w:autoSpaceDE w:val="0"/>
        <w:autoSpaceDN w:val="0"/>
        <w:spacing w:line="400" w:lineRule="exact"/>
        <w:ind w:right="1414" w:firstLine="420" w:firstLineChars="200"/>
        <w:jc w:val="right"/>
        <w:rPr>
          <w:rFonts w:eastAsiaTheme="minorEastAsia"/>
          <w:kern w:val="0"/>
          <w:sz w:val="24"/>
        </w:rPr>
      </w:pPr>
      <w:r>
        <w:t xml:space="preserve">  </w:t>
      </w: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Pr>
        <w:widowControl/>
        <w:jc w:val="center"/>
        <w:rPr>
          <w:rFonts w:ascii="黑体" w:hAnsi="宋体" w:eastAsia="黑体"/>
          <w:kern w:val="0"/>
          <w:sz w:val="24"/>
          <w:szCs w:val="20"/>
        </w:rPr>
      </w:pPr>
    </w:p>
    <w:p/>
    <w:p>
      <w:pPr>
        <w:pStyle w:val="3"/>
        <w:sectPr>
          <w:pgSz w:w="11907" w:h="16840"/>
          <w:pgMar w:top="1440" w:right="1797" w:bottom="1440" w:left="1797" w:header="851" w:footer="992" w:gutter="0"/>
          <w:cols w:space="425" w:num="1"/>
          <w:titlePg/>
          <w:docGrid w:linePitch="462" w:charSpace="0"/>
        </w:sectPr>
      </w:pPr>
    </w:p>
    <w:p>
      <w:pPr>
        <w:pStyle w:val="3"/>
      </w:pPr>
    </w:p>
    <w:p>
      <w:pPr>
        <w:pStyle w:val="7"/>
      </w:pPr>
      <w:r>
        <w:rPr>
          <w:rFonts w:hint="eastAsia"/>
        </w:rPr>
        <w:t>第五章  合同条款及格式</w:t>
      </w:r>
    </w:p>
    <w:p>
      <w:pPr>
        <w:ind w:firstLine="411" w:firstLineChars="196"/>
      </w:pPr>
    </w:p>
    <w:p>
      <w:pPr>
        <w:jc w:val="center"/>
        <w:outlineLvl w:val="0"/>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val="en-US" w:eastAsia="zh-CN"/>
        </w:rPr>
        <w:t>龙岗</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2"/>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第十八条  违约责任</w:t>
      </w:r>
    </w:p>
    <w:p>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第十九条  其他</w:t>
      </w:r>
    </w:p>
    <w:p>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hint="eastAsia" w:ascii="宋体" w:hAnsi="宋体"/>
          <w:szCs w:val="21"/>
        </w:rPr>
      </w:pPr>
      <w:r>
        <w:rPr>
          <w:rFonts w:hint="eastAsia" w:ascii="宋体" w:hAnsi="宋体"/>
          <w:szCs w:val="21"/>
        </w:rPr>
        <w:t>（1）政府采购合同协议书及其变更、补充协议</w:t>
      </w:r>
    </w:p>
    <w:p>
      <w:pPr>
        <w:ind w:firstLine="420" w:firstLineChars="200"/>
        <w:rPr>
          <w:rFonts w:hint="eastAsia" w:ascii="宋体" w:hAnsi="宋体"/>
          <w:szCs w:val="21"/>
        </w:rPr>
      </w:pPr>
      <w:r>
        <w:rPr>
          <w:rFonts w:hint="eastAsia" w:ascii="宋体" w:hAnsi="宋体"/>
          <w:szCs w:val="21"/>
        </w:rPr>
        <w:t>（2）政府采购合同专用条款</w:t>
      </w:r>
    </w:p>
    <w:p>
      <w:pPr>
        <w:ind w:firstLine="420" w:firstLineChars="200"/>
        <w:rPr>
          <w:rFonts w:hint="eastAsia" w:ascii="宋体" w:hAnsi="宋体"/>
          <w:szCs w:val="21"/>
        </w:rPr>
      </w:pPr>
      <w:r>
        <w:rPr>
          <w:rFonts w:hint="eastAsia" w:ascii="宋体" w:hAnsi="宋体"/>
          <w:szCs w:val="21"/>
        </w:rPr>
        <w:t>（3）政府采购合同通用条款</w:t>
      </w:r>
    </w:p>
    <w:p>
      <w:pPr>
        <w:ind w:firstLine="420" w:firstLineChars="200"/>
        <w:rPr>
          <w:rFonts w:hint="eastAsia" w:ascii="宋体" w:hAnsi="宋体"/>
          <w:szCs w:val="21"/>
        </w:rPr>
      </w:pPr>
      <w:r>
        <w:rPr>
          <w:rFonts w:hint="eastAsia" w:ascii="宋体" w:hAnsi="宋体"/>
          <w:szCs w:val="21"/>
        </w:rPr>
        <w:t>（4）中标（成交）通知书</w:t>
      </w:r>
    </w:p>
    <w:p>
      <w:pPr>
        <w:ind w:firstLine="420" w:firstLineChars="200"/>
        <w:rPr>
          <w:rFonts w:hint="eastAsia" w:ascii="宋体" w:hAnsi="宋体"/>
          <w:szCs w:val="21"/>
        </w:rPr>
      </w:pPr>
      <w:r>
        <w:rPr>
          <w:rFonts w:hint="eastAsia" w:ascii="宋体" w:hAnsi="宋体"/>
          <w:szCs w:val="21"/>
        </w:rPr>
        <w:t>（5）投标（响应）文件</w:t>
      </w:r>
    </w:p>
    <w:p>
      <w:pPr>
        <w:ind w:firstLine="420" w:firstLineChars="200"/>
        <w:rPr>
          <w:rFonts w:hint="eastAsia" w:ascii="宋体" w:hAnsi="宋体"/>
          <w:szCs w:val="21"/>
        </w:rPr>
      </w:pPr>
      <w:r>
        <w:rPr>
          <w:rFonts w:hint="eastAsia" w:ascii="宋体" w:hAnsi="宋体"/>
          <w:szCs w:val="21"/>
        </w:rPr>
        <w:t>（6）采购文件</w:t>
      </w:r>
    </w:p>
    <w:p>
      <w:pPr>
        <w:ind w:firstLine="420" w:firstLineChars="200"/>
        <w:rPr>
          <w:rFonts w:hint="eastAsia"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7"/>
        <w:spacing w:before="120" w:beforeLines="50" w:after="120" w:afterLines="50"/>
        <w:ind w:left="562"/>
        <w:rPr>
          <w:sz w:val="28"/>
          <w:szCs w:val="28"/>
        </w:rPr>
      </w:pPr>
      <w:r>
        <w:rPr>
          <w:rFonts w:hint="eastAsia"/>
          <w:sz w:val="28"/>
          <w:szCs w:val="28"/>
        </w:rPr>
        <w:t>第二册  通用条款（公开招标）</w:t>
      </w:r>
    </w:p>
    <w:p>
      <w:pPr>
        <w:pStyle w:val="7"/>
        <w:numPr>
          <w:ilvl w:val="0"/>
          <w:numId w:val="11"/>
        </w:numPr>
        <w:spacing w:before="120" w:beforeLines="50" w:after="120" w:afterLines="50"/>
        <w:ind w:left="562" w:hanging="562"/>
        <w:rPr>
          <w:sz w:val="28"/>
          <w:szCs w:val="28"/>
        </w:rPr>
      </w:pPr>
      <w:bookmarkStart w:id="45" w:name="_Hlk72399513"/>
      <w:r>
        <w:rPr>
          <w:rFonts w:hint="eastAsia"/>
          <w:sz w:val="28"/>
          <w:szCs w:val="28"/>
        </w:rPr>
        <w:t>总则</w:t>
      </w:r>
    </w:p>
    <w:bookmarkEnd w:id="45"/>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6" w:name="_Hlk72399729"/>
      <w:r>
        <w:rPr>
          <w:rFonts w:hint="eastAsia" w:ascii="宋体" w:hAnsi="宋体"/>
          <w:szCs w:val="21"/>
        </w:rPr>
        <w:t>如有需要，政府集中采购机构可以对通用条款的内容进行补充。</w:t>
      </w:r>
      <w:bookmarkEnd w:id="46"/>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47"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7"/>
    <w:p>
      <w:pPr>
        <w:ind w:firstLine="411" w:firstLineChars="196"/>
        <w:rPr>
          <w:rFonts w:ascii="宋体" w:hAnsi="宋体"/>
        </w:rPr>
      </w:pPr>
    </w:p>
    <w:p>
      <w:pPr>
        <w:pStyle w:val="7"/>
        <w:numPr>
          <w:ilvl w:val="0"/>
          <w:numId w:val="11"/>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9"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pStyle w:val="3"/>
        <w:ind w:firstLine="420" w:firstLineChars="200"/>
      </w:pPr>
      <w:r>
        <w:rPr>
          <w:rFonts w:hint="eastAsia" w:ascii="宋体" w:hAnsi="宋体" w:eastAsia="宋体" w:cs="Times New Roman"/>
          <w:b w:val="0"/>
          <w:bCs w:val="0"/>
          <w:kern w:val="2"/>
          <w:sz w:val="21"/>
          <w:szCs w:val="24"/>
          <w:lang w:val="en-US" w:eastAsia="zh-CN" w:bidi="ar-SA"/>
        </w:rPr>
        <w:t>11.4</w:t>
      </w:r>
      <w:r>
        <w:rPr>
          <w:rFonts w:hint="eastAsia" w:ascii="宋体" w:hAnsi="宋体" w:cs="Times New Roman"/>
          <w:b w:val="0"/>
          <w:bCs w:val="0"/>
          <w:kern w:val="2"/>
          <w:sz w:val="21"/>
          <w:szCs w:val="24"/>
          <w:lang w:val="en-US" w:eastAsia="zh-CN" w:bidi="ar-SA"/>
        </w:rPr>
        <w:t>招标文件所称“原件</w:t>
      </w:r>
      <w:r>
        <w:rPr>
          <w:rFonts w:hint="eastAsia" w:ascii="宋体" w:hAnsi="宋体" w:eastAsia="宋体" w:cs="Times New Roman"/>
          <w:b w:val="0"/>
          <w:bCs w:val="0"/>
          <w:kern w:val="2"/>
          <w:sz w:val="21"/>
          <w:szCs w:val="24"/>
          <w:lang w:val="en-US" w:eastAsia="zh-CN" w:bidi="ar-SA"/>
        </w:rPr>
        <w:t>备查</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是指在项目产生质疑、投诉等阶段，主管部门、采购人、代理机构、评审委员会等可以要求供应商提供原件进行核查。</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bookmarkEnd w:id="49"/>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p>
    <w:p>
      <w:pPr>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50"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0"/>
    <w:p>
      <w:pPr>
        <w:rPr>
          <w:rFonts w:ascii="黑体" w:hAnsi="宋体" w:eastAsia="黑体"/>
          <w:sz w:val="24"/>
        </w:rPr>
      </w:pPr>
      <w:r>
        <w:rPr>
          <w:rFonts w:hint="eastAsia" w:ascii="黑体" w:hAnsi="宋体" w:eastAsia="黑体"/>
          <w:sz w:val="24"/>
        </w:rPr>
        <w:t>15．</w:t>
      </w:r>
      <w:bookmarkStart w:id="51"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1"/>
    <w:p>
      <w:pPr>
        <w:rPr>
          <w:rFonts w:ascii="黑体" w:hAnsi="宋体" w:eastAsia="黑体"/>
          <w:sz w:val="24"/>
        </w:rPr>
      </w:pPr>
      <w:r>
        <w:rPr>
          <w:rFonts w:hint="eastAsia" w:ascii="黑体" w:hAnsi="宋体" w:eastAsia="黑体"/>
          <w:sz w:val="24"/>
        </w:rPr>
        <w:t>18．</w:t>
      </w:r>
      <w:bookmarkStart w:id="52"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2"/>
    <w:p>
      <w:pPr>
        <w:rPr>
          <w:rFonts w:ascii="黑体" w:hAnsi="宋体" w:eastAsia="黑体"/>
          <w:sz w:val="24"/>
        </w:rPr>
      </w:pPr>
      <w:r>
        <w:rPr>
          <w:rFonts w:hint="eastAsia" w:ascii="黑体" w:hAnsi="宋体" w:eastAsia="黑体"/>
          <w:sz w:val="24"/>
        </w:rPr>
        <w:t>19．</w:t>
      </w:r>
      <w:bookmarkStart w:id="53"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4"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4"/>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53"/>
    <w:p>
      <w:pPr>
        <w:ind w:firstLine="411" w:firstLineChars="196"/>
        <w:rPr>
          <w:rFonts w:ascii="宋体" w:hAnsi="宋体"/>
          <w:szCs w:val="21"/>
        </w:rPr>
      </w:pPr>
      <w:bookmarkStart w:id="5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5"/>
    <w:p>
      <w:pPr>
        <w:rPr>
          <w:rFonts w:ascii="黑体" w:hAnsi="宋体" w:eastAsia="黑体"/>
          <w:sz w:val="24"/>
        </w:rPr>
      </w:pPr>
      <w:r>
        <w:rPr>
          <w:rFonts w:hint="eastAsia" w:ascii="黑体" w:hAnsi="宋体" w:eastAsia="黑体"/>
          <w:sz w:val="24"/>
        </w:rPr>
        <w:t>21．</w:t>
      </w:r>
      <w:bookmarkStart w:id="56"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pPr>
        <w:rPr>
          <w:rFonts w:ascii="黑体" w:hAnsi="宋体" w:eastAsia="黑体"/>
          <w:sz w:val="24"/>
        </w:rPr>
      </w:pPr>
      <w:r>
        <w:rPr>
          <w:rFonts w:hint="eastAsia" w:ascii="黑体" w:hAnsi="宋体" w:eastAsia="黑体"/>
          <w:sz w:val="24"/>
        </w:rPr>
        <w:t>23．</w:t>
      </w:r>
      <w:bookmarkStart w:id="5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57"/>
    <w:p>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pPr>
        <w:ind w:firstLine="411" w:firstLineChars="196"/>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58" w:name="_Hlk72405459"/>
      <w:r>
        <w:rPr>
          <w:rFonts w:hint="eastAsia" w:ascii="黑体" w:hAnsi="宋体" w:eastAsia="黑体"/>
          <w:sz w:val="24"/>
        </w:rPr>
        <w:t>24．投标文件的保密</w:t>
      </w:r>
    </w:p>
    <w:p>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381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7"/>
                    <a:stretch>
                      <a:fillRect/>
                    </a:stretch>
                  </pic:blipFill>
                  <pic:spPr>
                    <a:xfrm>
                      <a:off x="0" y="0"/>
                      <a:ext cx="5266690" cy="2126615"/>
                    </a:xfrm>
                    <a:prstGeom prst="rect">
                      <a:avLst/>
                    </a:prstGeom>
                  </pic:spPr>
                </pic:pic>
              </a:graphicData>
            </a:graphic>
          </wp:inline>
        </w:drawing>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pPr>
        <w:ind w:firstLine="0" w:firstLineChars="0"/>
        <w:rPr>
          <w:rFonts w:ascii="宋体" w:hAnsi="宋体"/>
          <w:b w:val="0"/>
        </w:rPr>
      </w:pPr>
      <w:r>
        <w:drawing>
          <wp:inline distT="0" distB="0" distL="114300" distR="114300">
            <wp:extent cx="5266690" cy="2185035"/>
            <wp:effectExtent l="0" t="0" r="3810" b="1206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5266690" cy="2185035"/>
                    </a:xfrm>
                    <a:prstGeom prst="rect">
                      <a:avLst/>
                    </a:prstGeom>
                    <a:noFill/>
                    <a:ln>
                      <a:noFill/>
                    </a:ln>
                  </pic:spPr>
                </pic:pic>
              </a:graphicData>
            </a:graphic>
          </wp:inline>
        </w:drawing>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bookmarkEnd w:id="58"/>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9"/>
    <w:p>
      <w:pPr>
        <w:pStyle w:val="7"/>
        <w:numPr>
          <w:ilvl w:val="0"/>
          <w:numId w:val="11"/>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pPr>
        <w:ind w:firstLine="0" w:firstLineChars="0"/>
        <w:rPr>
          <w:rFonts w:hint="eastAsia" w:ascii="宋体" w:hAnsi="宋体"/>
          <w:szCs w:val="21"/>
        </w:rPr>
      </w:pPr>
      <w:r>
        <w:drawing>
          <wp:inline distT="0" distB="0" distL="114300" distR="114300">
            <wp:extent cx="5269230" cy="2591435"/>
            <wp:effectExtent l="0" t="0" r="1270" b="1206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9"/>
                    <a:stretch>
                      <a:fillRect/>
                    </a:stretch>
                  </pic:blipFill>
                  <pic:spPr>
                    <a:xfrm>
                      <a:off x="0" y="0"/>
                      <a:ext cx="5269230" cy="2591435"/>
                    </a:xfrm>
                    <a:prstGeom prst="rect">
                      <a:avLst/>
                    </a:prstGeom>
                    <a:noFill/>
                    <a:ln>
                      <a:noFill/>
                    </a:ln>
                  </pic:spPr>
                </pic:pic>
              </a:graphicData>
            </a:graphic>
          </wp:inline>
        </w:drawing>
      </w:r>
    </w:p>
    <w:p>
      <w:pPr>
        <w:ind w:firstLine="315" w:firstLineChars="150"/>
        <w:rPr>
          <w:rFonts w:ascii="宋体" w:hAnsi="宋体"/>
          <w:szCs w:val="21"/>
        </w:rPr>
      </w:pPr>
      <w:r>
        <w:rPr>
          <w:rFonts w:hint="eastAsia" w:ascii="宋体" w:hAnsi="宋体"/>
          <w:szCs w:val="21"/>
        </w:rPr>
        <w:t>28.2政府集中采购机构将在满足开标条件后，对投标文件进行开标。</w:t>
      </w:r>
    </w:p>
    <w:p>
      <w:pPr>
        <w:ind w:firstLine="315" w:firstLineChars="150"/>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60" w:name="_Hlk72436580"/>
      <w:r>
        <w:rPr>
          <w:rFonts w:hint="eastAsia" w:ascii="宋体" w:hAnsi="宋体"/>
        </w:rPr>
        <w:t>评审委员会由采购人代表和评审专家组成。</w:t>
      </w:r>
      <w:bookmarkEnd w:id="6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
        <w:numPr>
          <w:ilvl w:val="0"/>
          <w:numId w:val="11"/>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1"/>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2" w:name="_Toc73521669"/>
      <w:bookmarkStart w:id="63" w:name="_Toc73517673"/>
      <w:bookmarkStart w:id="64" w:name="_Toc73521581"/>
      <w:bookmarkStart w:id="65" w:name="_Toc73518151"/>
      <w:bookmarkStart w:id="66" w:name="_Toc100052400"/>
      <w:r>
        <w:rPr>
          <w:rFonts w:hint="eastAsia" w:ascii="黑体" w:hAnsi="宋体" w:eastAsia="黑体"/>
          <w:sz w:val="24"/>
        </w:rPr>
        <w:t>34．错误的修正</w:t>
      </w:r>
      <w:bookmarkEnd w:id="62"/>
      <w:bookmarkEnd w:id="63"/>
      <w:bookmarkEnd w:id="64"/>
      <w:bookmarkEnd w:id="65"/>
      <w:bookmarkEnd w:id="66"/>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hint="eastAsia" w:ascii="ˎ̥" w:hAnsi="ˎ̥"/>
          <w:lang w:eastAsia="zh-CN"/>
        </w:rPr>
      </w:pPr>
      <w:bookmarkStart w:id="67"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7"/>
      <w:r>
        <w:rPr>
          <w:rFonts w:hint="eastAsia" w:ascii="ˎ̥" w:hAnsi="ˎ̥"/>
          <w:lang w:eastAsia="zh-CN"/>
        </w:rPr>
        <w:t>。</w:t>
      </w:r>
    </w:p>
    <w:p>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68"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9"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69"/>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70"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71"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0"/>
      <w:bookmarkEnd w:id="71"/>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68"/>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72"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2"/>
      <w:bookmarkStart w:id="73"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3"/>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4"/>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75" w:name="_Hlk71407340"/>
      <w:r>
        <w:rPr>
          <w:rFonts w:hint="eastAsia" w:ascii="宋体" w:hAnsi="宋体"/>
          <w:szCs w:val="21"/>
        </w:rPr>
        <w:t>41.3因质疑投诉或其它原因导致项目结果变更或采购终止的，政府集中采购机构有权吊销中标通知书。</w:t>
      </w:r>
    </w:p>
    <w:bookmarkEnd w:id="75"/>
    <w:p>
      <w:pPr>
        <w:ind w:firstLine="411" w:firstLineChars="196"/>
        <w:rPr>
          <w:rFonts w:ascii="宋体" w:hAnsi="宋体"/>
          <w:szCs w:val="21"/>
        </w:rPr>
      </w:pPr>
    </w:p>
    <w:p>
      <w:pPr>
        <w:pStyle w:val="7"/>
        <w:numPr>
          <w:ilvl w:val="0"/>
          <w:numId w:val="11"/>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7"/>
        <w:numPr>
          <w:ilvl w:val="0"/>
          <w:numId w:val="11"/>
        </w:numPr>
        <w:spacing w:before="120" w:beforeLines="50" w:after="120" w:afterLines="50"/>
        <w:ind w:left="562" w:hanging="562"/>
        <w:rPr>
          <w:sz w:val="28"/>
          <w:szCs w:val="28"/>
        </w:rPr>
      </w:pPr>
      <w:bookmarkStart w:id="76" w:name="_Hlk72439043"/>
      <w:r>
        <w:rPr>
          <w:rFonts w:hint="eastAsia"/>
          <w:sz w:val="28"/>
          <w:szCs w:val="28"/>
        </w:rPr>
        <w:t>合同的授予与备案</w:t>
      </w:r>
      <w:bookmarkEnd w:id="76"/>
    </w:p>
    <w:p>
      <w:pPr>
        <w:rPr>
          <w:rFonts w:ascii="黑体" w:hAnsi="宋体" w:eastAsia="黑体"/>
          <w:sz w:val="24"/>
        </w:rPr>
      </w:pPr>
      <w:bookmarkStart w:id="77" w:name="_Toc73521586"/>
      <w:bookmarkStart w:id="78" w:name="_Toc73518157"/>
      <w:bookmarkStart w:id="79" w:name="_Toc100052408"/>
      <w:bookmarkStart w:id="80" w:name="_Toc73517679"/>
      <w:bookmarkStart w:id="81" w:name="_Toc73521674"/>
      <w:bookmarkStart w:id="82" w:name="_Hlk72439088"/>
      <w:r>
        <w:rPr>
          <w:rFonts w:hint="eastAsia" w:ascii="黑体" w:hAnsi="宋体" w:eastAsia="黑体"/>
          <w:sz w:val="24"/>
        </w:rPr>
        <w:t>43．合同授予标准</w:t>
      </w:r>
      <w:bookmarkEnd w:id="77"/>
      <w:bookmarkEnd w:id="78"/>
      <w:bookmarkEnd w:id="79"/>
      <w:bookmarkEnd w:id="80"/>
      <w:bookmarkEnd w:id="81"/>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3" w:name="_Toc73521587"/>
      <w:bookmarkStart w:id="84" w:name="_Toc73521675"/>
      <w:bookmarkStart w:id="85" w:name="_Toc73518158"/>
      <w:bookmarkStart w:id="86" w:name="_Toc100052409"/>
      <w:bookmarkStart w:id="87" w:name="_Toc73517680"/>
      <w:r>
        <w:rPr>
          <w:rFonts w:hint="eastAsia" w:ascii="黑体" w:hAnsi="宋体" w:eastAsia="黑体"/>
          <w:sz w:val="24"/>
        </w:rPr>
        <w:t>44．</w:t>
      </w:r>
      <w:bookmarkEnd w:id="83"/>
      <w:bookmarkEnd w:id="84"/>
      <w:bookmarkEnd w:id="85"/>
      <w:bookmarkEnd w:id="86"/>
      <w:bookmarkEnd w:id="87"/>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8" w:name="_Toc73518160"/>
      <w:bookmarkStart w:id="89" w:name="_Toc73521589"/>
      <w:bookmarkStart w:id="90" w:name="_Toc73521677"/>
      <w:bookmarkStart w:id="91" w:name="_Toc73517682"/>
      <w:bookmarkStart w:id="92" w:name="_Toc100052410"/>
      <w:r>
        <w:rPr>
          <w:rFonts w:hint="eastAsia" w:ascii="黑体" w:hAnsi="宋体" w:eastAsia="黑体"/>
          <w:sz w:val="24"/>
        </w:rPr>
        <w:t>45．合同的签订</w:t>
      </w:r>
      <w:bookmarkEnd w:id="88"/>
      <w:bookmarkEnd w:id="89"/>
      <w:bookmarkEnd w:id="90"/>
      <w:bookmarkEnd w:id="91"/>
      <w:bookmarkEnd w:id="92"/>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3" w:name="_Toc73521590"/>
      <w:bookmarkStart w:id="94" w:name="_Toc73518161"/>
      <w:bookmarkStart w:id="95" w:name="_Toc100052411"/>
      <w:bookmarkStart w:id="96" w:name="_Toc73521678"/>
      <w:bookmarkStart w:id="97" w:name="_Toc73517683"/>
      <w:r>
        <w:rPr>
          <w:rFonts w:hint="eastAsia" w:ascii="黑体" w:hAnsi="宋体" w:eastAsia="黑体"/>
          <w:sz w:val="24"/>
        </w:rPr>
        <w:t>46．履约担保</w:t>
      </w:r>
      <w:bookmarkEnd w:id="93"/>
      <w:bookmarkEnd w:id="94"/>
      <w:bookmarkEnd w:id="95"/>
      <w:bookmarkEnd w:id="96"/>
      <w:bookmarkEnd w:id="97"/>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pPr>
        <w:rPr>
          <w:rFonts w:ascii="黑体" w:hAnsi="宋体" w:eastAsia="黑体"/>
          <w:sz w:val="24"/>
        </w:rPr>
      </w:pPr>
      <w:r>
        <w:rPr>
          <w:rFonts w:hint="eastAsia" w:ascii="黑体" w:hAnsi="宋体" w:eastAsia="黑体"/>
          <w:sz w:val="24"/>
        </w:rPr>
        <w:t>48. 合同变更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8" w:name="_Hlk72440769"/>
      <w:r>
        <w:rPr>
          <w:rFonts w:hint="eastAsia" w:ascii="宋体" w:hAnsi="宋体"/>
          <w:szCs w:val="21"/>
        </w:rPr>
        <w:t>政府集中采购机构或采购人不予退还其交纳的谈判保证金，情节严重的，并由主管部门</w:t>
      </w:r>
      <w:bookmarkEnd w:id="98"/>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2"/>
    <w:p>
      <w:pPr>
        <w:pStyle w:val="7"/>
        <w:numPr>
          <w:ilvl w:val="0"/>
          <w:numId w:val="11"/>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bookmarkStart w:id="99"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00" w:name="_Hlk75374941"/>
      <w:r>
        <w:rPr>
          <w:rFonts w:hint="eastAsia" w:ascii="宋体" w:hAnsi="宋体"/>
          <w:szCs w:val="21"/>
        </w:rPr>
        <w:t>以联合体形式参与的，质疑应当由组成联合体的所有成员共同提出</w:t>
      </w:r>
      <w:bookmarkEnd w:id="100"/>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89552033</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lang w:val="en-US" w:eastAsia="zh-CN"/>
        </w:rPr>
        <w:t>采购人</w:t>
      </w:r>
      <w:r>
        <w:rPr>
          <w:rFonts w:hint="eastAsia" w:ascii="宋体" w:hAnsi="宋体"/>
          <w:szCs w:val="21"/>
        </w:rPr>
        <w:t>投诉。</w:t>
      </w:r>
    </w:p>
    <w:p>
      <w:pPr>
        <w:rPr>
          <w:rFonts w:ascii="黑体" w:hAnsi="宋体" w:eastAsia="黑体"/>
          <w:sz w:val="24"/>
        </w:rPr>
      </w:pPr>
      <w:r>
        <w:rPr>
          <w:rFonts w:hint="eastAsia" w:ascii="黑体" w:hAnsi="宋体" w:eastAsia="黑体"/>
          <w:sz w:val="24"/>
        </w:rPr>
        <w:t>53. 质疑后续处理</w:t>
      </w:r>
    </w:p>
    <w:p>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both"/>
      </w:pPr>
      <w:r>
        <w:t>---- END ----</w:t>
      </w:r>
      <w:bookmarkEnd w:id="99"/>
    </w:p>
    <w:p>
      <w:pPr>
        <w:ind w:firstLine="420" w:firstLineChars="200"/>
        <w:rPr>
          <w:rFonts w:ascii="宋体" w:hAnsi="宋体"/>
          <w:szCs w:val="21"/>
        </w:rPr>
      </w:pPr>
    </w:p>
    <w:p>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FFFFF7C"/>
    <w:multiLevelType w:val="singleLevel"/>
    <w:tmpl w:val="FFFFFF7C"/>
    <w:lvl w:ilvl="0" w:tentative="0">
      <w:start w:val="1"/>
      <w:numFmt w:val="decimal"/>
      <w:pStyle w:val="58"/>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1F15C2FE"/>
    <w:multiLevelType w:val="singleLevel"/>
    <w:tmpl w:val="1F15C2FE"/>
    <w:lvl w:ilvl="0" w:tentative="0">
      <w:start w:val="5"/>
      <w:numFmt w:val="chineseCounting"/>
      <w:suff w:val="nothing"/>
      <w:lvlText w:val="%1、"/>
      <w:lvlJc w:val="left"/>
      <w:rPr>
        <w:rFonts w:hint="eastAsia"/>
      </w:rPr>
    </w:lvl>
  </w:abstractNum>
  <w:abstractNum w:abstractNumId="9">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0"/>
  </w:num>
  <w:num w:numId="6">
    <w:abstractNumId w:val="9"/>
  </w:num>
  <w:num w:numId="7">
    <w:abstractNumId w:val="1"/>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zZjNzRiNjYyMmUzMWUwNDIwMThkOGQ2MzU2ZjcifQ=="/>
    <w:docVar w:name="KSO_WPS_MARK_KEY" w:val="c4b93347-5f76-4f39-a1a1-e7e972ef038d"/>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D40CA"/>
    <w:rsid w:val="03613039"/>
    <w:rsid w:val="036202D4"/>
    <w:rsid w:val="03D07714"/>
    <w:rsid w:val="04B94B88"/>
    <w:rsid w:val="05262D76"/>
    <w:rsid w:val="056F462F"/>
    <w:rsid w:val="05EB74FA"/>
    <w:rsid w:val="06270849"/>
    <w:rsid w:val="06552DE0"/>
    <w:rsid w:val="067D4F9E"/>
    <w:rsid w:val="06D71535"/>
    <w:rsid w:val="07515FD1"/>
    <w:rsid w:val="07991A83"/>
    <w:rsid w:val="08CA370B"/>
    <w:rsid w:val="09407664"/>
    <w:rsid w:val="09F07824"/>
    <w:rsid w:val="0A0932C7"/>
    <w:rsid w:val="0A506477"/>
    <w:rsid w:val="0A8A4C86"/>
    <w:rsid w:val="0C37664F"/>
    <w:rsid w:val="0C8D726E"/>
    <w:rsid w:val="0CE05750"/>
    <w:rsid w:val="0D1077DD"/>
    <w:rsid w:val="0D826EB5"/>
    <w:rsid w:val="0EA162F1"/>
    <w:rsid w:val="0F4F55B5"/>
    <w:rsid w:val="0F523385"/>
    <w:rsid w:val="10907D14"/>
    <w:rsid w:val="110658A6"/>
    <w:rsid w:val="114A387E"/>
    <w:rsid w:val="11A5684D"/>
    <w:rsid w:val="120E7E09"/>
    <w:rsid w:val="123D4E07"/>
    <w:rsid w:val="12562AA0"/>
    <w:rsid w:val="156B7273"/>
    <w:rsid w:val="159B504D"/>
    <w:rsid w:val="167F40D4"/>
    <w:rsid w:val="169B65A7"/>
    <w:rsid w:val="16CB4F50"/>
    <w:rsid w:val="16EB1119"/>
    <w:rsid w:val="17853B61"/>
    <w:rsid w:val="17CB121D"/>
    <w:rsid w:val="18314182"/>
    <w:rsid w:val="183A1C0C"/>
    <w:rsid w:val="199E5A21"/>
    <w:rsid w:val="1A2226ED"/>
    <w:rsid w:val="1A612CD6"/>
    <w:rsid w:val="1B942A09"/>
    <w:rsid w:val="1BB61013"/>
    <w:rsid w:val="1BCE272A"/>
    <w:rsid w:val="1BDF7E16"/>
    <w:rsid w:val="1C4C11C0"/>
    <w:rsid w:val="1D035455"/>
    <w:rsid w:val="1D2B1804"/>
    <w:rsid w:val="1D2D465B"/>
    <w:rsid w:val="1E3950C5"/>
    <w:rsid w:val="1E4808ED"/>
    <w:rsid w:val="1E9238C2"/>
    <w:rsid w:val="20913CBA"/>
    <w:rsid w:val="20DB5404"/>
    <w:rsid w:val="210118AD"/>
    <w:rsid w:val="249064A5"/>
    <w:rsid w:val="25B12A01"/>
    <w:rsid w:val="27034AD1"/>
    <w:rsid w:val="280C250B"/>
    <w:rsid w:val="28CF69C0"/>
    <w:rsid w:val="28DD6E23"/>
    <w:rsid w:val="29F80CC4"/>
    <w:rsid w:val="2A257690"/>
    <w:rsid w:val="2A4F0167"/>
    <w:rsid w:val="2ADE7026"/>
    <w:rsid w:val="2CDD21EA"/>
    <w:rsid w:val="2D300825"/>
    <w:rsid w:val="2D8206C8"/>
    <w:rsid w:val="2DD164A7"/>
    <w:rsid w:val="2EEC40A0"/>
    <w:rsid w:val="2F560A17"/>
    <w:rsid w:val="2FD74BE1"/>
    <w:rsid w:val="307410C2"/>
    <w:rsid w:val="308D0856"/>
    <w:rsid w:val="31121EF5"/>
    <w:rsid w:val="31EF7704"/>
    <w:rsid w:val="33305B83"/>
    <w:rsid w:val="338B6C3E"/>
    <w:rsid w:val="35AF558A"/>
    <w:rsid w:val="3902751A"/>
    <w:rsid w:val="39E14173"/>
    <w:rsid w:val="3A660185"/>
    <w:rsid w:val="3BDD4E74"/>
    <w:rsid w:val="3C7E4EDD"/>
    <w:rsid w:val="3E824310"/>
    <w:rsid w:val="3EB53DB8"/>
    <w:rsid w:val="3F2415CF"/>
    <w:rsid w:val="405C2C22"/>
    <w:rsid w:val="40B97C69"/>
    <w:rsid w:val="41103AB3"/>
    <w:rsid w:val="411A2A57"/>
    <w:rsid w:val="4185067D"/>
    <w:rsid w:val="41A2641C"/>
    <w:rsid w:val="41F11B2A"/>
    <w:rsid w:val="426828AB"/>
    <w:rsid w:val="42A11473"/>
    <w:rsid w:val="42D24149"/>
    <w:rsid w:val="42E51F94"/>
    <w:rsid w:val="44502E5B"/>
    <w:rsid w:val="44C558EE"/>
    <w:rsid w:val="44E1092B"/>
    <w:rsid w:val="44E3430F"/>
    <w:rsid w:val="45E17242"/>
    <w:rsid w:val="45F57CCF"/>
    <w:rsid w:val="46CF4FC2"/>
    <w:rsid w:val="46EC288D"/>
    <w:rsid w:val="47957DF4"/>
    <w:rsid w:val="47B6656B"/>
    <w:rsid w:val="48C170B3"/>
    <w:rsid w:val="492359B6"/>
    <w:rsid w:val="49574862"/>
    <w:rsid w:val="4A5406A2"/>
    <w:rsid w:val="4AC519F6"/>
    <w:rsid w:val="4B110B90"/>
    <w:rsid w:val="4D4B1098"/>
    <w:rsid w:val="4D624570"/>
    <w:rsid w:val="4E444B87"/>
    <w:rsid w:val="53083749"/>
    <w:rsid w:val="5355411C"/>
    <w:rsid w:val="53590226"/>
    <w:rsid w:val="54803EF9"/>
    <w:rsid w:val="55FD133D"/>
    <w:rsid w:val="561244DD"/>
    <w:rsid w:val="562B3B54"/>
    <w:rsid w:val="563A27AE"/>
    <w:rsid w:val="56F15429"/>
    <w:rsid w:val="573F362D"/>
    <w:rsid w:val="57E207EA"/>
    <w:rsid w:val="5877241C"/>
    <w:rsid w:val="58AE4B70"/>
    <w:rsid w:val="58B205DA"/>
    <w:rsid w:val="59562254"/>
    <w:rsid w:val="5AB92201"/>
    <w:rsid w:val="5B847B74"/>
    <w:rsid w:val="5B8B381A"/>
    <w:rsid w:val="5CED3FF9"/>
    <w:rsid w:val="5D1C654D"/>
    <w:rsid w:val="5D4476FB"/>
    <w:rsid w:val="5E8B3C4B"/>
    <w:rsid w:val="5ED8763C"/>
    <w:rsid w:val="5FC96642"/>
    <w:rsid w:val="60032513"/>
    <w:rsid w:val="601574AE"/>
    <w:rsid w:val="60257F58"/>
    <w:rsid w:val="61250170"/>
    <w:rsid w:val="614B2DC9"/>
    <w:rsid w:val="62111B39"/>
    <w:rsid w:val="6323332E"/>
    <w:rsid w:val="634925E3"/>
    <w:rsid w:val="65735661"/>
    <w:rsid w:val="665E5750"/>
    <w:rsid w:val="678877B3"/>
    <w:rsid w:val="67E1648C"/>
    <w:rsid w:val="68DA5D31"/>
    <w:rsid w:val="69A9410F"/>
    <w:rsid w:val="6B100175"/>
    <w:rsid w:val="6C5A00AD"/>
    <w:rsid w:val="6D0E2679"/>
    <w:rsid w:val="6D4621DE"/>
    <w:rsid w:val="6DE55656"/>
    <w:rsid w:val="6E261BA7"/>
    <w:rsid w:val="6E660432"/>
    <w:rsid w:val="6E681C31"/>
    <w:rsid w:val="6E8D3E82"/>
    <w:rsid w:val="6ED7625C"/>
    <w:rsid w:val="6F135292"/>
    <w:rsid w:val="70F50EBA"/>
    <w:rsid w:val="71266569"/>
    <w:rsid w:val="7141612A"/>
    <w:rsid w:val="717C6A58"/>
    <w:rsid w:val="71D60130"/>
    <w:rsid w:val="73FA5E27"/>
    <w:rsid w:val="741E4FC3"/>
    <w:rsid w:val="7447637A"/>
    <w:rsid w:val="74C667AB"/>
    <w:rsid w:val="74C876B4"/>
    <w:rsid w:val="757440A2"/>
    <w:rsid w:val="75F73A2A"/>
    <w:rsid w:val="75FC7405"/>
    <w:rsid w:val="769958F2"/>
    <w:rsid w:val="76E96805"/>
    <w:rsid w:val="770266B0"/>
    <w:rsid w:val="77E577FB"/>
    <w:rsid w:val="784576F8"/>
    <w:rsid w:val="78767A5E"/>
    <w:rsid w:val="793D0B51"/>
    <w:rsid w:val="7ABD2CC5"/>
    <w:rsid w:val="7B471C92"/>
    <w:rsid w:val="7CFE3D1B"/>
    <w:rsid w:val="7DEB27D3"/>
    <w:rsid w:val="7E816BC7"/>
    <w:rsid w:val="7EF402AF"/>
    <w:rsid w:val="7F2E3DC9"/>
    <w:rsid w:val="7F4F2218"/>
    <w:rsid w:val="7FF0375A"/>
    <w:rsid w:val="F7FA9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5"/>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0"/>
    <w:qFormat/>
    <w:uiPriority w:val="0"/>
    <w:pPr>
      <w:adjustRightInd w:val="0"/>
      <w:jc w:val="center"/>
      <w:textAlignment w:val="baseline"/>
      <w:outlineLvl w:val="1"/>
    </w:pPr>
    <w:rPr>
      <w:kern w:val="0"/>
      <w:sz w:val="24"/>
      <w:szCs w:val="20"/>
    </w:rPr>
  </w:style>
  <w:style w:type="paragraph" w:styleId="5">
    <w:name w:val="heading 3"/>
    <w:basedOn w:val="6"/>
    <w:next w:val="1"/>
    <w:link w:val="54"/>
    <w:qFormat/>
    <w:uiPriority w:val="9"/>
    <w:pPr>
      <w:spacing w:before="260" w:after="260" w:line="240" w:lineRule="auto"/>
      <w:outlineLvl w:val="2"/>
    </w:pPr>
    <w:rPr>
      <w:rFonts w:ascii="宋体" w:hAnsi="宋体" w:eastAsia="宋体"/>
      <w:szCs w:val="32"/>
    </w:rPr>
  </w:style>
  <w:style w:type="paragraph" w:styleId="6">
    <w:name w:val="heading 4"/>
    <w:basedOn w:val="1"/>
    <w:next w:val="1"/>
    <w:link w:val="5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79"/>
    <w:qFormat/>
    <w:uiPriority w:val="0"/>
    <w:pPr>
      <w:keepNext/>
      <w:keepLines/>
      <w:spacing w:before="280" w:after="290" w:line="376" w:lineRule="auto"/>
      <w:outlineLvl w:val="4"/>
    </w:pPr>
    <w:rPr>
      <w:b/>
      <w:sz w:val="28"/>
      <w:szCs w:val="20"/>
    </w:rPr>
  </w:style>
  <w:style w:type="paragraph" w:styleId="9">
    <w:name w:val="heading 6"/>
    <w:basedOn w:val="1"/>
    <w:next w:val="2"/>
    <w:link w:val="8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2"/>
    <w:link w:val="83"/>
    <w:qFormat/>
    <w:uiPriority w:val="0"/>
    <w:pPr>
      <w:keepNext/>
      <w:keepLines/>
      <w:spacing w:before="240" w:after="64" w:line="320" w:lineRule="auto"/>
      <w:outlineLvl w:val="6"/>
    </w:pPr>
    <w:rPr>
      <w:b/>
      <w:sz w:val="24"/>
      <w:szCs w:val="20"/>
    </w:rPr>
  </w:style>
  <w:style w:type="paragraph" w:styleId="11">
    <w:name w:val="heading 8"/>
    <w:basedOn w:val="1"/>
    <w:next w:val="2"/>
    <w:link w:val="8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2"/>
    <w:link w:val="85"/>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56"/>
    <w:qFormat/>
    <w:uiPriority w:val="0"/>
    <w:pPr>
      <w:ind w:firstLine="420"/>
    </w:pPr>
    <w:rPr>
      <w:szCs w:val="20"/>
    </w:rPr>
  </w:style>
  <w:style w:type="paragraph" w:styleId="3">
    <w:name w:val="Body Text"/>
    <w:basedOn w:val="1"/>
    <w:next w:val="1"/>
    <w:link w:val="91"/>
    <w:qFormat/>
    <w:uiPriority w:val="0"/>
    <w:pPr>
      <w:spacing w:line="360" w:lineRule="auto"/>
    </w:pPr>
    <w:rPr>
      <w:b/>
      <w:bCs/>
      <w:sz w:val="24"/>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3"/>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7"/>
    <w:qFormat/>
    <w:uiPriority w:val="0"/>
    <w:pPr>
      <w:spacing w:after="120"/>
    </w:pPr>
    <w:rPr>
      <w:sz w:val="16"/>
      <w:szCs w:val="16"/>
    </w:rPr>
  </w:style>
  <w:style w:type="paragraph" w:styleId="19">
    <w:name w:val="Body Text Indent"/>
    <w:basedOn w:val="1"/>
    <w:link w:val="78"/>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9"/>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7"/>
    <w:qFormat/>
    <w:uiPriority w:val="0"/>
    <w:rPr>
      <w:rFonts w:ascii="宋体" w:hAnsi="Courier New"/>
      <w:sz w:val="32"/>
      <w:szCs w:val="20"/>
    </w:rPr>
  </w:style>
  <w:style w:type="paragraph" w:styleId="25">
    <w:name w:val="Body Text Indent 2"/>
    <w:basedOn w:val="1"/>
    <w:link w:val="92"/>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8"/>
    <w:semiHidden/>
    <w:qFormat/>
    <w:uiPriority w:val="99"/>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4"/>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5"/>
    <w:qFormat/>
    <w:uiPriority w:val="0"/>
    <w:pPr>
      <w:spacing w:line="360" w:lineRule="auto"/>
    </w:pPr>
    <w:rPr>
      <w:sz w:val="24"/>
    </w:rPr>
  </w:style>
  <w:style w:type="paragraph" w:styleId="36">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9"/>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6"/>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84"/>
    <w:qFormat/>
    <w:uiPriority w:val="99"/>
    <w:pPr>
      <w:autoSpaceDE/>
      <w:autoSpaceDN/>
      <w:adjustRightInd/>
      <w:textAlignment w:val="auto"/>
    </w:pPr>
    <w:rPr>
      <w:rFonts w:ascii="Times New Roman"/>
      <w:b/>
      <w:bCs/>
      <w:kern w:val="2"/>
      <w:sz w:val="21"/>
      <w:szCs w:val="24"/>
    </w:rPr>
  </w:style>
  <w:style w:type="paragraph" w:styleId="41">
    <w:name w:val="Body Text First Indent"/>
    <w:basedOn w:val="3"/>
    <w:link w:val="129"/>
    <w:qFormat/>
    <w:uiPriority w:val="0"/>
    <w:pPr>
      <w:spacing w:after="120" w:line="240" w:lineRule="auto"/>
      <w:ind w:firstLine="420" w:firstLineChars="100"/>
    </w:pPr>
    <w:rPr>
      <w:sz w:val="21"/>
    </w:rPr>
  </w:style>
  <w:style w:type="paragraph" w:styleId="42">
    <w:name w:val="Body Text First Indent 2"/>
    <w:basedOn w:val="19"/>
    <w:qFormat/>
    <w:uiPriority w:val="0"/>
    <w:pPr>
      <w:snapToGrid/>
      <w:spacing w:after="120" w:afterLines="0" w:line="240" w:lineRule="auto"/>
      <w:ind w:left="420" w:leftChars="200" w:firstLine="420" w:firstLineChars="200"/>
    </w:pPr>
    <w:rPr>
      <w:rFonts w:ascii="Times New Roman" w:eastAsia="宋体"/>
      <w:sz w:val="21"/>
      <w:szCs w:val="24"/>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paragraph" w:styleId="51">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52">
    <w:name w:val="标题 4 Char"/>
    <w:link w:val="6"/>
    <w:qFormat/>
    <w:uiPriority w:val="9"/>
    <w:rPr>
      <w:rFonts w:ascii="Arial" w:hAnsi="Arial" w:eastAsia="黑体"/>
      <w:b/>
      <w:bCs/>
      <w:kern w:val="2"/>
      <w:sz w:val="28"/>
      <w:szCs w:val="28"/>
      <w:lang w:val="en-US" w:eastAsia="zh-CN" w:bidi="ar-SA"/>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Char1"/>
    <w:link w:val="5"/>
    <w:qFormat/>
    <w:uiPriority w:val="9"/>
    <w:rPr>
      <w:rFonts w:ascii="宋体" w:hAnsi="宋体" w:eastAsia="宋体"/>
      <w:b/>
      <w:bCs/>
      <w:kern w:val="2"/>
      <w:sz w:val="28"/>
      <w:szCs w:val="32"/>
      <w:lang w:val="en-US" w:eastAsia="zh-CN" w:bidi="ar-SA"/>
    </w:rPr>
  </w:style>
  <w:style w:type="character" w:customStyle="1" w:styleId="55">
    <w:name w:val="标题 1 Char"/>
    <w:link w:val="4"/>
    <w:qFormat/>
    <w:uiPriority w:val="0"/>
    <w:rPr>
      <w:rFonts w:ascii="宋体" w:hAnsi="宋体" w:eastAsia="黑体"/>
      <w:b/>
      <w:bCs/>
      <w:kern w:val="44"/>
      <w:sz w:val="28"/>
      <w:szCs w:val="44"/>
      <w:lang w:val="en-US" w:eastAsia="zh-CN" w:bidi="ar-SA"/>
    </w:rPr>
  </w:style>
  <w:style w:type="character" w:customStyle="1" w:styleId="56">
    <w:name w:val="正文缩进 Char"/>
    <w:link w:val="2"/>
    <w:qFormat/>
    <w:uiPriority w:val="0"/>
    <w:rPr>
      <w:rFonts w:eastAsia="宋体"/>
      <w:kern w:val="2"/>
      <w:sz w:val="21"/>
      <w:lang w:val="en-US" w:eastAsia="zh-CN" w:bidi="ar-SA"/>
    </w:rPr>
  </w:style>
  <w:style w:type="character" w:customStyle="1" w:styleId="57">
    <w:name w:val="标题 3 Char"/>
    <w:qFormat/>
    <w:uiPriority w:val="0"/>
    <w:rPr>
      <w:rFonts w:ascii="黑体" w:eastAsia="黑体"/>
      <w:bCs/>
      <w:sz w:val="30"/>
    </w:rPr>
  </w:style>
  <w:style w:type="paragraph" w:customStyle="1" w:styleId="5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qFormat/>
    <w:uiPriority w:val="0"/>
    <w:pPr>
      <w:spacing w:afterLines="50"/>
      <w:ind w:left="600" w:leftChars="600"/>
    </w:pPr>
  </w:style>
  <w:style w:type="paragraph" w:customStyle="1" w:styleId="66">
    <w:name w:val="Char Char Char Char Char"/>
    <w:basedOn w:val="1"/>
    <w:qFormat/>
    <w:uiPriority w:val="0"/>
    <w:rPr>
      <w:rFonts w:ascii="Tahoma" w:hAnsi="Tahoma"/>
      <w:sz w:val="24"/>
      <w:szCs w:val="20"/>
    </w:rPr>
  </w:style>
  <w:style w:type="paragraph" w:customStyle="1" w:styleId="6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qFormat/>
    <w:uiPriority w:val="0"/>
    <w:rPr>
      <w:rFonts w:ascii="Tahoma" w:hAnsi="Tahoma"/>
      <w:sz w:val="24"/>
      <w:szCs w:val="2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Char"/>
    <w:link w:val="7"/>
    <w:qFormat/>
    <w:uiPriority w:val="0"/>
    <w:rPr>
      <w:rFonts w:ascii="宋体" w:hAnsi="宋体" w:eastAsia="宋体"/>
      <w:b/>
      <w:bCs/>
      <w:sz w:val="24"/>
      <w:lang w:val="en-US" w:eastAsia="zh-CN" w:bidi="ar-SA"/>
    </w:rPr>
  </w:style>
  <w:style w:type="paragraph" w:customStyle="1" w:styleId="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qFormat/>
    <w:uiPriority w:val="34"/>
    <w:pPr>
      <w:ind w:firstLine="420" w:firstLineChars="200"/>
    </w:pPr>
    <w:rPr>
      <w:rFonts w:ascii="Calibri" w:hAnsi="Calibri"/>
      <w:szCs w:val="22"/>
    </w:rPr>
  </w:style>
  <w:style w:type="paragraph" w:customStyle="1" w:styleId="73">
    <w:name w:val="USE 1"/>
    <w:basedOn w:val="1"/>
    <w:qFormat/>
    <w:uiPriority w:val="0"/>
    <w:pPr>
      <w:spacing w:line="200" w:lineRule="atLeast"/>
      <w:jc w:val="left"/>
    </w:pPr>
    <w:rPr>
      <w:rFonts w:ascii="宋体" w:hAnsi="宋体"/>
      <w:b/>
      <w:sz w:val="24"/>
      <w:szCs w:val="28"/>
    </w:rPr>
  </w:style>
  <w:style w:type="paragraph" w:customStyle="1" w:styleId="7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7">
    <w:name w:val="H4 Char2"/>
    <w:qFormat/>
    <w:uiPriority w:val="0"/>
    <w:rPr>
      <w:rFonts w:ascii="Arial" w:hAnsi="Arial" w:eastAsia="黑体"/>
      <w:b/>
      <w:bCs/>
      <w:kern w:val="2"/>
      <w:sz w:val="28"/>
      <w:szCs w:val="28"/>
      <w:lang w:val="en-US" w:eastAsia="zh-CN" w:bidi="ar-SA"/>
    </w:rPr>
  </w:style>
  <w:style w:type="character" w:customStyle="1" w:styleId="78">
    <w:name w:val="正文文本缩进 Char"/>
    <w:link w:val="19"/>
    <w:qFormat/>
    <w:uiPriority w:val="0"/>
    <w:rPr>
      <w:rFonts w:eastAsia="宋体"/>
      <w:kern w:val="2"/>
      <w:sz w:val="21"/>
      <w:szCs w:val="24"/>
      <w:lang w:val="en-US" w:eastAsia="zh-CN" w:bidi="ar-SA"/>
    </w:rPr>
  </w:style>
  <w:style w:type="character" w:customStyle="1" w:styleId="79">
    <w:name w:val="标题 5 Char"/>
    <w:link w:val="8"/>
    <w:qFormat/>
    <w:uiPriority w:val="0"/>
    <w:rPr>
      <w:rFonts w:eastAsia="宋体"/>
      <w:b/>
      <w:kern w:val="2"/>
      <w:sz w:val="28"/>
      <w:lang w:val="en-US" w:eastAsia="zh-CN" w:bidi="ar-SA"/>
    </w:rPr>
  </w:style>
  <w:style w:type="character" w:customStyle="1" w:styleId="80">
    <w:name w:val="第*章 Char"/>
    <w:qFormat/>
    <w:uiPriority w:val="0"/>
    <w:rPr>
      <w:rFonts w:ascii="Arial" w:hAnsi="Arial" w:eastAsia="黑体"/>
      <w:b/>
      <w:bCs/>
      <w:kern w:val="2"/>
      <w:sz w:val="32"/>
      <w:szCs w:val="32"/>
    </w:rPr>
  </w:style>
  <w:style w:type="character" w:customStyle="1" w:styleId="81">
    <w:name w:val="章标题1 Char"/>
    <w:qFormat/>
    <w:uiPriority w:val="0"/>
    <w:rPr>
      <w:rFonts w:eastAsia="宋体"/>
      <w:b/>
      <w:bCs/>
      <w:kern w:val="2"/>
      <w:sz w:val="32"/>
      <w:szCs w:val="32"/>
      <w:lang w:val="en-US" w:eastAsia="zh-CN" w:bidi="ar-SA"/>
    </w:rPr>
  </w:style>
  <w:style w:type="character" w:customStyle="1" w:styleId="82">
    <w:name w:val="标题 6 Char"/>
    <w:link w:val="9"/>
    <w:qFormat/>
    <w:uiPriority w:val="0"/>
    <w:rPr>
      <w:rFonts w:ascii="Arial" w:hAnsi="Arial" w:eastAsia="黑体"/>
      <w:b/>
      <w:kern w:val="2"/>
      <w:sz w:val="24"/>
      <w:lang w:val="en-US" w:eastAsia="zh-CN" w:bidi="ar-SA"/>
    </w:rPr>
  </w:style>
  <w:style w:type="character" w:customStyle="1" w:styleId="83">
    <w:name w:val="标题 7 Char"/>
    <w:link w:val="10"/>
    <w:qFormat/>
    <w:uiPriority w:val="0"/>
    <w:rPr>
      <w:rFonts w:eastAsia="宋体"/>
      <w:b/>
      <w:kern w:val="2"/>
      <w:sz w:val="24"/>
      <w:lang w:val="en-US" w:eastAsia="zh-CN" w:bidi="ar-SA"/>
    </w:rPr>
  </w:style>
  <w:style w:type="character" w:customStyle="1" w:styleId="84">
    <w:name w:val="标题 8 Char"/>
    <w:link w:val="11"/>
    <w:qFormat/>
    <w:uiPriority w:val="0"/>
    <w:rPr>
      <w:rFonts w:ascii="Arial" w:hAnsi="Arial" w:eastAsia="黑体"/>
      <w:kern w:val="2"/>
      <w:sz w:val="24"/>
      <w:lang w:val="en-US" w:eastAsia="zh-CN" w:bidi="ar-SA"/>
    </w:rPr>
  </w:style>
  <w:style w:type="character" w:customStyle="1" w:styleId="85">
    <w:name w:val="标题 9 Char"/>
    <w:link w:val="12"/>
    <w:qFormat/>
    <w:uiPriority w:val="0"/>
    <w:rPr>
      <w:rFonts w:ascii="Arial" w:hAnsi="Arial" w:eastAsia="黑体"/>
      <w:kern w:val="2"/>
      <w:sz w:val="21"/>
      <w:lang w:val="en-US" w:eastAsia="zh-CN" w:bidi="ar-SA"/>
    </w:rPr>
  </w:style>
  <w:style w:type="character" w:customStyle="1" w:styleId="86">
    <w:name w:val="标题 Char"/>
    <w:link w:val="39"/>
    <w:qFormat/>
    <w:uiPriority w:val="0"/>
    <w:rPr>
      <w:rFonts w:ascii="Arial" w:hAnsi="Arial" w:eastAsia="隶书" w:cs="Arial"/>
      <w:b/>
      <w:bCs/>
      <w:kern w:val="2"/>
      <w:sz w:val="32"/>
      <w:szCs w:val="32"/>
      <w:lang w:val="en-US" w:eastAsia="zh-CN" w:bidi="ar-SA"/>
    </w:rPr>
  </w:style>
  <w:style w:type="character" w:customStyle="1" w:styleId="87">
    <w:name w:val="日期 Char"/>
    <w:link w:val="24"/>
    <w:qFormat/>
    <w:uiPriority w:val="0"/>
    <w:rPr>
      <w:rFonts w:ascii="宋体" w:hAnsi="Courier New" w:eastAsia="宋体"/>
      <w:kern w:val="2"/>
      <w:sz w:val="32"/>
      <w:lang w:val="en-US" w:eastAsia="zh-CN" w:bidi="ar-SA"/>
    </w:rPr>
  </w:style>
  <w:style w:type="character" w:customStyle="1" w:styleId="88">
    <w:name w:val="HTML 预设格式 Char"/>
    <w:link w:val="36"/>
    <w:qFormat/>
    <w:uiPriority w:val="0"/>
    <w:rPr>
      <w:rFonts w:ascii="Arial Unicode MS" w:hAnsi="Arial Unicode MS" w:eastAsia="Arial Unicode MS"/>
      <w:color w:val="000000"/>
      <w:lang w:val="en-US" w:eastAsia="zh-CN" w:bidi="ar-SA"/>
    </w:rPr>
  </w:style>
  <w:style w:type="character" w:customStyle="1" w:styleId="89">
    <w:name w:val="纯文本 Char"/>
    <w:link w:val="22"/>
    <w:qFormat/>
    <w:uiPriority w:val="0"/>
    <w:rPr>
      <w:rFonts w:ascii="宋体" w:hAnsi="Courier New" w:eastAsia="宋体"/>
      <w:kern w:val="2"/>
      <w:sz w:val="21"/>
      <w:lang w:val="en-US" w:eastAsia="zh-CN" w:bidi="ar-SA"/>
    </w:rPr>
  </w:style>
  <w:style w:type="character" w:customStyle="1" w:styleId="90">
    <w:name w:val="正文文字首行缩进 Char"/>
    <w:qFormat/>
    <w:uiPriority w:val="0"/>
    <w:rPr>
      <w:kern w:val="2"/>
      <w:sz w:val="21"/>
      <w:szCs w:val="24"/>
    </w:rPr>
  </w:style>
  <w:style w:type="character" w:customStyle="1" w:styleId="91">
    <w:name w:val="正文文本 Char"/>
    <w:link w:val="3"/>
    <w:qFormat/>
    <w:uiPriority w:val="0"/>
    <w:rPr>
      <w:rFonts w:eastAsia="宋体"/>
      <w:b/>
      <w:bCs/>
      <w:kern w:val="2"/>
      <w:sz w:val="24"/>
      <w:szCs w:val="24"/>
      <w:lang w:val="en-US" w:eastAsia="zh-CN" w:bidi="ar-SA"/>
    </w:rPr>
  </w:style>
  <w:style w:type="character" w:customStyle="1" w:styleId="92">
    <w:name w:val="正文文本缩进 2 Char"/>
    <w:link w:val="25"/>
    <w:qFormat/>
    <w:uiPriority w:val="0"/>
    <w:rPr>
      <w:rFonts w:ascii="宋体" w:hAnsi="宋体" w:eastAsia="宋体"/>
      <w:kern w:val="2"/>
      <w:sz w:val="21"/>
      <w:szCs w:val="24"/>
      <w:lang w:val="en-US" w:eastAsia="zh-CN" w:bidi="ar-SA"/>
    </w:rPr>
  </w:style>
  <w:style w:type="character" w:customStyle="1" w:styleId="93">
    <w:name w:val="页眉 Char"/>
    <w:link w:val="28"/>
    <w:qFormat/>
    <w:uiPriority w:val="99"/>
    <w:rPr>
      <w:rFonts w:eastAsia="宋体"/>
      <w:kern w:val="2"/>
      <w:sz w:val="18"/>
      <w:szCs w:val="18"/>
      <w:lang w:val="en-US" w:eastAsia="zh-CN" w:bidi="ar-SA"/>
    </w:rPr>
  </w:style>
  <w:style w:type="character" w:customStyle="1" w:styleId="94">
    <w:name w:val="正文文本缩进 3 Char"/>
    <w:link w:val="32"/>
    <w:qFormat/>
    <w:uiPriority w:val="0"/>
    <w:rPr>
      <w:rFonts w:ascii="宋体" w:eastAsia="宋体"/>
      <w:b/>
      <w:bCs/>
      <w:kern w:val="2"/>
      <w:sz w:val="24"/>
      <w:szCs w:val="24"/>
      <w:lang w:val="en-US" w:eastAsia="zh-CN" w:bidi="ar-SA"/>
    </w:rPr>
  </w:style>
  <w:style w:type="character" w:customStyle="1" w:styleId="95">
    <w:name w:val="正文文本 2 Char"/>
    <w:link w:val="35"/>
    <w:qFormat/>
    <w:uiPriority w:val="0"/>
    <w:rPr>
      <w:rFonts w:eastAsia="宋体"/>
      <w:kern w:val="2"/>
      <w:sz w:val="24"/>
      <w:szCs w:val="24"/>
      <w:lang w:val="en-US" w:eastAsia="zh-CN" w:bidi="ar-SA"/>
    </w:rPr>
  </w:style>
  <w:style w:type="character" w:customStyle="1" w:styleId="96">
    <w:name w:val="页脚 Char"/>
    <w:link w:val="27"/>
    <w:qFormat/>
    <w:uiPriority w:val="0"/>
    <w:rPr>
      <w:rFonts w:eastAsia="宋体"/>
      <w:kern w:val="2"/>
      <w:sz w:val="18"/>
      <w:szCs w:val="18"/>
      <w:lang w:val="en-US" w:eastAsia="zh-CN" w:bidi="ar-SA"/>
    </w:rPr>
  </w:style>
  <w:style w:type="character" w:customStyle="1" w:styleId="97">
    <w:name w:val="正文文本 3 Char"/>
    <w:link w:val="18"/>
    <w:qFormat/>
    <w:uiPriority w:val="0"/>
    <w:rPr>
      <w:rFonts w:eastAsia="宋体"/>
      <w:kern w:val="2"/>
      <w:sz w:val="16"/>
      <w:szCs w:val="16"/>
      <w:lang w:val="en-US" w:eastAsia="zh-CN" w:bidi="ar-SA"/>
    </w:rPr>
  </w:style>
  <w:style w:type="character" w:customStyle="1" w:styleId="98">
    <w:name w:val="批注框文本 Char"/>
    <w:link w:val="26"/>
    <w:semiHidden/>
    <w:qFormat/>
    <w:uiPriority w:val="99"/>
    <w:rPr>
      <w:rFonts w:eastAsia="宋体"/>
      <w:kern w:val="2"/>
      <w:sz w:val="18"/>
      <w:szCs w:val="18"/>
      <w:lang w:val="en-US" w:eastAsia="zh-CN" w:bidi="ar-SA"/>
    </w:rPr>
  </w:style>
  <w:style w:type="paragraph" w:customStyle="1" w:styleId="99">
    <w:name w:val="样式1"/>
    <w:basedOn w:val="39"/>
    <w:qFormat/>
    <w:uiPriority w:val="0"/>
    <w:pPr>
      <w:spacing w:before="120" w:after="120"/>
    </w:pPr>
    <w:rPr>
      <w:rFonts w:eastAsia="黑体"/>
      <w:b w:val="0"/>
      <w:sz w:val="30"/>
      <w:szCs w:val="21"/>
    </w:rPr>
  </w:style>
  <w:style w:type="paragraph" w:customStyle="1" w:styleId="100">
    <w:name w:val="样式2"/>
    <w:basedOn w:val="39"/>
    <w:next w:val="99"/>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3"/>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5"/>
    <w:qFormat/>
    <w:uiPriority w:val="0"/>
  </w:style>
  <w:style w:type="character" w:customStyle="1" w:styleId="125">
    <w:name w:val="font2"/>
    <w:basedOn w:val="45"/>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Char"/>
    <w:link w:val="41"/>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5"/>
    <w:qFormat/>
    <w:uiPriority w:val="0"/>
  </w:style>
  <w:style w:type="paragraph" w:customStyle="1" w:styleId="134">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5"/>
    <w:qFormat/>
    <w:uiPriority w:val="0"/>
  </w:style>
  <w:style w:type="paragraph" w:customStyle="1" w:styleId="136">
    <w:name w:val="8"/>
    <w:basedOn w:val="1"/>
    <w:next w:val="19"/>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5"/>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5"/>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5"/>
    <w:qFormat/>
    <w:uiPriority w:val="0"/>
  </w:style>
  <w:style w:type="character" w:customStyle="1" w:styleId="152">
    <w:name w:val="prodheadlines"/>
    <w:basedOn w:val="45"/>
    <w:qFormat/>
    <w:uiPriority w:val="0"/>
  </w:style>
  <w:style w:type="character" w:customStyle="1" w:styleId="153">
    <w:name w:val="text"/>
    <w:basedOn w:val="45"/>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2"/>
    <w:qFormat/>
    <w:uiPriority w:val="0"/>
    <w:pPr>
      <w:ind w:firstLine="560" w:firstLineChars="200"/>
    </w:pPr>
    <w:rPr>
      <w:sz w:val="28"/>
    </w:rPr>
  </w:style>
  <w:style w:type="character" w:customStyle="1" w:styleId="160">
    <w:name w:val="gray6"/>
    <w:basedOn w:val="45"/>
    <w:qFormat/>
    <w:uiPriority w:val="0"/>
  </w:style>
  <w:style w:type="character" w:customStyle="1" w:styleId="161">
    <w:name w:val="style9"/>
    <w:basedOn w:val="45"/>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5"/>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5"/>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Char"/>
    <w:basedOn w:val="45"/>
    <w:link w:val="17"/>
    <w:qFormat/>
    <w:uiPriority w:val="99"/>
    <w:rPr>
      <w:rFonts w:ascii="宋体"/>
      <w:sz w:val="34"/>
    </w:rPr>
  </w:style>
  <w:style w:type="character" w:customStyle="1" w:styleId="184">
    <w:name w:val="批注主题 Char"/>
    <w:basedOn w:val="183"/>
    <w:link w:val="40"/>
    <w:qFormat/>
    <w:uiPriority w:val="99"/>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Char"/>
    <w:link w:val="37"/>
    <w:qFormat/>
    <w:uiPriority w:val="0"/>
    <w:rPr>
      <w:kern w:val="2"/>
      <w:sz w:val="24"/>
      <w:szCs w:val="24"/>
    </w:rPr>
  </w:style>
  <w:style w:type="character" w:customStyle="1" w:styleId="190">
    <w:name w:val="批注文字 Char1"/>
    <w:qFormat/>
    <w:uiPriority w:val="99"/>
    <w:rPr>
      <w:rFonts w:ascii="宋体"/>
      <w:sz w:val="34"/>
    </w:rPr>
  </w:style>
  <w:style w:type="character" w:customStyle="1" w:styleId="191">
    <w:name w:val="正文缩进 Char1"/>
    <w:qFormat/>
    <w:uiPriority w:val="0"/>
    <w:rPr>
      <w:rFonts w:eastAsia="宋体"/>
      <w:kern w:val="2"/>
      <w:sz w:val="21"/>
      <w:lang w:val="en-US" w:eastAsia="zh-CN" w:bidi="ar-SA"/>
    </w:rPr>
  </w:style>
  <w:style w:type="table" w:customStyle="1" w:styleId="19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4">
    <w:name w:val="p15"/>
    <w:basedOn w:val="1"/>
    <w:qFormat/>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7783</Words>
  <Characters>8305</Characters>
  <Lines>332</Lines>
  <Paragraphs>93</Paragraphs>
  <TotalTime>3</TotalTime>
  <ScaleCrop>false</ScaleCrop>
  <LinksUpToDate>false</LinksUpToDate>
  <CharactersWithSpaces>8385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qxm</cp:lastModifiedBy>
  <cp:lastPrinted>2021-05-09T16:02:00Z</cp:lastPrinted>
  <dcterms:modified xsi:type="dcterms:W3CDTF">2025-01-21T06:31:08Z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F2E71B0FDC5A4F0AAFB36667F7303EC9_13</vt:lpwstr>
  </property>
</Properties>
</file>