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130E9">
      <w:pPr>
        <w:ind w:firstLine="3654" w:firstLineChars="1300"/>
        <w:rPr>
          <w:rFonts w:ascii="宋体" w:hAnsi="宋体"/>
          <w:color w:val="FF0000"/>
          <w:szCs w:val="21"/>
        </w:rPr>
      </w:pPr>
      <w:r>
        <w:rPr>
          <w:rFonts w:hint="eastAsia" w:ascii="宋体" w:hAnsi="宋体" w:eastAsia="黑体"/>
          <w:b/>
          <w:bCs/>
          <w:color w:val="FF0000"/>
          <w:kern w:val="44"/>
          <w:sz w:val="28"/>
          <w:szCs w:val="44"/>
          <w:lang w:val="en-US" w:eastAsia="zh-CN"/>
        </w:rPr>
        <w:t>特别</w:t>
      </w:r>
      <w:r>
        <w:rPr>
          <w:rFonts w:hint="eastAsia" w:ascii="宋体" w:hAnsi="宋体" w:eastAsia="黑体"/>
          <w:b/>
          <w:bCs/>
          <w:color w:val="FF0000"/>
          <w:kern w:val="44"/>
          <w:sz w:val="28"/>
          <w:szCs w:val="44"/>
        </w:rPr>
        <w:t>警示条款</w:t>
      </w:r>
    </w:p>
    <w:p w14:paraId="3FF6EDD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ind w:firstLine="482" w:firstLineChars="200"/>
        <w:jc w:val="both"/>
        <w:textAlignment w:val="auto"/>
        <w:rPr>
          <w:rFonts w:hint="eastAsia" w:ascii="宋体" w:hAnsi="宋体" w:eastAsia="宋体" w:cs="宋体"/>
          <w:b/>
          <w:bCs/>
          <w:color w:val="FF0000"/>
          <w:sz w:val="24"/>
          <w:szCs w:val="24"/>
          <w:highlight w:val="yellow"/>
          <w:lang w:val="en-US" w:eastAsia="zh-CN"/>
        </w:rPr>
      </w:pPr>
      <w:r>
        <w:rPr>
          <w:rFonts w:hint="eastAsia" w:ascii="宋体" w:hAnsi="宋体" w:eastAsia="宋体" w:cs="宋体"/>
          <w:b/>
          <w:bCs/>
          <w:color w:val="FF0000"/>
          <w:sz w:val="24"/>
          <w:szCs w:val="24"/>
          <w:highlight w:val="yellow"/>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5E610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14:paraId="4A26574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序号</w:t>
            </w:r>
          </w:p>
        </w:tc>
        <w:tc>
          <w:tcPr>
            <w:tcW w:w="7711" w:type="dxa"/>
            <w:tcBorders>
              <w:tl2br w:val="nil"/>
              <w:tr2bl w:val="nil"/>
            </w:tcBorders>
            <w:noWrap w:val="0"/>
            <w:vAlign w:val="center"/>
          </w:tcPr>
          <w:p w14:paraId="63870EF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b/>
                <w:bCs/>
                <w:color w:val="FF0000"/>
                <w:sz w:val="24"/>
                <w:szCs w:val="24"/>
                <w:highlight w:val="none"/>
                <w:lang w:val="en-US" w:eastAsia="zh-CN"/>
              </w:rPr>
              <w:t>供应商参与投标禁止情形</w:t>
            </w:r>
          </w:p>
        </w:tc>
      </w:tr>
      <w:tr w14:paraId="5B93F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3AD285A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1</w:t>
            </w:r>
          </w:p>
        </w:tc>
        <w:tc>
          <w:tcPr>
            <w:tcW w:w="7711" w:type="dxa"/>
            <w:tcBorders>
              <w:tl2br w:val="nil"/>
              <w:tr2bl w:val="nil"/>
            </w:tcBorders>
            <w:noWrap w:val="0"/>
            <w:vAlign w:val="center"/>
          </w:tcPr>
          <w:p w14:paraId="414062A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4"/>
                <w:szCs w:val="24"/>
                <w:highlight w:val="none"/>
                <w:lang w:val="en-US" w:eastAsia="zh-CN"/>
              </w:rPr>
              <w:t>同一人、属同一单位或者在同一单位缴纳社会保险</w:t>
            </w:r>
            <w:r>
              <w:rPr>
                <w:rFonts w:hint="eastAsia" w:ascii="宋体" w:hAnsi="宋体" w:eastAsia="宋体" w:cs="宋体"/>
                <w:color w:val="FF0000"/>
                <w:sz w:val="24"/>
                <w:szCs w:val="24"/>
                <w:highlight w:val="none"/>
                <w:lang w:val="en-US" w:eastAsia="zh-CN"/>
              </w:rPr>
              <w:t>。</w:t>
            </w:r>
          </w:p>
        </w:tc>
      </w:tr>
      <w:tr w14:paraId="09597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2B570EE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2</w:t>
            </w:r>
          </w:p>
        </w:tc>
        <w:tc>
          <w:tcPr>
            <w:tcW w:w="7711" w:type="dxa"/>
            <w:tcBorders>
              <w:tl2br w:val="nil"/>
              <w:tr2bl w:val="nil"/>
            </w:tcBorders>
            <w:noWrap w:val="0"/>
            <w:vAlign w:val="center"/>
          </w:tcPr>
          <w:p w14:paraId="5AE14EC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参与本项目政府采购活动时，与其他投标供应商存在单位负责人为</w:t>
            </w:r>
            <w:r>
              <w:rPr>
                <w:rFonts w:hint="eastAsia" w:ascii="宋体" w:hAnsi="宋体" w:eastAsia="宋体" w:cs="宋体"/>
                <w:b/>
                <w:bCs/>
                <w:color w:val="FF0000"/>
                <w:sz w:val="24"/>
                <w:szCs w:val="24"/>
                <w:highlight w:val="none"/>
                <w:lang w:val="en-US" w:eastAsia="zh-CN"/>
              </w:rPr>
              <w:t>同一人或直接控股、管理关系</w:t>
            </w:r>
            <w:r>
              <w:rPr>
                <w:rFonts w:hint="eastAsia" w:ascii="宋体" w:hAnsi="宋体" w:eastAsia="宋体" w:cs="宋体"/>
                <w:color w:val="FF0000"/>
                <w:sz w:val="24"/>
                <w:szCs w:val="24"/>
                <w:highlight w:val="none"/>
                <w:lang w:val="en-US" w:eastAsia="zh-CN"/>
              </w:rPr>
              <w:t>。</w:t>
            </w:r>
          </w:p>
        </w:tc>
      </w:tr>
      <w:tr w14:paraId="35EFD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33CE848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3</w:t>
            </w:r>
          </w:p>
        </w:tc>
        <w:tc>
          <w:tcPr>
            <w:tcW w:w="7711" w:type="dxa"/>
            <w:tcBorders>
              <w:tl2br w:val="nil"/>
              <w:tr2bl w:val="nil"/>
            </w:tcBorders>
            <w:noWrap w:val="0"/>
            <w:vAlign w:val="center"/>
          </w:tcPr>
          <w:p w14:paraId="7855299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与其他投标供应商的投标文件或部分投标文件</w:t>
            </w:r>
            <w:r>
              <w:rPr>
                <w:rFonts w:hint="eastAsia" w:ascii="宋体" w:hAnsi="宋体" w:eastAsia="宋体" w:cs="宋体"/>
                <w:b/>
                <w:bCs/>
                <w:color w:val="FF0000"/>
                <w:sz w:val="24"/>
                <w:szCs w:val="24"/>
                <w:highlight w:val="none"/>
                <w:lang w:val="en-US" w:eastAsia="zh-CN"/>
              </w:rPr>
              <w:t>相互混装或存在非正常一致</w:t>
            </w:r>
            <w:r>
              <w:rPr>
                <w:rFonts w:hint="eastAsia" w:ascii="宋体" w:hAnsi="宋体" w:eastAsia="宋体" w:cs="宋体"/>
                <w:color w:val="FF0000"/>
                <w:sz w:val="24"/>
                <w:szCs w:val="24"/>
                <w:highlight w:val="none"/>
                <w:lang w:val="en-US" w:eastAsia="zh-CN"/>
              </w:rPr>
              <w:t>。</w:t>
            </w:r>
          </w:p>
        </w:tc>
      </w:tr>
      <w:tr w14:paraId="53F74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14:paraId="7BE9ADC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4</w:t>
            </w:r>
          </w:p>
        </w:tc>
        <w:tc>
          <w:tcPr>
            <w:tcW w:w="7711" w:type="dxa"/>
            <w:tcBorders>
              <w:tl2br w:val="nil"/>
              <w:tr2bl w:val="nil"/>
            </w:tcBorders>
            <w:noWrap w:val="0"/>
            <w:vAlign w:val="center"/>
          </w:tcPr>
          <w:p w14:paraId="79D672B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color w:val="FF0000"/>
                <w:sz w:val="24"/>
                <w:szCs w:val="24"/>
                <w:highlight w:val="none"/>
                <w:lang w:val="en-US" w:eastAsia="zh-CN"/>
              </w:rPr>
              <w:t>与其他投标供应商的投标文件由</w:t>
            </w:r>
            <w:r>
              <w:rPr>
                <w:rFonts w:hint="eastAsia" w:ascii="宋体" w:hAnsi="宋体" w:eastAsia="宋体" w:cs="宋体"/>
                <w:b/>
                <w:bCs/>
                <w:color w:val="FF0000"/>
                <w:sz w:val="24"/>
                <w:szCs w:val="24"/>
                <w:highlight w:val="none"/>
                <w:lang w:val="en-US" w:eastAsia="zh-CN"/>
              </w:rPr>
              <w:t>同一单位或者同一人编制</w:t>
            </w:r>
            <w:r>
              <w:rPr>
                <w:rFonts w:hint="eastAsia" w:ascii="宋体" w:hAnsi="宋体" w:eastAsia="宋体" w:cs="宋体"/>
                <w:color w:val="FF0000"/>
                <w:sz w:val="24"/>
                <w:szCs w:val="24"/>
                <w:highlight w:val="none"/>
                <w:lang w:val="en-US" w:eastAsia="zh-CN"/>
              </w:rPr>
              <w:t>，或者使用</w:t>
            </w:r>
            <w:r>
              <w:rPr>
                <w:rFonts w:hint="eastAsia" w:ascii="宋体" w:hAnsi="宋体" w:eastAsia="宋体" w:cs="宋体"/>
                <w:b/>
                <w:bCs/>
                <w:color w:val="FF0000"/>
                <w:sz w:val="24"/>
                <w:szCs w:val="24"/>
                <w:highlight w:val="none"/>
                <w:lang w:val="en-US" w:eastAsia="zh-CN"/>
              </w:rPr>
              <w:t>同一设备编制</w:t>
            </w:r>
            <w:r>
              <w:rPr>
                <w:rFonts w:hint="eastAsia" w:ascii="宋体" w:hAnsi="宋体" w:eastAsia="宋体" w:cs="宋体"/>
                <w:color w:val="FF0000"/>
                <w:sz w:val="24"/>
                <w:szCs w:val="24"/>
                <w:highlight w:val="none"/>
                <w:lang w:val="en-US" w:eastAsia="zh-CN"/>
              </w:rPr>
              <w:t>（“文件制作机器码”“文件创建标识码”一致）。</w:t>
            </w:r>
          </w:p>
        </w:tc>
      </w:tr>
      <w:tr w14:paraId="7F373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14:paraId="514E696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5</w:t>
            </w:r>
          </w:p>
        </w:tc>
        <w:tc>
          <w:tcPr>
            <w:tcW w:w="7711" w:type="dxa"/>
            <w:tcBorders>
              <w:tl2br w:val="nil"/>
              <w:tr2bl w:val="nil"/>
            </w:tcBorders>
            <w:noWrap w:val="0"/>
            <w:vAlign w:val="center"/>
          </w:tcPr>
          <w:p w14:paraId="3A53DDF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提供</w:t>
            </w:r>
            <w:r>
              <w:rPr>
                <w:rFonts w:hint="eastAsia" w:ascii="宋体" w:hAnsi="宋体" w:eastAsia="宋体" w:cs="宋体"/>
                <w:b/>
                <w:bCs/>
                <w:color w:val="FF0000"/>
                <w:sz w:val="24"/>
                <w:szCs w:val="24"/>
                <w:highlight w:val="none"/>
                <w:lang w:val="en-US" w:eastAsia="zh-CN"/>
              </w:rPr>
              <w:t>未经出具机构核实</w:t>
            </w:r>
            <w:r>
              <w:rPr>
                <w:rFonts w:hint="eastAsia" w:ascii="宋体" w:hAnsi="宋体" w:eastAsia="宋体" w:cs="宋体"/>
                <w:color w:val="FF0000"/>
                <w:sz w:val="24"/>
                <w:szCs w:val="24"/>
                <w:highlight w:val="none"/>
                <w:lang w:val="en-US" w:eastAsia="zh-CN"/>
              </w:rPr>
              <w:t>的虚假的检验检测报告、业绩材料、社保缴纳证明、学历学位证书、职称认证证书等材料。</w:t>
            </w:r>
          </w:p>
        </w:tc>
      </w:tr>
      <w:tr w14:paraId="06CCD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14:paraId="54FB18F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6</w:t>
            </w:r>
          </w:p>
        </w:tc>
        <w:tc>
          <w:tcPr>
            <w:tcW w:w="7711" w:type="dxa"/>
            <w:tcBorders>
              <w:tl2br w:val="nil"/>
              <w:tr2bl w:val="nil"/>
            </w:tcBorders>
            <w:noWrap w:val="0"/>
            <w:vAlign w:val="center"/>
          </w:tcPr>
          <w:p w14:paraId="319D3A1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color w:val="FF0000"/>
                <w:sz w:val="24"/>
                <w:szCs w:val="24"/>
                <w:highlight w:val="none"/>
                <w:lang w:val="en-US" w:eastAsia="zh-CN"/>
              </w:rPr>
              <w:t>擅自将投标密钥</w:t>
            </w:r>
            <w:r>
              <w:rPr>
                <w:rFonts w:hint="eastAsia" w:ascii="宋体" w:hAnsi="宋体" w:eastAsia="宋体" w:cs="宋体"/>
                <w:color w:val="FF0000"/>
                <w:sz w:val="24"/>
                <w:szCs w:val="24"/>
                <w:highlight w:val="none"/>
                <w:lang w:eastAsia="zh-CN"/>
              </w:rPr>
              <w:t>或</w:t>
            </w:r>
            <w:r>
              <w:rPr>
                <w:rFonts w:hint="eastAsia" w:ascii="宋体" w:hAnsi="宋体" w:eastAsia="宋体" w:cs="宋体"/>
                <w:color w:val="FF0000"/>
                <w:sz w:val="24"/>
                <w:szCs w:val="24"/>
                <w:highlight w:val="none"/>
                <w:lang w:val="en-US" w:eastAsia="zh-CN"/>
              </w:rPr>
              <w:t>电子营业执照出借他人使用或未妥善保管。</w:t>
            </w:r>
          </w:p>
        </w:tc>
      </w:tr>
    </w:tbl>
    <w:p w14:paraId="322C4BF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color w:val="FF0000"/>
          <w:sz w:val="24"/>
          <w:szCs w:val="24"/>
        </w:rPr>
      </w:pPr>
    </w:p>
    <w:p w14:paraId="5D3D17F9">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一、</w:t>
      </w:r>
      <w:r>
        <w:rPr>
          <w:rFonts w:hint="eastAsia" w:ascii="宋体" w:hAnsi="宋体" w:eastAsia="宋体" w:cs="宋体"/>
          <w:b/>
          <w:bCs/>
          <w:color w:val="FF0000"/>
          <w:sz w:val="24"/>
          <w:szCs w:val="24"/>
        </w:rPr>
        <w:t>《深圳经济特区政府采购条例》第五十七条</w:t>
      </w:r>
      <w:r>
        <w:rPr>
          <w:rFonts w:hint="eastAsia" w:ascii="宋体" w:hAnsi="宋体" w:eastAsia="宋体" w:cs="宋体"/>
          <w:color w:val="FF0000"/>
          <w:sz w:val="24"/>
          <w:szCs w:val="24"/>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2DC1E27D">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（一）在采购活动中应当回避而未回避的；</w:t>
      </w:r>
    </w:p>
    <w:p w14:paraId="6BD01ED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（二）未按本条例规定签订、履行采购合同，造成严重后果的；</w:t>
      </w:r>
    </w:p>
    <w:p w14:paraId="23ECE7B4">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（三）隐瞒真实情况，提供虚假资料的；</w:t>
      </w:r>
    </w:p>
    <w:p w14:paraId="6DCEF0AC">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（四）以非法手段排斥其他供应商参与竞争的；</w:t>
      </w:r>
    </w:p>
    <w:p w14:paraId="3744619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（五）与其他采购参加人串通投标的；</w:t>
      </w:r>
    </w:p>
    <w:p w14:paraId="550F6BCA">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（六）恶意投诉的；</w:t>
      </w:r>
    </w:p>
    <w:p w14:paraId="0A03BD9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（七）向采购项目相关人行贿或者提供其他不当利益的；</w:t>
      </w:r>
    </w:p>
    <w:p w14:paraId="02A5EA9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（八）阻碍、抗拒主管部门监督检查的；</w:t>
      </w:r>
    </w:p>
    <w:p w14:paraId="78A9DEA0">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（九）其他违反本条例规定的行为。</w:t>
      </w:r>
    </w:p>
    <w:p w14:paraId="40E7EC3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ind w:firstLine="482" w:firstLineChars="200"/>
        <w:textAlignment w:val="auto"/>
        <w:rPr>
          <w:rFonts w:hint="eastAsia" w:ascii="宋体" w:hAnsi="宋体" w:eastAsia="宋体" w:cs="宋体"/>
          <w:color w:val="FF0000"/>
          <w:sz w:val="24"/>
          <w:szCs w:val="24"/>
        </w:rPr>
      </w:pPr>
      <w:r>
        <w:rPr>
          <w:rFonts w:hint="eastAsia" w:ascii="宋体" w:hAnsi="宋体" w:eastAsia="宋体" w:cs="宋体"/>
          <w:b/>
          <w:bCs/>
          <w:color w:val="FF0000"/>
          <w:sz w:val="24"/>
          <w:szCs w:val="24"/>
        </w:rPr>
        <w:t>二、《深圳经济特区政府采购条例实施细则》第七十五条</w:t>
      </w:r>
      <w:r>
        <w:rPr>
          <w:rFonts w:hint="eastAsia" w:ascii="宋体" w:hAnsi="宋体" w:eastAsia="宋体" w:cs="宋体"/>
          <w:b/>
          <w:bCs/>
          <w:color w:val="FF0000"/>
          <w:sz w:val="24"/>
          <w:szCs w:val="24"/>
          <w:lang w:val="en-US" w:eastAsia="zh-CN"/>
        </w:rPr>
        <w:t xml:space="preserve"> </w:t>
      </w:r>
      <w:r>
        <w:rPr>
          <w:rFonts w:hint="eastAsia" w:ascii="宋体" w:hAnsi="宋体" w:eastAsia="宋体" w:cs="宋体"/>
          <w:color w:val="FF0000"/>
          <w:sz w:val="24"/>
          <w:szCs w:val="24"/>
        </w:rPr>
        <w:t>供应商有下列情形</w:t>
      </w:r>
      <w:r>
        <w:rPr>
          <w:rFonts w:hint="eastAsia" w:ascii="宋体" w:hAnsi="宋体" w:eastAsia="宋体" w:cs="宋体"/>
          <w:color w:val="FF0000"/>
          <w:sz w:val="24"/>
          <w:szCs w:val="24"/>
          <w:lang w:val="en-US" w:eastAsia="zh-CN"/>
        </w:rPr>
        <w:t>之一</w:t>
      </w:r>
      <w:r>
        <w:rPr>
          <w:rFonts w:hint="eastAsia" w:ascii="宋体" w:hAnsi="宋体" w:eastAsia="宋体" w:cs="宋体"/>
          <w:color w:val="FF0000"/>
          <w:sz w:val="24"/>
          <w:szCs w:val="24"/>
        </w:rPr>
        <w:t>的，属于采购条例所称的串通投标行为，按照采购条例第五十七条有关规定处理：（一）投标供应商之间相互约定给予未中标的供应商利益补偿</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rPr>
        <w:t>（二）不同投标供应商的法定代表人、主要经营负责人、项目投标授权代表人、项目负责人、主要技术人员为同一人、属同一单位或者在同一单位缴纳社会保险</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rPr>
        <w:t>（三）不同投标供应商的投标文件由同一单位或者同一人编制，或者由同一人分阶段参与编制的</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rPr>
        <w:t>（四）不同投标供应商的投标文件或部分投标文件相互混装</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rPr>
        <w:t>（五）不同投标供应商的投标文件内容存在非正常一致</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rPr>
        <w:t>（六）由同一单位工作人员为两家以上（含两家）供应商进行同一项投标活动的</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rPr>
        <w:t>（七）主管部门依照法律、法规认定的其他情形。</w:t>
      </w:r>
    </w:p>
    <w:p w14:paraId="3CAD04ED">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ind w:firstLine="482" w:firstLineChars="200"/>
        <w:textAlignment w:val="auto"/>
        <w:rPr>
          <w:rFonts w:hint="eastAsia" w:ascii="宋体" w:hAnsi="宋体" w:eastAsia="宋体" w:cs="宋体"/>
          <w:color w:val="FF0000"/>
          <w:sz w:val="24"/>
          <w:szCs w:val="24"/>
        </w:rPr>
      </w:pPr>
      <w:r>
        <w:rPr>
          <w:rFonts w:hint="eastAsia" w:ascii="宋体" w:hAnsi="宋体" w:eastAsia="宋体" w:cs="宋体"/>
          <w:b/>
          <w:bCs/>
          <w:color w:val="FF0000"/>
          <w:sz w:val="24"/>
          <w:szCs w:val="24"/>
        </w:rPr>
        <w:t>三、《深圳经济特区政府采购条例实施细则》第七十七条</w:t>
      </w:r>
      <w:r>
        <w:rPr>
          <w:rFonts w:hint="eastAsia" w:ascii="宋体" w:hAnsi="宋体" w:eastAsia="宋体" w:cs="宋体"/>
          <w:b/>
          <w:bCs/>
          <w:color w:val="FF0000"/>
          <w:sz w:val="24"/>
          <w:szCs w:val="24"/>
          <w:lang w:val="en-US" w:eastAsia="zh-CN"/>
        </w:rPr>
        <w:t xml:space="preserve"> </w:t>
      </w:r>
      <w:r>
        <w:rPr>
          <w:rFonts w:hint="eastAsia" w:ascii="宋体" w:hAnsi="宋体" w:eastAsia="宋体" w:cs="宋体"/>
          <w:color w:val="FF0000"/>
          <w:sz w:val="24"/>
          <w:szCs w:val="24"/>
        </w:rPr>
        <w:t>供应商有下列情形之一的，属于隐瞒真实情况，提供虚假资料，按照采购条例第五十七</w:t>
      </w:r>
      <w:r>
        <w:rPr>
          <w:rFonts w:hint="eastAsia" w:ascii="宋体" w:hAnsi="宋体" w:eastAsia="宋体" w:cs="宋体"/>
          <w:color w:val="FF0000"/>
          <w:sz w:val="24"/>
          <w:szCs w:val="24"/>
          <w:lang w:val="en-US" w:eastAsia="zh-CN"/>
        </w:rPr>
        <w:t>条</w:t>
      </w:r>
      <w:r>
        <w:rPr>
          <w:rFonts w:hint="eastAsia" w:ascii="宋体" w:hAnsi="宋体" w:eastAsia="宋体" w:cs="宋体"/>
          <w:color w:val="FF0000"/>
          <w:sz w:val="24"/>
          <w:szCs w:val="24"/>
        </w:rPr>
        <w:t>的有关规定处理：（一）通过转让或者租借等方式从其他单位获取资格或者资质证书投标的</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rPr>
        <w:t>（二）由其他单位或者其他单位负责人在投标供应商编制的投标文件上加盖印章或者签字的</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rPr>
        <w:t>（三）项目负责人或者主要技术人员不是本单位人员的</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rPr>
        <w:t>（四）投标保证金不是从投标供应商基本账户转出的</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rPr>
        <w:t>（五）其他隐瞒真实情况、提供虚假资料的行为。</w:t>
      </w:r>
    </w:p>
    <w:p w14:paraId="71CB91D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投标供应商不能提供项目负责人或者主要技术人员的劳动合同、社会保险等劳动关系证明材料的，视为存在前款第（三）项规定的情形。</w:t>
      </w:r>
    </w:p>
    <w:p w14:paraId="6869E9DD">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b w:val="0"/>
          <w:bCs/>
          <w:color w:val="FF0000"/>
          <w:sz w:val="24"/>
          <w:szCs w:val="24"/>
          <w:lang w:val="en-US" w:eastAsia="zh-CN"/>
        </w:rPr>
      </w:pPr>
      <w:r>
        <w:rPr>
          <w:rFonts w:hint="eastAsia" w:ascii="宋体" w:hAnsi="宋体" w:eastAsia="宋体" w:cs="宋体"/>
          <w:b w:val="0"/>
          <w:bCs/>
          <w:color w:val="FF0000"/>
          <w:sz w:val="24"/>
          <w:szCs w:val="24"/>
          <w:lang w:val="en-US" w:eastAsia="zh-CN"/>
        </w:rPr>
        <w:t>四、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332CAAE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b w:val="0"/>
          <w:bCs/>
          <w:color w:val="FF0000"/>
          <w:sz w:val="24"/>
          <w:szCs w:val="24"/>
          <w:lang w:val="en-US" w:eastAsia="zh-CN"/>
        </w:rPr>
      </w:pPr>
      <w:r>
        <w:rPr>
          <w:rFonts w:hint="eastAsia" w:ascii="宋体" w:hAnsi="宋体" w:eastAsia="宋体" w:cs="宋体"/>
          <w:b w:val="0"/>
          <w:bCs/>
          <w:color w:val="FF0000"/>
          <w:sz w:val="24"/>
          <w:szCs w:val="24"/>
          <w:lang w:val="en-US" w:eastAsia="zh-CN"/>
        </w:rPr>
        <w:t>为避免出现不同供应商投标文件的文件制作机器码、文件创建标识码、IP地址一致的异常情况，建议各供应商编制、上传投标文件时不要使用公共电脑设备或公共网络。</w:t>
      </w:r>
    </w:p>
    <w:p w14:paraId="4C5CE8A9">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宋体" w:hAnsi="宋体" w:eastAsia="宋体" w:cs="宋体"/>
          <w:b w:val="0"/>
          <w:bCs/>
          <w:color w:val="FF0000"/>
          <w:sz w:val="24"/>
          <w:szCs w:val="24"/>
          <w:lang w:val="en-US" w:eastAsia="zh-CN"/>
        </w:rPr>
      </w:pPr>
      <w:r>
        <w:rPr>
          <w:rFonts w:hint="eastAsia" w:ascii="宋体" w:hAnsi="宋体" w:eastAsia="宋体" w:cs="宋体"/>
          <w:b w:val="0"/>
          <w:bCs/>
          <w:color w:val="FF0000"/>
          <w:sz w:val="24"/>
          <w:szCs w:val="24"/>
          <w:lang w:val="en-US"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eastAsia="宋体" w:cs="宋体"/>
          <w:color w:val="FF0000"/>
          <w:sz w:val="24"/>
          <w:szCs w:val="24"/>
        </w:rPr>
        <w:t>取消参与本市政府采购资格</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rPr>
        <w:t>依法吊销其营业</w:t>
      </w:r>
      <w:r>
        <w:rPr>
          <w:rFonts w:hint="eastAsia" w:ascii="宋体" w:hAnsi="宋体" w:eastAsia="宋体" w:cs="宋体"/>
          <w:color w:val="FF0000"/>
          <w:sz w:val="24"/>
          <w:szCs w:val="24"/>
          <w:lang w:val="en-US" w:eastAsia="zh-CN"/>
        </w:rPr>
        <w:t>执照等行政处罚，</w:t>
      </w:r>
      <w:r>
        <w:rPr>
          <w:rFonts w:hint="eastAsia" w:ascii="宋体" w:hAnsi="宋体" w:eastAsia="宋体" w:cs="宋体"/>
          <w:color w:val="FF0000"/>
          <w:sz w:val="24"/>
          <w:szCs w:val="24"/>
        </w:rPr>
        <w:t>构成犯罪的，依法追究刑事责任</w:t>
      </w:r>
      <w:r>
        <w:rPr>
          <w:rFonts w:hint="eastAsia" w:ascii="宋体" w:hAnsi="宋体" w:eastAsia="宋体" w:cs="宋体"/>
          <w:b w:val="0"/>
          <w:bCs/>
          <w:color w:val="FF0000"/>
          <w:sz w:val="24"/>
          <w:szCs w:val="24"/>
          <w:lang w:val="en-US" w:eastAsia="zh-CN"/>
        </w:rPr>
        <w:t>，请各供应商独立编制、上传投标文件，妥善保管和使用电子秘钥。</w:t>
      </w:r>
    </w:p>
    <w:p w14:paraId="65CD8AED">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color w:val="FF0000"/>
          <w:sz w:val="24"/>
          <w:szCs w:val="24"/>
          <w:lang w:val="en-US" w:eastAsia="zh-CN"/>
        </w:rPr>
        <w:t>五</w:t>
      </w:r>
      <w:r>
        <w:rPr>
          <w:rFonts w:hint="eastAsia" w:ascii="宋体" w:hAnsi="宋体" w:eastAsia="宋体" w:cs="宋体"/>
          <w:b/>
          <w:color w:val="FF0000"/>
          <w:sz w:val="24"/>
          <w:szCs w:val="24"/>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15861C6A">
      <w:pPr>
        <w:pStyle w:val="196"/>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b w:val="0"/>
          <w:bCs/>
          <w:color w:val="FF0000"/>
          <w:sz w:val="24"/>
          <w:szCs w:val="24"/>
          <w:lang w:val="en-US" w:eastAsia="zh-CN"/>
        </w:rPr>
      </w:pPr>
    </w:p>
    <w:p w14:paraId="729E52E0">
      <w:pPr>
        <w:widowControl/>
        <w:spacing w:beforeAutospacing="1" w:afterAutospacing="1"/>
        <w:jc w:val="left"/>
        <w:outlineLvl w:val="1"/>
        <w:rPr>
          <w:rFonts w:hint="eastAsia" w:ascii="黑体" w:hAnsi="宋体" w:eastAsia="黑体" w:cs="黑体"/>
          <w:kern w:val="0"/>
          <w:sz w:val="40"/>
          <w:szCs w:val="40"/>
        </w:rPr>
      </w:pPr>
      <w:r>
        <w:rPr>
          <w:rFonts w:hint="eastAsia" w:ascii="宋体" w:hAnsi="宋体" w:eastAsia="宋体" w:cs="宋体"/>
          <w:b/>
          <w:color w:val="FF0000"/>
          <w:kern w:val="2"/>
          <w:sz w:val="24"/>
          <w:szCs w:val="24"/>
          <w:lang w:val="en-US" w:eastAsia="zh-CN" w:bidi="ar-SA"/>
        </w:rPr>
        <w:t>注：“特别警示条款”和《政府采购违法行为风险知悉确认书》用于对供应商违法行为的提醒，不作为供应商资格性审查及符合性审查条件。</w:t>
      </w:r>
    </w:p>
    <w:p w14:paraId="053577C2">
      <w:pPr>
        <w:widowControl/>
        <w:spacing w:beforeAutospacing="1" w:afterAutospacing="1"/>
        <w:jc w:val="center"/>
        <w:outlineLvl w:val="1"/>
        <w:rPr>
          <w:rFonts w:hint="eastAsia" w:ascii="黑体" w:hAnsi="宋体" w:eastAsia="黑体" w:cs="黑体"/>
          <w:kern w:val="0"/>
          <w:sz w:val="40"/>
          <w:szCs w:val="40"/>
        </w:rPr>
      </w:pPr>
    </w:p>
    <w:p w14:paraId="7AF08C87">
      <w:pPr>
        <w:widowControl/>
        <w:spacing w:beforeAutospacing="1" w:afterAutospacing="1"/>
        <w:jc w:val="center"/>
        <w:outlineLvl w:val="1"/>
        <w:rPr>
          <w:rFonts w:hint="eastAsia" w:ascii="黑体" w:hAnsi="宋体" w:eastAsia="黑体" w:cs="黑体"/>
          <w:kern w:val="0"/>
          <w:sz w:val="40"/>
          <w:szCs w:val="40"/>
        </w:rPr>
      </w:pPr>
    </w:p>
    <w:p w14:paraId="4EF9D90F">
      <w:pPr>
        <w:pStyle w:val="2"/>
        <w:rPr>
          <w:rFonts w:hint="eastAsia" w:ascii="黑体" w:hAnsi="宋体" w:eastAsia="黑体" w:cs="黑体"/>
          <w:kern w:val="0"/>
          <w:sz w:val="40"/>
          <w:szCs w:val="40"/>
        </w:rPr>
      </w:pPr>
    </w:p>
    <w:p w14:paraId="032EEA87">
      <w:pPr>
        <w:pStyle w:val="36"/>
        <w:rPr>
          <w:rFonts w:hint="eastAsia" w:ascii="黑体" w:hAnsi="宋体" w:eastAsia="黑体" w:cs="黑体"/>
          <w:kern w:val="0"/>
          <w:sz w:val="40"/>
          <w:szCs w:val="40"/>
        </w:rPr>
      </w:pPr>
    </w:p>
    <w:p w14:paraId="0C978083">
      <w:pPr>
        <w:pStyle w:val="36"/>
        <w:rPr>
          <w:rFonts w:hint="eastAsia" w:ascii="黑体" w:hAnsi="宋体" w:eastAsia="黑体" w:cs="黑体"/>
          <w:kern w:val="0"/>
          <w:sz w:val="40"/>
          <w:szCs w:val="40"/>
        </w:rPr>
      </w:pPr>
    </w:p>
    <w:p w14:paraId="4E9E23B0">
      <w:pPr>
        <w:widowControl/>
        <w:spacing w:beforeAutospacing="1" w:afterAutospacing="1"/>
        <w:jc w:val="center"/>
        <w:outlineLvl w:val="1"/>
        <w:rPr>
          <w:rFonts w:ascii="黑体" w:hAnsi="宋体" w:eastAsia="黑体" w:cs="黑体"/>
          <w:kern w:val="0"/>
          <w:sz w:val="40"/>
          <w:szCs w:val="40"/>
        </w:rPr>
      </w:pPr>
      <w:r>
        <w:rPr>
          <w:rFonts w:hint="eastAsia" w:ascii="黑体" w:hAnsi="宋体" w:eastAsia="黑体" w:cs="黑体"/>
          <w:kern w:val="0"/>
          <w:sz w:val="40"/>
          <w:szCs w:val="40"/>
        </w:rPr>
        <w:t>招标文件信息</w:t>
      </w:r>
    </w:p>
    <w:tbl>
      <w:tblPr>
        <w:tblStyle w:val="44"/>
        <w:tblW w:w="7943" w:type="dxa"/>
        <w:jc w:val="center"/>
        <w:tblCellSpacing w:w="0" w:type="dxa"/>
        <w:tblLayout w:type="fixed"/>
        <w:tblCellMar>
          <w:top w:w="45" w:type="dxa"/>
          <w:left w:w="45" w:type="dxa"/>
          <w:bottom w:w="45" w:type="dxa"/>
          <w:right w:w="45" w:type="dxa"/>
        </w:tblCellMar>
      </w:tblPr>
      <w:tblGrid>
        <w:gridCol w:w="2723"/>
        <w:gridCol w:w="5220"/>
      </w:tblGrid>
      <w:tr w14:paraId="09C13B6F">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5A738CDF">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14:paraId="49539D96">
            <w:pPr>
              <w:widowControl/>
              <w:jc w:val="left"/>
              <w:rPr>
                <w:rFonts w:hint="eastAsia" w:eastAsia="宋体"/>
                <w:sz w:val="30"/>
                <w:szCs w:val="30"/>
                <w:lang w:eastAsia="zh-CN"/>
              </w:rPr>
            </w:pPr>
            <w:r>
              <w:rPr>
                <w:rFonts w:hint="eastAsia" w:cs="Times New Roman"/>
                <w:kern w:val="2"/>
                <w:sz w:val="30"/>
                <w:szCs w:val="30"/>
                <w:lang w:val="en-US" w:eastAsia="zh-CN" w:bidi="ar"/>
              </w:rPr>
              <w:t xml:space="preserve">  LGZXCG-2025-00054</w:t>
            </w:r>
          </w:p>
        </w:tc>
      </w:tr>
      <w:tr w14:paraId="2F990FB4">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D5E2B35">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14:paraId="5672CE1E">
            <w:pPr>
              <w:widowControl/>
              <w:jc w:val="left"/>
              <w:rPr>
                <w:rFonts w:hint="default" w:eastAsia="宋体"/>
                <w:sz w:val="30"/>
                <w:szCs w:val="30"/>
                <w:lang w:val="en-US" w:eastAsia="zh-CN"/>
              </w:rPr>
            </w:pPr>
            <w:r>
              <w:rPr>
                <w:rFonts w:hint="eastAsia"/>
                <w:sz w:val="30"/>
                <w:szCs w:val="30"/>
                <w:lang w:val="en-US" w:eastAsia="zh-CN"/>
              </w:rPr>
              <w:t>龙岗区横岗六约学校2025-2026学年八大类外食材采购</w:t>
            </w:r>
          </w:p>
        </w:tc>
      </w:tr>
      <w:tr w14:paraId="4584AC32">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9F708B6">
            <w:pPr>
              <w:widowControl/>
              <w:jc w:val="right"/>
              <w:rPr>
                <w:sz w:val="30"/>
                <w:szCs w:val="30"/>
              </w:rPr>
            </w:pPr>
            <w:r>
              <w:rPr>
                <w:rFonts w:ascii="宋体" w:hAnsi="宋体" w:cs="宋体"/>
                <w:kern w:val="0"/>
                <w:sz w:val="30"/>
                <w:szCs w:val="30"/>
                <w:lang w:bidi="ar"/>
              </w:rPr>
              <w:t>包 号：</w:t>
            </w:r>
          </w:p>
        </w:tc>
        <w:tc>
          <w:tcPr>
            <w:tcW w:w="5220" w:type="dxa"/>
            <w:shd w:val="clear" w:color="auto" w:fill="auto"/>
            <w:vAlign w:val="center"/>
          </w:tcPr>
          <w:p w14:paraId="058A3ABC">
            <w:pPr>
              <w:widowControl/>
              <w:jc w:val="left"/>
              <w:rPr>
                <w:sz w:val="30"/>
                <w:szCs w:val="30"/>
              </w:rPr>
            </w:pPr>
            <w:r>
              <w:rPr>
                <w:rFonts w:ascii="宋体" w:hAnsi="宋体" w:cs="宋体"/>
                <w:kern w:val="0"/>
                <w:sz w:val="30"/>
                <w:szCs w:val="30"/>
                <w:lang w:bidi="ar"/>
              </w:rPr>
              <w:t>A</w:t>
            </w:r>
          </w:p>
        </w:tc>
      </w:tr>
      <w:tr w14:paraId="29922B0C">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19773E8">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14:paraId="420D6368">
            <w:pPr>
              <w:widowControl/>
              <w:jc w:val="left"/>
              <w:rPr>
                <w:sz w:val="30"/>
                <w:szCs w:val="30"/>
              </w:rPr>
            </w:pPr>
            <w:r>
              <w:rPr>
                <w:rFonts w:hint="eastAsia" w:ascii="宋体" w:hAnsi="宋体" w:cs="宋体"/>
                <w:kern w:val="0"/>
                <w:sz w:val="30"/>
                <w:szCs w:val="30"/>
                <w:lang w:bidi="ar"/>
              </w:rPr>
              <w:t>服务</w:t>
            </w:r>
            <w:r>
              <w:rPr>
                <w:rFonts w:ascii="宋体" w:hAnsi="宋体" w:cs="宋体"/>
                <w:kern w:val="0"/>
                <w:sz w:val="30"/>
                <w:szCs w:val="30"/>
                <w:lang w:bidi="ar"/>
              </w:rPr>
              <w:t>类</w:t>
            </w:r>
          </w:p>
        </w:tc>
      </w:tr>
      <w:tr w14:paraId="636667D1">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20F8E66">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14:paraId="5A22A93D">
            <w:pPr>
              <w:widowControl/>
              <w:jc w:val="left"/>
              <w:rPr>
                <w:sz w:val="30"/>
                <w:szCs w:val="30"/>
              </w:rPr>
            </w:pPr>
            <w:r>
              <w:rPr>
                <w:rFonts w:ascii="宋体" w:hAnsi="宋体" w:cs="宋体"/>
                <w:kern w:val="0"/>
                <w:sz w:val="30"/>
                <w:szCs w:val="30"/>
                <w:lang w:bidi="ar"/>
              </w:rPr>
              <w:t>公开招标</w:t>
            </w:r>
          </w:p>
        </w:tc>
      </w:tr>
      <w:tr w14:paraId="026A5B49">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0370D97">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14:paraId="496D8869">
            <w:pPr>
              <w:widowControl/>
              <w:jc w:val="left"/>
              <w:rPr>
                <w:sz w:val="30"/>
                <w:szCs w:val="30"/>
              </w:rPr>
            </w:pPr>
            <w:r>
              <w:rPr>
                <w:rFonts w:ascii="宋体" w:hAnsi="宋体" w:cs="宋体"/>
                <w:kern w:val="0"/>
                <w:sz w:val="30"/>
                <w:szCs w:val="30"/>
                <w:lang w:bidi="ar"/>
              </w:rPr>
              <w:t>人民币</w:t>
            </w:r>
          </w:p>
        </w:tc>
      </w:tr>
      <w:tr w14:paraId="7DF76EF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4C90E99">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14:paraId="587A153C">
            <w:pPr>
              <w:widowControl/>
              <w:jc w:val="left"/>
              <w:rPr>
                <w:sz w:val="30"/>
                <w:szCs w:val="30"/>
              </w:rPr>
            </w:pPr>
            <w:r>
              <w:rPr>
                <w:rFonts w:ascii="宋体" w:hAnsi="宋体" w:cs="宋体"/>
                <w:kern w:val="0"/>
                <w:sz w:val="30"/>
                <w:szCs w:val="30"/>
                <w:lang w:bidi="ar"/>
              </w:rPr>
              <w:t>综合评分法</w:t>
            </w:r>
          </w:p>
        </w:tc>
      </w:tr>
    </w:tbl>
    <w:p w14:paraId="0C2A081E">
      <w:pPr>
        <w:pStyle w:val="38"/>
        <w:jc w:val="center"/>
        <w:outlineLvl w:val="1"/>
        <w:rPr>
          <w:rFonts w:hint="eastAsia" w:ascii="黑体" w:hAnsi="黑体" w:eastAsia="黑体"/>
          <w:sz w:val="40"/>
          <w:szCs w:val="40"/>
        </w:rPr>
        <w:sectPr>
          <w:headerReference r:id="rId3" w:type="first"/>
          <w:footerReference r:id="rId6" w:type="first"/>
          <w:footerReference r:id="rId4" w:type="default"/>
          <w:footerReference r:id="rId5" w:type="even"/>
          <w:pgSz w:w="11907" w:h="16840"/>
          <w:pgMar w:top="1440" w:right="1417" w:bottom="1440" w:left="1417" w:header="851" w:footer="992" w:gutter="0"/>
          <w:cols w:space="425" w:num="1"/>
          <w:titlePg/>
          <w:docGrid w:linePitch="462" w:charSpace="0"/>
        </w:sectPr>
      </w:pPr>
    </w:p>
    <w:p w14:paraId="19205AA7">
      <w:pPr>
        <w:pStyle w:val="38"/>
        <w:jc w:val="center"/>
        <w:outlineLvl w:val="1"/>
        <w:rPr>
          <w:rFonts w:ascii="黑体" w:hAnsi="黑体" w:eastAsia="黑体"/>
          <w:sz w:val="40"/>
          <w:szCs w:val="40"/>
        </w:rPr>
      </w:pPr>
      <w:r>
        <w:rPr>
          <w:rFonts w:hint="eastAsia" w:ascii="黑体" w:hAnsi="黑体" w:eastAsia="黑体"/>
          <w:sz w:val="40"/>
          <w:szCs w:val="40"/>
        </w:rPr>
        <w:t>资格性审查表</w:t>
      </w:r>
    </w:p>
    <w:tbl>
      <w:tblPr>
        <w:tblStyle w:val="44"/>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18CDA4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A0A9778">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ED2DC20">
            <w:pPr>
              <w:jc w:val="center"/>
              <w:rPr>
                <w:rFonts w:ascii="宋体" w:hAnsi="宋体" w:cs="宋体"/>
                <w:sz w:val="28"/>
                <w:szCs w:val="28"/>
              </w:rPr>
            </w:pPr>
            <w:r>
              <w:rPr>
                <w:sz w:val="28"/>
                <w:szCs w:val="28"/>
              </w:rPr>
              <w:t>内容</w:t>
            </w:r>
          </w:p>
        </w:tc>
      </w:tr>
      <w:tr w14:paraId="11C782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3A07B45">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715C8DC5">
            <w:pPr>
              <w:rPr>
                <w:rFonts w:ascii="宋体" w:hAnsi="宋体" w:cs="宋体"/>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14:paraId="014D8835">
      <w:pPr>
        <w:pStyle w:val="38"/>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44"/>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00C834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51DD9B6">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628D6A9">
            <w:pPr>
              <w:jc w:val="center"/>
              <w:rPr>
                <w:rFonts w:ascii="宋体" w:hAnsi="宋体" w:cs="宋体"/>
                <w:sz w:val="28"/>
                <w:szCs w:val="28"/>
              </w:rPr>
            </w:pPr>
            <w:r>
              <w:rPr>
                <w:sz w:val="28"/>
                <w:szCs w:val="28"/>
              </w:rPr>
              <w:t>内容</w:t>
            </w:r>
          </w:p>
        </w:tc>
      </w:tr>
      <w:tr w14:paraId="3F342B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6673A50">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6BA778C6">
            <w:pPr>
              <w:rPr>
                <w:rFonts w:ascii="宋体" w:hAnsi="宋体" w:cs="宋体"/>
                <w:szCs w:val="21"/>
              </w:rPr>
            </w:pPr>
            <w:r>
              <w:rPr>
                <w:rFonts w:hint="eastAsia"/>
                <w:lang w:val="en-US" w:eastAsia="zh-CN"/>
              </w:rPr>
              <w:t>不得</w:t>
            </w:r>
            <w:r>
              <w:rPr>
                <w:rFonts w:hint="eastAsia"/>
              </w:rPr>
              <w:t>将一个包的内容拆开投标；</w:t>
            </w:r>
          </w:p>
        </w:tc>
      </w:tr>
      <w:tr w14:paraId="0668AD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60C2777">
            <w:pPr>
              <w:jc w:val="center"/>
              <w:rPr>
                <w:rFonts w:ascii="宋体" w:hAnsi="宋体" w:cs="宋体"/>
                <w:szCs w:val="21"/>
              </w:rPr>
            </w:pPr>
            <w:r>
              <w:rPr>
                <w:szCs w:val="21"/>
              </w:rPr>
              <w:t>2</w:t>
            </w:r>
          </w:p>
        </w:tc>
        <w:tc>
          <w:tcPr>
            <w:tcW w:w="8278" w:type="dxa"/>
            <w:tcBorders>
              <w:top w:val="single" w:color="000000" w:sz="8" w:space="0"/>
              <w:left w:val="single" w:color="000000" w:sz="8" w:space="0"/>
              <w:bottom w:val="single" w:color="000000" w:sz="8" w:space="0"/>
              <w:right w:val="single" w:color="000000" w:sz="8" w:space="0"/>
            </w:tcBorders>
          </w:tcPr>
          <w:p w14:paraId="5B90C0A1">
            <w:pPr>
              <w:rPr>
                <w:rFonts w:ascii="宋体" w:hAnsi="宋体" w:cs="宋体"/>
                <w:szCs w:val="21"/>
              </w:rPr>
            </w:pPr>
            <w:r>
              <w:rPr>
                <w:rFonts w:hint="eastAsia"/>
              </w:rPr>
              <w:t>对同一项目投标时，</w:t>
            </w:r>
            <w:r>
              <w:rPr>
                <w:rFonts w:hint="eastAsia"/>
                <w:lang w:val="en-US" w:eastAsia="zh-CN"/>
              </w:rPr>
              <w:t>不得</w:t>
            </w:r>
            <w:r>
              <w:rPr>
                <w:rFonts w:hint="eastAsia"/>
              </w:rPr>
              <w:t>提供两套以上的投标方案（招标文件另有规定的除外）；</w:t>
            </w:r>
          </w:p>
        </w:tc>
      </w:tr>
      <w:tr w14:paraId="1809B2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AE75E2C">
            <w:pPr>
              <w:jc w:val="center"/>
              <w:rPr>
                <w:rFonts w:ascii="宋体" w:hAnsi="宋体" w:cs="宋体"/>
                <w:szCs w:val="21"/>
              </w:rPr>
            </w:pPr>
            <w:r>
              <w:rPr>
                <w:szCs w:val="21"/>
              </w:rPr>
              <w:t>3</w:t>
            </w:r>
          </w:p>
        </w:tc>
        <w:tc>
          <w:tcPr>
            <w:tcW w:w="8278" w:type="dxa"/>
            <w:tcBorders>
              <w:top w:val="single" w:color="000000" w:sz="8" w:space="0"/>
              <w:left w:val="single" w:color="000000" w:sz="8" w:space="0"/>
              <w:bottom w:val="single" w:color="000000" w:sz="8" w:space="0"/>
              <w:right w:val="single" w:color="000000" w:sz="8" w:space="0"/>
            </w:tcBorders>
          </w:tcPr>
          <w:p w14:paraId="41BD4B1C">
            <w:pPr>
              <w:rPr>
                <w:rFonts w:ascii="宋体" w:hAnsi="宋体" w:cs="宋体"/>
                <w:szCs w:val="21"/>
              </w:rPr>
            </w:pPr>
            <w:r>
              <w:rPr>
                <w:rFonts w:hint="eastAsia"/>
              </w:rPr>
              <w:t>项目详细报价填写的“折扣率”不满足“0&lt;折扣率≤1”公式要求的；“折扣率”缺填、漏填或者填报了两个及以上“折扣率”；</w:t>
            </w:r>
          </w:p>
        </w:tc>
      </w:tr>
      <w:tr w14:paraId="3C0349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613F2AB">
            <w:pPr>
              <w:jc w:val="center"/>
              <w:rPr>
                <w:rFonts w:ascii="宋体" w:hAnsi="宋体" w:cs="宋体"/>
                <w:szCs w:val="21"/>
              </w:rPr>
            </w:pPr>
            <w:r>
              <w:rPr>
                <w:szCs w:val="21"/>
              </w:rPr>
              <w:t>4</w:t>
            </w:r>
          </w:p>
        </w:tc>
        <w:tc>
          <w:tcPr>
            <w:tcW w:w="8278" w:type="dxa"/>
            <w:tcBorders>
              <w:top w:val="single" w:color="000000" w:sz="8" w:space="0"/>
              <w:left w:val="single" w:color="000000" w:sz="8" w:space="0"/>
              <w:bottom w:val="single" w:color="000000" w:sz="8" w:space="0"/>
              <w:right w:val="single" w:color="000000" w:sz="8" w:space="0"/>
            </w:tcBorders>
          </w:tcPr>
          <w:p w14:paraId="39055397">
            <w:pPr>
              <w:rPr>
                <w:rFonts w:ascii="宋体" w:hAnsi="宋体" w:cs="宋体"/>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2B3727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26D884D">
            <w:pPr>
              <w:jc w:val="center"/>
              <w:rPr>
                <w:rFonts w:ascii="宋体" w:hAnsi="宋体" w:cs="宋体"/>
                <w:szCs w:val="21"/>
              </w:rPr>
            </w:pPr>
            <w:r>
              <w:rPr>
                <w:szCs w:val="21"/>
              </w:rPr>
              <w:t>5</w:t>
            </w:r>
          </w:p>
        </w:tc>
        <w:tc>
          <w:tcPr>
            <w:tcW w:w="8278" w:type="dxa"/>
            <w:tcBorders>
              <w:top w:val="single" w:color="000000" w:sz="8" w:space="0"/>
              <w:left w:val="single" w:color="000000" w:sz="8" w:space="0"/>
              <w:bottom w:val="single" w:color="000000" w:sz="8" w:space="0"/>
              <w:right w:val="single" w:color="000000" w:sz="8" w:space="0"/>
            </w:tcBorders>
          </w:tcPr>
          <w:p w14:paraId="7348D3AF">
            <w:pPr>
              <w:rPr>
                <w:rFonts w:ascii="宋体" w:hAnsi="宋体" w:cs="宋体"/>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217422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CF2E411">
            <w:pPr>
              <w:jc w:val="center"/>
              <w:rPr>
                <w:rFonts w:ascii="宋体" w:hAnsi="宋体" w:cs="宋体"/>
                <w:szCs w:val="21"/>
              </w:rPr>
            </w:pPr>
            <w:r>
              <w:rPr>
                <w:szCs w:val="21"/>
              </w:rPr>
              <w:t>6</w:t>
            </w:r>
          </w:p>
        </w:tc>
        <w:tc>
          <w:tcPr>
            <w:tcW w:w="8278" w:type="dxa"/>
            <w:tcBorders>
              <w:top w:val="single" w:color="000000" w:sz="8" w:space="0"/>
              <w:left w:val="single" w:color="000000" w:sz="8" w:space="0"/>
              <w:bottom w:val="single" w:color="000000" w:sz="8" w:space="0"/>
              <w:right w:val="single" w:color="000000" w:sz="8" w:space="0"/>
            </w:tcBorders>
          </w:tcPr>
          <w:p w14:paraId="2463BCA4">
            <w:pPr>
              <w:rPr>
                <w:rFonts w:ascii="宋体" w:hAnsi="宋体" w:cs="宋体"/>
                <w:szCs w:val="21"/>
              </w:rPr>
            </w:pPr>
            <w:r>
              <w:rPr>
                <w:rFonts w:hint="eastAsia"/>
              </w:rPr>
              <w:t>未按招标文件所提供的样式填写《投标函》；未按招标文件所提供的《政府采购投标及履约承诺函》进行承诺；未按招标文件对投标文件组成的要求提供投标文件；</w:t>
            </w:r>
          </w:p>
        </w:tc>
      </w:tr>
      <w:tr w14:paraId="32F3E2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54E91BD">
            <w:pPr>
              <w:jc w:val="center"/>
              <w:rPr>
                <w:rFonts w:ascii="宋体" w:hAnsi="宋体" w:cs="宋体"/>
                <w:szCs w:val="21"/>
              </w:rPr>
            </w:pPr>
            <w:r>
              <w:rPr>
                <w:szCs w:val="21"/>
              </w:rPr>
              <w:t>7</w:t>
            </w:r>
          </w:p>
        </w:tc>
        <w:tc>
          <w:tcPr>
            <w:tcW w:w="8278" w:type="dxa"/>
            <w:tcBorders>
              <w:top w:val="single" w:color="000000" w:sz="8" w:space="0"/>
              <w:left w:val="single" w:color="000000" w:sz="8" w:space="0"/>
              <w:bottom w:val="single" w:color="000000" w:sz="8" w:space="0"/>
              <w:right w:val="single" w:color="000000" w:sz="8" w:space="0"/>
            </w:tcBorders>
          </w:tcPr>
          <w:p w14:paraId="527A6775">
            <w:pPr>
              <w:rPr>
                <w:rFonts w:ascii="宋体" w:hAnsi="宋体" w:cs="宋体"/>
                <w:szCs w:val="21"/>
              </w:rPr>
            </w:pPr>
            <w:r>
              <w:rPr>
                <w:rFonts w:hint="eastAsia"/>
                <w:color w:val="auto"/>
                <w:lang w:val="en-US" w:eastAsia="zh-CN"/>
              </w:rPr>
              <w:t>采购标的/服务</w:t>
            </w:r>
            <w:r>
              <w:rPr>
                <w:rFonts w:hint="eastAsia" w:ascii="Times New Roman" w:eastAsia="宋体"/>
                <w:color w:val="auto"/>
                <w:lang w:val="en-US" w:eastAsia="zh-CN"/>
              </w:rPr>
              <w:t>清单</w:t>
            </w:r>
            <w:r>
              <w:rPr>
                <w:rFonts w:hint="eastAsia"/>
                <w:color w:val="auto"/>
                <w:lang w:val="en-US" w:eastAsia="zh-CN"/>
              </w:rPr>
              <w:t>/报价等任意一类</w:t>
            </w:r>
            <w:r>
              <w:rPr>
                <w:rFonts w:hint="eastAsia" w:ascii="Times New Roman" w:eastAsia="宋体"/>
                <w:color w:val="auto"/>
                <w:lang w:val="en-US" w:eastAsia="zh-CN"/>
              </w:rPr>
              <w:t>有缺漏项或响应不全</w:t>
            </w:r>
            <w:r>
              <w:rPr>
                <w:rFonts w:hint="eastAsia"/>
                <w:color w:val="auto"/>
                <w:lang w:val="en-US" w:eastAsia="zh-CN"/>
              </w:rPr>
              <w:t>，</w:t>
            </w:r>
            <w:r>
              <w:rPr>
                <w:rFonts w:hint="eastAsia"/>
                <w:color w:val="auto"/>
              </w:rPr>
              <w:t>或者对招标文件规定的项目需求内容或者需求数量进行修改</w:t>
            </w:r>
            <w:r>
              <w:rPr>
                <w:rFonts w:hint="eastAsia"/>
                <w:color w:val="auto"/>
                <w:szCs w:val="21"/>
              </w:rPr>
              <w:t>，评审委员会判定投标响应不满足采购需求</w:t>
            </w:r>
            <w:r>
              <w:rPr>
                <w:rFonts w:hint="eastAsia"/>
                <w:color w:val="auto"/>
              </w:rPr>
              <w:t>；</w:t>
            </w:r>
          </w:p>
        </w:tc>
      </w:tr>
      <w:tr w14:paraId="2ADA34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CCB78E5">
            <w:pPr>
              <w:jc w:val="center"/>
              <w:rPr>
                <w:rFonts w:hint="eastAsia" w:ascii="宋体" w:hAnsi="宋体" w:eastAsia="宋体" w:cs="宋体"/>
                <w:szCs w:val="21"/>
                <w:lang w:eastAsia="zh-CN"/>
              </w:rPr>
            </w:pPr>
            <w:r>
              <w:rPr>
                <w:rFonts w:hint="eastAsia"/>
                <w:szCs w:val="21"/>
                <w:lang w:val="en-US" w:eastAsia="zh-CN"/>
              </w:rPr>
              <w:t>8</w:t>
            </w:r>
          </w:p>
        </w:tc>
        <w:tc>
          <w:tcPr>
            <w:tcW w:w="8278" w:type="dxa"/>
            <w:tcBorders>
              <w:top w:val="single" w:color="000000" w:sz="8" w:space="0"/>
              <w:left w:val="single" w:color="000000" w:sz="8" w:space="0"/>
              <w:bottom w:val="single" w:color="000000" w:sz="8" w:space="0"/>
              <w:right w:val="single" w:color="000000" w:sz="8" w:space="0"/>
            </w:tcBorders>
          </w:tcPr>
          <w:p w14:paraId="447CF0D6">
            <w:pPr>
              <w:rPr>
                <w:rFonts w:ascii="宋体" w:hAnsi="宋体" w:cs="宋体"/>
                <w:szCs w:val="21"/>
              </w:rPr>
            </w:pPr>
            <w:r>
              <w:rPr>
                <w:rFonts w:hint="eastAsia"/>
              </w:rPr>
              <w:t>投标文件电子文档</w:t>
            </w:r>
            <w:r>
              <w:rPr>
                <w:rFonts w:hint="eastAsia"/>
                <w:lang w:val="en-US" w:eastAsia="zh-CN"/>
              </w:rPr>
              <w:t>不得</w:t>
            </w:r>
            <w:r>
              <w:rPr>
                <w:rFonts w:hint="eastAsia"/>
              </w:rPr>
              <w:t>带病毒；</w:t>
            </w:r>
          </w:p>
        </w:tc>
      </w:tr>
      <w:tr w14:paraId="1D03C1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51965A9">
            <w:pPr>
              <w:jc w:val="center"/>
              <w:rPr>
                <w:rFonts w:hint="eastAsia" w:ascii="宋体" w:hAnsi="宋体" w:eastAsia="宋体" w:cs="宋体"/>
                <w:szCs w:val="21"/>
                <w:lang w:eastAsia="zh-CN"/>
              </w:rPr>
            </w:pPr>
            <w:r>
              <w:rPr>
                <w:rFonts w:hint="eastAsia"/>
                <w:szCs w:val="21"/>
                <w:lang w:val="en-US" w:eastAsia="zh-CN"/>
              </w:rPr>
              <w:t>9</w:t>
            </w:r>
          </w:p>
        </w:tc>
        <w:tc>
          <w:tcPr>
            <w:tcW w:w="8278" w:type="dxa"/>
            <w:tcBorders>
              <w:top w:val="single" w:color="000000" w:sz="8" w:space="0"/>
              <w:left w:val="single" w:color="000000" w:sz="8" w:space="0"/>
              <w:bottom w:val="single" w:color="000000" w:sz="8" w:space="0"/>
              <w:right w:val="single" w:color="000000" w:sz="8" w:space="0"/>
            </w:tcBorders>
          </w:tcPr>
          <w:p w14:paraId="7F52D0EC">
            <w:pPr>
              <w:rPr>
                <w:rFonts w:ascii="宋体" w:hAnsi="宋体" w:cs="宋体"/>
                <w:szCs w:val="21"/>
              </w:rPr>
            </w:pPr>
            <w:r>
              <w:rPr>
                <w:rFonts w:hint="eastAsia"/>
              </w:rPr>
              <w:t>投标文件用不属于本公司的电子密钥或电子营业执照进行加密的；</w:t>
            </w:r>
          </w:p>
        </w:tc>
      </w:tr>
      <w:tr w14:paraId="18A0AA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B507035">
            <w:pPr>
              <w:jc w:val="center"/>
              <w:rPr>
                <w:rFonts w:hint="default" w:ascii="宋体" w:hAnsi="宋体" w:eastAsia="宋体" w:cs="宋体"/>
                <w:szCs w:val="21"/>
                <w:lang w:val="en-US" w:eastAsia="zh-CN"/>
              </w:rPr>
            </w:pPr>
            <w:r>
              <w:rPr>
                <w:rFonts w:hint="eastAsia"/>
                <w:szCs w:val="21"/>
                <w:lang w:val="en-US" w:eastAsia="zh-CN"/>
              </w:rPr>
              <w:t>10</w:t>
            </w:r>
          </w:p>
        </w:tc>
        <w:tc>
          <w:tcPr>
            <w:tcW w:w="8278" w:type="dxa"/>
            <w:tcBorders>
              <w:top w:val="single" w:color="000000" w:sz="8" w:space="0"/>
              <w:left w:val="single" w:color="000000" w:sz="8" w:space="0"/>
              <w:bottom w:val="single" w:color="000000" w:sz="8" w:space="0"/>
              <w:right w:val="single" w:color="000000" w:sz="8" w:space="0"/>
            </w:tcBorders>
          </w:tcPr>
          <w:p w14:paraId="544658C1">
            <w:pPr>
              <w:rPr>
                <w:rFonts w:ascii="宋体" w:hAnsi="宋体" w:cs="宋体"/>
                <w:szCs w:val="21"/>
              </w:rPr>
            </w:pPr>
            <w:r>
              <w:rPr>
                <w:rFonts w:hint="eastAsia"/>
              </w:rPr>
              <w:t>法律、法规、规章、规范性文件规定的其他情形。</w:t>
            </w:r>
          </w:p>
        </w:tc>
      </w:tr>
    </w:tbl>
    <w:p w14:paraId="5D2C016E">
      <w:pPr>
        <w:pStyle w:val="38"/>
        <w:jc w:val="center"/>
        <w:outlineLvl w:val="1"/>
        <w:rPr>
          <w:rFonts w:hint="eastAsia" w:ascii="黑体" w:hAnsi="黑体" w:eastAsia="黑体"/>
          <w:sz w:val="40"/>
          <w:szCs w:val="40"/>
        </w:rPr>
        <w:sectPr>
          <w:pgSz w:w="11907" w:h="16840"/>
          <w:pgMar w:top="1440" w:right="1417" w:bottom="1440" w:left="1417" w:header="851" w:footer="992" w:gutter="0"/>
          <w:cols w:space="425" w:num="1"/>
          <w:titlePg/>
          <w:docGrid w:linePitch="462" w:charSpace="0"/>
        </w:sectPr>
      </w:pPr>
    </w:p>
    <w:p w14:paraId="19AC0CB3">
      <w:pPr>
        <w:pStyle w:val="38"/>
        <w:jc w:val="center"/>
        <w:outlineLvl w:val="1"/>
        <w:rPr>
          <w:rFonts w:ascii="黑体" w:hAnsi="黑体" w:eastAsia="黑体"/>
          <w:sz w:val="40"/>
          <w:szCs w:val="40"/>
        </w:rPr>
      </w:pPr>
      <w:r>
        <w:rPr>
          <w:rFonts w:hint="eastAsia" w:ascii="黑体" w:hAnsi="黑体" w:eastAsia="黑体"/>
          <w:sz w:val="40"/>
          <w:szCs w:val="40"/>
        </w:rPr>
        <w:t>评标信息</w:t>
      </w:r>
    </w:p>
    <w:tbl>
      <w:tblPr>
        <w:tblStyle w:val="44"/>
        <w:tblW w:w="9371"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498"/>
      </w:tblGrid>
      <w:tr w14:paraId="3DC700B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8873" w:type="dxa"/>
            <w:shd w:val="clear" w:color="auto" w:fill="auto"/>
            <w:vAlign w:val="center"/>
          </w:tcPr>
          <w:p w14:paraId="3C9866E3">
            <w:pPr>
              <w:widowControl/>
              <w:jc w:val="left"/>
              <w:rPr>
                <w:b/>
                <w:bCs/>
                <w:sz w:val="24"/>
              </w:rPr>
            </w:pPr>
            <w:r>
              <w:rPr>
                <w:b/>
                <w:bCs/>
              </w:rPr>
              <w:t>评标方法：</w:t>
            </w:r>
            <w:r>
              <w:rPr>
                <w:b/>
                <w:bCs/>
                <w:strike w:val="0"/>
                <w:dstrike w:val="0"/>
              </w:rPr>
              <w:t>综合评分法</w:t>
            </w:r>
          </w:p>
        </w:tc>
        <w:tc>
          <w:tcPr>
            <w:tcW w:w="498" w:type="dxa"/>
            <w:shd w:val="clear" w:color="auto" w:fill="auto"/>
            <w:vAlign w:val="center"/>
          </w:tcPr>
          <w:p w14:paraId="6DCD7C83">
            <w:pPr>
              <w:jc w:val="right"/>
              <w:rPr>
                <w:rFonts w:ascii="宋体"/>
                <w:b/>
                <w:bCs/>
                <w:sz w:val="24"/>
              </w:rPr>
            </w:pPr>
          </w:p>
        </w:tc>
      </w:tr>
      <w:tr w14:paraId="29E337F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371" w:type="dxa"/>
            <w:gridSpan w:val="2"/>
            <w:shd w:val="clear" w:color="auto" w:fill="auto"/>
            <w:vAlign w:val="center"/>
          </w:tcPr>
          <w:p w14:paraId="713A17FA">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firstLine="0" w:firstLineChars="0"/>
              <w:jc w:val="left"/>
              <w:textAlignment w:val="auto"/>
              <w:rPr>
                <w:rFonts w:hint="eastAsia" w:eastAsia="宋体"/>
                <w:sz w:val="21"/>
                <w:szCs w:val="21"/>
                <w:lang w:eastAsia="zh-CN"/>
              </w:rPr>
            </w:pPr>
            <w:r>
              <w:rPr>
                <w:sz w:val="21"/>
                <w:szCs w:val="21"/>
              </w:rPr>
              <w:t>综合评分法，是指</w:t>
            </w:r>
            <w:r>
              <w:rPr>
                <w:rFonts w:hint="eastAsia" w:ascii="Times New Roman" w:hAnsi="Times New Roman" w:eastAsia="宋体" w:cs="Times New Roman"/>
                <w:kern w:val="0"/>
                <w:sz w:val="21"/>
                <w:szCs w:val="21"/>
                <w:lang w:val="en-US" w:eastAsia="zh-CN" w:bidi="ar-SA"/>
              </w:rPr>
              <w:t>投标文件满足招标文件全部实质性要求</w:t>
            </w:r>
            <w:r>
              <w:rPr>
                <w:sz w:val="21"/>
                <w:szCs w:val="21"/>
              </w:rPr>
              <w:t>，且按照</w:t>
            </w:r>
            <w:r>
              <w:rPr>
                <w:rFonts w:hint="eastAsia" w:ascii="Times New Roman" w:eastAsia="宋体"/>
                <w:sz w:val="21"/>
                <w:szCs w:val="21"/>
                <w:lang w:val="en-US" w:eastAsia="zh-CN"/>
              </w:rPr>
              <w:t>招标文件规定的各项因素进行综合评审，评标总得分排名前列</w:t>
            </w:r>
            <w:r>
              <w:rPr>
                <w:sz w:val="21"/>
                <w:szCs w:val="21"/>
              </w:rPr>
              <w:t>的投标人为中标候选人的评标方法。</w:t>
            </w:r>
          </w:p>
          <w:p w14:paraId="66B13E2D">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firstLine="0"/>
              <w:jc w:val="left"/>
              <w:textAlignment w:val="auto"/>
              <w:rPr>
                <w:sz w:val="21"/>
                <w:szCs w:val="21"/>
              </w:rPr>
            </w:pPr>
          </w:p>
          <w:p w14:paraId="246B40E3">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firstLine="0"/>
              <w:jc w:val="left"/>
              <w:textAlignment w:val="auto"/>
              <w:rPr>
                <w:sz w:val="21"/>
                <w:szCs w:val="21"/>
              </w:rPr>
            </w:pPr>
            <w:r>
              <w:rPr>
                <w:sz w:val="21"/>
                <w:szCs w:val="21"/>
              </w:rPr>
              <w:t>价格分计算方法：</w:t>
            </w:r>
          </w:p>
          <w:p w14:paraId="247288A5">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 xml:space="preserve">采用低价优先法计算，即满足招标文件要求且投标价格最低的投标报价为评标基准价，其价格分为满分。其他投标人的价格分统一按照下列公式计算： </w:t>
            </w:r>
          </w:p>
          <w:p w14:paraId="5E1C1E09">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 xml:space="preserve">投标报价得分=(评标基准价／投标报价)×100 </w:t>
            </w:r>
          </w:p>
          <w:p w14:paraId="36916A9A">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 xml:space="preserve">评标总得分＝F1×A1＋F2×A2＋……＋Fn×An </w:t>
            </w:r>
          </w:p>
          <w:p w14:paraId="224F880B">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 xml:space="preserve">F1、F2……Fn分别为各项评审因素的得分； </w:t>
            </w:r>
          </w:p>
          <w:p w14:paraId="3F5EEE39">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 xml:space="preserve">A1、A2、……An 分别为各项评审因素所占的权重(A1＋A2＋……＋An＝1)。 </w:t>
            </w:r>
          </w:p>
          <w:p w14:paraId="46381E9B">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评标过程中，不得去掉报价中的最高报价和最低报价。</w:t>
            </w:r>
          </w:p>
          <w:p w14:paraId="5C4118E2">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2"/>
                <w:sz w:val="21"/>
                <w:szCs w:val="21"/>
                <w:lang w:val="en-US" w:eastAsia="zh-CN" w:bidi="ar-SA"/>
              </w:rPr>
              <w:t>因落实政府采购政策进行价格调整的，以调整后的价格计算评标基准价和投标报价。</w:t>
            </w:r>
          </w:p>
        </w:tc>
      </w:tr>
    </w:tbl>
    <w:p w14:paraId="4C25713B">
      <w:pPr>
        <w:rPr>
          <w:vanish/>
        </w:rPr>
      </w:pPr>
    </w:p>
    <w:tbl>
      <w:tblPr>
        <w:tblStyle w:val="44"/>
        <w:tblW w:w="933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0"/>
        <w:gridCol w:w="680"/>
        <w:gridCol w:w="1720"/>
        <w:gridCol w:w="656"/>
        <w:gridCol w:w="5602"/>
      </w:tblGrid>
      <w:tr w14:paraId="3138AA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7EF4D04">
            <w:pPr>
              <w:wordWrap w:val="0"/>
              <w:jc w:val="center"/>
              <w:rPr>
                <w:rFonts w:ascii="宋体" w:hAnsi="宋体" w:cs="宋体"/>
                <w:b/>
                <w:bCs/>
                <w:sz w:val="24"/>
                <w:highlight w:val="none"/>
              </w:rPr>
            </w:pPr>
            <w:r>
              <w:rPr>
                <w:b/>
                <w:bCs/>
                <w:highlight w:val="none"/>
              </w:rPr>
              <w:t>序号</w:t>
            </w:r>
          </w:p>
        </w:tc>
        <w:tc>
          <w:tcPr>
            <w:tcW w:w="3056"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13F631C6">
            <w:pPr>
              <w:wordWrap w:val="0"/>
              <w:jc w:val="center"/>
              <w:rPr>
                <w:rFonts w:ascii="宋体" w:hAnsi="宋体" w:cs="宋体"/>
                <w:b/>
                <w:bCs/>
                <w:sz w:val="24"/>
                <w:highlight w:val="none"/>
              </w:rPr>
            </w:pPr>
            <w:r>
              <w:rPr>
                <w:b/>
                <w:bCs/>
                <w:highlight w:val="none"/>
              </w:rPr>
              <w:t>评分项</w:t>
            </w:r>
          </w:p>
        </w:tc>
        <w:tc>
          <w:tcPr>
            <w:tcW w:w="5602"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F9AACF3">
            <w:pPr>
              <w:wordWrap w:val="0"/>
              <w:jc w:val="center"/>
              <w:rPr>
                <w:rFonts w:ascii="宋体" w:hAnsi="宋体" w:cs="宋体"/>
                <w:b/>
                <w:bCs/>
                <w:sz w:val="24"/>
                <w:highlight w:val="none"/>
              </w:rPr>
            </w:pPr>
            <w:r>
              <w:rPr>
                <w:b/>
                <w:bCs/>
                <w:highlight w:val="none"/>
              </w:rPr>
              <w:t>权重(%)</w:t>
            </w:r>
          </w:p>
        </w:tc>
      </w:tr>
      <w:tr w14:paraId="0950FD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tcPr>
          <w:p w14:paraId="2B7D84AB">
            <w:pPr>
              <w:wordWrap w:val="0"/>
              <w:jc w:val="center"/>
              <w:rPr>
                <w:rFonts w:ascii="宋体" w:hAnsi="宋体" w:cs="宋体"/>
                <w:b/>
                <w:bCs/>
                <w:color w:val="0000FF"/>
                <w:sz w:val="24"/>
                <w:highlight w:val="none"/>
              </w:rPr>
            </w:pPr>
            <w:r>
              <w:rPr>
                <w:b/>
                <w:bCs/>
                <w:color w:val="0000FF"/>
                <w:highlight w:val="none"/>
              </w:rPr>
              <w:t>1</w:t>
            </w:r>
          </w:p>
        </w:tc>
        <w:tc>
          <w:tcPr>
            <w:tcW w:w="3056" w:type="dxa"/>
            <w:gridSpan w:val="3"/>
            <w:tcBorders>
              <w:top w:val="single" w:color="000000" w:sz="8" w:space="0"/>
              <w:left w:val="single" w:color="000000" w:sz="8" w:space="0"/>
              <w:bottom w:val="single" w:color="000000" w:sz="8" w:space="0"/>
              <w:right w:val="single" w:color="000000" w:sz="8" w:space="0"/>
            </w:tcBorders>
          </w:tcPr>
          <w:p w14:paraId="36C78DB4">
            <w:pPr>
              <w:wordWrap w:val="0"/>
              <w:jc w:val="center"/>
              <w:rPr>
                <w:rFonts w:ascii="宋体" w:hAnsi="宋体" w:cs="宋体"/>
                <w:b/>
                <w:bCs/>
                <w:color w:val="0000FF"/>
                <w:sz w:val="24"/>
                <w:highlight w:val="none"/>
              </w:rPr>
            </w:pPr>
            <w:r>
              <w:rPr>
                <w:b/>
                <w:bCs/>
                <w:color w:val="0000FF"/>
                <w:highlight w:val="none"/>
              </w:rPr>
              <w:t>价格</w:t>
            </w:r>
          </w:p>
        </w:tc>
        <w:tc>
          <w:tcPr>
            <w:tcW w:w="5602" w:type="dxa"/>
            <w:tcBorders>
              <w:top w:val="single" w:color="000000" w:sz="8" w:space="0"/>
              <w:left w:val="single" w:color="000000" w:sz="8" w:space="0"/>
              <w:bottom w:val="single" w:color="000000" w:sz="8" w:space="0"/>
              <w:right w:val="single" w:color="000000" w:sz="8" w:space="0"/>
            </w:tcBorders>
          </w:tcPr>
          <w:p w14:paraId="4E257263">
            <w:pPr>
              <w:wordWrap w:val="0"/>
              <w:jc w:val="center"/>
              <w:rPr>
                <w:rFonts w:ascii="宋体" w:hAnsi="宋体" w:cs="宋体"/>
                <w:b/>
                <w:bCs/>
                <w:color w:val="auto"/>
                <w:sz w:val="24"/>
                <w:highlight w:val="none"/>
              </w:rPr>
            </w:pPr>
            <w:r>
              <w:rPr>
                <w:rFonts w:hint="eastAsia" w:ascii="宋体" w:hAnsi="宋体" w:eastAsia="宋体" w:cs="宋体"/>
                <w:b/>
                <w:bCs/>
                <w:color w:val="auto"/>
                <w:szCs w:val="21"/>
                <w:highlight w:val="none"/>
              </w:rPr>
              <w:t>10</w:t>
            </w:r>
          </w:p>
        </w:tc>
      </w:tr>
      <w:tr w14:paraId="70A331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right w:val="single" w:color="000000" w:sz="8" w:space="0"/>
            </w:tcBorders>
          </w:tcPr>
          <w:p w14:paraId="4416545D">
            <w:pPr>
              <w:wordWrap w:val="0"/>
              <w:jc w:val="center"/>
              <w:rPr>
                <w:rFonts w:ascii="宋体" w:hAnsi="宋体" w:cs="宋体"/>
                <w:b/>
                <w:bCs/>
                <w:color w:val="0000FF"/>
                <w:sz w:val="24"/>
                <w:highlight w:val="none"/>
              </w:rPr>
            </w:pPr>
            <w:r>
              <w:rPr>
                <w:b/>
                <w:bCs/>
                <w:color w:val="0000FF"/>
                <w:highlight w:val="none"/>
              </w:rPr>
              <w:t>2</w:t>
            </w:r>
          </w:p>
        </w:tc>
        <w:tc>
          <w:tcPr>
            <w:tcW w:w="3056" w:type="dxa"/>
            <w:gridSpan w:val="3"/>
            <w:tcBorders>
              <w:top w:val="single" w:color="000000" w:sz="8" w:space="0"/>
              <w:left w:val="single" w:color="000000" w:sz="8" w:space="0"/>
              <w:bottom w:val="single" w:color="000000" w:sz="8" w:space="0"/>
              <w:right w:val="single" w:color="000000" w:sz="8" w:space="0"/>
            </w:tcBorders>
          </w:tcPr>
          <w:p w14:paraId="28FF5792">
            <w:pPr>
              <w:wordWrap w:val="0"/>
              <w:jc w:val="center"/>
              <w:rPr>
                <w:rFonts w:ascii="宋体" w:hAnsi="宋体" w:cs="宋体"/>
                <w:b/>
                <w:bCs/>
                <w:color w:val="0000FF"/>
                <w:sz w:val="24"/>
                <w:highlight w:val="none"/>
              </w:rPr>
            </w:pPr>
            <w:r>
              <w:rPr>
                <w:b/>
                <w:bCs/>
                <w:color w:val="0000FF"/>
                <w:highlight w:val="none"/>
              </w:rPr>
              <w:t>技术</w:t>
            </w:r>
            <w:r>
              <w:rPr>
                <w:rFonts w:hint="eastAsia"/>
                <w:b/>
                <w:bCs/>
                <w:color w:val="0000FF"/>
                <w:highlight w:val="none"/>
              </w:rPr>
              <w:t>部分</w:t>
            </w:r>
          </w:p>
        </w:tc>
        <w:tc>
          <w:tcPr>
            <w:tcW w:w="5602" w:type="dxa"/>
            <w:tcBorders>
              <w:top w:val="single" w:color="000000" w:sz="8" w:space="0"/>
              <w:left w:val="single" w:color="000000" w:sz="8" w:space="0"/>
              <w:bottom w:val="single" w:color="000000" w:sz="8" w:space="0"/>
              <w:right w:val="single" w:color="000000" w:sz="8" w:space="0"/>
            </w:tcBorders>
          </w:tcPr>
          <w:p w14:paraId="70FBA224">
            <w:pPr>
              <w:wordWrap w:val="0"/>
              <w:jc w:val="center"/>
              <w:rPr>
                <w:rFonts w:hint="default" w:ascii="宋体" w:hAnsi="宋体" w:eastAsia="宋体" w:cs="宋体"/>
                <w:b/>
                <w:bCs/>
                <w:color w:val="auto"/>
                <w:sz w:val="24"/>
                <w:highlight w:val="none"/>
                <w:lang w:val="en-US" w:eastAsia="zh-CN"/>
              </w:rPr>
            </w:pPr>
            <w:r>
              <w:rPr>
                <w:rFonts w:hint="eastAsia" w:ascii="宋体" w:hAnsi="宋体" w:cs="宋体"/>
                <w:b/>
                <w:bCs/>
                <w:color w:val="auto"/>
                <w:sz w:val="21"/>
                <w:szCs w:val="21"/>
                <w:highlight w:val="none"/>
                <w:lang w:val="en-US" w:eastAsia="zh-CN"/>
              </w:rPr>
              <w:t>70</w:t>
            </w:r>
          </w:p>
        </w:tc>
      </w:tr>
      <w:tr w14:paraId="6A01EE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shd w:val="clear" w:color="auto" w:fill="E6EFFA"/>
            <w:vAlign w:val="center"/>
          </w:tcPr>
          <w:p w14:paraId="5EB053BD">
            <w:pPr>
              <w:rPr>
                <w:rFonts w:ascii="宋体" w:hAnsi="宋体" w:cs="宋体"/>
                <w:b/>
                <w:bCs/>
                <w:color w:val="0000FF"/>
                <w:sz w:val="24"/>
                <w:highlight w:val="none"/>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87A33A7">
            <w:pPr>
              <w:wordWrap w:val="0"/>
              <w:jc w:val="center"/>
              <w:rPr>
                <w:rFonts w:ascii="宋体" w:hAnsi="宋体" w:cs="宋体"/>
                <w:szCs w:val="21"/>
                <w:highlight w:val="none"/>
              </w:rPr>
            </w:pPr>
            <w:r>
              <w:rPr>
                <w:szCs w:val="21"/>
                <w:highlight w:val="none"/>
              </w:rPr>
              <w:t>序号</w:t>
            </w:r>
          </w:p>
        </w:tc>
        <w:tc>
          <w:tcPr>
            <w:tcW w:w="172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D39C699">
            <w:pPr>
              <w:wordWrap w:val="0"/>
              <w:jc w:val="center"/>
              <w:rPr>
                <w:rFonts w:ascii="宋体" w:hAnsi="宋体" w:cs="宋体"/>
                <w:szCs w:val="21"/>
                <w:highlight w:val="none"/>
              </w:rPr>
            </w:pPr>
            <w:r>
              <w:rPr>
                <w:szCs w:val="21"/>
                <w:highlight w:val="none"/>
              </w:rPr>
              <w:t>评分因素</w:t>
            </w:r>
          </w:p>
        </w:tc>
        <w:tc>
          <w:tcPr>
            <w:tcW w:w="65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27275F6">
            <w:pPr>
              <w:wordWrap w:val="0"/>
              <w:jc w:val="center"/>
              <w:rPr>
                <w:rFonts w:ascii="宋体" w:hAnsi="宋体" w:cs="宋体"/>
                <w:szCs w:val="21"/>
                <w:highlight w:val="none"/>
              </w:rPr>
            </w:pPr>
            <w:r>
              <w:rPr>
                <w:szCs w:val="21"/>
                <w:highlight w:val="none"/>
              </w:rPr>
              <w:t>权重(%)</w:t>
            </w:r>
          </w:p>
        </w:tc>
        <w:tc>
          <w:tcPr>
            <w:tcW w:w="5602"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4A937E0">
            <w:pPr>
              <w:wordWrap w:val="0"/>
              <w:jc w:val="center"/>
              <w:rPr>
                <w:rFonts w:ascii="宋体" w:hAnsi="宋体" w:cs="宋体"/>
                <w:szCs w:val="21"/>
                <w:highlight w:val="none"/>
              </w:rPr>
            </w:pPr>
            <w:r>
              <w:rPr>
                <w:szCs w:val="21"/>
                <w:highlight w:val="none"/>
              </w:rPr>
              <w:t>评分准则</w:t>
            </w:r>
          </w:p>
        </w:tc>
      </w:tr>
      <w:tr w14:paraId="24A8AE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center"/>
          </w:tcPr>
          <w:p w14:paraId="576C4E2A">
            <w:pPr>
              <w:rPr>
                <w:rFonts w:ascii="宋体" w:hAnsi="宋体" w:cs="宋体"/>
                <w:b/>
                <w:bCs/>
                <w:color w:val="0000FF"/>
                <w:sz w:val="24"/>
                <w:highlight w:val="none"/>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409878C1">
            <w:pPr>
              <w:jc w:val="center"/>
              <w:rPr>
                <w:rFonts w:ascii="宋体" w:hAnsi="宋体" w:cs="宋体"/>
                <w:szCs w:val="21"/>
                <w:highlight w:val="none"/>
              </w:rPr>
            </w:pPr>
            <w:r>
              <w:rPr>
                <w:rFonts w:hint="eastAsia"/>
                <w:highlight w:val="none"/>
              </w:rPr>
              <w:t>1</w:t>
            </w:r>
          </w:p>
        </w:tc>
        <w:tc>
          <w:tcPr>
            <w:tcW w:w="1720" w:type="dxa"/>
            <w:tcBorders>
              <w:top w:val="single" w:color="000000" w:sz="8" w:space="0"/>
              <w:left w:val="single" w:color="000000" w:sz="8" w:space="0"/>
              <w:bottom w:val="single" w:color="000000" w:sz="8" w:space="0"/>
              <w:right w:val="single" w:color="000000" w:sz="8" w:space="0"/>
            </w:tcBorders>
            <w:vAlign w:val="center"/>
          </w:tcPr>
          <w:p w14:paraId="46249A77">
            <w:pPr>
              <w:jc w:val="center"/>
              <w:rPr>
                <w:rFonts w:ascii="宋体" w:hAnsi="宋体" w:cs="宋体"/>
                <w:szCs w:val="21"/>
                <w:highlight w:val="none"/>
              </w:rPr>
            </w:pPr>
            <w:r>
              <w:rPr>
                <w:rFonts w:hint="eastAsia"/>
                <w:highlight w:val="none"/>
              </w:rPr>
              <w:t>项目整体设想及规划方案</w:t>
            </w:r>
          </w:p>
        </w:tc>
        <w:tc>
          <w:tcPr>
            <w:tcW w:w="656" w:type="dxa"/>
            <w:tcBorders>
              <w:top w:val="single" w:color="000000" w:sz="8" w:space="0"/>
              <w:left w:val="single" w:color="000000" w:sz="8" w:space="0"/>
              <w:bottom w:val="single" w:color="000000" w:sz="8" w:space="0"/>
              <w:right w:val="single" w:color="000000" w:sz="8" w:space="0"/>
            </w:tcBorders>
            <w:vAlign w:val="center"/>
          </w:tcPr>
          <w:p w14:paraId="5E676EDB">
            <w:pPr>
              <w:jc w:val="center"/>
              <w:rPr>
                <w:rFonts w:hint="default" w:ascii="宋体" w:hAnsi="宋体" w:eastAsia="宋体" w:cs="宋体"/>
                <w:szCs w:val="21"/>
                <w:highlight w:val="none"/>
                <w:lang w:val="en-US" w:eastAsia="zh-CN"/>
              </w:rPr>
            </w:pPr>
            <w:r>
              <w:rPr>
                <w:rFonts w:hint="eastAsia"/>
                <w:highlight w:val="none"/>
                <w:lang w:val="en-US" w:eastAsia="zh-CN"/>
              </w:rPr>
              <w:t>5</w:t>
            </w:r>
          </w:p>
        </w:tc>
        <w:tc>
          <w:tcPr>
            <w:tcW w:w="5602" w:type="dxa"/>
            <w:tcBorders>
              <w:top w:val="single" w:color="000000" w:sz="8" w:space="0"/>
              <w:left w:val="single" w:color="000000" w:sz="8" w:space="0"/>
              <w:bottom w:val="single" w:color="000000" w:sz="8" w:space="0"/>
              <w:right w:val="single" w:color="000000" w:sz="8" w:space="0"/>
            </w:tcBorders>
            <w:vAlign w:val="center"/>
          </w:tcPr>
          <w:p w14:paraId="046F5677">
            <w:pPr>
              <w:rPr>
                <w:b/>
                <w:bCs/>
                <w:color w:val="auto"/>
                <w:highlight w:val="none"/>
              </w:rPr>
            </w:pPr>
            <w:r>
              <w:rPr>
                <w:rFonts w:hint="eastAsia"/>
                <w:b/>
                <w:bCs/>
                <w:color w:val="auto"/>
                <w:highlight w:val="none"/>
              </w:rPr>
              <w:t>（一）评分内容：</w:t>
            </w:r>
          </w:p>
          <w:p w14:paraId="758D26C6">
            <w:pPr>
              <w:rPr>
                <w:color w:val="auto"/>
                <w:highlight w:val="none"/>
              </w:rPr>
            </w:pPr>
            <w:r>
              <w:rPr>
                <w:rFonts w:hint="eastAsia"/>
                <w:color w:val="auto"/>
                <w:highlight w:val="none"/>
              </w:rPr>
              <w:t>考察针对本项目的项目整体设想及规划方案，方案内容包括以下内容：</w:t>
            </w:r>
          </w:p>
          <w:p w14:paraId="518F7F1A">
            <w:pPr>
              <w:rPr>
                <w:color w:val="auto"/>
                <w:highlight w:val="none"/>
              </w:rPr>
            </w:pPr>
            <w:r>
              <w:rPr>
                <w:rFonts w:hint="eastAsia"/>
                <w:color w:val="auto"/>
                <w:highlight w:val="none"/>
              </w:rPr>
              <w:t>1、专项服务小组人员配备（包括人员配置、职责分工）；</w:t>
            </w:r>
          </w:p>
          <w:p w14:paraId="218F2DAA">
            <w:pPr>
              <w:rPr>
                <w:color w:val="auto"/>
                <w:highlight w:val="none"/>
              </w:rPr>
            </w:pPr>
            <w:r>
              <w:rPr>
                <w:rFonts w:hint="eastAsia"/>
                <w:color w:val="auto"/>
                <w:highlight w:val="none"/>
              </w:rPr>
              <w:t>2、质量安全控制措施（包括食品来源、入库、出库等全过程的检测与监管措施）；</w:t>
            </w:r>
          </w:p>
          <w:p w14:paraId="3ED99C36">
            <w:pPr>
              <w:rPr>
                <w:color w:val="auto"/>
                <w:highlight w:val="none"/>
              </w:rPr>
            </w:pPr>
            <w:r>
              <w:rPr>
                <w:rFonts w:hint="eastAsia"/>
                <w:color w:val="auto"/>
                <w:highlight w:val="none"/>
              </w:rPr>
              <w:t>3、配送服务计划（包括配送流程、客户沟通、项目重点难点分析、专业性意见及合理化建议等）。</w:t>
            </w:r>
          </w:p>
          <w:p w14:paraId="0FF3BB88">
            <w:pPr>
              <w:rPr>
                <w:b/>
                <w:bCs/>
                <w:color w:val="auto"/>
                <w:highlight w:val="none"/>
              </w:rPr>
            </w:pPr>
            <w:r>
              <w:rPr>
                <w:rFonts w:hint="eastAsia"/>
                <w:b/>
                <w:bCs/>
                <w:color w:val="auto"/>
                <w:highlight w:val="none"/>
              </w:rPr>
              <w:t>（二）评分依据：</w:t>
            </w:r>
          </w:p>
          <w:p w14:paraId="038105FB">
            <w:pPr>
              <w:rPr>
                <w:color w:val="auto"/>
                <w:highlight w:val="none"/>
              </w:rPr>
            </w:pPr>
            <w:r>
              <w:rPr>
                <w:rFonts w:hint="eastAsia"/>
                <w:color w:val="auto"/>
                <w:highlight w:val="none"/>
              </w:rPr>
              <w:t>1、</w:t>
            </w:r>
            <w:r>
              <w:rPr>
                <w:rFonts w:hint="eastAsia" w:ascii="Times New Roman"/>
                <w:color w:val="auto"/>
                <w:kern w:val="2"/>
                <w:sz w:val="21"/>
                <w:szCs w:val="24"/>
                <w:highlight w:val="none"/>
                <w:lang w:val="en-US" w:eastAsia="zh-CN"/>
              </w:rPr>
              <w:t>每提供一项内容得25分，全部提供得75分，未提供不得分。</w:t>
            </w:r>
          </w:p>
          <w:p w14:paraId="0E67346E">
            <w:pPr>
              <w:rPr>
                <w:color w:val="auto"/>
                <w:highlight w:val="none"/>
              </w:rPr>
            </w:pPr>
            <w:r>
              <w:rPr>
                <w:rFonts w:hint="eastAsia"/>
                <w:color w:val="auto"/>
                <w:highlight w:val="none"/>
              </w:rPr>
              <w:t>2、在此基础上，专家根据各供应商的具体响应内容进一步评审：</w:t>
            </w:r>
          </w:p>
          <w:p w14:paraId="6CEC9FA4">
            <w:pPr>
              <w:rPr>
                <w:color w:val="auto"/>
                <w:highlight w:val="none"/>
              </w:rPr>
            </w:pPr>
            <w:r>
              <w:rPr>
                <w:rFonts w:hint="eastAsia"/>
                <w:color w:val="auto"/>
                <w:highlight w:val="none"/>
              </w:rPr>
              <w:t>（1）评审为优</w:t>
            </w:r>
            <w:r>
              <w:rPr>
                <w:rFonts w:hint="eastAsia"/>
                <w:color w:val="auto"/>
                <w:highlight w:val="none"/>
                <w:lang w:eastAsia="zh-CN"/>
              </w:rPr>
              <w:t>（项目整体设想及规划方案</w:t>
            </w:r>
            <w:r>
              <w:rPr>
                <w:rFonts w:hint="eastAsia"/>
                <w:color w:val="auto"/>
                <w:highlight w:val="none"/>
                <w:lang w:val="en-US" w:eastAsia="zh-CN"/>
              </w:rPr>
              <w:t>符合实际情况且人员配备及质量安全控制措施完善，且配送服务计划的</w:t>
            </w:r>
            <w:r>
              <w:rPr>
                <w:rFonts w:hint="eastAsia"/>
                <w:color w:val="auto"/>
                <w:highlight w:val="none"/>
              </w:rPr>
              <w:t>可操作性强</w:t>
            </w:r>
            <w:r>
              <w:rPr>
                <w:rFonts w:hint="eastAsia"/>
                <w:color w:val="auto"/>
                <w:highlight w:val="none"/>
                <w:lang w:eastAsia="zh-CN"/>
              </w:rPr>
              <w:t>）</w:t>
            </w:r>
            <w:r>
              <w:rPr>
                <w:rFonts w:hint="eastAsia"/>
                <w:color w:val="auto"/>
                <w:highlight w:val="none"/>
              </w:rPr>
              <w:t>的，加</w:t>
            </w:r>
            <w:r>
              <w:rPr>
                <w:rFonts w:hint="eastAsia"/>
                <w:color w:val="auto"/>
                <w:highlight w:val="none"/>
                <w:lang w:val="en-US" w:eastAsia="zh-CN"/>
              </w:rPr>
              <w:t>25</w:t>
            </w:r>
            <w:r>
              <w:rPr>
                <w:rFonts w:hint="eastAsia"/>
                <w:color w:val="auto"/>
                <w:highlight w:val="none"/>
              </w:rPr>
              <w:t>分；</w:t>
            </w:r>
          </w:p>
          <w:p w14:paraId="07FB7B9C">
            <w:pPr>
              <w:rPr>
                <w:color w:val="auto"/>
                <w:highlight w:val="none"/>
              </w:rPr>
            </w:pPr>
            <w:r>
              <w:rPr>
                <w:rFonts w:hint="eastAsia"/>
                <w:color w:val="auto"/>
                <w:highlight w:val="none"/>
              </w:rPr>
              <w:t>（2）评审为</w:t>
            </w:r>
            <w:r>
              <w:rPr>
                <w:rFonts w:hint="eastAsia"/>
                <w:color w:val="auto"/>
                <w:highlight w:val="none"/>
                <w:lang w:val="en-US" w:eastAsia="zh-CN"/>
              </w:rPr>
              <w:t>良</w:t>
            </w:r>
            <w:r>
              <w:rPr>
                <w:rFonts w:hint="eastAsia"/>
                <w:color w:val="auto"/>
                <w:highlight w:val="none"/>
                <w:lang w:eastAsia="zh-CN"/>
              </w:rPr>
              <w:t>（项目整体设想及规划方案</w:t>
            </w:r>
            <w:r>
              <w:rPr>
                <w:rFonts w:hint="eastAsia"/>
                <w:color w:val="auto"/>
                <w:highlight w:val="none"/>
                <w:lang w:val="en-US" w:eastAsia="zh-CN"/>
              </w:rPr>
              <w:t>较符合实际情况且人员配备及质量安全控制措施较完善，且配送服务计划的</w:t>
            </w:r>
            <w:r>
              <w:rPr>
                <w:rFonts w:hint="eastAsia"/>
                <w:color w:val="auto"/>
                <w:highlight w:val="none"/>
              </w:rPr>
              <w:t>可操作性</w:t>
            </w:r>
            <w:r>
              <w:rPr>
                <w:rFonts w:hint="eastAsia"/>
                <w:color w:val="auto"/>
                <w:highlight w:val="none"/>
                <w:lang w:val="en-US" w:eastAsia="zh-CN"/>
              </w:rPr>
              <w:t>较</w:t>
            </w:r>
            <w:r>
              <w:rPr>
                <w:rFonts w:hint="eastAsia"/>
                <w:color w:val="auto"/>
                <w:highlight w:val="none"/>
              </w:rPr>
              <w:t>强</w:t>
            </w:r>
            <w:r>
              <w:rPr>
                <w:rFonts w:hint="eastAsia"/>
                <w:color w:val="auto"/>
                <w:highlight w:val="none"/>
                <w:lang w:eastAsia="zh-CN"/>
              </w:rPr>
              <w:t>）</w:t>
            </w:r>
            <w:r>
              <w:rPr>
                <w:rFonts w:hint="eastAsia"/>
                <w:color w:val="auto"/>
                <w:highlight w:val="none"/>
              </w:rPr>
              <w:t>的，加</w:t>
            </w:r>
            <w:r>
              <w:rPr>
                <w:rFonts w:hint="eastAsia"/>
                <w:color w:val="auto"/>
                <w:highlight w:val="none"/>
                <w:lang w:val="en-US" w:eastAsia="zh-CN"/>
              </w:rPr>
              <w:t>15</w:t>
            </w:r>
            <w:r>
              <w:rPr>
                <w:rFonts w:hint="eastAsia"/>
                <w:color w:val="auto"/>
                <w:highlight w:val="none"/>
              </w:rPr>
              <w:t>分；</w:t>
            </w:r>
          </w:p>
          <w:p w14:paraId="71C47E15">
            <w:pPr>
              <w:rPr>
                <w:color w:val="auto"/>
                <w:highlight w:val="none"/>
              </w:rPr>
            </w:pPr>
            <w:r>
              <w:rPr>
                <w:rFonts w:hint="eastAsia"/>
                <w:color w:val="auto"/>
                <w:highlight w:val="none"/>
              </w:rPr>
              <w:t>（3）评审为</w:t>
            </w:r>
            <w:r>
              <w:rPr>
                <w:rFonts w:hint="eastAsia"/>
                <w:color w:val="auto"/>
                <w:highlight w:val="none"/>
                <w:lang w:val="en-US" w:eastAsia="zh-CN"/>
              </w:rPr>
              <w:t>中</w:t>
            </w:r>
            <w:r>
              <w:rPr>
                <w:rFonts w:hint="eastAsia"/>
                <w:color w:val="auto"/>
                <w:highlight w:val="none"/>
                <w:lang w:eastAsia="zh-CN"/>
              </w:rPr>
              <w:t>（项目整体设想及规划方案</w:t>
            </w:r>
            <w:r>
              <w:rPr>
                <w:rFonts w:hint="eastAsia"/>
                <w:color w:val="auto"/>
                <w:highlight w:val="none"/>
                <w:lang w:val="en-US" w:eastAsia="zh-CN"/>
              </w:rPr>
              <w:t>不符合实际情况且人员配备及质量安全控制措施不完善，且配送服务计划的</w:t>
            </w:r>
            <w:r>
              <w:rPr>
                <w:rFonts w:hint="eastAsia"/>
                <w:color w:val="auto"/>
                <w:highlight w:val="none"/>
              </w:rPr>
              <w:t>可操作性</w:t>
            </w:r>
            <w:r>
              <w:rPr>
                <w:rFonts w:hint="eastAsia"/>
                <w:color w:val="auto"/>
                <w:highlight w:val="none"/>
                <w:lang w:val="en-US" w:eastAsia="zh-CN"/>
              </w:rPr>
              <w:t>一般</w:t>
            </w:r>
            <w:r>
              <w:rPr>
                <w:rFonts w:hint="eastAsia"/>
                <w:color w:val="auto"/>
                <w:highlight w:val="none"/>
                <w:lang w:eastAsia="zh-CN"/>
              </w:rPr>
              <w:t>）</w:t>
            </w:r>
            <w:r>
              <w:rPr>
                <w:rFonts w:hint="eastAsia"/>
                <w:color w:val="auto"/>
                <w:highlight w:val="none"/>
              </w:rPr>
              <w:t>的，加</w:t>
            </w:r>
            <w:r>
              <w:rPr>
                <w:rFonts w:hint="eastAsia"/>
                <w:color w:val="auto"/>
                <w:highlight w:val="none"/>
                <w:lang w:val="en-US" w:eastAsia="zh-CN"/>
              </w:rPr>
              <w:t>10</w:t>
            </w:r>
            <w:r>
              <w:rPr>
                <w:rFonts w:hint="eastAsia"/>
                <w:color w:val="auto"/>
                <w:highlight w:val="none"/>
              </w:rPr>
              <w:t>分；</w:t>
            </w:r>
          </w:p>
          <w:p w14:paraId="363446E3">
            <w:pPr>
              <w:rPr>
                <w:rFonts w:ascii="宋体" w:hAnsi="宋体" w:cs="宋体"/>
                <w:color w:val="auto"/>
                <w:szCs w:val="21"/>
                <w:highlight w:val="none"/>
              </w:rPr>
            </w:pPr>
            <w:r>
              <w:rPr>
                <w:rFonts w:hint="eastAsia"/>
                <w:color w:val="auto"/>
                <w:highlight w:val="none"/>
              </w:rPr>
              <w:t>（4）评审为</w:t>
            </w:r>
            <w:r>
              <w:rPr>
                <w:rFonts w:hint="eastAsia"/>
                <w:color w:val="auto"/>
                <w:highlight w:val="none"/>
                <w:lang w:val="en-US" w:eastAsia="zh-CN"/>
              </w:rPr>
              <w:t>差</w:t>
            </w:r>
            <w:r>
              <w:rPr>
                <w:rFonts w:hint="eastAsia"/>
                <w:color w:val="auto"/>
                <w:highlight w:val="none"/>
                <w:lang w:eastAsia="zh-CN"/>
              </w:rPr>
              <w:t>（项目整体设想及规划方案</w:t>
            </w:r>
            <w:r>
              <w:rPr>
                <w:rFonts w:hint="eastAsia"/>
                <w:color w:val="auto"/>
                <w:highlight w:val="none"/>
                <w:lang w:val="en-US" w:eastAsia="zh-CN"/>
              </w:rPr>
              <w:t>不符合实际情况且人员配备及质量安全控制措施不完善，且配送服务计划的</w:t>
            </w:r>
            <w:r>
              <w:rPr>
                <w:rFonts w:hint="eastAsia"/>
                <w:color w:val="auto"/>
                <w:highlight w:val="none"/>
              </w:rPr>
              <w:t>可操作性</w:t>
            </w:r>
            <w:r>
              <w:rPr>
                <w:rFonts w:hint="eastAsia"/>
                <w:color w:val="auto"/>
                <w:highlight w:val="none"/>
                <w:lang w:val="en-US" w:eastAsia="zh-CN"/>
              </w:rPr>
              <w:t>差</w:t>
            </w:r>
            <w:r>
              <w:rPr>
                <w:rFonts w:hint="eastAsia"/>
                <w:color w:val="auto"/>
                <w:highlight w:val="none"/>
                <w:lang w:eastAsia="zh-CN"/>
              </w:rPr>
              <w:t>）</w:t>
            </w:r>
            <w:r>
              <w:rPr>
                <w:rFonts w:hint="eastAsia"/>
                <w:color w:val="auto"/>
                <w:highlight w:val="none"/>
              </w:rPr>
              <w:t>的，</w:t>
            </w:r>
            <w:r>
              <w:rPr>
                <w:rFonts w:hint="eastAsia"/>
                <w:color w:val="auto"/>
                <w:highlight w:val="none"/>
                <w:lang w:val="en-US" w:eastAsia="zh-CN"/>
              </w:rPr>
              <w:t>不加</w:t>
            </w:r>
            <w:r>
              <w:rPr>
                <w:rFonts w:hint="eastAsia"/>
                <w:color w:val="auto"/>
                <w:highlight w:val="none"/>
              </w:rPr>
              <w:t>分。</w:t>
            </w:r>
          </w:p>
        </w:tc>
      </w:tr>
      <w:tr w14:paraId="509A78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center"/>
          </w:tcPr>
          <w:p w14:paraId="70BE07D4">
            <w:pPr>
              <w:rPr>
                <w:rFonts w:ascii="宋体" w:hAnsi="宋体" w:cs="宋体"/>
                <w:b/>
                <w:bCs/>
                <w:color w:val="0000FF"/>
                <w:sz w:val="24"/>
                <w:highlight w:val="none"/>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6A79BAD2">
            <w:pPr>
              <w:jc w:val="center"/>
              <w:rPr>
                <w:rFonts w:ascii="宋体" w:hAnsi="宋体" w:cs="宋体"/>
                <w:szCs w:val="21"/>
                <w:highlight w:val="none"/>
              </w:rPr>
            </w:pPr>
            <w:r>
              <w:rPr>
                <w:rFonts w:hint="eastAsia"/>
                <w:highlight w:val="none"/>
              </w:rPr>
              <w:t>2</w:t>
            </w:r>
          </w:p>
        </w:tc>
        <w:tc>
          <w:tcPr>
            <w:tcW w:w="1720" w:type="dxa"/>
            <w:tcBorders>
              <w:top w:val="single" w:color="000000" w:sz="8" w:space="0"/>
              <w:left w:val="single" w:color="000000" w:sz="8" w:space="0"/>
              <w:bottom w:val="single" w:color="000000" w:sz="8" w:space="0"/>
              <w:right w:val="single" w:color="000000" w:sz="8" w:space="0"/>
            </w:tcBorders>
            <w:vAlign w:val="center"/>
          </w:tcPr>
          <w:p w14:paraId="168B999D">
            <w:pPr>
              <w:jc w:val="center"/>
              <w:rPr>
                <w:rFonts w:ascii="宋体" w:hAnsi="宋体" w:cs="宋体"/>
                <w:szCs w:val="21"/>
                <w:highlight w:val="none"/>
              </w:rPr>
            </w:pPr>
            <w:r>
              <w:rPr>
                <w:rFonts w:hint="eastAsia"/>
                <w:highlight w:val="none"/>
              </w:rPr>
              <w:t>规章管理制度、工作流程等</w:t>
            </w:r>
          </w:p>
        </w:tc>
        <w:tc>
          <w:tcPr>
            <w:tcW w:w="656" w:type="dxa"/>
            <w:tcBorders>
              <w:top w:val="single" w:color="000000" w:sz="8" w:space="0"/>
              <w:left w:val="single" w:color="000000" w:sz="8" w:space="0"/>
              <w:bottom w:val="single" w:color="000000" w:sz="8" w:space="0"/>
              <w:right w:val="single" w:color="000000" w:sz="8" w:space="0"/>
            </w:tcBorders>
            <w:vAlign w:val="center"/>
          </w:tcPr>
          <w:p w14:paraId="1FFB2E63">
            <w:pPr>
              <w:jc w:val="center"/>
              <w:rPr>
                <w:rFonts w:hint="default" w:ascii="宋体" w:hAnsi="宋体" w:eastAsia="宋体" w:cs="宋体"/>
                <w:szCs w:val="21"/>
                <w:highlight w:val="none"/>
                <w:lang w:val="en-US" w:eastAsia="zh-CN"/>
              </w:rPr>
            </w:pPr>
            <w:r>
              <w:rPr>
                <w:rFonts w:hint="eastAsia" w:asciiTheme="minorEastAsia" w:hAnsiTheme="minorEastAsia" w:eastAsiaTheme="minorEastAsia"/>
                <w:szCs w:val="21"/>
                <w:highlight w:val="none"/>
                <w:lang w:val="en-US" w:eastAsia="zh-CN"/>
              </w:rPr>
              <w:t>5</w:t>
            </w:r>
          </w:p>
        </w:tc>
        <w:tc>
          <w:tcPr>
            <w:tcW w:w="5602" w:type="dxa"/>
            <w:tcBorders>
              <w:top w:val="single" w:color="000000" w:sz="8" w:space="0"/>
              <w:left w:val="single" w:color="000000" w:sz="8" w:space="0"/>
              <w:bottom w:val="single" w:color="000000" w:sz="8" w:space="0"/>
              <w:right w:val="single" w:color="000000" w:sz="8" w:space="0"/>
            </w:tcBorders>
            <w:vAlign w:val="top"/>
          </w:tcPr>
          <w:p w14:paraId="7823CE9F">
            <w:pPr>
              <w:rPr>
                <w:b/>
                <w:bCs/>
                <w:color w:val="auto"/>
                <w:highlight w:val="none"/>
              </w:rPr>
            </w:pPr>
            <w:r>
              <w:rPr>
                <w:rFonts w:hint="eastAsia"/>
                <w:b/>
                <w:bCs/>
                <w:color w:val="auto"/>
                <w:highlight w:val="none"/>
              </w:rPr>
              <w:t>（一）评分内容：</w:t>
            </w:r>
          </w:p>
          <w:p w14:paraId="3E2EFED2">
            <w:pPr>
              <w:rPr>
                <w:color w:val="auto"/>
                <w:highlight w:val="none"/>
              </w:rPr>
            </w:pPr>
            <w:r>
              <w:rPr>
                <w:rFonts w:hint="eastAsia"/>
                <w:color w:val="auto"/>
                <w:highlight w:val="none"/>
              </w:rPr>
              <w:t>考察针对本项目的规章管理制度、工作流程等，包括以下内容:</w:t>
            </w:r>
          </w:p>
          <w:p w14:paraId="65243594">
            <w:pPr>
              <w:rPr>
                <w:color w:val="auto"/>
                <w:highlight w:val="none"/>
              </w:rPr>
            </w:pPr>
            <w:r>
              <w:rPr>
                <w:rFonts w:hint="eastAsia"/>
                <w:color w:val="auto"/>
                <w:highlight w:val="none"/>
              </w:rPr>
              <w:t>1、食品安全保障制度（食品安全应急预案、食品安全措施等）；</w:t>
            </w:r>
          </w:p>
          <w:p w14:paraId="636F8369">
            <w:pPr>
              <w:rPr>
                <w:color w:val="auto"/>
                <w:highlight w:val="none"/>
              </w:rPr>
            </w:pPr>
            <w:r>
              <w:rPr>
                <w:rFonts w:hint="eastAsia"/>
                <w:color w:val="auto"/>
                <w:highlight w:val="none"/>
              </w:rPr>
              <w:t>2、人员培训制度；</w:t>
            </w:r>
          </w:p>
          <w:p w14:paraId="73C84D27">
            <w:pPr>
              <w:rPr>
                <w:color w:val="auto"/>
                <w:highlight w:val="none"/>
              </w:rPr>
            </w:pPr>
            <w:r>
              <w:rPr>
                <w:rFonts w:hint="eastAsia"/>
                <w:color w:val="auto"/>
                <w:highlight w:val="none"/>
              </w:rPr>
              <w:t>3、操作规程（食品验收操作规程）；</w:t>
            </w:r>
          </w:p>
          <w:p w14:paraId="6E308909">
            <w:pPr>
              <w:rPr>
                <w:color w:val="auto"/>
                <w:highlight w:val="none"/>
              </w:rPr>
            </w:pPr>
            <w:r>
              <w:rPr>
                <w:rFonts w:hint="eastAsia"/>
                <w:color w:val="auto"/>
                <w:highlight w:val="none"/>
              </w:rPr>
              <w:t>4、劳动纪律和奖惩办法；</w:t>
            </w:r>
          </w:p>
          <w:p w14:paraId="153459D3">
            <w:pPr>
              <w:rPr>
                <w:color w:val="auto"/>
                <w:highlight w:val="none"/>
              </w:rPr>
            </w:pPr>
            <w:r>
              <w:rPr>
                <w:rFonts w:hint="eastAsia"/>
                <w:color w:val="auto"/>
                <w:highlight w:val="none"/>
              </w:rPr>
              <w:t>5、客户投诉反馈管理制度（包括售后服务保障制度、客户投诉及处理方法）。</w:t>
            </w:r>
          </w:p>
          <w:p w14:paraId="75B277A1">
            <w:pPr>
              <w:rPr>
                <w:b/>
                <w:bCs/>
                <w:color w:val="auto"/>
                <w:highlight w:val="none"/>
              </w:rPr>
            </w:pPr>
            <w:r>
              <w:rPr>
                <w:rFonts w:hint="eastAsia"/>
                <w:b/>
                <w:bCs/>
                <w:color w:val="auto"/>
                <w:highlight w:val="none"/>
              </w:rPr>
              <w:t>（二）评分依据：</w:t>
            </w:r>
          </w:p>
          <w:p w14:paraId="1B258B52">
            <w:pPr>
              <w:rPr>
                <w:color w:val="auto"/>
                <w:highlight w:val="none"/>
              </w:rPr>
            </w:pPr>
            <w:r>
              <w:rPr>
                <w:rFonts w:hint="eastAsia"/>
                <w:color w:val="auto"/>
                <w:highlight w:val="none"/>
              </w:rPr>
              <w:t>1、</w:t>
            </w:r>
            <w:r>
              <w:rPr>
                <w:rFonts w:hint="eastAsia" w:ascii="Times New Roman"/>
                <w:color w:val="auto"/>
                <w:kern w:val="2"/>
                <w:sz w:val="21"/>
                <w:szCs w:val="24"/>
                <w:highlight w:val="none"/>
                <w:lang w:val="en-US" w:eastAsia="zh-CN"/>
              </w:rPr>
              <w:t>每提供一项内容得16分，全部提供得80分，未提供不得分。</w:t>
            </w:r>
          </w:p>
          <w:p w14:paraId="570981D8">
            <w:pPr>
              <w:rPr>
                <w:color w:val="auto"/>
                <w:highlight w:val="none"/>
              </w:rPr>
            </w:pPr>
            <w:r>
              <w:rPr>
                <w:rFonts w:hint="eastAsia"/>
                <w:color w:val="auto"/>
                <w:highlight w:val="none"/>
              </w:rPr>
              <w:t>2、在此基础上，专家根据各供应商的具体响应内容进一步评审：</w:t>
            </w:r>
          </w:p>
          <w:p w14:paraId="65FAD456">
            <w:pPr>
              <w:rPr>
                <w:color w:val="auto"/>
                <w:highlight w:val="none"/>
              </w:rPr>
            </w:pPr>
            <w:r>
              <w:rPr>
                <w:rFonts w:hint="eastAsia"/>
                <w:color w:val="auto"/>
                <w:highlight w:val="none"/>
              </w:rPr>
              <w:t>（1）评审为优</w:t>
            </w:r>
            <w:r>
              <w:rPr>
                <w:rFonts w:hint="eastAsia"/>
                <w:color w:val="auto"/>
                <w:highlight w:val="none"/>
                <w:lang w:eastAsia="zh-CN"/>
              </w:rPr>
              <w:t>（</w:t>
            </w:r>
            <w:r>
              <w:rPr>
                <w:rFonts w:hint="eastAsia"/>
                <w:color w:val="auto"/>
                <w:highlight w:val="none"/>
                <w:lang w:val="en-US" w:eastAsia="zh-CN"/>
              </w:rPr>
              <w:t>食品安全保障制度完整且人员岗位职责清晰，且操作规程的可操作性强</w:t>
            </w:r>
            <w:r>
              <w:rPr>
                <w:rFonts w:hint="eastAsia"/>
                <w:color w:val="auto"/>
                <w:highlight w:val="none"/>
                <w:lang w:eastAsia="zh-CN"/>
              </w:rPr>
              <w:t>）</w:t>
            </w:r>
            <w:r>
              <w:rPr>
                <w:rFonts w:hint="eastAsia"/>
                <w:color w:val="auto"/>
                <w:highlight w:val="none"/>
              </w:rPr>
              <w:t>的，加</w:t>
            </w:r>
            <w:r>
              <w:rPr>
                <w:rFonts w:hint="eastAsia"/>
                <w:color w:val="auto"/>
                <w:highlight w:val="none"/>
                <w:lang w:val="en-US" w:eastAsia="zh-CN"/>
              </w:rPr>
              <w:t>2</w:t>
            </w:r>
            <w:r>
              <w:rPr>
                <w:rFonts w:hint="eastAsia"/>
                <w:color w:val="auto"/>
                <w:highlight w:val="none"/>
              </w:rPr>
              <w:t>0分；</w:t>
            </w:r>
          </w:p>
          <w:p w14:paraId="4E3DDE9D">
            <w:pPr>
              <w:rPr>
                <w:color w:val="auto"/>
                <w:highlight w:val="none"/>
              </w:rPr>
            </w:pPr>
            <w:r>
              <w:rPr>
                <w:rFonts w:hint="eastAsia"/>
                <w:color w:val="auto"/>
                <w:highlight w:val="none"/>
              </w:rPr>
              <w:t>（2）评审为良</w:t>
            </w:r>
            <w:r>
              <w:rPr>
                <w:rFonts w:hint="eastAsia"/>
                <w:color w:val="auto"/>
                <w:highlight w:val="none"/>
                <w:lang w:eastAsia="zh-CN"/>
              </w:rPr>
              <w:t>（</w:t>
            </w:r>
            <w:r>
              <w:rPr>
                <w:rFonts w:hint="eastAsia"/>
                <w:color w:val="auto"/>
                <w:highlight w:val="none"/>
                <w:lang w:val="en-US" w:eastAsia="zh-CN"/>
              </w:rPr>
              <w:t>食品安全保障制度较完整且人员岗位职责较清晰，且操作规程的可操作性较强</w:t>
            </w:r>
            <w:r>
              <w:rPr>
                <w:rFonts w:hint="eastAsia"/>
                <w:color w:val="auto"/>
                <w:highlight w:val="none"/>
                <w:lang w:eastAsia="zh-CN"/>
              </w:rPr>
              <w:t>）</w:t>
            </w:r>
            <w:r>
              <w:rPr>
                <w:rFonts w:hint="eastAsia"/>
                <w:color w:val="auto"/>
                <w:highlight w:val="none"/>
              </w:rPr>
              <w:t>的，加</w:t>
            </w:r>
            <w:r>
              <w:rPr>
                <w:rFonts w:hint="eastAsia"/>
                <w:color w:val="auto"/>
                <w:highlight w:val="none"/>
                <w:lang w:val="en-US" w:eastAsia="zh-CN"/>
              </w:rPr>
              <w:t>15</w:t>
            </w:r>
            <w:r>
              <w:rPr>
                <w:rFonts w:hint="eastAsia"/>
                <w:color w:val="auto"/>
                <w:highlight w:val="none"/>
              </w:rPr>
              <w:t>分；</w:t>
            </w:r>
          </w:p>
          <w:p w14:paraId="41A8C73F">
            <w:pPr>
              <w:rPr>
                <w:color w:val="auto"/>
                <w:highlight w:val="none"/>
              </w:rPr>
            </w:pPr>
            <w:r>
              <w:rPr>
                <w:rFonts w:hint="eastAsia"/>
                <w:color w:val="auto"/>
                <w:highlight w:val="none"/>
              </w:rPr>
              <w:t>（3）评审为中</w:t>
            </w:r>
            <w:r>
              <w:rPr>
                <w:rFonts w:hint="eastAsia"/>
                <w:color w:val="auto"/>
                <w:highlight w:val="none"/>
                <w:lang w:eastAsia="zh-CN"/>
              </w:rPr>
              <w:t>（</w:t>
            </w:r>
            <w:r>
              <w:rPr>
                <w:rFonts w:hint="eastAsia"/>
                <w:color w:val="auto"/>
                <w:highlight w:val="none"/>
                <w:lang w:val="en-US" w:eastAsia="zh-CN"/>
              </w:rPr>
              <w:t>食品安全保障制度不完整且人员岗位职责不清晰，且操作规程的可操作性一般</w:t>
            </w:r>
            <w:r>
              <w:rPr>
                <w:rFonts w:hint="eastAsia"/>
                <w:color w:val="auto"/>
                <w:highlight w:val="none"/>
                <w:lang w:eastAsia="zh-CN"/>
              </w:rPr>
              <w:t>）</w:t>
            </w:r>
            <w:r>
              <w:rPr>
                <w:rFonts w:hint="eastAsia"/>
                <w:color w:val="auto"/>
                <w:highlight w:val="none"/>
              </w:rPr>
              <w:t>的，加</w:t>
            </w:r>
            <w:r>
              <w:rPr>
                <w:rFonts w:hint="eastAsia"/>
                <w:color w:val="auto"/>
                <w:highlight w:val="none"/>
                <w:lang w:val="en-US" w:eastAsia="zh-CN"/>
              </w:rPr>
              <w:t>10</w:t>
            </w:r>
            <w:r>
              <w:rPr>
                <w:rFonts w:hint="eastAsia"/>
                <w:color w:val="auto"/>
                <w:highlight w:val="none"/>
              </w:rPr>
              <w:t>分；</w:t>
            </w:r>
          </w:p>
          <w:p w14:paraId="16F8CC02">
            <w:pPr>
              <w:rPr>
                <w:rFonts w:ascii="宋体" w:hAnsi="宋体" w:cs="宋体"/>
                <w:color w:val="auto"/>
                <w:szCs w:val="21"/>
                <w:highlight w:val="none"/>
              </w:rPr>
            </w:pPr>
            <w:r>
              <w:rPr>
                <w:rFonts w:hint="eastAsia"/>
                <w:color w:val="auto"/>
                <w:highlight w:val="none"/>
              </w:rPr>
              <w:t>（4）评审为差</w:t>
            </w:r>
            <w:r>
              <w:rPr>
                <w:rFonts w:hint="eastAsia"/>
                <w:color w:val="auto"/>
                <w:highlight w:val="none"/>
                <w:lang w:eastAsia="zh-CN"/>
              </w:rPr>
              <w:t>（</w:t>
            </w:r>
            <w:r>
              <w:rPr>
                <w:rFonts w:hint="eastAsia"/>
                <w:color w:val="auto"/>
                <w:highlight w:val="none"/>
                <w:lang w:val="en-US" w:eastAsia="zh-CN"/>
              </w:rPr>
              <w:t>食品安全保障制度不完整且人员岗位职责不清晰，且操作规程的可操作性差</w:t>
            </w:r>
            <w:r>
              <w:rPr>
                <w:rFonts w:hint="eastAsia"/>
                <w:color w:val="auto"/>
                <w:highlight w:val="none"/>
                <w:lang w:eastAsia="zh-CN"/>
              </w:rPr>
              <w:t>）</w:t>
            </w:r>
            <w:r>
              <w:rPr>
                <w:rFonts w:hint="eastAsia"/>
                <w:color w:val="auto"/>
                <w:highlight w:val="none"/>
              </w:rPr>
              <w:t>的，</w:t>
            </w:r>
            <w:r>
              <w:rPr>
                <w:rFonts w:hint="eastAsia" w:ascii="Times New Roman" w:eastAsia="宋体"/>
                <w:color w:val="auto"/>
                <w:highlight w:val="none"/>
                <w:lang w:val="en-US" w:eastAsia="zh-CN"/>
              </w:rPr>
              <w:t>不加</w:t>
            </w:r>
            <w:r>
              <w:rPr>
                <w:rFonts w:hint="eastAsia"/>
                <w:color w:val="auto"/>
                <w:highlight w:val="none"/>
              </w:rPr>
              <w:t>分。</w:t>
            </w:r>
          </w:p>
        </w:tc>
      </w:tr>
      <w:tr w14:paraId="2DD9EA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center"/>
          </w:tcPr>
          <w:p w14:paraId="60B9B4F1">
            <w:pPr>
              <w:rPr>
                <w:rFonts w:ascii="宋体" w:hAnsi="宋体" w:cs="宋体"/>
                <w:b/>
                <w:bCs/>
                <w:color w:val="0000FF"/>
                <w:sz w:val="24"/>
                <w:highlight w:val="none"/>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674FC892">
            <w:pPr>
              <w:jc w:val="center"/>
              <w:rPr>
                <w:rFonts w:ascii="宋体" w:hAnsi="宋体" w:cs="宋体"/>
                <w:szCs w:val="21"/>
                <w:highlight w:val="none"/>
              </w:rPr>
            </w:pPr>
            <w:r>
              <w:rPr>
                <w:rFonts w:hint="eastAsia"/>
                <w:highlight w:val="none"/>
              </w:rPr>
              <w:t>3</w:t>
            </w:r>
          </w:p>
        </w:tc>
        <w:tc>
          <w:tcPr>
            <w:tcW w:w="1720" w:type="dxa"/>
            <w:tcBorders>
              <w:top w:val="single" w:color="000000" w:sz="8" w:space="0"/>
              <w:left w:val="single" w:color="000000" w:sz="8" w:space="0"/>
              <w:bottom w:val="single" w:color="000000" w:sz="8" w:space="0"/>
              <w:right w:val="single" w:color="000000" w:sz="8" w:space="0"/>
            </w:tcBorders>
            <w:vAlign w:val="center"/>
          </w:tcPr>
          <w:p w14:paraId="03108D60">
            <w:pPr>
              <w:jc w:val="center"/>
              <w:rPr>
                <w:rFonts w:ascii="宋体" w:hAnsi="宋体" w:cs="宋体"/>
                <w:szCs w:val="21"/>
                <w:highlight w:val="none"/>
              </w:rPr>
            </w:pPr>
            <w:r>
              <w:rPr>
                <w:rFonts w:hint="eastAsia" w:asciiTheme="minorEastAsia" w:hAnsiTheme="minorEastAsia" w:eastAsiaTheme="minorEastAsia"/>
                <w:szCs w:val="21"/>
                <w:highlight w:val="none"/>
                <w:lang w:val="zh-CN"/>
              </w:rPr>
              <w:t>应急方案</w:t>
            </w:r>
          </w:p>
        </w:tc>
        <w:tc>
          <w:tcPr>
            <w:tcW w:w="656" w:type="dxa"/>
            <w:tcBorders>
              <w:top w:val="single" w:color="000000" w:sz="8" w:space="0"/>
              <w:left w:val="single" w:color="000000" w:sz="8" w:space="0"/>
              <w:bottom w:val="single" w:color="000000" w:sz="8" w:space="0"/>
              <w:right w:val="single" w:color="000000" w:sz="8" w:space="0"/>
            </w:tcBorders>
            <w:vAlign w:val="center"/>
          </w:tcPr>
          <w:p w14:paraId="5A4881E4">
            <w:pPr>
              <w:jc w:val="center"/>
              <w:rPr>
                <w:rFonts w:ascii="宋体" w:hAnsi="宋体" w:cs="宋体"/>
                <w:szCs w:val="21"/>
                <w:highlight w:val="none"/>
              </w:rPr>
            </w:pPr>
            <w:r>
              <w:rPr>
                <w:rFonts w:hint="eastAsia" w:asciiTheme="minorEastAsia" w:hAnsiTheme="minorEastAsia" w:eastAsiaTheme="minorEastAsia"/>
                <w:szCs w:val="21"/>
                <w:highlight w:val="none"/>
              </w:rPr>
              <w:t>5</w:t>
            </w:r>
          </w:p>
        </w:tc>
        <w:tc>
          <w:tcPr>
            <w:tcW w:w="5602" w:type="dxa"/>
            <w:tcBorders>
              <w:top w:val="single" w:color="000000" w:sz="8" w:space="0"/>
              <w:left w:val="single" w:color="000000" w:sz="8" w:space="0"/>
              <w:bottom w:val="single" w:color="000000" w:sz="8" w:space="0"/>
              <w:right w:val="single" w:color="000000" w:sz="8" w:space="0"/>
            </w:tcBorders>
            <w:vAlign w:val="top"/>
          </w:tcPr>
          <w:p w14:paraId="316C283D">
            <w:pPr>
              <w:rPr>
                <w:b/>
                <w:bCs/>
                <w:color w:val="auto"/>
                <w:highlight w:val="none"/>
              </w:rPr>
            </w:pPr>
            <w:r>
              <w:rPr>
                <w:rFonts w:hint="eastAsia"/>
                <w:b/>
                <w:bCs/>
                <w:color w:val="auto"/>
                <w:highlight w:val="none"/>
              </w:rPr>
              <w:t>（一）评分内容：</w:t>
            </w:r>
          </w:p>
          <w:p w14:paraId="16AA9B67">
            <w:pPr>
              <w:rPr>
                <w:color w:val="auto"/>
                <w:highlight w:val="none"/>
              </w:rPr>
            </w:pPr>
            <w:r>
              <w:rPr>
                <w:rFonts w:hint="eastAsia"/>
                <w:color w:val="auto"/>
                <w:highlight w:val="none"/>
              </w:rPr>
              <w:t>考察针对本项目的应急方案，方案包括以下内容：</w:t>
            </w:r>
          </w:p>
          <w:p w14:paraId="530B22F2">
            <w:pPr>
              <w:rPr>
                <w:color w:val="auto"/>
                <w:highlight w:val="none"/>
              </w:rPr>
            </w:pPr>
            <w:r>
              <w:rPr>
                <w:rFonts w:hint="eastAsia"/>
                <w:color w:val="auto"/>
                <w:highlight w:val="none"/>
              </w:rPr>
              <w:t>1、投标人应急服务能力介绍；</w:t>
            </w:r>
          </w:p>
          <w:p w14:paraId="25C8F444">
            <w:pPr>
              <w:rPr>
                <w:color w:val="auto"/>
                <w:highlight w:val="none"/>
              </w:rPr>
            </w:pPr>
            <w:r>
              <w:rPr>
                <w:rFonts w:hint="eastAsia"/>
                <w:color w:val="auto"/>
                <w:highlight w:val="none"/>
              </w:rPr>
              <w:t>2、应急服务队伍配置情况；</w:t>
            </w:r>
          </w:p>
          <w:p w14:paraId="5450D8CD">
            <w:pPr>
              <w:rPr>
                <w:color w:val="auto"/>
                <w:highlight w:val="none"/>
              </w:rPr>
            </w:pPr>
            <w:r>
              <w:rPr>
                <w:rFonts w:hint="eastAsia"/>
                <w:color w:val="auto"/>
                <w:highlight w:val="none"/>
              </w:rPr>
              <w:t>3、响应速度、具体实施；</w:t>
            </w:r>
          </w:p>
          <w:p w14:paraId="066E8A53">
            <w:pPr>
              <w:rPr>
                <w:color w:val="auto"/>
                <w:highlight w:val="none"/>
              </w:rPr>
            </w:pPr>
            <w:r>
              <w:rPr>
                <w:rFonts w:hint="eastAsia"/>
                <w:color w:val="auto"/>
                <w:highlight w:val="none"/>
              </w:rPr>
              <w:t>4、项目保障措施。</w:t>
            </w:r>
          </w:p>
          <w:p w14:paraId="57174F0A">
            <w:pPr>
              <w:rPr>
                <w:b/>
                <w:bCs/>
                <w:color w:val="auto"/>
                <w:highlight w:val="none"/>
              </w:rPr>
            </w:pPr>
            <w:r>
              <w:rPr>
                <w:rFonts w:hint="eastAsia"/>
                <w:b/>
                <w:bCs/>
                <w:color w:val="auto"/>
                <w:highlight w:val="none"/>
              </w:rPr>
              <w:t>（二）评分依据：</w:t>
            </w:r>
          </w:p>
          <w:p w14:paraId="5AEDA8F5">
            <w:pPr>
              <w:rPr>
                <w:color w:val="auto"/>
                <w:highlight w:val="none"/>
              </w:rPr>
            </w:pPr>
            <w:r>
              <w:rPr>
                <w:rFonts w:hint="eastAsia"/>
                <w:color w:val="auto"/>
                <w:highlight w:val="none"/>
              </w:rPr>
              <w:t>1、每提供一项内容得20分，全部提供得</w:t>
            </w:r>
            <w:r>
              <w:rPr>
                <w:rFonts w:hint="eastAsia"/>
                <w:color w:val="auto"/>
                <w:highlight w:val="none"/>
                <w:lang w:eastAsia="zh-CN"/>
              </w:rPr>
              <w:t>8</w:t>
            </w:r>
            <w:r>
              <w:rPr>
                <w:rFonts w:hint="eastAsia"/>
                <w:color w:val="auto"/>
                <w:highlight w:val="none"/>
              </w:rPr>
              <w:t>0分，未提供不得分。</w:t>
            </w:r>
          </w:p>
          <w:p w14:paraId="73ED76A3">
            <w:pPr>
              <w:rPr>
                <w:color w:val="auto"/>
                <w:highlight w:val="none"/>
              </w:rPr>
            </w:pPr>
            <w:r>
              <w:rPr>
                <w:rFonts w:hint="eastAsia"/>
                <w:color w:val="auto"/>
                <w:highlight w:val="none"/>
              </w:rPr>
              <w:t>2、在此基础上，专家根据各供应商的具体响应内容进一步评审：</w:t>
            </w:r>
          </w:p>
          <w:p w14:paraId="14A71A57">
            <w:pPr>
              <w:rPr>
                <w:color w:val="auto"/>
                <w:highlight w:val="none"/>
              </w:rPr>
            </w:pPr>
            <w:r>
              <w:rPr>
                <w:rFonts w:hint="eastAsia"/>
                <w:color w:val="auto"/>
                <w:highlight w:val="none"/>
              </w:rPr>
              <w:t>（1）评审为优</w:t>
            </w:r>
            <w:r>
              <w:rPr>
                <w:rFonts w:hint="eastAsia"/>
                <w:color w:val="auto"/>
                <w:highlight w:val="none"/>
                <w:lang w:eastAsia="zh-CN"/>
              </w:rPr>
              <w:t>（</w:t>
            </w:r>
            <w:r>
              <w:rPr>
                <w:rFonts w:hint="eastAsia"/>
                <w:color w:val="auto"/>
                <w:highlight w:val="none"/>
                <w:lang w:val="en-US" w:eastAsia="zh-CN"/>
              </w:rPr>
              <w:t>应急配送的方案清晰且应急服务队伍配置完善，且项目保障措施的可操作性强</w:t>
            </w:r>
            <w:r>
              <w:rPr>
                <w:rFonts w:hint="eastAsia"/>
                <w:color w:val="auto"/>
                <w:highlight w:val="none"/>
                <w:lang w:eastAsia="zh-CN"/>
              </w:rPr>
              <w:t>）</w:t>
            </w:r>
            <w:r>
              <w:rPr>
                <w:rFonts w:hint="eastAsia"/>
                <w:color w:val="auto"/>
                <w:highlight w:val="none"/>
              </w:rPr>
              <w:t>的，加</w:t>
            </w:r>
            <w:r>
              <w:rPr>
                <w:rFonts w:hint="eastAsia"/>
                <w:color w:val="auto"/>
                <w:highlight w:val="none"/>
                <w:lang w:val="en-US" w:eastAsia="zh-CN"/>
              </w:rPr>
              <w:t>20</w:t>
            </w:r>
            <w:r>
              <w:rPr>
                <w:rFonts w:hint="eastAsia"/>
                <w:color w:val="auto"/>
                <w:highlight w:val="none"/>
              </w:rPr>
              <w:t>分；</w:t>
            </w:r>
          </w:p>
          <w:p w14:paraId="2F78588D">
            <w:pPr>
              <w:rPr>
                <w:color w:val="auto"/>
                <w:highlight w:val="none"/>
              </w:rPr>
            </w:pPr>
            <w:r>
              <w:rPr>
                <w:rFonts w:hint="eastAsia"/>
                <w:color w:val="auto"/>
                <w:highlight w:val="none"/>
              </w:rPr>
              <w:t>（2）评审为良</w:t>
            </w:r>
            <w:r>
              <w:rPr>
                <w:rFonts w:hint="eastAsia"/>
                <w:color w:val="auto"/>
                <w:highlight w:val="none"/>
                <w:lang w:eastAsia="zh-CN"/>
              </w:rPr>
              <w:t>（</w:t>
            </w:r>
            <w:r>
              <w:rPr>
                <w:rFonts w:hint="eastAsia"/>
                <w:color w:val="auto"/>
                <w:highlight w:val="none"/>
                <w:lang w:val="en-US" w:eastAsia="zh-CN"/>
              </w:rPr>
              <w:t>应急配送的方案较清晰且应急服务队伍配置较完善，且项目保障措施的可操作性较强</w:t>
            </w:r>
            <w:r>
              <w:rPr>
                <w:rFonts w:hint="eastAsia"/>
                <w:color w:val="auto"/>
                <w:highlight w:val="none"/>
                <w:lang w:eastAsia="zh-CN"/>
              </w:rPr>
              <w:t>）</w:t>
            </w:r>
            <w:r>
              <w:rPr>
                <w:rFonts w:hint="eastAsia"/>
                <w:color w:val="auto"/>
                <w:highlight w:val="none"/>
              </w:rPr>
              <w:t>的，加</w:t>
            </w:r>
            <w:r>
              <w:rPr>
                <w:rFonts w:hint="eastAsia"/>
                <w:color w:val="auto"/>
                <w:highlight w:val="none"/>
                <w:lang w:val="en-US" w:eastAsia="zh-CN"/>
              </w:rPr>
              <w:t>10</w:t>
            </w:r>
            <w:r>
              <w:rPr>
                <w:rFonts w:hint="eastAsia"/>
                <w:color w:val="auto"/>
                <w:highlight w:val="none"/>
              </w:rPr>
              <w:t>分；</w:t>
            </w:r>
          </w:p>
          <w:p w14:paraId="08DE6E4D">
            <w:pPr>
              <w:rPr>
                <w:color w:val="auto"/>
                <w:highlight w:val="none"/>
              </w:rPr>
            </w:pPr>
            <w:r>
              <w:rPr>
                <w:rFonts w:hint="eastAsia"/>
                <w:color w:val="auto"/>
                <w:highlight w:val="none"/>
              </w:rPr>
              <w:t>（3）评审为中</w:t>
            </w:r>
            <w:r>
              <w:rPr>
                <w:rFonts w:hint="eastAsia"/>
                <w:color w:val="auto"/>
                <w:highlight w:val="none"/>
                <w:lang w:eastAsia="zh-CN"/>
              </w:rPr>
              <w:t>（</w:t>
            </w:r>
            <w:r>
              <w:rPr>
                <w:rFonts w:hint="eastAsia"/>
                <w:color w:val="auto"/>
                <w:highlight w:val="none"/>
                <w:lang w:val="en-US" w:eastAsia="zh-CN"/>
              </w:rPr>
              <w:t>应急配送的方案不清晰且应急服务队伍配置不完善，且项目保障措施的可操作性一般</w:t>
            </w:r>
            <w:r>
              <w:rPr>
                <w:rFonts w:hint="eastAsia"/>
                <w:color w:val="auto"/>
                <w:highlight w:val="none"/>
                <w:lang w:eastAsia="zh-CN"/>
              </w:rPr>
              <w:t>）</w:t>
            </w:r>
            <w:r>
              <w:rPr>
                <w:rFonts w:hint="eastAsia"/>
                <w:color w:val="auto"/>
                <w:highlight w:val="none"/>
              </w:rPr>
              <w:t>的，加</w:t>
            </w:r>
            <w:r>
              <w:rPr>
                <w:rFonts w:hint="eastAsia"/>
                <w:color w:val="auto"/>
                <w:highlight w:val="none"/>
                <w:lang w:val="en-US" w:eastAsia="zh-CN"/>
              </w:rPr>
              <w:t>5</w:t>
            </w:r>
            <w:r>
              <w:rPr>
                <w:rFonts w:hint="eastAsia"/>
                <w:color w:val="auto"/>
                <w:highlight w:val="none"/>
              </w:rPr>
              <w:t>分；</w:t>
            </w:r>
          </w:p>
          <w:p w14:paraId="40C12F4F">
            <w:pPr>
              <w:rPr>
                <w:rFonts w:ascii="宋体" w:hAnsi="宋体" w:cs="宋体"/>
                <w:color w:val="auto"/>
                <w:szCs w:val="21"/>
                <w:highlight w:val="none"/>
              </w:rPr>
            </w:pPr>
            <w:r>
              <w:rPr>
                <w:rFonts w:hint="eastAsia"/>
                <w:color w:val="auto"/>
                <w:highlight w:val="none"/>
              </w:rPr>
              <w:t>（4）评审为差</w:t>
            </w:r>
            <w:r>
              <w:rPr>
                <w:rFonts w:hint="eastAsia"/>
                <w:color w:val="auto"/>
                <w:highlight w:val="none"/>
                <w:lang w:eastAsia="zh-CN"/>
              </w:rPr>
              <w:t>（</w:t>
            </w:r>
            <w:r>
              <w:rPr>
                <w:rFonts w:hint="eastAsia"/>
                <w:color w:val="auto"/>
                <w:highlight w:val="none"/>
                <w:lang w:val="en-US" w:eastAsia="zh-CN"/>
              </w:rPr>
              <w:t>应急配送的方案不清晰且应急服务队伍配置不完善，且项目保障措施的可操作性差</w:t>
            </w:r>
            <w:r>
              <w:rPr>
                <w:rFonts w:hint="eastAsia"/>
                <w:color w:val="auto"/>
                <w:highlight w:val="none"/>
                <w:lang w:eastAsia="zh-CN"/>
              </w:rPr>
              <w:t>）</w:t>
            </w:r>
            <w:r>
              <w:rPr>
                <w:rFonts w:hint="eastAsia"/>
                <w:color w:val="auto"/>
                <w:highlight w:val="none"/>
              </w:rPr>
              <w:t>的，</w:t>
            </w:r>
            <w:r>
              <w:rPr>
                <w:rFonts w:hint="eastAsia" w:ascii="Times New Roman" w:eastAsia="宋体"/>
                <w:color w:val="auto"/>
                <w:highlight w:val="none"/>
                <w:lang w:val="en-US" w:eastAsia="zh-CN"/>
              </w:rPr>
              <w:t>不加</w:t>
            </w:r>
            <w:r>
              <w:rPr>
                <w:rFonts w:hint="eastAsia"/>
                <w:color w:val="auto"/>
                <w:highlight w:val="none"/>
              </w:rPr>
              <w:t>分。</w:t>
            </w:r>
          </w:p>
        </w:tc>
      </w:tr>
      <w:tr w14:paraId="24C0C8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center"/>
          </w:tcPr>
          <w:p w14:paraId="0F53F805">
            <w:pPr>
              <w:rPr>
                <w:rFonts w:ascii="宋体" w:hAnsi="宋体" w:cs="宋体"/>
                <w:b/>
                <w:bCs/>
                <w:color w:val="0000FF"/>
                <w:sz w:val="24"/>
                <w:highlight w:val="none"/>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127A42C1">
            <w:pPr>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4</w:t>
            </w:r>
          </w:p>
        </w:tc>
        <w:tc>
          <w:tcPr>
            <w:tcW w:w="1720" w:type="dxa"/>
            <w:tcBorders>
              <w:top w:val="single" w:color="000000" w:sz="8" w:space="0"/>
              <w:left w:val="single" w:color="000000" w:sz="8" w:space="0"/>
              <w:bottom w:val="single" w:color="000000" w:sz="8" w:space="0"/>
              <w:right w:val="single" w:color="000000" w:sz="8" w:space="0"/>
            </w:tcBorders>
            <w:vAlign w:val="center"/>
          </w:tcPr>
          <w:p w14:paraId="3C1D515E">
            <w:pPr>
              <w:jc w:val="center"/>
              <w:rPr>
                <w:rFonts w:ascii="宋体" w:hAnsi="宋体" w:cs="宋体"/>
                <w:szCs w:val="21"/>
                <w:highlight w:val="none"/>
              </w:rPr>
            </w:pPr>
            <w:r>
              <w:rPr>
                <w:rFonts w:hint="eastAsia" w:asciiTheme="minorEastAsia" w:hAnsiTheme="minorEastAsia" w:eastAsiaTheme="minorEastAsia"/>
                <w:szCs w:val="21"/>
                <w:highlight w:val="none"/>
              </w:rPr>
              <w:t>拟投入本项目冷库面积</w:t>
            </w:r>
          </w:p>
        </w:tc>
        <w:tc>
          <w:tcPr>
            <w:tcW w:w="656" w:type="dxa"/>
            <w:tcBorders>
              <w:top w:val="single" w:color="000000" w:sz="8" w:space="0"/>
              <w:left w:val="single" w:color="000000" w:sz="8" w:space="0"/>
              <w:bottom w:val="single" w:color="000000" w:sz="8" w:space="0"/>
              <w:right w:val="single" w:color="000000" w:sz="8" w:space="0"/>
            </w:tcBorders>
            <w:vAlign w:val="center"/>
          </w:tcPr>
          <w:p w14:paraId="6BB2D70D">
            <w:pPr>
              <w:jc w:val="center"/>
              <w:rPr>
                <w:rFonts w:ascii="宋体" w:hAnsi="宋体" w:cs="宋体"/>
                <w:szCs w:val="21"/>
                <w:highlight w:val="none"/>
              </w:rPr>
            </w:pPr>
            <w:r>
              <w:rPr>
                <w:rFonts w:hint="eastAsia" w:asciiTheme="minorEastAsia" w:hAnsiTheme="minorEastAsia" w:eastAsiaTheme="minorEastAsia"/>
                <w:szCs w:val="21"/>
                <w:highlight w:val="none"/>
              </w:rPr>
              <w:t>5</w:t>
            </w:r>
          </w:p>
        </w:tc>
        <w:tc>
          <w:tcPr>
            <w:tcW w:w="5602" w:type="dxa"/>
            <w:tcBorders>
              <w:top w:val="single" w:color="000000" w:sz="8" w:space="0"/>
              <w:left w:val="single" w:color="000000" w:sz="8" w:space="0"/>
              <w:bottom w:val="single" w:color="000000" w:sz="8" w:space="0"/>
              <w:right w:val="single" w:color="000000" w:sz="8" w:space="0"/>
            </w:tcBorders>
            <w:vAlign w:val="top"/>
          </w:tcPr>
          <w:p w14:paraId="1A317A1A">
            <w:pPr>
              <w:rPr>
                <w:b/>
                <w:bCs/>
                <w:color w:val="auto"/>
                <w:highlight w:val="none"/>
              </w:rPr>
            </w:pPr>
            <w:r>
              <w:rPr>
                <w:rFonts w:hint="eastAsia"/>
                <w:b/>
                <w:bCs/>
                <w:color w:val="auto"/>
                <w:highlight w:val="none"/>
              </w:rPr>
              <w:t>（一）评分内容：</w:t>
            </w:r>
          </w:p>
          <w:p w14:paraId="610D49DC">
            <w:pPr>
              <w:topLinePunct w:val="0"/>
              <w:rPr>
                <w:rFonts w:hint="eastAsia" w:ascii="宋体" w:hAnsi="宋体" w:cs="宋体"/>
                <w:sz w:val="21"/>
                <w:szCs w:val="21"/>
                <w:highlight w:val="none"/>
              </w:rPr>
            </w:pPr>
            <w:r>
              <w:rPr>
                <w:rFonts w:hint="eastAsia" w:ascii="宋体" w:hAnsi="宋体" w:cs="宋体"/>
                <w:sz w:val="21"/>
                <w:szCs w:val="21"/>
                <w:highlight w:val="none"/>
              </w:rPr>
              <w:t>根据投标人拟投入的冷库（含冷冻和冷藏）面积进行评分：</w:t>
            </w:r>
          </w:p>
          <w:p w14:paraId="13813909">
            <w:pPr>
              <w:wordWrap/>
              <w:rPr>
                <w:rFonts w:hint="eastAsia" w:ascii="宋体" w:hAnsi="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cs="宋体"/>
                <w:sz w:val="21"/>
                <w:szCs w:val="21"/>
                <w:highlight w:val="none"/>
              </w:rPr>
              <w:t>冷库面积</w:t>
            </w:r>
            <w:r>
              <w:rPr>
                <w:rFonts w:hint="eastAsia" w:ascii="宋体" w:hAnsi="宋体" w:cs="宋体"/>
                <w:sz w:val="21"/>
                <w:szCs w:val="21"/>
                <w:highlight w:val="none"/>
                <w:lang w:val="en-US" w:eastAsia="zh-CN"/>
              </w:rPr>
              <w:t>8</w:t>
            </w:r>
            <w:r>
              <w:rPr>
                <w:rFonts w:hint="eastAsia" w:ascii="宋体" w:hAnsi="宋体" w:cs="宋体"/>
                <w:sz w:val="21"/>
                <w:szCs w:val="21"/>
                <w:highlight w:val="none"/>
              </w:rPr>
              <w:t>00平方米（含）以上的，得100分；</w:t>
            </w:r>
          </w:p>
          <w:p w14:paraId="6C4155E1">
            <w:pPr>
              <w:wordWrap/>
              <w:rPr>
                <w:rFonts w:hint="eastAsia" w:ascii="宋体" w:hAnsi="宋体" w:cs="宋体"/>
                <w:sz w:val="21"/>
                <w:szCs w:val="21"/>
                <w:highlight w:val="none"/>
              </w:rPr>
            </w:pPr>
            <w:r>
              <w:rPr>
                <w:rFonts w:hint="eastAsia" w:ascii="宋体" w:hAnsi="宋体" w:cs="宋体"/>
                <w:sz w:val="21"/>
                <w:szCs w:val="21"/>
                <w:highlight w:val="none"/>
                <w:lang w:val="en-US" w:eastAsia="zh-CN"/>
              </w:rPr>
              <w:t>2、6</w:t>
            </w:r>
            <w:r>
              <w:rPr>
                <w:rFonts w:hint="eastAsia" w:ascii="宋体" w:hAnsi="宋体" w:cs="宋体"/>
                <w:sz w:val="21"/>
                <w:szCs w:val="21"/>
                <w:highlight w:val="none"/>
              </w:rPr>
              <w:t>00平方米≤冷库面积＜</w:t>
            </w:r>
            <w:r>
              <w:rPr>
                <w:rFonts w:hint="eastAsia" w:ascii="宋体" w:hAnsi="宋体" w:cs="宋体"/>
                <w:sz w:val="21"/>
                <w:szCs w:val="21"/>
                <w:highlight w:val="none"/>
                <w:lang w:val="en-US" w:eastAsia="zh-CN"/>
              </w:rPr>
              <w:t>8</w:t>
            </w:r>
            <w:r>
              <w:rPr>
                <w:rFonts w:hint="eastAsia" w:ascii="宋体" w:hAnsi="宋体" w:cs="宋体"/>
                <w:sz w:val="21"/>
                <w:szCs w:val="21"/>
                <w:highlight w:val="none"/>
              </w:rPr>
              <w:t>00平方米的，得80分；</w:t>
            </w:r>
          </w:p>
          <w:p w14:paraId="2831ACBF">
            <w:pPr>
              <w:wordWrap/>
              <w:rPr>
                <w:rFonts w:hint="eastAsia" w:ascii="宋体" w:hAnsi="宋体" w:cs="宋体"/>
                <w:sz w:val="21"/>
                <w:szCs w:val="21"/>
                <w:highlight w:val="none"/>
              </w:rPr>
            </w:pPr>
            <w:r>
              <w:rPr>
                <w:rFonts w:hint="eastAsia" w:ascii="宋体" w:hAnsi="宋体" w:cs="宋体"/>
                <w:sz w:val="21"/>
                <w:szCs w:val="21"/>
                <w:highlight w:val="none"/>
                <w:lang w:val="en-US" w:eastAsia="zh-CN"/>
              </w:rPr>
              <w:t>3、5</w:t>
            </w:r>
            <w:r>
              <w:rPr>
                <w:rFonts w:hint="eastAsia" w:ascii="宋体" w:hAnsi="宋体" w:cs="宋体"/>
                <w:sz w:val="21"/>
                <w:szCs w:val="21"/>
                <w:highlight w:val="none"/>
              </w:rPr>
              <w:t>00平方米≤冷库面积＜</w:t>
            </w:r>
            <w:r>
              <w:rPr>
                <w:rFonts w:hint="eastAsia" w:ascii="宋体" w:hAnsi="宋体" w:cs="宋体"/>
                <w:sz w:val="21"/>
                <w:szCs w:val="21"/>
                <w:highlight w:val="none"/>
                <w:lang w:val="en-US" w:eastAsia="zh-CN"/>
              </w:rPr>
              <w:t>6</w:t>
            </w:r>
            <w:r>
              <w:rPr>
                <w:rFonts w:hint="eastAsia" w:ascii="宋体" w:hAnsi="宋体" w:cs="宋体"/>
                <w:sz w:val="21"/>
                <w:szCs w:val="21"/>
                <w:highlight w:val="none"/>
              </w:rPr>
              <w:t>00平方米的，得60分；</w:t>
            </w:r>
          </w:p>
          <w:p w14:paraId="0798A328">
            <w:pPr>
              <w:wordWrap/>
              <w:rPr>
                <w:rFonts w:hint="eastAsia" w:ascii="宋体" w:hAnsi="宋体" w:cs="宋体"/>
                <w:sz w:val="21"/>
                <w:szCs w:val="21"/>
                <w:highlight w:val="none"/>
              </w:rPr>
            </w:pPr>
            <w:r>
              <w:rPr>
                <w:rFonts w:hint="eastAsia" w:ascii="宋体" w:hAnsi="宋体" w:cs="宋体"/>
                <w:sz w:val="21"/>
                <w:szCs w:val="21"/>
                <w:highlight w:val="none"/>
                <w:lang w:val="en-US" w:eastAsia="zh-CN"/>
              </w:rPr>
              <w:t>4、3</w:t>
            </w:r>
            <w:r>
              <w:rPr>
                <w:rFonts w:hint="eastAsia" w:ascii="宋体" w:hAnsi="宋体" w:cs="宋体"/>
                <w:sz w:val="21"/>
                <w:szCs w:val="21"/>
                <w:highlight w:val="none"/>
              </w:rPr>
              <w:t>00平方米≤冷库面积＜</w:t>
            </w:r>
            <w:r>
              <w:rPr>
                <w:rFonts w:hint="eastAsia" w:ascii="宋体" w:hAnsi="宋体" w:cs="宋体"/>
                <w:sz w:val="21"/>
                <w:szCs w:val="21"/>
                <w:highlight w:val="none"/>
                <w:lang w:val="en-US" w:eastAsia="zh-CN"/>
              </w:rPr>
              <w:t>5</w:t>
            </w:r>
            <w:r>
              <w:rPr>
                <w:rFonts w:hint="eastAsia" w:ascii="宋体" w:hAnsi="宋体" w:cs="宋体"/>
                <w:sz w:val="21"/>
                <w:szCs w:val="21"/>
                <w:highlight w:val="none"/>
              </w:rPr>
              <w:t>00平方米的，得40分；</w:t>
            </w:r>
          </w:p>
          <w:p w14:paraId="76E2AB4A">
            <w:pPr>
              <w:wordWrap/>
              <w:rPr>
                <w:rFonts w:hint="eastAsia" w:ascii="宋体" w:hAnsi="宋体" w:cs="宋体"/>
                <w:sz w:val="21"/>
                <w:szCs w:val="21"/>
                <w:highlight w:val="none"/>
              </w:rPr>
            </w:pPr>
            <w:r>
              <w:rPr>
                <w:rFonts w:hint="eastAsia" w:ascii="宋体" w:hAnsi="宋体" w:cs="宋体"/>
                <w:sz w:val="21"/>
                <w:szCs w:val="21"/>
                <w:highlight w:val="none"/>
                <w:lang w:val="en-US" w:eastAsia="zh-CN"/>
              </w:rPr>
              <w:t>5、1</w:t>
            </w:r>
            <w:r>
              <w:rPr>
                <w:rFonts w:hint="eastAsia" w:ascii="宋体" w:hAnsi="宋体" w:cs="宋体"/>
                <w:sz w:val="21"/>
                <w:szCs w:val="21"/>
                <w:highlight w:val="none"/>
              </w:rPr>
              <w:t>00平方米≤冷库面积＜</w:t>
            </w:r>
            <w:r>
              <w:rPr>
                <w:rFonts w:hint="eastAsia" w:ascii="宋体" w:hAnsi="宋体" w:cs="宋体"/>
                <w:sz w:val="21"/>
                <w:szCs w:val="21"/>
                <w:highlight w:val="none"/>
                <w:lang w:val="en-US" w:eastAsia="zh-CN"/>
              </w:rPr>
              <w:t>3</w:t>
            </w:r>
            <w:r>
              <w:rPr>
                <w:rFonts w:hint="eastAsia" w:ascii="宋体" w:hAnsi="宋体" w:cs="宋体"/>
                <w:sz w:val="21"/>
                <w:szCs w:val="21"/>
                <w:highlight w:val="none"/>
              </w:rPr>
              <w:t>00平方米的，得20分；</w:t>
            </w:r>
          </w:p>
          <w:p w14:paraId="530FC94C">
            <w:pPr>
              <w:wordWrap/>
              <w:rPr>
                <w:rFonts w:hint="eastAsia" w:ascii="宋体" w:hAnsi="宋体" w:cs="宋体"/>
                <w:sz w:val="21"/>
                <w:szCs w:val="21"/>
              </w:rPr>
            </w:pPr>
            <w:r>
              <w:rPr>
                <w:rFonts w:hint="eastAsia" w:ascii="宋体" w:hAnsi="宋体" w:cs="宋体"/>
                <w:sz w:val="21"/>
                <w:szCs w:val="21"/>
                <w:lang w:val="en-US" w:eastAsia="zh-CN"/>
              </w:rPr>
              <w:t>6、</w:t>
            </w:r>
            <w:r>
              <w:rPr>
                <w:rFonts w:hint="eastAsia" w:ascii="宋体" w:hAnsi="宋体" w:cs="宋体"/>
                <w:sz w:val="21"/>
                <w:szCs w:val="21"/>
              </w:rPr>
              <w:t>其他情形不得分；</w:t>
            </w:r>
          </w:p>
          <w:p w14:paraId="3693C79F">
            <w:pPr>
              <w:rPr>
                <w:color w:val="auto"/>
                <w:highlight w:val="none"/>
              </w:rPr>
            </w:pPr>
            <w:r>
              <w:rPr>
                <w:rFonts w:hint="eastAsia" w:ascii="宋体" w:hAnsi="宋体" w:cs="宋体"/>
                <w:sz w:val="21"/>
                <w:szCs w:val="21"/>
              </w:rPr>
              <w:t>提供多个冷库面积可累计</w:t>
            </w:r>
            <w:r>
              <w:rPr>
                <w:rStyle w:val="46"/>
                <w:rFonts w:hint="eastAsia" w:ascii="宋体" w:hAnsi="宋体" w:cs="宋体"/>
                <w:sz w:val="21"/>
                <w:szCs w:val="21"/>
              </w:rPr>
              <w:t>，最高得100分。</w:t>
            </w:r>
          </w:p>
          <w:p w14:paraId="56DEB65B">
            <w:pPr>
              <w:rPr>
                <w:color w:val="auto"/>
                <w:highlight w:val="none"/>
              </w:rPr>
            </w:pPr>
            <w:r>
              <w:rPr>
                <w:rFonts w:hint="eastAsia"/>
                <w:color w:val="auto"/>
                <w:highlight w:val="none"/>
              </w:rPr>
              <w:t>不具备或不提供的不得分，提供多个冷库面积可累计。</w:t>
            </w:r>
          </w:p>
          <w:p w14:paraId="61001F83">
            <w:pPr>
              <w:rPr>
                <w:b/>
                <w:bCs/>
                <w:color w:val="auto"/>
                <w:highlight w:val="none"/>
              </w:rPr>
            </w:pPr>
            <w:r>
              <w:rPr>
                <w:rFonts w:hint="eastAsia"/>
                <w:b/>
                <w:bCs/>
                <w:color w:val="auto"/>
                <w:highlight w:val="none"/>
              </w:rPr>
              <w:t>（二）评分依据：</w:t>
            </w:r>
          </w:p>
          <w:p w14:paraId="430115EE">
            <w:pPr>
              <w:rPr>
                <w:rFonts w:hint="eastAsia" w:ascii="宋体" w:hAnsi="宋体" w:cs="宋体"/>
                <w:sz w:val="21"/>
                <w:szCs w:val="21"/>
              </w:rPr>
            </w:pPr>
            <w:r>
              <w:rPr>
                <w:rFonts w:hint="eastAsia" w:ascii="宋体" w:hAnsi="宋体" w:cs="宋体"/>
                <w:sz w:val="21"/>
                <w:szCs w:val="21"/>
              </w:rPr>
              <w:t>投标人提供冷库证明材料（证明材料需体现冷库面积，若下列材料无面积信息，可增加第三方测绘报告）：</w:t>
            </w:r>
          </w:p>
          <w:p w14:paraId="07FA8FA7">
            <w:pPr>
              <w:rPr>
                <w:rFonts w:hint="eastAsia" w:ascii="宋体" w:hAnsi="宋体" w:cs="宋体"/>
                <w:sz w:val="21"/>
                <w:szCs w:val="21"/>
              </w:rPr>
            </w:pPr>
            <w:r>
              <w:rPr>
                <w:rFonts w:hint="eastAsia" w:ascii="宋体" w:hAnsi="宋体" w:cs="宋体"/>
                <w:sz w:val="21"/>
                <w:szCs w:val="21"/>
              </w:rPr>
              <w:t>1、自有冷库的同时提供：①提供建造（或设备安装）合同（合同须体现签署方为投标人）或产权证明文件扫描件及冷库【含冷藏（保鲜）库和冷冻库】建造（或设备安装）发票扫描件；②冷库正门全景照片和内景照片各一张；③近一年内第三方机构出具的冷库温度校准报告（须包括冷藏和冷冻）；</w:t>
            </w:r>
          </w:p>
          <w:p w14:paraId="0A7DEE24">
            <w:pPr>
              <w:rPr>
                <w:rFonts w:hint="eastAsia" w:ascii="宋体" w:hAnsi="宋体" w:cs="宋体"/>
                <w:sz w:val="21"/>
                <w:szCs w:val="21"/>
              </w:rPr>
            </w:pPr>
            <w:r>
              <w:rPr>
                <w:rFonts w:hint="eastAsia" w:ascii="宋体" w:hAnsi="宋体" w:cs="宋体"/>
                <w:sz w:val="21"/>
                <w:szCs w:val="21"/>
              </w:rPr>
              <w:t>2、租赁冷库的同时提供:①有效期内租赁合同关键页；②冷库正门全景照片和内景照片各一张；③近一年内第三方机构出具的温度校准报告（须包括冷藏和冷冻）④近一年任意一次租金发票及银行转账凭证（付款人须为投标人，收款人须为租赁合同中的出租人）。</w:t>
            </w:r>
          </w:p>
          <w:p w14:paraId="11BDE100">
            <w:pPr>
              <w:rPr>
                <w:rFonts w:ascii="宋体" w:hAnsi="宋体" w:cs="宋体"/>
                <w:color w:val="auto"/>
                <w:szCs w:val="21"/>
                <w:highlight w:val="none"/>
              </w:rPr>
            </w:pPr>
            <w:r>
              <w:rPr>
                <w:rFonts w:hint="eastAsia" w:ascii="宋体" w:hAnsi="宋体" w:cs="宋体"/>
                <w:b w:val="0"/>
                <w:bCs w:val="0"/>
                <w:szCs w:val="21"/>
              </w:rPr>
              <w:t>3、以上文件原件备查，评分中出现无证明资料或者专家无法凭所提供资料判断是否得分的情况，一律做不得分处理。</w:t>
            </w:r>
          </w:p>
        </w:tc>
      </w:tr>
      <w:tr w14:paraId="08724B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center"/>
          </w:tcPr>
          <w:p w14:paraId="2C99C5EF">
            <w:pPr>
              <w:rPr>
                <w:rFonts w:ascii="宋体" w:hAnsi="宋体" w:cs="宋体"/>
                <w:b/>
                <w:bCs/>
                <w:color w:val="0000FF"/>
                <w:sz w:val="24"/>
                <w:highlight w:val="none"/>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0DD34E56">
            <w:pPr>
              <w:jc w:val="center"/>
              <w:rPr>
                <w:rFonts w:hint="default" w:eastAsia="宋体"/>
                <w:highlight w:val="none"/>
                <w:lang w:val="en-US" w:eastAsia="zh-CN"/>
              </w:rPr>
            </w:pPr>
            <w:r>
              <w:rPr>
                <w:rFonts w:hint="eastAsia" w:eastAsia="宋体"/>
                <w:highlight w:val="none"/>
                <w:lang w:val="en-US" w:eastAsia="zh-CN"/>
              </w:rPr>
              <w:t>5</w:t>
            </w:r>
          </w:p>
        </w:tc>
        <w:tc>
          <w:tcPr>
            <w:tcW w:w="1720" w:type="dxa"/>
            <w:tcBorders>
              <w:top w:val="single" w:color="000000" w:sz="8" w:space="0"/>
              <w:left w:val="single" w:color="000000" w:sz="8" w:space="0"/>
              <w:bottom w:val="single" w:color="000000" w:sz="8" w:space="0"/>
              <w:right w:val="single" w:color="000000" w:sz="8" w:space="0"/>
            </w:tcBorders>
            <w:vAlign w:val="center"/>
          </w:tcPr>
          <w:p w14:paraId="35DE367C">
            <w:pPr>
              <w:jc w:val="center"/>
              <w:rPr>
                <w:rFonts w:hint="eastAsia" w:asciiTheme="minorEastAsia" w:hAnsiTheme="minorEastAsia" w:eastAsiaTheme="minorEastAsia"/>
                <w:szCs w:val="21"/>
                <w:highlight w:val="none"/>
              </w:rPr>
            </w:pPr>
            <w:r>
              <w:rPr>
                <w:rFonts w:hint="eastAsia" w:cs="宋体" w:asciiTheme="minorEastAsia" w:hAnsiTheme="minorEastAsia" w:eastAsiaTheme="minorEastAsia"/>
                <w:kern w:val="0"/>
                <w:szCs w:val="21"/>
                <w:highlight w:val="none"/>
              </w:rPr>
              <w:t>拟用于本项目生产基地情况</w:t>
            </w:r>
          </w:p>
        </w:tc>
        <w:tc>
          <w:tcPr>
            <w:tcW w:w="656" w:type="dxa"/>
            <w:tcBorders>
              <w:top w:val="single" w:color="000000" w:sz="8" w:space="0"/>
              <w:left w:val="single" w:color="000000" w:sz="8" w:space="0"/>
              <w:bottom w:val="single" w:color="000000" w:sz="8" w:space="0"/>
              <w:right w:val="single" w:color="000000" w:sz="8" w:space="0"/>
            </w:tcBorders>
            <w:vAlign w:val="center"/>
          </w:tcPr>
          <w:p w14:paraId="668E7FE0">
            <w:pPr>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5</w:t>
            </w:r>
          </w:p>
        </w:tc>
        <w:tc>
          <w:tcPr>
            <w:tcW w:w="5602" w:type="dxa"/>
            <w:tcBorders>
              <w:top w:val="single" w:color="000000" w:sz="8" w:space="0"/>
              <w:left w:val="single" w:color="000000" w:sz="8" w:space="0"/>
              <w:bottom w:val="single" w:color="000000" w:sz="8" w:space="0"/>
              <w:right w:val="single" w:color="000000" w:sz="8" w:space="0"/>
            </w:tcBorders>
            <w:vAlign w:val="top"/>
          </w:tcPr>
          <w:p w14:paraId="3253B0D3">
            <w:pPr>
              <w:rPr>
                <w:b/>
                <w:bCs/>
                <w:color w:val="auto"/>
                <w:highlight w:val="none"/>
              </w:rPr>
            </w:pPr>
            <w:r>
              <w:rPr>
                <w:rFonts w:hint="eastAsia"/>
                <w:b/>
                <w:bCs/>
                <w:color w:val="auto"/>
                <w:highlight w:val="none"/>
              </w:rPr>
              <w:t>（一）评分内容：</w:t>
            </w:r>
          </w:p>
          <w:p w14:paraId="3D89663A">
            <w:pPr>
              <w:rPr>
                <w:color w:val="auto"/>
                <w:highlight w:val="none"/>
              </w:rPr>
            </w:pPr>
            <w:r>
              <w:rPr>
                <w:rFonts w:hint="eastAsia"/>
                <w:color w:val="auto"/>
                <w:highlight w:val="none"/>
              </w:rPr>
              <w:t>1、根据投标人拟用于本项目自有或租赁或合作的生产基地面积进行评分：</w:t>
            </w:r>
          </w:p>
          <w:p w14:paraId="6AC0F5FE">
            <w:pPr>
              <w:rPr>
                <w:color w:val="auto"/>
                <w:highlight w:val="none"/>
              </w:rPr>
            </w:pPr>
            <w:r>
              <w:rPr>
                <w:rFonts w:hint="eastAsia"/>
                <w:color w:val="auto"/>
                <w:highlight w:val="none"/>
              </w:rPr>
              <w:t>（1）面积≥</w:t>
            </w:r>
            <w:r>
              <w:rPr>
                <w:rFonts w:hint="eastAsia"/>
                <w:color w:val="auto"/>
                <w:highlight w:val="none"/>
                <w:lang w:val="en-US" w:eastAsia="zh-CN"/>
              </w:rPr>
              <w:t>5</w:t>
            </w:r>
            <w:r>
              <w:rPr>
                <w:rFonts w:hint="eastAsia"/>
                <w:color w:val="auto"/>
                <w:highlight w:val="none"/>
              </w:rPr>
              <w:t>00亩的，得40分；</w:t>
            </w:r>
          </w:p>
          <w:p w14:paraId="7BDB0FE4">
            <w:pPr>
              <w:rPr>
                <w:color w:val="auto"/>
                <w:highlight w:val="none"/>
              </w:rPr>
            </w:pPr>
            <w:r>
              <w:rPr>
                <w:rFonts w:hint="eastAsia"/>
                <w:color w:val="auto"/>
                <w:highlight w:val="none"/>
              </w:rPr>
              <w:t>（2）</w:t>
            </w:r>
            <w:r>
              <w:rPr>
                <w:rFonts w:hint="eastAsia"/>
                <w:color w:val="auto"/>
                <w:highlight w:val="none"/>
                <w:lang w:val="en-US" w:eastAsia="zh-CN"/>
              </w:rPr>
              <w:t>3</w:t>
            </w:r>
            <w:r>
              <w:rPr>
                <w:rFonts w:hint="eastAsia"/>
                <w:color w:val="auto"/>
                <w:highlight w:val="none"/>
              </w:rPr>
              <w:t>00亩≤面积＜</w:t>
            </w:r>
            <w:r>
              <w:rPr>
                <w:rFonts w:hint="eastAsia"/>
                <w:color w:val="auto"/>
                <w:highlight w:val="none"/>
                <w:lang w:val="en-US" w:eastAsia="zh-CN"/>
              </w:rPr>
              <w:t>5</w:t>
            </w:r>
            <w:r>
              <w:rPr>
                <w:rFonts w:hint="eastAsia"/>
                <w:color w:val="auto"/>
                <w:highlight w:val="none"/>
              </w:rPr>
              <w:t>00亩的，得30分；</w:t>
            </w:r>
          </w:p>
          <w:p w14:paraId="10930AF9">
            <w:pPr>
              <w:rPr>
                <w:color w:val="auto"/>
                <w:highlight w:val="none"/>
              </w:rPr>
            </w:pPr>
            <w:r>
              <w:rPr>
                <w:rFonts w:hint="eastAsia"/>
                <w:color w:val="auto"/>
                <w:highlight w:val="none"/>
              </w:rPr>
              <w:t>（3）</w:t>
            </w:r>
            <w:r>
              <w:rPr>
                <w:rFonts w:hint="eastAsia"/>
                <w:color w:val="auto"/>
                <w:highlight w:val="none"/>
                <w:lang w:val="en-US" w:eastAsia="zh-CN"/>
              </w:rPr>
              <w:t>1</w:t>
            </w:r>
            <w:r>
              <w:rPr>
                <w:rFonts w:hint="eastAsia"/>
                <w:color w:val="auto"/>
                <w:highlight w:val="none"/>
              </w:rPr>
              <w:t>00亩≤面积＜</w:t>
            </w:r>
            <w:r>
              <w:rPr>
                <w:rFonts w:hint="eastAsia"/>
                <w:color w:val="auto"/>
                <w:highlight w:val="none"/>
                <w:lang w:val="en-US" w:eastAsia="zh-CN"/>
              </w:rPr>
              <w:t>3</w:t>
            </w:r>
            <w:r>
              <w:rPr>
                <w:rFonts w:hint="eastAsia"/>
                <w:color w:val="auto"/>
                <w:highlight w:val="none"/>
              </w:rPr>
              <w:t>00亩的，得20分；</w:t>
            </w:r>
          </w:p>
          <w:p w14:paraId="5BB7B8FB">
            <w:pPr>
              <w:rPr>
                <w:color w:val="auto"/>
                <w:highlight w:val="none"/>
              </w:rPr>
            </w:pPr>
            <w:r>
              <w:rPr>
                <w:rFonts w:hint="eastAsia"/>
                <w:color w:val="auto"/>
                <w:highlight w:val="none"/>
              </w:rPr>
              <w:t>（4）面积＜100亩的，得10分。</w:t>
            </w:r>
          </w:p>
          <w:p w14:paraId="7F560A18">
            <w:pPr>
              <w:rPr>
                <w:color w:val="auto"/>
                <w:highlight w:val="none"/>
              </w:rPr>
            </w:pPr>
            <w:r>
              <w:rPr>
                <w:rFonts w:hint="eastAsia"/>
                <w:color w:val="auto"/>
                <w:highlight w:val="none"/>
              </w:rPr>
              <w:t>不具备或不提供的不得分，提供多个种植基地面积可累计。</w:t>
            </w:r>
          </w:p>
          <w:p w14:paraId="7E31BDE3">
            <w:pPr>
              <w:rPr>
                <w:color w:val="auto"/>
                <w:highlight w:val="none"/>
              </w:rPr>
            </w:pPr>
            <w:r>
              <w:rPr>
                <w:rFonts w:hint="eastAsia"/>
                <w:color w:val="auto"/>
                <w:highlight w:val="none"/>
              </w:rPr>
              <w:t>2、自202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1</w:t>
            </w:r>
            <w:r>
              <w:rPr>
                <w:rFonts w:hint="eastAsia"/>
                <w:color w:val="auto"/>
                <w:highlight w:val="none"/>
              </w:rPr>
              <w:t>月1日至投标截止日止，根据投标人提供检测机构出具的合格或同等表述的生产基地</w:t>
            </w:r>
            <w:r>
              <w:rPr>
                <w:rFonts w:hint="eastAsia"/>
                <w:color w:val="auto"/>
                <w:highlight w:val="none"/>
                <w:lang w:val="en-US" w:eastAsia="zh-CN"/>
              </w:rPr>
              <w:t>现场采样</w:t>
            </w:r>
            <w:r>
              <w:rPr>
                <w:rFonts w:hint="eastAsia"/>
                <w:color w:val="auto"/>
                <w:highlight w:val="none"/>
              </w:rPr>
              <w:t>的检测报告（带有CMA认证标志）进行评分：</w:t>
            </w:r>
          </w:p>
          <w:p w14:paraId="12D6AC8E">
            <w:pPr>
              <w:rPr>
                <w:color w:val="auto"/>
                <w:highlight w:val="none"/>
              </w:rPr>
            </w:pPr>
            <w:r>
              <w:rPr>
                <w:rFonts w:hint="eastAsia"/>
                <w:color w:val="auto"/>
                <w:highlight w:val="none"/>
              </w:rPr>
              <w:t>（1）具有灌溉水检测报告的，得20分；</w:t>
            </w:r>
          </w:p>
          <w:p w14:paraId="03949456">
            <w:pPr>
              <w:rPr>
                <w:color w:val="auto"/>
                <w:highlight w:val="none"/>
              </w:rPr>
            </w:pPr>
            <w:r>
              <w:rPr>
                <w:rFonts w:hint="eastAsia"/>
                <w:color w:val="auto"/>
                <w:highlight w:val="none"/>
              </w:rPr>
              <w:t>（2）具有基地土壤检测报告的，得20分；</w:t>
            </w:r>
          </w:p>
          <w:p w14:paraId="043D6F60">
            <w:pPr>
              <w:rPr>
                <w:color w:val="auto"/>
                <w:highlight w:val="none"/>
              </w:rPr>
            </w:pPr>
            <w:r>
              <w:rPr>
                <w:rFonts w:hint="eastAsia"/>
                <w:color w:val="auto"/>
                <w:highlight w:val="none"/>
              </w:rPr>
              <w:t>（3）具有基地环境空气的检测报告的，得20分。</w:t>
            </w:r>
          </w:p>
          <w:p w14:paraId="7183BE58">
            <w:pPr>
              <w:rPr>
                <w:color w:val="auto"/>
                <w:highlight w:val="none"/>
              </w:rPr>
            </w:pPr>
            <w:r>
              <w:rPr>
                <w:rFonts w:hint="eastAsia"/>
                <w:color w:val="auto"/>
                <w:highlight w:val="none"/>
              </w:rPr>
              <w:t>以上2项累计得分，最高得100分。</w:t>
            </w:r>
          </w:p>
          <w:p w14:paraId="61105685">
            <w:pPr>
              <w:rPr>
                <w:b/>
                <w:bCs/>
                <w:color w:val="auto"/>
                <w:highlight w:val="none"/>
              </w:rPr>
            </w:pPr>
            <w:r>
              <w:rPr>
                <w:rFonts w:hint="eastAsia"/>
                <w:b/>
                <w:bCs/>
                <w:color w:val="auto"/>
                <w:highlight w:val="none"/>
              </w:rPr>
              <w:t>（二）评分依据：</w:t>
            </w:r>
          </w:p>
          <w:p w14:paraId="6422DA2B">
            <w:pPr>
              <w:rPr>
                <w:color w:val="auto"/>
                <w:highlight w:val="none"/>
              </w:rPr>
            </w:pPr>
            <w:r>
              <w:rPr>
                <w:rFonts w:hint="eastAsia"/>
                <w:color w:val="auto"/>
                <w:highlight w:val="none"/>
              </w:rPr>
              <w:t>1、提供有效的生产基地产权证明文件或土地租赁合同（协议）或合作基地证明文件。如提供合作基地证明文件，合作基地证明应涵盖投标截止日期；如提供租赁合同，租赁合同日期应涵盖投标截止日期；须体现面积，若无面积信息，须增加其他能体现生产基地面积信息的材料。</w:t>
            </w:r>
          </w:p>
          <w:p w14:paraId="38829BD2">
            <w:pPr>
              <w:rPr>
                <w:color w:val="auto"/>
                <w:highlight w:val="none"/>
              </w:rPr>
            </w:pPr>
            <w:r>
              <w:rPr>
                <w:rFonts w:hint="eastAsia"/>
                <w:color w:val="auto"/>
                <w:highlight w:val="none"/>
              </w:rPr>
              <w:t>2、提供检验检测报告</w:t>
            </w:r>
            <w:r>
              <w:rPr>
                <w:rFonts w:hint="eastAsia"/>
                <w:color w:val="auto"/>
                <w:highlight w:val="none"/>
                <w:lang w:eastAsia="zh-CN"/>
              </w:rPr>
              <w:t>（</w:t>
            </w:r>
            <w:r>
              <w:rPr>
                <w:rFonts w:hint="eastAsia"/>
                <w:color w:val="auto"/>
                <w:highlight w:val="none"/>
                <w:lang w:val="en-US" w:eastAsia="zh-CN"/>
              </w:rPr>
              <w:t>检测报告需体现现场采样</w:t>
            </w:r>
            <w:r>
              <w:rPr>
                <w:rFonts w:hint="eastAsia"/>
                <w:color w:val="auto"/>
                <w:highlight w:val="none"/>
                <w:lang w:eastAsia="zh-CN"/>
              </w:rPr>
              <w:t>）</w:t>
            </w:r>
            <w:r>
              <w:rPr>
                <w:rFonts w:hint="eastAsia"/>
                <w:color w:val="auto"/>
                <w:highlight w:val="none"/>
              </w:rPr>
              <w:t>同时需提供</w:t>
            </w:r>
            <w:r>
              <w:rPr>
                <w:rFonts w:hint="eastAsia"/>
                <w:color w:val="auto"/>
                <w:highlight w:val="none"/>
                <w:lang w:val="zh-CN"/>
              </w:rPr>
              <w:t>全国认证认可信息公共服务平台</w:t>
            </w:r>
            <w:r>
              <w:rPr>
                <w:rFonts w:hint="eastAsia"/>
                <w:color w:val="auto"/>
                <w:highlight w:val="none"/>
              </w:rPr>
              <w:t>（</w:t>
            </w:r>
            <w:r>
              <w:rPr>
                <w:rFonts w:hint="eastAsia"/>
                <w:color w:val="auto"/>
                <w:highlight w:val="none"/>
                <w:lang w:val="zh-CN"/>
              </w:rPr>
              <w:t>认</w:t>
            </w:r>
            <w:r>
              <w:rPr>
                <w:rFonts w:hint="eastAsia"/>
                <w:color w:val="auto"/>
                <w:highlight w:val="none"/>
              </w:rPr>
              <w:t>e</w:t>
            </w:r>
            <w:r>
              <w:rPr>
                <w:rFonts w:hint="eastAsia"/>
                <w:color w:val="auto"/>
                <w:highlight w:val="none"/>
                <w:lang w:val="zh-CN"/>
              </w:rPr>
              <w:t>云</w:t>
            </w:r>
            <w:r>
              <w:rPr>
                <w:rFonts w:hint="eastAsia"/>
                <w:color w:val="auto"/>
                <w:highlight w:val="none"/>
              </w:rPr>
              <w:t>）</w:t>
            </w:r>
            <w:r>
              <w:rPr>
                <w:rFonts w:hint="eastAsia"/>
                <w:color w:val="auto"/>
                <w:highlight w:val="none"/>
                <w:lang w:val="zh-CN"/>
              </w:rPr>
              <w:t>查询有效的截图</w:t>
            </w:r>
            <w:r>
              <w:rPr>
                <w:rFonts w:hint="eastAsia"/>
                <w:color w:val="auto"/>
                <w:highlight w:val="none"/>
              </w:rPr>
              <w:t>（http://cx.cnca.cn）</w:t>
            </w:r>
            <w:r>
              <w:rPr>
                <w:rFonts w:hint="eastAsia"/>
                <w:color w:val="auto"/>
                <w:highlight w:val="none"/>
                <w:lang w:val="zh-CN"/>
              </w:rPr>
              <w:t>且编号一致</w:t>
            </w:r>
            <w:r>
              <w:rPr>
                <w:rFonts w:hint="eastAsia"/>
                <w:color w:val="auto"/>
                <w:highlight w:val="none"/>
              </w:rPr>
              <w:t>，检验检测报告在公开渠道无法查询的，需要求提供颁发部门、检验检测机构或者监管机构的证明材料。</w:t>
            </w:r>
          </w:p>
          <w:p w14:paraId="7D8F310F">
            <w:pPr>
              <w:rPr>
                <w:rFonts w:hint="eastAsia"/>
                <w:color w:val="auto"/>
                <w:highlight w:val="none"/>
              </w:rPr>
            </w:pPr>
            <w:r>
              <w:rPr>
                <w:rFonts w:hint="eastAsia"/>
                <w:color w:val="auto"/>
                <w:highlight w:val="none"/>
              </w:rPr>
              <w:t>3、以上资料原件备查，评分中出现无证明资料或者专家无法凭所提供资料判断是否得分的情况，一律做不得分处理。</w:t>
            </w:r>
          </w:p>
        </w:tc>
      </w:tr>
      <w:tr w14:paraId="1D2512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center"/>
          </w:tcPr>
          <w:p w14:paraId="29B72CEA">
            <w:pPr>
              <w:rPr>
                <w:rFonts w:ascii="宋体" w:hAnsi="宋体" w:cs="宋体"/>
                <w:b/>
                <w:bCs/>
                <w:color w:val="0000FF"/>
                <w:sz w:val="24"/>
                <w:highlight w:val="none"/>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150C041F">
            <w:pPr>
              <w:wordWrap w:val="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6</w:t>
            </w:r>
          </w:p>
        </w:tc>
        <w:tc>
          <w:tcPr>
            <w:tcW w:w="1720" w:type="dxa"/>
            <w:tcBorders>
              <w:top w:val="single" w:color="000000" w:sz="8" w:space="0"/>
              <w:left w:val="single" w:color="000000" w:sz="8" w:space="0"/>
              <w:bottom w:val="single" w:color="000000" w:sz="8" w:space="0"/>
              <w:right w:val="single" w:color="000000" w:sz="8" w:space="0"/>
            </w:tcBorders>
            <w:vAlign w:val="center"/>
          </w:tcPr>
          <w:p w14:paraId="61824CA2">
            <w:pPr>
              <w:jc w:val="center"/>
              <w:rPr>
                <w:rFonts w:ascii="宋体" w:hAnsi="宋体" w:cs="宋体"/>
                <w:szCs w:val="21"/>
                <w:highlight w:val="none"/>
              </w:rPr>
            </w:pPr>
            <w:r>
              <w:rPr>
                <w:rFonts w:hint="eastAsia" w:cs="宋体" w:asciiTheme="minorEastAsia" w:hAnsiTheme="minorEastAsia" w:eastAsiaTheme="minorEastAsia"/>
                <w:kern w:val="0"/>
                <w:szCs w:val="21"/>
                <w:highlight w:val="none"/>
              </w:rPr>
              <w:t>拟投入本项目的配送场所面积</w:t>
            </w:r>
          </w:p>
        </w:tc>
        <w:tc>
          <w:tcPr>
            <w:tcW w:w="656" w:type="dxa"/>
            <w:tcBorders>
              <w:top w:val="single" w:color="000000" w:sz="8" w:space="0"/>
              <w:left w:val="single" w:color="000000" w:sz="8" w:space="0"/>
              <w:bottom w:val="single" w:color="000000" w:sz="8" w:space="0"/>
              <w:right w:val="single" w:color="000000" w:sz="8" w:space="0"/>
            </w:tcBorders>
            <w:vAlign w:val="center"/>
          </w:tcPr>
          <w:p w14:paraId="13AA41ED">
            <w:pPr>
              <w:jc w:val="center"/>
              <w:rPr>
                <w:rFonts w:hint="default" w:ascii="宋体" w:hAnsi="宋体" w:eastAsia="宋体" w:cs="宋体"/>
                <w:szCs w:val="21"/>
                <w:highlight w:val="none"/>
                <w:lang w:val="en-US" w:eastAsia="zh-CN"/>
              </w:rPr>
            </w:pPr>
            <w:r>
              <w:rPr>
                <w:rFonts w:hint="eastAsia" w:cs="宋体" w:asciiTheme="minorEastAsia" w:hAnsiTheme="minorEastAsia" w:eastAsiaTheme="minorEastAsia"/>
                <w:kern w:val="0"/>
                <w:szCs w:val="21"/>
                <w:highlight w:val="none"/>
                <w:lang w:val="en-US" w:eastAsia="zh-CN"/>
              </w:rPr>
              <w:t>5</w:t>
            </w:r>
          </w:p>
        </w:tc>
        <w:tc>
          <w:tcPr>
            <w:tcW w:w="5602" w:type="dxa"/>
            <w:tcBorders>
              <w:top w:val="single" w:color="000000" w:sz="8" w:space="0"/>
              <w:left w:val="single" w:color="000000" w:sz="8" w:space="0"/>
              <w:bottom w:val="single" w:color="000000" w:sz="8" w:space="0"/>
              <w:right w:val="single" w:color="000000" w:sz="8" w:space="0"/>
            </w:tcBorders>
            <w:vAlign w:val="center"/>
          </w:tcPr>
          <w:p w14:paraId="1070A2E0">
            <w:pPr>
              <w:rPr>
                <w:b/>
                <w:bCs/>
                <w:color w:val="auto"/>
                <w:highlight w:val="none"/>
              </w:rPr>
            </w:pPr>
            <w:r>
              <w:rPr>
                <w:rFonts w:hint="eastAsia"/>
                <w:b/>
                <w:bCs/>
                <w:color w:val="auto"/>
                <w:highlight w:val="none"/>
              </w:rPr>
              <w:t>（一）评分内容：</w:t>
            </w:r>
          </w:p>
          <w:p w14:paraId="19D2B15A">
            <w:pPr>
              <w:wordWrap w:val="0"/>
              <w:topLinePunct/>
              <w:rPr>
                <w:rFonts w:ascii="宋体" w:hAnsi="宋体" w:cs="宋体"/>
                <w:sz w:val="21"/>
                <w:szCs w:val="21"/>
              </w:rPr>
            </w:pPr>
            <w:r>
              <w:rPr>
                <w:rFonts w:hint="eastAsia" w:ascii="宋体" w:hAnsi="宋体" w:cs="宋体"/>
                <w:sz w:val="21"/>
                <w:szCs w:val="21"/>
              </w:rPr>
              <w:t>根据投标人拟投入的配送场所面积进行评分：</w:t>
            </w:r>
          </w:p>
          <w:p w14:paraId="022B1FFB">
            <w:pPr>
              <w:wordWrap w:val="0"/>
              <w:topLinePunct/>
              <w:rPr>
                <w:rFonts w:ascii="宋体" w:hAnsi="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cs="宋体"/>
                <w:sz w:val="21"/>
                <w:szCs w:val="21"/>
                <w:highlight w:val="none"/>
              </w:rPr>
              <w:t>配送场所面积</w:t>
            </w:r>
            <w:r>
              <w:rPr>
                <w:rFonts w:hint="eastAsia" w:ascii="宋体" w:hAnsi="宋体" w:cs="宋体"/>
                <w:sz w:val="21"/>
                <w:szCs w:val="21"/>
                <w:highlight w:val="none"/>
                <w:lang w:val="en-US" w:eastAsia="zh-CN"/>
              </w:rPr>
              <w:t>2</w:t>
            </w:r>
            <w:r>
              <w:rPr>
                <w:rFonts w:hint="eastAsia" w:ascii="宋体" w:hAnsi="宋体" w:cs="宋体"/>
                <w:sz w:val="21"/>
                <w:szCs w:val="21"/>
                <w:highlight w:val="none"/>
              </w:rPr>
              <w:t>000平方米（含）以上的，得100分；</w:t>
            </w:r>
          </w:p>
          <w:p w14:paraId="2FA3ACF4">
            <w:pPr>
              <w:wordWrap w:val="0"/>
              <w:topLinePunct/>
              <w:rPr>
                <w:rFonts w:ascii="宋体" w:hAnsi="宋体" w:cs="宋体"/>
                <w:sz w:val="21"/>
                <w:szCs w:val="21"/>
                <w:highlight w:val="none"/>
              </w:rPr>
            </w:pPr>
            <w:r>
              <w:rPr>
                <w:rFonts w:hint="eastAsia" w:ascii="宋体" w:hAnsi="宋体" w:cs="宋体"/>
                <w:sz w:val="21"/>
                <w:szCs w:val="21"/>
                <w:highlight w:val="none"/>
                <w:lang w:val="en-US" w:eastAsia="zh-CN"/>
              </w:rPr>
              <w:t>2、1</w:t>
            </w:r>
            <w:r>
              <w:rPr>
                <w:rFonts w:hint="eastAsia" w:ascii="宋体" w:hAnsi="宋体" w:cs="宋体"/>
                <w:sz w:val="21"/>
                <w:szCs w:val="21"/>
                <w:highlight w:val="none"/>
              </w:rPr>
              <w:t>500平方米≤配送场所面积＜</w:t>
            </w:r>
            <w:r>
              <w:rPr>
                <w:rFonts w:hint="eastAsia" w:ascii="宋体" w:hAnsi="宋体" w:cs="宋体"/>
                <w:sz w:val="21"/>
                <w:szCs w:val="21"/>
                <w:highlight w:val="none"/>
                <w:lang w:val="en-US" w:eastAsia="zh-CN"/>
              </w:rPr>
              <w:t>2</w:t>
            </w:r>
            <w:r>
              <w:rPr>
                <w:rFonts w:hint="eastAsia" w:ascii="宋体" w:hAnsi="宋体" w:cs="宋体"/>
                <w:sz w:val="21"/>
                <w:szCs w:val="21"/>
                <w:highlight w:val="none"/>
              </w:rPr>
              <w:t>000平方米的，得80分；</w:t>
            </w:r>
          </w:p>
          <w:p w14:paraId="4EB5DC04">
            <w:pPr>
              <w:wordWrap w:val="0"/>
              <w:topLinePunct/>
              <w:rPr>
                <w:rFonts w:ascii="宋体" w:hAnsi="宋体" w:cs="宋体"/>
                <w:sz w:val="21"/>
                <w:szCs w:val="21"/>
                <w:highlight w:val="none"/>
              </w:rPr>
            </w:pPr>
            <w:r>
              <w:rPr>
                <w:rFonts w:hint="eastAsia" w:ascii="宋体" w:hAnsi="宋体" w:cs="宋体"/>
                <w:sz w:val="21"/>
                <w:szCs w:val="21"/>
                <w:highlight w:val="none"/>
                <w:lang w:val="en-US" w:eastAsia="zh-CN"/>
              </w:rPr>
              <w:t>3、1</w:t>
            </w:r>
            <w:r>
              <w:rPr>
                <w:rFonts w:hint="eastAsia" w:ascii="宋体" w:hAnsi="宋体" w:cs="宋体"/>
                <w:sz w:val="21"/>
                <w:szCs w:val="21"/>
                <w:highlight w:val="none"/>
              </w:rPr>
              <w:t>000平方米≤配送场所面积＜</w:t>
            </w:r>
            <w:r>
              <w:rPr>
                <w:rFonts w:hint="eastAsia" w:ascii="宋体" w:hAnsi="宋体" w:cs="宋体"/>
                <w:sz w:val="21"/>
                <w:szCs w:val="21"/>
                <w:highlight w:val="none"/>
                <w:lang w:val="en-US" w:eastAsia="zh-CN"/>
              </w:rPr>
              <w:t>1</w:t>
            </w:r>
            <w:r>
              <w:rPr>
                <w:rFonts w:hint="eastAsia" w:ascii="宋体" w:hAnsi="宋体" w:cs="宋体"/>
                <w:sz w:val="21"/>
                <w:szCs w:val="21"/>
                <w:highlight w:val="none"/>
              </w:rPr>
              <w:t>500平方米的，得60分；</w:t>
            </w:r>
          </w:p>
          <w:p w14:paraId="54B95F9C">
            <w:pPr>
              <w:wordWrap w:val="0"/>
              <w:topLinePunct/>
              <w:rPr>
                <w:rFonts w:ascii="宋体" w:hAnsi="宋体" w:cs="宋体"/>
                <w:sz w:val="21"/>
                <w:szCs w:val="21"/>
                <w:highlight w:val="none"/>
              </w:rPr>
            </w:pPr>
            <w:r>
              <w:rPr>
                <w:rFonts w:hint="eastAsia" w:ascii="宋体" w:hAnsi="宋体" w:cs="宋体"/>
                <w:sz w:val="21"/>
                <w:szCs w:val="21"/>
                <w:highlight w:val="none"/>
                <w:lang w:val="en-US" w:eastAsia="zh-CN"/>
              </w:rPr>
              <w:t>4、7</w:t>
            </w:r>
            <w:r>
              <w:rPr>
                <w:rFonts w:hint="eastAsia" w:ascii="宋体" w:hAnsi="宋体" w:cs="宋体"/>
                <w:sz w:val="21"/>
                <w:szCs w:val="21"/>
                <w:highlight w:val="none"/>
              </w:rPr>
              <w:t>00平方米≤配送场所面积＜</w:t>
            </w:r>
            <w:r>
              <w:rPr>
                <w:rFonts w:hint="eastAsia" w:ascii="宋体" w:hAnsi="宋体" w:cs="宋体"/>
                <w:sz w:val="21"/>
                <w:szCs w:val="21"/>
                <w:highlight w:val="none"/>
                <w:lang w:val="en-US" w:eastAsia="zh-CN"/>
              </w:rPr>
              <w:t>1</w:t>
            </w:r>
            <w:r>
              <w:rPr>
                <w:rFonts w:hint="eastAsia" w:ascii="宋体" w:hAnsi="宋体" w:cs="宋体"/>
                <w:sz w:val="21"/>
                <w:szCs w:val="21"/>
                <w:highlight w:val="none"/>
              </w:rPr>
              <w:t>000平方米得40分；</w:t>
            </w:r>
          </w:p>
          <w:p w14:paraId="528A4295">
            <w:pPr>
              <w:wordWrap w:val="0"/>
              <w:topLinePunct/>
              <w:rPr>
                <w:rFonts w:hint="eastAsia" w:ascii="宋体" w:hAnsi="宋体" w:cs="宋体"/>
                <w:sz w:val="21"/>
                <w:szCs w:val="21"/>
                <w:highlight w:val="none"/>
              </w:rPr>
            </w:pPr>
            <w:r>
              <w:rPr>
                <w:rFonts w:hint="eastAsia" w:ascii="宋体" w:hAnsi="宋体" w:cs="宋体"/>
                <w:sz w:val="21"/>
                <w:szCs w:val="21"/>
                <w:highlight w:val="none"/>
                <w:lang w:val="en-US" w:eastAsia="zh-CN"/>
              </w:rPr>
              <w:t>5、5</w:t>
            </w:r>
            <w:r>
              <w:rPr>
                <w:rFonts w:hint="eastAsia" w:ascii="宋体" w:hAnsi="宋体" w:cs="宋体"/>
                <w:sz w:val="21"/>
                <w:szCs w:val="21"/>
                <w:highlight w:val="none"/>
              </w:rPr>
              <w:t>00平方米≤配送场所面积＜</w:t>
            </w:r>
            <w:r>
              <w:rPr>
                <w:rFonts w:hint="eastAsia" w:ascii="宋体" w:hAnsi="宋体" w:cs="宋体"/>
                <w:sz w:val="21"/>
                <w:szCs w:val="21"/>
                <w:highlight w:val="none"/>
                <w:lang w:val="en-US" w:eastAsia="zh-CN"/>
              </w:rPr>
              <w:t>7</w:t>
            </w:r>
            <w:r>
              <w:rPr>
                <w:rFonts w:hint="eastAsia" w:ascii="宋体" w:hAnsi="宋体" w:cs="宋体"/>
                <w:sz w:val="21"/>
                <w:szCs w:val="21"/>
                <w:highlight w:val="none"/>
              </w:rPr>
              <w:t>00平方米得20分；</w:t>
            </w:r>
          </w:p>
          <w:p w14:paraId="26574D36">
            <w:pPr>
              <w:wordWrap w:val="0"/>
              <w:topLinePunct/>
              <w:rPr>
                <w:rStyle w:val="51"/>
                <w:rFonts w:ascii="宋体" w:hAnsi="宋体" w:cs="宋体"/>
                <w:sz w:val="21"/>
                <w:highlight w:val="none"/>
              </w:rPr>
            </w:pPr>
            <w:r>
              <w:rPr>
                <w:rFonts w:hint="eastAsia" w:ascii="宋体" w:hAnsi="宋体" w:cs="宋体"/>
                <w:sz w:val="21"/>
                <w:szCs w:val="21"/>
                <w:highlight w:val="none"/>
              </w:rPr>
              <w:t>其他情形不得分。</w:t>
            </w:r>
          </w:p>
          <w:p w14:paraId="03850D8A">
            <w:pPr>
              <w:rPr>
                <w:color w:val="auto"/>
                <w:highlight w:val="none"/>
              </w:rPr>
            </w:pPr>
            <w:r>
              <w:rPr>
                <w:rStyle w:val="51"/>
                <w:rFonts w:hint="eastAsia" w:ascii="宋体" w:hAnsi="宋体" w:cs="宋体"/>
                <w:sz w:val="21"/>
                <w:highlight w:val="none"/>
              </w:rPr>
              <w:t>提供多个配送场所面积可累计，最高得100分。</w:t>
            </w:r>
          </w:p>
          <w:p w14:paraId="63399CCF">
            <w:pPr>
              <w:rPr>
                <w:b/>
                <w:bCs/>
                <w:color w:val="auto"/>
                <w:highlight w:val="none"/>
              </w:rPr>
            </w:pPr>
            <w:r>
              <w:rPr>
                <w:rFonts w:hint="eastAsia"/>
                <w:b/>
                <w:bCs/>
                <w:color w:val="auto"/>
                <w:highlight w:val="none"/>
              </w:rPr>
              <w:t>（二）评分依据：</w:t>
            </w:r>
          </w:p>
          <w:p w14:paraId="4DEE7833">
            <w:pPr>
              <w:rPr>
                <w:rFonts w:hAnsi="宋体" w:cs="宋体"/>
                <w:sz w:val="21"/>
                <w:szCs w:val="21"/>
              </w:rPr>
            </w:pPr>
            <w:r>
              <w:rPr>
                <w:rFonts w:hint="eastAsia" w:ascii="宋体" w:hAnsi="宋体" w:cs="宋体"/>
                <w:sz w:val="21"/>
                <w:szCs w:val="21"/>
              </w:rPr>
              <w:t>投标人提供配送场所证明材料（证明材料需体现配送场所面积，若下列材料无面积信息，可增加第三方测绘报告）：</w:t>
            </w:r>
          </w:p>
          <w:p w14:paraId="1FA883AD">
            <w:pPr>
              <w:pStyle w:val="17"/>
              <w:wordWrap w:val="0"/>
              <w:topLinePunct/>
              <w:rPr>
                <w:rFonts w:hint="eastAsia" w:hAnsi="宋体" w:cs="宋体"/>
                <w:sz w:val="21"/>
                <w:szCs w:val="21"/>
              </w:rPr>
            </w:pPr>
            <w:r>
              <w:rPr>
                <w:rFonts w:hint="eastAsia" w:hAnsi="宋体" w:cs="宋体"/>
                <w:sz w:val="21"/>
                <w:szCs w:val="21"/>
              </w:rPr>
              <w:t>1、自有配送场所提供自有产权证明；</w:t>
            </w:r>
          </w:p>
          <w:p w14:paraId="4B82426F">
            <w:pPr>
              <w:rPr>
                <w:rFonts w:hAnsi="宋体" w:cs="宋体"/>
                <w:sz w:val="21"/>
                <w:szCs w:val="21"/>
              </w:rPr>
            </w:pPr>
            <w:r>
              <w:rPr>
                <w:rFonts w:hint="eastAsia" w:ascii="宋体" w:hAnsi="宋体" w:cs="宋体"/>
                <w:sz w:val="21"/>
                <w:szCs w:val="21"/>
              </w:rPr>
              <w:t>2、</w:t>
            </w:r>
            <w:r>
              <w:rPr>
                <w:rFonts w:hint="eastAsia" w:hAnsi="宋体" w:cs="宋体"/>
                <w:sz w:val="21"/>
                <w:szCs w:val="21"/>
              </w:rPr>
              <w:t>租赁的配送场所提供有效期内的租赁合同关键页（包括但不限于：场地面积页、合同签订日期页、合同双方签字盖章页,</w:t>
            </w:r>
            <w:r>
              <w:rPr>
                <w:rFonts w:ascii="宋体" w:hAnsi="宋体" w:cs="宋体"/>
                <w:sz w:val="21"/>
                <w:szCs w:val="21"/>
              </w:rPr>
              <w:t xml:space="preserve"> 租赁合同需能体现租赁人或承租人须为投标人</w:t>
            </w:r>
            <w:r>
              <w:rPr>
                <w:rFonts w:hint="eastAsia" w:hAnsi="宋体" w:cs="宋体"/>
                <w:sz w:val="21"/>
                <w:szCs w:val="21"/>
              </w:rPr>
              <w:t>）、</w:t>
            </w:r>
            <w:r>
              <w:rPr>
                <w:rFonts w:hint="eastAsia" w:ascii="宋体" w:hAnsi="宋体" w:cs="宋体"/>
                <w:sz w:val="21"/>
                <w:szCs w:val="21"/>
              </w:rPr>
              <w:t>近一年任意一次租金发票及银行转账凭证</w:t>
            </w:r>
            <w:r>
              <w:rPr>
                <w:rFonts w:ascii="宋体" w:hAnsi="宋体" w:cs="宋体"/>
                <w:sz w:val="21"/>
                <w:szCs w:val="21"/>
              </w:rPr>
              <w:t>（付款人须为投标人，收款人须为租赁合同中的出租人</w:t>
            </w:r>
            <w:r>
              <w:rPr>
                <w:rFonts w:hint="eastAsia" w:ascii="宋体" w:hAnsi="宋体" w:cs="宋体"/>
                <w:sz w:val="21"/>
                <w:szCs w:val="21"/>
              </w:rPr>
              <w:t>；</w:t>
            </w:r>
          </w:p>
          <w:p w14:paraId="7AD33620">
            <w:pPr>
              <w:rPr>
                <w:rFonts w:ascii="宋体" w:hAnsi="宋体" w:cs="宋体"/>
                <w:color w:val="auto"/>
                <w:szCs w:val="21"/>
                <w:highlight w:val="none"/>
              </w:rPr>
            </w:pPr>
            <w:r>
              <w:rPr>
                <w:rFonts w:hint="eastAsia" w:hAnsi="宋体" w:cs="宋体"/>
                <w:sz w:val="21"/>
                <w:szCs w:val="21"/>
              </w:rPr>
              <w:t>3、以上文件原件备查，评分中出现无证明资料或者专家无法凭所提供资料判断是否得分的情况，一律做不得分处理。</w:t>
            </w:r>
          </w:p>
        </w:tc>
      </w:tr>
      <w:tr w14:paraId="352890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center"/>
          </w:tcPr>
          <w:p w14:paraId="6F32556F">
            <w:pPr>
              <w:rPr>
                <w:rFonts w:ascii="宋体" w:hAnsi="宋体" w:cs="宋体"/>
                <w:b/>
                <w:bCs/>
                <w:color w:val="0000FF"/>
                <w:sz w:val="24"/>
                <w:highlight w:val="none"/>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20201F70">
            <w:pPr>
              <w:wordWrap w:val="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7</w:t>
            </w:r>
          </w:p>
        </w:tc>
        <w:tc>
          <w:tcPr>
            <w:tcW w:w="1720" w:type="dxa"/>
            <w:tcBorders>
              <w:top w:val="single" w:color="000000" w:sz="8" w:space="0"/>
              <w:left w:val="single" w:color="000000" w:sz="8" w:space="0"/>
              <w:bottom w:val="single" w:color="000000" w:sz="8" w:space="0"/>
              <w:right w:val="single" w:color="000000" w:sz="8" w:space="0"/>
            </w:tcBorders>
            <w:vAlign w:val="center"/>
          </w:tcPr>
          <w:p w14:paraId="21FAD33D">
            <w:pPr>
              <w:jc w:val="center"/>
              <w:rPr>
                <w:rFonts w:ascii="宋体" w:hAnsi="宋体" w:cs="宋体"/>
                <w:szCs w:val="21"/>
                <w:highlight w:val="none"/>
              </w:rPr>
            </w:pPr>
            <w:r>
              <w:rPr>
                <w:rFonts w:hint="eastAsia" w:cs="宋体" w:asciiTheme="minorEastAsia" w:hAnsiTheme="minorEastAsia" w:eastAsiaTheme="minorEastAsia"/>
                <w:kern w:val="0"/>
                <w:szCs w:val="21"/>
                <w:highlight w:val="none"/>
              </w:rPr>
              <w:t>食品安全检测能力</w:t>
            </w:r>
          </w:p>
        </w:tc>
        <w:tc>
          <w:tcPr>
            <w:tcW w:w="656" w:type="dxa"/>
            <w:tcBorders>
              <w:top w:val="single" w:color="000000" w:sz="8" w:space="0"/>
              <w:left w:val="single" w:color="000000" w:sz="8" w:space="0"/>
              <w:bottom w:val="single" w:color="000000" w:sz="8" w:space="0"/>
              <w:right w:val="single" w:color="000000" w:sz="8" w:space="0"/>
            </w:tcBorders>
            <w:vAlign w:val="center"/>
          </w:tcPr>
          <w:p w14:paraId="52E8F259">
            <w:pPr>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5</w:t>
            </w:r>
          </w:p>
        </w:tc>
        <w:tc>
          <w:tcPr>
            <w:tcW w:w="5602" w:type="dxa"/>
            <w:tcBorders>
              <w:top w:val="single" w:color="000000" w:sz="8" w:space="0"/>
              <w:left w:val="single" w:color="000000" w:sz="8" w:space="0"/>
              <w:bottom w:val="single" w:color="000000" w:sz="8" w:space="0"/>
              <w:right w:val="single" w:color="000000" w:sz="8" w:space="0"/>
            </w:tcBorders>
            <w:vAlign w:val="center"/>
          </w:tcPr>
          <w:p w14:paraId="057F6DB7">
            <w:pPr>
              <w:rPr>
                <w:b/>
                <w:bCs/>
                <w:color w:val="auto"/>
                <w:highlight w:val="none"/>
              </w:rPr>
            </w:pPr>
            <w:r>
              <w:rPr>
                <w:rFonts w:hint="eastAsia"/>
                <w:b/>
                <w:bCs/>
                <w:color w:val="auto"/>
                <w:highlight w:val="none"/>
              </w:rPr>
              <w:t>（一）评分内容：</w:t>
            </w:r>
          </w:p>
          <w:p w14:paraId="1A153E7F">
            <w:pPr>
              <w:rPr>
                <w:rFonts w:hint="eastAsia"/>
                <w:color w:val="auto"/>
                <w:highlight w:val="none"/>
              </w:rPr>
            </w:pPr>
            <w:r>
              <w:rPr>
                <w:rFonts w:hint="eastAsia" w:ascii="宋体" w:hAnsi="宋体" w:cs="宋体"/>
                <w:b w:val="0"/>
                <w:sz w:val="21"/>
                <w:szCs w:val="21"/>
              </w:rPr>
              <w:t>投标人具有自有或租赁检测室，在此基础上具有自有或租赁仪器的情况进行评分：</w:t>
            </w:r>
          </w:p>
          <w:p w14:paraId="632F2436">
            <w:pPr>
              <w:rPr>
                <w:color w:val="auto"/>
                <w:highlight w:val="none"/>
              </w:rPr>
            </w:pPr>
            <w:r>
              <w:rPr>
                <w:rFonts w:hint="eastAsia"/>
                <w:color w:val="auto"/>
                <w:highlight w:val="none"/>
              </w:rPr>
              <w:t>1、具有农药残留检测仪的，得20分；</w:t>
            </w:r>
          </w:p>
          <w:p w14:paraId="729C3EC6">
            <w:pPr>
              <w:rPr>
                <w:color w:val="auto"/>
                <w:highlight w:val="none"/>
              </w:rPr>
            </w:pPr>
            <w:r>
              <w:rPr>
                <w:rFonts w:hint="eastAsia"/>
                <w:color w:val="auto"/>
                <w:highlight w:val="none"/>
              </w:rPr>
              <w:t>2、具有微生物检测仪的，得20分；</w:t>
            </w:r>
          </w:p>
          <w:p w14:paraId="3DAB267B">
            <w:pPr>
              <w:rPr>
                <w:color w:val="auto"/>
                <w:highlight w:val="none"/>
              </w:rPr>
            </w:pPr>
            <w:r>
              <w:rPr>
                <w:rFonts w:hint="eastAsia"/>
                <w:color w:val="auto"/>
                <w:highlight w:val="none"/>
              </w:rPr>
              <w:t>3、具有食品添加剂检测仪的，得20分；</w:t>
            </w:r>
          </w:p>
          <w:p w14:paraId="5DF0E5E1">
            <w:pPr>
              <w:rPr>
                <w:color w:val="auto"/>
                <w:highlight w:val="none"/>
              </w:rPr>
            </w:pPr>
            <w:r>
              <w:rPr>
                <w:rFonts w:hint="eastAsia"/>
                <w:color w:val="auto"/>
                <w:highlight w:val="none"/>
              </w:rPr>
              <w:t>4、具有重金属检测仪的，得20分；</w:t>
            </w:r>
          </w:p>
          <w:p w14:paraId="66FE8CCE">
            <w:pPr>
              <w:rPr>
                <w:rFonts w:hint="eastAsia" w:eastAsia="宋体"/>
                <w:color w:val="auto"/>
                <w:highlight w:val="none"/>
                <w:lang w:eastAsia="zh-CN"/>
              </w:rPr>
            </w:pPr>
            <w:r>
              <w:rPr>
                <w:rFonts w:hint="eastAsia"/>
                <w:color w:val="auto"/>
                <w:highlight w:val="none"/>
              </w:rPr>
              <w:t>5、具有多功能食品安全综合分析检测仪的，得20分</w:t>
            </w:r>
            <w:r>
              <w:rPr>
                <w:rFonts w:hint="eastAsia"/>
                <w:color w:val="auto"/>
                <w:highlight w:val="none"/>
                <w:lang w:eastAsia="zh-CN"/>
              </w:rPr>
              <w:t>。</w:t>
            </w:r>
          </w:p>
          <w:p w14:paraId="617C249A">
            <w:pPr>
              <w:rPr>
                <w:rFonts w:hint="eastAsia" w:ascii="宋体" w:hAnsi="宋体" w:cs="宋体"/>
                <w:color w:val="auto"/>
                <w:szCs w:val="21"/>
                <w:highlight w:val="none"/>
              </w:rPr>
            </w:pPr>
            <w:r>
              <w:rPr>
                <w:rFonts w:hint="eastAsia" w:ascii="宋体" w:hAnsi="宋体" w:cs="宋体"/>
                <w:color w:val="auto"/>
                <w:szCs w:val="21"/>
                <w:highlight w:val="none"/>
              </w:rPr>
              <w:t>如一个设备同时具备（满足）以上第1至4项检测仪器中多个检测仪器的检测功能，可同时获得对应仪器的得分。</w:t>
            </w:r>
          </w:p>
          <w:p w14:paraId="7D3F1D4E">
            <w:pPr>
              <w:pStyle w:val="2"/>
              <w:spacing w:line="240" w:lineRule="auto"/>
              <w:rPr>
                <w:rFonts w:ascii="宋体" w:hAnsi="宋体" w:cs="宋体"/>
                <w:b w:val="0"/>
                <w:bCs w:val="0"/>
                <w:sz w:val="21"/>
                <w:szCs w:val="21"/>
              </w:rPr>
            </w:pPr>
            <w:r>
              <w:rPr>
                <w:rFonts w:hint="eastAsia" w:ascii="宋体" w:hAnsi="宋体" w:cs="宋体"/>
                <w:b w:val="0"/>
                <w:bCs w:val="0"/>
                <w:sz w:val="21"/>
                <w:szCs w:val="21"/>
              </w:rPr>
              <w:t>同一类仪器提供多台的只计一次分，不重复计分，以上累计最高得100分（仪器名称如有出入，需提供说明书扫描件或相关证明材料证明功能能满足对应检测仪的功能亦可得分）。</w:t>
            </w:r>
          </w:p>
          <w:p w14:paraId="68F730AF">
            <w:pPr>
              <w:rPr>
                <w:b/>
                <w:bCs/>
                <w:color w:val="auto"/>
                <w:highlight w:val="none"/>
              </w:rPr>
            </w:pPr>
            <w:r>
              <w:rPr>
                <w:rFonts w:hint="eastAsia"/>
                <w:b/>
                <w:bCs/>
                <w:color w:val="auto"/>
                <w:highlight w:val="none"/>
              </w:rPr>
              <w:t>（二）评分依据：</w:t>
            </w:r>
          </w:p>
          <w:p w14:paraId="33C5EB04">
            <w:pPr>
              <w:rPr>
                <w:rFonts w:ascii="宋体" w:hAnsi="宋体" w:cs="宋体"/>
                <w:sz w:val="21"/>
                <w:szCs w:val="21"/>
              </w:rPr>
            </w:pPr>
            <w:r>
              <w:rPr>
                <w:rFonts w:hint="eastAsia" w:ascii="宋体" w:hAnsi="宋体" w:cs="宋体"/>
                <w:sz w:val="21"/>
                <w:szCs w:val="21"/>
              </w:rPr>
              <w:t>1、自有或租赁检测室的证明文件同时提供：</w:t>
            </w:r>
          </w:p>
          <w:p w14:paraId="54C3E443">
            <w:pPr>
              <w:rPr>
                <w:rFonts w:ascii="宋体" w:hAnsi="宋体" w:cs="宋体"/>
                <w:sz w:val="21"/>
                <w:szCs w:val="21"/>
              </w:rPr>
            </w:pPr>
            <w:r>
              <w:rPr>
                <w:rFonts w:hint="eastAsia" w:ascii="宋体" w:hAnsi="宋体" w:cs="宋体"/>
                <w:sz w:val="21"/>
                <w:szCs w:val="21"/>
              </w:rPr>
              <w:t>①如场地为自有的，提供自有房产证明；如场地为租赁的，提供有效期内的房屋租赁合同。</w:t>
            </w:r>
          </w:p>
          <w:p w14:paraId="18C37575">
            <w:pPr>
              <w:rPr>
                <w:rFonts w:ascii="宋体" w:hAnsi="宋体" w:cs="宋体"/>
                <w:sz w:val="21"/>
                <w:szCs w:val="21"/>
              </w:rPr>
            </w:pPr>
            <w:r>
              <w:rPr>
                <w:rFonts w:hint="eastAsia" w:ascii="宋体" w:hAnsi="宋体" w:cs="宋体"/>
                <w:sz w:val="21"/>
                <w:szCs w:val="21"/>
              </w:rPr>
              <w:t>②检测室建设合同。</w:t>
            </w:r>
          </w:p>
          <w:p w14:paraId="36240AAB">
            <w:pPr>
              <w:rPr>
                <w:rFonts w:ascii="宋体" w:hAnsi="宋体" w:cs="宋体"/>
                <w:sz w:val="21"/>
                <w:szCs w:val="21"/>
              </w:rPr>
            </w:pPr>
            <w:r>
              <w:rPr>
                <w:rFonts w:hint="eastAsia" w:ascii="宋体" w:hAnsi="宋体" w:cs="宋体"/>
                <w:sz w:val="21"/>
                <w:szCs w:val="21"/>
              </w:rPr>
              <w:t>2、自有或租赁仪器的证明文件，需同时提供：</w:t>
            </w:r>
          </w:p>
          <w:p w14:paraId="507EC3FD">
            <w:pPr>
              <w:rPr>
                <w:rFonts w:ascii="宋体" w:hAnsi="宋体" w:cs="宋体"/>
                <w:sz w:val="21"/>
                <w:szCs w:val="21"/>
              </w:rPr>
            </w:pPr>
            <w:r>
              <w:rPr>
                <w:rFonts w:hint="eastAsia" w:ascii="宋体" w:hAnsi="宋体" w:cs="宋体"/>
                <w:sz w:val="21"/>
                <w:szCs w:val="21"/>
              </w:rPr>
              <w:t>①若为自有仪器的，提供以投标人名称为抬头的仪器购置发票(若抬头非投标供应商名称，则需同时提供公对公银行转账截图)；若为租赁仪器的，需提供租赁合同及租金发票（或付款凭证）。</w:t>
            </w:r>
          </w:p>
          <w:p w14:paraId="4DE9BB1A">
            <w:pPr>
              <w:rPr>
                <w:rFonts w:ascii="宋体" w:hAnsi="宋体" w:cs="宋体"/>
                <w:sz w:val="21"/>
                <w:szCs w:val="21"/>
              </w:rPr>
            </w:pPr>
            <w:r>
              <w:rPr>
                <w:rFonts w:hint="eastAsia" w:ascii="宋体" w:hAnsi="宋体" w:cs="宋体"/>
                <w:sz w:val="21"/>
                <w:szCs w:val="21"/>
              </w:rPr>
              <w:t>②检测设备照片。</w:t>
            </w:r>
          </w:p>
          <w:p w14:paraId="5C5AB262">
            <w:pPr>
              <w:rPr>
                <w:rFonts w:ascii="宋体" w:hAnsi="宋体" w:cs="宋体"/>
                <w:sz w:val="21"/>
                <w:szCs w:val="21"/>
              </w:rPr>
            </w:pPr>
            <w:r>
              <w:rPr>
                <w:rFonts w:hint="eastAsia" w:ascii="宋体" w:hAnsi="宋体" w:cs="宋体"/>
                <w:sz w:val="21"/>
                <w:szCs w:val="21"/>
              </w:rPr>
              <w:t>③同时满足多项检测功能的设备（同一设备具备多种检测功能的仪器）以及第5项仪器（多功能食品安全综合分析检测仪）的，</w:t>
            </w:r>
            <w:r>
              <w:rPr>
                <w:rFonts w:hint="eastAsia" w:ascii="宋体" w:hAnsi="宋体" w:cs="宋体"/>
                <w:kern w:val="0"/>
                <w:sz w:val="21"/>
                <w:szCs w:val="21"/>
              </w:rPr>
              <w:t>需提供说明书扫描件或相关证明材料证明功能能满足对应检测仪的功能</w:t>
            </w:r>
            <w:r>
              <w:rPr>
                <w:rFonts w:hint="eastAsia" w:ascii="宋体" w:hAnsi="宋体" w:cs="宋体"/>
                <w:sz w:val="21"/>
                <w:szCs w:val="21"/>
              </w:rPr>
              <w:t>。</w:t>
            </w:r>
          </w:p>
          <w:p w14:paraId="37E324CD">
            <w:pPr>
              <w:rPr>
                <w:rFonts w:ascii="宋体" w:hAnsi="宋体" w:cs="宋体"/>
                <w:color w:val="auto"/>
                <w:szCs w:val="21"/>
                <w:highlight w:val="none"/>
              </w:rPr>
            </w:pPr>
            <w:r>
              <w:rPr>
                <w:rFonts w:hint="eastAsia" w:ascii="宋体" w:hAnsi="宋体" w:cs="宋体"/>
                <w:sz w:val="21"/>
                <w:szCs w:val="21"/>
              </w:rPr>
              <w:t>以上文件原件备查，评分中出现无证明资料或者专家无法凭所提供资料判断是否得分的情况，一律做不得分处理。</w:t>
            </w:r>
          </w:p>
        </w:tc>
      </w:tr>
      <w:tr w14:paraId="225C4B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center"/>
          </w:tcPr>
          <w:p w14:paraId="78725DF6">
            <w:pPr>
              <w:rPr>
                <w:rFonts w:ascii="宋体" w:hAnsi="宋体" w:cs="宋体"/>
                <w:b/>
                <w:bCs/>
                <w:color w:val="0000FF"/>
                <w:sz w:val="24"/>
                <w:highlight w:val="none"/>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57EE802A">
            <w:pPr>
              <w:wordWrap w:val="0"/>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8</w:t>
            </w:r>
          </w:p>
        </w:tc>
        <w:tc>
          <w:tcPr>
            <w:tcW w:w="1720" w:type="dxa"/>
            <w:tcBorders>
              <w:top w:val="single" w:color="000000" w:sz="8" w:space="0"/>
              <w:left w:val="single" w:color="000000" w:sz="8" w:space="0"/>
              <w:bottom w:val="single" w:color="000000" w:sz="8" w:space="0"/>
              <w:right w:val="single" w:color="000000" w:sz="8" w:space="0"/>
            </w:tcBorders>
            <w:vAlign w:val="center"/>
          </w:tcPr>
          <w:p w14:paraId="1C30644E">
            <w:pPr>
              <w:jc w:val="center"/>
              <w:rPr>
                <w:rFonts w:hint="eastAsia" w:cs="宋体"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lang w:val="zh-CN"/>
              </w:rPr>
              <w:t>食品安全保险</w:t>
            </w:r>
          </w:p>
        </w:tc>
        <w:tc>
          <w:tcPr>
            <w:tcW w:w="656" w:type="dxa"/>
            <w:tcBorders>
              <w:top w:val="single" w:color="000000" w:sz="8" w:space="0"/>
              <w:left w:val="single" w:color="000000" w:sz="8" w:space="0"/>
              <w:bottom w:val="single" w:color="000000" w:sz="8" w:space="0"/>
              <w:right w:val="single" w:color="000000" w:sz="8" w:space="0"/>
            </w:tcBorders>
            <w:vAlign w:val="center"/>
          </w:tcPr>
          <w:p w14:paraId="7142361A">
            <w:pPr>
              <w:jc w:val="center"/>
              <w:rPr>
                <w:rFonts w:hint="eastAsia" w:cs="宋体" w:asciiTheme="minorEastAsia" w:hAnsiTheme="minorEastAsia" w:eastAsiaTheme="minorEastAsia"/>
                <w:kern w:val="0"/>
                <w:szCs w:val="21"/>
                <w:highlight w:val="none"/>
                <w:lang w:val="en-US" w:eastAsia="zh-CN"/>
              </w:rPr>
            </w:pPr>
            <w:r>
              <w:rPr>
                <w:rFonts w:hint="eastAsia" w:asciiTheme="minorEastAsia" w:hAnsiTheme="minorEastAsia" w:eastAsiaTheme="minorEastAsia"/>
                <w:kern w:val="0"/>
                <w:szCs w:val="21"/>
                <w:highlight w:val="none"/>
                <w:lang w:val="en-US" w:eastAsia="zh-CN"/>
              </w:rPr>
              <w:t>5</w:t>
            </w:r>
          </w:p>
        </w:tc>
        <w:tc>
          <w:tcPr>
            <w:tcW w:w="5602" w:type="dxa"/>
            <w:tcBorders>
              <w:top w:val="single" w:color="000000" w:sz="8" w:space="0"/>
              <w:left w:val="single" w:color="000000" w:sz="8" w:space="0"/>
              <w:bottom w:val="single" w:color="000000" w:sz="8" w:space="0"/>
              <w:right w:val="single" w:color="000000" w:sz="8" w:space="0"/>
            </w:tcBorders>
            <w:vAlign w:val="center"/>
          </w:tcPr>
          <w:p w14:paraId="216506C0">
            <w:pPr>
              <w:rPr>
                <w:b/>
                <w:bCs/>
                <w:color w:val="auto"/>
                <w:highlight w:val="none"/>
              </w:rPr>
            </w:pPr>
            <w:r>
              <w:rPr>
                <w:rFonts w:hint="eastAsia"/>
                <w:b/>
                <w:bCs/>
                <w:color w:val="auto"/>
                <w:highlight w:val="none"/>
              </w:rPr>
              <w:t>（一）评分内容：</w:t>
            </w:r>
          </w:p>
          <w:p w14:paraId="4DA6F27A">
            <w:pPr>
              <w:pStyle w:val="204"/>
              <w:spacing w:before="61" w:line="233" w:lineRule="auto"/>
              <w:ind w:right="101"/>
              <w:rPr>
                <w:rFonts w:hint="eastAsia"/>
                <w:spacing w:val="-1"/>
                <w:sz w:val="21"/>
                <w:szCs w:val="21"/>
                <w:lang w:eastAsia="zh-CN"/>
              </w:rPr>
            </w:pPr>
            <w:r>
              <w:rPr>
                <w:rFonts w:hint="eastAsia"/>
                <w:spacing w:val="-1"/>
                <w:sz w:val="21"/>
                <w:szCs w:val="21"/>
                <w:lang w:eastAsia="zh-CN"/>
              </w:rPr>
              <w:t>1、投标人购买相关食品安全责任险【保险购买时间在本项目投标截止日之前，且投标截止日包含在保险合同（或保险单）的保险期间内】：</w:t>
            </w:r>
          </w:p>
          <w:p w14:paraId="3A88D077">
            <w:pPr>
              <w:pStyle w:val="204"/>
              <w:spacing w:before="61" w:line="233" w:lineRule="auto"/>
              <w:ind w:right="101"/>
              <w:rPr>
                <w:rFonts w:hint="eastAsia"/>
                <w:spacing w:val="-1"/>
                <w:sz w:val="21"/>
                <w:szCs w:val="21"/>
                <w:lang w:eastAsia="zh-CN"/>
              </w:rPr>
            </w:pPr>
            <w:r>
              <w:rPr>
                <w:rFonts w:hint="eastAsia"/>
                <w:spacing w:val="-1"/>
                <w:sz w:val="21"/>
                <w:szCs w:val="21"/>
                <w:lang w:eastAsia="zh-CN"/>
              </w:rPr>
              <w:t>（1）投保金额</w:t>
            </w:r>
            <w:r>
              <w:rPr>
                <w:rFonts w:hint="eastAsia"/>
                <w:sz w:val="21"/>
                <w:szCs w:val="21"/>
                <w:lang w:eastAsia="zh-CN"/>
              </w:rPr>
              <w:t>≥</w:t>
            </w:r>
            <w:r>
              <w:rPr>
                <w:rFonts w:hint="eastAsia"/>
                <w:spacing w:val="-1"/>
                <w:sz w:val="21"/>
                <w:szCs w:val="21"/>
                <w:lang w:eastAsia="zh-CN"/>
              </w:rPr>
              <w:t>2亿元，得50分；</w:t>
            </w:r>
          </w:p>
          <w:p w14:paraId="08F53205">
            <w:pPr>
              <w:pStyle w:val="204"/>
              <w:spacing w:before="61" w:line="233" w:lineRule="auto"/>
              <w:ind w:right="101"/>
              <w:rPr>
                <w:rFonts w:hint="eastAsia"/>
                <w:spacing w:val="-1"/>
                <w:sz w:val="21"/>
                <w:szCs w:val="21"/>
                <w:lang w:eastAsia="zh-CN"/>
              </w:rPr>
            </w:pPr>
            <w:r>
              <w:rPr>
                <w:rFonts w:hint="eastAsia"/>
                <w:spacing w:val="-1"/>
                <w:sz w:val="21"/>
                <w:szCs w:val="21"/>
                <w:lang w:eastAsia="zh-CN"/>
              </w:rPr>
              <w:t>（2）1亿元</w:t>
            </w:r>
            <w:r>
              <w:rPr>
                <w:rFonts w:hint="eastAsia"/>
                <w:sz w:val="21"/>
                <w:szCs w:val="21"/>
                <w:lang w:eastAsia="zh-CN"/>
              </w:rPr>
              <w:t>≤</w:t>
            </w:r>
            <w:r>
              <w:rPr>
                <w:rFonts w:hint="eastAsia"/>
                <w:spacing w:val="-1"/>
                <w:sz w:val="21"/>
                <w:szCs w:val="21"/>
                <w:lang w:eastAsia="zh-CN"/>
              </w:rPr>
              <w:t>投保金额＜2亿元，得30分；</w:t>
            </w:r>
          </w:p>
          <w:p w14:paraId="7EE97599">
            <w:pPr>
              <w:pStyle w:val="204"/>
              <w:spacing w:before="61" w:line="233" w:lineRule="auto"/>
              <w:ind w:right="101"/>
              <w:rPr>
                <w:rFonts w:hint="eastAsia"/>
                <w:spacing w:val="-1"/>
                <w:sz w:val="21"/>
                <w:szCs w:val="21"/>
                <w:lang w:eastAsia="zh-CN"/>
              </w:rPr>
            </w:pPr>
            <w:r>
              <w:rPr>
                <w:rFonts w:hint="eastAsia"/>
                <w:spacing w:val="-1"/>
                <w:sz w:val="21"/>
                <w:szCs w:val="21"/>
                <w:lang w:eastAsia="zh-CN"/>
              </w:rPr>
              <w:t>（3）5000万元</w:t>
            </w:r>
            <w:r>
              <w:rPr>
                <w:rFonts w:hint="eastAsia"/>
                <w:sz w:val="21"/>
                <w:szCs w:val="21"/>
                <w:lang w:eastAsia="zh-CN"/>
              </w:rPr>
              <w:t>≤</w:t>
            </w:r>
            <w:r>
              <w:rPr>
                <w:rFonts w:hint="eastAsia"/>
                <w:spacing w:val="-1"/>
                <w:sz w:val="21"/>
                <w:szCs w:val="21"/>
                <w:lang w:eastAsia="zh-CN"/>
              </w:rPr>
              <w:t>投保金额＜1亿元，得20分；</w:t>
            </w:r>
          </w:p>
          <w:p w14:paraId="5CF17765">
            <w:pPr>
              <w:pStyle w:val="204"/>
              <w:spacing w:before="61" w:line="233" w:lineRule="auto"/>
              <w:ind w:right="101"/>
              <w:rPr>
                <w:rFonts w:hint="eastAsia"/>
                <w:spacing w:val="-1"/>
                <w:sz w:val="21"/>
                <w:szCs w:val="21"/>
                <w:lang w:eastAsia="zh-CN"/>
              </w:rPr>
            </w:pPr>
            <w:r>
              <w:rPr>
                <w:rFonts w:hint="eastAsia"/>
                <w:spacing w:val="-1"/>
                <w:sz w:val="21"/>
                <w:szCs w:val="21"/>
                <w:lang w:eastAsia="zh-CN"/>
              </w:rPr>
              <w:t>（4）3000万元</w:t>
            </w:r>
            <w:r>
              <w:rPr>
                <w:rFonts w:hint="eastAsia"/>
                <w:sz w:val="21"/>
                <w:szCs w:val="21"/>
                <w:lang w:eastAsia="zh-CN"/>
              </w:rPr>
              <w:t>≤</w:t>
            </w:r>
            <w:r>
              <w:rPr>
                <w:rFonts w:hint="eastAsia"/>
                <w:spacing w:val="-1"/>
                <w:sz w:val="21"/>
                <w:szCs w:val="21"/>
                <w:lang w:eastAsia="zh-CN"/>
              </w:rPr>
              <w:t>投保金额＜5000万元，得1</w:t>
            </w:r>
            <w:r>
              <w:rPr>
                <w:rFonts w:hint="eastAsia"/>
                <w:spacing w:val="-1"/>
                <w:sz w:val="21"/>
                <w:szCs w:val="21"/>
                <w:lang w:val="en-US" w:eastAsia="zh-CN"/>
              </w:rPr>
              <w:t>0</w:t>
            </w:r>
            <w:r>
              <w:rPr>
                <w:rFonts w:hint="eastAsia"/>
                <w:spacing w:val="-1"/>
                <w:sz w:val="21"/>
                <w:szCs w:val="21"/>
                <w:lang w:eastAsia="zh-CN"/>
              </w:rPr>
              <w:t>分；</w:t>
            </w:r>
          </w:p>
          <w:p w14:paraId="423F36AC">
            <w:pPr>
              <w:pStyle w:val="204"/>
              <w:spacing w:before="61" w:line="233" w:lineRule="auto"/>
              <w:ind w:right="101"/>
              <w:rPr>
                <w:rFonts w:hint="eastAsia"/>
                <w:spacing w:val="-1"/>
                <w:sz w:val="21"/>
                <w:szCs w:val="21"/>
                <w:lang w:eastAsia="zh-CN"/>
              </w:rPr>
            </w:pPr>
            <w:r>
              <w:rPr>
                <w:rFonts w:hint="eastAsia"/>
                <w:spacing w:val="-1"/>
                <w:sz w:val="21"/>
                <w:szCs w:val="21"/>
                <w:lang w:eastAsia="zh-CN"/>
              </w:rPr>
              <w:t>（5）投保金额＜3000万元，不得分。</w:t>
            </w:r>
          </w:p>
          <w:p w14:paraId="28B58116">
            <w:pPr>
              <w:widowControl/>
              <w:wordWrap w:val="0"/>
              <w:rPr>
                <w:rFonts w:hint="eastAsia" w:ascii="宋体" w:hAnsi="宋体" w:cs="宋体"/>
                <w:spacing w:val="-1"/>
                <w:sz w:val="21"/>
                <w:szCs w:val="21"/>
              </w:rPr>
            </w:pPr>
            <w:r>
              <w:rPr>
                <w:rFonts w:hint="eastAsia" w:ascii="宋体" w:hAnsi="宋体" w:cs="宋体"/>
                <w:sz w:val="21"/>
                <w:szCs w:val="21"/>
              </w:rPr>
              <w:t>以上不累计得分，本小项最高得50分。</w:t>
            </w:r>
          </w:p>
          <w:p w14:paraId="12F72FD3">
            <w:pPr>
              <w:pStyle w:val="204"/>
              <w:spacing w:before="61" w:line="233" w:lineRule="auto"/>
              <w:ind w:right="101"/>
              <w:rPr>
                <w:rFonts w:hint="eastAsia"/>
                <w:spacing w:val="-1"/>
                <w:sz w:val="21"/>
                <w:szCs w:val="21"/>
                <w:lang w:eastAsia="zh-CN"/>
              </w:rPr>
            </w:pPr>
            <w:r>
              <w:rPr>
                <w:rFonts w:hint="eastAsia"/>
                <w:spacing w:val="-1"/>
                <w:sz w:val="21"/>
                <w:szCs w:val="21"/>
                <w:lang w:eastAsia="zh-CN"/>
              </w:rPr>
              <w:t>2、投标人购买相关公众责任险【保险购买时间在本项目投标截止日之前，且投标截止日包含在保险合同（或保险单）的保险期间内】：</w:t>
            </w:r>
          </w:p>
          <w:p w14:paraId="47FCBC00">
            <w:pPr>
              <w:pStyle w:val="204"/>
              <w:spacing w:before="61" w:line="233" w:lineRule="auto"/>
              <w:ind w:right="101"/>
              <w:rPr>
                <w:rFonts w:hint="eastAsia"/>
                <w:spacing w:val="-1"/>
                <w:sz w:val="21"/>
                <w:szCs w:val="21"/>
                <w:lang w:eastAsia="zh-CN"/>
              </w:rPr>
            </w:pPr>
            <w:r>
              <w:rPr>
                <w:rFonts w:hint="eastAsia"/>
                <w:spacing w:val="-1"/>
                <w:sz w:val="21"/>
                <w:szCs w:val="21"/>
                <w:lang w:eastAsia="zh-CN"/>
              </w:rPr>
              <w:t>（1）投保金额</w:t>
            </w:r>
            <w:r>
              <w:rPr>
                <w:rFonts w:hint="eastAsia"/>
                <w:sz w:val="21"/>
                <w:szCs w:val="21"/>
                <w:lang w:eastAsia="zh-CN"/>
              </w:rPr>
              <w:t>≥</w:t>
            </w:r>
            <w:r>
              <w:rPr>
                <w:rFonts w:hint="eastAsia"/>
                <w:spacing w:val="-1"/>
                <w:sz w:val="21"/>
                <w:szCs w:val="21"/>
                <w:lang w:eastAsia="zh-CN"/>
              </w:rPr>
              <w:t>1亿元，得50分；</w:t>
            </w:r>
          </w:p>
          <w:p w14:paraId="744C2BDE">
            <w:pPr>
              <w:pStyle w:val="204"/>
              <w:spacing w:before="61" w:line="233" w:lineRule="auto"/>
              <w:ind w:right="101"/>
              <w:rPr>
                <w:rFonts w:hint="eastAsia"/>
                <w:spacing w:val="-1"/>
                <w:sz w:val="21"/>
                <w:szCs w:val="21"/>
                <w:lang w:eastAsia="zh-CN"/>
              </w:rPr>
            </w:pPr>
            <w:r>
              <w:rPr>
                <w:rFonts w:hint="eastAsia"/>
                <w:spacing w:val="-1"/>
                <w:sz w:val="21"/>
                <w:szCs w:val="21"/>
                <w:lang w:eastAsia="zh-CN"/>
              </w:rPr>
              <w:t>（2）8000万元</w:t>
            </w:r>
            <w:r>
              <w:rPr>
                <w:rFonts w:hint="eastAsia"/>
                <w:sz w:val="21"/>
                <w:szCs w:val="21"/>
                <w:lang w:eastAsia="zh-CN"/>
              </w:rPr>
              <w:t>≤</w:t>
            </w:r>
            <w:r>
              <w:rPr>
                <w:rFonts w:hint="eastAsia"/>
                <w:spacing w:val="-1"/>
                <w:sz w:val="21"/>
                <w:szCs w:val="21"/>
                <w:lang w:eastAsia="zh-CN"/>
              </w:rPr>
              <w:t>投保金额＜1亿元，得30分；</w:t>
            </w:r>
          </w:p>
          <w:p w14:paraId="73E90894">
            <w:pPr>
              <w:pStyle w:val="204"/>
              <w:spacing w:before="61" w:line="233" w:lineRule="auto"/>
              <w:ind w:right="101"/>
              <w:rPr>
                <w:rFonts w:hint="eastAsia"/>
                <w:spacing w:val="-1"/>
                <w:sz w:val="21"/>
                <w:szCs w:val="21"/>
                <w:lang w:eastAsia="zh-CN"/>
              </w:rPr>
            </w:pPr>
            <w:r>
              <w:rPr>
                <w:rFonts w:hint="eastAsia"/>
                <w:spacing w:val="-1"/>
                <w:sz w:val="21"/>
                <w:szCs w:val="21"/>
                <w:lang w:eastAsia="zh-CN"/>
              </w:rPr>
              <w:t>（3）5000万元</w:t>
            </w:r>
            <w:r>
              <w:rPr>
                <w:rFonts w:hint="eastAsia"/>
                <w:sz w:val="21"/>
                <w:szCs w:val="21"/>
                <w:lang w:eastAsia="zh-CN"/>
              </w:rPr>
              <w:t>≤</w:t>
            </w:r>
            <w:r>
              <w:rPr>
                <w:rFonts w:hint="eastAsia"/>
                <w:spacing w:val="-1"/>
                <w:sz w:val="21"/>
                <w:szCs w:val="21"/>
                <w:lang w:eastAsia="zh-CN"/>
              </w:rPr>
              <w:t>投保金额＜8000万元，得</w:t>
            </w:r>
            <w:r>
              <w:rPr>
                <w:rFonts w:hint="eastAsia"/>
                <w:spacing w:val="-1"/>
                <w:sz w:val="21"/>
                <w:szCs w:val="21"/>
                <w:lang w:val="en-US" w:eastAsia="zh-CN"/>
              </w:rPr>
              <w:t>20</w:t>
            </w:r>
            <w:r>
              <w:rPr>
                <w:rFonts w:hint="eastAsia"/>
                <w:spacing w:val="-1"/>
                <w:sz w:val="21"/>
                <w:szCs w:val="21"/>
                <w:lang w:eastAsia="zh-CN"/>
              </w:rPr>
              <w:t>分；</w:t>
            </w:r>
          </w:p>
          <w:p w14:paraId="0257EFAD">
            <w:pPr>
              <w:pStyle w:val="204"/>
              <w:spacing w:before="61" w:line="233" w:lineRule="auto"/>
              <w:ind w:right="101"/>
              <w:rPr>
                <w:rFonts w:hint="eastAsia"/>
                <w:spacing w:val="-1"/>
                <w:sz w:val="21"/>
                <w:szCs w:val="21"/>
                <w:lang w:eastAsia="zh-CN"/>
              </w:rPr>
            </w:pPr>
            <w:r>
              <w:rPr>
                <w:rFonts w:hint="eastAsia"/>
                <w:spacing w:val="-1"/>
                <w:sz w:val="21"/>
                <w:szCs w:val="21"/>
                <w:lang w:eastAsia="zh-CN"/>
              </w:rPr>
              <w:t>（</w:t>
            </w:r>
            <w:r>
              <w:rPr>
                <w:rFonts w:hint="eastAsia"/>
                <w:spacing w:val="-1"/>
                <w:sz w:val="21"/>
                <w:szCs w:val="21"/>
                <w:lang w:val="en-US" w:eastAsia="zh-CN"/>
              </w:rPr>
              <w:t>4</w:t>
            </w:r>
            <w:r>
              <w:rPr>
                <w:rFonts w:hint="eastAsia"/>
                <w:spacing w:val="-1"/>
                <w:sz w:val="21"/>
                <w:szCs w:val="21"/>
                <w:lang w:eastAsia="zh-CN"/>
              </w:rPr>
              <w:t>）</w:t>
            </w:r>
            <w:r>
              <w:rPr>
                <w:rFonts w:hint="eastAsia"/>
                <w:spacing w:val="-1"/>
                <w:sz w:val="21"/>
                <w:szCs w:val="21"/>
                <w:lang w:val="en-US" w:eastAsia="zh-CN"/>
              </w:rPr>
              <w:t>2</w:t>
            </w:r>
            <w:r>
              <w:rPr>
                <w:rFonts w:hint="eastAsia"/>
                <w:spacing w:val="-1"/>
                <w:sz w:val="21"/>
                <w:szCs w:val="21"/>
                <w:lang w:eastAsia="zh-CN"/>
              </w:rPr>
              <w:t>000万元</w:t>
            </w:r>
            <w:r>
              <w:rPr>
                <w:rFonts w:hint="eastAsia"/>
                <w:sz w:val="21"/>
                <w:szCs w:val="21"/>
                <w:lang w:eastAsia="zh-CN"/>
              </w:rPr>
              <w:t>≤</w:t>
            </w:r>
            <w:r>
              <w:rPr>
                <w:rFonts w:hint="eastAsia"/>
                <w:spacing w:val="-1"/>
                <w:sz w:val="21"/>
                <w:szCs w:val="21"/>
                <w:lang w:eastAsia="zh-CN"/>
              </w:rPr>
              <w:t>投保金额＜</w:t>
            </w:r>
            <w:r>
              <w:rPr>
                <w:rFonts w:hint="eastAsia"/>
                <w:spacing w:val="-1"/>
                <w:sz w:val="21"/>
                <w:szCs w:val="21"/>
                <w:lang w:val="en-US" w:eastAsia="zh-CN"/>
              </w:rPr>
              <w:t>5</w:t>
            </w:r>
            <w:r>
              <w:rPr>
                <w:rFonts w:hint="eastAsia"/>
                <w:spacing w:val="-1"/>
                <w:sz w:val="21"/>
                <w:szCs w:val="21"/>
                <w:lang w:eastAsia="zh-CN"/>
              </w:rPr>
              <w:t>000万元，得</w:t>
            </w:r>
            <w:r>
              <w:rPr>
                <w:rFonts w:hint="eastAsia"/>
                <w:spacing w:val="-1"/>
                <w:sz w:val="21"/>
                <w:szCs w:val="21"/>
                <w:lang w:val="en-US" w:eastAsia="zh-CN"/>
              </w:rPr>
              <w:t>10</w:t>
            </w:r>
            <w:r>
              <w:rPr>
                <w:rFonts w:hint="eastAsia"/>
                <w:spacing w:val="-1"/>
                <w:sz w:val="21"/>
                <w:szCs w:val="21"/>
                <w:lang w:eastAsia="zh-CN"/>
              </w:rPr>
              <w:t>分；</w:t>
            </w:r>
          </w:p>
          <w:p w14:paraId="01100C72">
            <w:pPr>
              <w:pStyle w:val="204"/>
              <w:spacing w:before="61" w:line="233" w:lineRule="auto"/>
              <w:ind w:right="101"/>
              <w:rPr>
                <w:rFonts w:hint="eastAsia"/>
                <w:spacing w:val="-1"/>
                <w:sz w:val="21"/>
                <w:szCs w:val="21"/>
                <w:lang w:eastAsia="zh-CN"/>
              </w:rPr>
            </w:pPr>
            <w:r>
              <w:rPr>
                <w:rFonts w:hint="eastAsia"/>
                <w:spacing w:val="-1"/>
                <w:sz w:val="21"/>
                <w:szCs w:val="21"/>
                <w:lang w:eastAsia="zh-CN"/>
              </w:rPr>
              <w:t>（5）投保金额＜2000万元，不得分。</w:t>
            </w:r>
          </w:p>
          <w:p w14:paraId="101E0CF4">
            <w:pPr>
              <w:pStyle w:val="204"/>
              <w:spacing w:before="61" w:line="233" w:lineRule="auto"/>
              <w:ind w:right="101"/>
              <w:rPr>
                <w:rFonts w:hint="eastAsia"/>
                <w:sz w:val="21"/>
                <w:szCs w:val="21"/>
                <w:lang w:eastAsia="zh-CN"/>
              </w:rPr>
            </w:pPr>
            <w:r>
              <w:rPr>
                <w:rFonts w:hint="eastAsia"/>
                <w:sz w:val="21"/>
                <w:szCs w:val="21"/>
                <w:lang w:eastAsia="zh-CN"/>
              </w:rPr>
              <w:t>以上不累计得分，本小项最高得50分。</w:t>
            </w:r>
          </w:p>
          <w:p w14:paraId="23E08A82">
            <w:pPr>
              <w:rPr>
                <w:color w:val="auto"/>
                <w:highlight w:val="none"/>
              </w:rPr>
            </w:pPr>
            <w:r>
              <w:rPr>
                <w:rFonts w:hint="eastAsia"/>
                <w:spacing w:val="-1"/>
                <w:sz w:val="21"/>
                <w:szCs w:val="21"/>
                <w:lang w:eastAsia="zh-CN"/>
              </w:rPr>
              <w:t>以上两大项累计得分，最高得100分。</w:t>
            </w:r>
            <w:r>
              <w:rPr>
                <w:rFonts w:hint="eastAsia"/>
                <w:sz w:val="21"/>
                <w:szCs w:val="21"/>
                <w:lang w:eastAsia="zh-CN"/>
              </w:rPr>
              <w:t>提供多个保险投保金额可累计计算。</w:t>
            </w:r>
          </w:p>
          <w:p w14:paraId="64DB0FD4">
            <w:pPr>
              <w:rPr>
                <w:b/>
                <w:bCs/>
                <w:color w:val="auto"/>
                <w:highlight w:val="none"/>
              </w:rPr>
            </w:pPr>
            <w:r>
              <w:rPr>
                <w:rFonts w:hint="eastAsia"/>
                <w:b/>
                <w:bCs/>
                <w:color w:val="auto"/>
                <w:highlight w:val="none"/>
              </w:rPr>
              <w:t>（二）评分依据：</w:t>
            </w:r>
          </w:p>
          <w:p w14:paraId="44B92D35">
            <w:pPr>
              <w:pStyle w:val="204"/>
              <w:spacing w:before="61" w:line="233" w:lineRule="auto"/>
              <w:ind w:right="101"/>
              <w:rPr>
                <w:rFonts w:hint="eastAsia"/>
                <w:spacing w:val="-1"/>
                <w:sz w:val="21"/>
                <w:szCs w:val="21"/>
                <w:lang w:eastAsia="zh-CN"/>
              </w:rPr>
            </w:pPr>
            <w:r>
              <w:rPr>
                <w:rFonts w:hint="eastAsia"/>
                <w:spacing w:val="-1"/>
                <w:sz w:val="21"/>
                <w:szCs w:val="21"/>
                <w:lang w:eastAsia="zh-CN"/>
              </w:rPr>
              <w:t>1.提供</w:t>
            </w:r>
            <w:r>
              <w:rPr>
                <w:rFonts w:hint="eastAsia"/>
                <w:sz w:val="21"/>
                <w:szCs w:val="21"/>
                <w:lang w:eastAsia="zh-CN"/>
              </w:rPr>
              <w:t>保险合同或保险单关键页（包括投标人、投保内容、保额），有效期须涵盖本项目投标截止日期。</w:t>
            </w:r>
          </w:p>
          <w:p w14:paraId="4A332E63">
            <w:pPr>
              <w:rPr>
                <w:rFonts w:hint="eastAsia"/>
                <w:color w:val="auto"/>
                <w:highlight w:val="none"/>
              </w:rPr>
            </w:pPr>
            <w:r>
              <w:rPr>
                <w:rFonts w:hint="eastAsia" w:ascii="宋体" w:hAnsi="宋体" w:cs="宋体"/>
                <w:spacing w:val="-1"/>
                <w:sz w:val="21"/>
                <w:szCs w:val="21"/>
              </w:rPr>
              <w:t>2.原件备查，评分中出现无证明资料或者专家无法凭所提供资料判断是否得分的情况，一律做不得分处理。</w:t>
            </w:r>
          </w:p>
        </w:tc>
      </w:tr>
      <w:tr w14:paraId="7842C7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center"/>
          </w:tcPr>
          <w:p w14:paraId="52E59BC1">
            <w:pPr>
              <w:rPr>
                <w:rFonts w:ascii="宋体" w:hAnsi="宋体" w:cs="宋体"/>
                <w:b/>
                <w:bCs/>
                <w:color w:val="0000FF"/>
                <w:sz w:val="24"/>
                <w:highlight w:val="none"/>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3CE48AD5">
            <w:pPr>
              <w:wordWrap w:val="0"/>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9</w:t>
            </w:r>
          </w:p>
        </w:tc>
        <w:tc>
          <w:tcPr>
            <w:tcW w:w="1720" w:type="dxa"/>
            <w:tcBorders>
              <w:top w:val="single" w:color="000000" w:sz="8" w:space="0"/>
              <w:left w:val="single" w:color="000000" w:sz="8" w:space="0"/>
              <w:bottom w:val="single" w:color="000000" w:sz="8" w:space="0"/>
              <w:right w:val="single" w:color="000000" w:sz="8" w:space="0"/>
            </w:tcBorders>
            <w:vAlign w:val="center"/>
          </w:tcPr>
          <w:p w14:paraId="6A51AE04">
            <w:pPr>
              <w:jc w:val="center"/>
              <w:rPr>
                <w:rFonts w:hint="eastAsia" w:asciiTheme="minorEastAsia" w:hAnsiTheme="minorEastAsia" w:eastAsiaTheme="minorEastAsia"/>
                <w:kern w:val="0"/>
                <w:szCs w:val="21"/>
                <w:highlight w:val="none"/>
                <w:lang w:val="zh-CN"/>
              </w:rPr>
            </w:pPr>
            <w:r>
              <w:rPr>
                <w:rFonts w:hint="eastAsia" w:cs="宋体" w:asciiTheme="minorEastAsia" w:hAnsiTheme="minorEastAsia" w:eastAsiaTheme="minorEastAsia"/>
                <w:kern w:val="0"/>
                <w:szCs w:val="21"/>
                <w:highlight w:val="none"/>
              </w:rPr>
              <w:t>拟投入本项目的车辆</w:t>
            </w:r>
          </w:p>
        </w:tc>
        <w:tc>
          <w:tcPr>
            <w:tcW w:w="656" w:type="dxa"/>
            <w:tcBorders>
              <w:top w:val="single" w:color="000000" w:sz="8" w:space="0"/>
              <w:left w:val="single" w:color="000000" w:sz="8" w:space="0"/>
              <w:bottom w:val="single" w:color="000000" w:sz="8" w:space="0"/>
              <w:right w:val="single" w:color="000000" w:sz="8" w:space="0"/>
            </w:tcBorders>
            <w:vAlign w:val="center"/>
          </w:tcPr>
          <w:p w14:paraId="7603376C">
            <w:pPr>
              <w:jc w:val="center"/>
              <w:rPr>
                <w:rFonts w:hint="eastAsia" w:asciiTheme="minorEastAsia" w:hAnsiTheme="minorEastAsia" w:eastAsiaTheme="minorEastAsia"/>
                <w:kern w:val="0"/>
                <w:szCs w:val="21"/>
                <w:highlight w:val="none"/>
                <w:lang w:val="en-US" w:eastAsia="zh-CN"/>
              </w:rPr>
            </w:pPr>
            <w:r>
              <w:rPr>
                <w:rFonts w:hint="eastAsia" w:asciiTheme="minorEastAsia" w:hAnsiTheme="minorEastAsia" w:eastAsiaTheme="minorEastAsia"/>
                <w:kern w:val="0"/>
                <w:szCs w:val="21"/>
                <w:highlight w:val="none"/>
                <w:lang w:val="en-US" w:eastAsia="zh-CN"/>
              </w:rPr>
              <w:t>5</w:t>
            </w:r>
          </w:p>
        </w:tc>
        <w:tc>
          <w:tcPr>
            <w:tcW w:w="5602" w:type="dxa"/>
            <w:tcBorders>
              <w:top w:val="single" w:color="000000" w:sz="8" w:space="0"/>
              <w:left w:val="single" w:color="000000" w:sz="8" w:space="0"/>
              <w:bottom w:val="single" w:color="000000" w:sz="8" w:space="0"/>
              <w:right w:val="single" w:color="000000" w:sz="8" w:space="0"/>
            </w:tcBorders>
            <w:vAlign w:val="center"/>
          </w:tcPr>
          <w:p w14:paraId="0343F4E8">
            <w:pPr>
              <w:rPr>
                <w:b/>
                <w:bCs/>
                <w:color w:val="auto"/>
                <w:highlight w:val="none"/>
              </w:rPr>
            </w:pPr>
            <w:r>
              <w:rPr>
                <w:rFonts w:hint="eastAsia"/>
                <w:b/>
                <w:bCs/>
                <w:color w:val="auto"/>
                <w:highlight w:val="none"/>
              </w:rPr>
              <w:t>（一）评分内容：</w:t>
            </w:r>
          </w:p>
          <w:p w14:paraId="48955679">
            <w:pPr>
              <w:rPr>
                <w:color w:val="auto"/>
                <w:highlight w:val="none"/>
              </w:rPr>
            </w:pPr>
            <w:r>
              <w:rPr>
                <w:rFonts w:hint="eastAsia"/>
                <w:color w:val="auto"/>
                <w:highlight w:val="none"/>
              </w:rPr>
              <w:t>投标人拟投入本项目自有或租赁的冷藏（或冷冻）车辆，每辆得</w:t>
            </w:r>
            <w:r>
              <w:rPr>
                <w:rFonts w:hint="eastAsia"/>
                <w:color w:val="auto"/>
                <w:highlight w:val="none"/>
                <w:lang w:val="en-US" w:eastAsia="zh-CN"/>
              </w:rPr>
              <w:t>50</w:t>
            </w:r>
            <w:r>
              <w:rPr>
                <w:rFonts w:hint="eastAsia"/>
                <w:color w:val="auto"/>
                <w:highlight w:val="none"/>
              </w:rPr>
              <w:t>分，最高得</w:t>
            </w:r>
            <w:r>
              <w:rPr>
                <w:rFonts w:hint="eastAsia"/>
                <w:color w:val="auto"/>
                <w:highlight w:val="none"/>
                <w:lang w:val="en-US" w:eastAsia="zh-CN"/>
              </w:rPr>
              <w:t>100</w:t>
            </w:r>
            <w:r>
              <w:rPr>
                <w:rFonts w:hint="eastAsia"/>
                <w:color w:val="auto"/>
                <w:highlight w:val="none"/>
              </w:rPr>
              <w:t>分。</w:t>
            </w:r>
          </w:p>
          <w:p w14:paraId="2C6D5504">
            <w:pPr>
              <w:rPr>
                <w:b/>
                <w:bCs/>
                <w:color w:val="auto"/>
                <w:highlight w:val="none"/>
              </w:rPr>
            </w:pPr>
            <w:r>
              <w:rPr>
                <w:rFonts w:hint="eastAsia"/>
                <w:b/>
                <w:bCs/>
                <w:color w:val="auto"/>
                <w:highlight w:val="none"/>
              </w:rPr>
              <w:t>（二）评分依据：</w:t>
            </w:r>
          </w:p>
          <w:p w14:paraId="54EB5977">
            <w:pPr>
              <w:rPr>
                <w:rFonts w:hint="eastAsia" w:ascii="宋体" w:hAnsi="宋体" w:cs="宋体"/>
                <w:sz w:val="21"/>
                <w:szCs w:val="21"/>
              </w:rPr>
            </w:pPr>
            <w:r>
              <w:rPr>
                <w:rFonts w:hint="eastAsia" w:ascii="宋体" w:hAnsi="宋体" w:cs="宋体"/>
                <w:sz w:val="21"/>
                <w:szCs w:val="21"/>
              </w:rPr>
              <w:t>1、自有的同时提供①有效期内的车辆《机动车行驶证》（年审在有效期内，行驶证登记的所有人须为投标人）；②车头完整正面图片（含车牌号码）。</w:t>
            </w:r>
          </w:p>
          <w:p w14:paraId="2603A4C8">
            <w:pPr>
              <w:rPr>
                <w:rFonts w:hint="eastAsia" w:ascii="宋体" w:hAnsi="宋体" w:cs="宋体"/>
                <w:sz w:val="21"/>
                <w:szCs w:val="21"/>
              </w:rPr>
            </w:pPr>
            <w:r>
              <w:rPr>
                <w:rFonts w:hint="eastAsia" w:ascii="宋体" w:hAnsi="宋体" w:cs="宋体"/>
                <w:sz w:val="21"/>
                <w:szCs w:val="21"/>
              </w:rPr>
              <w:t>2、租赁的同时提供①提供车辆有效期内租赁合同；②车头完整正面图片（含车牌号码）；③有效期内的车辆《机动车行驶证》（年审在有效期内，行驶证登记的所有人须为出租人）或出租方的车辆购置发票。④近一年任意一次租金发票及银行转账凭证（付款人须为投标人，收款人须为租赁合同中的出租人）。</w:t>
            </w:r>
          </w:p>
          <w:p w14:paraId="5399A57A">
            <w:pPr>
              <w:rPr>
                <w:rFonts w:hint="eastAsia"/>
                <w:color w:val="auto"/>
                <w:highlight w:val="none"/>
              </w:rPr>
            </w:pPr>
            <w:r>
              <w:rPr>
                <w:rFonts w:hint="eastAsia" w:ascii="宋体" w:hAnsi="宋体" w:cs="宋体"/>
                <w:b w:val="0"/>
                <w:bCs w:val="0"/>
                <w:szCs w:val="21"/>
              </w:rPr>
              <w:t>3、以上文件原件备查，评分中出现无证明资料或者专家无法凭所提供资料判断是否得分的情况，一律做不得分处理。</w:t>
            </w:r>
          </w:p>
        </w:tc>
      </w:tr>
      <w:tr w14:paraId="719A43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center"/>
          </w:tcPr>
          <w:p w14:paraId="0826B953">
            <w:pPr>
              <w:rPr>
                <w:rFonts w:ascii="宋体" w:hAnsi="宋体" w:cs="宋体"/>
                <w:b/>
                <w:bCs/>
                <w:color w:val="0000FF"/>
                <w:sz w:val="24"/>
                <w:highlight w:val="none"/>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0CC21648">
            <w:pPr>
              <w:wordWrap w:val="0"/>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10</w:t>
            </w:r>
          </w:p>
        </w:tc>
        <w:tc>
          <w:tcPr>
            <w:tcW w:w="172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831BDA6">
            <w:pPr>
              <w:spacing w:line="320" w:lineRule="exact"/>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lang w:val="zh-CN"/>
                <w14:textFill>
                  <w14:solidFill>
                    <w14:schemeClr w14:val="tx1"/>
                  </w14:solidFill>
                </w14:textFill>
              </w:rPr>
              <w:t>拟</w:t>
            </w:r>
            <w:r>
              <w:rPr>
                <w:rFonts w:hint="eastAsia" w:ascii="宋体" w:hAnsi="宋体"/>
                <w:color w:val="000000" w:themeColor="text1"/>
                <w14:textFill>
                  <w14:solidFill>
                    <w14:schemeClr w14:val="tx1"/>
                  </w14:solidFill>
                </w14:textFill>
              </w:rPr>
              <w:t>安排</w:t>
            </w:r>
            <w:r>
              <w:rPr>
                <w:rFonts w:hint="eastAsia" w:ascii="宋体" w:hAnsi="宋体"/>
                <w:color w:val="000000" w:themeColor="text1"/>
                <w:lang w:val="zh-CN"/>
                <w14:textFill>
                  <w14:solidFill>
                    <w14:schemeClr w14:val="tx1"/>
                  </w14:solidFill>
                </w14:textFill>
              </w:rPr>
              <w:t>本项目负责人（限</w:t>
            </w:r>
            <w:r>
              <w:rPr>
                <w:rFonts w:eastAsia="Times New Roman"/>
                <w:color w:val="000000" w:themeColor="text1"/>
                <w14:textFill>
                  <w14:solidFill>
                    <w14:schemeClr w14:val="tx1"/>
                  </w14:solidFill>
                </w14:textFill>
              </w:rPr>
              <w:t>1</w:t>
            </w:r>
            <w:r>
              <w:rPr>
                <w:rFonts w:hint="eastAsia" w:ascii="宋体" w:hAnsi="宋体"/>
                <w:color w:val="000000" w:themeColor="text1"/>
                <w:lang w:val="zh-CN"/>
                <w14:textFill>
                  <w14:solidFill>
                    <w14:schemeClr w14:val="tx1"/>
                  </w14:solidFill>
                </w14:textFill>
              </w:rPr>
              <w:t>人）</w:t>
            </w:r>
          </w:p>
        </w:tc>
        <w:tc>
          <w:tcPr>
            <w:tcW w:w="65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1173E13">
            <w:pPr>
              <w:spacing w:line="320" w:lineRule="exact"/>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5</w:t>
            </w:r>
          </w:p>
        </w:tc>
        <w:tc>
          <w:tcPr>
            <w:tcW w:w="560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3889921">
            <w:pPr>
              <w:rPr>
                <w:b/>
                <w:bCs/>
                <w:color w:val="auto"/>
                <w:highlight w:val="none"/>
              </w:rPr>
            </w:pPr>
            <w:r>
              <w:rPr>
                <w:rFonts w:hint="eastAsia"/>
                <w:b/>
                <w:bCs/>
                <w:color w:val="auto"/>
                <w:highlight w:val="none"/>
              </w:rPr>
              <w:t>（一）评分内容：</w:t>
            </w:r>
          </w:p>
          <w:p w14:paraId="647782A4">
            <w:pPr>
              <w:rPr>
                <w:rFonts w:ascii="宋体" w:hAnsi="宋体"/>
                <w:color w:val="auto"/>
              </w:rPr>
            </w:pPr>
            <w:r>
              <w:rPr>
                <w:rFonts w:hint="eastAsia" w:ascii="宋体" w:hAnsi="宋体"/>
                <w:color w:val="auto"/>
                <w:lang w:val="zh-CN"/>
              </w:rPr>
              <w:t>投标人拟</w:t>
            </w:r>
            <w:r>
              <w:rPr>
                <w:rFonts w:hint="eastAsia" w:ascii="宋体" w:hAnsi="宋体"/>
                <w:color w:val="auto"/>
              </w:rPr>
              <w:t>安排</w:t>
            </w:r>
            <w:r>
              <w:rPr>
                <w:rFonts w:hint="eastAsia" w:ascii="宋体" w:hAnsi="宋体"/>
                <w:color w:val="auto"/>
                <w:lang w:val="zh-CN"/>
              </w:rPr>
              <w:t>本项目负责人（</w:t>
            </w:r>
            <w:r>
              <w:rPr>
                <w:rFonts w:hint="eastAsia" w:ascii="宋体" w:hAnsi="宋体"/>
                <w:color w:val="auto"/>
              </w:rPr>
              <w:t>仅</w:t>
            </w:r>
            <w:r>
              <w:rPr>
                <w:rFonts w:hint="eastAsia" w:ascii="宋体" w:hAnsi="宋体"/>
                <w:color w:val="auto"/>
                <w:lang w:val="zh-CN"/>
              </w:rPr>
              <w:t>限</w:t>
            </w:r>
            <w:r>
              <w:rPr>
                <w:rFonts w:ascii="宋体" w:hAnsi="宋体"/>
                <w:color w:val="auto"/>
              </w:rPr>
              <w:t>1</w:t>
            </w:r>
            <w:r>
              <w:rPr>
                <w:rFonts w:hint="eastAsia" w:ascii="宋体" w:hAnsi="宋体"/>
                <w:color w:val="auto"/>
                <w:lang w:val="zh-CN"/>
              </w:rPr>
              <w:t>人），</w:t>
            </w:r>
            <w:r>
              <w:rPr>
                <w:rFonts w:ascii="宋体" w:hAnsi="宋体"/>
                <w:color w:val="auto"/>
              </w:rPr>
              <w:t>须为投标人</w:t>
            </w:r>
            <w:r>
              <w:rPr>
                <w:rFonts w:hint="eastAsia" w:ascii="宋体" w:hAnsi="宋体"/>
                <w:color w:val="auto"/>
                <w:lang w:val="en-US" w:eastAsia="zh-CN"/>
              </w:rPr>
              <w:t>自有</w:t>
            </w:r>
            <w:r>
              <w:rPr>
                <w:rFonts w:ascii="宋体" w:hAnsi="宋体"/>
                <w:color w:val="auto"/>
              </w:rPr>
              <w:t>员工</w:t>
            </w:r>
            <w:r>
              <w:rPr>
                <w:rFonts w:hint="eastAsia" w:ascii="宋体" w:hAnsi="宋体"/>
                <w:color w:val="auto"/>
                <w:lang w:eastAsia="zh-CN"/>
              </w:rPr>
              <w:t>（</w:t>
            </w:r>
            <w:r>
              <w:rPr>
                <w:rFonts w:hint="eastAsia" w:ascii="宋体" w:hAnsi="宋体"/>
                <w:color w:val="auto"/>
                <w:lang w:val="en-US" w:eastAsia="zh-CN"/>
              </w:rPr>
              <w:t>以社保证明为准），在此基础上</w:t>
            </w:r>
            <w:r>
              <w:rPr>
                <w:rFonts w:hint="eastAsia" w:ascii="宋体" w:hAnsi="宋体"/>
                <w:color w:val="auto"/>
                <w:lang w:val="zh-CN"/>
              </w:rPr>
              <w:t>：</w:t>
            </w:r>
          </w:p>
          <w:p w14:paraId="783B5A3B">
            <w:pPr>
              <w:rPr>
                <w:rFonts w:ascii="宋体" w:hAnsi="宋体"/>
                <w:color w:val="auto"/>
                <w:lang w:val="zh-CN"/>
              </w:rPr>
            </w:pPr>
            <w:r>
              <w:rPr>
                <w:rFonts w:hint="eastAsia" w:ascii="宋体" w:hAnsi="宋体"/>
                <w:color w:val="auto"/>
                <w:lang w:val="en-US" w:eastAsia="zh-CN"/>
              </w:rPr>
              <w:t>1、</w:t>
            </w:r>
            <w:r>
              <w:rPr>
                <w:rFonts w:hint="eastAsia" w:ascii="宋体" w:hAnsi="宋体"/>
                <w:color w:val="auto"/>
                <w:lang w:val="zh-CN"/>
              </w:rPr>
              <w:t>具有食品药品监督管理部门（或市场监督管理部门）颁发的食品安全管理人员考试（</w:t>
            </w:r>
            <w:r>
              <w:rPr>
                <w:rFonts w:hint="eastAsia" w:ascii="宋体" w:hAnsi="宋体"/>
                <w:color w:val="auto"/>
              </w:rPr>
              <w:t>或培训</w:t>
            </w:r>
            <w:r>
              <w:rPr>
                <w:rFonts w:hint="eastAsia" w:ascii="宋体" w:hAnsi="宋体"/>
                <w:color w:val="auto"/>
                <w:lang w:val="zh-CN"/>
              </w:rPr>
              <w:t>）合格证</w:t>
            </w:r>
            <w:r>
              <w:rPr>
                <w:rFonts w:hint="eastAsia" w:ascii="宋体" w:hAnsi="宋体"/>
                <w:color w:val="auto"/>
              </w:rPr>
              <w:t>明</w:t>
            </w:r>
            <w:r>
              <w:rPr>
                <w:rFonts w:hint="eastAsia" w:ascii="宋体" w:hAnsi="宋体"/>
                <w:color w:val="auto"/>
                <w:lang w:val="zh-CN"/>
              </w:rPr>
              <w:t>，且等级为高级得</w:t>
            </w:r>
            <w:r>
              <w:rPr>
                <w:rFonts w:hint="eastAsia" w:ascii="宋体" w:hAnsi="宋体"/>
                <w:color w:val="auto"/>
                <w:lang w:val="en-US" w:eastAsia="zh-CN"/>
              </w:rPr>
              <w:t>4</w:t>
            </w:r>
            <w:r>
              <w:rPr>
                <w:rFonts w:hint="eastAsia" w:ascii="宋体" w:hAnsi="宋体"/>
                <w:color w:val="auto"/>
                <w:lang w:val="zh-CN"/>
              </w:rPr>
              <w:t>0</w:t>
            </w:r>
            <w:r>
              <w:rPr>
                <w:rFonts w:hint="eastAsia" w:ascii="宋体" w:hAnsi="宋体"/>
                <w:color w:val="auto"/>
                <w:lang w:val="en-US" w:eastAsia="zh-CN"/>
              </w:rPr>
              <w:t>分</w:t>
            </w:r>
            <w:r>
              <w:rPr>
                <w:rFonts w:hint="eastAsia" w:ascii="宋体" w:hAnsi="宋体"/>
                <w:color w:val="auto"/>
                <w:lang w:val="zh-CN"/>
              </w:rPr>
              <w:t>；</w:t>
            </w:r>
          </w:p>
          <w:p w14:paraId="6F8650F7">
            <w:pPr>
              <w:rPr>
                <w:rFonts w:hint="eastAsia" w:ascii="宋体" w:hAnsi="宋体"/>
                <w:color w:val="auto"/>
                <w:lang w:val="zh-CN"/>
              </w:rPr>
            </w:pPr>
            <w:r>
              <w:rPr>
                <w:rFonts w:hint="eastAsia" w:ascii="宋体" w:hAnsi="宋体"/>
                <w:color w:val="auto"/>
                <w:lang w:val="en-US" w:eastAsia="zh-CN"/>
              </w:rPr>
              <w:t>2、</w:t>
            </w:r>
            <w:r>
              <w:rPr>
                <w:rFonts w:hint="eastAsia" w:ascii="宋体" w:hAnsi="宋体"/>
                <w:color w:val="auto"/>
                <w:lang w:val="zh-CN"/>
              </w:rPr>
              <w:t>具有高级（或三级）</w:t>
            </w:r>
            <w:r>
              <w:rPr>
                <w:rFonts w:hint="eastAsia" w:ascii="宋体" w:hAnsi="宋体"/>
                <w:color w:val="auto"/>
                <w:lang w:val="en-US" w:eastAsia="zh-CN"/>
              </w:rPr>
              <w:t>或</w:t>
            </w:r>
            <w:r>
              <w:rPr>
                <w:rFonts w:hint="eastAsia" w:ascii="宋体" w:hAnsi="宋体"/>
                <w:color w:val="auto"/>
                <w:lang w:val="zh-CN"/>
              </w:rPr>
              <w:t>以上</w:t>
            </w:r>
            <w:r>
              <w:rPr>
                <w:rFonts w:hint="eastAsia" w:ascii="宋体" w:hAnsi="宋体"/>
                <w:color w:val="auto"/>
                <w:lang w:val="en-US" w:eastAsia="zh-CN"/>
              </w:rPr>
              <w:t>公共营养师</w:t>
            </w:r>
            <w:r>
              <w:rPr>
                <w:rFonts w:hint="eastAsia" w:asciiTheme="minorEastAsia" w:hAnsiTheme="minorEastAsia" w:cstheme="minorEastAsia"/>
                <w:bCs/>
                <w:color w:val="auto"/>
                <w:kern w:val="0"/>
                <w:szCs w:val="21"/>
                <w:lang w:val="en-US" w:eastAsia="zh-CN"/>
              </w:rPr>
              <w:t>证书</w:t>
            </w:r>
            <w:r>
              <w:rPr>
                <w:rFonts w:hint="eastAsia" w:ascii="宋体" w:hAnsi="宋体"/>
                <w:color w:val="auto"/>
                <w:lang w:val="zh-CN"/>
              </w:rPr>
              <w:t>得</w:t>
            </w:r>
            <w:r>
              <w:rPr>
                <w:rFonts w:hint="eastAsia" w:ascii="宋体" w:hAnsi="宋体"/>
                <w:color w:val="auto"/>
                <w:lang w:val="en-US" w:eastAsia="zh-CN"/>
              </w:rPr>
              <w:t>3</w:t>
            </w:r>
            <w:r>
              <w:rPr>
                <w:rFonts w:hint="eastAsia" w:ascii="宋体" w:hAnsi="宋体"/>
                <w:color w:val="auto"/>
                <w:lang w:val="zh-CN"/>
              </w:rPr>
              <w:t>0</w:t>
            </w:r>
            <w:r>
              <w:rPr>
                <w:rFonts w:hint="eastAsia" w:ascii="宋体" w:hAnsi="宋体"/>
                <w:color w:val="auto"/>
                <w:lang w:val="en-US" w:eastAsia="zh-CN"/>
              </w:rPr>
              <w:t>分</w:t>
            </w:r>
            <w:r>
              <w:rPr>
                <w:rFonts w:hint="eastAsia" w:ascii="宋体" w:hAnsi="宋体"/>
                <w:color w:val="auto"/>
                <w:lang w:val="zh-CN"/>
              </w:rPr>
              <w:t>；</w:t>
            </w:r>
          </w:p>
          <w:p w14:paraId="4952FE10">
            <w:pPr>
              <w:rPr>
                <w:rFonts w:hint="default" w:ascii="宋体" w:hAnsi="宋体" w:eastAsia="宋体" w:cs="Times New Roman"/>
                <w:color w:val="auto"/>
                <w:lang w:val="en-US" w:eastAsia="zh-CN"/>
              </w:rPr>
            </w:pPr>
            <w:r>
              <w:rPr>
                <w:rFonts w:hint="eastAsia" w:ascii="宋体" w:hAnsi="宋体"/>
                <w:color w:val="auto"/>
                <w:lang w:val="en-US" w:eastAsia="zh-CN"/>
              </w:rPr>
              <w:t>3、</w:t>
            </w:r>
            <w:r>
              <w:rPr>
                <w:rFonts w:hint="eastAsia" w:ascii="宋体" w:hAnsi="宋体"/>
                <w:color w:val="auto"/>
                <w:lang w:val="zh-CN"/>
              </w:rPr>
              <w:t>具有高级（或三级）</w:t>
            </w:r>
            <w:r>
              <w:rPr>
                <w:rFonts w:hint="eastAsia" w:ascii="宋体" w:hAnsi="宋体"/>
                <w:color w:val="auto"/>
                <w:lang w:val="en-US" w:eastAsia="zh-CN"/>
              </w:rPr>
              <w:t>或</w:t>
            </w:r>
            <w:r>
              <w:rPr>
                <w:rFonts w:hint="eastAsia" w:ascii="宋体" w:hAnsi="宋体"/>
                <w:color w:val="auto"/>
                <w:lang w:val="zh-CN"/>
              </w:rPr>
              <w:t>以上</w:t>
            </w:r>
            <w:r>
              <w:rPr>
                <w:rFonts w:hint="eastAsia" w:ascii="宋体" w:hAnsi="宋体"/>
                <w:color w:val="auto"/>
                <w:lang w:val="en-US" w:eastAsia="zh-CN"/>
              </w:rPr>
              <w:t>食品检验工</w:t>
            </w:r>
            <w:r>
              <w:rPr>
                <w:rFonts w:hint="eastAsia" w:asciiTheme="minorEastAsia" w:hAnsiTheme="minorEastAsia" w:cstheme="minorEastAsia"/>
                <w:bCs/>
                <w:color w:val="auto"/>
                <w:kern w:val="0"/>
                <w:szCs w:val="21"/>
                <w:lang w:val="en-US" w:eastAsia="zh-CN"/>
              </w:rPr>
              <w:t>证书</w:t>
            </w:r>
            <w:r>
              <w:rPr>
                <w:rFonts w:hint="eastAsia" w:ascii="宋体" w:hAnsi="宋体" w:eastAsia="宋体" w:cs="Times New Roman"/>
                <w:color w:val="auto"/>
                <w:lang w:val="en-US" w:eastAsia="zh-CN"/>
              </w:rPr>
              <w:t>得30</w:t>
            </w:r>
            <w:r>
              <w:rPr>
                <w:rFonts w:hint="eastAsia" w:ascii="宋体" w:hAnsi="宋体"/>
                <w:color w:val="auto"/>
                <w:lang w:val="en-US" w:eastAsia="zh-CN"/>
              </w:rPr>
              <w:t>分</w:t>
            </w:r>
            <w:r>
              <w:rPr>
                <w:rFonts w:hint="eastAsia" w:ascii="宋体" w:hAnsi="宋体" w:eastAsia="宋体" w:cs="Times New Roman"/>
                <w:color w:val="auto"/>
                <w:lang w:val="en-US" w:eastAsia="zh-CN"/>
              </w:rPr>
              <w:t>；</w:t>
            </w:r>
          </w:p>
          <w:p w14:paraId="77CFD4CA">
            <w:pPr>
              <w:rPr>
                <w:rFonts w:ascii="宋体" w:hAnsi="宋体"/>
                <w:color w:val="auto"/>
                <w:lang w:val="zh-CN"/>
              </w:rPr>
            </w:pPr>
            <w:r>
              <w:rPr>
                <w:rFonts w:hint="eastAsia" w:ascii="宋体" w:hAnsi="宋体" w:cs="宋体"/>
                <w:color w:val="auto"/>
                <w:szCs w:val="21"/>
              </w:rPr>
              <w:t>以上</w:t>
            </w:r>
            <w:r>
              <w:rPr>
                <w:rFonts w:hint="eastAsia" w:ascii="宋体" w:hAnsi="宋体" w:cs="宋体"/>
                <w:color w:val="auto"/>
                <w:szCs w:val="21"/>
                <w:lang w:val="en-US" w:eastAsia="zh-CN"/>
              </w:rPr>
              <w:t>3</w:t>
            </w:r>
            <w:r>
              <w:rPr>
                <w:rFonts w:hint="eastAsia" w:ascii="宋体" w:hAnsi="宋体" w:cs="宋体"/>
                <w:color w:val="auto"/>
                <w:szCs w:val="21"/>
              </w:rPr>
              <w:t>项合计最高得</w:t>
            </w:r>
            <w:r>
              <w:rPr>
                <w:rFonts w:ascii="宋体" w:hAnsi="宋体" w:cs="宋体"/>
                <w:color w:val="auto"/>
                <w:szCs w:val="21"/>
              </w:rPr>
              <w:t>100</w:t>
            </w:r>
            <w:r>
              <w:rPr>
                <w:rFonts w:hint="eastAsia" w:ascii="宋体" w:hAnsi="宋体"/>
                <w:color w:val="auto"/>
                <w:lang w:val="en-US" w:eastAsia="zh-CN"/>
              </w:rPr>
              <w:t>分</w:t>
            </w:r>
            <w:r>
              <w:rPr>
                <w:rFonts w:hint="eastAsia" w:ascii="宋体" w:hAnsi="宋体"/>
                <w:color w:val="auto"/>
              </w:rPr>
              <w:t>。</w:t>
            </w:r>
          </w:p>
          <w:p w14:paraId="5BA36266">
            <w:pPr>
              <w:rPr>
                <w:b/>
                <w:bCs/>
                <w:color w:val="auto"/>
                <w:highlight w:val="none"/>
              </w:rPr>
            </w:pPr>
            <w:r>
              <w:rPr>
                <w:rFonts w:hint="eastAsia"/>
                <w:b/>
                <w:bCs/>
                <w:color w:val="auto"/>
                <w:highlight w:val="none"/>
              </w:rPr>
              <w:t>（二）评分依据：</w:t>
            </w:r>
          </w:p>
          <w:p w14:paraId="7BC5B997">
            <w:pPr>
              <w:snapToGrid w:val="0"/>
              <w:rPr>
                <w:rFonts w:hint="eastAsia" w:ascii="宋体" w:hAnsi="宋体" w:eastAsia="宋体" w:cs="Times New Roman"/>
                <w:color w:val="auto"/>
                <w:szCs w:val="21"/>
                <w:lang w:eastAsia="zh-CN"/>
              </w:rPr>
            </w:pPr>
            <w:r>
              <w:rPr>
                <w:rFonts w:hint="eastAsia" w:ascii="宋体" w:hAnsi="宋体" w:cs="Times New Roman"/>
                <w:color w:val="auto"/>
                <w:szCs w:val="21"/>
                <w:lang w:val="en-US" w:eastAsia="zh-CN"/>
              </w:rPr>
              <w:t>1.</w:t>
            </w:r>
            <w:r>
              <w:rPr>
                <w:rFonts w:hint="eastAsia" w:ascii="宋体" w:hAnsi="宋体" w:eastAsia="宋体" w:cs="Times New Roman"/>
                <w:color w:val="auto"/>
                <w:szCs w:val="21"/>
              </w:rPr>
              <w:t>提供相关证书扫描件,职业</w:t>
            </w:r>
            <w:r>
              <w:rPr>
                <w:rFonts w:hint="eastAsia" w:ascii="宋体" w:hAnsi="宋体" w:eastAsia="宋体" w:cs="Times New Roman"/>
                <w:color w:val="auto"/>
                <w:szCs w:val="21"/>
                <w:lang w:val="en-US" w:eastAsia="zh-CN"/>
              </w:rPr>
              <w:t>资格</w:t>
            </w:r>
            <w:r>
              <w:rPr>
                <w:rFonts w:hint="eastAsia" w:ascii="宋体" w:hAnsi="宋体" w:eastAsia="宋体" w:cs="Times New Roman"/>
                <w:color w:val="auto"/>
                <w:szCs w:val="21"/>
              </w:rPr>
              <w:t>证书需提供该证书技能人才评价证书全国联网查询截图（网址：http://jndj.osta.org.cn/）</w:t>
            </w:r>
            <w:r>
              <w:rPr>
                <w:rFonts w:hint="eastAsia" w:ascii="宋体" w:hAnsi="宋体" w:eastAsia="宋体" w:cs="Times New Roman"/>
                <w:color w:val="auto"/>
                <w:szCs w:val="21"/>
                <w:lang w:eastAsia="zh-CN"/>
              </w:rPr>
              <w:t>。</w:t>
            </w:r>
          </w:p>
          <w:p w14:paraId="7FBA5C28">
            <w:pPr>
              <w:wordWrap w:val="0"/>
              <w:snapToGrid w:val="0"/>
              <w:rPr>
                <w:rFonts w:hint="eastAsia"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提供拟安排的项目负责人投标截止日前1个月投标人为其购买的社保清单扫描件，如开标日上一个月的社保材料因社保部门原因暂时无法取得，则可以往前顺延一个月，如投标人注册成立时间不足1个月的，可提供承诺函（格式自拟）；</w:t>
            </w:r>
          </w:p>
          <w:p w14:paraId="11236C47">
            <w:pPr>
              <w:snapToGrid w:val="0"/>
              <w:rPr>
                <w:rFonts w:hint="eastAsia" w:ascii="宋体" w:hAnsi="宋体" w:eastAsia="宋体" w:cs="Times New Roman"/>
                <w:bCs/>
                <w:color w:val="auto"/>
                <w:kern w:val="2"/>
                <w:sz w:val="21"/>
                <w:szCs w:val="21"/>
                <w:lang w:val="en-US" w:eastAsia="zh-CN" w:bidi="ar-SA"/>
              </w:rPr>
            </w:pPr>
            <w:r>
              <w:rPr>
                <w:rFonts w:hint="eastAsia" w:ascii="宋体" w:hAnsi="宋体"/>
                <w:color w:val="auto"/>
                <w:szCs w:val="21"/>
              </w:rPr>
              <w:t>未按要求提供相关材料或不清晰导致无法判断内容的不得分，原件备查。</w:t>
            </w:r>
          </w:p>
        </w:tc>
      </w:tr>
      <w:tr w14:paraId="63776D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center"/>
          </w:tcPr>
          <w:p w14:paraId="34B0F248">
            <w:pPr>
              <w:rPr>
                <w:rFonts w:ascii="宋体" w:hAnsi="宋体" w:cs="宋体"/>
                <w:b/>
                <w:bCs/>
                <w:color w:val="0000FF"/>
                <w:sz w:val="24"/>
                <w:highlight w:val="none"/>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1A33CA53">
            <w:pPr>
              <w:wordWrap w:val="0"/>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11</w:t>
            </w:r>
          </w:p>
        </w:tc>
        <w:tc>
          <w:tcPr>
            <w:tcW w:w="172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3EA79DD">
            <w:pPr>
              <w:spacing w:line="320" w:lineRule="exact"/>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拟安排本项目的团队成员情况（项目负责人除外）</w:t>
            </w:r>
          </w:p>
        </w:tc>
        <w:tc>
          <w:tcPr>
            <w:tcW w:w="65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FEE9E4D">
            <w:pPr>
              <w:spacing w:line="320" w:lineRule="exact"/>
              <w:jc w:val="center"/>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10</w:t>
            </w:r>
          </w:p>
        </w:tc>
        <w:tc>
          <w:tcPr>
            <w:tcW w:w="560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88809B">
            <w:pPr>
              <w:rPr>
                <w:b/>
                <w:bCs/>
                <w:color w:val="auto"/>
                <w:highlight w:val="none"/>
              </w:rPr>
            </w:pPr>
            <w:r>
              <w:rPr>
                <w:rFonts w:hint="eastAsia"/>
                <w:b/>
                <w:bCs/>
                <w:color w:val="auto"/>
                <w:highlight w:val="none"/>
              </w:rPr>
              <w:t>（一）评分内容：</w:t>
            </w:r>
          </w:p>
          <w:p w14:paraId="71CB7F6D">
            <w:pPr>
              <w:rPr>
                <w:rFonts w:ascii="宋体" w:hAnsi="宋体"/>
                <w:color w:val="auto"/>
              </w:rPr>
            </w:pPr>
            <w:r>
              <w:rPr>
                <w:rFonts w:hint="eastAsia" w:ascii="宋体" w:hAnsi="宋体"/>
                <w:color w:val="auto"/>
                <w:lang w:val="zh-CN"/>
              </w:rPr>
              <w:t>投标人拟</w:t>
            </w:r>
            <w:r>
              <w:rPr>
                <w:rFonts w:hint="eastAsia" w:ascii="宋体" w:hAnsi="宋体"/>
                <w:color w:val="auto"/>
              </w:rPr>
              <w:t>安排</w:t>
            </w:r>
            <w:r>
              <w:rPr>
                <w:rFonts w:hint="eastAsia" w:ascii="宋体" w:hAnsi="宋体"/>
                <w:color w:val="auto"/>
                <w:lang w:val="zh-CN"/>
              </w:rPr>
              <w:t>本项目</w:t>
            </w:r>
            <w:r>
              <w:rPr>
                <w:rFonts w:hint="eastAsia" w:ascii="宋体" w:hAnsi="宋体"/>
                <w:color w:val="auto"/>
              </w:rPr>
              <w:t>的团队成员</w:t>
            </w:r>
            <w:r>
              <w:rPr>
                <w:rFonts w:hint="eastAsia" w:ascii="宋体" w:hAnsi="宋体"/>
                <w:color w:val="auto"/>
                <w:szCs w:val="21"/>
              </w:rPr>
              <w:t>（项目负责人除外）</w:t>
            </w:r>
            <w:r>
              <w:rPr>
                <w:rFonts w:hint="eastAsia" w:ascii="宋体" w:hAnsi="宋体"/>
                <w:color w:val="auto"/>
                <w:lang w:val="zh-CN"/>
              </w:rPr>
              <w:t>，</w:t>
            </w:r>
            <w:r>
              <w:rPr>
                <w:rFonts w:hint="eastAsia" w:ascii="宋体" w:hAnsi="宋体"/>
                <w:color w:val="auto"/>
              </w:rPr>
              <w:t>须为投标人自有员工（以</w:t>
            </w:r>
            <w:r>
              <w:rPr>
                <w:rFonts w:hint="eastAsia" w:ascii="宋体" w:hAnsi="宋体"/>
                <w:color w:val="auto"/>
                <w:lang w:val="en-US" w:eastAsia="zh-CN"/>
              </w:rPr>
              <w:t>社保</w:t>
            </w:r>
            <w:r>
              <w:rPr>
                <w:rFonts w:hint="eastAsia" w:ascii="宋体" w:hAnsi="宋体"/>
                <w:color w:val="auto"/>
              </w:rPr>
              <w:t>证明为准），</w:t>
            </w:r>
            <w:r>
              <w:rPr>
                <w:rFonts w:hint="eastAsia" w:ascii="宋体" w:hAnsi="宋体"/>
                <w:color w:val="auto"/>
                <w:lang w:val="en-US" w:eastAsia="zh-CN"/>
              </w:rPr>
              <w:t>在</w:t>
            </w:r>
            <w:r>
              <w:rPr>
                <w:rFonts w:hint="eastAsia" w:ascii="宋体" w:hAnsi="宋体"/>
                <w:color w:val="auto"/>
              </w:rPr>
              <w:t>此基础上：</w:t>
            </w:r>
          </w:p>
          <w:p w14:paraId="37B228F8">
            <w:pPr>
              <w:rPr>
                <w:rFonts w:ascii="宋体" w:hAnsi="宋体"/>
                <w:color w:val="auto"/>
                <w:lang w:val="zh-CN"/>
              </w:rPr>
            </w:pPr>
            <w:r>
              <w:rPr>
                <w:rFonts w:hint="eastAsia" w:ascii="宋体" w:hAnsi="宋体"/>
                <w:color w:val="auto"/>
                <w:lang w:val="zh-CN"/>
              </w:rPr>
              <w:t>1、具有食品药品监督管理部门（或市场监督管理部门）颁发的食品安全管理人员考试（</w:t>
            </w:r>
            <w:r>
              <w:rPr>
                <w:rFonts w:hint="eastAsia" w:ascii="宋体" w:hAnsi="宋体"/>
                <w:color w:val="auto"/>
              </w:rPr>
              <w:t>或培训</w:t>
            </w:r>
            <w:r>
              <w:rPr>
                <w:rFonts w:hint="eastAsia" w:ascii="宋体" w:hAnsi="宋体"/>
                <w:color w:val="auto"/>
                <w:lang w:val="zh-CN"/>
              </w:rPr>
              <w:t>）合格证</w:t>
            </w:r>
            <w:r>
              <w:rPr>
                <w:rFonts w:hint="eastAsia" w:ascii="宋体" w:hAnsi="宋体"/>
                <w:color w:val="auto"/>
              </w:rPr>
              <w:t>明</w:t>
            </w:r>
            <w:r>
              <w:rPr>
                <w:rFonts w:hint="eastAsia" w:ascii="宋体" w:hAnsi="宋体"/>
                <w:color w:val="auto"/>
                <w:lang w:val="zh-CN"/>
              </w:rPr>
              <w:t>，且等级为高级的，每提供一人得10</w:t>
            </w:r>
            <w:r>
              <w:rPr>
                <w:rFonts w:hint="eastAsia" w:ascii="宋体" w:hAnsi="宋体"/>
                <w:color w:val="auto"/>
                <w:lang w:val="en-US" w:eastAsia="zh-CN"/>
              </w:rPr>
              <w:t>分</w:t>
            </w:r>
            <w:r>
              <w:rPr>
                <w:rFonts w:hint="eastAsia" w:ascii="宋体" w:hAnsi="宋体"/>
                <w:color w:val="auto"/>
                <w:lang w:val="zh-CN"/>
              </w:rPr>
              <w:t>，</w:t>
            </w:r>
            <w:r>
              <w:rPr>
                <w:rFonts w:hint="eastAsia" w:ascii="宋体" w:hAnsi="宋体"/>
                <w:color w:val="auto"/>
              </w:rPr>
              <w:t>本</w:t>
            </w:r>
            <w:r>
              <w:rPr>
                <w:rFonts w:hint="eastAsia" w:ascii="宋体" w:hAnsi="宋体"/>
                <w:color w:val="auto"/>
                <w:lang w:val="zh-CN"/>
              </w:rPr>
              <w:t>项最高得</w:t>
            </w:r>
            <w:r>
              <w:rPr>
                <w:rFonts w:hint="eastAsia" w:ascii="宋体" w:hAnsi="宋体"/>
                <w:color w:val="auto"/>
                <w:lang w:val="en-US" w:eastAsia="zh-CN"/>
              </w:rPr>
              <w:t>4</w:t>
            </w:r>
            <w:r>
              <w:rPr>
                <w:rFonts w:hint="eastAsia" w:ascii="宋体" w:hAnsi="宋体"/>
                <w:color w:val="auto"/>
                <w:lang w:val="zh-CN"/>
              </w:rPr>
              <w:t>0</w:t>
            </w:r>
            <w:r>
              <w:rPr>
                <w:rFonts w:hint="eastAsia" w:ascii="宋体" w:hAnsi="宋体"/>
                <w:color w:val="auto"/>
                <w:lang w:val="en-US" w:eastAsia="zh-CN"/>
              </w:rPr>
              <w:t>分</w:t>
            </w:r>
            <w:r>
              <w:rPr>
                <w:rFonts w:hint="eastAsia" w:ascii="宋体" w:hAnsi="宋体"/>
                <w:color w:val="auto"/>
                <w:lang w:val="zh-CN"/>
              </w:rPr>
              <w:t>；</w:t>
            </w:r>
          </w:p>
          <w:p w14:paraId="1881C20C">
            <w:pPr>
              <w:rPr>
                <w:rFonts w:ascii="宋体" w:hAnsi="宋体"/>
                <w:color w:val="auto"/>
                <w:lang w:val="zh-CN"/>
              </w:rPr>
            </w:pPr>
            <w:r>
              <w:rPr>
                <w:rFonts w:hint="eastAsia" w:ascii="宋体" w:hAnsi="宋体"/>
                <w:color w:val="auto"/>
                <w:lang w:val="zh-CN"/>
              </w:rPr>
              <w:t>2、具有</w:t>
            </w:r>
            <w:r>
              <w:rPr>
                <w:rFonts w:hint="eastAsia" w:ascii="宋体" w:hAnsi="宋体"/>
                <w:color w:val="auto"/>
                <w:lang w:val="en-US" w:eastAsia="zh-CN"/>
              </w:rPr>
              <w:t>食品检验工或</w:t>
            </w:r>
            <w:r>
              <w:rPr>
                <w:rFonts w:hint="eastAsia" w:asciiTheme="minorEastAsia" w:hAnsiTheme="minorEastAsia" w:eastAsiaTheme="minorEastAsia" w:cstheme="minorEastAsia"/>
                <w:bCs/>
                <w:color w:val="auto"/>
                <w:kern w:val="0"/>
                <w:szCs w:val="21"/>
              </w:rPr>
              <w:t>农产品食品检验员</w:t>
            </w:r>
            <w:r>
              <w:rPr>
                <w:rFonts w:hint="eastAsia" w:asciiTheme="minorEastAsia" w:hAnsiTheme="minorEastAsia" w:cstheme="minorEastAsia"/>
                <w:bCs/>
                <w:color w:val="auto"/>
                <w:kern w:val="0"/>
                <w:szCs w:val="21"/>
                <w:lang w:val="en-US" w:eastAsia="zh-CN"/>
              </w:rPr>
              <w:t>证书</w:t>
            </w:r>
            <w:r>
              <w:rPr>
                <w:rFonts w:hint="eastAsia" w:ascii="宋体" w:hAnsi="宋体"/>
                <w:color w:val="auto"/>
                <w:lang w:val="zh-CN"/>
              </w:rPr>
              <w:t>的，每提供一人得</w:t>
            </w:r>
            <w:r>
              <w:rPr>
                <w:rFonts w:hint="eastAsia" w:ascii="宋体" w:hAnsi="宋体"/>
                <w:color w:val="auto"/>
                <w:lang w:val="en-US" w:eastAsia="zh-CN"/>
              </w:rPr>
              <w:t>20分</w:t>
            </w:r>
            <w:r>
              <w:rPr>
                <w:rFonts w:hint="eastAsia" w:ascii="宋体" w:hAnsi="宋体"/>
                <w:color w:val="auto"/>
                <w:lang w:val="zh-CN"/>
              </w:rPr>
              <w:t>，</w:t>
            </w:r>
            <w:r>
              <w:rPr>
                <w:rFonts w:hint="eastAsia" w:ascii="宋体" w:hAnsi="宋体"/>
                <w:color w:val="auto"/>
              </w:rPr>
              <w:t>本</w:t>
            </w:r>
            <w:r>
              <w:rPr>
                <w:rFonts w:hint="eastAsia" w:ascii="宋体" w:hAnsi="宋体"/>
                <w:color w:val="auto"/>
                <w:lang w:val="zh-CN"/>
              </w:rPr>
              <w:t>项最高得</w:t>
            </w:r>
            <w:r>
              <w:rPr>
                <w:rFonts w:hint="eastAsia" w:ascii="宋体" w:hAnsi="宋体"/>
                <w:color w:val="auto"/>
                <w:lang w:val="en-US" w:eastAsia="zh-CN"/>
              </w:rPr>
              <w:t>6</w:t>
            </w:r>
            <w:r>
              <w:rPr>
                <w:rFonts w:hint="eastAsia" w:ascii="宋体" w:hAnsi="宋体"/>
                <w:color w:val="auto"/>
                <w:lang w:val="zh-CN"/>
              </w:rPr>
              <w:t>0</w:t>
            </w:r>
            <w:r>
              <w:rPr>
                <w:rFonts w:hint="eastAsia" w:ascii="宋体" w:hAnsi="宋体"/>
                <w:color w:val="auto"/>
                <w:lang w:val="en-US" w:eastAsia="zh-CN"/>
              </w:rPr>
              <w:t>分</w:t>
            </w:r>
            <w:r>
              <w:rPr>
                <w:rFonts w:hint="eastAsia" w:ascii="宋体" w:hAnsi="宋体"/>
                <w:color w:val="auto"/>
                <w:lang w:val="zh-CN"/>
              </w:rPr>
              <w:t>。</w:t>
            </w:r>
          </w:p>
          <w:p w14:paraId="0722C7F4">
            <w:pPr>
              <w:rPr>
                <w:rFonts w:hint="eastAsia" w:ascii="宋体" w:hAnsi="宋体" w:eastAsia="宋体" w:cs="Times New Roman"/>
                <w:color w:val="auto"/>
                <w:lang w:val="zh-CN"/>
              </w:rPr>
            </w:pPr>
            <w:r>
              <w:rPr>
                <w:rFonts w:hint="eastAsia" w:ascii="宋体" w:hAnsi="宋体" w:eastAsia="宋体" w:cs="Times New Roman"/>
                <w:color w:val="auto"/>
                <w:lang w:val="zh-CN"/>
              </w:rPr>
              <w:t>以上</w:t>
            </w:r>
            <w:r>
              <w:rPr>
                <w:rFonts w:hint="eastAsia" w:ascii="宋体" w:hAnsi="宋体" w:cs="Times New Roman"/>
                <w:color w:val="auto"/>
                <w:lang w:val="en-US" w:eastAsia="zh-CN"/>
              </w:rPr>
              <w:t>2</w:t>
            </w:r>
            <w:r>
              <w:rPr>
                <w:rFonts w:hint="eastAsia" w:ascii="宋体" w:hAnsi="宋体" w:eastAsia="宋体" w:cs="Times New Roman"/>
                <w:color w:val="auto"/>
                <w:lang w:val="zh-CN"/>
              </w:rPr>
              <w:t>项合计最高得100</w:t>
            </w:r>
            <w:r>
              <w:rPr>
                <w:rFonts w:hint="eastAsia" w:ascii="宋体" w:hAnsi="宋体"/>
                <w:color w:val="auto"/>
                <w:lang w:val="en-US" w:eastAsia="zh-CN"/>
              </w:rPr>
              <w:t>分</w:t>
            </w:r>
            <w:r>
              <w:rPr>
                <w:rFonts w:hint="eastAsia" w:ascii="宋体" w:hAnsi="宋体" w:eastAsia="宋体" w:cs="Times New Roman"/>
                <w:color w:val="auto"/>
                <w:lang w:val="zh-CN"/>
              </w:rPr>
              <w:t>。如同一人同时满足1、2项的不重复计分，只能按其中一项最高得分计。</w:t>
            </w:r>
          </w:p>
          <w:p w14:paraId="4DB8E202">
            <w:pPr>
              <w:rPr>
                <w:b/>
                <w:bCs/>
                <w:color w:val="auto"/>
                <w:highlight w:val="none"/>
              </w:rPr>
            </w:pPr>
            <w:r>
              <w:rPr>
                <w:rFonts w:hint="eastAsia"/>
                <w:b/>
                <w:bCs/>
                <w:color w:val="auto"/>
                <w:highlight w:val="none"/>
              </w:rPr>
              <w:t>（二）评分依据：</w:t>
            </w:r>
          </w:p>
          <w:p w14:paraId="08AF490C">
            <w:pPr>
              <w:wordWrap w:val="0"/>
              <w:snapToGrid w:val="0"/>
              <w:rPr>
                <w:rFonts w:hint="eastAsia" w:ascii="宋体" w:hAnsi="宋体" w:cs="宋体"/>
                <w:color w:val="auto"/>
                <w:szCs w:val="21"/>
              </w:rPr>
            </w:pPr>
            <w:r>
              <w:rPr>
                <w:rFonts w:hint="eastAsia" w:ascii="宋体" w:hAnsi="宋体"/>
                <w:color w:val="auto"/>
                <w:szCs w:val="21"/>
                <w:lang w:val="en-US" w:eastAsia="zh-CN"/>
              </w:rPr>
              <w:t>1.</w:t>
            </w:r>
            <w:r>
              <w:rPr>
                <w:rFonts w:hint="eastAsia" w:ascii="宋体" w:hAnsi="宋体"/>
                <w:color w:val="auto"/>
                <w:szCs w:val="21"/>
              </w:rPr>
              <w:t>提供相关证书扫描件,职业</w:t>
            </w:r>
            <w:r>
              <w:rPr>
                <w:rFonts w:hint="eastAsia" w:ascii="宋体" w:hAnsi="宋体"/>
                <w:color w:val="auto"/>
                <w:szCs w:val="21"/>
                <w:lang w:val="en-US" w:eastAsia="zh-CN"/>
              </w:rPr>
              <w:t>资格证书</w:t>
            </w:r>
            <w:r>
              <w:rPr>
                <w:rFonts w:hint="eastAsia" w:ascii="宋体" w:hAnsi="宋体"/>
                <w:color w:val="auto"/>
                <w:szCs w:val="21"/>
              </w:rPr>
              <w:t>需提供该证书技能人才评价证书全国联网查询截图（网址：</w:t>
            </w:r>
            <w:r>
              <w:rPr>
                <w:rFonts w:hint="eastAsia" w:ascii="宋体" w:hAnsi="宋体"/>
                <w:color w:val="auto"/>
                <w:szCs w:val="21"/>
              </w:rPr>
              <w:fldChar w:fldCharType="begin"/>
            </w:r>
            <w:r>
              <w:rPr>
                <w:rFonts w:hint="eastAsia" w:ascii="宋体" w:hAnsi="宋体"/>
                <w:color w:val="auto"/>
                <w:szCs w:val="21"/>
              </w:rPr>
              <w:instrText xml:space="preserve"> HYPERLINK "http://jndj.osta.org.cn/）。" </w:instrText>
            </w:r>
            <w:r>
              <w:rPr>
                <w:rFonts w:hint="eastAsia" w:ascii="宋体" w:hAnsi="宋体"/>
                <w:color w:val="auto"/>
                <w:szCs w:val="21"/>
              </w:rPr>
              <w:fldChar w:fldCharType="separate"/>
            </w:r>
            <w:r>
              <w:rPr>
                <w:rStyle w:val="50"/>
                <w:rFonts w:hint="eastAsia" w:ascii="宋体" w:hAnsi="宋体"/>
                <w:color w:val="auto"/>
                <w:szCs w:val="21"/>
              </w:rPr>
              <w:t>http://jndj.osta.org.cn/）</w:t>
            </w:r>
            <w:r>
              <w:rPr>
                <w:rStyle w:val="50"/>
                <w:rFonts w:hint="eastAsia" w:ascii="宋体" w:hAnsi="宋体" w:cs="宋体"/>
                <w:color w:val="auto"/>
                <w:szCs w:val="21"/>
              </w:rPr>
              <w:t>。</w:t>
            </w:r>
            <w:r>
              <w:rPr>
                <w:rFonts w:hint="eastAsia" w:ascii="宋体" w:hAnsi="宋体"/>
                <w:color w:val="auto"/>
                <w:szCs w:val="21"/>
              </w:rPr>
              <w:fldChar w:fldCharType="end"/>
            </w:r>
          </w:p>
          <w:p w14:paraId="74F1C544">
            <w:pPr>
              <w:wordWrap w:val="0"/>
              <w:snapToGrid w:val="0"/>
              <w:rPr>
                <w:rFonts w:hint="eastAsia" w:ascii="宋体" w:hAnsi="宋体"/>
                <w:color w:val="auto"/>
                <w:szCs w:val="21"/>
              </w:rPr>
            </w:pPr>
            <w:r>
              <w:rPr>
                <w:rFonts w:hint="eastAsia" w:ascii="宋体" w:hAnsi="宋体"/>
                <w:color w:val="auto"/>
                <w:szCs w:val="21"/>
                <w:lang w:val="en-US" w:eastAsia="zh-CN"/>
              </w:rPr>
              <w:t>2.</w:t>
            </w:r>
            <w:r>
              <w:rPr>
                <w:rFonts w:hint="eastAsia"/>
                <w:lang w:val="en-US" w:eastAsia="zh-CN"/>
              </w:rPr>
              <w:t>提供拟安排的团队成员投标截止日前1个月投标人为其购买的社保清单扫描件，如开标日上一个月的社保材料因社保部门原因暂时无法取得，则可以往前顺延一个月，如投标人注册成立时间不足1个月的，可提供承诺函（格式自拟）；</w:t>
            </w:r>
          </w:p>
          <w:p w14:paraId="193EAFBF">
            <w:pPr>
              <w:snapToGrid w:val="0"/>
              <w:rPr>
                <w:rFonts w:hint="eastAsia" w:ascii="宋体" w:hAnsi="宋体" w:eastAsia="宋体" w:cs="Times New Roman"/>
                <w:bCs/>
                <w:color w:val="auto"/>
                <w:kern w:val="2"/>
                <w:sz w:val="21"/>
                <w:szCs w:val="21"/>
                <w:lang w:val="en-US" w:eastAsia="zh-CN" w:bidi="ar-SA"/>
              </w:rPr>
            </w:pPr>
            <w:r>
              <w:rPr>
                <w:rFonts w:hint="eastAsia" w:ascii="宋体" w:hAnsi="宋体"/>
                <w:color w:val="auto"/>
                <w:szCs w:val="21"/>
              </w:rPr>
              <w:t>未按要求提供相关材料或不清晰导致无法判断内容的不得分，原件备查。</w:t>
            </w:r>
          </w:p>
        </w:tc>
      </w:tr>
      <w:tr w14:paraId="64344D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bottom w:val="single" w:color="000000" w:sz="8" w:space="0"/>
              <w:right w:val="single" w:color="000000" w:sz="8" w:space="0"/>
            </w:tcBorders>
            <w:vAlign w:val="center"/>
          </w:tcPr>
          <w:p w14:paraId="6CE52885">
            <w:pPr>
              <w:rPr>
                <w:rFonts w:ascii="宋体" w:hAnsi="宋体" w:cs="宋体"/>
                <w:b/>
                <w:bCs/>
                <w:color w:val="0000FF"/>
                <w:sz w:val="24"/>
                <w:highlight w:val="none"/>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34AB1BD3">
            <w:pPr>
              <w:wordWrap w:val="0"/>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12</w:t>
            </w:r>
          </w:p>
        </w:tc>
        <w:tc>
          <w:tcPr>
            <w:tcW w:w="1720" w:type="dxa"/>
            <w:tcBorders>
              <w:top w:val="single" w:color="000000" w:sz="8" w:space="0"/>
              <w:left w:val="single" w:color="000000" w:sz="8" w:space="0"/>
              <w:bottom w:val="single" w:color="000000" w:sz="8" w:space="0"/>
              <w:right w:val="single" w:color="000000" w:sz="8" w:space="0"/>
            </w:tcBorders>
            <w:vAlign w:val="center"/>
          </w:tcPr>
          <w:p w14:paraId="6499BB50">
            <w:pPr>
              <w:autoSpaceDE w:val="0"/>
              <w:autoSpaceDN w:val="0"/>
              <w:adjustRightInd w:val="0"/>
              <w:spacing w:line="360" w:lineRule="auto"/>
              <w:jc w:val="center"/>
              <w:rPr>
                <w:rFonts w:hint="eastAsia" w:eastAsiaTheme="minorEastAsia"/>
                <w:lang w:eastAsia="zh-CN"/>
              </w:rPr>
            </w:pPr>
            <w:r>
              <w:rPr>
                <w:rFonts w:hint="eastAsia" w:asciiTheme="minorEastAsia" w:hAnsiTheme="minorEastAsia" w:eastAsiaTheme="minorEastAsia"/>
                <w:szCs w:val="21"/>
                <w:highlight w:val="none"/>
              </w:rPr>
              <w:t>检验检测报告</w:t>
            </w:r>
          </w:p>
        </w:tc>
        <w:tc>
          <w:tcPr>
            <w:tcW w:w="656" w:type="dxa"/>
            <w:tcBorders>
              <w:top w:val="single" w:color="000000" w:sz="8" w:space="0"/>
              <w:left w:val="single" w:color="000000" w:sz="8" w:space="0"/>
              <w:bottom w:val="single" w:color="000000" w:sz="8" w:space="0"/>
              <w:right w:val="single" w:color="000000" w:sz="8" w:space="0"/>
            </w:tcBorders>
            <w:vAlign w:val="center"/>
          </w:tcPr>
          <w:p w14:paraId="1ECAD96E">
            <w:pPr>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10</w:t>
            </w:r>
          </w:p>
        </w:tc>
        <w:tc>
          <w:tcPr>
            <w:tcW w:w="5602" w:type="dxa"/>
            <w:tcBorders>
              <w:top w:val="single" w:color="000000" w:sz="8" w:space="0"/>
              <w:left w:val="single" w:color="000000" w:sz="8" w:space="0"/>
              <w:bottom w:val="single" w:color="000000" w:sz="8" w:space="0"/>
              <w:right w:val="single" w:color="000000" w:sz="8" w:space="0"/>
            </w:tcBorders>
            <w:vAlign w:val="center"/>
          </w:tcPr>
          <w:p w14:paraId="24092A20">
            <w:pPr>
              <w:wordWrap w:val="0"/>
              <w:rPr>
                <w:b/>
                <w:bCs/>
                <w:color w:val="auto"/>
                <w:highlight w:val="none"/>
              </w:rPr>
            </w:pPr>
            <w:r>
              <w:rPr>
                <w:rFonts w:hint="eastAsia"/>
                <w:b/>
                <w:bCs/>
                <w:color w:val="auto"/>
                <w:highlight w:val="none"/>
              </w:rPr>
              <w:t>（一）评分内容：</w:t>
            </w:r>
          </w:p>
          <w:p w14:paraId="06767E1A">
            <w:pPr>
              <w:wordWrap w:val="0"/>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投标人提供</w:t>
            </w:r>
            <w:r>
              <w:rPr>
                <w:rFonts w:hint="eastAsia" w:ascii="宋体" w:hAnsi="宋体" w:cs="宋体"/>
                <w:bCs/>
                <w:color w:val="auto"/>
                <w:sz w:val="21"/>
                <w:szCs w:val="21"/>
                <w:highlight w:val="none"/>
                <w:lang w:val="en-US" w:eastAsia="zh-CN"/>
              </w:rPr>
              <w:t>2025年1月至今</w:t>
            </w:r>
            <w:r>
              <w:rPr>
                <w:rFonts w:hint="eastAsia" w:ascii="宋体" w:hAnsi="宋体" w:eastAsia="宋体" w:cs="宋体"/>
                <w:bCs/>
                <w:color w:val="auto"/>
                <w:sz w:val="21"/>
                <w:szCs w:val="21"/>
                <w:highlight w:val="none"/>
                <w:lang w:val="zh-CN"/>
              </w:rPr>
              <w:t>具备 CMA认证资质的第三方检测公司出具的蔬菜类、水果类、水产品类、豆制品类、干货类等检测报告。</w:t>
            </w:r>
          </w:p>
          <w:p w14:paraId="2934E758">
            <w:pPr>
              <w:wordWrap w:val="0"/>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检测项目内容包含但不限于以下内容：</w:t>
            </w:r>
            <w:r>
              <w:rPr>
                <w:rFonts w:hint="eastAsia" w:ascii="宋体" w:hAnsi="宋体" w:eastAsia="宋体" w:cs="宋体"/>
                <w:bCs/>
                <w:color w:val="auto"/>
                <w:sz w:val="21"/>
                <w:szCs w:val="21"/>
                <w:highlight w:val="none"/>
                <w:lang w:val="zh-CN"/>
              </w:rPr>
              <w:br w:type="textWrapping"/>
            </w:r>
            <w:r>
              <w:rPr>
                <w:rFonts w:hint="eastAsia" w:ascii="宋体" w:hAnsi="宋体" w:eastAsia="宋体" w:cs="宋体"/>
                <w:bCs/>
                <w:color w:val="auto"/>
                <w:sz w:val="21"/>
                <w:szCs w:val="21"/>
                <w:highlight w:val="none"/>
                <w:lang w:val="zh-CN"/>
              </w:rPr>
              <w:t>（1）蔬菜类：包含但不限于氧乐果、敌敌畏、甲基异柳磷、乙酰甲胺磷、氟虫腈</w:t>
            </w:r>
            <w:r>
              <w:rPr>
                <w:rFonts w:hint="eastAsia" w:ascii="宋体" w:hAnsi="宋体" w:cs="宋体"/>
                <w:bCs/>
                <w:color w:val="auto"/>
                <w:sz w:val="21"/>
                <w:szCs w:val="21"/>
                <w:highlight w:val="none"/>
                <w:lang w:val="zh-CN"/>
              </w:rPr>
              <w:t>、腐霉利、吡虫啉</w:t>
            </w:r>
            <w:r>
              <w:rPr>
                <w:rFonts w:hint="eastAsia" w:ascii="宋体" w:hAnsi="宋体" w:eastAsia="宋体" w:cs="宋体"/>
                <w:bCs/>
                <w:color w:val="auto"/>
                <w:sz w:val="21"/>
                <w:szCs w:val="21"/>
                <w:highlight w:val="none"/>
                <w:lang w:val="zh-CN"/>
              </w:rPr>
              <w:t>，且检测项目不低于</w:t>
            </w:r>
            <w:r>
              <w:rPr>
                <w:rFonts w:hint="eastAsia" w:ascii="宋体" w:hAnsi="宋体" w:cs="宋体"/>
                <w:bCs/>
                <w:color w:val="auto"/>
                <w:sz w:val="21"/>
                <w:szCs w:val="21"/>
                <w:highlight w:val="none"/>
                <w:lang w:val="en-US" w:eastAsia="zh-CN"/>
              </w:rPr>
              <w:t>10</w:t>
            </w:r>
            <w:r>
              <w:rPr>
                <w:rFonts w:hint="eastAsia" w:ascii="宋体" w:hAnsi="宋体" w:eastAsia="宋体" w:cs="宋体"/>
                <w:bCs/>
                <w:color w:val="auto"/>
                <w:sz w:val="21"/>
                <w:szCs w:val="21"/>
                <w:highlight w:val="none"/>
                <w:lang w:val="zh-CN"/>
              </w:rPr>
              <w:t>项；</w:t>
            </w:r>
          </w:p>
          <w:p w14:paraId="29A501FA">
            <w:pPr>
              <w:wordWrap w:val="0"/>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（2）水果类：包含但不限于氟虫腈、毒死蜱、水胺硫磷、丙溴磷、敌敌畏</w:t>
            </w:r>
            <w:r>
              <w:rPr>
                <w:rFonts w:hint="eastAsia" w:ascii="宋体" w:hAnsi="宋体" w:cs="宋体"/>
                <w:bCs/>
                <w:color w:val="auto"/>
                <w:sz w:val="21"/>
                <w:szCs w:val="21"/>
                <w:highlight w:val="none"/>
                <w:lang w:val="zh-CN"/>
              </w:rPr>
              <w:t>、百菌清、除虫脲</w:t>
            </w:r>
            <w:r>
              <w:rPr>
                <w:rFonts w:hint="eastAsia" w:ascii="宋体" w:hAnsi="宋体" w:eastAsia="宋体" w:cs="宋体"/>
                <w:bCs/>
                <w:color w:val="auto"/>
                <w:sz w:val="21"/>
                <w:szCs w:val="21"/>
                <w:highlight w:val="none"/>
                <w:lang w:val="zh-CN"/>
              </w:rPr>
              <w:t>，且检测项目不低于</w:t>
            </w:r>
            <w:r>
              <w:rPr>
                <w:rFonts w:hint="eastAsia" w:ascii="宋体" w:hAnsi="宋体" w:cs="宋体"/>
                <w:bCs/>
                <w:color w:val="auto"/>
                <w:sz w:val="21"/>
                <w:szCs w:val="21"/>
                <w:highlight w:val="none"/>
                <w:lang w:val="en-US" w:eastAsia="zh-CN"/>
              </w:rPr>
              <w:t>10</w:t>
            </w:r>
            <w:r>
              <w:rPr>
                <w:rFonts w:hint="eastAsia" w:ascii="宋体" w:hAnsi="宋体" w:eastAsia="宋体" w:cs="宋体"/>
                <w:bCs/>
                <w:color w:val="auto"/>
                <w:sz w:val="21"/>
                <w:szCs w:val="21"/>
                <w:highlight w:val="none"/>
                <w:lang w:val="zh-CN"/>
              </w:rPr>
              <w:t>项；</w:t>
            </w:r>
          </w:p>
          <w:p w14:paraId="19326E75">
            <w:pPr>
              <w:wordWrap w:val="0"/>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（3）水产品类：包含但不限于恩诺沙星、氧氟沙星、孔雀石绿、磺胺类（</w:t>
            </w:r>
            <w:r>
              <w:rPr>
                <w:rFonts w:hint="eastAsia" w:ascii="宋体" w:hAnsi="宋体" w:eastAsia="宋体" w:cs="宋体"/>
                <w:bCs/>
                <w:color w:val="auto"/>
                <w:sz w:val="21"/>
                <w:szCs w:val="21"/>
                <w:highlight w:val="none"/>
                <w:lang w:val="en-US" w:eastAsia="zh-CN"/>
              </w:rPr>
              <w:t>总量</w:t>
            </w:r>
            <w:r>
              <w:rPr>
                <w:rFonts w:hint="eastAsia" w:ascii="宋体" w:hAnsi="宋体" w:eastAsia="宋体" w:cs="宋体"/>
                <w:bCs/>
                <w:color w:val="auto"/>
                <w:sz w:val="21"/>
                <w:szCs w:val="21"/>
                <w:highlight w:val="none"/>
                <w:lang w:val="zh-CN"/>
              </w:rPr>
              <w:t>）</w:t>
            </w:r>
            <w:r>
              <w:rPr>
                <w:rFonts w:hint="eastAsia" w:ascii="宋体" w:hAnsi="宋体" w:cs="宋体"/>
                <w:bCs/>
                <w:color w:val="auto"/>
                <w:sz w:val="21"/>
                <w:szCs w:val="21"/>
                <w:highlight w:val="none"/>
                <w:lang w:val="zh-CN"/>
              </w:rPr>
              <w:t>、四环素</w:t>
            </w:r>
            <w:r>
              <w:rPr>
                <w:rFonts w:hint="eastAsia" w:ascii="宋体" w:hAnsi="宋体" w:eastAsia="宋体" w:cs="宋体"/>
                <w:bCs/>
                <w:color w:val="auto"/>
                <w:sz w:val="21"/>
                <w:szCs w:val="21"/>
                <w:highlight w:val="none"/>
                <w:lang w:val="zh-CN"/>
              </w:rPr>
              <w:t>，且检测项目不低于</w:t>
            </w:r>
            <w:r>
              <w:rPr>
                <w:rFonts w:hint="eastAsia" w:ascii="宋体" w:hAnsi="宋体" w:cs="宋体"/>
                <w:bCs/>
                <w:color w:val="auto"/>
                <w:sz w:val="21"/>
                <w:szCs w:val="21"/>
                <w:highlight w:val="none"/>
                <w:lang w:val="en-US" w:eastAsia="zh-CN"/>
              </w:rPr>
              <w:t>10</w:t>
            </w:r>
            <w:r>
              <w:rPr>
                <w:rFonts w:hint="eastAsia" w:ascii="宋体" w:hAnsi="宋体" w:eastAsia="宋体" w:cs="宋体"/>
                <w:bCs/>
                <w:color w:val="auto"/>
                <w:sz w:val="21"/>
                <w:szCs w:val="21"/>
                <w:highlight w:val="none"/>
                <w:lang w:val="zh-CN"/>
              </w:rPr>
              <w:t>项；</w:t>
            </w:r>
          </w:p>
          <w:p w14:paraId="75A21692">
            <w:pPr>
              <w:wordWrap w:val="0"/>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（4）豆制品类：包含但不限于镉、山梨酸及其钾盐、二氧化硫残留量、脱氢乙酸及其钠盐、三氯蔗糖、亚硝酸盐</w:t>
            </w:r>
            <w:r>
              <w:rPr>
                <w:rFonts w:hint="eastAsia" w:ascii="宋体" w:hAnsi="宋体" w:cs="宋体"/>
                <w:bCs/>
                <w:color w:val="auto"/>
                <w:sz w:val="21"/>
                <w:szCs w:val="21"/>
                <w:highlight w:val="none"/>
                <w:lang w:val="zh-CN"/>
              </w:rPr>
              <w:t>、胭脂红</w:t>
            </w:r>
            <w:r>
              <w:rPr>
                <w:rFonts w:hint="eastAsia" w:ascii="宋体" w:hAnsi="宋体" w:eastAsia="宋体" w:cs="宋体"/>
                <w:bCs/>
                <w:color w:val="auto"/>
                <w:sz w:val="21"/>
                <w:szCs w:val="21"/>
                <w:highlight w:val="none"/>
                <w:lang w:val="zh-CN"/>
              </w:rPr>
              <w:t>，且检测项目不低于</w:t>
            </w:r>
            <w:r>
              <w:rPr>
                <w:rFonts w:hint="eastAsia" w:ascii="宋体" w:hAnsi="宋体" w:cs="宋体"/>
                <w:bCs/>
                <w:color w:val="auto"/>
                <w:sz w:val="21"/>
                <w:szCs w:val="21"/>
                <w:highlight w:val="none"/>
                <w:lang w:val="en-US" w:eastAsia="zh-CN"/>
              </w:rPr>
              <w:t>10</w:t>
            </w:r>
            <w:r>
              <w:rPr>
                <w:rFonts w:hint="eastAsia" w:ascii="宋体" w:hAnsi="宋体" w:eastAsia="宋体" w:cs="宋体"/>
                <w:bCs/>
                <w:color w:val="auto"/>
                <w:sz w:val="21"/>
                <w:szCs w:val="21"/>
                <w:highlight w:val="none"/>
                <w:lang w:val="zh-CN"/>
              </w:rPr>
              <w:t>项；</w:t>
            </w:r>
          </w:p>
          <w:p w14:paraId="2FCA2F38">
            <w:pPr>
              <w:wordWrap w:val="0"/>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（5）干货类：包含但不限于铅、糖精钠、二氧化硫残留量、阿斯巴甜、苯甲酸及其钠盐</w:t>
            </w:r>
            <w:r>
              <w:rPr>
                <w:rFonts w:hint="eastAsia" w:ascii="宋体" w:hAnsi="宋体" w:cs="宋体"/>
                <w:bCs/>
                <w:color w:val="auto"/>
                <w:sz w:val="21"/>
                <w:szCs w:val="21"/>
                <w:highlight w:val="none"/>
                <w:lang w:val="zh-CN"/>
              </w:rPr>
              <w:t>、吡虫啉</w:t>
            </w:r>
            <w:r>
              <w:rPr>
                <w:rFonts w:hint="eastAsia" w:ascii="宋体" w:hAnsi="宋体" w:eastAsia="宋体" w:cs="宋体"/>
                <w:bCs/>
                <w:color w:val="auto"/>
                <w:sz w:val="21"/>
                <w:szCs w:val="21"/>
                <w:highlight w:val="none"/>
                <w:lang w:val="zh-CN"/>
              </w:rPr>
              <w:t>，且检测项目不低于</w:t>
            </w:r>
            <w:r>
              <w:rPr>
                <w:rFonts w:hint="eastAsia" w:ascii="宋体" w:hAnsi="宋体" w:cs="宋体"/>
                <w:bCs/>
                <w:color w:val="auto"/>
                <w:sz w:val="21"/>
                <w:szCs w:val="21"/>
                <w:highlight w:val="none"/>
                <w:lang w:val="en-US" w:eastAsia="zh-CN"/>
              </w:rPr>
              <w:t>10</w:t>
            </w:r>
            <w:r>
              <w:rPr>
                <w:rFonts w:hint="eastAsia" w:ascii="宋体" w:hAnsi="宋体" w:eastAsia="宋体" w:cs="宋体"/>
                <w:bCs/>
                <w:color w:val="auto"/>
                <w:sz w:val="21"/>
                <w:szCs w:val="21"/>
                <w:highlight w:val="none"/>
                <w:lang w:val="zh-CN"/>
              </w:rPr>
              <w:t>项。</w:t>
            </w:r>
          </w:p>
          <w:p w14:paraId="45CBF12C">
            <w:pPr>
              <w:wordWrap w:val="0"/>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提供委托单位为投标人的检测报告，</w:t>
            </w:r>
            <w:r>
              <w:rPr>
                <w:rFonts w:hint="eastAsia" w:ascii="宋体" w:hAnsi="宋体" w:cs="宋体"/>
                <w:bCs/>
                <w:color w:val="auto"/>
                <w:sz w:val="21"/>
                <w:szCs w:val="21"/>
                <w:highlight w:val="none"/>
                <w:lang w:val="zh-CN"/>
              </w:rPr>
              <w:t>提供委托单位为投标人的检测报告，每提供一个种类的得</w:t>
            </w:r>
            <w:r>
              <w:rPr>
                <w:rFonts w:hint="eastAsia" w:ascii="宋体" w:hAnsi="宋体" w:cs="宋体"/>
                <w:bCs/>
                <w:color w:val="auto"/>
                <w:sz w:val="21"/>
                <w:szCs w:val="21"/>
                <w:highlight w:val="none"/>
                <w:lang w:val="en-US" w:eastAsia="zh-CN"/>
              </w:rPr>
              <w:t>20</w:t>
            </w:r>
            <w:r>
              <w:rPr>
                <w:rFonts w:hint="eastAsia" w:ascii="宋体" w:hAnsi="宋体" w:cs="宋体"/>
                <w:bCs/>
                <w:color w:val="auto"/>
                <w:sz w:val="21"/>
                <w:szCs w:val="21"/>
                <w:highlight w:val="none"/>
                <w:lang w:val="zh-CN"/>
              </w:rPr>
              <w:t>分，最高得100分。同一种类不重复计分，最高得100分。</w:t>
            </w:r>
          </w:p>
          <w:p w14:paraId="2C6E7676">
            <w:pPr>
              <w:wordWrap w:val="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上述检测报告</w:t>
            </w:r>
            <w:r>
              <w:rPr>
                <w:rFonts w:hint="eastAsia" w:ascii="宋体" w:hAnsi="宋体" w:eastAsia="宋体" w:cs="宋体"/>
                <w:bCs/>
                <w:color w:val="auto"/>
                <w:sz w:val="21"/>
                <w:szCs w:val="21"/>
                <w:highlight w:val="none"/>
                <w:lang w:val="zh-CN"/>
              </w:rPr>
              <w:t>最高得100</w:t>
            </w:r>
            <w:r>
              <w:rPr>
                <w:rFonts w:hint="eastAsia" w:ascii="宋体" w:hAnsi="宋体" w:eastAsia="宋体" w:cs="宋体"/>
                <w:color w:val="auto"/>
                <w:sz w:val="21"/>
                <w:szCs w:val="21"/>
                <w:highlight w:val="none"/>
                <w:lang w:val="en-US" w:eastAsia="zh-CN"/>
              </w:rPr>
              <w:t>分</w:t>
            </w:r>
            <w:r>
              <w:rPr>
                <w:rFonts w:hint="eastAsia" w:ascii="宋体" w:hAnsi="宋体" w:eastAsia="宋体" w:cs="宋体"/>
                <w:bCs/>
                <w:color w:val="auto"/>
                <w:sz w:val="21"/>
                <w:szCs w:val="21"/>
                <w:highlight w:val="none"/>
                <w:lang w:val="zh-CN"/>
              </w:rPr>
              <w:t>。</w:t>
            </w:r>
          </w:p>
          <w:p w14:paraId="5561DE4B">
            <w:pPr>
              <w:wordWrap w:val="0"/>
              <w:rPr>
                <w:b/>
                <w:bCs/>
                <w:color w:val="auto"/>
                <w:highlight w:val="none"/>
              </w:rPr>
            </w:pPr>
            <w:r>
              <w:rPr>
                <w:rFonts w:hint="eastAsia"/>
                <w:b/>
                <w:bCs/>
                <w:color w:val="auto"/>
                <w:highlight w:val="none"/>
              </w:rPr>
              <w:t>（二）评分依据：</w:t>
            </w:r>
          </w:p>
          <w:p w14:paraId="52583043">
            <w:pPr>
              <w:wordWrap w:val="0"/>
              <w:rPr>
                <w:rFonts w:hint="eastAsia" w:ascii="宋体" w:hAnsi="宋体" w:cs="宋体"/>
                <w:color w:val="auto"/>
                <w:sz w:val="21"/>
                <w:szCs w:val="21"/>
                <w:highlight w:val="none"/>
              </w:rPr>
            </w:pPr>
            <w:r>
              <w:rPr>
                <w:rFonts w:hint="eastAsia" w:ascii="宋体" w:hAnsi="宋体" w:cs="宋体"/>
                <w:color w:val="auto"/>
                <w:sz w:val="21"/>
                <w:szCs w:val="21"/>
                <w:highlight w:val="none"/>
              </w:rPr>
              <w:t>1、提供满足要求的检测报告，检验检测报告的委托单位须为投标人；</w:t>
            </w:r>
          </w:p>
          <w:p w14:paraId="36873A72">
            <w:pPr>
              <w:wordWrap w:val="0"/>
              <w:rPr>
                <w:rFonts w:hint="eastAsia" w:ascii="宋体" w:hAnsi="宋体" w:cs="宋体"/>
                <w:color w:val="auto"/>
                <w:sz w:val="21"/>
                <w:szCs w:val="21"/>
                <w:highlight w:val="none"/>
              </w:rPr>
            </w:pPr>
            <w:r>
              <w:rPr>
                <w:rFonts w:hint="eastAsia" w:ascii="宋体" w:hAnsi="宋体" w:cs="宋体"/>
                <w:color w:val="auto"/>
                <w:sz w:val="21"/>
                <w:szCs w:val="21"/>
                <w:highlight w:val="none"/>
              </w:rPr>
              <w:t>2、提供检测报告在检测机构官网或者全国认证认可信息公共服务平台（http://cx.cnca.cn/）的查询截图，且检测报告编号与网站截图的报告编号需一致；</w:t>
            </w:r>
          </w:p>
          <w:p w14:paraId="37C0B054">
            <w:pPr>
              <w:wordWrap w:val="0"/>
              <w:rPr>
                <w:rFonts w:hint="eastAsia"/>
                <w:color w:val="auto"/>
                <w:highlight w:val="none"/>
              </w:rPr>
            </w:pPr>
            <w:r>
              <w:rPr>
                <w:rFonts w:hint="eastAsia" w:ascii="宋体" w:hAnsi="宋体" w:cs="宋体"/>
                <w:color w:val="auto"/>
                <w:sz w:val="21"/>
                <w:szCs w:val="21"/>
                <w:highlight w:val="none"/>
              </w:rPr>
              <w:t>3、以上文件原件备查，评分中出现无证明资料或者专家无法凭所提供资料判断是否得分的情况，一律做不得分处理。</w:t>
            </w:r>
          </w:p>
        </w:tc>
      </w:tr>
      <w:tr w14:paraId="0B8A8F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68" w:hRule="atLeast"/>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0B30DDA4">
            <w:pPr>
              <w:wordWrap w:val="0"/>
              <w:jc w:val="center"/>
              <w:rPr>
                <w:rFonts w:ascii="宋体" w:hAnsi="宋体" w:cs="宋体"/>
                <w:b/>
                <w:bCs/>
                <w:color w:val="0000FF"/>
                <w:sz w:val="24"/>
                <w:highlight w:val="none"/>
              </w:rPr>
            </w:pPr>
            <w:r>
              <w:rPr>
                <w:b/>
                <w:bCs/>
                <w:color w:val="0000FF"/>
                <w:highlight w:val="none"/>
              </w:rPr>
              <w:t>3</w:t>
            </w:r>
          </w:p>
        </w:tc>
        <w:tc>
          <w:tcPr>
            <w:tcW w:w="3056" w:type="dxa"/>
            <w:gridSpan w:val="3"/>
            <w:tcBorders>
              <w:top w:val="single" w:color="000000" w:sz="8" w:space="0"/>
              <w:left w:val="single" w:color="000000" w:sz="8" w:space="0"/>
              <w:bottom w:val="single" w:color="000000" w:sz="8" w:space="0"/>
              <w:right w:val="single" w:color="000000" w:sz="8" w:space="0"/>
            </w:tcBorders>
            <w:vAlign w:val="center"/>
          </w:tcPr>
          <w:p w14:paraId="0B3FE4BF">
            <w:pPr>
              <w:wordWrap w:val="0"/>
              <w:jc w:val="center"/>
              <w:rPr>
                <w:rFonts w:ascii="宋体" w:hAnsi="宋体" w:cs="宋体"/>
                <w:b/>
                <w:bCs/>
                <w:color w:val="0000FF"/>
                <w:sz w:val="24"/>
                <w:highlight w:val="none"/>
              </w:rPr>
            </w:pPr>
            <w:r>
              <w:rPr>
                <w:b/>
                <w:bCs/>
                <w:color w:val="0000FF"/>
                <w:highlight w:val="none"/>
              </w:rPr>
              <w:t>综合实力</w:t>
            </w:r>
          </w:p>
        </w:tc>
        <w:tc>
          <w:tcPr>
            <w:tcW w:w="5602" w:type="dxa"/>
            <w:tcBorders>
              <w:top w:val="single" w:color="000000" w:sz="8" w:space="0"/>
              <w:left w:val="single" w:color="000000" w:sz="8" w:space="0"/>
              <w:bottom w:val="single" w:color="000000" w:sz="8" w:space="0"/>
              <w:right w:val="single" w:color="000000" w:sz="8" w:space="0"/>
            </w:tcBorders>
            <w:vAlign w:val="center"/>
          </w:tcPr>
          <w:p w14:paraId="504B8E6B">
            <w:pPr>
              <w:wordWrap w:val="0"/>
              <w:jc w:val="center"/>
              <w:rPr>
                <w:rFonts w:hint="default" w:ascii="宋体" w:hAnsi="宋体" w:eastAsia="宋体" w:cs="宋体"/>
                <w:b/>
                <w:bCs/>
                <w:color w:val="auto"/>
                <w:sz w:val="24"/>
                <w:highlight w:val="none"/>
                <w:lang w:val="en-US" w:eastAsia="zh-CN"/>
              </w:rPr>
            </w:pPr>
            <w:r>
              <w:rPr>
                <w:rFonts w:hint="eastAsia" w:ascii="宋体" w:hAnsi="宋体" w:cs="宋体"/>
                <w:b/>
                <w:bCs/>
                <w:color w:val="auto"/>
                <w:sz w:val="21"/>
                <w:szCs w:val="21"/>
                <w:highlight w:val="none"/>
                <w:lang w:val="en-US" w:eastAsia="zh-CN"/>
              </w:rPr>
              <w:t>15</w:t>
            </w:r>
          </w:p>
        </w:tc>
      </w:tr>
      <w:tr w14:paraId="56C9CF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714F6AA1">
            <w:pPr>
              <w:rPr>
                <w:rFonts w:ascii="宋体" w:hAnsi="宋体" w:cs="宋体"/>
                <w:b/>
                <w:bCs/>
                <w:color w:val="0000FF"/>
                <w:sz w:val="24"/>
                <w:highlight w:val="none"/>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E74F120">
            <w:pPr>
              <w:wordWrap w:val="0"/>
              <w:jc w:val="center"/>
              <w:rPr>
                <w:rFonts w:ascii="宋体" w:hAnsi="宋体" w:cs="宋体"/>
                <w:szCs w:val="21"/>
                <w:highlight w:val="none"/>
              </w:rPr>
            </w:pPr>
            <w:r>
              <w:rPr>
                <w:szCs w:val="21"/>
                <w:highlight w:val="none"/>
              </w:rPr>
              <w:t>序号</w:t>
            </w:r>
          </w:p>
        </w:tc>
        <w:tc>
          <w:tcPr>
            <w:tcW w:w="172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F6C93E6">
            <w:pPr>
              <w:wordWrap w:val="0"/>
              <w:jc w:val="center"/>
              <w:rPr>
                <w:rFonts w:ascii="宋体" w:hAnsi="宋体" w:cs="宋体"/>
                <w:szCs w:val="21"/>
                <w:highlight w:val="none"/>
              </w:rPr>
            </w:pPr>
            <w:r>
              <w:rPr>
                <w:szCs w:val="21"/>
                <w:highlight w:val="none"/>
              </w:rPr>
              <w:t>评分因素</w:t>
            </w:r>
          </w:p>
        </w:tc>
        <w:tc>
          <w:tcPr>
            <w:tcW w:w="65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F0F9FAD">
            <w:pPr>
              <w:wordWrap w:val="0"/>
              <w:jc w:val="center"/>
              <w:rPr>
                <w:rFonts w:ascii="宋体" w:hAnsi="宋体" w:cs="宋体"/>
                <w:szCs w:val="21"/>
                <w:highlight w:val="none"/>
              </w:rPr>
            </w:pPr>
            <w:r>
              <w:rPr>
                <w:szCs w:val="21"/>
                <w:highlight w:val="none"/>
              </w:rPr>
              <w:t>权重(%)</w:t>
            </w:r>
          </w:p>
        </w:tc>
        <w:tc>
          <w:tcPr>
            <w:tcW w:w="5602"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11F8D1E">
            <w:pPr>
              <w:wordWrap w:val="0"/>
              <w:jc w:val="center"/>
              <w:rPr>
                <w:rFonts w:ascii="宋体" w:hAnsi="宋体" w:cs="宋体"/>
                <w:color w:val="auto"/>
                <w:szCs w:val="21"/>
                <w:highlight w:val="none"/>
              </w:rPr>
            </w:pPr>
            <w:r>
              <w:rPr>
                <w:color w:val="auto"/>
                <w:szCs w:val="21"/>
                <w:highlight w:val="none"/>
              </w:rPr>
              <w:t>评分准则</w:t>
            </w:r>
          </w:p>
        </w:tc>
      </w:tr>
      <w:tr w14:paraId="6D0B69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581C4F66">
            <w:pPr>
              <w:rPr>
                <w:rFonts w:ascii="宋体" w:hAnsi="宋体" w:cs="宋体"/>
                <w:b/>
                <w:bCs/>
                <w:color w:val="0000FF"/>
                <w:sz w:val="24"/>
                <w:highlight w:val="none"/>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51CF659A">
            <w:pPr>
              <w:wordWrap w:val="0"/>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1</w:t>
            </w:r>
          </w:p>
        </w:tc>
        <w:tc>
          <w:tcPr>
            <w:tcW w:w="1720" w:type="dxa"/>
            <w:tcBorders>
              <w:top w:val="single" w:color="000000" w:sz="8" w:space="0"/>
              <w:left w:val="single" w:color="000000" w:sz="8" w:space="0"/>
              <w:bottom w:val="single" w:color="000000" w:sz="8" w:space="0"/>
              <w:right w:val="single" w:color="000000" w:sz="8" w:space="0"/>
            </w:tcBorders>
            <w:vAlign w:val="center"/>
          </w:tcPr>
          <w:p w14:paraId="36B6D60A">
            <w:pPr>
              <w:jc w:val="center"/>
              <w:rPr>
                <w:rFonts w:ascii="宋体" w:hAnsi="宋体" w:cs="宋体"/>
                <w:szCs w:val="21"/>
                <w:highlight w:val="none"/>
              </w:rPr>
            </w:pPr>
            <w:r>
              <w:rPr>
                <w:rFonts w:hint="eastAsia" w:asciiTheme="minorEastAsia" w:hAnsiTheme="minorEastAsia" w:eastAsiaTheme="minorEastAsia"/>
                <w:szCs w:val="21"/>
                <w:highlight w:val="none"/>
              </w:rPr>
              <w:t>投标人通过相关认证情况</w:t>
            </w:r>
          </w:p>
        </w:tc>
        <w:tc>
          <w:tcPr>
            <w:tcW w:w="656" w:type="dxa"/>
            <w:tcBorders>
              <w:top w:val="single" w:color="000000" w:sz="8" w:space="0"/>
              <w:left w:val="single" w:color="000000" w:sz="8" w:space="0"/>
              <w:bottom w:val="single" w:color="000000" w:sz="8" w:space="0"/>
              <w:right w:val="single" w:color="000000" w:sz="8" w:space="0"/>
            </w:tcBorders>
            <w:vAlign w:val="center"/>
          </w:tcPr>
          <w:p w14:paraId="513C0056">
            <w:pPr>
              <w:jc w:val="center"/>
              <w:rPr>
                <w:rFonts w:hint="default" w:ascii="宋体" w:hAnsi="宋体" w:eastAsia="宋体" w:cs="宋体"/>
                <w:szCs w:val="21"/>
                <w:highlight w:val="none"/>
                <w:lang w:val="en-US" w:eastAsia="zh-CN"/>
              </w:rPr>
            </w:pPr>
            <w:r>
              <w:rPr>
                <w:rFonts w:hint="eastAsia" w:asciiTheme="minorEastAsia" w:hAnsiTheme="minorEastAsia" w:eastAsiaTheme="minorEastAsia"/>
                <w:szCs w:val="21"/>
                <w:highlight w:val="none"/>
                <w:lang w:val="en-US" w:eastAsia="zh-CN"/>
              </w:rPr>
              <w:t>5</w:t>
            </w:r>
          </w:p>
        </w:tc>
        <w:tc>
          <w:tcPr>
            <w:tcW w:w="5602" w:type="dxa"/>
            <w:tcBorders>
              <w:top w:val="single" w:color="000000" w:sz="8" w:space="0"/>
              <w:left w:val="single" w:color="000000" w:sz="8" w:space="0"/>
              <w:bottom w:val="single" w:color="000000" w:sz="8" w:space="0"/>
              <w:right w:val="single" w:color="000000" w:sz="8" w:space="0"/>
            </w:tcBorders>
            <w:vAlign w:val="top"/>
          </w:tcPr>
          <w:p w14:paraId="564C05C8">
            <w:pPr>
              <w:rPr>
                <w:b/>
                <w:bCs/>
                <w:color w:val="auto"/>
                <w:highlight w:val="none"/>
              </w:rPr>
            </w:pPr>
            <w:r>
              <w:rPr>
                <w:rFonts w:hint="eastAsia"/>
                <w:b/>
                <w:bCs/>
                <w:color w:val="auto"/>
                <w:highlight w:val="none"/>
              </w:rPr>
              <w:t>（一）评分内容：</w:t>
            </w:r>
          </w:p>
          <w:p w14:paraId="64A1E855">
            <w:pPr>
              <w:rPr>
                <w:color w:val="auto"/>
                <w:highlight w:val="none"/>
              </w:rPr>
            </w:pPr>
            <w:r>
              <w:rPr>
                <w:rFonts w:hint="eastAsia"/>
                <w:color w:val="auto"/>
                <w:highlight w:val="none"/>
              </w:rPr>
              <w:t>投标人具有下列体系认证：</w:t>
            </w:r>
          </w:p>
          <w:p w14:paraId="7F97AA30">
            <w:pPr>
              <w:rPr>
                <w:color w:val="auto"/>
                <w:highlight w:val="none"/>
              </w:rPr>
            </w:pPr>
            <w:r>
              <w:rPr>
                <w:rFonts w:hint="eastAsia"/>
                <w:color w:val="auto"/>
                <w:highlight w:val="none"/>
              </w:rPr>
              <w:t>1、具有环境管理体系认证证书的，得</w:t>
            </w:r>
            <w:r>
              <w:rPr>
                <w:rFonts w:hint="eastAsia"/>
                <w:color w:val="auto"/>
                <w:highlight w:val="none"/>
                <w:lang w:val="en-US" w:eastAsia="zh-CN"/>
              </w:rPr>
              <w:t>2</w:t>
            </w:r>
            <w:r>
              <w:rPr>
                <w:rFonts w:hint="eastAsia"/>
                <w:color w:val="auto"/>
                <w:highlight w:val="none"/>
              </w:rPr>
              <w:t>0分；</w:t>
            </w:r>
          </w:p>
          <w:p w14:paraId="1F06AE7C">
            <w:pPr>
              <w:rPr>
                <w:color w:val="auto"/>
                <w:highlight w:val="none"/>
              </w:rPr>
            </w:pPr>
            <w:r>
              <w:rPr>
                <w:rFonts w:hint="eastAsia"/>
                <w:color w:val="auto"/>
                <w:highlight w:val="none"/>
              </w:rPr>
              <w:t>2、具有质量管理体系认证证书的，得</w:t>
            </w:r>
            <w:r>
              <w:rPr>
                <w:rFonts w:hint="eastAsia"/>
                <w:color w:val="auto"/>
                <w:highlight w:val="none"/>
                <w:lang w:val="en-US" w:eastAsia="zh-CN"/>
              </w:rPr>
              <w:t>2</w:t>
            </w:r>
            <w:r>
              <w:rPr>
                <w:rFonts w:hint="eastAsia"/>
                <w:color w:val="auto"/>
                <w:highlight w:val="none"/>
              </w:rPr>
              <w:t>0分；</w:t>
            </w:r>
          </w:p>
          <w:p w14:paraId="39743B0E">
            <w:pPr>
              <w:rPr>
                <w:color w:val="auto"/>
                <w:highlight w:val="none"/>
              </w:rPr>
            </w:pPr>
            <w:r>
              <w:rPr>
                <w:rFonts w:hint="eastAsia"/>
                <w:color w:val="auto"/>
                <w:highlight w:val="none"/>
              </w:rPr>
              <w:t>3、具有食品安全管理体系认证证书的，得</w:t>
            </w:r>
            <w:r>
              <w:rPr>
                <w:rFonts w:hint="eastAsia"/>
                <w:color w:val="auto"/>
                <w:highlight w:val="none"/>
                <w:lang w:val="en-US" w:eastAsia="zh-CN"/>
              </w:rPr>
              <w:t>2</w:t>
            </w:r>
            <w:r>
              <w:rPr>
                <w:rFonts w:hint="eastAsia"/>
                <w:color w:val="auto"/>
                <w:highlight w:val="none"/>
              </w:rPr>
              <w:t>0分；</w:t>
            </w:r>
          </w:p>
          <w:p w14:paraId="05268338">
            <w:pPr>
              <w:rPr>
                <w:color w:val="auto"/>
                <w:highlight w:val="none"/>
              </w:rPr>
            </w:pPr>
            <w:r>
              <w:rPr>
                <w:rFonts w:hint="eastAsia"/>
                <w:color w:val="auto"/>
                <w:highlight w:val="none"/>
              </w:rPr>
              <w:t>4、具有职业健康安全管理体系认证证书的，</w:t>
            </w:r>
            <w:r>
              <w:rPr>
                <w:rFonts w:hint="eastAsia"/>
                <w:color w:val="auto"/>
                <w:highlight w:val="none"/>
                <w:lang w:val="en-US" w:eastAsia="zh-CN"/>
              </w:rPr>
              <w:t>2</w:t>
            </w:r>
            <w:r>
              <w:rPr>
                <w:rFonts w:hint="eastAsia"/>
                <w:color w:val="auto"/>
                <w:highlight w:val="none"/>
              </w:rPr>
              <w:t>0分；</w:t>
            </w:r>
          </w:p>
          <w:p w14:paraId="5CCA12A1">
            <w:pPr>
              <w:pStyle w:val="22"/>
              <w:rPr>
                <w:rFonts w:hint="default" w:asciiTheme="minorEastAsia" w:hAnsiTheme="minorEastAsia" w:eastAsiaTheme="minorEastAsia" w:cstheme="minorEastAsia"/>
                <w:color w:val="auto"/>
                <w:szCs w:val="21"/>
                <w:highlight w:val="none"/>
                <w:lang w:val="en-US" w:eastAsia="zh-CN"/>
              </w:rPr>
            </w:pPr>
            <w:r>
              <w:rPr>
                <w:rFonts w:hint="eastAsia"/>
                <w:color w:val="auto"/>
                <w:highlight w:val="none"/>
              </w:rPr>
              <w:t>5、</w:t>
            </w:r>
            <w:r>
              <w:rPr>
                <w:rFonts w:hint="eastAsia" w:asciiTheme="minorEastAsia" w:hAnsiTheme="minorEastAsia" w:eastAsiaTheme="minorEastAsia" w:cstheme="minorEastAsia"/>
                <w:color w:val="auto"/>
                <w:szCs w:val="21"/>
                <w:highlight w:val="none"/>
              </w:rPr>
              <w:t>具有危害分析与关键控制点（HACCP）体系认证证书得</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0分</w:t>
            </w:r>
            <w:r>
              <w:rPr>
                <w:rFonts w:hint="eastAsia" w:asciiTheme="minorEastAsia" w:hAnsiTheme="minorEastAsia" w:eastAsiaTheme="minorEastAsia" w:cstheme="minorEastAsia"/>
                <w:color w:val="auto"/>
                <w:szCs w:val="21"/>
                <w:highlight w:val="none"/>
                <w:lang w:val="en-US" w:eastAsia="zh-CN"/>
              </w:rPr>
              <w:t>。</w:t>
            </w:r>
          </w:p>
          <w:p w14:paraId="228B8D67">
            <w:pPr>
              <w:rPr>
                <w:rFonts w:hint="eastAsia" w:eastAsia="宋体"/>
                <w:color w:val="auto"/>
                <w:highlight w:val="none"/>
                <w:lang w:eastAsia="zh-CN"/>
              </w:rPr>
            </w:pPr>
            <w:r>
              <w:rPr>
                <w:rFonts w:hint="eastAsia"/>
                <w:color w:val="auto"/>
                <w:highlight w:val="none"/>
              </w:rPr>
              <w:t>以上</w:t>
            </w:r>
            <w:r>
              <w:rPr>
                <w:rFonts w:hint="eastAsia"/>
                <w:color w:val="auto"/>
                <w:highlight w:val="none"/>
                <w:lang w:val="en-US" w:eastAsia="zh-CN"/>
              </w:rPr>
              <w:t>5</w:t>
            </w:r>
            <w:r>
              <w:rPr>
                <w:rFonts w:hint="eastAsia"/>
                <w:color w:val="auto"/>
                <w:highlight w:val="none"/>
              </w:rPr>
              <w:t>项累计得分，最高得100分</w:t>
            </w:r>
            <w:r>
              <w:rPr>
                <w:rFonts w:hint="eastAsia"/>
                <w:color w:val="auto"/>
                <w:highlight w:val="none"/>
                <w:lang w:eastAsia="zh-CN"/>
              </w:rPr>
              <w:t>。</w:t>
            </w:r>
          </w:p>
          <w:p w14:paraId="3DAB431A">
            <w:pPr>
              <w:rPr>
                <w:b/>
                <w:bCs/>
                <w:color w:val="auto"/>
                <w:highlight w:val="none"/>
              </w:rPr>
            </w:pPr>
            <w:r>
              <w:rPr>
                <w:rFonts w:hint="eastAsia"/>
                <w:b/>
                <w:bCs/>
                <w:color w:val="auto"/>
                <w:highlight w:val="none"/>
              </w:rPr>
              <w:t>（二）评分依据：</w:t>
            </w:r>
          </w:p>
          <w:p w14:paraId="71647E33">
            <w:pPr>
              <w:rPr>
                <w:rFonts w:hint="eastAsia"/>
                <w:color w:val="auto"/>
                <w:highlight w:val="none"/>
              </w:rPr>
            </w:pPr>
            <w:r>
              <w:rPr>
                <w:rFonts w:hint="eastAsia"/>
                <w:color w:val="auto"/>
                <w:highlight w:val="none"/>
              </w:rPr>
              <w:t>1、提供有效的相关证书及“国家认证认可信息统一查询平台”（http://cx.cnca.cn/）中查询的有效证书信息截图且编号一致；</w:t>
            </w:r>
          </w:p>
          <w:p w14:paraId="23E97530">
            <w:pPr>
              <w:rPr>
                <w:color w:val="auto"/>
                <w:highlight w:val="none"/>
              </w:rPr>
            </w:pPr>
            <w:r>
              <w:rPr>
                <w:rFonts w:hint="eastAsia"/>
                <w:lang w:val="en-US" w:eastAsia="zh-CN"/>
              </w:rPr>
              <w:t>2、如投标人距本项目开标之日的注册成立时间不足3个月，且未取得以上认证证书的，可提供承诺函（格式自拟，至少包含中标（成交）后4个月内取得评审因素相关认证证书等内容），评审委员会根据承诺内容中的认证证书情况，给予相应分值；</w:t>
            </w:r>
          </w:p>
          <w:p w14:paraId="031AB55F">
            <w:pPr>
              <w:rPr>
                <w:rFonts w:ascii="宋体" w:hAnsi="宋体" w:cs="宋体"/>
                <w:color w:val="auto"/>
                <w:szCs w:val="21"/>
                <w:highlight w:val="none"/>
              </w:rPr>
            </w:pPr>
            <w:r>
              <w:rPr>
                <w:rFonts w:hint="eastAsia" w:ascii="Times New Roman" w:hAnsi="Times New Roman" w:cs="Times New Roman"/>
                <w:sz w:val="21"/>
              </w:rPr>
              <w:t>3.以上文件原件备查，评分中出现无证明资料或者专家无法凭所提供资料判断是否得分的情况，一律做不得分处理。</w:t>
            </w:r>
          </w:p>
        </w:tc>
      </w:tr>
      <w:tr w14:paraId="03C019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4BC5667E">
            <w:pPr>
              <w:rPr>
                <w:rFonts w:ascii="宋体" w:hAnsi="宋体" w:cs="宋体"/>
                <w:b/>
                <w:bCs/>
                <w:color w:val="0000FF"/>
                <w:sz w:val="24"/>
                <w:highlight w:val="none"/>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543A6329">
            <w:pPr>
              <w:jc w:val="center"/>
              <w:rPr>
                <w:rFonts w:ascii="宋体" w:hAnsi="宋体" w:cs="宋体"/>
                <w:szCs w:val="21"/>
                <w:highlight w:val="none"/>
              </w:rPr>
            </w:pPr>
            <w:r>
              <w:rPr>
                <w:rFonts w:hint="eastAsia"/>
                <w:highlight w:val="none"/>
              </w:rPr>
              <w:t>2</w:t>
            </w:r>
          </w:p>
        </w:tc>
        <w:tc>
          <w:tcPr>
            <w:tcW w:w="1720" w:type="dxa"/>
            <w:tcBorders>
              <w:top w:val="single" w:color="000000" w:sz="8" w:space="0"/>
              <w:left w:val="single" w:color="000000" w:sz="8" w:space="0"/>
              <w:bottom w:val="single" w:color="000000" w:sz="8" w:space="0"/>
              <w:right w:val="single" w:color="000000" w:sz="8" w:space="0"/>
            </w:tcBorders>
            <w:vAlign w:val="center"/>
          </w:tcPr>
          <w:p w14:paraId="24F2C11C">
            <w:pPr>
              <w:jc w:val="center"/>
              <w:rPr>
                <w:rFonts w:ascii="宋体" w:hAnsi="宋体" w:cs="宋体"/>
                <w:szCs w:val="21"/>
                <w:highlight w:val="none"/>
              </w:rPr>
            </w:pPr>
            <w:r>
              <w:rPr>
                <w:rFonts w:hint="eastAsia" w:asciiTheme="minorEastAsia" w:hAnsiTheme="minorEastAsia" w:eastAsiaTheme="minorEastAsia"/>
                <w:szCs w:val="21"/>
                <w:highlight w:val="none"/>
              </w:rPr>
              <w:t>投标人同类项目业绩情况</w:t>
            </w:r>
          </w:p>
        </w:tc>
        <w:tc>
          <w:tcPr>
            <w:tcW w:w="656" w:type="dxa"/>
            <w:tcBorders>
              <w:top w:val="single" w:color="000000" w:sz="8" w:space="0"/>
              <w:left w:val="single" w:color="000000" w:sz="8" w:space="0"/>
              <w:bottom w:val="single" w:color="000000" w:sz="8" w:space="0"/>
              <w:right w:val="single" w:color="000000" w:sz="8" w:space="0"/>
            </w:tcBorders>
            <w:vAlign w:val="center"/>
          </w:tcPr>
          <w:p w14:paraId="01D1BF2C">
            <w:pPr>
              <w:jc w:val="center"/>
              <w:rPr>
                <w:rFonts w:hint="default" w:ascii="宋体" w:hAnsi="宋体" w:cs="宋体"/>
                <w:szCs w:val="21"/>
                <w:highlight w:val="none"/>
                <w:lang w:val="en-US"/>
              </w:rPr>
            </w:pPr>
            <w:r>
              <w:rPr>
                <w:rFonts w:hint="eastAsia" w:asciiTheme="minorEastAsia" w:hAnsiTheme="minorEastAsia" w:eastAsiaTheme="minorEastAsia"/>
                <w:szCs w:val="21"/>
                <w:highlight w:val="none"/>
                <w:lang w:val="en-US" w:eastAsia="zh-CN"/>
              </w:rPr>
              <w:t>5</w:t>
            </w:r>
          </w:p>
        </w:tc>
        <w:tc>
          <w:tcPr>
            <w:tcW w:w="5602" w:type="dxa"/>
            <w:tcBorders>
              <w:top w:val="single" w:color="000000" w:sz="8" w:space="0"/>
              <w:left w:val="single" w:color="000000" w:sz="8" w:space="0"/>
              <w:bottom w:val="single" w:color="000000" w:sz="8" w:space="0"/>
              <w:right w:val="single" w:color="000000" w:sz="8" w:space="0"/>
            </w:tcBorders>
            <w:vAlign w:val="top"/>
          </w:tcPr>
          <w:p w14:paraId="1B06F121">
            <w:pPr>
              <w:rPr>
                <w:b/>
                <w:bCs/>
                <w:color w:val="auto"/>
                <w:highlight w:val="none"/>
              </w:rPr>
            </w:pPr>
            <w:r>
              <w:rPr>
                <w:rFonts w:hint="eastAsia"/>
                <w:b/>
                <w:bCs/>
                <w:color w:val="auto"/>
                <w:highlight w:val="none"/>
              </w:rPr>
              <w:t>（一）评分内容：</w:t>
            </w:r>
          </w:p>
          <w:p w14:paraId="35969BA2">
            <w:pPr>
              <w:rPr>
                <w:rFonts w:hint="eastAsia" w:ascii="Times New Roman" w:hAnsi="Times New Roman" w:cs="Times New Roman"/>
                <w:sz w:val="21"/>
              </w:rPr>
            </w:pPr>
            <w:r>
              <w:rPr>
                <w:rFonts w:hint="eastAsia" w:ascii="Times New Roman" w:hAnsi="Times New Roman" w:cs="Times New Roman"/>
                <w:sz w:val="21"/>
              </w:rPr>
              <w:t>投标人自2022年1月1日至本项目投标截止日，以合同签订日期为准：每具有一项政府部门或事业单位或公办或民办学校（含幼儿园）食材配送类采购项目，且经采购单位或被服务单位履约评价结果为“优”或“优秀”或评价表中其他最高等级评价的，得20分，本项累计最高得100分。</w:t>
            </w:r>
          </w:p>
          <w:p w14:paraId="20508D59">
            <w:pPr>
              <w:rPr>
                <w:color w:val="auto"/>
                <w:highlight w:val="none"/>
              </w:rPr>
            </w:pPr>
            <w:r>
              <w:rPr>
                <w:rFonts w:hint="eastAsia" w:ascii="Times New Roman" w:hAnsi="Times New Roman" w:cs="Times New Roman"/>
                <w:sz w:val="21"/>
              </w:rPr>
              <w:t>一年一签的长期服务续签合同只计算一个业绩。</w:t>
            </w:r>
          </w:p>
          <w:p w14:paraId="2DFE140F">
            <w:pPr>
              <w:rPr>
                <w:b/>
                <w:bCs/>
                <w:color w:val="auto"/>
                <w:highlight w:val="none"/>
              </w:rPr>
            </w:pPr>
            <w:r>
              <w:rPr>
                <w:rFonts w:hint="eastAsia"/>
                <w:b/>
                <w:bCs/>
                <w:color w:val="auto"/>
                <w:highlight w:val="none"/>
              </w:rPr>
              <w:t>（二）评分依据：</w:t>
            </w:r>
          </w:p>
          <w:p w14:paraId="2271E20C">
            <w:pPr>
              <w:rPr>
                <w:rFonts w:hint="eastAsia"/>
                <w:color w:val="auto"/>
                <w:highlight w:val="none"/>
              </w:rPr>
            </w:pPr>
            <w:r>
              <w:rPr>
                <w:rFonts w:hint="eastAsia"/>
                <w:color w:val="auto"/>
                <w:highlight w:val="none"/>
                <w:lang w:val="en-US" w:eastAsia="zh-CN"/>
              </w:rPr>
              <w:t>1、</w:t>
            </w:r>
            <w:r>
              <w:rPr>
                <w:rFonts w:hint="eastAsia"/>
                <w:color w:val="auto"/>
                <w:highlight w:val="none"/>
              </w:rPr>
              <w:t>要求同时提供：</w:t>
            </w:r>
          </w:p>
          <w:p w14:paraId="1A7055BF">
            <w:pPr>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中标（成交）通知书</w:t>
            </w:r>
            <w:r>
              <w:rPr>
                <w:rFonts w:hint="eastAsia"/>
                <w:color w:val="auto"/>
                <w:highlight w:val="none"/>
                <w:lang w:eastAsia="zh-CN"/>
              </w:rPr>
              <w:t>。</w:t>
            </w:r>
          </w:p>
          <w:p w14:paraId="7113D85C">
            <w:pPr>
              <w:rPr>
                <w:color w:val="auto"/>
                <w:highlight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合同关键页（包括但不限于合同的项目名称、服务内容、合同服务的起止时间、签订日期、合同双方签字盖章页），通过合同关键信息无法判断是否得分的，还须同时提供能证明得分的其它证明资料，如项目报告或合同甲方或被服务单位出具的证明文件等。</w:t>
            </w:r>
          </w:p>
          <w:p w14:paraId="2A21E4B9">
            <w:pPr>
              <w:rPr>
                <w:rFonts w:hint="eastAsia"/>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采购单位或被服务单位出具的总体（终期）履约评价为“优”或“满意”或“合格”的相关证明文件加盖合同甲方公章（业务章）。证明文件的内容包括但不仅限于合同的项目名称、总体履约评价结果、出具证明的签署日期等相关内容,如提交的证明材料其评价结果没有结论而仅是打分的（比如打100分、98分、95分、85分等的）不计分。</w:t>
            </w:r>
          </w:p>
          <w:p w14:paraId="10A7E221">
            <w:pPr>
              <w:spacing w:line="240" w:lineRule="auto"/>
              <w:rPr>
                <w:rFonts w:ascii="宋体" w:hAnsi="宋体" w:cs="宋体"/>
                <w:color w:val="auto"/>
                <w:szCs w:val="21"/>
                <w:highlight w:val="none"/>
              </w:rPr>
            </w:pPr>
            <w:r>
              <w:rPr>
                <w:rFonts w:hint="eastAsia"/>
                <w:color w:val="auto"/>
                <w:highlight w:val="none"/>
                <w:lang w:val="en-US" w:eastAsia="zh-CN"/>
              </w:rPr>
              <w:t>2、</w:t>
            </w:r>
            <w:r>
              <w:rPr>
                <w:rFonts w:hint="eastAsia"/>
                <w:color w:val="auto"/>
                <w:highlight w:val="none"/>
              </w:rPr>
              <w:t>以上资料原件备查。评分中出现无证明资料或专家无法凭所提供资料判断是否得分的情况，一律作不得分处理。</w:t>
            </w:r>
          </w:p>
        </w:tc>
      </w:tr>
      <w:tr w14:paraId="1C1846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4DD81875">
            <w:pPr>
              <w:rPr>
                <w:rFonts w:ascii="宋体" w:hAnsi="宋体" w:cs="宋体"/>
                <w:b/>
                <w:bCs/>
                <w:color w:val="0000FF"/>
                <w:sz w:val="24"/>
                <w:highlight w:val="none"/>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7211E6A7">
            <w:pPr>
              <w:jc w:val="center"/>
              <w:rPr>
                <w:rFonts w:ascii="宋体" w:hAnsi="宋体" w:cs="宋体"/>
                <w:szCs w:val="21"/>
                <w:highlight w:val="none"/>
              </w:rPr>
            </w:pPr>
            <w:r>
              <w:rPr>
                <w:rFonts w:hint="eastAsia" w:eastAsia="宋体"/>
                <w:highlight w:val="none"/>
                <w:lang w:val="en-US" w:eastAsia="zh-CN"/>
              </w:rPr>
              <w:t>3</w:t>
            </w:r>
          </w:p>
        </w:tc>
        <w:tc>
          <w:tcPr>
            <w:tcW w:w="1720" w:type="dxa"/>
            <w:tcBorders>
              <w:top w:val="single" w:color="000000" w:sz="8" w:space="0"/>
              <w:left w:val="single" w:color="000000" w:sz="8" w:space="0"/>
              <w:bottom w:val="single" w:color="000000" w:sz="8" w:space="0"/>
              <w:right w:val="single" w:color="000000" w:sz="8" w:space="0"/>
            </w:tcBorders>
            <w:vAlign w:val="center"/>
          </w:tcPr>
          <w:p w14:paraId="2EAE3994">
            <w:pPr>
              <w:autoSpaceDE w:val="0"/>
              <w:autoSpaceDN w:val="0"/>
              <w:adjustRightInd w:val="0"/>
              <w:spacing w:line="360" w:lineRule="auto"/>
              <w:jc w:val="center"/>
              <w:rPr>
                <w:rFonts w:ascii="宋体" w:hAnsi="宋体" w:cs="宋体"/>
                <w:szCs w:val="21"/>
                <w:highlight w:val="none"/>
              </w:rPr>
            </w:pPr>
            <w:r>
              <w:rPr>
                <w:rFonts w:hint="eastAsia" w:cs="宋体" w:asciiTheme="minorEastAsia" w:hAnsiTheme="minorEastAsia" w:eastAsiaTheme="minorEastAsia"/>
                <w:kern w:val="0"/>
                <w:szCs w:val="21"/>
                <w:highlight w:val="none"/>
              </w:rPr>
              <w:t>信息化能力</w:t>
            </w:r>
          </w:p>
        </w:tc>
        <w:tc>
          <w:tcPr>
            <w:tcW w:w="656" w:type="dxa"/>
            <w:tcBorders>
              <w:top w:val="single" w:color="000000" w:sz="8" w:space="0"/>
              <w:left w:val="single" w:color="000000" w:sz="8" w:space="0"/>
              <w:bottom w:val="single" w:color="000000" w:sz="8" w:space="0"/>
              <w:right w:val="single" w:color="000000" w:sz="8" w:space="0"/>
            </w:tcBorders>
            <w:vAlign w:val="center"/>
          </w:tcPr>
          <w:p w14:paraId="3D489454">
            <w:pPr>
              <w:spacing w:line="360" w:lineRule="auto"/>
              <w:jc w:val="center"/>
              <w:rPr>
                <w:rFonts w:ascii="宋体" w:hAnsi="宋体" w:cs="宋体"/>
                <w:szCs w:val="21"/>
                <w:highlight w:val="none"/>
              </w:rPr>
            </w:pPr>
            <w:r>
              <w:rPr>
                <w:rFonts w:hint="eastAsia" w:asciiTheme="minorEastAsia" w:hAnsiTheme="minorEastAsia" w:eastAsiaTheme="minorEastAsia"/>
                <w:kern w:val="0"/>
                <w:szCs w:val="21"/>
                <w:highlight w:val="none"/>
              </w:rPr>
              <w:t>5</w:t>
            </w:r>
          </w:p>
        </w:tc>
        <w:tc>
          <w:tcPr>
            <w:tcW w:w="5602" w:type="dxa"/>
            <w:tcBorders>
              <w:top w:val="single" w:color="000000" w:sz="8" w:space="0"/>
              <w:left w:val="single" w:color="000000" w:sz="8" w:space="0"/>
              <w:bottom w:val="single" w:color="000000" w:sz="8" w:space="0"/>
              <w:right w:val="single" w:color="000000" w:sz="8" w:space="0"/>
            </w:tcBorders>
            <w:vAlign w:val="center"/>
          </w:tcPr>
          <w:p w14:paraId="67AB9207">
            <w:pPr>
              <w:rPr>
                <w:rFonts w:hint="eastAsia"/>
                <w:b/>
                <w:bCs/>
                <w:color w:val="auto"/>
                <w:highlight w:val="none"/>
              </w:rPr>
            </w:pPr>
            <w:r>
              <w:rPr>
                <w:rFonts w:hint="eastAsia"/>
                <w:b/>
                <w:bCs/>
                <w:color w:val="auto"/>
                <w:highlight w:val="none"/>
              </w:rPr>
              <w:t>（一）评分内容：</w:t>
            </w:r>
          </w:p>
          <w:p w14:paraId="78A81ED7">
            <w:pPr>
              <w:pStyle w:val="2"/>
              <w:spacing w:line="240" w:lineRule="auto"/>
              <w:rPr>
                <w:rFonts w:hint="eastAsia" w:ascii="宋体" w:hAnsi="宋体" w:cs="宋体"/>
                <w:b w:val="0"/>
                <w:bCs w:val="0"/>
                <w:sz w:val="21"/>
                <w:szCs w:val="21"/>
              </w:rPr>
            </w:pPr>
            <w:r>
              <w:rPr>
                <w:rFonts w:hint="eastAsia" w:ascii="宋体" w:hAnsi="宋体" w:cs="宋体"/>
                <w:b w:val="0"/>
                <w:bCs w:val="0"/>
                <w:sz w:val="21"/>
                <w:szCs w:val="21"/>
              </w:rPr>
              <w:t xml:space="preserve"> 投标人具有以下系统（自有或购买或租赁）： </w:t>
            </w:r>
          </w:p>
          <w:p w14:paraId="0C3D42C3">
            <w:pPr>
              <w:pStyle w:val="2"/>
              <w:spacing w:line="240" w:lineRule="auto"/>
              <w:rPr>
                <w:rFonts w:hint="eastAsia" w:ascii="宋体" w:hAnsi="宋体" w:cs="宋体"/>
                <w:b w:val="0"/>
                <w:bCs w:val="0"/>
                <w:sz w:val="21"/>
                <w:szCs w:val="21"/>
              </w:rPr>
            </w:pPr>
            <w:r>
              <w:rPr>
                <w:rFonts w:hint="eastAsia" w:ascii="宋体" w:hAnsi="宋体" w:cs="宋体"/>
                <w:b w:val="0"/>
                <w:bCs w:val="0"/>
                <w:sz w:val="21"/>
                <w:szCs w:val="21"/>
              </w:rPr>
              <w:t>1、具有食</w:t>
            </w:r>
            <w:r>
              <w:rPr>
                <w:rFonts w:hint="eastAsia" w:ascii="宋体" w:hAnsi="宋体" w:cs="宋体"/>
                <w:b w:val="0"/>
                <w:bCs w:val="0"/>
                <w:sz w:val="21"/>
                <w:szCs w:val="21"/>
                <w:lang w:val="en-US" w:eastAsia="zh-CN"/>
              </w:rPr>
              <w:t>品农产品</w:t>
            </w:r>
            <w:r>
              <w:rPr>
                <w:rFonts w:hint="eastAsia" w:ascii="宋体" w:hAnsi="宋体" w:cs="宋体"/>
                <w:b w:val="0"/>
                <w:bCs w:val="0"/>
                <w:sz w:val="21"/>
                <w:szCs w:val="21"/>
              </w:rPr>
              <w:t>质量追溯类系统的得20分；</w:t>
            </w:r>
          </w:p>
          <w:p w14:paraId="2F84A117">
            <w:pPr>
              <w:pStyle w:val="2"/>
              <w:spacing w:line="240" w:lineRule="auto"/>
              <w:rPr>
                <w:rFonts w:hint="eastAsia" w:ascii="宋体" w:hAnsi="宋体" w:cs="宋体"/>
                <w:b w:val="0"/>
                <w:bCs w:val="0"/>
                <w:sz w:val="21"/>
                <w:szCs w:val="21"/>
              </w:rPr>
            </w:pPr>
            <w:r>
              <w:rPr>
                <w:rFonts w:hint="eastAsia" w:ascii="宋体" w:hAnsi="宋体" w:cs="宋体"/>
                <w:b w:val="0"/>
                <w:bCs w:val="0"/>
                <w:sz w:val="21"/>
                <w:szCs w:val="21"/>
              </w:rPr>
              <w:t>2、具有</w:t>
            </w:r>
            <w:r>
              <w:rPr>
                <w:rFonts w:hint="eastAsia" w:ascii="宋体" w:hAnsi="宋体" w:cs="宋体"/>
                <w:b w:val="0"/>
                <w:bCs w:val="0"/>
                <w:sz w:val="21"/>
                <w:szCs w:val="21"/>
                <w:lang w:val="en-US" w:eastAsia="zh-CN"/>
              </w:rPr>
              <w:t>农产品</w:t>
            </w:r>
            <w:r>
              <w:rPr>
                <w:rFonts w:hint="eastAsia" w:ascii="宋体" w:hAnsi="宋体" w:cs="宋体"/>
                <w:b w:val="0"/>
                <w:bCs w:val="0"/>
                <w:sz w:val="21"/>
                <w:szCs w:val="21"/>
              </w:rPr>
              <w:t>安全综合监管类平台的得20分；</w:t>
            </w:r>
          </w:p>
          <w:p w14:paraId="4C7BC127">
            <w:pPr>
              <w:pStyle w:val="2"/>
              <w:spacing w:line="240" w:lineRule="auto"/>
              <w:rPr>
                <w:rFonts w:hint="eastAsia" w:ascii="宋体" w:hAnsi="宋体" w:cs="宋体"/>
                <w:b w:val="0"/>
                <w:bCs w:val="0"/>
                <w:sz w:val="21"/>
                <w:szCs w:val="21"/>
              </w:rPr>
            </w:pPr>
            <w:r>
              <w:rPr>
                <w:rFonts w:hint="eastAsia" w:ascii="宋体" w:hAnsi="宋体" w:cs="宋体"/>
                <w:b w:val="0"/>
                <w:bCs w:val="0"/>
                <w:sz w:val="21"/>
                <w:szCs w:val="21"/>
              </w:rPr>
              <w:t xml:space="preserve">3、具有冷库储藏温度监控类系统的得20分； </w:t>
            </w:r>
          </w:p>
          <w:p w14:paraId="257141E5">
            <w:pPr>
              <w:pStyle w:val="2"/>
              <w:spacing w:line="240" w:lineRule="auto"/>
              <w:jc w:val="left"/>
              <w:rPr>
                <w:rFonts w:hint="eastAsia" w:ascii="宋体" w:hAnsi="宋体" w:cs="宋体"/>
                <w:b w:val="0"/>
                <w:bCs w:val="0"/>
                <w:sz w:val="21"/>
                <w:szCs w:val="21"/>
              </w:rPr>
            </w:pPr>
            <w:r>
              <w:rPr>
                <w:rFonts w:hint="eastAsia" w:ascii="宋体" w:hAnsi="宋体" w:cs="宋体"/>
                <w:b w:val="0"/>
                <w:bCs w:val="0"/>
                <w:sz w:val="21"/>
                <w:szCs w:val="21"/>
              </w:rPr>
              <w:t>4、具有冷链运输全程监控类系统的得20分；</w:t>
            </w:r>
          </w:p>
          <w:p w14:paraId="58A60267">
            <w:pPr>
              <w:pStyle w:val="2"/>
              <w:spacing w:line="240" w:lineRule="auto"/>
              <w:jc w:val="left"/>
              <w:rPr>
                <w:rFonts w:hint="eastAsia" w:ascii="宋体" w:hAnsi="宋体" w:cs="宋体"/>
                <w:b w:val="0"/>
                <w:bCs w:val="0"/>
                <w:sz w:val="21"/>
                <w:szCs w:val="21"/>
              </w:rPr>
            </w:pPr>
            <w:r>
              <w:rPr>
                <w:rFonts w:hint="eastAsia" w:ascii="宋体" w:hAnsi="宋体" w:cs="宋体"/>
                <w:b w:val="0"/>
                <w:bCs w:val="0"/>
                <w:sz w:val="21"/>
                <w:szCs w:val="21"/>
              </w:rPr>
              <w:t>5、具有订单配送服务管理类平台的得20分；</w:t>
            </w:r>
          </w:p>
          <w:p w14:paraId="27F19148">
            <w:pPr>
              <w:rPr>
                <w:rFonts w:hint="eastAsia" w:eastAsia="宋体"/>
                <w:color w:val="auto"/>
                <w:highlight w:val="none"/>
                <w:lang w:val="en-US" w:eastAsia="zh-CN"/>
              </w:rPr>
            </w:pPr>
            <w:r>
              <w:rPr>
                <w:rFonts w:hint="eastAsia" w:ascii="宋体" w:hAnsi="宋体" w:cs="宋体"/>
                <w:b w:val="0"/>
                <w:bCs w:val="0"/>
                <w:sz w:val="21"/>
                <w:szCs w:val="21"/>
              </w:rPr>
              <w:t xml:space="preserve"> 以上累计得分，最高得100分。同一类系统如同一个系统（软件）包含上述多个系统（平台）的可累计得分。</w:t>
            </w:r>
          </w:p>
          <w:p w14:paraId="4D7478FF">
            <w:pPr>
              <w:rPr>
                <w:b/>
                <w:bCs/>
                <w:color w:val="auto"/>
                <w:highlight w:val="none"/>
              </w:rPr>
            </w:pPr>
            <w:r>
              <w:rPr>
                <w:rFonts w:hint="eastAsia"/>
                <w:b/>
                <w:bCs/>
                <w:color w:val="auto"/>
                <w:highlight w:val="none"/>
              </w:rPr>
              <w:t>（二）评分依据：</w:t>
            </w:r>
          </w:p>
          <w:p w14:paraId="54F61C07">
            <w:pPr>
              <w:pStyle w:val="2"/>
              <w:spacing w:line="240" w:lineRule="auto"/>
              <w:rPr>
                <w:rFonts w:hint="eastAsia" w:ascii="宋体" w:hAnsi="宋体" w:cs="宋体"/>
                <w:b w:val="0"/>
                <w:bCs w:val="0"/>
                <w:sz w:val="21"/>
                <w:szCs w:val="21"/>
              </w:rPr>
            </w:pPr>
            <w:r>
              <w:rPr>
                <w:rFonts w:hint="eastAsia" w:ascii="宋体" w:hAnsi="宋体" w:cs="宋体"/>
                <w:b w:val="0"/>
                <w:bCs w:val="0"/>
                <w:sz w:val="21"/>
                <w:szCs w:val="21"/>
              </w:rPr>
              <w:t xml:space="preserve">1、自有的系统或软件，提供计算机软件著作权登记证书（著作权人须为投标人）； </w:t>
            </w:r>
          </w:p>
          <w:p w14:paraId="6082A48F">
            <w:pPr>
              <w:pStyle w:val="2"/>
              <w:spacing w:line="240" w:lineRule="auto"/>
              <w:rPr>
                <w:rFonts w:hint="eastAsia" w:ascii="宋体" w:hAnsi="宋体" w:cs="宋体"/>
                <w:b w:val="0"/>
                <w:bCs w:val="0"/>
                <w:sz w:val="21"/>
                <w:szCs w:val="21"/>
              </w:rPr>
            </w:pPr>
            <w:r>
              <w:rPr>
                <w:rFonts w:hint="eastAsia" w:ascii="宋体" w:hAnsi="宋体" w:cs="宋体"/>
                <w:b w:val="0"/>
                <w:bCs w:val="0"/>
                <w:sz w:val="21"/>
                <w:szCs w:val="21"/>
              </w:rPr>
              <w:t xml:space="preserve">2、购买（或租赁）的软件或系统，同时提供计算机软件著作权登记证书（著作权人需为出租（售）方）及著作权转让合同（或许可使用合同）和购买发票（或购买证明，发票或证明需能体现购买人为投标人）； </w:t>
            </w:r>
          </w:p>
          <w:p w14:paraId="01C006ED">
            <w:pPr>
              <w:pStyle w:val="2"/>
              <w:spacing w:line="240" w:lineRule="auto"/>
              <w:rPr>
                <w:rFonts w:hint="eastAsia" w:ascii="宋体" w:hAnsi="宋体" w:cs="宋体"/>
                <w:b w:val="0"/>
                <w:bCs w:val="0"/>
                <w:sz w:val="21"/>
                <w:szCs w:val="21"/>
              </w:rPr>
            </w:pPr>
            <w:r>
              <w:rPr>
                <w:rFonts w:hint="eastAsia" w:ascii="宋体" w:hAnsi="宋体" w:cs="宋体"/>
                <w:b w:val="0"/>
                <w:bCs w:val="0"/>
                <w:sz w:val="21"/>
                <w:szCs w:val="21"/>
              </w:rPr>
              <w:t xml:space="preserve">3、提供的计算机软件著作权登记证书扫描件，如无法判断是否符合评分要求的，可同时提供系统或软件的功能截图； </w:t>
            </w:r>
          </w:p>
          <w:p w14:paraId="75D9800D">
            <w:pPr>
              <w:rPr>
                <w:rFonts w:ascii="宋体" w:hAnsi="宋体" w:cs="宋体"/>
                <w:color w:val="auto"/>
                <w:szCs w:val="21"/>
                <w:highlight w:val="none"/>
              </w:rPr>
            </w:pPr>
            <w:r>
              <w:rPr>
                <w:rFonts w:hint="eastAsia" w:ascii="宋体" w:hAnsi="宋体" w:cs="宋体"/>
                <w:b w:val="0"/>
                <w:bCs w:val="0"/>
                <w:szCs w:val="21"/>
              </w:rPr>
              <w:t>4、未按要求提供相关证明材料（或相关证明材料无法判断是否符合评分要求）的不计得分，原件备查</w:t>
            </w:r>
            <w:r>
              <w:rPr>
                <w:b w:val="0"/>
                <w:bCs w:val="0"/>
                <w:szCs w:val="21"/>
              </w:rPr>
              <w:t>。</w:t>
            </w:r>
          </w:p>
        </w:tc>
      </w:tr>
      <w:tr w14:paraId="1CE3B8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4D84456A">
            <w:pPr>
              <w:wordWrap w:val="0"/>
              <w:jc w:val="center"/>
              <w:rPr>
                <w:rFonts w:ascii="宋体" w:hAnsi="宋体" w:cs="宋体"/>
                <w:b/>
                <w:bCs/>
                <w:color w:val="0000FF"/>
                <w:sz w:val="24"/>
                <w:highlight w:val="none"/>
              </w:rPr>
            </w:pPr>
            <w:r>
              <w:rPr>
                <w:b/>
                <w:bCs/>
                <w:color w:val="0000FF"/>
                <w:highlight w:val="none"/>
              </w:rPr>
              <w:t>4</w:t>
            </w:r>
          </w:p>
        </w:tc>
        <w:tc>
          <w:tcPr>
            <w:tcW w:w="3056" w:type="dxa"/>
            <w:gridSpan w:val="3"/>
            <w:tcBorders>
              <w:top w:val="single" w:color="000000" w:sz="8" w:space="0"/>
              <w:left w:val="single" w:color="000000" w:sz="8" w:space="0"/>
              <w:bottom w:val="single" w:color="000000" w:sz="8" w:space="0"/>
              <w:right w:val="single" w:color="000000" w:sz="8" w:space="0"/>
            </w:tcBorders>
          </w:tcPr>
          <w:p w14:paraId="30083B8A">
            <w:pPr>
              <w:wordWrap w:val="0"/>
              <w:jc w:val="center"/>
              <w:rPr>
                <w:rFonts w:ascii="宋体" w:hAnsi="宋体" w:cs="宋体"/>
                <w:b/>
                <w:bCs/>
                <w:color w:val="0000FF"/>
                <w:sz w:val="24"/>
                <w:highlight w:val="none"/>
              </w:rPr>
            </w:pPr>
            <w:r>
              <w:rPr>
                <w:b/>
                <w:bCs/>
                <w:color w:val="0000FF"/>
                <w:highlight w:val="none"/>
              </w:rPr>
              <w:t>诚信</w:t>
            </w:r>
            <w:bookmarkStart w:id="101" w:name="_GoBack"/>
            <w:bookmarkEnd w:id="101"/>
          </w:p>
        </w:tc>
        <w:tc>
          <w:tcPr>
            <w:tcW w:w="5602" w:type="dxa"/>
            <w:tcBorders>
              <w:top w:val="single" w:color="000000" w:sz="8" w:space="0"/>
              <w:left w:val="single" w:color="000000" w:sz="8" w:space="0"/>
              <w:bottom w:val="single" w:color="000000" w:sz="8" w:space="0"/>
              <w:right w:val="single" w:color="000000" w:sz="8" w:space="0"/>
            </w:tcBorders>
          </w:tcPr>
          <w:p w14:paraId="7CBD5DDE">
            <w:pPr>
              <w:wordWrap w:val="0"/>
              <w:jc w:val="center"/>
              <w:rPr>
                <w:rFonts w:ascii="宋体" w:hAnsi="宋体" w:cs="宋体"/>
                <w:b/>
                <w:bCs/>
                <w:color w:val="auto"/>
                <w:sz w:val="24"/>
                <w:highlight w:val="none"/>
              </w:rPr>
            </w:pPr>
            <w:r>
              <w:rPr>
                <w:b/>
                <w:bCs/>
                <w:color w:val="auto"/>
                <w:highlight w:val="none"/>
              </w:rPr>
              <w:t>5</w:t>
            </w:r>
          </w:p>
        </w:tc>
      </w:tr>
      <w:tr w14:paraId="7FFB3E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14ED2D85">
            <w:pPr>
              <w:rPr>
                <w:rFonts w:ascii="宋体" w:hAnsi="宋体" w:cs="宋体"/>
                <w:b/>
                <w:bCs/>
                <w:color w:val="0000FF"/>
                <w:sz w:val="24"/>
                <w:highlight w:val="none"/>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268C401">
            <w:pPr>
              <w:wordWrap w:val="0"/>
              <w:jc w:val="center"/>
              <w:rPr>
                <w:rFonts w:ascii="宋体" w:hAnsi="宋体" w:cs="宋体"/>
                <w:szCs w:val="21"/>
                <w:highlight w:val="none"/>
              </w:rPr>
            </w:pPr>
            <w:r>
              <w:rPr>
                <w:szCs w:val="21"/>
                <w:highlight w:val="none"/>
              </w:rPr>
              <w:t>序号</w:t>
            </w:r>
          </w:p>
        </w:tc>
        <w:tc>
          <w:tcPr>
            <w:tcW w:w="172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56E62C0">
            <w:pPr>
              <w:wordWrap w:val="0"/>
              <w:jc w:val="center"/>
              <w:rPr>
                <w:rFonts w:ascii="宋体" w:hAnsi="宋体" w:cs="宋体"/>
                <w:szCs w:val="21"/>
                <w:highlight w:val="none"/>
              </w:rPr>
            </w:pPr>
            <w:r>
              <w:rPr>
                <w:szCs w:val="21"/>
                <w:highlight w:val="none"/>
              </w:rPr>
              <w:t>评分因素</w:t>
            </w:r>
          </w:p>
        </w:tc>
        <w:tc>
          <w:tcPr>
            <w:tcW w:w="65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A3619E4">
            <w:pPr>
              <w:wordWrap w:val="0"/>
              <w:jc w:val="center"/>
              <w:rPr>
                <w:rFonts w:ascii="宋体" w:hAnsi="宋体" w:cs="宋体"/>
                <w:szCs w:val="21"/>
                <w:highlight w:val="none"/>
              </w:rPr>
            </w:pPr>
            <w:r>
              <w:rPr>
                <w:szCs w:val="21"/>
                <w:highlight w:val="none"/>
              </w:rPr>
              <w:t>权重(%)</w:t>
            </w:r>
          </w:p>
        </w:tc>
        <w:tc>
          <w:tcPr>
            <w:tcW w:w="5602"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D980C0E">
            <w:pPr>
              <w:wordWrap w:val="0"/>
              <w:jc w:val="center"/>
              <w:rPr>
                <w:rFonts w:ascii="宋体" w:hAnsi="宋体" w:cs="宋体"/>
                <w:color w:val="auto"/>
                <w:szCs w:val="21"/>
                <w:highlight w:val="none"/>
              </w:rPr>
            </w:pPr>
            <w:r>
              <w:rPr>
                <w:color w:val="auto"/>
                <w:szCs w:val="21"/>
                <w:highlight w:val="none"/>
              </w:rPr>
              <w:t>评分准则</w:t>
            </w:r>
          </w:p>
        </w:tc>
      </w:tr>
      <w:tr w14:paraId="6476A3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0DBBB12E">
            <w:pPr>
              <w:rPr>
                <w:rFonts w:ascii="宋体" w:hAnsi="宋体" w:cs="宋体"/>
                <w:b/>
                <w:bCs/>
                <w:color w:val="0000FF"/>
                <w:sz w:val="24"/>
                <w:highlight w:val="none"/>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0A20FF61">
            <w:pPr>
              <w:wordWrap w:val="0"/>
              <w:jc w:val="center"/>
              <w:rPr>
                <w:rFonts w:ascii="宋体" w:hAnsi="宋体" w:cs="宋体"/>
                <w:szCs w:val="21"/>
                <w:highlight w:val="none"/>
              </w:rPr>
            </w:pPr>
            <w:r>
              <w:rPr>
                <w:szCs w:val="21"/>
                <w:highlight w:val="none"/>
              </w:rPr>
              <w:t>1</w:t>
            </w:r>
          </w:p>
        </w:tc>
        <w:tc>
          <w:tcPr>
            <w:tcW w:w="1720" w:type="dxa"/>
            <w:tcBorders>
              <w:top w:val="single" w:color="000000" w:sz="8" w:space="0"/>
              <w:left w:val="single" w:color="000000" w:sz="8" w:space="0"/>
              <w:bottom w:val="single" w:color="000000" w:sz="8" w:space="0"/>
              <w:right w:val="single" w:color="000000" w:sz="8" w:space="0"/>
            </w:tcBorders>
            <w:vAlign w:val="center"/>
          </w:tcPr>
          <w:p w14:paraId="3B2225F1">
            <w:pPr>
              <w:wordWrap w:val="0"/>
              <w:jc w:val="center"/>
              <w:rPr>
                <w:rFonts w:ascii="宋体" w:hAnsi="宋体" w:cs="宋体"/>
                <w:szCs w:val="21"/>
                <w:highlight w:val="none"/>
              </w:rPr>
            </w:pPr>
            <w:r>
              <w:rPr>
                <w:szCs w:val="21"/>
                <w:highlight w:val="none"/>
              </w:rPr>
              <w:t>诚信情况</w:t>
            </w:r>
          </w:p>
        </w:tc>
        <w:tc>
          <w:tcPr>
            <w:tcW w:w="656" w:type="dxa"/>
            <w:tcBorders>
              <w:top w:val="single" w:color="000000" w:sz="8" w:space="0"/>
              <w:left w:val="single" w:color="000000" w:sz="8" w:space="0"/>
              <w:bottom w:val="single" w:color="000000" w:sz="8" w:space="0"/>
              <w:right w:val="single" w:color="000000" w:sz="8" w:space="0"/>
            </w:tcBorders>
            <w:vAlign w:val="center"/>
          </w:tcPr>
          <w:p w14:paraId="0066CE2A">
            <w:pPr>
              <w:widowControl/>
              <w:wordWrap w:val="0"/>
              <w:jc w:val="center"/>
              <w:textAlignment w:val="top"/>
              <w:rPr>
                <w:rFonts w:ascii="宋体" w:hAnsi="宋体" w:cs="宋体"/>
                <w:szCs w:val="21"/>
                <w:highlight w:val="none"/>
              </w:rPr>
            </w:pPr>
            <w:r>
              <w:rPr>
                <w:rFonts w:hint="eastAsia"/>
                <w:highlight w:val="none"/>
                <w:lang w:val="en-US" w:eastAsia="zh-CN"/>
              </w:rPr>
              <w:t>5</w:t>
            </w:r>
          </w:p>
        </w:tc>
        <w:tc>
          <w:tcPr>
            <w:tcW w:w="5602" w:type="dxa"/>
            <w:tcBorders>
              <w:top w:val="single" w:color="000000" w:sz="8" w:space="0"/>
              <w:left w:val="single" w:color="000000" w:sz="8" w:space="0"/>
              <w:bottom w:val="single" w:color="000000" w:sz="8" w:space="0"/>
              <w:right w:val="single" w:color="000000" w:sz="8" w:space="0"/>
            </w:tcBorders>
            <w:vAlign w:val="top"/>
          </w:tcPr>
          <w:p w14:paraId="6CFFF631">
            <w:pPr>
              <w:pStyle w:val="2"/>
              <w:wordWrap w:val="0"/>
              <w:spacing w:line="240" w:lineRule="auto"/>
              <w:ind w:firstLine="420" w:firstLineChars="2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hint="eastAsia" w:asciiTheme="minorEastAsia" w:hAnsiTheme="minorEastAsia" w:eastAsiaTheme="minorEastAsia" w:cstheme="minorEastAsia"/>
                <w:b w:val="0"/>
                <w:bCs w:val="0"/>
                <w:color w:val="auto"/>
                <w:sz w:val="21"/>
                <w:szCs w:val="21"/>
                <w:highlight w:val="none"/>
                <w:lang w:val="en-US" w:eastAsia="zh-CN"/>
              </w:rPr>
              <w:t>有关</w:t>
            </w:r>
            <w:r>
              <w:rPr>
                <w:rFonts w:hint="eastAsia" w:asciiTheme="minorEastAsia" w:hAnsiTheme="minorEastAsia" w:eastAsiaTheme="minorEastAsia" w:cstheme="minorEastAsia"/>
                <w:b w:val="0"/>
                <w:bCs w:val="0"/>
                <w:color w:val="auto"/>
                <w:sz w:val="21"/>
                <w:szCs w:val="21"/>
                <w:highlight w:val="none"/>
              </w:rPr>
              <w:t>供应商诚信查询结果。</w:t>
            </w:r>
          </w:p>
          <w:p w14:paraId="1D08B1D1">
            <w:pPr>
              <w:pStyle w:val="2"/>
              <w:wordWrap w:val="0"/>
              <w:spacing w:line="240" w:lineRule="auto"/>
              <w:ind w:firstLine="420" w:firstLineChars="200"/>
              <w:rPr>
                <w:rFonts w:ascii="宋体" w:hAnsi="宋体" w:cs="宋体"/>
                <w:color w:val="auto"/>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查询渠道：通过“信用中国”（www.creditchina.gov.cn，下载信用信息报告）、“中国政府采购网”（www.ccgp.gov.cn）、以及“深圳市政府采购监管网”（http://zfcg.sz.gov.cn）查询供应商信用信息，信用信息以开标当日的查询结果为准。</w:t>
            </w:r>
          </w:p>
        </w:tc>
      </w:tr>
    </w:tbl>
    <w:p w14:paraId="7FC25AD6">
      <w:pPr>
        <w:rPr>
          <w:rFonts w:hint="eastAsia" w:ascii="宋体" w:hAnsi="宋体" w:eastAsia="宋体" w:cs="宋体"/>
          <w:sz w:val="21"/>
          <w:szCs w:val="21"/>
        </w:rPr>
      </w:pPr>
    </w:p>
    <w:p w14:paraId="0B7FF04E">
      <w:pPr>
        <w:pStyle w:val="2"/>
        <w:rPr>
          <w:rFonts w:hint="eastAsia" w:ascii="宋体" w:hAnsi="宋体" w:eastAsia="宋体" w:cs="宋体"/>
          <w:sz w:val="21"/>
          <w:szCs w:val="21"/>
        </w:rPr>
      </w:pPr>
    </w:p>
    <w:p w14:paraId="379C0FDA">
      <w:pPr>
        <w:rPr>
          <w:rFonts w:hint="eastAsia"/>
        </w:rPr>
        <w:sectPr>
          <w:pgSz w:w="11907" w:h="16840"/>
          <w:pgMar w:top="1440" w:right="1417" w:bottom="1440" w:left="1417" w:header="851" w:footer="992" w:gutter="0"/>
          <w:cols w:space="425" w:num="1"/>
          <w:titlePg/>
          <w:docGrid w:linePitch="462" w:charSpace="0"/>
        </w:sectPr>
      </w:pPr>
    </w:p>
    <w:p w14:paraId="224BF440">
      <w:pPr>
        <w:jc w:val="both"/>
        <w:rPr>
          <w:rFonts w:hint="eastAsia"/>
          <w:b/>
          <w:sz w:val="120"/>
          <w:szCs w:val="120"/>
        </w:rPr>
      </w:pPr>
    </w:p>
    <w:p w14:paraId="77C81C6E">
      <w:pPr>
        <w:jc w:val="center"/>
        <w:rPr>
          <w:b/>
          <w:sz w:val="120"/>
          <w:szCs w:val="120"/>
        </w:rPr>
      </w:pPr>
      <w:r>
        <w:rPr>
          <w:rFonts w:hint="eastAsia"/>
          <w:b/>
          <w:sz w:val="120"/>
          <w:szCs w:val="120"/>
        </w:rPr>
        <w:t>政府采购</w:t>
      </w:r>
    </w:p>
    <w:p w14:paraId="2299DA67">
      <w:pPr>
        <w:jc w:val="center"/>
        <w:rPr>
          <w:b/>
          <w:sz w:val="120"/>
          <w:szCs w:val="120"/>
        </w:rPr>
      </w:pPr>
      <w:r>
        <w:rPr>
          <w:rFonts w:hint="eastAsia"/>
          <w:b/>
          <w:sz w:val="120"/>
          <w:szCs w:val="120"/>
        </w:rPr>
        <w:t>招标文件</w:t>
      </w:r>
    </w:p>
    <w:p w14:paraId="019D812C">
      <w:pPr>
        <w:jc w:val="center"/>
        <w:rPr>
          <w:b/>
          <w:sz w:val="52"/>
          <w:szCs w:val="52"/>
        </w:rPr>
      </w:pPr>
      <w:r>
        <w:rPr>
          <w:rFonts w:hint="eastAsia"/>
          <w:b/>
          <w:sz w:val="52"/>
          <w:szCs w:val="52"/>
        </w:rPr>
        <w:t>（服务类）</w:t>
      </w:r>
    </w:p>
    <w:p w14:paraId="2D0B5474">
      <w:pPr>
        <w:jc w:val="center"/>
        <w:rPr>
          <w:b/>
          <w:sz w:val="44"/>
          <w:szCs w:val="44"/>
        </w:rPr>
      </w:pPr>
    </w:p>
    <w:p w14:paraId="433EAD3B">
      <w:pPr>
        <w:jc w:val="center"/>
        <w:rPr>
          <w:b/>
          <w:sz w:val="44"/>
          <w:szCs w:val="44"/>
        </w:rPr>
      </w:pPr>
    </w:p>
    <w:p w14:paraId="6E28D0B1">
      <w:pPr>
        <w:jc w:val="center"/>
        <w:rPr>
          <w:b/>
          <w:sz w:val="44"/>
          <w:szCs w:val="44"/>
        </w:rPr>
      </w:pPr>
    </w:p>
    <w:p w14:paraId="74792CBC">
      <w:pPr>
        <w:jc w:val="center"/>
        <w:rPr>
          <w:b/>
          <w:sz w:val="44"/>
          <w:szCs w:val="44"/>
        </w:rPr>
      </w:pPr>
    </w:p>
    <w:p w14:paraId="2BCF0A5E">
      <w:pPr>
        <w:jc w:val="center"/>
        <w:rPr>
          <w:b/>
          <w:sz w:val="44"/>
          <w:szCs w:val="44"/>
        </w:rPr>
      </w:pPr>
    </w:p>
    <w:p w14:paraId="78860D46">
      <w:pPr>
        <w:jc w:val="center"/>
        <w:rPr>
          <w:b/>
          <w:sz w:val="44"/>
          <w:szCs w:val="44"/>
        </w:rPr>
      </w:pPr>
    </w:p>
    <w:p w14:paraId="4B3C0EE9">
      <w:pPr>
        <w:jc w:val="center"/>
        <w:rPr>
          <w:b/>
          <w:sz w:val="44"/>
          <w:szCs w:val="44"/>
        </w:rPr>
      </w:pPr>
    </w:p>
    <w:p w14:paraId="1648A6FA">
      <w:pPr>
        <w:jc w:val="center"/>
        <w:rPr>
          <w:b/>
          <w:sz w:val="44"/>
          <w:szCs w:val="44"/>
        </w:rPr>
      </w:pPr>
    </w:p>
    <w:p w14:paraId="7712FC6D">
      <w:pPr>
        <w:jc w:val="center"/>
        <w:rPr>
          <w:b/>
          <w:sz w:val="44"/>
          <w:szCs w:val="44"/>
        </w:rPr>
      </w:pPr>
      <w:bookmarkStart w:id="0" w:name="_Hlk71465316"/>
      <w:r>
        <w:rPr>
          <w:rFonts w:hint="eastAsia"/>
          <w:b/>
          <w:sz w:val="44"/>
          <w:szCs w:val="44"/>
        </w:rPr>
        <w:t>深圳公共资源交易中心</w:t>
      </w:r>
    </w:p>
    <w:bookmarkEnd w:id="0"/>
    <w:p w14:paraId="7CBE3D5C">
      <w:pPr>
        <w:jc w:val="center"/>
        <w:rPr>
          <w:rFonts w:hint="eastAsia" w:eastAsia="宋体"/>
          <w:b/>
          <w:sz w:val="44"/>
          <w:szCs w:val="44"/>
        </w:rPr>
      </w:pPr>
      <w:r>
        <w:rPr>
          <w:rFonts w:hint="eastAsia" w:eastAsia="宋体"/>
          <w:b/>
          <w:sz w:val="44"/>
          <w:szCs w:val="44"/>
        </w:rPr>
        <w:t>（202</w:t>
      </w:r>
      <w:r>
        <w:rPr>
          <w:rFonts w:hint="eastAsia"/>
          <w:b/>
          <w:sz w:val="44"/>
          <w:szCs w:val="44"/>
          <w:lang w:val="en-US" w:eastAsia="zh-CN"/>
        </w:rPr>
        <w:t>5</w:t>
      </w:r>
      <w:r>
        <w:rPr>
          <w:rFonts w:hint="eastAsia" w:eastAsia="宋体"/>
          <w:b/>
          <w:sz w:val="44"/>
          <w:szCs w:val="44"/>
        </w:rPr>
        <w:t>）</w:t>
      </w:r>
    </w:p>
    <w:p w14:paraId="283AEA21">
      <w:pPr>
        <w:ind w:firstLine="420" w:firstLineChars="200"/>
        <w:rPr>
          <w:rFonts w:hint="eastAsia"/>
        </w:rPr>
      </w:pPr>
      <w:r>
        <w:rPr>
          <w:rFonts w:hint="eastAsia"/>
        </w:rPr>
        <w:br w:type="page"/>
      </w:r>
    </w:p>
    <w:p w14:paraId="230E6365">
      <w:pPr>
        <w:pStyle w:val="3"/>
      </w:pPr>
      <w:r>
        <w:rPr>
          <w:rFonts w:hint="eastAsia"/>
        </w:rPr>
        <w:t>目   录</w:t>
      </w:r>
    </w:p>
    <w:p w14:paraId="715B27C2">
      <w:pPr>
        <w:outlineLvl w:val="0"/>
        <w:rPr>
          <w:b/>
          <w:sz w:val="24"/>
        </w:rPr>
      </w:pPr>
      <w:r>
        <w:rPr>
          <w:rFonts w:hint="eastAsia"/>
          <w:b/>
          <w:sz w:val="24"/>
        </w:rPr>
        <w:t>第一册  专用条款</w:t>
      </w:r>
    </w:p>
    <w:p w14:paraId="07381FDC">
      <w:pPr>
        <w:ind w:firstLine="960" w:firstLineChars="400"/>
        <w:rPr>
          <w:rFonts w:hint="eastAsia"/>
          <w:sz w:val="24"/>
        </w:rPr>
      </w:pPr>
      <w:r>
        <w:rPr>
          <w:rFonts w:hint="eastAsia"/>
          <w:sz w:val="24"/>
        </w:rPr>
        <w:t>关键信息</w:t>
      </w:r>
    </w:p>
    <w:p w14:paraId="4ABFD490">
      <w:pPr>
        <w:ind w:firstLine="960" w:firstLineChars="400"/>
        <w:rPr>
          <w:sz w:val="24"/>
        </w:rPr>
      </w:pPr>
      <w:r>
        <w:rPr>
          <w:rFonts w:hint="eastAsia" w:ascii="Times New Roman" w:hAnsi="Times New Roman" w:eastAsia="宋体" w:cs="Times New Roman"/>
          <w:sz w:val="24"/>
        </w:rPr>
        <w:t>评标信息</w:t>
      </w:r>
    </w:p>
    <w:p w14:paraId="7786AE08">
      <w:pPr>
        <w:ind w:left="630" w:leftChars="300" w:firstLine="630" w:firstLineChars="300"/>
        <w:rPr>
          <w:rFonts w:ascii="宋体" w:hAnsi="宋体"/>
          <w:szCs w:val="21"/>
        </w:rPr>
      </w:pPr>
      <w:r>
        <w:rPr>
          <w:rFonts w:hint="eastAsia" w:ascii="宋体" w:hAnsi="宋体"/>
          <w:szCs w:val="21"/>
        </w:rPr>
        <w:t>第一章  招标公告</w:t>
      </w:r>
    </w:p>
    <w:p w14:paraId="0C9B909A">
      <w:pPr>
        <w:ind w:left="630" w:leftChars="300" w:firstLine="630" w:firstLineChars="300"/>
        <w:rPr>
          <w:rFonts w:ascii="宋体" w:hAnsi="宋体"/>
          <w:szCs w:val="21"/>
        </w:rPr>
      </w:pPr>
      <w:r>
        <w:rPr>
          <w:rFonts w:hint="eastAsia" w:ascii="宋体" w:hAnsi="宋体"/>
          <w:szCs w:val="21"/>
        </w:rPr>
        <w:t xml:space="preserve">第二章  </w:t>
      </w:r>
      <w:bookmarkStart w:id="1" w:name="_Hlk71994379"/>
      <w:r>
        <w:rPr>
          <w:rFonts w:hint="eastAsia" w:ascii="宋体" w:hAnsi="宋体"/>
          <w:szCs w:val="21"/>
        </w:rPr>
        <w:t>对通用条款的补充内容及其他关键信息</w:t>
      </w:r>
      <w:bookmarkEnd w:id="1"/>
    </w:p>
    <w:p w14:paraId="4E631B7B">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61E91D41">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1D62B8D8">
      <w:pPr>
        <w:ind w:left="630" w:leftChars="300" w:firstLine="630" w:firstLineChars="300"/>
        <w:rPr>
          <w:rFonts w:ascii="宋体" w:hAnsi="宋体"/>
          <w:szCs w:val="21"/>
        </w:rPr>
      </w:pPr>
      <w:r>
        <w:rPr>
          <w:rFonts w:hint="eastAsia" w:ascii="宋体" w:hAnsi="宋体"/>
          <w:szCs w:val="21"/>
        </w:rPr>
        <w:t>第五章  合同条款及格式</w:t>
      </w:r>
    </w:p>
    <w:p w14:paraId="558051A7">
      <w:pPr>
        <w:rPr>
          <w:b/>
          <w:sz w:val="24"/>
        </w:rPr>
      </w:pPr>
    </w:p>
    <w:p w14:paraId="5DA5C330">
      <w:pPr>
        <w:outlineLvl w:val="0"/>
        <w:rPr>
          <w:b/>
          <w:sz w:val="24"/>
        </w:rPr>
      </w:pPr>
      <w:r>
        <w:rPr>
          <w:rFonts w:hint="eastAsia"/>
          <w:b/>
          <w:sz w:val="24"/>
        </w:rPr>
        <w:t>第二册  通用条款</w:t>
      </w:r>
    </w:p>
    <w:p w14:paraId="787D732E">
      <w:pPr>
        <w:ind w:left="630" w:leftChars="300" w:firstLine="411" w:firstLineChars="196"/>
        <w:rPr>
          <w:rFonts w:ascii="宋体" w:hAnsi="宋体"/>
          <w:szCs w:val="21"/>
        </w:rPr>
      </w:pPr>
      <w:r>
        <w:rPr>
          <w:rFonts w:hint="eastAsia" w:ascii="宋体" w:hAnsi="宋体"/>
          <w:szCs w:val="21"/>
        </w:rPr>
        <w:t>第一章  总则</w:t>
      </w:r>
    </w:p>
    <w:p w14:paraId="412DDC93">
      <w:pPr>
        <w:ind w:left="630" w:leftChars="300" w:firstLine="411" w:firstLineChars="196"/>
        <w:rPr>
          <w:rFonts w:ascii="宋体" w:hAnsi="宋体"/>
          <w:szCs w:val="21"/>
        </w:rPr>
      </w:pPr>
      <w:r>
        <w:rPr>
          <w:rFonts w:hint="eastAsia" w:ascii="宋体" w:hAnsi="宋体"/>
          <w:szCs w:val="21"/>
        </w:rPr>
        <w:t>第二章  招标文件</w:t>
      </w:r>
    </w:p>
    <w:p w14:paraId="11A4B37B">
      <w:pPr>
        <w:ind w:left="630" w:leftChars="300" w:firstLine="411" w:firstLineChars="196"/>
        <w:rPr>
          <w:rFonts w:ascii="宋体" w:hAnsi="宋体"/>
          <w:szCs w:val="21"/>
        </w:rPr>
      </w:pPr>
      <w:r>
        <w:rPr>
          <w:rFonts w:hint="eastAsia" w:ascii="宋体" w:hAnsi="宋体"/>
          <w:szCs w:val="21"/>
        </w:rPr>
        <w:t>第三章  投标文件的编制</w:t>
      </w:r>
    </w:p>
    <w:p w14:paraId="2D692515">
      <w:pPr>
        <w:ind w:left="630" w:leftChars="300" w:firstLine="411" w:firstLineChars="196"/>
        <w:rPr>
          <w:rFonts w:ascii="宋体" w:hAnsi="宋体"/>
          <w:szCs w:val="21"/>
        </w:rPr>
      </w:pPr>
      <w:r>
        <w:rPr>
          <w:rFonts w:hint="eastAsia" w:ascii="宋体" w:hAnsi="宋体"/>
          <w:szCs w:val="21"/>
        </w:rPr>
        <w:t>第四章  投标文件的递交</w:t>
      </w:r>
    </w:p>
    <w:p w14:paraId="2B7D5188">
      <w:pPr>
        <w:ind w:left="630" w:leftChars="300" w:firstLine="411" w:firstLineChars="196"/>
        <w:rPr>
          <w:rFonts w:ascii="宋体" w:hAnsi="宋体"/>
          <w:szCs w:val="21"/>
        </w:rPr>
      </w:pPr>
      <w:r>
        <w:rPr>
          <w:rFonts w:hint="eastAsia" w:ascii="宋体" w:hAnsi="宋体"/>
          <w:szCs w:val="21"/>
        </w:rPr>
        <w:t>第五章  开标</w:t>
      </w:r>
    </w:p>
    <w:p w14:paraId="72AE4585">
      <w:pPr>
        <w:ind w:left="630" w:leftChars="300" w:firstLine="411" w:firstLineChars="196"/>
        <w:rPr>
          <w:rFonts w:ascii="宋体" w:hAnsi="宋体"/>
          <w:szCs w:val="21"/>
        </w:rPr>
      </w:pPr>
      <w:r>
        <w:rPr>
          <w:rFonts w:hint="eastAsia" w:ascii="宋体" w:hAnsi="宋体"/>
          <w:szCs w:val="21"/>
        </w:rPr>
        <w:t>第六章  评审要求</w:t>
      </w:r>
    </w:p>
    <w:p w14:paraId="6EA997A4">
      <w:pPr>
        <w:ind w:left="630" w:leftChars="300" w:firstLine="411" w:firstLineChars="196"/>
        <w:rPr>
          <w:rFonts w:ascii="宋体" w:hAnsi="宋体"/>
          <w:szCs w:val="21"/>
        </w:rPr>
      </w:pPr>
      <w:r>
        <w:rPr>
          <w:rFonts w:hint="eastAsia" w:ascii="宋体" w:hAnsi="宋体"/>
          <w:szCs w:val="21"/>
        </w:rPr>
        <w:t>第七章  评审程序及评审方法</w:t>
      </w:r>
    </w:p>
    <w:p w14:paraId="1B909333">
      <w:pPr>
        <w:ind w:left="630" w:leftChars="300" w:firstLine="411" w:firstLineChars="196"/>
        <w:rPr>
          <w:rFonts w:ascii="宋体" w:hAnsi="宋体"/>
          <w:szCs w:val="21"/>
        </w:rPr>
      </w:pPr>
      <w:r>
        <w:rPr>
          <w:rFonts w:hint="eastAsia" w:ascii="宋体" w:hAnsi="宋体"/>
          <w:szCs w:val="21"/>
        </w:rPr>
        <w:t>第八章  定标及公示</w:t>
      </w:r>
    </w:p>
    <w:p w14:paraId="404C9FD9">
      <w:pPr>
        <w:ind w:left="630" w:leftChars="300" w:firstLine="411" w:firstLineChars="196"/>
        <w:rPr>
          <w:rFonts w:ascii="宋体" w:hAnsi="宋体"/>
          <w:szCs w:val="21"/>
        </w:rPr>
      </w:pPr>
      <w:r>
        <w:rPr>
          <w:rFonts w:hint="eastAsia" w:ascii="宋体" w:hAnsi="宋体"/>
          <w:szCs w:val="21"/>
        </w:rPr>
        <w:t>第九章  公开招标失败的后续处理</w:t>
      </w:r>
    </w:p>
    <w:p w14:paraId="068ED59B">
      <w:pPr>
        <w:ind w:left="630" w:leftChars="300" w:firstLine="411" w:firstLineChars="196"/>
        <w:rPr>
          <w:rFonts w:ascii="宋体" w:hAnsi="宋体"/>
          <w:szCs w:val="21"/>
        </w:rPr>
      </w:pPr>
      <w:r>
        <w:rPr>
          <w:rFonts w:hint="eastAsia" w:ascii="宋体" w:hAnsi="宋体"/>
          <w:szCs w:val="21"/>
        </w:rPr>
        <w:t>第十章  合同的授予与备案</w:t>
      </w:r>
    </w:p>
    <w:p w14:paraId="0F70C392">
      <w:pPr>
        <w:ind w:firstLine="1050" w:firstLineChars="500"/>
        <w:outlineLvl w:val="0"/>
        <w:rPr>
          <w:b/>
          <w:sz w:val="24"/>
        </w:rPr>
      </w:pPr>
      <w:r>
        <w:rPr>
          <w:rFonts w:hint="eastAsia" w:ascii="宋体" w:hAnsi="宋体"/>
          <w:szCs w:val="21"/>
        </w:rPr>
        <w:t>第十一章  质疑处理</w:t>
      </w:r>
    </w:p>
    <w:p w14:paraId="3C241975">
      <w:pPr>
        <w:spacing w:line="360" w:lineRule="auto"/>
        <w:ind w:firstLine="420" w:firstLineChars="200"/>
        <w:jc w:val="left"/>
        <w:rPr>
          <w:rFonts w:ascii="宋体" w:hAnsi="宋体"/>
          <w:szCs w:val="21"/>
        </w:rPr>
      </w:pPr>
    </w:p>
    <w:p w14:paraId="6D3F26DE">
      <w:pPr>
        <w:pStyle w:val="3"/>
        <w:rPr>
          <w:sz w:val="24"/>
        </w:rPr>
      </w:pPr>
      <w:r>
        <w:br w:type="page"/>
      </w:r>
      <w:bookmarkStart w:id="2" w:name="bt合同格式"/>
      <w:bookmarkEnd w:id="2"/>
      <w:bookmarkStart w:id="3" w:name="bt技术标投标文件格式"/>
      <w:bookmarkEnd w:id="3"/>
      <w:bookmarkStart w:id="4" w:name="bt投标人须知"/>
      <w:bookmarkEnd w:id="4"/>
      <w:bookmarkStart w:id="5" w:name="bt其他资料2"/>
      <w:bookmarkEnd w:id="5"/>
      <w:bookmarkStart w:id="6" w:name="bt投标人情况介绍"/>
      <w:bookmarkEnd w:id="6"/>
      <w:bookmarkStart w:id="7" w:name="合同格式"/>
      <w:bookmarkEnd w:id="7"/>
      <w:bookmarkStart w:id="8" w:name="bt说明"/>
      <w:bookmarkEnd w:id="8"/>
      <w:bookmarkStart w:id="9" w:name="bt合同条款"/>
      <w:bookmarkEnd w:id="9"/>
      <w:bookmarkStart w:id="10" w:name="bt其他资料由投标人自定"/>
      <w:bookmarkEnd w:id="10"/>
      <w:bookmarkStart w:id="11" w:name="bt投标文件签署授权委托书"/>
      <w:bookmarkEnd w:id="11"/>
      <w:bookmarkStart w:id="12" w:name="bt投标报价汇总表"/>
      <w:bookmarkEnd w:id="12"/>
      <w:bookmarkStart w:id="13" w:name="bt商务标投标文件格式"/>
      <w:bookmarkEnd w:id="13"/>
      <w:bookmarkStart w:id="14" w:name="bt开标一览表"/>
      <w:bookmarkEnd w:id="14"/>
      <w:bookmarkStart w:id="15" w:name="bt本工程承诺书"/>
      <w:bookmarkEnd w:id="15"/>
      <w:bookmarkStart w:id="16" w:name="bt项目管理班子配备情况"/>
      <w:bookmarkEnd w:id="16"/>
      <w:bookmarkStart w:id="17" w:name="bt合同条款及格式"/>
      <w:bookmarkEnd w:id="17"/>
      <w:bookmarkStart w:id="18" w:name="bt投标函"/>
      <w:bookmarkEnd w:id="18"/>
      <w:r>
        <w:rPr>
          <w:rFonts w:hint="eastAsia"/>
        </w:rPr>
        <w:t>第一册</w:t>
      </w:r>
      <w:r>
        <w:rPr>
          <w:rFonts w:hint="eastAsia"/>
          <w:lang w:val="en-US" w:eastAsia="zh-CN"/>
        </w:rPr>
        <w:t xml:space="preserve">  </w:t>
      </w:r>
      <w:r>
        <w:rPr>
          <w:rFonts w:hint="eastAsia"/>
        </w:rPr>
        <w:t>专用条款</w:t>
      </w:r>
    </w:p>
    <w:p w14:paraId="5B3E080A">
      <w:pPr>
        <w:pStyle w:val="6"/>
        <w:rPr>
          <w:rFonts w:hint="eastAsia"/>
          <w:sz w:val="28"/>
          <w:szCs w:val="28"/>
        </w:rPr>
      </w:pPr>
      <w:r>
        <w:rPr>
          <w:rFonts w:hint="eastAsia"/>
          <w:sz w:val="28"/>
          <w:szCs w:val="28"/>
        </w:rPr>
        <w:t>第一章  招标公告</w:t>
      </w:r>
    </w:p>
    <w:tbl>
      <w:tblPr>
        <w:tblStyle w:val="44"/>
        <w:tblW w:w="8093" w:type="dxa"/>
        <w:jc w:val="center"/>
        <w:tblCellSpacing w:w="0" w:type="dxa"/>
        <w:tblLayout w:type="fixed"/>
        <w:tblCellMar>
          <w:top w:w="0" w:type="dxa"/>
          <w:left w:w="0" w:type="dxa"/>
          <w:bottom w:w="0" w:type="dxa"/>
          <w:right w:w="0" w:type="dxa"/>
        </w:tblCellMar>
      </w:tblPr>
      <w:tblGrid>
        <w:gridCol w:w="8093"/>
      </w:tblGrid>
      <w:tr w14:paraId="458E671D">
        <w:tblPrEx>
          <w:tblCellMar>
            <w:top w:w="0" w:type="dxa"/>
            <w:left w:w="0" w:type="dxa"/>
            <w:bottom w:w="0" w:type="dxa"/>
            <w:right w:w="0" w:type="dxa"/>
          </w:tblCellMar>
        </w:tblPrEx>
        <w:trPr>
          <w:tblCellSpacing w:w="0" w:type="dxa"/>
          <w:jc w:val="center"/>
        </w:trPr>
        <w:tc>
          <w:tcPr>
            <w:tcW w:w="8093" w:type="dxa"/>
            <w:vAlign w:val="center"/>
          </w:tcPr>
          <w:tbl>
            <w:tblPr>
              <w:tblStyle w:val="44"/>
              <w:tblW w:w="8147" w:type="dxa"/>
              <w:jc w:val="center"/>
              <w:tblCellSpacing w:w="0" w:type="dxa"/>
              <w:tblLayout w:type="fixed"/>
              <w:tblCellMar>
                <w:top w:w="30" w:type="dxa"/>
                <w:left w:w="30" w:type="dxa"/>
                <w:bottom w:w="30" w:type="dxa"/>
                <w:right w:w="30" w:type="dxa"/>
              </w:tblCellMar>
            </w:tblPr>
            <w:tblGrid>
              <w:gridCol w:w="8147"/>
            </w:tblGrid>
            <w:tr w14:paraId="1D340D4A">
              <w:tblPrEx>
                <w:tblCellMar>
                  <w:top w:w="30" w:type="dxa"/>
                  <w:left w:w="30" w:type="dxa"/>
                  <w:bottom w:w="30" w:type="dxa"/>
                  <w:right w:w="30" w:type="dxa"/>
                </w:tblCellMar>
              </w:tblPrEx>
              <w:trPr>
                <w:tblCellSpacing w:w="0" w:type="dxa"/>
                <w:jc w:val="center"/>
              </w:trPr>
              <w:tc>
                <w:tcPr>
                  <w:tcW w:w="8147" w:type="dxa"/>
                </w:tcPr>
                <w:p w14:paraId="305BE490">
                  <w:pPr>
                    <w:spacing w:line="360" w:lineRule="auto"/>
                    <w:rPr>
                      <w:rFonts w:ascii="宋体" w:hAnsi="宋体" w:cs="宋体"/>
                      <w:b/>
                      <w:bCs/>
                      <w:kern w:val="0"/>
                      <w:szCs w:val="21"/>
                    </w:rPr>
                  </w:pPr>
                  <w:r>
                    <w:rPr>
                      <w:rFonts w:hint="eastAsia" w:ascii="宋体" w:hAnsi="宋体" w:cs="宋体"/>
                      <w:b/>
                      <w:bCs/>
                      <w:kern w:val="0"/>
                      <w:szCs w:val="21"/>
                    </w:rPr>
                    <w:t>申请人的资格要求：</w:t>
                  </w:r>
                </w:p>
                <w:p w14:paraId="025E9E2F">
                  <w:pPr>
                    <w:keepNext w:val="0"/>
                    <w:keepLines w:val="0"/>
                    <w:numPr>
                      <w:ilvl w:val="0"/>
                      <w:numId w:val="8"/>
                    </w:numPr>
                    <w:suppressLineNumbers w:val="0"/>
                    <w:spacing w:before="0" w:beforeAutospacing="0" w:after="0" w:afterAutospacing="0"/>
                    <w:ind w:left="0" w:right="0" w:firstLine="480" w:firstLineChars="200"/>
                    <w:rPr>
                      <w:rFonts w:hint="eastAsia" w:ascii="宋体" w:hAnsi="宋体" w:cs="宋体"/>
                      <w:kern w:val="0"/>
                      <w:sz w:val="24"/>
                    </w:rPr>
                  </w:pPr>
                  <w:r>
                    <w:rPr>
                      <w:rFonts w:hint="eastAsia" w:ascii="宋体" w:hAnsi="宋体" w:cs="宋体"/>
                      <w:kern w:val="0"/>
                      <w:sz w:val="24"/>
                    </w:rPr>
                    <w:t>具有独立承担民事责任的能力（提供营业执照或事业单位法人证书等证明资料扫描件，原件备查）；</w:t>
                  </w:r>
                </w:p>
                <w:p w14:paraId="6BEDC889">
                  <w:pPr>
                    <w:keepNext w:val="0"/>
                    <w:keepLines w:val="0"/>
                    <w:numPr>
                      <w:ilvl w:val="0"/>
                      <w:numId w:val="0"/>
                    </w:numPr>
                    <w:suppressLineNumbers w:val="0"/>
                    <w:spacing w:before="0" w:beforeAutospacing="0" w:after="0" w:afterAutospacing="0"/>
                    <w:ind w:right="0" w:rightChars="0" w:firstLine="480" w:firstLineChars="200"/>
                    <w:rPr>
                      <w:rFonts w:hint="eastAsia" w:ascii="宋体" w:hAnsi="宋体" w:eastAsia="宋体" w:cs="宋体"/>
                      <w:color w:val="FF0000"/>
                      <w:kern w:val="0"/>
                      <w:sz w:val="24"/>
                      <w:lang w:eastAsia="zh-CN"/>
                    </w:rPr>
                  </w:pPr>
                  <w:r>
                    <w:rPr>
                      <w:rFonts w:hint="eastAsia" w:ascii="宋体" w:hAnsi="宋体" w:cs="宋体"/>
                      <w:kern w:val="0"/>
                      <w:sz w:val="24"/>
                    </w:rPr>
                    <w:t>2.本项目</w:t>
                  </w:r>
                  <w:r>
                    <w:rPr>
                      <w:rFonts w:hint="default" w:ascii="宋体" w:hAnsi="宋体" w:cs="宋体"/>
                      <w:kern w:val="0"/>
                      <w:sz w:val="24"/>
                    </w:rPr>
                    <w:t>不</w:t>
                  </w:r>
                  <w:r>
                    <w:rPr>
                      <w:rFonts w:hint="eastAsia" w:ascii="宋体" w:hAnsi="宋体" w:cs="宋体"/>
                      <w:kern w:val="0"/>
                      <w:sz w:val="24"/>
                    </w:rPr>
                    <w:t>接受联合体投标</w:t>
                  </w:r>
                  <w:r>
                    <w:rPr>
                      <w:rFonts w:hint="eastAsia"/>
                    </w:rPr>
                    <w:t>，</w:t>
                  </w:r>
                  <w:r>
                    <w:rPr>
                      <w:rFonts w:hint="eastAsia" w:ascii="宋体" w:hAnsi="宋体" w:cs="宋体"/>
                      <w:kern w:val="0"/>
                      <w:sz w:val="24"/>
                    </w:rPr>
                    <w:t>不接受投标人选用进口产品参与投标，不允许分包</w:t>
                  </w:r>
                  <w:r>
                    <w:rPr>
                      <w:rFonts w:hint="eastAsia" w:ascii="宋体" w:hAnsi="宋体" w:cs="宋体"/>
                      <w:kern w:val="0"/>
                      <w:sz w:val="24"/>
                      <w:lang w:eastAsia="zh-CN"/>
                    </w:rPr>
                    <w:t>；</w:t>
                  </w:r>
                </w:p>
                <w:p w14:paraId="313E7E50">
                  <w:pPr>
                    <w:keepNext w:val="0"/>
                    <w:keepLines w:val="0"/>
                    <w:suppressLineNumbers w:val="0"/>
                    <w:spacing w:before="0" w:beforeAutospacing="0" w:after="0" w:afterAutospacing="0"/>
                    <w:ind w:left="0" w:right="0" w:firstLine="480" w:firstLineChars="200"/>
                    <w:rPr>
                      <w:rFonts w:hint="default" w:ascii="宋体" w:hAnsi="宋体" w:cs="宋体"/>
                      <w:kern w:val="0"/>
                      <w:sz w:val="24"/>
                    </w:rPr>
                  </w:pPr>
                  <w:r>
                    <w:rPr>
                      <w:rFonts w:hint="eastAsia" w:ascii="宋体" w:hAnsi="宋体" w:cs="宋体"/>
                      <w:kern w:val="0"/>
                      <w:sz w:val="24"/>
                    </w:rPr>
                    <w:t>3.参与本项目政府采购活动时不存在被有关部门禁止参与政府采购活动且在有效期内的情况（由供应商在《政府采购投标及履约承诺函》中作出声明）；</w:t>
                  </w:r>
                </w:p>
                <w:p w14:paraId="16E5271D">
                  <w:pPr>
                    <w:keepNext w:val="0"/>
                    <w:keepLines w:val="0"/>
                    <w:suppressLineNumbers w:val="0"/>
                    <w:spacing w:before="0" w:beforeAutospacing="0" w:after="0" w:afterAutospacing="0"/>
                    <w:ind w:left="0" w:right="0" w:firstLine="480" w:firstLineChars="200"/>
                    <w:rPr>
                      <w:rFonts w:hint="default" w:ascii="宋体" w:hAnsi="宋体" w:cs="宋体"/>
                      <w:kern w:val="0"/>
                      <w:sz w:val="24"/>
                    </w:rPr>
                  </w:pPr>
                  <w:r>
                    <w:rPr>
                      <w:rFonts w:hint="eastAsia" w:ascii="宋体" w:hAnsi="宋体" w:cs="宋体"/>
                      <w:kern w:val="0"/>
                      <w:sz w:val="24"/>
                    </w:rPr>
                    <w:t>4.具备《中华人民共和国政府采购法》第二十二条第一款的条件（由供应商在《政府采购投标及履约承诺函》中作出声明）；</w:t>
                  </w:r>
                </w:p>
                <w:p w14:paraId="51D24770">
                  <w:pPr>
                    <w:keepNext w:val="0"/>
                    <w:keepLines w:val="0"/>
                    <w:suppressLineNumbers w:val="0"/>
                    <w:spacing w:before="0" w:beforeAutospacing="0" w:after="0" w:afterAutospacing="0"/>
                    <w:ind w:left="0" w:right="0" w:firstLine="480" w:firstLineChars="200"/>
                    <w:rPr>
                      <w:rFonts w:hint="default" w:ascii="宋体" w:hAnsi="宋体" w:cs="宋体"/>
                      <w:kern w:val="0"/>
                      <w:sz w:val="24"/>
                    </w:rPr>
                  </w:pPr>
                  <w:r>
                    <w:rPr>
                      <w:rFonts w:hint="eastAsia" w:ascii="宋体" w:hAnsi="宋体" w:cs="宋体"/>
                      <w:kern w:val="0"/>
                      <w:sz w:val="24"/>
                    </w:rPr>
                    <w:t>5.未被列入失信被执行人、重大税收违法失信主体、政府采购严重违法失信行为记录名单（由供应商在《政府采购投标及履约承诺函》中作出声明）；</w:t>
                  </w:r>
                </w:p>
                <w:p w14:paraId="70FD7112">
                  <w:pPr>
                    <w:keepNext w:val="0"/>
                    <w:keepLines w:val="0"/>
                    <w:suppressLineNumbers w:val="0"/>
                    <w:spacing w:before="0" w:beforeAutospacing="0" w:after="0" w:afterAutospacing="0"/>
                    <w:ind w:left="0" w:right="0" w:firstLine="480" w:firstLineChars="200"/>
                    <w:rPr>
                      <w:rFonts w:hint="default" w:ascii="宋体" w:hAnsi="宋体" w:cs="宋体"/>
                      <w:kern w:val="0"/>
                      <w:sz w:val="24"/>
                    </w:rPr>
                  </w:pPr>
                  <w:r>
                    <w:rPr>
                      <w:rFonts w:hint="eastAsia" w:ascii="宋体" w:hAnsi="宋体" w:cs="宋体"/>
                      <w:color w:val="FF0000"/>
                      <w:kern w:val="0"/>
                      <w:sz w:val="24"/>
                    </w:rPr>
                    <w:t>6.不存在《深圳市财政局政府采购供应商信用信息管理办法》（深财规〔2023〕3号）列明的严重违法失信行为（由供应商在《政府采购投标及履约承诺函》中作出声明）；</w:t>
                  </w:r>
                </w:p>
                <w:p w14:paraId="2B8EC89A">
                  <w:pPr>
                    <w:keepNext w:val="0"/>
                    <w:keepLines w:val="0"/>
                    <w:suppressLineNumbers w:val="0"/>
                    <w:spacing w:before="0" w:beforeAutospacing="0" w:after="0" w:afterAutospacing="0"/>
                    <w:ind w:left="0" w:right="0"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7</w:t>
                  </w:r>
                  <w:r>
                    <w:rPr>
                      <w:rFonts w:hint="eastAsia" w:ascii="宋体" w:hAnsi="宋体" w:eastAsia="宋体" w:cs="宋体"/>
                      <w:kern w:val="0"/>
                      <w:sz w:val="24"/>
                    </w:rPr>
                    <w:t>.为采购项目提供整体设计、规范编制或者项目管理、监理、检测等服务的供应商，不得再参加该采购项目的其他采购活动（由供应商在《政府采购投标及履约承诺函》中作出声明）</w:t>
                  </w:r>
                  <w:r>
                    <w:rPr>
                      <w:rFonts w:hint="eastAsia" w:ascii="宋体" w:hAnsi="宋体" w:eastAsia="宋体" w:cs="宋体"/>
                      <w:kern w:val="0"/>
                      <w:sz w:val="24"/>
                      <w:lang w:val="en-US" w:eastAsia="zh-CN"/>
                    </w:rPr>
                    <w:t>；</w:t>
                  </w:r>
                </w:p>
                <w:p w14:paraId="659D96BA">
                  <w:pPr>
                    <w:pStyle w:val="196"/>
                    <w:ind w:firstLine="480" w:firstLineChars="200"/>
                    <w:rPr>
                      <w:rFonts w:hint="eastAsia" w:ascii="宋体" w:hAnsi="宋体" w:eastAsia="宋体" w:cs="宋体"/>
                      <w:color w:val="FF0000"/>
                      <w:kern w:val="0"/>
                      <w:sz w:val="24"/>
                      <w:szCs w:val="24"/>
                      <w:lang w:val="en-US" w:eastAsia="zh-CN" w:bidi="ar-SA"/>
                    </w:rPr>
                  </w:pPr>
                  <w:r>
                    <w:rPr>
                      <w:rFonts w:hint="eastAsia" w:ascii="宋体" w:hAnsi="宋体" w:eastAsia="宋体" w:cs="宋体"/>
                      <w:color w:val="FF0000"/>
                      <w:kern w:val="0"/>
                      <w:sz w:val="24"/>
                      <w:szCs w:val="24"/>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5F9EB6B9">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default" w:ascii="宋体" w:hAnsi="宋体" w:eastAsia="宋体" w:cs="宋体"/>
                      <w:b w:val="0"/>
                      <w:bCs w:val="0"/>
                      <w:color w:val="FF0000"/>
                      <w:kern w:val="0"/>
                      <w:sz w:val="24"/>
                      <w:szCs w:val="24"/>
                      <w:lang w:val="en-US" w:eastAsia="zh-CN" w:bidi="ar-SA"/>
                    </w:rPr>
                  </w:pPr>
                  <w:r>
                    <w:rPr>
                      <w:rFonts w:hint="eastAsia" w:ascii="宋体" w:hAnsi="宋体" w:cs="宋体"/>
                      <w:b w:val="0"/>
                      <w:bCs w:val="0"/>
                      <w:color w:val="auto"/>
                      <w:kern w:val="0"/>
                      <w:sz w:val="24"/>
                      <w:szCs w:val="24"/>
                      <w:lang w:val="en-US" w:eastAsia="zh-CN" w:bidi="ar-SA"/>
                    </w:rPr>
                    <w:t>9</w:t>
                  </w:r>
                  <w:r>
                    <w:rPr>
                      <w:rFonts w:hint="default" w:ascii="宋体" w:hAnsi="宋体" w:eastAsia="宋体" w:cs="宋体"/>
                      <w:b w:val="0"/>
                      <w:bCs w:val="0"/>
                      <w:kern w:val="0"/>
                      <w:sz w:val="24"/>
                      <w:szCs w:val="24"/>
                      <w:lang w:val="en-US" w:eastAsia="zh-CN" w:bidi="ar-SA"/>
                    </w:rPr>
                    <w:t>.</w:t>
                  </w:r>
                  <w:r>
                    <w:rPr>
                      <w:rFonts w:hint="eastAsia" w:ascii="宋体" w:hAnsi="宋体" w:eastAsia="宋体" w:cs="宋体"/>
                      <w:b w:val="0"/>
                      <w:bCs w:val="0"/>
                      <w:kern w:val="0"/>
                      <w:sz w:val="24"/>
                      <w:szCs w:val="24"/>
                      <w:lang w:val="en-US" w:eastAsia="zh-CN" w:bidi="ar-SA"/>
                    </w:rPr>
                    <w:t>本项目全部专门面向中小企业采购</w:t>
                  </w:r>
                  <w:r>
                    <w:rPr>
                      <w:rFonts w:hint="default" w:ascii="宋体" w:hAnsi="宋体" w:eastAsia="宋体" w:cs="宋体"/>
                      <w:b w:val="0"/>
                      <w:bCs w:val="0"/>
                      <w:kern w:val="0"/>
                      <w:sz w:val="24"/>
                      <w:szCs w:val="24"/>
                      <w:lang w:val="en-US" w:eastAsia="zh-CN" w:bidi="ar-SA"/>
                    </w:rPr>
                    <w:t>：</w:t>
                  </w:r>
                  <w:r>
                    <w:rPr>
                      <w:rFonts w:hint="eastAsia" w:ascii="宋体" w:hAnsi="宋体" w:cs="宋体"/>
                      <w:b w:val="0"/>
                      <w:bCs w:val="0"/>
                      <w:color w:val="FF0000"/>
                      <w:kern w:val="0"/>
                      <w:sz w:val="24"/>
                      <w:szCs w:val="24"/>
                      <w:lang w:val="en-US" w:eastAsia="zh-CN" w:bidi="ar-SA"/>
                    </w:rPr>
                    <w:t>否</w:t>
                  </w:r>
                  <w:r>
                    <w:rPr>
                      <w:rFonts w:hint="default" w:ascii="宋体" w:hAnsi="宋体" w:eastAsia="宋体" w:cs="宋体"/>
                      <w:b w:val="0"/>
                      <w:bCs w:val="0"/>
                      <w:color w:val="FF0000"/>
                      <w:kern w:val="0"/>
                      <w:sz w:val="24"/>
                      <w:szCs w:val="24"/>
                      <w:lang w:val="en-US" w:eastAsia="zh-CN" w:bidi="ar-SA"/>
                    </w:rPr>
                    <w:t>；</w:t>
                  </w:r>
                </w:p>
                <w:p w14:paraId="3EC37D5D">
                  <w:pPr>
                    <w:keepNext w:val="0"/>
                    <w:keepLines w:val="0"/>
                    <w:suppressLineNumbers w:val="0"/>
                    <w:spacing w:before="0" w:beforeAutospacing="0" w:after="0" w:afterAutospacing="0"/>
                    <w:ind w:left="0" w:right="0" w:firstLine="480" w:firstLineChars="200"/>
                    <w:rPr>
                      <w:rFonts w:hint="eastAsia" w:ascii="宋体" w:hAnsi="宋体" w:eastAsia="宋体" w:cs="宋体"/>
                      <w:color w:val="FF0000"/>
                      <w:kern w:val="0"/>
                      <w:sz w:val="24"/>
                      <w:lang w:eastAsia="zh-CN"/>
                    </w:rPr>
                  </w:pPr>
                  <w:r>
                    <w:rPr>
                      <w:rFonts w:hint="eastAsia" w:ascii="宋体" w:hAnsi="宋体" w:eastAsia="宋体" w:cs="宋体"/>
                      <w:color w:val="FF0000"/>
                      <w:kern w:val="0"/>
                      <w:sz w:val="24"/>
                      <w:lang w:val="en-US" w:eastAsia="zh-CN"/>
                    </w:rPr>
                    <w:t>10.</w:t>
                  </w:r>
                  <w:r>
                    <w:rPr>
                      <w:rFonts w:hint="eastAsia" w:ascii="宋体" w:hAnsi="宋体" w:eastAsia="宋体" w:cs="宋体"/>
                      <w:color w:val="FF0000"/>
                      <w:kern w:val="0"/>
                      <w:sz w:val="24"/>
                    </w:rPr>
                    <w:t>投标人必须具有有效期内的《食品经营许可证》</w:t>
                  </w:r>
                  <w:r>
                    <w:rPr>
                      <w:rFonts w:hint="eastAsia" w:ascii="宋体" w:hAnsi="宋体" w:cs="宋体"/>
                      <w:kern w:val="0"/>
                      <w:sz w:val="24"/>
                    </w:rPr>
                    <w:t>（提供证明资料扫描件</w:t>
                  </w:r>
                  <w:r>
                    <w:rPr>
                      <w:rFonts w:hint="eastAsia" w:ascii="宋体" w:hAnsi="宋体" w:cs="宋体"/>
                      <w:kern w:val="0"/>
                      <w:sz w:val="24"/>
                      <w:lang w:eastAsia="zh-CN"/>
                    </w:rPr>
                    <w:t>）</w:t>
                  </w:r>
                  <w:r>
                    <w:rPr>
                      <w:rFonts w:hint="eastAsia" w:ascii="宋体" w:hAnsi="宋体" w:eastAsia="宋体" w:cs="宋体"/>
                      <w:color w:val="FF0000"/>
                      <w:kern w:val="0"/>
                      <w:sz w:val="24"/>
                      <w:lang w:eastAsia="zh-CN"/>
                    </w:rPr>
                    <w:t>。</w:t>
                  </w:r>
                </w:p>
                <w:p w14:paraId="076CBAD4">
                  <w:pPr>
                    <w:pStyle w:val="36"/>
                    <w:rPr>
                      <w:rFonts w:hint="default"/>
                      <w:lang w:val="en-US" w:eastAsia="zh-CN"/>
                    </w:rPr>
                  </w:pPr>
                </w:p>
                <w:p w14:paraId="27974A3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注：（1）“信用中国”（www.creditchina.gov.cn</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查询</w:t>
                  </w:r>
                  <w:r>
                    <w:rPr>
                      <w:rFonts w:hint="eastAsia" w:ascii="宋体" w:hAnsi="宋体" w:eastAsia="宋体" w:cs="宋体"/>
                      <w:kern w:val="0"/>
                      <w:sz w:val="21"/>
                      <w:szCs w:val="21"/>
                    </w:rPr>
                    <w:t>“信用服务”栏的“重大税收违法失信主体”“失信被执行人”</w:t>
                  </w:r>
                  <w:r>
                    <w:rPr>
                      <w:rFonts w:hint="eastAsia" w:ascii="宋体" w:hAnsi="宋体" w:eastAsia="宋体" w:cs="宋体"/>
                      <w:kern w:val="0"/>
                      <w:sz w:val="21"/>
                      <w:szCs w:val="21"/>
                      <w:lang w:val="en-US" w:eastAsia="zh-CN"/>
                    </w:rPr>
                    <w:t>或者下载信用信息报告）</w:t>
                  </w:r>
                  <w:r>
                    <w:rPr>
                      <w:rFonts w:hint="eastAsia" w:ascii="宋体" w:hAnsi="宋体" w:eastAsia="宋体" w:cs="宋体"/>
                      <w:kern w:val="0"/>
                      <w:sz w:val="21"/>
                      <w:szCs w:val="21"/>
                    </w:rPr>
                    <w:t>，“中国政府采购网”（www.ccgp.gov.cn）中的“政府采购严重违法失信行为记录名单”，以及“深圳市政府采购监管网”（http://zfcg.sz.gov.cn）为供应商信用信息的查询渠道，相关信息以开标当日的查询结果为准；</w:t>
                  </w:r>
                </w:p>
                <w:p w14:paraId="1E0982E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（2）供应商投标（上传投标文件）必须先行办理注册手续。</w:t>
                  </w:r>
                </w:p>
                <w:p w14:paraId="29F4099C">
                  <w:pPr>
                    <w:spacing w:beforeAutospacing="1" w:afterAutospacing="1"/>
                    <w:ind w:firstLine="482" w:firstLineChars="200"/>
                    <w:rPr>
                      <w:rFonts w:ascii="宋体" w:hAnsi="宋体" w:cs="宋体"/>
                      <w:sz w:val="24"/>
                    </w:rPr>
                  </w:pPr>
                  <w:r>
                    <w:rPr>
                      <w:rFonts w:hint="eastAsia" w:ascii="宋体" w:hAnsi="宋体" w:cs="宋体"/>
                      <w:b/>
                      <w:sz w:val="24"/>
                    </w:rPr>
                    <w:t>完整公告内容详见：深圳公共资源交易网（https://www.szggzy.com）</w:t>
                  </w:r>
                </w:p>
              </w:tc>
            </w:tr>
          </w:tbl>
          <w:p w14:paraId="27A0274A">
            <w:pPr>
              <w:rPr>
                <w:rFonts w:ascii="宋体" w:hAnsi="宋体" w:cs="宋体"/>
                <w:sz w:val="24"/>
              </w:rPr>
            </w:pPr>
          </w:p>
        </w:tc>
      </w:tr>
    </w:tbl>
    <w:p w14:paraId="27582711">
      <w:r>
        <w:rPr>
          <w:rFonts w:hint="eastAsia"/>
        </w:rPr>
        <w:br w:type="page"/>
      </w:r>
    </w:p>
    <w:p w14:paraId="7366FCC7">
      <w:pPr>
        <w:pStyle w:val="6"/>
        <w:rPr>
          <w:sz w:val="28"/>
          <w:szCs w:val="28"/>
        </w:rPr>
      </w:pPr>
      <w:r>
        <w:rPr>
          <w:rFonts w:hint="eastAsia"/>
          <w:sz w:val="28"/>
          <w:szCs w:val="28"/>
        </w:rPr>
        <w:t>第二章 对通用条款的补充内容及其他关键信息</w:t>
      </w:r>
    </w:p>
    <w:p w14:paraId="22A2E401">
      <w:pPr>
        <w:pStyle w:val="6"/>
        <w:spacing w:before="120" w:beforeLines="50" w:after="120" w:afterLines="50"/>
        <w:rPr>
          <w:sz w:val="28"/>
          <w:szCs w:val="28"/>
        </w:rPr>
      </w:pPr>
      <w:bookmarkStart w:id="19" w:name="_Toc100052364"/>
      <w:bookmarkStart w:id="20" w:name="_Toc73521635"/>
      <w:bookmarkStart w:id="21" w:name="_Toc73521547"/>
      <w:bookmarkStart w:id="22" w:name="_Toc60631620"/>
      <w:bookmarkStart w:id="23" w:name="_Toc101074876"/>
      <w:bookmarkStart w:id="24" w:name="_Toc73518117"/>
      <w:bookmarkStart w:id="25" w:name="_Toc73517639"/>
      <w:bookmarkStart w:id="26" w:name="_Toc60560625"/>
      <w:r>
        <w:rPr>
          <w:rFonts w:hint="eastAsia"/>
          <w:szCs w:val="24"/>
        </w:rPr>
        <w:t>一、对通用条款的补充内容</w:t>
      </w:r>
    </w:p>
    <w:bookmarkEnd w:id="19"/>
    <w:bookmarkEnd w:id="20"/>
    <w:bookmarkEnd w:id="21"/>
    <w:bookmarkEnd w:id="22"/>
    <w:bookmarkEnd w:id="23"/>
    <w:bookmarkEnd w:id="24"/>
    <w:bookmarkEnd w:id="25"/>
    <w:bookmarkEnd w:id="26"/>
    <w:tbl>
      <w:tblPr>
        <w:tblStyle w:val="44"/>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593525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6F7C0C2">
            <w:pPr>
              <w:jc w:val="center"/>
              <w:rPr>
                <w:rFonts w:ascii="宋体" w:hAnsi="宋体"/>
                <w:b/>
                <w:bCs/>
              </w:rPr>
            </w:pPr>
            <w:r>
              <w:rPr>
                <w:rFonts w:hint="eastAsia" w:ascii="宋体" w:hAnsi="宋体"/>
                <w:b/>
                <w:bCs/>
              </w:rPr>
              <w:t>通用条款序号</w:t>
            </w:r>
          </w:p>
        </w:tc>
        <w:tc>
          <w:tcPr>
            <w:tcW w:w="2409" w:type="dxa"/>
            <w:vAlign w:val="center"/>
          </w:tcPr>
          <w:p w14:paraId="6D5B8856">
            <w:pPr>
              <w:jc w:val="center"/>
              <w:rPr>
                <w:rFonts w:ascii="宋体" w:hAnsi="宋体"/>
                <w:b/>
                <w:bCs/>
              </w:rPr>
            </w:pPr>
            <w:r>
              <w:rPr>
                <w:rFonts w:hint="eastAsia" w:ascii="宋体" w:hAnsi="宋体"/>
                <w:b/>
                <w:bCs/>
              </w:rPr>
              <w:t>涉及事项</w:t>
            </w:r>
          </w:p>
        </w:tc>
        <w:tc>
          <w:tcPr>
            <w:tcW w:w="4980" w:type="dxa"/>
            <w:vAlign w:val="center"/>
          </w:tcPr>
          <w:p w14:paraId="25118D7B">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15CCE3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3C86ADE">
            <w:pPr>
              <w:jc w:val="center"/>
              <w:rPr>
                <w:rFonts w:ascii="宋体" w:hAnsi="宋体"/>
              </w:rPr>
            </w:pPr>
            <w:r>
              <w:rPr>
                <w:rFonts w:hint="eastAsia" w:ascii="宋体" w:hAnsi="宋体"/>
              </w:rPr>
              <w:t>3</w:t>
            </w:r>
            <w:r>
              <w:rPr>
                <w:rFonts w:ascii="宋体" w:hAnsi="宋体"/>
              </w:rPr>
              <w:t>.1</w:t>
            </w:r>
          </w:p>
        </w:tc>
        <w:tc>
          <w:tcPr>
            <w:tcW w:w="2409" w:type="dxa"/>
            <w:vAlign w:val="center"/>
          </w:tcPr>
          <w:p w14:paraId="6C02E445">
            <w:pPr>
              <w:jc w:val="center"/>
            </w:pPr>
            <w:r>
              <w:rPr>
                <w:rFonts w:hint="eastAsia"/>
              </w:rPr>
              <w:t>采购人</w:t>
            </w:r>
          </w:p>
        </w:tc>
        <w:tc>
          <w:tcPr>
            <w:tcW w:w="4980" w:type="dxa"/>
            <w:vAlign w:val="center"/>
          </w:tcPr>
          <w:p w14:paraId="7F2E9715">
            <w:pPr>
              <w:jc w:val="center"/>
              <w:rPr>
                <w:rFonts w:ascii="宋体" w:hAnsi="宋体"/>
              </w:rPr>
            </w:pPr>
            <w:r>
              <w:rPr>
                <w:rFonts w:hint="eastAsia" w:ascii="宋体" w:hAnsi="宋体"/>
              </w:rPr>
              <w:t>深圳市龙岗区横岗六约学校</w:t>
            </w:r>
          </w:p>
        </w:tc>
      </w:tr>
      <w:tr w14:paraId="44277B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461B17D">
            <w:pPr>
              <w:jc w:val="center"/>
              <w:rPr>
                <w:rFonts w:ascii="宋体" w:hAnsi="宋体"/>
              </w:rPr>
            </w:pPr>
            <w:r>
              <w:rPr>
                <w:rFonts w:hint="eastAsia" w:ascii="宋体" w:hAnsi="宋体"/>
              </w:rPr>
              <w:t>3</w:t>
            </w:r>
            <w:r>
              <w:rPr>
                <w:rFonts w:ascii="宋体" w:hAnsi="宋体"/>
              </w:rPr>
              <w:t>.2</w:t>
            </w:r>
          </w:p>
        </w:tc>
        <w:tc>
          <w:tcPr>
            <w:tcW w:w="2409" w:type="dxa"/>
            <w:vAlign w:val="center"/>
          </w:tcPr>
          <w:p w14:paraId="453072E3">
            <w:pPr>
              <w:jc w:val="center"/>
              <w:rPr>
                <w:rFonts w:ascii="宋体" w:hAnsi="宋体"/>
              </w:rPr>
            </w:pPr>
            <w:r>
              <w:rPr>
                <w:rFonts w:hint="eastAsia" w:ascii="宋体" w:hAnsi="宋体"/>
              </w:rPr>
              <w:t>政府集中采购机构</w:t>
            </w:r>
          </w:p>
        </w:tc>
        <w:tc>
          <w:tcPr>
            <w:tcW w:w="4980" w:type="dxa"/>
            <w:vAlign w:val="center"/>
          </w:tcPr>
          <w:p w14:paraId="465E8C6A">
            <w:pPr>
              <w:jc w:val="center"/>
              <w:rPr>
                <w:rFonts w:hint="eastAsia" w:ascii="宋体" w:hAnsi="宋体"/>
              </w:rPr>
            </w:pPr>
            <w:r>
              <w:rPr>
                <w:rFonts w:hint="eastAsia" w:ascii="宋体" w:hAnsi="宋体"/>
              </w:rPr>
              <w:t>深圳公共资源交易中心</w:t>
            </w:r>
          </w:p>
          <w:p w14:paraId="6006CA62">
            <w:pPr>
              <w:jc w:val="center"/>
              <w:rPr>
                <w:rFonts w:ascii="宋体" w:hAnsi="宋体"/>
              </w:rPr>
            </w:pPr>
            <w:r>
              <w:rPr>
                <w:rFonts w:hint="eastAsia" w:ascii="宋体" w:hAnsi="宋体"/>
              </w:rPr>
              <w:t>（深圳交易集团有限公司</w:t>
            </w:r>
            <w:r>
              <w:rPr>
                <w:rFonts w:hint="eastAsia" w:ascii="宋体" w:hAnsi="宋体" w:cs="宋体"/>
                <w:kern w:val="0"/>
                <w:lang w:val="en-US" w:eastAsia="zh-CN"/>
              </w:rPr>
              <w:t>龙岗</w:t>
            </w:r>
            <w:r>
              <w:rPr>
                <w:rFonts w:hint="eastAsia" w:ascii="宋体" w:hAnsi="宋体"/>
              </w:rPr>
              <w:t>分公司）</w:t>
            </w:r>
          </w:p>
        </w:tc>
      </w:tr>
      <w:tr w14:paraId="2AA89A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FF63255">
            <w:pPr>
              <w:jc w:val="center"/>
              <w:rPr>
                <w:rFonts w:ascii="宋体" w:hAnsi="宋体"/>
              </w:rPr>
            </w:pPr>
            <w:r>
              <w:rPr>
                <w:rFonts w:hint="eastAsia" w:ascii="宋体" w:hAnsi="宋体"/>
              </w:rPr>
              <w:t>9</w:t>
            </w:r>
          </w:p>
        </w:tc>
        <w:tc>
          <w:tcPr>
            <w:tcW w:w="2409" w:type="dxa"/>
            <w:vAlign w:val="center"/>
          </w:tcPr>
          <w:p w14:paraId="179AC211">
            <w:pPr>
              <w:jc w:val="center"/>
              <w:rPr>
                <w:rFonts w:ascii="宋体" w:hAnsi="宋体"/>
              </w:rPr>
            </w:pPr>
            <w:r>
              <w:rPr>
                <w:rFonts w:hint="eastAsia" w:ascii="宋体" w:hAnsi="宋体"/>
              </w:rPr>
              <w:t>踏勘现场</w:t>
            </w:r>
          </w:p>
        </w:tc>
        <w:tc>
          <w:tcPr>
            <w:tcW w:w="4980" w:type="dxa"/>
            <w:vAlign w:val="center"/>
          </w:tcPr>
          <w:p w14:paraId="6754FFD8">
            <w:pPr>
              <w:jc w:val="center"/>
              <w:rPr>
                <w:rFonts w:ascii="宋体" w:hAnsi="宋体"/>
              </w:rPr>
            </w:pPr>
            <w:r>
              <w:rPr>
                <w:rFonts w:hint="eastAsia" w:ascii="宋体" w:hAnsi="宋体"/>
              </w:rPr>
              <w:t>不组织</w:t>
            </w:r>
          </w:p>
        </w:tc>
      </w:tr>
      <w:tr w14:paraId="23C0F5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A278E7B">
            <w:pPr>
              <w:jc w:val="center"/>
              <w:rPr>
                <w:rFonts w:ascii="宋体" w:hAnsi="宋体"/>
              </w:rPr>
            </w:pPr>
            <w:r>
              <w:rPr>
                <w:rFonts w:hint="eastAsia" w:ascii="宋体" w:hAnsi="宋体"/>
              </w:rPr>
              <w:t>1</w:t>
            </w:r>
            <w:r>
              <w:rPr>
                <w:rFonts w:ascii="宋体" w:hAnsi="宋体"/>
              </w:rPr>
              <w:t>0</w:t>
            </w:r>
          </w:p>
        </w:tc>
        <w:tc>
          <w:tcPr>
            <w:tcW w:w="2409" w:type="dxa"/>
            <w:vAlign w:val="center"/>
          </w:tcPr>
          <w:p w14:paraId="6EC76E0D">
            <w:pPr>
              <w:jc w:val="center"/>
              <w:rPr>
                <w:rFonts w:ascii="宋体" w:hAnsi="宋体"/>
              </w:rPr>
            </w:pPr>
            <w:r>
              <w:rPr>
                <w:rFonts w:hint="eastAsia" w:ascii="宋体" w:hAnsi="宋体"/>
              </w:rPr>
              <w:t>标前会议</w:t>
            </w:r>
          </w:p>
        </w:tc>
        <w:tc>
          <w:tcPr>
            <w:tcW w:w="4980" w:type="dxa"/>
            <w:vAlign w:val="center"/>
          </w:tcPr>
          <w:p w14:paraId="3467F582">
            <w:pPr>
              <w:jc w:val="center"/>
              <w:rPr>
                <w:rFonts w:ascii="宋体" w:hAnsi="宋体"/>
              </w:rPr>
            </w:pPr>
            <w:r>
              <w:rPr>
                <w:rFonts w:hint="eastAsia" w:ascii="宋体" w:hAnsi="宋体"/>
              </w:rPr>
              <w:t>不组织</w:t>
            </w:r>
          </w:p>
        </w:tc>
      </w:tr>
      <w:tr w14:paraId="23305A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52" w:hRule="atLeast"/>
          <w:jc w:val="center"/>
        </w:trPr>
        <w:tc>
          <w:tcPr>
            <w:tcW w:w="978" w:type="dxa"/>
            <w:vAlign w:val="center"/>
          </w:tcPr>
          <w:p w14:paraId="70C12949">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14:paraId="0A0A7565">
            <w:pPr>
              <w:jc w:val="center"/>
              <w:rPr>
                <w:rFonts w:ascii="宋体" w:hAnsi="宋体"/>
              </w:rPr>
            </w:pPr>
            <w:r>
              <w:rPr>
                <w:rFonts w:hint="eastAsia" w:ascii="宋体" w:hAnsi="宋体"/>
              </w:rPr>
              <w:t>招标文件的澄清和修改</w:t>
            </w:r>
          </w:p>
        </w:tc>
        <w:tc>
          <w:tcPr>
            <w:tcW w:w="4980" w:type="dxa"/>
            <w:vAlign w:val="center"/>
          </w:tcPr>
          <w:p w14:paraId="6B0ECF9A">
            <w:pPr>
              <w:jc w:val="center"/>
              <w:rPr>
                <w:rFonts w:ascii="宋体" w:hAnsi="宋体"/>
              </w:rPr>
            </w:pPr>
            <w:r>
              <w:rPr>
                <w:rFonts w:hint="eastAsia" w:ascii="宋体" w:hAnsi="宋体"/>
              </w:rPr>
              <w:t>不晚于投标截止日三日前，投标人有义务在招标期间在政府集中采购机构网站浏览与本项目有关的澄清和修改信息</w:t>
            </w:r>
          </w:p>
        </w:tc>
      </w:tr>
      <w:tr w14:paraId="521978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7A46040">
            <w:pPr>
              <w:jc w:val="center"/>
              <w:rPr>
                <w:rFonts w:ascii="宋体" w:hAnsi="宋体"/>
              </w:rPr>
            </w:pPr>
            <w:r>
              <w:rPr>
                <w:rFonts w:hint="eastAsia" w:ascii="宋体" w:hAnsi="宋体"/>
              </w:rPr>
              <w:t>2</w:t>
            </w:r>
            <w:r>
              <w:rPr>
                <w:rFonts w:ascii="宋体" w:hAnsi="宋体"/>
              </w:rPr>
              <w:t>0</w:t>
            </w:r>
          </w:p>
        </w:tc>
        <w:tc>
          <w:tcPr>
            <w:tcW w:w="2409" w:type="dxa"/>
            <w:vAlign w:val="center"/>
          </w:tcPr>
          <w:p w14:paraId="4F254C06">
            <w:pPr>
              <w:jc w:val="center"/>
              <w:rPr>
                <w:rFonts w:ascii="宋体" w:hAnsi="宋体"/>
              </w:rPr>
            </w:pPr>
            <w:r>
              <w:rPr>
                <w:rFonts w:hint="eastAsia" w:ascii="宋体" w:hAnsi="宋体"/>
              </w:rPr>
              <w:t>投标有效期</w:t>
            </w:r>
          </w:p>
        </w:tc>
        <w:tc>
          <w:tcPr>
            <w:tcW w:w="4980" w:type="dxa"/>
            <w:vAlign w:val="center"/>
          </w:tcPr>
          <w:p w14:paraId="2ABEBBD2">
            <w:pPr>
              <w:jc w:val="center"/>
              <w:rPr>
                <w:rFonts w:ascii="宋体" w:hAnsi="宋体"/>
              </w:rPr>
            </w:pPr>
            <w:r>
              <w:rPr>
                <w:rFonts w:hint="eastAsia" w:ascii="宋体" w:hAnsi="宋体"/>
                <w:highlight w:val="none"/>
              </w:rPr>
              <w:t>120个日历日</w:t>
            </w:r>
          </w:p>
        </w:tc>
      </w:tr>
      <w:tr w14:paraId="243ED6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1BE0E17">
            <w:pPr>
              <w:jc w:val="center"/>
              <w:rPr>
                <w:rFonts w:ascii="宋体" w:hAnsi="宋体"/>
              </w:rPr>
            </w:pPr>
            <w:r>
              <w:rPr>
                <w:rFonts w:hint="eastAsia" w:ascii="宋体" w:hAnsi="宋体"/>
              </w:rPr>
              <w:t>2</w:t>
            </w:r>
            <w:r>
              <w:rPr>
                <w:rFonts w:ascii="宋体" w:hAnsi="宋体"/>
              </w:rPr>
              <w:t>2</w:t>
            </w:r>
          </w:p>
        </w:tc>
        <w:tc>
          <w:tcPr>
            <w:tcW w:w="2409" w:type="dxa"/>
            <w:vAlign w:val="center"/>
          </w:tcPr>
          <w:p w14:paraId="14699342">
            <w:pPr>
              <w:jc w:val="center"/>
              <w:rPr>
                <w:rFonts w:ascii="宋体" w:hAnsi="宋体"/>
              </w:rPr>
            </w:pPr>
            <w:r>
              <w:rPr>
                <w:rFonts w:hint="eastAsia" w:ascii="宋体" w:hAnsi="宋体"/>
              </w:rPr>
              <w:t>投标人的替代方案</w:t>
            </w:r>
          </w:p>
        </w:tc>
        <w:tc>
          <w:tcPr>
            <w:tcW w:w="4980" w:type="dxa"/>
            <w:vAlign w:val="center"/>
          </w:tcPr>
          <w:p w14:paraId="3A69D046">
            <w:pPr>
              <w:jc w:val="center"/>
              <w:rPr>
                <w:rFonts w:ascii="宋体" w:hAnsi="宋体"/>
              </w:rPr>
            </w:pPr>
            <w:r>
              <w:rPr>
                <w:rFonts w:hint="eastAsia" w:ascii="宋体" w:hAnsi="宋体"/>
              </w:rPr>
              <w:t>不接受</w:t>
            </w:r>
          </w:p>
        </w:tc>
      </w:tr>
      <w:tr w14:paraId="1CE07C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6C12288">
            <w:pPr>
              <w:jc w:val="center"/>
              <w:rPr>
                <w:rFonts w:ascii="宋体" w:hAnsi="宋体"/>
              </w:rPr>
            </w:pPr>
            <w:r>
              <w:rPr>
                <w:rFonts w:hint="eastAsia" w:ascii="宋体" w:hAnsi="宋体"/>
              </w:rPr>
              <w:t>2</w:t>
            </w:r>
            <w:r>
              <w:rPr>
                <w:rFonts w:ascii="宋体" w:hAnsi="宋体"/>
              </w:rPr>
              <w:t>5</w:t>
            </w:r>
          </w:p>
        </w:tc>
        <w:tc>
          <w:tcPr>
            <w:tcW w:w="2409" w:type="dxa"/>
            <w:vAlign w:val="center"/>
          </w:tcPr>
          <w:p w14:paraId="58CA7F06">
            <w:pPr>
              <w:jc w:val="center"/>
              <w:rPr>
                <w:rFonts w:ascii="宋体" w:hAnsi="宋体"/>
              </w:rPr>
            </w:pPr>
            <w:r>
              <w:rPr>
                <w:rFonts w:hint="eastAsia" w:ascii="宋体" w:hAnsi="宋体"/>
              </w:rPr>
              <w:t>投标文件的大小</w:t>
            </w:r>
          </w:p>
        </w:tc>
        <w:tc>
          <w:tcPr>
            <w:tcW w:w="4980" w:type="dxa"/>
            <w:vAlign w:val="center"/>
          </w:tcPr>
          <w:p w14:paraId="1C0C8534">
            <w:pPr>
              <w:jc w:val="center"/>
              <w:rPr>
                <w:rFonts w:ascii="宋体" w:hAnsi="宋体"/>
              </w:rPr>
            </w:pPr>
            <w:r>
              <w:rPr>
                <w:rFonts w:hint="eastAsia" w:ascii="宋体" w:hAnsi="宋体"/>
              </w:rPr>
              <w:t>投标文件大小不得超过100MB</w:t>
            </w:r>
          </w:p>
        </w:tc>
      </w:tr>
      <w:tr w14:paraId="190AC1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ED7E0C0">
            <w:pPr>
              <w:jc w:val="center"/>
              <w:rPr>
                <w:rFonts w:ascii="宋体" w:hAnsi="宋体"/>
              </w:rPr>
            </w:pPr>
            <w:r>
              <w:rPr>
                <w:rFonts w:hint="eastAsia" w:ascii="宋体" w:hAnsi="宋体"/>
              </w:rPr>
              <w:t>2</w:t>
            </w:r>
            <w:r>
              <w:rPr>
                <w:rFonts w:ascii="宋体" w:hAnsi="宋体"/>
              </w:rPr>
              <w:t>6</w:t>
            </w:r>
          </w:p>
        </w:tc>
        <w:tc>
          <w:tcPr>
            <w:tcW w:w="2409" w:type="dxa"/>
            <w:vAlign w:val="center"/>
          </w:tcPr>
          <w:p w14:paraId="340C300C">
            <w:pPr>
              <w:jc w:val="center"/>
              <w:rPr>
                <w:rFonts w:ascii="宋体" w:hAnsi="宋体"/>
              </w:rPr>
            </w:pPr>
            <w:bookmarkStart w:id="27" w:name="_Hlk71664860"/>
            <w:r>
              <w:rPr>
                <w:rFonts w:hint="eastAsia" w:ascii="宋体" w:hAnsi="宋体"/>
              </w:rPr>
              <w:t>样品、现场演示、方案讲解</w:t>
            </w:r>
            <w:bookmarkEnd w:id="27"/>
          </w:p>
        </w:tc>
        <w:tc>
          <w:tcPr>
            <w:tcW w:w="4980" w:type="dxa"/>
            <w:vAlign w:val="center"/>
          </w:tcPr>
          <w:p w14:paraId="2B7C1684">
            <w:pPr>
              <w:jc w:val="center"/>
              <w:rPr>
                <w:rFonts w:hint="eastAsia" w:ascii="宋体" w:hAnsi="宋体" w:eastAsia="宋体"/>
                <w:lang w:eastAsia="zh-CN"/>
              </w:rPr>
            </w:pPr>
            <w:r>
              <w:rPr>
                <w:rFonts w:hint="eastAsia" w:ascii="宋体" w:hAnsi="宋体"/>
                <w:lang w:val="en-US" w:eastAsia="zh-CN"/>
              </w:rPr>
              <w:t>无</w:t>
            </w:r>
          </w:p>
        </w:tc>
      </w:tr>
      <w:tr w14:paraId="45347B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7DE7921">
            <w:pPr>
              <w:jc w:val="center"/>
              <w:rPr>
                <w:rFonts w:ascii="宋体" w:hAnsi="宋体"/>
              </w:rPr>
            </w:pPr>
            <w:r>
              <w:rPr>
                <w:rFonts w:hint="eastAsia" w:ascii="宋体" w:hAnsi="宋体"/>
              </w:rPr>
              <w:t>3</w:t>
            </w:r>
            <w:r>
              <w:rPr>
                <w:rFonts w:ascii="宋体" w:hAnsi="宋体"/>
              </w:rPr>
              <w:t>7</w:t>
            </w:r>
          </w:p>
        </w:tc>
        <w:tc>
          <w:tcPr>
            <w:tcW w:w="2409" w:type="dxa"/>
            <w:vAlign w:val="center"/>
          </w:tcPr>
          <w:p w14:paraId="3E9DB51D">
            <w:pPr>
              <w:jc w:val="center"/>
              <w:rPr>
                <w:rFonts w:ascii="宋体" w:hAnsi="宋体"/>
              </w:rPr>
            </w:pPr>
            <w:r>
              <w:rPr>
                <w:rFonts w:hint="eastAsia" w:ascii="宋体" w:hAnsi="宋体"/>
              </w:rPr>
              <w:t>评审方法</w:t>
            </w:r>
          </w:p>
        </w:tc>
        <w:tc>
          <w:tcPr>
            <w:tcW w:w="4980" w:type="dxa"/>
            <w:vAlign w:val="center"/>
          </w:tcPr>
          <w:p w14:paraId="7F02E8A6">
            <w:pPr>
              <w:jc w:val="center"/>
              <w:rPr>
                <w:rFonts w:ascii="宋体" w:hAnsi="宋体"/>
              </w:rPr>
            </w:pPr>
            <w:r>
              <w:rPr>
                <w:rFonts w:hint="eastAsia" w:ascii="宋体" w:hAnsi="宋体"/>
              </w:rPr>
              <w:t>综合评分法</w:t>
            </w:r>
          </w:p>
        </w:tc>
      </w:tr>
      <w:tr w14:paraId="15E1C4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DD60F44">
            <w:pPr>
              <w:jc w:val="center"/>
              <w:rPr>
                <w:rFonts w:ascii="宋体" w:hAnsi="宋体"/>
              </w:rPr>
            </w:pPr>
            <w:r>
              <w:rPr>
                <w:rFonts w:hint="eastAsia" w:ascii="宋体" w:hAnsi="宋体"/>
              </w:rPr>
              <w:t>3</w:t>
            </w:r>
            <w:r>
              <w:rPr>
                <w:rFonts w:ascii="宋体" w:hAnsi="宋体"/>
              </w:rPr>
              <w:t>8</w:t>
            </w:r>
          </w:p>
        </w:tc>
        <w:tc>
          <w:tcPr>
            <w:tcW w:w="2409" w:type="dxa"/>
            <w:vAlign w:val="center"/>
          </w:tcPr>
          <w:p w14:paraId="44EECC04">
            <w:pPr>
              <w:jc w:val="center"/>
              <w:rPr>
                <w:rFonts w:ascii="宋体" w:hAnsi="宋体"/>
              </w:rPr>
            </w:pPr>
            <w:r>
              <w:rPr>
                <w:rFonts w:hint="eastAsia" w:ascii="宋体" w:hAnsi="宋体"/>
              </w:rPr>
              <w:t>定标方法</w:t>
            </w:r>
          </w:p>
        </w:tc>
        <w:tc>
          <w:tcPr>
            <w:tcW w:w="4980" w:type="dxa"/>
            <w:vAlign w:val="center"/>
          </w:tcPr>
          <w:p w14:paraId="1747C5BA">
            <w:pPr>
              <w:jc w:val="center"/>
              <w:rPr>
                <w:rFonts w:ascii="宋体" w:hAnsi="宋体"/>
              </w:rPr>
            </w:pPr>
            <w:r>
              <w:rPr>
                <w:rFonts w:hint="eastAsia" w:ascii="宋体" w:hAnsi="宋体"/>
              </w:rPr>
              <w:t>非评定分离</w:t>
            </w:r>
          </w:p>
        </w:tc>
      </w:tr>
      <w:tr w14:paraId="7720F6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D4E048A">
            <w:pPr>
              <w:jc w:val="center"/>
              <w:rPr>
                <w:rFonts w:ascii="宋体" w:hAnsi="宋体"/>
              </w:rPr>
            </w:pPr>
            <w:r>
              <w:rPr>
                <w:rFonts w:hint="eastAsia" w:ascii="宋体" w:hAnsi="宋体"/>
              </w:rPr>
              <w:t>4</w:t>
            </w:r>
            <w:r>
              <w:rPr>
                <w:rFonts w:ascii="宋体" w:hAnsi="宋体"/>
              </w:rPr>
              <w:t>6</w:t>
            </w:r>
          </w:p>
        </w:tc>
        <w:tc>
          <w:tcPr>
            <w:tcW w:w="2409" w:type="dxa"/>
            <w:vAlign w:val="center"/>
          </w:tcPr>
          <w:p w14:paraId="322492F2">
            <w:pPr>
              <w:jc w:val="center"/>
              <w:rPr>
                <w:rFonts w:ascii="宋体" w:hAnsi="宋体"/>
              </w:rPr>
            </w:pPr>
            <w:r>
              <w:rPr>
                <w:rFonts w:hint="eastAsia" w:ascii="宋体" w:hAnsi="宋体"/>
              </w:rPr>
              <w:t>履约担保</w:t>
            </w:r>
          </w:p>
        </w:tc>
        <w:tc>
          <w:tcPr>
            <w:tcW w:w="4980" w:type="dxa"/>
            <w:vAlign w:val="center"/>
          </w:tcPr>
          <w:p w14:paraId="013C5DA7">
            <w:pPr>
              <w:jc w:val="center"/>
              <w:rPr>
                <w:rFonts w:ascii="宋体" w:hAnsi="宋体"/>
              </w:rPr>
            </w:pPr>
            <w:r>
              <w:rPr>
                <w:rFonts w:hint="eastAsia" w:ascii="宋体" w:hAnsi="宋体"/>
              </w:rPr>
              <w:t>不需要</w:t>
            </w:r>
          </w:p>
        </w:tc>
      </w:tr>
    </w:tbl>
    <w:p w14:paraId="03C1C077">
      <w:pPr>
        <w:rPr>
          <w:b/>
        </w:rPr>
      </w:pPr>
      <w:r>
        <w:rPr>
          <w:rFonts w:hint="eastAsia"/>
          <w:szCs w:val="21"/>
        </w:rPr>
        <w:t>备注：本表是通用条款相关条款的补充和明确，如与通用条款内容相冲突的，以本表为准。</w:t>
      </w:r>
    </w:p>
    <w:p w14:paraId="4706B55D">
      <w:pPr>
        <w:rPr>
          <w:b/>
        </w:rPr>
      </w:pPr>
    </w:p>
    <w:p w14:paraId="3E9A84B2">
      <w:pPr>
        <w:pStyle w:val="6"/>
        <w:spacing w:before="120" w:beforeLines="50" w:after="120" w:afterLines="50"/>
        <w:rPr>
          <w:rFonts w:hint="eastAsia"/>
          <w:szCs w:val="24"/>
        </w:rPr>
      </w:pPr>
      <w:r>
        <w:rPr>
          <w:rFonts w:hint="eastAsia"/>
          <w:szCs w:val="24"/>
        </w:rPr>
        <w:t>二、其他关键信息</w:t>
      </w:r>
    </w:p>
    <w:p w14:paraId="303E9550">
      <w:pPr>
        <w:ind w:firstLine="422" w:firstLineChars="200"/>
        <w:rPr>
          <w:b/>
          <w:bCs/>
        </w:rPr>
      </w:pPr>
      <w:r>
        <w:rPr>
          <w:rFonts w:hint="eastAsia"/>
          <w:b/>
          <w:bCs/>
        </w:rPr>
        <w:t>（一）与“对通用条款的补充内容”章节相关的事项</w:t>
      </w:r>
    </w:p>
    <w:p w14:paraId="424E9B36">
      <w:pPr>
        <w:spacing w:line="276" w:lineRule="auto"/>
        <w:ind w:firstLine="422" w:firstLineChars="200"/>
        <w:jc w:val="left"/>
        <w:rPr>
          <w:rFonts w:asciiTheme="minorEastAsia" w:hAnsiTheme="minorEastAsia" w:eastAsiaTheme="minorEastAsia"/>
          <w:b/>
          <w:kern w:val="0"/>
          <w:szCs w:val="20"/>
        </w:rPr>
      </w:pPr>
      <w:bookmarkStart w:id="28" w:name="_Hlk72579465"/>
      <w:r>
        <w:rPr>
          <w:rFonts w:hint="eastAsia" w:asciiTheme="minorEastAsia" w:hAnsiTheme="minorEastAsia" w:eastAsiaTheme="minorEastAsia"/>
          <w:b/>
          <w:kern w:val="0"/>
          <w:szCs w:val="20"/>
        </w:rPr>
        <w:t>1、评标定标信息</w:t>
      </w:r>
    </w:p>
    <w:bookmarkEnd w:id="28"/>
    <w:p w14:paraId="702CF691">
      <w:pPr>
        <w:jc w:val="center"/>
      </w:pPr>
      <w:r>
        <w:rPr>
          <w:rFonts w:hint="eastAsia"/>
          <w:b/>
        </w:rPr>
        <w:t>非评定分离项目</w:t>
      </w:r>
    </w:p>
    <w:tbl>
      <w:tblPr>
        <w:tblStyle w:val="45"/>
        <w:tblW w:w="85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3"/>
        <w:gridCol w:w="4238"/>
      </w:tblGrid>
      <w:tr w14:paraId="66AC4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3" w:type="dxa"/>
            <w:vAlign w:val="top"/>
          </w:tcPr>
          <w:p w14:paraId="1163A1EF">
            <w:pPr>
              <w:jc w:val="center"/>
            </w:pPr>
            <w:r>
              <w:rPr>
                <w:rFonts w:hint="eastAsia"/>
              </w:rPr>
              <w:t>评标方法</w:t>
            </w:r>
          </w:p>
        </w:tc>
        <w:tc>
          <w:tcPr>
            <w:tcW w:w="4238" w:type="dxa"/>
            <w:vAlign w:val="top"/>
          </w:tcPr>
          <w:p w14:paraId="60985E4F">
            <w:pPr>
              <w:jc w:val="center"/>
              <w:rPr>
                <w:rFonts w:hint="default" w:eastAsia="宋体"/>
                <w:lang w:val="en-US" w:eastAsia="zh-CN"/>
              </w:rPr>
            </w:pPr>
            <w:r>
              <w:rPr>
                <w:rFonts w:hint="eastAsia"/>
              </w:rPr>
              <w:t>综合评分法</w:t>
            </w:r>
          </w:p>
        </w:tc>
      </w:tr>
      <w:tr w14:paraId="369AA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3" w:type="dxa"/>
            <w:vAlign w:val="top"/>
          </w:tcPr>
          <w:p w14:paraId="1DF61B49">
            <w:pPr>
              <w:jc w:val="center"/>
            </w:pPr>
            <w:r>
              <w:rPr>
                <w:rFonts w:hint="eastAsia"/>
              </w:rPr>
              <w:t>候选中标供应商家数</w:t>
            </w:r>
          </w:p>
        </w:tc>
        <w:tc>
          <w:tcPr>
            <w:tcW w:w="4238" w:type="dxa"/>
            <w:vAlign w:val="top"/>
          </w:tcPr>
          <w:p w14:paraId="27C22A92">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leftChars="0" w:right="0" w:rightChars="0" w:firstLine="480" w:firstLineChars="200"/>
              <w:jc w:val="center"/>
              <w:rPr>
                <w:rFonts w:hint="default" w:eastAsia="宋体"/>
                <w:lang w:val="en-US" w:eastAsia="zh-CN"/>
              </w:rPr>
            </w:pPr>
            <w:r>
              <w:rPr>
                <w:rFonts w:hint="eastAsia" w:ascii="宋体" w:hAnsi="宋体" w:cs="宋体"/>
                <w:sz w:val="24"/>
                <w:szCs w:val="24"/>
                <w:lang w:val="en-US" w:eastAsia="zh-CN"/>
              </w:rPr>
              <w:t>3</w:t>
            </w:r>
          </w:p>
        </w:tc>
      </w:tr>
      <w:tr w14:paraId="604F0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3" w:type="dxa"/>
            <w:vAlign w:val="top"/>
          </w:tcPr>
          <w:p w14:paraId="70299C3A">
            <w:pPr>
              <w:jc w:val="center"/>
            </w:pPr>
            <w:r>
              <w:rPr>
                <w:rFonts w:hint="eastAsia"/>
              </w:rPr>
              <w:t>中标供应商家数</w:t>
            </w:r>
          </w:p>
        </w:tc>
        <w:tc>
          <w:tcPr>
            <w:tcW w:w="4238" w:type="dxa"/>
            <w:vAlign w:val="top"/>
          </w:tcPr>
          <w:p w14:paraId="798C1801">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leftChars="0" w:right="0" w:rightChars="0" w:firstLine="480" w:firstLineChars="200"/>
              <w:jc w:val="center"/>
            </w:pPr>
            <w:r>
              <w:rPr>
                <w:rFonts w:hint="eastAsia" w:ascii="宋体" w:hAnsi="宋体" w:eastAsia="宋体" w:cs="宋体"/>
                <w:sz w:val="24"/>
                <w:szCs w:val="24"/>
              </w:rPr>
              <w:t>1</w:t>
            </w:r>
          </w:p>
        </w:tc>
      </w:tr>
    </w:tbl>
    <w:p w14:paraId="471BD735">
      <w:pPr>
        <w:rPr>
          <w:rFonts w:hint="eastAsia"/>
          <w:b/>
        </w:rPr>
      </w:pPr>
    </w:p>
    <w:p w14:paraId="04F05DC9">
      <w:pPr>
        <w:ind w:firstLine="422" w:firstLineChars="200"/>
        <w:rPr>
          <w:rFonts w:hint="eastAsia"/>
          <w:b/>
        </w:rPr>
      </w:pPr>
      <w:r>
        <w:rPr>
          <w:rFonts w:hint="eastAsia"/>
          <w:b/>
        </w:rPr>
        <w:t>（二）其他事项</w:t>
      </w:r>
    </w:p>
    <w:p w14:paraId="5DAD455B">
      <w:pPr>
        <w:ind w:firstLine="422" w:firstLineChars="200"/>
        <w:rPr>
          <w:color w:val="auto"/>
        </w:rPr>
      </w:pPr>
      <w:r>
        <w:rPr>
          <w:b/>
          <w:bCs/>
        </w:rPr>
        <w:t>1</w:t>
      </w:r>
      <w:r>
        <w:rPr>
          <w:rFonts w:hint="eastAsia"/>
          <w:b/>
          <w:bCs/>
        </w:rPr>
        <w:t>、</w:t>
      </w:r>
      <w:r>
        <w:rPr>
          <w:rFonts w:hint="eastAsia"/>
          <w:b/>
          <w:bCs/>
          <w:color w:val="auto"/>
        </w:rPr>
        <w:t>关于享受优惠政策的主体及价格扣除比例</w:t>
      </w:r>
    </w:p>
    <w:p w14:paraId="2BCB4358">
      <w:pPr>
        <w:ind w:firstLine="420" w:firstLineChars="200"/>
        <w:rPr>
          <w:rFonts w:ascii="宋体" w:hAnsi="宋体" w:cs="宋体"/>
          <w:sz w:val="21"/>
          <w:szCs w:val="21"/>
        </w:rPr>
      </w:pPr>
      <w:r>
        <w:rPr>
          <w:rFonts w:hint="eastAsia" w:ascii="宋体" w:hAnsi="宋体" w:cs="宋体"/>
          <w:sz w:val="21"/>
          <w:szCs w:val="21"/>
        </w:rPr>
        <w:t>（1）非专门面向中小企业采购的项目，应执行价格扣除比例：供应商提供的服务全部由优惠主体承接，则对其投标总价给予</w:t>
      </w:r>
      <w:r>
        <w:rPr>
          <w:rFonts w:hint="eastAsia" w:ascii="宋体" w:hAnsi="宋体" w:cs="宋体"/>
          <w:sz w:val="21"/>
          <w:szCs w:val="21"/>
          <w:u w:val="single"/>
        </w:rPr>
        <w:t xml:space="preserve"> </w:t>
      </w:r>
      <w:r>
        <w:rPr>
          <w:rFonts w:hint="eastAsia" w:ascii="宋体" w:hAnsi="宋体" w:cs="宋体"/>
          <w:color w:val="FF0000"/>
          <w:sz w:val="21"/>
          <w:szCs w:val="21"/>
          <w:u w:val="single"/>
        </w:rPr>
        <w:t xml:space="preserve"> 10  </w:t>
      </w:r>
      <w:r>
        <w:rPr>
          <w:rFonts w:hint="eastAsia" w:ascii="宋体" w:hAnsi="宋体" w:cs="宋体"/>
          <w:sz w:val="21"/>
          <w:szCs w:val="21"/>
        </w:rPr>
        <w:t>%的扣除，用扣除后的价格参与评审。满足多项优惠政策的企业，不重复享受多项价格扣除政策。</w:t>
      </w:r>
    </w:p>
    <w:p w14:paraId="427A7F27">
      <w:pPr>
        <w:ind w:firstLine="420" w:firstLineChars="200"/>
        <w:rPr>
          <w:rFonts w:ascii="宋体" w:hAnsi="宋体" w:cs="宋体"/>
          <w:sz w:val="21"/>
          <w:szCs w:val="21"/>
        </w:rPr>
      </w:pPr>
      <w:r>
        <w:rPr>
          <w:rFonts w:hint="eastAsia" w:ascii="宋体" w:hAnsi="宋体" w:cs="宋体"/>
          <w:sz w:val="21"/>
          <w:szCs w:val="21"/>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14:paraId="467E4D86">
      <w:pPr>
        <w:ind w:firstLine="420" w:firstLineChars="200"/>
        <w:rPr>
          <w:rFonts w:hint="eastAsia" w:ascii="宋体" w:hAnsi="宋体" w:eastAsia="宋体" w:cs="宋体"/>
          <w:sz w:val="21"/>
          <w:szCs w:val="21"/>
        </w:rPr>
      </w:pPr>
      <w:r>
        <w:rPr>
          <w:rFonts w:hint="eastAsia" w:ascii="宋体" w:hAnsi="宋体" w:cs="宋体"/>
          <w:sz w:val="21"/>
          <w:szCs w:val="21"/>
        </w:rPr>
        <w:t>（2）中小企业参加政府采购活动，应当按照国务院批准的《中小企业划型标准规定》（工信部联企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hint="eastAsia" w:ascii="宋体" w:hAnsi="宋体" w:eastAsia="宋体" w:cs="宋体"/>
          <w:b/>
          <w:bCs/>
          <w:color w:val="FF0000"/>
          <w:sz w:val="21"/>
          <w:szCs w:val="21"/>
        </w:rPr>
        <w:t>《中小企业声明函》中相关企业</w:t>
      </w:r>
      <w:r>
        <w:rPr>
          <w:rFonts w:hint="eastAsia" w:ascii="宋体" w:hAnsi="宋体" w:eastAsia="宋体" w:cs="宋体"/>
          <w:b/>
          <w:bCs/>
          <w:color w:val="FF0000"/>
          <w:sz w:val="21"/>
          <w:szCs w:val="21"/>
          <w:lang w:eastAsia="zh-CN"/>
        </w:rPr>
        <w:t>（服务承接商）</w:t>
      </w:r>
      <w:r>
        <w:rPr>
          <w:rFonts w:hint="eastAsia" w:ascii="宋体" w:hAnsi="宋体" w:eastAsia="宋体" w:cs="宋体"/>
          <w:b/>
          <w:bCs/>
          <w:color w:val="FF0000"/>
          <w:sz w:val="21"/>
          <w:szCs w:val="21"/>
        </w:rPr>
        <w:t>所属行业应当与采购标的所属行业相一致</w:t>
      </w:r>
      <w:r>
        <w:rPr>
          <w:rFonts w:hint="eastAsia" w:ascii="宋体" w:hAnsi="宋体" w:eastAsia="宋体" w:cs="宋体"/>
          <w:b/>
          <w:bCs/>
          <w:color w:val="FF0000"/>
          <w:sz w:val="21"/>
          <w:szCs w:val="21"/>
          <w:lang w:eastAsia="zh-CN"/>
        </w:rPr>
        <w:t>，</w:t>
      </w:r>
      <w:r>
        <w:rPr>
          <w:rFonts w:hint="eastAsia" w:ascii="宋体" w:hAnsi="宋体" w:eastAsia="宋体" w:cs="宋体"/>
          <w:b/>
          <w:bCs/>
          <w:color w:val="FF0000"/>
          <w:sz w:val="21"/>
          <w:szCs w:val="21"/>
        </w:rPr>
        <w:t>标的所属行业</w:t>
      </w:r>
      <w:r>
        <w:rPr>
          <w:rFonts w:hint="eastAsia" w:ascii="宋体" w:hAnsi="宋体" w:eastAsia="宋体" w:cs="宋体"/>
          <w:b/>
          <w:bCs/>
          <w:color w:val="FF0000"/>
          <w:sz w:val="21"/>
          <w:szCs w:val="21"/>
          <w:lang w:val="en-US" w:eastAsia="zh-CN"/>
        </w:rPr>
        <w:t>以招标文件第一册第三章用户需求书“服务需求明细”的“标的所属行业”一栏为准</w:t>
      </w:r>
      <w:r>
        <w:rPr>
          <w:rFonts w:hint="eastAsia" w:ascii="宋体" w:hAnsi="宋体" w:eastAsia="宋体" w:cs="宋体"/>
          <w:b/>
          <w:bCs/>
          <w:color w:val="FF0000"/>
          <w:sz w:val="21"/>
          <w:szCs w:val="21"/>
        </w:rPr>
        <w:t>。</w:t>
      </w:r>
    </w:p>
    <w:p w14:paraId="21603F85">
      <w:pPr>
        <w:ind w:firstLine="420" w:firstLineChars="200"/>
        <w:rPr>
          <w:rFonts w:ascii="宋体" w:hAnsi="宋体" w:cs="宋体"/>
          <w:sz w:val="21"/>
          <w:szCs w:val="21"/>
        </w:rPr>
      </w:pPr>
      <w:r>
        <w:rPr>
          <w:rFonts w:hint="eastAsia" w:ascii="宋体" w:hAnsi="宋体" w:cs="宋体"/>
          <w:sz w:val="21"/>
          <w:szCs w:val="21"/>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 “投标文件组成要求及格式”中“投标人情况及资格证明文件”章节提供的格式）。</w:t>
      </w:r>
    </w:p>
    <w:p w14:paraId="6172158F">
      <w:pPr>
        <w:ind w:firstLine="420" w:firstLineChars="200"/>
        <w:rPr>
          <w:rFonts w:ascii="宋体" w:hAnsi="宋体" w:cs="宋体"/>
          <w:sz w:val="21"/>
          <w:szCs w:val="21"/>
        </w:rPr>
      </w:pPr>
      <w:r>
        <w:rPr>
          <w:rFonts w:hint="eastAsia" w:ascii="宋体" w:hAnsi="宋体" w:cs="宋体"/>
          <w:sz w:val="21"/>
          <w:szCs w:val="21"/>
        </w:rPr>
        <w:t>（4）享受价格扣除获得政府采购合同的，小微企业不得将合同分包给大中型企业。</w:t>
      </w:r>
    </w:p>
    <w:p w14:paraId="2E4E217F">
      <w:pPr>
        <w:ind w:firstLine="422" w:firstLineChars="200"/>
        <w:rPr>
          <w:rFonts w:hint="eastAsia"/>
          <w:b/>
          <w:bCs/>
          <w:color w:val="auto"/>
          <w:lang w:val="en-US" w:eastAsia="zh-CN"/>
        </w:rPr>
      </w:pPr>
      <w:r>
        <w:rPr>
          <w:rFonts w:hint="eastAsia" w:ascii="Times New Roman" w:eastAsia="宋体"/>
          <w:b/>
          <w:bCs/>
          <w:color w:val="auto"/>
          <w:lang w:val="en-US" w:eastAsia="zh-CN"/>
        </w:rPr>
        <w:t>2、本项目为代理服务项目，将向中标（成交）供应商收取代理服务费。</w:t>
      </w:r>
    </w:p>
    <w:p w14:paraId="4E9BCFF2">
      <w:pPr>
        <w:ind w:firstLine="420" w:firstLineChars="200"/>
        <w:rPr>
          <w:color w:val="auto"/>
        </w:rPr>
      </w:pPr>
      <w:r>
        <w:rPr>
          <w:rFonts w:hint="eastAsia"/>
          <w:color w:val="auto"/>
        </w:rPr>
        <w:t>中标</w:t>
      </w:r>
      <w:r>
        <w:rPr>
          <w:rFonts w:hint="eastAsia" w:eastAsia="宋体"/>
          <w:color w:val="auto"/>
          <w:lang w:eastAsia="zh-CN"/>
        </w:rPr>
        <w:t>（</w:t>
      </w:r>
      <w:r>
        <w:rPr>
          <w:rFonts w:hint="eastAsia" w:ascii="Times New Roman" w:eastAsia="宋体"/>
          <w:color w:val="auto"/>
          <w:lang w:val="en-US" w:eastAsia="zh-CN"/>
        </w:rPr>
        <w:t>成交</w:t>
      </w:r>
      <w:r>
        <w:rPr>
          <w:rFonts w:hint="eastAsia" w:eastAsia="宋体"/>
          <w:color w:val="auto"/>
          <w:lang w:eastAsia="zh-CN"/>
        </w:rPr>
        <w:t>）</w:t>
      </w:r>
      <w:r>
        <w:rPr>
          <w:rFonts w:hint="eastAsia"/>
          <w:color w:val="auto"/>
        </w:rPr>
        <w:t>供应商在领取《中标</w:t>
      </w:r>
      <w:r>
        <w:rPr>
          <w:rFonts w:hint="eastAsia" w:eastAsia="宋体"/>
          <w:color w:val="auto"/>
          <w:lang w:eastAsia="zh-CN"/>
        </w:rPr>
        <w:t>（</w:t>
      </w:r>
      <w:r>
        <w:rPr>
          <w:rFonts w:hint="eastAsia" w:ascii="Times New Roman" w:eastAsia="宋体"/>
          <w:color w:val="auto"/>
          <w:lang w:val="en-US" w:eastAsia="zh-CN"/>
        </w:rPr>
        <w:t>成交</w:t>
      </w:r>
      <w:r>
        <w:rPr>
          <w:rFonts w:hint="eastAsia" w:eastAsia="宋体"/>
          <w:color w:val="auto"/>
          <w:lang w:eastAsia="zh-CN"/>
        </w:rPr>
        <w:t>）</w:t>
      </w:r>
      <w:r>
        <w:rPr>
          <w:rFonts w:hint="eastAsia"/>
          <w:color w:val="auto"/>
        </w:rPr>
        <w:t>通知书》之前须向深圳公共资源交易中心（深圳交易集团有限公司</w:t>
      </w:r>
      <w:r>
        <w:rPr>
          <w:rFonts w:hint="eastAsia"/>
          <w:color w:val="auto"/>
          <w:lang w:val="en-US" w:eastAsia="zh-CN"/>
        </w:rPr>
        <w:t>龙岗</w:t>
      </w:r>
      <w:r>
        <w:rPr>
          <w:rFonts w:hint="eastAsia"/>
          <w:color w:val="auto"/>
        </w:rPr>
        <w:t>分公司）交纳代理服务费。若因中标</w:t>
      </w:r>
      <w:r>
        <w:rPr>
          <w:rFonts w:hint="eastAsia" w:eastAsia="宋体"/>
          <w:color w:val="auto"/>
          <w:lang w:eastAsia="zh-CN"/>
        </w:rPr>
        <w:t>（</w:t>
      </w:r>
      <w:r>
        <w:rPr>
          <w:rFonts w:hint="eastAsia" w:ascii="Times New Roman" w:eastAsia="宋体"/>
          <w:color w:val="auto"/>
          <w:lang w:val="en-US" w:eastAsia="zh-CN"/>
        </w:rPr>
        <w:t>成交</w:t>
      </w:r>
      <w:r>
        <w:rPr>
          <w:rFonts w:hint="eastAsia" w:eastAsia="宋体"/>
          <w:color w:val="auto"/>
          <w:lang w:eastAsia="zh-CN"/>
        </w:rPr>
        <w:t>）</w:t>
      </w:r>
      <w:r>
        <w:rPr>
          <w:rFonts w:hint="eastAsia"/>
          <w:color w:val="auto"/>
        </w:rPr>
        <w:t>供应商交纳代理服务费所产生的时间影响到合同签订的，由中标</w:t>
      </w:r>
      <w:r>
        <w:rPr>
          <w:rFonts w:hint="eastAsia" w:eastAsia="宋体"/>
          <w:color w:val="auto"/>
          <w:lang w:eastAsia="zh-CN"/>
        </w:rPr>
        <w:t>（</w:t>
      </w:r>
      <w:r>
        <w:rPr>
          <w:rFonts w:hint="eastAsia" w:ascii="Times New Roman" w:eastAsia="宋体"/>
          <w:color w:val="auto"/>
          <w:lang w:val="en-US" w:eastAsia="zh-CN"/>
        </w:rPr>
        <w:t>成交</w:t>
      </w:r>
      <w:r>
        <w:rPr>
          <w:rFonts w:hint="eastAsia" w:eastAsia="宋体"/>
          <w:color w:val="auto"/>
          <w:lang w:eastAsia="zh-CN"/>
        </w:rPr>
        <w:t>）</w:t>
      </w:r>
      <w:r>
        <w:rPr>
          <w:rFonts w:hint="eastAsia"/>
          <w:color w:val="auto"/>
        </w:rPr>
        <w:t>供应商自行承担责任。代理服务费标准参照</w:t>
      </w:r>
      <w:r>
        <w:rPr>
          <w:rFonts w:hint="eastAsia" w:ascii="Times New Roman" w:eastAsia="宋体"/>
          <w:color w:val="auto"/>
          <w:lang w:val="en-US" w:eastAsia="zh-CN"/>
        </w:rPr>
        <w:t>下列</w:t>
      </w:r>
      <w:r>
        <w:rPr>
          <w:rFonts w:hint="eastAsia"/>
          <w:color w:val="auto"/>
        </w:rPr>
        <w:t>标准收取。</w:t>
      </w:r>
      <w:r>
        <w:rPr>
          <w:rFonts w:hint="eastAsia"/>
          <w:b/>
          <w:color w:val="auto"/>
        </w:rPr>
        <w:t>本项目类型为</w:t>
      </w:r>
      <w:r>
        <w:rPr>
          <w:rFonts w:hint="eastAsia"/>
          <w:b/>
          <w:color w:val="auto"/>
          <w:lang w:val="en-US" w:eastAsia="zh-CN"/>
        </w:rPr>
        <w:t>服务</w:t>
      </w:r>
      <w:r>
        <w:rPr>
          <w:rFonts w:hint="eastAsia"/>
          <w:b/>
          <w:color w:val="auto"/>
        </w:rPr>
        <w:t>采购：</w:t>
      </w:r>
    </w:p>
    <w:p w14:paraId="7DAE8668">
      <w:pPr>
        <w:ind w:firstLine="420" w:firstLineChars="200"/>
        <w:rPr>
          <w:color w:val="auto"/>
        </w:rPr>
      </w:pPr>
      <w:r>
        <w:rPr>
          <w:rFonts w:hint="eastAsia"/>
          <w:color w:val="auto"/>
        </w:rPr>
        <w:t>（</w:t>
      </w:r>
      <w:r>
        <w:rPr>
          <w:rFonts w:hint="eastAsia" w:ascii="Times New Roman" w:eastAsia="宋体"/>
          <w:color w:val="auto"/>
          <w:lang w:val="en-US" w:eastAsia="zh-CN"/>
        </w:rPr>
        <w:t>1</w:t>
      </w:r>
      <w:r>
        <w:rPr>
          <w:rFonts w:hint="eastAsia"/>
          <w:color w:val="auto"/>
        </w:rPr>
        <w:t>）代理服务费以《中标</w:t>
      </w:r>
      <w:r>
        <w:rPr>
          <w:rFonts w:hint="eastAsia" w:eastAsia="宋体"/>
          <w:color w:val="auto"/>
          <w:lang w:eastAsia="zh-CN"/>
        </w:rPr>
        <w:t>（</w:t>
      </w:r>
      <w:r>
        <w:rPr>
          <w:rFonts w:hint="eastAsia" w:ascii="Times New Roman" w:eastAsia="宋体"/>
          <w:color w:val="auto"/>
          <w:lang w:val="en-US" w:eastAsia="zh-CN"/>
        </w:rPr>
        <w:t>成交</w:t>
      </w:r>
      <w:r>
        <w:rPr>
          <w:rFonts w:hint="eastAsia" w:eastAsia="宋体"/>
          <w:color w:val="auto"/>
          <w:lang w:eastAsia="zh-CN"/>
        </w:rPr>
        <w:t>）</w:t>
      </w:r>
      <w:r>
        <w:rPr>
          <w:rFonts w:hint="eastAsia"/>
          <w:color w:val="auto"/>
        </w:rPr>
        <w:t>通知书》确定的</w:t>
      </w:r>
      <w:r>
        <w:rPr>
          <w:rFonts w:hint="eastAsia" w:ascii="Times New Roman" w:eastAsia="宋体"/>
          <w:color w:val="auto"/>
          <w:lang w:val="en-US" w:eastAsia="zh-CN"/>
        </w:rPr>
        <w:t>中标（</w:t>
      </w:r>
      <w:r>
        <w:rPr>
          <w:rFonts w:hint="eastAsia"/>
          <w:color w:val="auto"/>
        </w:rPr>
        <w:t>成交</w:t>
      </w:r>
      <w:r>
        <w:rPr>
          <w:rFonts w:hint="eastAsia" w:eastAsia="宋体"/>
          <w:color w:val="auto"/>
          <w:lang w:eastAsia="zh-CN"/>
        </w:rPr>
        <w:t>）</w:t>
      </w:r>
      <w:r>
        <w:rPr>
          <w:rFonts w:hint="eastAsia"/>
          <w:color w:val="auto"/>
        </w:rPr>
        <w:t>金额作为计算基数，按差额定率累进法计算。</w:t>
      </w:r>
    </w:p>
    <w:p w14:paraId="123DCF44">
      <w:pPr>
        <w:ind w:firstLine="420" w:firstLineChars="200"/>
        <w:rPr>
          <w:color w:val="auto"/>
        </w:rPr>
      </w:pPr>
      <w:r>
        <w:rPr>
          <w:rFonts w:hint="eastAsia"/>
          <w:color w:val="auto"/>
        </w:rPr>
        <w:t>（</w:t>
      </w:r>
      <w:r>
        <w:rPr>
          <w:rFonts w:hint="eastAsia" w:ascii="Times New Roman" w:eastAsia="宋体"/>
          <w:color w:val="auto"/>
          <w:lang w:val="en-US" w:eastAsia="zh-CN"/>
        </w:rPr>
        <w:t>2</w:t>
      </w:r>
      <w:r>
        <w:rPr>
          <w:rFonts w:hint="eastAsia"/>
          <w:color w:val="auto"/>
        </w:rPr>
        <w:t>）中标</w:t>
      </w:r>
      <w:r>
        <w:rPr>
          <w:rFonts w:hint="eastAsia" w:eastAsia="宋体"/>
          <w:color w:val="auto"/>
          <w:lang w:eastAsia="zh-CN"/>
        </w:rPr>
        <w:t>（</w:t>
      </w:r>
      <w:r>
        <w:rPr>
          <w:rFonts w:hint="eastAsia" w:ascii="Times New Roman" w:eastAsia="宋体"/>
          <w:color w:val="auto"/>
          <w:lang w:val="en-US" w:eastAsia="zh-CN"/>
        </w:rPr>
        <w:t>成交</w:t>
      </w:r>
      <w:r>
        <w:rPr>
          <w:rFonts w:hint="eastAsia" w:eastAsia="宋体"/>
          <w:color w:val="auto"/>
          <w:lang w:eastAsia="zh-CN"/>
        </w:rPr>
        <w:t>）</w:t>
      </w:r>
      <w:r>
        <w:rPr>
          <w:rFonts w:hint="eastAsia"/>
          <w:color w:val="auto"/>
        </w:rPr>
        <w:t>金额的各部分费率如下表：</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3E7CC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7690314D">
            <w:pPr>
              <w:widowControl/>
              <w:spacing w:line="360" w:lineRule="auto"/>
              <w:jc w:val="center"/>
            </w:pPr>
            <w:r>
              <w:rPr>
                <w:rFonts w:hint="eastAsia" w:ascii="Times New Roman" w:eastAsia="宋体"/>
                <w:lang w:val="en-US" w:eastAsia="zh-CN"/>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w:t>
            </w:r>
          </w:p>
        </w:tc>
        <w:tc>
          <w:tcPr>
            <w:tcW w:w="1799" w:type="dxa"/>
            <w:vAlign w:val="center"/>
          </w:tcPr>
          <w:p w14:paraId="4E22BFD2">
            <w:pPr>
              <w:widowControl/>
              <w:spacing w:line="360" w:lineRule="auto"/>
              <w:jc w:val="center"/>
            </w:pPr>
            <w:r>
              <w:rPr>
                <w:rFonts w:hint="eastAsia"/>
              </w:rPr>
              <w:t>货物采购</w:t>
            </w:r>
          </w:p>
        </w:tc>
        <w:tc>
          <w:tcPr>
            <w:tcW w:w="1799" w:type="dxa"/>
            <w:vAlign w:val="center"/>
          </w:tcPr>
          <w:p w14:paraId="5C3BDAE9">
            <w:pPr>
              <w:widowControl/>
              <w:spacing w:line="360" w:lineRule="auto"/>
              <w:jc w:val="center"/>
            </w:pPr>
            <w:r>
              <w:rPr>
                <w:rFonts w:hint="eastAsia"/>
              </w:rPr>
              <w:t>服务采购</w:t>
            </w:r>
          </w:p>
        </w:tc>
        <w:tc>
          <w:tcPr>
            <w:tcW w:w="1799" w:type="dxa"/>
            <w:vAlign w:val="center"/>
          </w:tcPr>
          <w:p w14:paraId="3C4BA92A">
            <w:pPr>
              <w:widowControl/>
              <w:spacing w:line="360" w:lineRule="auto"/>
              <w:jc w:val="center"/>
            </w:pPr>
            <w:r>
              <w:rPr>
                <w:rFonts w:hint="eastAsia"/>
              </w:rPr>
              <w:t>工程采购</w:t>
            </w:r>
          </w:p>
        </w:tc>
      </w:tr>
      <w:tr w14:paraId="0D51F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BA69DFF">
            <w:pPr>
              <w:widowControl/>
              <w:spacing w:line="360" w:lineRule="auto"/>
              <w:jc w:val="center"/>
            </w:pPr>
            <w:r>
              <w:rPr>
                <w:rFonts w:hint="eastAsia"/>
              </w:rPr>
              <w:t>100万元以下</w:t>
            </w:r>
          </w:p>
        </w:tc>
        <w:tc>
          <w:tcPr>
            <w:tcW w:w="1799" w:type="dxa"/>
            <w:vAlign w:val="center"/>
          </w:tcPr>
          <w:p w14:paraId="554C973F">
            <w:pPr>
              <w:widowControl/>
              <w:spacing w:line="360" w:lineRule="auto"/>
              <w:jc w:val="center"/>
            </w:pPr>
            <w:r>
              <w:rPr>
                <w:rFonts w:hint="eastAsia"/>
              </w:rPr>
              <w:t>1.5%</w:t>
            </w:r>
          </w:p>
        </w:tc>
        <w:tc>
          <w:tcPr>
            <w:tcW w:w="1799" w:type="dxa"/>
            <w:vAlign w:val="center"/>
          </w:tcPr>
          <w:p w14:paraId="6CAD94C3">
            <w:pPr>
              <w:widowControl/>
              <w:spacing w:line="360" w:lineRule="auto"/>
              <w:jc w:val="center"/>
            </w:pPr>
            <w:r>
              <w:rPr>
                <w:rFonts w:hint="eastAsia"/>
              </w:rPr>
              <w:t>1.5%</w:t>
            </w:r>
          </w:p>
        </w:tc>
        <w:tc>
          <w:tcPr>
            <w:tcW w:w="1799" w:type="dxa"/>
            <w:vAlign w:val="center"/>
          </w:tcPr>
          <w:p w14:paraId="25831C22">
            <w:pPr>
              <w:widowControl/>
              <w:spacing w:line="360" w:lineRule="auto"/>
              <w:jc w:val="center"/>
            </w:pPr>
            <w:r>
              <w:rPr>
                <w:rFonts w:hint="eastAsia"/>
              </w:rPr>
              <w:t>1.0%</w:t>
            </w:r>
          </w:p>
        </w:tc>
      </w:tr>
      <w:tr w14:paraId="57AD7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504748F">
            <w:pPr>
              <w:widowControl/>
              <w:spacing w:line="360" w:lineRule="auto"/>
              <w:jc w:val="center"/>
            </w:pPr>
            <w:r>
              <w:rPr>
                <w:rFonts w:hint="eastAsia"/>
              </w:rPr>
              <w:t>100万元（含）-500万元</w:t>
            </w:r>
          </w:p>
        </w:tc>
        <w:tc>
          <w:tcPr>
            <w:tcW w:w="1799" w:type="dxa"/>
            <w:vAlign w:val="center"/>
          </w:tcPr>
          <w:p w14:paraId="675F4D7A">
            <w:pPr>
              <w:widowControl/>
              <w:spacing w:line="360" w:lineRule="auto"/>
              <w:jc w:val="center"/>
            </w:pPr>
            <w:r>
              <w:rPr>
                <w:rFonts w:hint="eastAsia"/>
              </w:rPr>
              <w:t>1.1%</w:t>
            </w:r>
          </w:p>
        </w:tc>
        <w:tc>
          <w:tcPr>
            <w:tcW w:w="1799" w:type="dxa"/>
            <w:vAlign w:val="center"/>
          </w:tcPr>
          <w:p w14:paraId="295804B3">
            <w:pPr>
              <w:widowControl/>
              <w:spacing w:line="360" w:lineRule="auto"/>
              <w:jc w:val="center"/>
            </w:pPr>
            <w:r>
              <w:rPr>
                <w:rFonts w:hint="eastAsia"/>
              </w:rPr>
              <w:t>0.8%</w:t>
            </w:r>
          </w:p>
        </w:tc>
        <w:tc>
          <w:tcPr>
            <w:tcW w:w="1799" w:type="dxa"/>
            <w:vAlign w:val="center"/>
          </w:tcPr>
          <w:p w14:paraId="51A7B7F7">
            <w:pPr>
              <w:widowControl/>
              <w:spacing w:line="360" w:lineRule="auto"/>
              <w:jc w:val="center"/>
            </w:pPr>
            <w:r>
              <w:rPr>
                <w:rFonts w:hint="eastAsia"/>
              </w:rPr>
              <w:t>0.7%</w:t>
            </w:r>
          </w:p>
        </w:tc>
      </w:tr>
      <w:tr w14:paraId="2827B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80E6501">
            <w:pPr>
              <w:widowControl/>
              <w:spacing w:line="360" w:lineRule="auto"/>
              <w:jc w:val="center"/>
            </w:pPr>
            <w:r>
              <w:rPr>
                <w:rFonts w:hint="eastAsia"/>
              </w:rPr>
              <w:t>500万元（含）-1000万元</w:t>
            </w:r>
          </w:p>
        </w:tc>
        <w:tc>
          <w:tcPr>
            <w:tcW w:w="1799" w:type="dxa"/>
            <w:vAlign w:val="center"/>
          </w:tcPr>
          <w:p w14:paraId="47AE2298">
            <w:pPr>
              <w:widowControl/>
              <w:spacing w:line="360" w:lineRule="auto"/>
              <w:jc w:val="center"/>
            </w:pPr>
            <w:r>
              <w:rPr>
                <w:rFonts w:hint="eastAsia"/>
              </w:rPr>
              <w:t>0.8%</w:t>
            </w:r>
          </w:p>
        </w:tc>
        <w:tc>
          <w:tcPr>
            <w:tcW w:w="1799" w:type="dxa"/>
            <w:vAlign w:val="center"/>
          </w:tcPr>
          <w:p w14:paraId="701F10A4">
            <w:pPr>
              <w:widowControl/>
              <w:spacing w:line="360" w:lineRule="auto"/>
              <w:jc w:val="center"/>
            </w:pPr>
            <w:r>
              <w:rPr>
                <w:rFonts w:hint="eastAsia"/>
              </w:rPr>
              <w:t>0.45%</w:t>
            </w:r>
          </w:p>
        </w:tc>
        <w:tc>
          <w:tcPr>
            <w:tcW w:w="1799" w:type="dxa"/>
            <w:vAlign w:val="center"/>
          </w:tcPr>
          <w:p w14:paraId="0667B762">
            <w:pPr>
              <w:widowControl/>
              <w:spacing w:line="360" w:lineRule="auto"/>
              <w:jc w:val="center"/>
            </w:pPr>
            <w:r>
              <w:rPr>
                <w:rFonts w:hint="eastAsia"/>
              </w:rPr>
              <w:t>0.55%</w:t>
            </w:r>
          </w:p>
        </w:tc>
      </w:tr>
      <w:tr w14:paraId="07B9F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83E4E63">
            <w:pPr>
              <w:widowControl/>
              <w:spacing w:line="360" w:lineRule="auto"/>
              <w:jc w:val="center"/>
            </w:pPr>
            <w:r>
              <w:rPr>
                <w:rFonts w:hint="eastAsia"/>
              </w:rPr>
              <w:t>1000万元（含）-5000万元</w:t>
            </w:r>
          </w:p>
        </w:tc>
        <w:tc>
          <w:tcPr>
            <w:tcW w:w="1799" w:type="dxa"/>
            <w:vAlign w:val="center"/>
          </w:tcPr>
          <w:p w14:paraId="0C111A83">
            <w:pPr>
              <w:widowControl/>
              <w:spacing w:line="360" w:lineRule="auto"/>
              <w:jc w:val="center"/>
            </w:pPr>
            <w:r>
              <w:rPr>
                <w:rFonts w:hint="eastAsia"/>
              </w:rPr>
              <w:t>0.5%</w:t>
            </w:r>
          </w:p>
        </w:tc>
        <w:tc>
          <w:tcPr>
            <w:tcW w:w="1799" w:type="dxa"/>
            <w:vAlign w:val="center"/>
          </w:tcPr>
          <w:p w14:paraId="41B6A76E">
            <w:pPr>
              <w:widowControl/>
              <w:spacing w:line="360" w:lineRule="auto"/>
              <w:jc w:val="center"/>
            </w:pPr>
            <w:r>
              <w:rPr>
                <w:rFonts w:hint="eastAsia"/>
              </w:rPr>
              <w:t>0.25%</w:t>
            </w:r>
          </w:p>
        </w:tc>
        <w:tc>
          <w:tcPr>
            <w:tcW w:w="1799" w:type="dxa"/>
            <w:vAlign w:val="center"/>
          </w:tcPr>
          <w:p w14:paraId="344ECE9D">
            <w:pPr>
              <w:widowControl/>
              <w:spacing w:line="360" w:lineRule="auto"/>
              <w:jc w:val="center"/>
            </w:pPr>
            <w:r>
              <w:rPr>
                <w:rFonts w:hint="eastAsia"/>
              </w:rPr>
              <w:t>0.35%</w:t>
            </w:r>
          </w:p>
        </w:tc>
      </w:tr>
      <w:tr w14:paraId="53F1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FB8FA50">
            <w:pPr>
              <w:widowControl/>
              <w:spacing w:line="360" w:lineRule="auto"/>
              <w:jc w:val="center"/>
            </w:pPr>
            <w:r>
              <w:rPr>
                <w:rFonts w:hint="eastAsia"/>
              </w:rPr>
              <w:t>5000万元（含）-1亿元</w:t>
            </w:r>
          </w:p>
        </w:tc>
        <w:tc>
          <w:tcPr>
            <w:tcW w:w="1799" w:type="dxa"/>
            <w:vAlign w:val="center"/>
          </w:tcPr>
          <w:p w14:paraId="4BFFEB89">
            <w:pPr>
              <w:widowControl/>
              <w:spacing w:line="360" w:lineRule="auto"/>
              <w:jc w:val="center"/>
            </w:pPr>
            <w:r>
              <w:rPr>
                <w:rFonts w:hint="eastAsia"/>
              </w:rPr>
              <w:t>0.25%</w:t>
            </w:r>
          </w:p>
        </w:tc>
        <w:tc>
          <w:tcPr>
            <w:tcW w:w="1799" w:type="dxa"/>
            <w:vAlign w:val="center"/>
          </w:tcPr>
          <w:p w14:paraId="530E7E22">
            <w:pPr>
              <w:widowControl/>
              <w:spacing w:line="360" w:lineRule="auto"/>
              <w:jc w:val="center"/>
            </w:pPr>
            <w:r>
              <w:rPr>
                <w:rFonts w:hint="eastAsia"/>
              </w:rPr>
              <w:t>0.1%</w:t>
            </w:r>
          </w:p>
        </w:tc>
        <w:tc>
          <w:tcPr>
            <w:tcW w:w="1799" w:type="dxa"/>
            <w:vAlign w:val="center"/>
          </w:tcPr>
          <w:p w14:paraId="46D60732">
            <w:pPr>
              <w:widowControl/>
              <w:spacing w:line="360" w:lineRule="auto"/>
              <w:jc w:val="center"/>
            </w:pPr>
            <w:r>
              <w:rPr>
                <w:rFonts w:hint="eastAsia"/>
              </w:rPr>
              <w:t>0.2%</w:t>
            </w:r>
          </w:p>
        </w:tc>
      </w:tr>
      <w:tr w14:paraId="06220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F685047">
            <w:pPr>
              <w:widowControl/>
              <w:spacing w:line="360" w:lineRule="auto"/>
              <w:jc w:val="center"/>
            </w:pPr>
            <w:r>
              <w:rPr>
                <w:rFonts w:hint="eastAsia"/>
              </w:rPr>
              <w:t>1亿元（含）-5亿元</w:t>
            </w:r>
          </w:p>
        </w:tc>
        <w:tc>
          <w:tcPr>
            <w:tcW w:w="1799" w:type="dxa"/>
            <w:vAlign w:val="center"/>
          </w:tcPr>
          <w:p w14:paraId="60F781E9">
            <w:pPr>
              <w:widowControl/>
              <w:spacing w:line="360" w:lineRule="auto"/>
              <w:jc w:val="center"/>
            </w:pPr>
            <w:r>
              <w:rPr>
                <w:rFonts w:hint="eastAsia"/>
              </w:rPr>
              <w:t>0.05%</w:t>
            </w:r>
          </w:p>
        </w:tc>
        <w:tc>
          <w:tcPr>
            <w:tcW w:w="1799" w:type="dxa"/>
            <w:vAlign w:val="center"/>
          </w:tcPr>
          <w:p w14:paraId="285CA850">
            <w:pPr>
              <w:widowControl/>
              <w:spacing w:line="360" w:lineRule="auto"/>
              <w:jc w:val="center"/>
            </w:pPr>
            <w:r>
              <w:rPr>
                <w:rFonts w:hint="eastAsia"/>
              </w:rPr>
              <w:t>0.05%</w:t>
            </w:r>
          </w:p>
        </w:tc>
        <w:tc>
          <w:tcPr>
            <w:tcW w:w="1799" w:type="dxa"/>
            <w:vAlign w:val="center"/>
          </w:tcPr>
          <w:p w14:paraId="759939E4">
            <w:pPr>
              <w:widowControl/>
              <w:spacing w:line="360" w:lineRule="auto"/>
              <w:jc w:val="center"/>
            </w:pPr>
            <w:r>
              <w:rPr>
                <w:rFonts w:hint="eastAsia"/>
              </w:rPr>
              <w:t>0.05%</w:t>
            </w:r>
          </w:p>
        </w:tc>
      </w:tr>
      <w:tr w14:paraId="11E66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9EFAB79">
            <w:pPr>
              <w:widowControl/>
              <w:spacing w:line="360" w:lineRule="auto"/>
              <w:jc w:val="center"/>
            </w:pPr>
            <w:r>
              <w:rPr>
                <w:rFonts w:hint="eastAsia"/>
              </w:rPr>
              <w:t>5亿元（含）-10亿元</w:t>
            </w:r>
          </w:p>
        </w:tc>
        <w:tc>
          <w:tcPr>
            <w:tcW w:w="1799" w:type="dxa"/>
            <w:vAlign w:val="center"/>
          </w:tcPr>
          <w:p w14:paraId="5875B5F1">
            <w:pPr>
              <w:widowControl/>
              <w:spacing w:line="360" w:lineRule="auto"/>
              <w:jc w:val="center"/>
            </w:pPr>
            <w:r>
              <w:rPr>
                <w:rFonts w:hint="eastAsia"/>
              </w:rPr>
              <w:t>0.035%</w:t>
            </w:r>
          </w:p>
        </w:tc>
        <w:tc>
          <w:tcPr>
            <w:tcW w:w="1799" w:type="dxa"/>
            <w:vAlign w:val="center"/>
          </w:tcPr>
          <w:p w14:paraId="3253CEE1">
            <w:pPr>
              <w:widowControl/>
              <w:spacing w:line="360" w:lineRule="auto"/>
              <w:jc w:val="center"/>
            </w:pPr>
            <w:r>
              <w:rPr>
                <w:rFonts w:hint="eastAsia"/>
              </w:rPr>
              <w:t>0.035%</w:t>
            </w:r>
          </w:p>
        </w:tc>
        <w:tc>
          <w:tcPr>
            <w:tcW w:w="1799" w:type="dxa"/>
            <w:vAlign w:val="center"/>
          </w:tcPr>
          <w:p w14:paraId="3047A6B2">
            <w:pPr>
              <w:widowControl/>
              <w:spacing w:line="360" w:lineRule="auto"/>
              <w:jc w:val="center"/>
            </w:pPr>
            <w:r>
              <w:rPr>
                <w:rFonts w:hint="eastAsia"/>
              </w:rPr>
              <w:t>0.035%</w:t>
            </w:r>
          </w:p>
        </w:tc>
      </w:tr>
      <w:tr w14:paraId="4CCE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6A1BCE84">
            <w:pPr>
              <w:widowControl/>
              <w:spacing w:line="360" w:lineRule="auto"/>
              <w:jc w:val="center"/>
            </w:pPr>
            <w:r>
              <w:rPr>
                <w:rFonts w:hint="eastAsia"/>
              </w:rPr>
              <w:t>10亿元（含）-50亿元</w:t>
            </w:r>
          </w:p>
        </w:tc>
        <w:tc>
          <w:tcPr>
            <w:tcW w:w="1799" w:type="dxa"/>
            <w:vAlign w:val="center"/>
          </w:tcPr>
          <w:p w14:paraId="7F00026D">
            <w:pPr>
              <w:widowControl/>
              <w:spacing w:line="360" w:lineRule="auto"/>
              <w:jc w:val="center"/>
            </w:pPr>
            <w:r>
              <w:rPr>
                <w:rFonts w:hint="eastAsia"/>
              </w:rPr>
              <w:t>0.008%</w:t>
            </w:r>
          </w:p>
        </w:tc>
        <w:tc>
          <w:tcPr>
            <w:tcW w:w="1799" w:type="dxa"/>
            <w:vAlign w:val="center"/>
          </w:tcPr>
          <w:p w14:paraId="0DCBDF78">
            <w:pPr>
              <w:widowControl/>
              <w:spacing w:line="360" w:lineRule="auto"/>
              <w:jc w:val="center"/>
            </w:pPr>
            <w:r>
              <w:rPr>
                <w:rFonts w:hint="eastAsia"/>
              </w:rPr>
              <w:t>0.008%</w:t>
            </w:r>
          </w:p>
        </w:tc>
        <w:tc>
          <w:tcPr>
            <w:tcW w:w="1799" w:type="dxa"/>
            <w:vAlign w:val="center"/>
          </w:tcPr>
          <w:p w14:paraId="7AF73A12">
            <w:pPr>
              <w:widowControl/>
              <w:spacing w:line="360" w:lineRule="auto"/>
              <w:jc w:val="center"/>
            </w:pPr>
            <w:r>
              <w:rPr>
                <w:rFonts w:hint="eastAsia"/>
              </w:rPr>
              <w:t>0.008%</w:t>
            </w:r>
          </w:p>
        </w:tc>
      </w:tr>
      <w:tr w14:paraId="3678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550E10A">
            <w:pPr>
              <w:widowControl/>
              <w:spacing w:line="360" w:lineRule="auto"/>
              <w:jc w:val="center"/>
            </w:pPr>
            <w:r>
              <w:rPr>
                <w:rFonts w:hint="eastAsia"/>
              </w:rPr>
              <w:t>50亿元（含）-100亿元</w:t>
            </w:r>
          </w:p>
        </w:tc>
        <w:tc>
          <w:tcPr>
            <w:tcW w:w="1799" w:type="dxa"/>
            <w:vAlign w:val="center"/>
          </w:tcPr>
          <w:p w14:paraId="0118E55E">
            <w:pPr>
              <w:widowControl/>
              <w:spacing w:line="360" w:lineRule="auto"/>
              <w:jc w:val="center"/>
            </w:pPr>
            <w:r>
              <w:rPr>
                <w:rFonts w:hint="eastAsia"/>
              </w:rPr>
              <w:t>0.006%</w:t>
            </w:r>
          </w:p>
        </w:tc>
        <w:tc>
          <w:tcPr>
            <w:tcW w:w="1799" w:type="dxa"/>
            <w:vAlign w:val="center"/>
          </w:tcPr>
          <w:p w14:paraId="6E42F390">
            <w:pPr>
              <w:widowControl/>
              <w:spacing w:line="360" w:lineRule="auto"/>
              <w:jc w:val="center"/>
            </w:pPr>
            <w:r>
              <w:rPr>
                <w:rFonts w:hint="eastAsia"/>
              </w:rPr>
              <w:t>0.006%</w:t>
            </w:r>
          </w:p>
        </w:tc>
        <w:tc>
          <w:tcPr>
            <w:tcW w:w="1799" w:type="dxa"/>
            <w:vAlign w:val="center"/>
          </w:tcPr>
          <w:p w14:paraId="4EE07AEF">
            <w:pPr>
              <w:widowControl/>
              <w:spacing w:line="360" w:lineRule="auto"/>
              <w:jc w:val="center"/>
            </w:pPr>
            <w:r>
              <w:rPr>
                <w:rFonts w:hint="eastAsia"/>
              </w:rPr>
              <w:t>0.006%</w:t>
            </w:r>
          </w:p>
        </w:tc>
      </w:tr>
      <w:tr w14:paraId="5DEFC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7F0DDD7">
            <w:pPr>
              <w:widowControl/>
              <w:spacing w:line="360" w:lineRule="auto"/>
              <w:jc w:val="center"/>
            </w:pPr>
            <w:r>
              <w:rPr>
                <w:rFonts w:hint="eastAsia"/>
              </w:rPr>
              <w:t>100亿元（含）以上</w:t>
            </w:r>
          </w:p>
        </w:tc>
        <w:tc>
          <w:tcPr>
            <w:tcW w:w="1799" w:type="dxa"/>
            <w:vAlign w:val="center"/>
          </w:tcPr>
          <w:p w14:paraId="5AC5E000">
            <w:pPr>
              <w:widowControl/>
              <w:spacing w:line="360" w:lineRule="auto"/>
              <w:jc w:val="center"/>
            </w:pPr>
            <w:r>
              <w:rPr>
                <w:rFonts w:hint="eastAsia"/>
              </w:rPr>
              <w:t>0.004%</w:t>
            </w:r>
          </w:p>
        </w:tc>
        <w:tc>
          <w:tcPr>
            <w:tcW w:w="1799" w:type="dxa"/>
            <w:vAlign w:val="center"/>
          </w:tcPr>
          <w:p w14:paraId="7B72C655">
            <w:pPr>
              <w:widowControl/>
              <w:spacing w:line="360" w:lineRule="auto"/>
              <w:jc w:val="center"/>
            </w:pPr>
            <w:r>
              <w:rPr>
                <w:rFonts w:hint="eastAsia"/>
              </w:rPr>
              <w:t>0.004%</w:t>
            </w:r>
          </w:p>
        </w:tc>
        <w:tc>
          <w:tcPr>
            <w:tcW w:w="1799" w:type="dxa"/>
            <w:vAlign w:val="center"/>
          </w:tcPr>
          <w:p w14:paraId="70B9CFF8">
            <w:pPr>
              <w:widowControl/>
              <w:spacing w:line="360" w:lineRule="auto"/>
              <w:jc w:val="center"/>
            </w:pPr>
            <w:r>
              <w:rPr>
                <w:rFonts w:hint="eastAsia"/>
              </w:rPr>
              <w:t>0.004%</w:t>
            </w:r>
          </w:p>
        </w:tc>
      </w:tr>
    </w:tbl>
    <w:p w14:paraId="2A870638">
      <w:pPr>
        <w:ind w:firstLine="420" w:firstLineChars="200"/>
      </w:pPr>
      <w:r>
        <w:rPr>
          <w:rFonts w:hint="eastAsia"/>
        </w:rPr>
        <w:t xml:space="preserve">备注：1.每宗交易代理服务费不低于 </w:t>
      </w:r>
      <w:r>
        <w:rPr>
          <w:rFonts w:hint="eastAsia" w:ascii="Times New Roman" w:eastAsia="宋体"/>
          <w:lang w:val="en-US" w:eastAsia="zh-CN"/>
        </w:rPr>
        <w:t>5</w:t>
      </w:r>
      <w:r>
        <w:rPr>
          <w:rFonts w:hint="eastAsia"/>
        </w:rPr>
        <w:t>000 元；</w:t>
      </w:r>
    </w:p>
    <w:p w14:paraId="3A6AC9FB">
      <w:pPr>
        <w:ind w:firstLine="420" w:firstLineChars="200"/>
        <w:rPr>
          <w:rFonts w:hint="eastAsia" w:eastAsia="宋体"/>
          <w:lang w:eastAsia="zh-CN"/>
        </w:rPr>
      </w:pPr>
      <w:r>
        <w:rPr>
          <w:rFonts w:hint="eastAsia"/>
        </w:rPr>
        <w:t>2.对于报总价的采购类项目，中标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价为中标（成交）金额；对于报单价、折扣或费率的采购类项目，中标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价为预算上限金额或经委托方与代理方确定的支付上限金额；</w:t>
      </w:r>
    </w:p>
    <w:p w14:paraId="47DA1E3A">
      <w:pPr>
        <w:ind w:firstLine="420" w:firstLineChars="200"/>
      </w:pPr>
    </w:p>
    <w:p w14:paraId="3EE7674C">
      <w:pPr>
        <w:ind w:firstLine="420" w:firstLineChars="200"/>
      </w:pPr>
      <w:r>
        <w:rPr>
          <w:rFonts w:hint="eastAsia"/>
        </w:rPr>
        <w:t>如某货物采购项目，中标（成交）金额为600万元，总共交纳的代理服务费的具体计算过程如下：</w:t>
      </w:r>
    </w:p>
    <w:p w14:paraId="1E3709C9">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4C6B4A31">
      <w:pPr>
        <w:ind w:firstLine="420" w:firstLineChars="200"/>
      </w:pPr>
      <w:r>
        <w:rPr>
          <w:rFonts w:hint="eastAsia"/>
        </w:rPr>
        <w:t>（</w:t>
      </w:r>
      <w:r>
        <w:rPr>
          <w:rFonts w:hint="eastAsia" w:ascii="Times New Roman" w:eastAsia="宋体"/>
          <w:lang w:val="en-US" w:eastAsia="zh-CN"/>
        </w:rPr>
        <w:t>3</w:t>
      </w:r>
      <w:r>
        <w:rPr>
          <w:rFonts w:hint="eastAsia"/>
        </w:rPr>
        <w:t>）中标（成交）供应商中标（成交）后，必须按规定采用银行对公转账方式向深圳交易集团有限公司直接交纳代理服务费，交纳信息及要求按照缴款</w:t>
      </w:r>
      <w:r>
        <w:rPr>
          <w:rFonts w:hint="eastAsia" w:eastAsia="宋体"/>
          <w:lang w:eastAsia="zh-CN"/>
        </w:rPr>
        <w:t>（</w:t>
      </w:r>
      <w:r>
        <w:rPr>
          <w:rFonts w:hint="eastAsia" w:ascii="Times New Roman" w:eastAsia="宋体"/>
          <w:lang w:val="en-US" w:eastAsia="zh-CN"/>
        </w:rPr>
        <w:t>付款</w:t>
      </w:r>
      <w:r>
        <w:rPr>
          <w:rFonts w:hint="eastAsia" w:eastAsia="宋体"/>
          <w:lang w:eastAsia="zh-CN"/>
        </w:rPr>
        <w:t>）</w:t>
      </w:r>
      <w:r>
        <w:rPr>
          <w:rFonts w:hint="eastAsia"/>
        </w:rPr>
        <w:t>通知书执行。</w:t>
      </w:r>
    </w:p>
    <w:p w14:paraId="6B4468BA">
      <w:pPr>
        <w:pStyle w:val="2"/>
        <w:rPr>
          <w:b/>
        </w:rPr>
      </w:pPr>
    </w:p>
    <w:p w14:paraId="288B007B">
      <w:pPr>
        <w:pStyle w:val="36"/>
        <w:rPr>
          <w:b/>
        </w:rPr>
      </w:pPr>
    </w:p>
    <w:p w14:paraId="12A3744B">
      <w:pPr>
        <w:rPr>
          <w:b/>
        </w:rPr>
        <w:sectPr>
          <w:pgSz w:w="11907" w:h="16840"/>
          <w:pgMar w:top="1440" w:right="1797" w:bottom="1440" w:left="1797" w:header="851" w:footer="992" w:gutter="0"/>
          <w:cols w:space="425" w:num="1"/>
          <w:titlePg/>
          <w:docGrid w:linePitch="462" w:charSpace="0"/>
        </w:sectPr>
      </w:pPr>
    </w:p>
    <w:p w14:paraId="2CEDE1E8">
      <w:pPr>
        <w:pStyle w:val="6"/>
        <w:rPr>
          <w:sz w:val="28"/>
          <w:szCs w:val="28"/>
        </w:rPr>
      </w:pPr>
      <w:bookmarkStart w:id="29" w:name="_Toc128884461"/>
      <w:r>
        <w:rPr>
          <w:rFonts w:hint="eastAsia"/>
          <w:sz w:val="28"/>
          <w:szCs w:val="28"/>
        </w:rPr>
        <w:t>第三章 用户需求书</w:t>
      </w:r>
    </w:p>
    <w:p w14:paraId="52EC2219">
      <w:pPr>
        <w:pStyle w:val="6"/>
        <w:spacing w:before="120" w:beforeLines="50" w:after="120" w:afterLines="50"/>
        <w:rPr>
          <w:szCs w:val="24"/>
        </w:rPr>
      </w:pPr>
      <w:r>
        <w:rPr>
          <w:rFonts w:hint="eastAsia"/>
          <w:szCs w:val="24"/>
        </w:rPr>
        <w:t>一、项目基本信息</w:t>
      </w:r>
    </w:p>
    <w:p w14:paraId="3887F0C8">
      <w:pPr>
        <w:rPr>
          <w:rFonts w:ascii="宋体" w:hAnsi="宋体"/>
          <w:b/>
          <w:color w:val="FF0000"/>
          <w:szCs w:val="21"/>
        </w:rPr>
      </w:pPr>
    </w:p>
    <w:tbl>
      <w:tblPr>
        <w:tblStyle w:val="44"/>
        <w:tblpPr w:leftFromText="180" w:rightFromText="180" w:vertAnchor="text" w:horzAnchor="margin" w:tblpY="17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2603"/>
        <w:gridCol w:w="3158"/>
        <w:gridCol w:w="2355"/>
      </w:tblGrid>
      <w:tr w14:paraId="06543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13" w:type="dxa"/>
            <w:vAlign w:val="center"/>
          </w:tcPr>
          <w:p w14:paraId="78D43956">
            <w:pPr>
              <w:jc w:val="center"/>
              <w:rPr>
                <w:bCs/>
                <w:szCs w:val="21"/>
              </w:rPr>
            </w:pPr>
            <w:r>
              <w:rPr>
                <w:rFonts w:hint="eastAsia"/>
                <w:bCs/>
                <w:szCs w:val="21"/>
              </w:rPr>
              <w:t>序号</w:t>
            </w:r>
          </w:p>
        </w:tc>
        <w:tc>
          <w:tcPr>
            <w:tcW w:w="2603" w:type="dxa"/>
            <w:vAlign w:val="center"/>
          </w:tcPr>
          <w:p w14:paraId="08AE9C06">
            <w:pPr>
              <w:jc w:val="center"/>
              <w:rPr>
                <w:bCs/>
                <w:color w:val="auto"/>
                <w:szCs w:val="21"/>
              </w:rPr>
            </w:pPr>
            <w:r>
              <w:rPr>
                <w:rFonts w:hint="eastAsia"/>
                <w:color w:val="auto"/>
                <w:szCs w:val="21"/>
              </w:rPr>
              <w:t>采购计划编号</w:t>
            </w:r>
          </w:p>
        </w:tc>
        <w:tc>
          <w:tcPr>
            <w:tcW w:w="3158" w:type="dxa"/>
            <w:vAlign w:val="center"/>
          </w:tcPr>
          <w:p w14:paraId="42A596A9">
            <w:pPr>
              <w:jc w:val="center"/>
              <w:rPr>
                <w:bCs/>
                <w:color w:val="auto"/>
                <w:szCs w:val="21"/>
              </w:rPr>
            </w:pPr>
            <w:r>
              <w:rPr>
                <w:rFonts w:hint="eastAsia"/>
                <w:bCs/>
                <w:color w:val="auto"/>
                <w:szCs w:val="21"/>
              </w:rPr>
              <w:t>采购项目名称</w:t>
            </w:r>
          </w:p>
        </w:tc>
        <w:tc>
          <w:tcPr>
            <w:tcW w:w="2355" w:type="dxa"/>
            <w:vAlign w:val="center"/>
          </w:tcPr>
          <w:p w14:paraId="7C50C910">
            <w:pPr>
              <w:jc w:val="center"/>
              <w:rPr>
                <w:b/>
                <w:bCs/>
                <w:color w:val="auto"/>
                <w:szCs w:val="21"/>
              </w:rPr>
            </w:pPr>
            <w:r>
              <w:rPr>
                <w:rFonts w:hint="eastAsia"/>
                <w:b w:val="0"/>
                <w:bCs w:val="0"/>
                <w:color w:val="auto"/>
                <w:szCs w:val="21"/>
              </w:rPr>
              <w:t>预算</w:t>
            </w:r>
            <w:r>
              <w:rPr>
                <w:rFonts w:hint="eastAsia"/>
                <w:b w:val="0"/>
                <w:bCs w:val="0"/>
                <w:color w:val="auto"/>
                <w:szCs w:val="21"/>
                <w:lang w:val="en-US" w:eastAsia="zh-CN"/>
              </w:rPr>
              <w:t>金额</w:t>
            </w:r>
            <w:r>
              <w:rPr>
                <w:rFonts w:hint="eastAsia"/>
                <w:b w:val="0"/>
                <w:bCs w:val="0"/>
                <w:color w:val="auto"/>
                <w:szCs w:val="21"/>
              </w:rPr>
              <w:t>（元）</w:t>
            </w:r>
          </w:p>
        </w:tc>
      </w:tr>
      <w:tr w14:paraId="1E9F0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13" w:type="dxa"/>
            <w:vAlign w:val="center"/>
          </w:tcPr>
          <w:p w14:paraId="5A4D33E3">
            <w:pPr>
              <w:jc w:val="center"/>
              <w:rPr>
                <w:bCs/>
                <w:color w:val="FF0000"/>
                <w:szCs w:val="21"/>
              </w:rPr>
            </w:pPr>
            <w:r>
              <w:rPr>
                <w:rFonts w:hint="eastAsia"/>
                <w:bCs/>
                <w:color w:val="auto"/>
                <w:szCs w:val="21"/>
              </w:rPr>
              <w:t>1</w:t>
            </w:r>
          </w:p>
        </w:tc>
        <w:tc>
          <w:tcPr>
            <w:tcW w:w="2603" w:type="dxa"/>
            <w:vAlign w:val="center"/>
          </w:tcPr>
          <w:p w14:paraId="0BB4C896">
            <w:pPr>
              <w:keepNext w:val="0"/>
              <w:keepLines w:val="0"/>
              <w:pageBreakBefore w:val="0"/>
              <w:suppressLineNumbers w:val="0"/>
              <w:kinsoku/>
              <w:wordWrap/>
              <w:overflowPunct/>
              <w:topLinePunct w:val="0"/>
              <w:autoSpaceDE/>
              <w:autoSpaceDN/>
              <w:bidi w:val="0"/>
              <w:spacing w:beforeAutospacing="0" w:afterAutospacing="0" w:line="240" w:lineRule="auto"/>
              <w:ind w:left="0" w:right="0"/>
              <w:jc w:val="center"/>
              <w:rPr>
                <w:rFonts w:hint="eastAsia" w:eastAsia="宋体"/>
                <w:bCs/>
                <w:color w:val="auto"/>
                <w:szCs w:val="21"/>
                <w:lang w:eastAsia="zh-CN"/>
              </w:rPr>
            </w:pPr>
            <w:r>
              <w:rPr>
                <w:rFonts w:hint="eastAsia" w:cs="Times New Roman"/>
                <w:i w:val="0"/>
                <w:iCs w:val="0"/>
                <w:caps w:val="0"/>
                <w:color w:val="auto"/>
                <w:spacing w:val="0"/>
                <w:sz w:val="21"/>
                <w:szCs w:val="21"/>
                <w:lang w:val="en-US" w:eastAsia="zh-CN"/>
              </w:rPr>
              <w:t xml:space="preserve"> </w:t>
            </w:r>
            <w:r>
              <w:rPr>
                <w:rFonts w:hint="eastAsia" w:ascii="Times New Roman" w:hAnsi="Times New Roman" w:cs="Times New Roman"/>
                <w:bCs w:val="0"/>
                <w:color w:val="auto"/>
                <w:sz w:val="21"/>
                <w:szCs w:val="21"/>
                <w:lang w:val="en-US" w:eastAsia="zh-CN"/>
              </w:rPr>
              <w:t>JYCG-DECL-2025-29628</w:t>
            </w:r>
          </w:p>
        </w:tc>
        <w:tc>
          <w:tcPr>
            <w:tcW w:w="3158" w:type="dxa"/>
            <w:vAlign w:val="center"/>
          </w:tcPr>
          <w:p w14:paraId="40D32A85">
            <w:pPr>
              <w:jc w:val="center"/>
              <w:rPr>
                <w:b/>
                <w:bCs/>
                <w:color w:val="auto"/>
                <w:szCs w:val="21"/>
              </w:rPr>
            </w:pPr>
            <w:r>
              <w:rPr>
                <w:rFonts w:hint="eastAsia"/>
                <w:b w:val="0"/>
                <w:bCs w:val="0"/>
                <w:color w:val="auto"/>
                <w:szCs w:val="21"/>
                <w:lang w:val="en-US" w:eastAsia="zh-CN"/>
              </w:rPr>
              <w:t>龙岗区横岗六约学校2025-2026学年八大类外食材采购</w:t>
            </w:r>
          </w:p>
        </w:tc>
        <w:tc>
          <w:tcPr>
            <w:tcW w:w="2355" w:type="dxa"/>
            <w:vAlign w:val="center"/>
          </w:tcPr>
          <w:p w14:paraId="4FDD93A3">
            <w:pPr>
              <w:jc w:val="center"/>
              <w:rPr>
                <w:rFonts w:hint="default" w:eastAsia="宋体"/>
                <w:bCs/>
                <w:color w:val="auto"/>
                <w:szCs w:val="21"/>
                <w:lang w:val="en-US" w:eastAsia="zh-CN"/>
              </w:rPr>
            </w:pPr>
            <w:r>
              <w:rPr>
                <w:rFonts w:hint="eastAsia"/>
                <w:bCs/>
                <w:color w:val="FF0000"/>
                <w:szCs w:val="21"/>
                <w:lang w:val="en-US" w:eastAsia="zh-CN"/>
              </w:rPr>
              <w:t>840000.00</w:t>
            </w:r>
          </w:p>
        </w:tc>
      </w:tr>
    </w:tbl>
    <w:p w14:paraId="06DB627A">
      <w:pPr>
        <w:rPr>
          <w:rFonts w:ascii="宋体" w:hAnsi="宋体"/>
          <w:b/>
          <w:color w:val="FF0000"/>
          <w:szCs w:val="21"/>
        </w:rPr>
      </w:pPr>
    </w:p>
    <w:p w14:paraId="44000C63">
      <w:pPr>
        <w:pStyle w:val="6"/>
        <w:spacing w:before="120" w:beforeLines="50" w:after="120" w:afterLines="50"/>
        <w:rPr>
          <w:szCs w:val="24"/>
        </w:rPr>
      </w:pPr>
      <w:r>
        <w:rPr>
          <w:rFonts w:hint="eastAsia"/>
          <w:szCs w:val="24"/>
        </w:rPr>
        <w:t>二、项目概况</w:t>
      </w:r>
    </w:p>
    <w:p w14:paraId="42A67B36">
      <w:pPr>
        <w:pStyle w:val="200"/>
        <w:pageBreakBefore w:val="0"/>
        <w:numPr>
          <w:ilvl w:val="0"/>
          <w:numId w:val="0"/>
        </w:numPr>
        <w:kinsoku/>
        <w:wordWrap/>
        <w:overflowPunct/>
        <w:topLinePunct w:val="0"/>
        <w:autoSpaceDE/>
        <w:autoSpaceDN/>
        <w:bidi w:val="0"/>
        <w:spacing w:after="0" w:line="288" w:lineRule="auto"/>
        <w:ind w:firstLine="420" w:firstLineChars="200"/>
        <w:rPr>
          <w:rFonts w:asciiTheme="minorEastAsia" w:hAnsiTheme="minorEastAsia" w:eastAsiaTheme="minorEastAsia"/>
          <w:color w:val="auto"/>
          <w:sz w:val="21"/>
          <w:szCs w:val="21"/>
        </w:rPr>
      </w:pPr>
      <w:r>
        <w:rPr>
          <w:rFonts w:hint="eastAsia" w:cs="Times New Roman" w:asciiTheme="minorEastAsia" w:hAnsiTheme="minorEastAsia" w:eastAsiaTheme="minorEastAsia"/>
          <w:b w:val="0"/>
          <w:color w:val="auto"/>
          <w:kern w:val="2"/>
          <w:sz w:val="21"/>
          <w:szCs w:val="21"/>
          <w:lang w:eastAsia="zh-CN"/>
        </w:rPr>
        <w:t>深圳市龙岗区横岗六约学校</w:t>
      </w:r>
      <w:r>
        <w:rPr>
          <w:rFonts w:hint="eastAsia" w:cs="Times New Roman" w:asciiTheme="minorEastAsia" w:hAnsiTheme="minorEastAsia" w:eastAsiaTheme="minorEastAsia"/>
          <w:b w:val="0"/>
          <w:color w:val="auto"/>
          <w:kern w:val="2"/>
          <w:sz w:val="21"/>
          <w:szCs w:val="21"/>
        </w:rPr>
        <w:t>位于</w:t>
      </w:r>
      <w:r>
        <w:rPr>
          <w:rFonts w:hint="eastAsia" w:cs="Times New Roman" w:asciiTheme="minorEastAsia" w:hAnsiTheme="minorEastAsia" w:eastAsiaTheme="minorEastAsia"/>
          <w:b w:val="0"/>
          <w:color w:val="auto"/>
          <w:kern w:val="2"/>
          <w:sz w:val="21"/>
          <w:szCs w:val="21"/>
          <w:lang w:eastAsia="zh-CN"/>
        </w:rPr>
        <w:t>深圳市龙岗区横岗街道龙塘街44号</w:t>
      </w:r>
      <w:r>
        <w:rPr>
          <w:rFonts w:hint="eastAsia" w:cs="Times New Roman" w:asciiTheme="minorEastAsia" w:hAnsiTheme="minorEastAsia" w:eastAsiaTheme="minorEastAsia"/>
          <w:b w:val="0"/>
          <w:color w:val="auto"/>
          <w:kern w:val="2"/>
          <w:sz w:val="21"/>
          <w:szCs w:val="21"/>
        </w:rPr>
        <w:t>，是一所政府公办</w:t>
      </w:r>
      <w:r>
        <w:rPr>
          <w:rFonts w:hint="eastAsia" w:cs="Times New Roman" w:asciiTheme="minorEastAsia" w:hAnsiTheme="minorEastAsia" w:eastAsiaTheme="minorEastAsia"/>
          <w:b w:val="0"/>
          <w:color w:val="auto"/>
          <w:kern w:val="2"/>
          <w:sz w:val="21"/>
          <w:szCs w:val="21"/>
          <w:lang w:eastAsia="zh-CN"/>
        </w:rPr>
        <w:t>学校</w:t>
      </w:r>
      <w:r>
        <w:rPr>
          <w:rFonts w:hint="eastAsia" w:cs="Times New Roman" w:asciiTheme="minorEastAsia" w:hAnsiTheme="minorEastAsia" w:eastAsiaTheme="minorEastAsia"/>
          <w:b w:val="0"/>
          <w:color w:val="auto"/>
          <w:kern w:val="2"/>
          <w:sz w:val="21"/>
          <w:szCs w:val="21"/>
        </w:rPr>
        <w:t>,</w:t>
      </w:r>
      <w:r>
        <w:rPr>
          <w:rFonts w:hint="eastAsia" w:cs="Times New Roman" w:asciiTheme="minorEastAsia" w:hAnsiTheme="minorEastAsia" w:eastAsiaTheme="minorEastAsia"/>
          <w:b w:val="0"/>
          <w:color w:val="000000" w:themeColor="text1"/>
          <w:kern w:val="2"/>
          <w:sz w:val="21"/>
          <w:szCs w:val="21"/>
          <w:lang w:val="en-US" w:eastAsia="zh-CN"/>
          <w14:textFill>
            <w14:solidFill>
              <w14:schemeClr w14:val="tx1"/>
            </w14:solidFill>
          </w14:textFill>
        </w:rPr>
        <w:t>在校教职工253人</w:t>
      </w:r>
      <w:r>
        <w:rPr>
          <w:rFonts w:hint="eastAsia" w:cs="Times New Roman" w:asciiTheme="minorEastAsia" w:hAnsiTheme="minorEastAsia" w:eastAsiaTheme="minorEastAsia"/>
          <w:b w:val="0"/>
          <w:color w:val="auto"/>
          <w:kern w:val="2"/>
          <w:sz w:val="21"/>
          <w:szCs w:val="21"/>
        </w:rPr>
        <w:t>。</w:t>
      </w:r>
    </w:p>
    <w:p w14:paraId="5E7A86DF">
      <w:pPr>
        <w:pStyle w:val="201"/>
        <w:pageBreakBefore w:val="0"/>
        <w:kinsoku/>
        <w:wordWrap/>
        <w:overflowPunct/>
        <w:topLinePunct w:val="0"/>
        <w:autoSpaceDE/>
        <w:autoSpaceDN/>
        <w:bidi w:val="0"/>
        <w:spacing w:line="288" w:lineRule="auto"/>
        <w:rPr>
          <w:rFonts w:hint="eastAsia" w:asciiTheme="minorEastAsia" w:hAnsiTheme="minorEastAsia" w:eastAsiaTheme="minorEastAsia"/>
          <w:color w:val="auto"/>
        </w:rPr>
      </w:pPr>
      <w:r>
        <w:rPr>
          <w:rFonts w:hint="eastAsia" w:asciiTheme="minorEastAsia" w:hAnsiTheme="minorEastAsia" w:eastAsiaTheme="minorEastAsia"/>
          <w:color w:val="auto"/>
        </w:rPr>
        <w:t>为保证</w:t>
      </w:r>
      <w:r>
        <w:rPr>
          <w:rFonts w:hint="eastAsia" w:asciiTheme="minorEastAsia" w:hAnsiTheme="minorEastAsia" w:eastAsiaTheme="minorEastAsia"/>
          <w:color w:val="auto"/>
          <w:lang w:eastAsia="zh-CN"/>
        </w:rPr>
        <w:t>深圳市龙岗区横岗六约学校</w:t>
      </w:r>
      <w:r>
        <w:rPr>
          <w:rFonts w:hint="eastAsia" w:asciiTheme="minorEastAsia" w:hAnsiTheme="minorEastAsia" w:eastAsiaTheme="minorEastAsia"/>
          <w:color w:val="auto"/>
        </w:rPr>
        <w:t>食堂物资的食品安全和卫生，解决老师学生就餐问题，择优选取一家中标供应商承担</w:t>
      </w:r>
      <w:r>
        <w:rPr>
          <w:rFonts w:hint="eastAsia" w:asciiTheme="minorEastAsia" w:hAnsiTheme="minorEastAsia" w:eastAsiaTheme="minorEastAsia"/>
          <w:color w:val="auto"/>
          <w:lang w:eastAsia="zh-CN"/>
        </w:rPr>
        <w:t>横岗六约学校</w:t>
      </w:r>
      <w:r>
        <w:rPr>
          <w:rFonts w:hint="eastAsia" w:asciiTheme="minorEastAsia" w:hAnsiTheme="minorEastAsia" w:eastAsiaTheme="minorEastAsia"/>
          <w:color w:val="auto"/>
          <w:lang w:val="en-US" w:eastAsia="zh-CN"/>
        </w:rPr>
        <w:t>2025-2026</w:t>
      </w:r>
      <w:r>
        <w:rPr>
          <w:rFonts w:hint="eastAsia" w:asciiTheme="minorEastAsia" w:hAnsiTheme="minorEastAsia" w:eastAsiaTheme="minorEastAsia"/>
          <w:color w:val="auto"/>
          <w:lang w:eastAsia="zh-CN"/>
        </w:rPr>
        <w:t>学年八大类外食材采购</w:t>
      </w:r>
      <w:r>
        <w:rPr>
          <w:rFonts w:hint="eastAsia" w:asciiTheme="minorEastAsia" w:hAnsiTheme="minorEastAsia" w:eastAsiaTheme="minorEastAsia"/>
          <w:color w:val="auto"/>
        </w:rPr>
        <w:t>。</w:t>
      </w:r>
    </w:p>
    <w:p w14:paraId="09F25926">
      <w:pPr>
        <w:pStyle w:val="201"/>
        <w:pageBreakBefore w:val="0"/>
        <w:kinsoku/>
        <w:wordWrap/>
        <w:overflowPunct/>
        <w:topLinePunct w:val="0"/>
        <w:autoSpaceDE/>
        <w:autoSpaceDN/>
        <w:bidi w:val="0"/>
        <w:spacing w:line="288" w:lineRule="auto"/>
        <w:rPr>
          <w:sz w:val="24"/>
        </w:rPr>
      </w:pPr>
      <w:r>
        <w:rPr>
          <w:rFonts w:hint="eastAsia" w:asciiTheme="minorEastAsia" w:hAnsiTheme="minorEastAsia" w:eastAsiaTheme="minorEastAsia"/>
          <w:color w:val="auto"/>
          <w:lang w:val="en-US" w:eastAsia="zh-CN"/>
        </w:rPr>
        <w:t>注：本项目</w:t>
      </w:r>
      <w:r>
        <w:rPr>
          <w:rFonts w:hint="eastAsia"/>
          <w:color w:val="auto"/>
          <w:lang w:eastAsia="zh-CN"/>
        </w:rPr>
        <w:t>非8大类食材</w:t>
      </w:r>
      <w:r>
        <w:rPr>
          <w:rFonts w:hint="eastAsia" w:asciiTheme="minorEastAsia" w:hAnsiTheme="minorEastAsia" w:eastAsiaTheme="minorEastAsia"/>
          <w:color w:val="auto"/>
          <w:lang w:val="en-US" w:eastAsia="zh-CN"/>
        </w:rPr>
        <w:t>是指除纳入批量集中采购大宗食材品类8大类（大米、小麦粉或面粉、成品食用油、乳制品、鲜蛋、生鲜肉、冻品、调味品）之外的包</w:t>
      </w:r>
      <w:r>
        <w:rPr>
          <w:rFonts w:hint="eastAsia" w:asciiTheme="minorEastAsia" w:hAnsiTheme="minorEastAsia" w:eastAsiaTheme="minorEastAsia"/>
          <w:color w:val="auto"/>
          <w:kern w:val="2"/>
          <w:szCs w:val="21"/>
          <w:lang w:val="en-US" w:eastAsia="zh-CN"/>
        </w:rPr>
        <w:t>括蔬菜、瓜果、水产品、豆制品、干货、水果等</w:t>
      </w:r>
      <w:r>
        <w:rPr>
          <w:rFonts w:hint="eastAsia" w:asciiTheme="minorEastAsia" w:hAnsiTheme="minorEastAsia" w:eastAsiaTheme="minorEastAsia"/>
          <w:color w:val="auto"/>
          <w:lang w:val="en-US" w:eastAsia="zh-CN"/>
        </w:rPr>
        <w:t>不纳入集采集配工作的品类。</w:t>
      </w:r>
    </w:p>
    <w:p w14:paraId="2E217D5D">
      <w:pPr>
        <w:rPr>
          <w:rFonts w:ascii="宋体" w:hAnsi="宋体"/>
          <w:b/>
          <w:color w:val="FF0000"/>
          <w:szCs w:val="21"/>
        </w:rPr>
      </w:pPr>
    </w:p>
    <w:p w14:paraId="61D25307">
      <w:pPr>
        <w:pStyle w:val="6"/>
        <w:spacing w:before="120" w:beforeLines="50" w:after="120" w:afterLines="50"/>
        <w:rPr>
          <w:szCs w:val="24"/>
        </w:rPr>
      </w:pPr>
      <w:r>
        <w:rPr>
          <w:rFonts w:hint="eastAsia"/>
          <w:szCs w:val="24"/>
        </w:rPr>
        <w:t>三、</w:t>
      </w:r>
      <w:bookmarkStart w:id="30" w:name="_Hlk72073432"/>
      <w:r>
        <w:rPr>
          <w:rFonts w:hint="eastAsia"/>
          <w:szCs w:val="24"/>
        </w:rPr>
        <w:t>服务需求明细</w:t>
      </w:r>
      <w:bookmarkEnd w:id="30"/>
    </w:p>
    <w:tbl>
      <w:tblPr>
        <w:tblStyle w:val="44"/>
        <w:tblpPr w:leftFromText="180" w:rightFromText="180" w:vertAnchor="text" w:horzAnchor="margin" w:tblpY="173"/>
        <w:tblW w:w="8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919"/>
        <w:gridCol w:w="2400"/>
        <w:gridCol w:w="800"/>
        <w:gridCol w:w="663"/>
        <w:gridCol w:w="1187"/>
        <w:gridCol w:w="1138"/>
      </w:tblGrid>
      <w:tr w14:paraId="0080D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71" w:type="dxa"/>
            <w:vAlign w:val="center"/>
          </w:tcPr>
          <w:p w14:paraId="66882B44">
            <w:pPr>
              <w:keepNext w:val="0"/>
              <w:keepLines w:val="0"/>
              <w:pageBreakBefore w:val="0"/>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bCs/>
                <w:sz w:val="21"/>
                <w:szCs w:val="21"/>
              </w:rPr>
            </w:pPr>
            <w:r>
              <w:rPr>
                <w:rFonts w:hint="eastAsia" w:ascii="宋体" w:hAnsi="宋体" w:eastAsia="宋体" w:cs="宋体"/>
                <w:bCs/>
                <w:sz w:val="21"/>
                <w:szCs w:val="21"/>
              </w:rPr>
              <w:t>序号</w:t>
            </w:r>
          </w:p>
        </w:tc>
        <w:tc>
          <w:tcPr>
            <w:tcW w:w="1919" w:type="dxa"/>
            <w:vAlign w:val="center"/>
          </w:tcPr>
          <w:p w14:paraId="7954B634">
            <w:pPr>
              <w:keepNext w:val="0"/>
              <w:keepLines w:val="0"/>
              <w:pageBreakBefore w:val="0"/>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bCs/>
                <w:sz w:val="21"/>
                <w:szCs w:val="21"/>
              </w:rPr>
            </w:pPr>
            <w:r>
              <w:rPr>
                <w:rFonts w:hint="eastAsia" w:ascii="宋体" w:hAnsi="宋体" w:eastAsia="宋体" w:cs="宋体"/>
                <w:sz w:val="21"/>
                <w:szCs w:val="21"/>
              </w:rPr>
              <w:t>采购计划编号</w:t>
            </w:r>
          </w:p>
        </w:tc>
        <w:tc>
          <w:tcPr>
            <w:tcW w:w="2400" w:type="dxa"/>
            <w:vAlign w:val="center"/>
          </w:tcPr>
          <w:p w14:paraId="37C999EF">
            <w:pPr>
              <w:keepNext w:val="0"/>
              <w:keepLines w:val="0"/>
              <w:pageBreakBefore w:val="0"/>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bCs/>
                <w:sz w:val="21"/>
                <w:szCs w:val="21"/>
              </w:rPr>
            </w:pPr>
            <w:r>
              <w:rPr>
                <w:rFonts w:hint="eastAsia" w:ascii="宋体" w:hAnsi="宋体" w:eastAsia="宋体" w:cs="宋体"/>
                <w:bCs/>
                <w:sz w:val="21"/>
                <w:szCs w:val="21"/>
              </w:rPr>
              <w:t>服务需求名称（标的名称）</w:t>
            </w:r>
          </w:p>
        </w:tc>
        <w:tc>
          <w:tcPr>
            <w:tcW w:w="800" w:type="dxa"/>
            <w:vAlign w:val="center"/>
          </w:tcPr>
          <w:p w14:paraId="60D2088D">
            <w:pPr>
              <w:keepNext w:val="0"/>
              <w:keepLines w:val="0"/>
              <w:pageBreakBefore w:val="0"/>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bCs/>
                <w:sz w:val="21"/>
                <w:szCs w:val="21"/>
              </w:rPr>
            </w:pPr>
            <w:r>
              <w:rPr>
                <w:rFonts w:hint="eastAsia" w:ascii="宋体" w:hAnsi="宋体" w:eastAsia="宋体" w:cs="宋体"/>
                <w:bCs/>
                <w:sz w:val="21"/>
                <w:szCs w:val="21"/>
              </w:rPr>
              <w:t>数量</w:t>
            </w:r>
          </w:p>
        </w:tc>
        <w:tc>
          <w:tcPr>
            <w:tcW w:w="663" w:type="dxa"/>
            <w:vAlign w:val="center"/>
          </w:tcPr>
          <w:p w14:paraId="20C1A947">
            <w:pPr>
              <w:keepNext w:val="0"/>
              <w:keepLines w:val="0"/>
              <w:pageBreakBefore w:val="0"/>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bCs/>
                <w:sz w:val="21"/>
                <w:szCs w:val="21"/>
              </w:rPr>
            </w:pPr>
            <w:r>
              <w:rPr>
                <w:rFonts w:hint="eastAsia" w:ascii="宋体" w:hAnsi="宋体" w:eastAsia="宋体" w:cs="宋体"/>
                <w:bCs/>
                <w:sz w:val="21"/>
                <w:szCs w:val="21"/>
              </w:rPr>
              <w:t>单位</w:t>
            </w:r>
          </w:p>
        </w:tc>
        <w:tc>
          <w:tcPr>
            <w:tcW w:w="1187" w:type="dxa"/>
            <w:vAlign w:val="center"/>
          </w:tcPr>
          <w:p w14:paraId="1B8516B0">
            <w:pPr>
              <w:jc w:val="center"/>
              <w:rPr>
                <w:rFonts w:hint="eastAsia" w:ascii="宋体" w:hAnsi="宋体" w:eastAsia="宋体" w:cs="宋体"/>
                <w:bCs/>
                <w:sz w:val="21"/>
                <w:szCs w:val="21"/>
              </w:rPr>
            </w:pPr>
            <w:r>
              <w:rPr>
                <w:rFonts w:hint="eastAsia" w:ascii="宋体" w:hAnsi="宋体" w:eastAsia="宋体" w:cs="宋体"/>
                <w:b/>
                <w:bCs/>
                <w:color w:val="FF0000"/>
                <w:sz w:val="21"/>
                <w:szCs w:val="21"/>
                <w:lang w:val="en-US" w:eastAsia="zh-CN"/>
              </w:rPr>
              <w:t>是否专门面向中小企业</w:t>
            </w:r>
          </w:p>
        </w:tc>
        <w:tc>
          <w:tcPr>
            <w:tcW w:w="1138" w:type="dxa"/>
            <w:vAlign w:val="center"/>
          </w:tcPr>
          <w:p w14:paraId="5745D343">
            <w:pPr>
              <w:jc w:val="center"/>
              <w:rPr>
                <w:rFonts w:hint="eastAsia" w:ascii="宋体" w:hAnsi="宋体" w:eastAsia="宋体" w:cs="宋体"/>
                <w:bCs/>
                <w:sz w:val="21"/>
                <w:szCs w:val="21"/>
              </w:rPr>
            </w:pPr>
            <w:r>
              <w:rPr>
                <w:rFonts w:hint="eastAsia" w:ascii="宋体" w:hAnsi="宋体" w:eastAsia="宋体" w:cs="宋体"/>
                <w:b/>
                <w:bCs/>
                <w:color w:val="FF0000"/>
                <w:sz w:val="21"/>
                <w:szCs w:val="21"/>
                <w:lang w:val="en-US" w:eastAsia="zh-CN"/>
              </w:rPr>
              <w:t>标的所属行业</w:t>
            </w:r>
          </w:p>
        </w:tc>
      </w:tr>
      <w:tr w14:paraId="742C2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771" w:type="dxa"/>
            <w:vAlign w:val="center"/>
          </w:tcPr>
          <w:p w14:paraId="45D0C36E">
            <w:pPr>
              <w:keepNext w:val="0"/>
              <w:keepLines w:val="0"/>
              <w:pageBreakBefore w:val="0"/>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1919" w:type="dxa"/>
            <w:vAlign w:val="center"/>
          </w:tcPr>
          <w:p w14:paraId="1E1DFF17">
            <w:pPr>
              <w:keepNext w:val="0"/>
              <w:keepLines w:val="0"/>
              <w:pageBreakBefore w:val="0"/>
              <w:suppressLineNumbers w:val="0"/>
              <w:kinsoku/>
              <w:wordWrap/>
              <w:overflowPunct/>
              <w:topLinePunct w:val="0"/>
              <w:autoSpaceDE/>
              <w:autoSpaceDN/>
              <w:bidi w:val="0"/>
              <w:spacing w:beforeAutospacing="0" w:afterAutospacing="0" w:line="240" w:lineRule="auto"/>
              <w:ind w:left="0" w:right="0"/>
              <w:jc w:val="center"/>
              <w:rPr>
                <w:rFonts w:hint="eastAsia" w:ascii="宋体" w:hAnsi="宋体" w:eastAsia="宋体" w:cs="宋体"/>
                <w:bCs/>
                <w:sz w:val="21"/>
                <w:szCs w:val="21"/>
                <w:lang w:val="en-US" w:eastAsia="zh-CN"/>
              </w:rPr>
            </w:pPr>
            <w:r>
              <w:rPr>
                <w:rFonts w:hint="eastAsia" w:cs="Times New Roman"/>
                <w:i w:val="0"/>
                <w:iCs w:val="0"/>
                <w:caps w:val="0"/>
                <w:color w:val="auto"/>
                <w:spacing w:val="0"/>
                <w:sz w:val="21"/>
                <w:szCs w:val="21"/>
                <w:lang w:val="en-US" w:eastAsia="zh-CN"/>
              </w:rPr>
              <w:t xml:space="preserve">JYCG-DECL-2025-29628  </w:t>
            </w:r>
          </w:p>
        </w:tc>
        <w:tc>
          <w:tcPr>
            <w:tcW w:w="2400" w:type="dxa"/>
            <w:shd w:val="clear" w:color="auto" w:fill="auto"/>
            <w:vAlign w:val="center"/>
          </w:tcPr>
          <w:p w14:paraId="5344F353">
            <w:pPr>
              <w:keepNext w:val="0"/>
              <w:keepLines w:val="0"/>
              <w:pageBreakBefore w:val="0"/>
              <w:suppressLineNumbers w:val="0"/>
              <w:kinsoku/>
              <w:wordWrap/>
              <w:overflowPunct/>
              <w:topLinePunct w:val="0"/>
              <w:autoSpaceDE/>
              <w:autoSpaceDN/>
              <w:bidi w:val="0"/>
              <w:spacing w:beforeAutospacing="0" w:afterAutospacing="0" w:line="240" w:lineRule="auto"/>
              <w:ind w:left="0" w:leftChars="0" w:right="0" w:rightChars="0"/>
              <w:jc w:val="center"/>
              <w:rPr>
                <w:rFonts w:hint="default" w:ascii="宋体" w:hAnsi="宋体" w:eastAsia="宋体" w:cs="宋体"/>
                <w:bCs/>
                <w:kern w:val="2"/>
                <w:sz w:val="24"/>
                <w:szCs w:val="24"/>
                <w:lang w:val="en-US" w:eastAsia="zh-CN" w:bidi="ar-SA"/>
              </w:rPr>
            </w:pPr>
            <w:r>
              <w:rPr>
                <w:rFonts w:hint="eastAsia"/>
                <w:b w:val="0"/>
                <w:bCs w:val="0"/>
                <w:color w:val="auto"/>
                <w:szCs w:val="21"/>
                <w:lang w:val="en-US" w:eastAsia="zh-CN"/>
              </w:rPr>
              <w:t>龙岗区横岗六约学校2025-2026学年八大类外食材采购</w:t>
            </w:r>
          </w:p>
        </w:tc>
        <w:tc>
          <w:tcPr>
            <w:tcW w:w="800" w:type="dxa"/>
            <w:shd w:val="clear" w:color="auto" w:fill="auto"/>
            <w:vAlign w:val="center"/>
          </w:tcPr>
          <w:p w14:paraId="48448EA8">
            <w:pPr>
              <w:keepNext w:val="0"/>
              <w:keepLines w:val="0"/>
              <w:pageBreakBefore w:val="0"/>
              <w:suppressLineNumbers w:val="0"/>
              <w:kinsoku/>
              <w:wordWrap/>
              <w:overflowPunct/>
              <w:topLinePunct w:val="0"/>
              <w:autoSpaceDE/>
              <w:autoSpaceDN/>
              <w:bidi w:val="0"/>
              <w:spacing w:beforeAutospacing="0" w:afterAutospacing="0" w:line="240" w:lineRule="auto"/>
              <w:ind w:left="0" w:leftChars="0" w:right="0" w:rightChars="0"/>
              <w:jc w:val="center"/>
              <w:rPr>
                <w:rFonts w:hint="default" w:ascii="宋体" w:hAnsi="宋体" w:eastAsia="宋体" w:cs="宋体"/>
                <w:bCs/>
                <w:kern w:val="2"/>
                <w:sz w:val="24"/>
                <w:szCs w:val="24"/>
                <w:lang w:val="en-US" w:eastAsia="zh-CN" w:bidi="ar-SA"/>
              </w:rPr>
            </w:pPr>
            <w:r>
              <w:rPr>
                <w:rFonts w:hint="eastAsia" w:ascii="宋体" w:hAnsi="宋体" w:cs="宋体"/>
                <w:sz w:val="24"/>
              </w:rPr>
              <w:t>1</w:t>
            </w:r>
          </w:p>
        </w:tc>
        <w:tc>
          <w:tcPr>
            <w:tcW w:w="663" w:type="dxa"/>
            <w:shd w:val="clear" w:color="auto" w:fill="auto"/>
            <w:vAlign w:val="center"/>
          </w:tcPr>
          <w:p w14:paraId="3D3E72A5">
            <w:pPr>
              <w:keepNext w:val="0"/>
              <w:keepLines w:val="0"/>
              <w:pageBreakBefore w:val="0"/>
              <w:suppressLineNumbers w:val="0"/>
              <w:kinsoku/>
              <w:wordWrap/>
              <w:overflowPunct/>
              <w:topLinePunct w:val="0"/>
              <w:autoSpaceDE/>
              <w:autoSpaceDN/>
              <w:bidi w:val="0"/>
              <w:spacing w:beforeAutospacing="0" w:afterAutospacing="0" w:line="240" w:lineRule="auto"/>
              <w:ind w:left="0" w:leftChars="0" w:right="0" w:rightChars="0"/>
              <w:jc w:val="center"/>
              <w:rPr>
                <w:rFonts w:hint="default" w:ascii="宋体" w:hAnsi="宋体" w:eastAsia="宋体" w:cs="宋体"/>
                <w:bCs/>
                <w:kern w:val="2"/>
                <w:sz w:val="24"/>
                <w:szCs w:val="24"/>
                <w:lang w:val="en-US" w:eastAsia="zh-CN" w:bidi="ar-SA"/>
              </w:rPr>
            </w:pPr>
            <w:r>
              <w:rPr>
                <w:rFonts w:hint="eastAsia" w:ascii="宋体" w:hAnsi="宋体" w:cs="宋体"/>
                <w:bCs/>
                <w:sz w:val="21"/>
                <w:szCs w:val="21"/>
              </w:rPr>
              <w:t>项</w:t>
            </w:r>
          </w:p>
        </w:tc>
        <w:tc>
          <w:tcPr>
            <w:tcW w:w="1187" w:type="dxa"/>
            <w:shd w:val="clear" w:color="auto" w:fill="auto"/>
            <w:vAlign w:val="center"/>
          </w:tcPr>
          <w:p w14:paraId="0F6A2DBC">
            <w:pPr>
              <w:jc w:val="center"/>
              <w:rPr>
                <w:rFonts w:hint="default" w:ascii="宋体" w:hAnsi="宋体" w:eastAsia="宋体" w:cs="宋体"/>
                <w:bCs/>
                <w:kern w:val="2"/>
                <w:sz w:val="24"/>
                <w:szCs w:val="24"/>
                <w:lang w:val="en-US" w:eastAsia="zh-CN" w:bidi="ar-SA"/>
              </w:rPr>
            </w:pPr>
            <w:r>
              <w:rPr>
                <w:rFonts w:hint="eastAsia" w:ascii="Times New Roman" w:hAnsi="Times New Roman" w:eastAsia="宋体" w:cs="Times New Roman"/>
                <w:b/>
                <w:bCs/>
                <w:color w:val="FF0000"/>
                <w:szCs w:val="21"/>
                <w:lang w:val="en-US" w:eastAsia="zh-CN"/>
              </w:rPr>
              <w:t>否</w:t>
            </w:r>
          </w:p>
        </w:tc>
        <w:tc>
          <w:tcPr>
            <w:tcW w:w="1138" w:type="dxa"/>
            <w:shd w:val="clear" w:color="auto" w:fill="auto"/>
            <w:vAlign w:val="center"/>
          </w:tcPr>
          <w:p w14:paraId="179B4042">
            <w:pPr>
              <w:jc w:val="center"/>
              <w:rPr>
                <w:rFonts w:hint="default" w:ascii="宋体" w:hAnsi="宋体" w:eastAsia="宋体" w:cs="宋体"/>
                <w:bCs/>
                <w:kern w:val="2"/>
                <w:sz w:val="24"/>
                <w:szCs w:val="24"/>
                <w:lang w:val="en-US" w:eastAsia="zh-CN" w:bidi="ar-SA"/>
              </w:rPr>
            </w:pPr>
            <w:r>
              <w:rPr>
                <w:rFonts w:hint="eastAsia"/>
                <w:color w:val="auto"/>
                <w:sz w:val="21"/>
                <w:szCs w:val="21"/>
                <w:u w:val="none"/>
                <w:lang w:val="en-US" w:eastAsia="zh-CN"/>
              </w:rPr>
              <w:t>批发</w:t>
            </w:r>
            <w:r>
              <w:rPr>
                <w:rFonts w:hint="eastAsia"/>
                <w:color w:val="auto"/>
                <w:sz w:val="21"/>
                <w:szCs w:val="21"/>
              </w:rPr>
              <w:t>业</w:t>
            </w:r>
          </w:p>
        </w:tc>
      </w:tr>
    </w:tbl>
    <w:p w14:paraId="69BA060B">
      <w:pPr>
        <w:pStyle w:val="6"/>
        <w:pageBreakBefore w:val="0"/>
        <w:widowControl w:val="0"/>
        <w:kinsoku/>
        <w:wordWrap/>
        <w:overflowPunct/>
        <w:topLinePunct w:val="0"/>
        <w:autoSpaceDE/>
        <w:autoSpaceDN/>
        <w:bidi w:val="0"/>
        <w:adjustRightInd w:val="0"/>
        <w:spacing w:before="0" w:after="0"/>
        <w:jc w:val="both"/>
        <w:rPr>
          <w:rFonts w:hint="eastAsia"/>
          <w:szCs w:val="24"/>
        </w:rPr>
      </w:pPr>
    </w:p>
    <w:p w14:paraId="1B5B0270">
      <w:pPr>
        <w:pStyle w:val="6"/>
        <w:spacing w:before="120" w:beforeLines="50" w:after="120" w:afterLines="50"/>
        <w:rPr>
          <w:szCs w:val="24"/>
        </w:rPr>
      </w:pPr>
      <w:r>
        <w:rPr>
          <w:rFonts w:hint="eastAsia"/>
          <w:szCs w:val="24"/>
        </w:rPr>
        <w:t>四、实质性条款</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795"/>
      </w:tblGrid>
      <w:tr w14:paraId="745FA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7E1CCC8E">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7795" w:type="dxa"/>
          </w:tcPr>
          <w:p w14:paraId="19D94D1F">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r>
      <w:tr w14:paraId="1AC3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vAlign w:val="center"/>
          </w:tcPr>
          <w:p w14:paraId="03764D18">
            <w:pPr>
              <w:pageBreakBefore w:val="0"/>
              <w:kinsoku/>
              <w:wordWrap/>
              <w:overflowPunct/>
              <w:topLinePunct w:val="0"/>
              <w:autoSpaceDE/>
              <w:autoSpaceDN/>
              <w:bidi w:val="0"/>
              <w:spacing w:line="288" w:lineRule="auto"/>
              <w:jc w:val="center"/>
              <w:rPr>
                <w:rFonts w:ascii="宋体" w:hAnsi="宋体"/>
                <w:kern w:val="0"/>
                <w:szCs w:val="21"/>
              </w:rPr>
            </w:pPr>
            <w:r>
              <w:rPr>
                <w:rFonts w:hint="eastAsia" w:ascii="宋体" w:hAnsi="宋体" w:cs="宋体"/>
                <w:bCs/>
                <w:szCs w:val="21"/>
                <w:lang w:val="en-US" w:eastAsia="zh-CN"/>
              </w:rPr>
              <w:t>1</w:t>
            </w:r>
          </w:p>
        </w:tc>
        <w:tc>
          <w:tcPr>
            <w:tcW w:w="7795" w:type="dxa"/>
            <w:vAlign w:val="center"/>
          </w:tcPr>
          <w:p w14:paraId="110CCD4D">
            <w:pPr>
              <w:pageBreakBefore w:val="0"/>
              <w:kinsoku/>
              <w:wordWrap/>
              <w:overflowPunct/>
              <w:topLinePunct w:val="0"/>
              <w:autoSpaceDE/>
              <w:autoSpaceDN/>
              <w:bidi w:val="0"/>
              <w:spacing w:line="288" w:lineRule="auto"/>
              <w:ind w:firstLine="422" w:firstLineChars="200"/>
              <w:rPr>
                <w:rFonts w:hint="eastAsia" w:cs="仿宋_GB2312" w:asciiTheme="minorEastAsia" w:hAnsiTheme="minorEastAsia" w:eastAsiaTheme="minorEastAsia"/>
                <w:b w:val="0"/>
                <w:bCs/>
                <w:color w:val="FF0000"/>
                <w:sz w:val="21"/>
                <w:szCs w:val="21"/>
                <w:highlight w:val="yellow"/>
              </w:rPr>
            </w:pPr>
            <w:r>
              <w:rPr>
                <w:rFonts w:hint="eastAsia" w:asciiTheme="minorEastAsia" w:hAnsiTheme="minorEastAsia" w:eastAsiaTheme="minorEastAsia"/>
                <w:b/>
                <w:bCs/>
                <w:color w:val="FF0000"/>
                <w:kern w:val="0"/>
                <w:sz w:val="21"/>
                <w:szCs w:val="21"/>
                <w:highlight w:val="yellow"/>
              </w:rPr>
              <w:t>★</w:t>
            </w:r>
            <w:r>
              <w:rPr>
                <w:rFonts w:hint="eastAsia" w:cs="仿宋_GB2312" w:asciiTheme="minorEastAsia" w:hAnsiTheme="minorEastAsia" w:eastAsiaTheme="minorEastAsia"/>
                <w:b w:val="0"/>
                <w:bCs/>
                <w:color w:val="FF0000"/>
                <w:sz w:val="21"/>
                <w:szCs w:val="21"/>
                <w:highlight w:val="yellow"/>
                <w:lang w:val="en-US" w:eastAsia="zh-CN"/>
              </w:rPr>
              <w:t>4、</w:t>
            </w:r>
            <w:r>
              <w:rPr>
                <w:rFonts w:hint="eastAsia" w:cs="仿宋_GB2312" w:asciiTheme="minorEastAsia" w:hAnsiTheme="minorEastAsia" w:eastAsiaTheme="minorEastAsia"/>
                <w:b w:val="0"/>
                <w:bCs/>
                <w:color w:val="FF0000"/>
                <w:sz w:val="21"/>
                <w:szCs w:val="21"/>
                <w:highlight w:val="yellow"/>
              </w:rPr>
              <w:t>配送食材可通过“深圳市食品安全追溯系统”全面、及时、准确上传追溯信息，确保相关品名、规格、批次等数据真实完整，确保配送食材来源可溯、质量可控。</w:t>
            </w:r>
          </w:p>
          <w:p w14:paraId="2837B230">
            <w:pPr>
              <w:pageBreakBefore w:val="0"/>
              <w:kinsoku/>
              <w:wordWrap/>
              <w:overflowPunct/>
              <w:topLinePunct w:val="0"/>
              <w:autoSpaceDE/>
              <w:autoSpaceDN/>
              <w:bidi w:val="0"/>
              <w:spacing w:line="288" w:lineRule="auto"/>
              <w:ind w:firstLine="422" w:firstLineChars="200"/>
              <w:rPr>
                <w:rFonts w:hint="eastAsia" w:cs="仿宋_GB2312" w:asciiTheme="minorEastAsia" w:hAnsiTheme="minorEastAsia" w:eastAsiaTheme="minorEastAsia"/>
                <w:b w:val="0"/>
                <w:bCs/>
                <w:color w:val="FF0000"/>
                <w:sz w:val="21"/>
                <w:szCs w:val="21"/>
                <w:highlight w:val="yellow"/>
              </w:rPr>
            </w:pPr>
            <w:r>
              <w:rPr>
                <w:rFonts w:hint="eastAsia" w:asciiTheme="minorEastAsia" w:hAnsiTheme="minorEastAsia" w:eastAsiaTheme="minorEastAsia"/>
                <w:b/>
                <w:bCs/>
                <w:color w:val="FF0000"/>
                <w:kern w:val="0"/>
                <w:sz w:val="21"/>
                <w:szCs w:val="21"/>
                <w:highlight w:val="yellow"/>
              </w:rPr>
              <w:t>★</w:t>
            </w:r>
            <w:r>
              <w:rPr>
                <w:rFonts w:hint="eastAsia" w:cs="仿宋_GB2312" w:asciiTheme="minorEastAsia" w:hAnsiTheme="minorEastAsia" w:eastAsiaTheme="minorEastAsia"/>
                <w:b w:val="0"/>
                <w:bCs/>
                <w:color w:val="FF0000"/>
                <w:sz w:val="21"/>
                <w:szCs w:val="21"/>
                <w:highlight w:val="yellow"/>
                <w:lang w:val="en-US" w:eastAsia="zh-CN"/>
              </w:rPr>
              <w:t>5、</w:t>
            </w:r>
            <w:r>
              <w:rPr>
                <w:rFonts w:hint="eastAsia" w:cs="仿宋_GB2312" w:asciiTheme="minorEastAsia" w:hAnsiTheme="minorEastAsia" w:eastAsiaTheme="minorEastAsia"/>
                <w:b w:val="0"/>
                <w:bCs/>
                <w:color w:val="FF0000"/>
                <w:sz w:val="21"/>
                <w:szCs w:val="21"/>
                <w:highlight w:val="yellow"/>
              </w:rPr>
              <w:t>中标供应商需通过深圳市学校食堂智慧管理平台处理学校食材订单并按合同供货，满足学校食堂智慧化管理需要。</w:t>
            </w:r>
          </w:p>
          <w:p w14:paraId="71EE78F6">
            <w:pPr>
              <w:pageBreakBefore w:val="0"/>
              <w:kinsoku/>
              <w:wordWrap/>
              <w:overflowPunct/>
              <w:topLinePunct w:val="0"/>
              <w:autoSpaceDE/>
              <w:autoSpaceDN/>
              <w:bidi w:val="0"/>
              <w:spacing w:line="288" w:lineRule="auto"/>
              <w:ind w:firstLine="422" w:firstLineChars="200"/>
              <w:rPr>
                <w:rFonts w:hint="eastAsia" w:cs="仿宋_GB2312" w:asciiTheme="minorEastAsia" w:hAnsiTheme="minorEastAsia" w:eastAsiaTheme="minorEastAsia"/>
                <w:b w:val="0"/>
                <w:bCs/>
                <w:color w:val="FF0000"/>
                <w:sz w:val="21"/>
                <w:szCs w:val="21"/>
                <w:highlight w:val="yellow"/>
              </w:rPr>
            </w:pPr>
            <w:r>
              <w:rPr>
                <w:rFonts w:hint="eastAsia" w:asciiTheme="minorEastAsia" w:hAnsiTheme="minorEastAsia" w:eastAsiaTheme="minorEastAsia"/>
                <w:b/>
                <w:bCs/>
                <w:color w:val="FF0000"/>
                <w:kern w:val="0"/>
                <w:sz w:val="21"/>
                <w:szCs w:val="21"/>
                <w:highlight w:val="yellow"/>
              </w:rPr>
              <w:t>★</w:t>
            </w:r>
            <w:r>
              <w:rPr>
                <w:rFonts w:hint="eastAsia" w:cs="仿宋_GB2312" w:asciiTheme="minorEastAsia" w:hAnsiTheme="minorEastAsia" w:eastAsiaTheme="minorEastAsia"/>
                <w:b w:val="0"/>
                <w:bCs/>
                <w:color w:val="FF0000"/>
                <w:sz w:val="21"/>
                <w:szCs w:val="21"/>
                <w:highlight w:val="yellow"/>
                <w:lang w:val="en-US" w:eastAsia="zh-CN"/>
              </w:rPr>
              <w:t>6、</w:t>
            </w:r>
            <w:r>
              <w:rPr>
                <w:rFonts w:hint="eastAsia" w:cs="仿宋_GB2312" w:asciiTheme="minorEastAsia" w:hAnsiTheme="minorEastAsia" w:eastAsiaTheme="minorEastAsia"/>
                <w:b w:val="0"/>
                <w:bCs/>
                <w:color w:val="FF0000"/>
                <w:sz w:val="21"/>
                <w:szCs w:val="21"/>
                <w:highlight w:val="yellow"/>
              </w:rPr>
              <w:t>投标人能够为采购人提供相关软件支持服务，保证与深圳市中农数据有限公司食堂采配平台（天天采配）及采购单位的信息化对接，实现系统下单及结算。</w:t>
            </w:r>
          </w:p>
          <w:p w14:paraId="212B14A2">
            <w:pPr>
              <w:pageBreakBefore w:val="0"/>
              <w:kinsoku/>
              <w:wordWrap/>
              <w:overflowPunct/>
              <w:topLinePunct w:val="0"/>
              <w:autoSpaceDE/>
              <w:autoSpaceDN/>
              <w:bidi w:val="0"/>
              <w:spacing w:line="288" w:lineRule="auto"/>
              <w:ind w:firstLine="422" w:firstLineChars="200"/>
              <w:rPr>
                <w:rFonts w:hint="eastAsia" w:cs="仿宋_GB2312" w:asciiTheme="minorEastAsia" w:hAnsiTheme="minorEastAsia" w:eastAsiaTheme="minorEastAsia"/>
                <w:b w:val="0"/>
                <w:bCs/>
                <w:color w:val="FF0000"/>
                <w:sz w:val="21"/>
                <w:szCs w:val="21"/>
                <w:highlight w:val="yellow"/>
              </w:rPr>
            </w:pPr>
            <w:r>
              <w:rPr>
                <w:rFonts w:hint="eastAsia" w:asciiTheme="minorEastAsia" w:hAnsiTheme="minorEastAsia" w:eastAsiaTheme="minorEastAsia"/>
                <w:b/>
                <w:bCs/>
                <w:color w:val="FF0000"/>
                <w:kern w:val="0"/>
                <w:sz w:val="21"/>
                <w:szCs w:val="21"/>
                <w:highlight w:val="yellow"/>
              </w:rPr>
              <w:t>★</w:t>
            </w:r>
            <w:r>
              <w:rPr>
                <w:rFonts w:hint="eastAsia" w:cs="仿宋_GB2312" w:asciiTheme="minorEastAsia" w:hAnsiTheme="minorEastAsia" w:eastAsiaTheme="minorEastAsia"/>
                <w:b w:val="0"/>
                <w:bCs/>
                <w:color w:val="FF0000"/>
                <w:sz w:val="21"/>
                <w:szCs w:val="21"/>
                <w:highlight w:val="yellow"/>
                <w:lang w:val="en-US" w:eastAsia="zh-CN"/>
              </w:rPr>
              <w:t>7、</w:t>
            </w:r>
            <w:r>
              <w:rPr>
                <w:rFonts w:hint="eastAsia" w:cs="仿宋_GB2312" w:asciiTheme="minorEastAsia" w:hAnsiTheme="minorEastAsia" w:eastAsiaTheme="minorEastAsia"/>
                <w:b w:val="0"/>
                <w:bCs/>
                <w:color w:val="FF0000"/>
                <w:sz w:val="21"/>
                <w:szCs w:val="21"/>
                <w:highlight w:val="yellow"/>
              </w:rPr>
              <w:t>中标供应商需根据配送食材具体情况提供对应的检测报告，为方便学校管理要求，检测报告需做好品类索引。</w:t>
            </w:r>
          </w:p>
          <w:p w14:paraId="18DD3475">
            <w:pPr>
              <w:pageBreakBefore w:val="0"/>
              <w:kinsoku/>
              <w:wordWrap/>
              <w:overflowPunct/>
              <w:topLinePunct w:val="0"/>
              <w:autoSpaceDE/>
              <w:autoSpaceDN/>
              <w:bidi w:val="0"/>
              <w:spacing w:line="288" w:lineRule="auto"/>
              <w:ind w:firstLine="422" w:firstLineChars="200"/>
              <w:rPr>
                <w:rFonts w:hint="eastAsia" w:cs="仿宋_GB2312" w:asciiTheme="minorEastAsia" w:hAnsiTheme="minorEastAsia" w:eastAsiaTheme="minorEastAsia"/>
                <w:b w:val="0"/>
                <w:bCs/>
                <w:color w:val="FF0000"/>
                <w:sz w:val="21"/>
                <w:szCs w:val="21"/>
                <w:highlight w:val="yellow"/>
              </w:rPr>
            </w:pPr>
            <w:r>
              <w:rPr>
                <w:rFonts w:hint="eastAsia" w:asciiTheme="minorEastAsia" w:hAnsiTheme="minorEastAsia" w:eastAsiaTheme="minorEastAsia"/>
                <w:b/>
                <w:bCs/>
                <w:color w:val="FF0000"/>
                <w:kern w:val="0"/>
                <w:sz w:val="21"/>
                <w:szCs w:val="21"/>
                <w:highlight w:val="yellow"/>
              </w:rPr>
              <w:t>★</w:t>
            </w:r>
            <w:r>
              <w:rPr>
                <w:rFonts w:hint="eastAsia" w:cs="仿宋_GB2312" w:asciiTheme="minorEastAsia" w:hAnsiTheme="minorEastAsia" w:eastAsiaTheme="minorEastAsia"/>
                <w:b w:val="0"/>
                <w:bCs/>
                <w:color w:val="FF0000"/>
                <w:sz w:val="21"/>
                <w:szCs w:val="21"/>
                <w:highlight w:val="yellow"/>
                <w:lang w:val="en-US" w:eastAsia="zh-CN"/>
              </w:rPr>
              <w:t>8、</w:t>
            </w:r>
            <w:r>
              <w:rPr>
                <w:rFonts w:hint="eastAsia" w:cs="仿宋_GB2312" w:asciiTheme="minorEastAsia" w:hAnsiTheme="minorEastAsia" w:eastAsiaTheme="minorEastAsia"/>
                <w:b w:val="0"/>
                <w:bCs/>
                <w:color w:val="FF0000"/>
                <w:sz w:val="21"/>
                <w:szCs w:val="21"/>
                <w:highlight w:val="yellow"/>
              </w:rPr>
              <w:t>中标供应商提供配送服务的车辆需符合合法上路的要求，签订合同前需提供服务车辆的道路运输证或道路运输经营许可证作为证明材料。</w:t>
            </w:r>
          </w:p>
          <w:p w14:paraId="592D63FF">
            <w:pPr>
              <w:pageBreakBefore w:val="0"/>
              <w:kinsoku/>
              <w:wordWrap/>
              <w:overflowPunct/>
              <w:topLinePunct w:val="0"/>
              <w:autoSpaceDE/>
              <w:autoSpaceDN/>
              <w:bidi w:val="0"/>
              <w:spacing w:line="288" w:lineRule="auto"/>
              <w:ind w:firstLine="422" w:firstLineChars="200"/>
              <w:rPr>
                <w:rFonts w:hint="eastAsia" w:cs="仿宋_GB2312" w:asciiTheme="minorEastAsia" w:hAnsiTheme="minorEastAsia" w:eastAsiaTheme="minorEastAsia"/>
                <w:b w:val="0"/>
                <w:bCs/>
                <w:color w:val="FF0000"/>
                <w:sz w:val="21"/>
                <w:szCs w:val="21"/>
                <w:highlight w:val="yellow"/>
              </w:rPr>
            </w:pPr>
            <w:r>
              <w:rPr>
                <w:rFonts w:hint="eastAsia" w:asciiTheme="minorEastAsia" w:hAnsiTheme="minorEastAsia" w:eastAsiaTheme="minorEastAsia"/>
                <w:b/>
                <w:bCs/>
                <w:color w:val="FF0000"/>
                <w:kern w:val="0"/>
                <w:sz w:val="21"/>
                <w:szCs w:val="21"/>
                <w:highlight w:val="yellow"/>
              </w:rPr>
              <w:t>★</w:t>
            </w:r>
            <w:r>
              <w:rPr>
                <w:rFonts w:hint="eastAsia" w:cs="仿宋_GB2312" w:asciiTheme="minorEastAsia" w:hAnsiTheme="minorEastAsia" w:eastAsiaTheme="minorEastAsia"/>
                <w:b w:val="0"/>
                <w:bCs/>
                <w:color w:val="FF0000"/>
                <w:sz w:val="21"/>
                <w:szCs w:val="21"/>
                <w:highlight w:val="yellow"/>
                <w:lang w:val="en-US" w:eastAsia="zh-CN"/>
              </w:rPr>
              <w:t>9、</w:t>
            </w:r>
            <w:r>
              <w:rPr>
                <w:rFonts w:hint="eastAsia" w:cs="仿宋_GB2312" w:asciiTheme="minorEastAsia" w:hAnsiTheme="minorEastAsia" w:eastAsiaTheme="minorEastAsia"/>
                <w:b w:val="0"/>
                <w:bCs/>
                <w:color w:val="FF0000"/>
                <w:sz w:val="21"/>
                <w:szCs w:val="21"/>
                <w:highlight w:val="yellow"/>
              </w:rPr>
              <w:t>因配送运输中出现人身安全事故，中标供应商独立承担一切刑事、民事责任，与采购人、学校无关。</w:t>
            </w:r>
          </w:p>
          <w:p w14:paraId="5B9D3D56">
            <w:pPr>
              <w:spacing w:line="288" w:lineRule="auto"/>
              <w:ind w:firstLine="422" w:firstLineChars="200"/>
              <w:rPr>
                <w:rFonts w:hint="eastAsia" w:cs="Times New Roman" w:asciiTheme="minorEastAsia" w:hAnsiTheme="minorEastAsia" w:eastAsiaTheme="minorEastAsia"/>
                <w:b w:val="0"/>
                <w:bCs w:val="0"/>
                <w:color w:val="FF0000"/>
                <w:kern w:val="0"/>
                <w:szCs w:val="21"/>
                <w:highlight w:val="yellow"/>
              </w:rPr>
            </w:pPr>
            <w:r>
              <w:rPr>
                <w:rFonts w:hint="eastAsia" w:asciiTheme="minorEastAsia" w:hAnsiTheme="minorEastAsia" w:eastAsiaTheme="minorEastAsia"/>
                <w:b/>
                <w:bCs/>
                <w:color w:val="FF0000"/>
                <w:kern w:val="0"/>
                <w:sz w:val="21"/>
                <w:szCs w:val="21"/>
                <w:highlight w:val="yellow"/>
              </w:rPr>
              <w:t>★</w:t>
            </w:r>
            <w:r>
              <w:rPr>
                <w:rFonts w:hint="eastAsia" w:cs="Times New Roman" w:asciiTheme="minorEastAsia" w:hAnsiTheme="minorEastAsia" w:eastAsiaTheme="minorEastAsia"/>
                <w:b w:val="0"/>
                <w:bCs w:val="0"/>
                <w:color w:val="FF0000"/>
                <w:kern w:val="0"/>
                <w:szCs w:val="21"/>
                <w:highlight w:val="yellow"/>
                <w:lang w:val="en-US" w:eastAsia="zh-CN"/>
              </w:rPr>
              <w:t>10.</w:t>
            </w:r>
            <w:r>
              <w:rPr>
                <w:rFonts w:hint="eastAsia" w:cs="Times New Roman" w:asciiTheme="minorEastAsia" w:hAnsiTheme="minorEastAsia" w:eastAsiaTheme="minorEastAsia"/>
                <w:b w:val="0"/>
                <w:bCs w:val="0"/>
                <w:color w:val="FF0000"/>
                <w:kern w:val="0"/>
                <w:szCs w:val="21"/>
                <w:highlight w:val="yellow"/>
              </w:rPr>
              <w:t>供应商必须开通深圳市中农数据有限公司（天天采购平台）</w:t>
            </w:r>
            <w:r>
              <w:rPr>
                <w:rFonts w:hint="eastAsia" w:cs="Times New Roman" w:asciiTheme="minorEastAsia" w:hAnsiTheme="minorEastAsia" w:eastAsiaTheme="minorEastAsia"/>
                <w:color w:val="FF0000"/>
                <w:kern w:val="0"/>
                <w:sz w:val="21"/>
                <w:szCs w:val="21"/>
                <w:highlight w:val="yellow"/>
              </w:rPr>
              <w:t>报价授权码Keyid账号对接“深圳市学校食堂智慧管理平台”，实现学校采购管理所需的货品查询、价格比对、商品下单、货品统计、送货清单及报账清单打印等，由此产生的中农授权码Keyid账号使用费用由中标供应商承担，投标人在投标时须充分考虑此项成本。</w:t>
            </w:r>
          </w:p>
          <w:p w14:paraId="4C0F49A1">
            <w:pPr>
              <w:spacing w:line="288" w:lineRule="auto"/>
              <w:ind w:firstLine="420" w:firstLineChars="200"/>
            </w:pPr>
            <w:r>
              <w:rPr>
                <w:rFonts w:hint="eastAsia" w:cs="仿宋_GB2312" w:asciiTheme="minorEastAsia" w:hAnsiTheme="minorEastAsia" w:eastAsiaTheme="minorEastAsia"/>
                <w:b w:val="0"/>
                <w:bCs/>
                <w:color w:val="FF0000"/>
                <w:kern w:val="2"/>
                <w:sz w:val="21"/>
                <w:szCs w:val="21"/>
                <w:highlight w:val="yellow"/>
              </w:rPr>
              <w:t>★</w:t>
            </w:r>
            <w:r>
              <w:rPr>
                <w:rFonts w:hint="eastAsia" w:cs="仿宋_GB2312" w:asciiTheme="minorEastAsia" w:hAnsiTheme="minorEastAsia" w:eastAsiaTheme="minorEastAsia"/>
                <w:b w:val="0"/>
                <w:bCs/>
                <w:color w:val="FF0000"/>
                <w:kern w:val="2"/>
                <w:szCs w:val="21"/>
                <w:highlight w:val="yellow"/>
                <w:lang w:val="en-US" w:eastAsia="zh-CN"/>
              </w:rPr>
              <w:t>11.</w:t>
            </w:r>
            <w:r>
              <w:rPr>
                <w:rFonts w:hint="eastAsia" w:cs="仿宋_GB2312" w:asciiTheme="minorEastAsia" w:hAnsiTheme="minorEastAsia" w:eastAsiaTheme="minorEastAsia"/>
                <w:b w:val="0"/>
                <w:bCs/>
                <w:color w:val="FF0000"/>
                <w:kern w:val="2"/>
                <w:sz w:val="21"/>
                <w:szCs w:val="21"/>
                <w:highlight w:val="yellow"/>
              </w:rPr>
              <w:t>每天派</w:t>
            </w:r>
            <w:r>
              <w:rPr>
                <w:rFonts w:hint="eastAsia" w:cs="仿宋_GB2312" w:asciiTheme="minorEastAsia" w:hAnsiTheme="minorEastAsia" w:eastAsiaTheme="minorEastAsia"/>
                <w:b w:val="0"/>
                <w:bCs/>
                <w:color w:val="FF0000"/>
                <w:kern w:val="2"/>
                <w:sz w:val="21"/>
                <w:szCs w:val="21"/>
                <w:highlight w:val="yellow"/>
                <w:lang w:val="en-US" w:eastAsia="zh-CN"/>
              </w:rPr>
              <w:t>1</w:t>
            </w:r>
            <w:r>
              <w:rPr>
                <w:rFonts w:hint="eastAsia" w:cs="仿宋_GB2312" w:asciiTheme="minorEastAsia" w:hAnsiTheme="minorEastAsia" w:eastAsiaTheme="minorEastAsia"/>
                <w:b w:val="0"/>
                <w:bCs/>
                <w:color w:val="FF0000"/>
                <w:kern w:val="2"/>
                <w:sz w:val="21"/>
                <w:szCs w:val="21"/>
                <w:highlight w:val="yellow"/>
              </w:rPr>
              <w:t>名专门人员负责完成当天菜品的洗、切等</w:t>
            </w:r>
            <w:r>
              <w:rPr>
                <w:rFonts w:hint="eastAsia" w:cs="仿宋_GB2312" w:asciiTheme="minorEastAsia" w:hAnsiTheme="minorEastAsia" w:eastAsiaTheme="minorEastAsia"/>
                <w:b w:val="0"/>
                <w:bCs/>
                <w:color w:val="FF0000"/>
                <w:kern w:val="2"/>
                <w:sz w:val="21"/>
                <w:szCs w:val="21"/>
                <w:highlight w:val="yellow"/>
                <w:lang w:val="en-US" w:eastAsia="zh-CN"/>
              </w:rPr>
              <w:t>粗</w:t>
            </w:r>
            <w:r>
              <w:rPr>
                <w:rFonts w:hint="eastAsia" w:cs="仿宋_GB2312" w:asciiTheme="minorEastAsia" w:hAnsiTheme="minorEastAsia" w:eastAsiaTheme="minorEastAsia"/>
                <w:b w:val="0"/>
                <w:bCs/>
                <w:color w:val="FF0000"/>
                <w:kern w:val="2"/>
                <w:sz w:val="21"/>
                <w:szCs w:val="21"/>
                <w:highlight w:val="yellow"/>
              </w:rPr>
              <w:t>加工事宜。派驻员工应相对固定，如更换，需事先通知采购人并获得认可。</w:t>
            </w:r>
          </w:p>
        </w:tc>
      </w:tr>
      <w:tr w14:paraId="6E953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vAlign w:val="center"/>
          </w:tcPr>
          <w:p w14:paraId="43CBB091">
            <w:pPr>
              <w:pageBreakBefore w:val="0"/>
              <w:kinsoku/>
              <w:wordWrap/>
              <w:overflowPunct/>
              <w:topLinePunct w:val="0"/>
              <w:autoSpaceDE/>
              <w:autoSpaceDN/>
              <w:bidi w:val="0"/>
              <w:spacing w:line="288" w:lineRule="auto"/>
              <w:jc w:val="center"/>
              <w:rPr>
                <w:rFonts w:ascii="宋体" w:hAnsi="宋体"/>
                <w:kern w:val="0"/>
                <w:szCs w:val="21"/>
              </w:rPr>
            </w:pPr>
            <w:r>
              <w:rPr>
                <w:rFonts w:hint="eastAsia" w:ascii="宋体" w:hAnsi="宋体" w:cs="宋体"/>
                <w:bCs/>
                <w:szCs w:val="21"/>
                <w:lang w:val="en-US" w:eastAsia="zh-CN"/>
              </w:rPr>
              <w:t>2</w:t>
            </w:r>
          </w:p>
        </w:tc>
        <w:tc>
          <w:tcPr>
            <w:tcW w:w="7795" w:type="dxa"/>
            <w:vAlign w:val="center"/>
          </w:tcPr>
          <w:p w14:paraId="65E5C6A5">
            <w:pPr>
              <w:pStyle w:val="202"/>
              <w:keepNext w:val="0"/>
              <w:keepLines w:val="0"/>
              <w:pageBreakBefore w:val="0"/>
              <w:widowControl/>
              <w:suppressLineNumbers w:val="0"/>
              <w:kinsoku/>
              <w:wordWrap/>
              <w:overflowPunct/>
              <w:topLinePunct w:val="0"/>
              <w:autoSpaceDE/>
              <w:autoSpaceDN/>
              <w:bidi w:val="0"/>
              <w:spacing w:before="0" w:beforeAutospacing="0" w:after="0" w:afterAutospacing="0" w:line="288" w:lineRule="auto"/>
              <w:ind w:left="0" w:leftChars="0" w:right="0" w:rightChars="0" w:firstLine="420" w:firstLineChars="200"/>
              <w:rPr>
                <w:rFonts w:asciiTheme="minorEastAsia" w:hAnsiTheme="minorEastAsia" w:eastAsiaTheme="minorEastAsia"/>
              </w:rPr>
            </w:pPr>
            <w:r>
              <w:rPr>
                <w:rFonts w:hint="eastAsia" w:cs="Times New Roman" w:asciiTheme="minorEastAsia" w:hAnsiTheme="minorEastAsia" w:eastAsiaTheme="minorEastAsia"/>
                <w:color w:val="FF0000"/>
                <w:kern w:val="2"/>
                <w:sz w:val="21"/>
                <w:szCs w:val="21"/>
                <w:highlight w:val="yellow"/>
                <w:lang w:val="en-US" w:eastAsia="zh-CN" w:bidi="ar-SA"/>
              </w:rPr>
              <w:t>★人员类别★数量★人员具备条件</w:t>
            </w:r>
          </w:p>
        </w:tc>
      </w:tr>
      <w:tr w14:paraId="1FD2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vAlign w:val="center"/>
          </w:tcPr>
          <w:p w14:paraId="799C2B42">
            <w:pPr>
              <w:pageBreakBefore w:val="0"/>
              <w:kinsoku/>
              <w:wordWrap/>
              <w:overflowPunct/>
              <w:topLinePunct w:val="0"/>
              <w:autoSpaceDE/>
              <w:autoSpaceDN/>
              <w:bidi w:val="0"/>
              <w:spacing w:line="288" w:lineRule="auto"/>
              <w:jc w:val="center"/>
              <w:rPr>
                <w:rFonts w:ascii="宋体" w:hAnsi="宋体"/>
                <w:kern w:val="0"/>
                <w:szCs w:val="21"/>
              </w:rPr>
            </w:pPr>
            <w:r>
              <w:rPr>
                <w:rFonts w:hint="eastAsia" w:ascii="宋体" w:hAnsi="宋体" w:cs="宋体"/>
                <w:bCs/>
                <w:szCs w:val="21"/>
                <w:lang w:val="en-US" w:eastAsia="zh-CN"/>
              </w:rPr>
              <w:t>3</w:t>
            </w:r>
          </w:p>
        </w:tc>
        <w:tc>
          <w:tcPr>
            <w:tcW w:w="7795" w:type="dxa"/>
            <w:vAlign w:val="center"/>
          </w:tcPr>
          <w:p w14:paraId="29D44333">
            <w:pPr>
              <w:keepNext/>
              <w:keepLines/>
              <w:pageBreakBefore w:val="0"/>
              <w:widowControl/>
              <w:kinsoku/>
              <w:wordWrap/>
              <w:overflowPunct/>
              <w:topLinePunct w:val="0"/>
              <w:autoSpaceDE/>
              <w:autoSpaceDN/>
              <w:bidi w:val="0"/>
              <w:spacing w:line="288" w:lineRule="auto"/>
              <w:ind w:firstLine="211" w:firstLineChars="100"/>
              <w:outlineLvl w:val="2"/>
              <w:rPr>
                <w:rFonts w:asciiTheme="minorEastAsia" w:hAnsiTheme="minorEastAsia" w:eastAsiaTheme="minorEastAsia"/>
                <w:b/>
                <w:bCs/>
                <w:color w:val="FF0000"/>
                <w:kern w:val="0"/>
                <w:sz w:val="21"/>
                <w:szCs w:val="21"/>
                <w:highlight w:val="yellow"/>
              </w:rPr>
            </w:pPr>
            <w:r>
              <w:rPr>
                <w:rFonts w:hint="eastAsia" w:asciiTheme="minorEastAsia" w:hAnsiTheme="minorEastAsia" w:eastAsiaTheme="minorEastAsia"/>
                <w:b/>
                <w:bCs/>
                <w:color w:val="FF0000"/>
                <w:kern w:val="0"/>
                <w:sz w:val="21"/>
                <w:szCs w:val="21"/>
                <w:highlight w:val="yellow"/>
              </w:rPr>
              <w:t>★（一）服务期限</w:t>
            </w:r>
          </w:p>
          <w:p w14:paraId="208236D4">
            <w:pPr>
              <w:pageBreakBefore w:val="0"/>
              <w:kinsoku/>
              <w:wordWrap/>
              <w:overflowPunct/>
              <w:topLinePunct w:val="0"/>
              <w:autoSpaceDE/>
              <w:autoSpaceDN/>
              <w:bidi w:val="0"/>
              <w:spacing w:line="288" w:lineRule="auto"/>
              <w:ind w:firstLine="420" w:firstLineChars="200"/>
              <w:rPr>
                <w:rFonts w:asciiTheme="minorEastAsia" w:hAnsiTheme="minorEastAsia" w:eastAsiaTheme="minorEastAsia"/>
              </w:rPr>
            </w:pPr>
            <w:r>
              <w:rPr>
                <w:rFonts w:hint="eastAsia" w:cs="仿宋_GB2312" w:asciiTheme="minorEastAsia" w:hAnsiTheme="minorEastAsia" w:eastAsiaTheme="minorEastAsia"/>
                <w:b w:val="0"/>
                <w:bCs/>
                <w:color w:val="FF0000"/>
                <w:sz w:val="21"/>
                <w:szCs w:val="21"/>
                <w:highlight w:val="yellow"/>
              </w:rPr>
              <w:t>本项目服务期限为一年。一年合同期满后，经履约考核良好及以上经采购方同意的可按原合同条款续签下一年度合同，每次续签期限为一年，最多可续签二次</w:t>
            </w:r>
            <w:r>
              <w:rPr>
                <w:rFonts w:hint="eastAsia" w:cs="仿宋_GB2312" w:asciiTheme="minorEastAsia" w:hAnsiTheme="minorEastAsia" w:eastAsiaTheme="minorEastAsia"/>
                <w:b w:val="0"/>
                <w:bCs/>
                <w:color w:val="FF0000"/>
                <w:sz w:val="21"/>
                <w:szCs w:val="21"/>
                <w:highlight w:val="yellow"/>
                <w:lang w:eastAsia="zh-CN"/>
              </w:rPr>
              <w:t>。</w:t>
            </w:r>
          </w:p>
        </w:tc>
      </w:tr>
      <w:tr w14:paraId="403E4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vAlign w:val="center"/>
          </w:tcPr>
          <w:p w14:paraId="55C38FA3">
            <w:pPr>
              <w:pageBreakBefore w:val="0"/>
              <w:kinsoku/>
              <w:wordWrap/>
              <w:overflowPunct/>
              <w:topLinePunct w:val="0"/>
              <w:autoSpaceDE/>
              <w:autoSpaceDN/>
              <w:bidi w:val="0"/>
              <w:spacing w:line="288" w:lineRule="auto"/>
              <w:jc w:val="center"/>
              <w:rPr>
                <w:rFonts w:hint="eastAsia" w:ascii="宋体" w:hAnsi="宋体"/>
                <w:kern w:val="0"/>
                <w:szCs w:val="21"/>
              </w:rPr>
            </w:pPr>
            <w:r>
              <w:rPr>
                <w:rFonts w:hint="eastAsia" w:ascii="宋体" w:hAnsi="宋体" w:cs="宋体"/>
                <w:bCs/>
                <w:szCs w:val="21"/>
                <w:lang w:val="en-US" w:eastAsia="zh-CN"/>
              </w:rPr>
              <w:t>4</w:t>
            </w:r>
          </w:p>
        </w:tc>
        <w:tc>
          <w:tcPr>
            <w:tcW w:w="7795" w:type="dxa"/>
            <w:vAlign w:val="center"/>
          </w:tcPr>
          <w:p w14:paraId="4640D08F">
            <w:pPr>
              <w:pageBreakBefore w:val="0"/>
              <w:kinsoku/>
              <w:wordWrap/>
              <w:overflowPunct/>
              <w:topLinePunct w:val="0"/>
              <w:autoSpaceDE/>
              <w:autoSpaceDN/>
              <w:bidi w:val="0"/>
              <w:spacing w:line="288" w:lineRule="auto"/>
              <w:ind w:firstLine="211" w:firstLineChars="100"/>
              <w:rPr>
                <w:rFonts w:cs="仿宋_GB2312" w:asciiTheme="minorEastAsia" w:hAnsiTheme="minorEastAsia" w:eastAsiaTheme="minorEastAsia"/>
                <w:b/>
                <w:color w:val="FF0000"/>
                <w:sz w:val="21"/>
                <w:szCs w:val="21"/>
                <w:highlight w:val="yellow"/>
              </w:rPr>
            </w:pPr>
            <w:r>
              <w:rPr>
                <w:rFonts w:hint="eastAsia" w:asciiTheme="minorEastAsia" w:hAnsiTheme="minorEastAsia" w:eastAsiaTheme="minorEastAsia"/>
                <w:b/>
                <w:bCs/>
                <w:color w:val="FF0000"/>
                <w:kern w:val="0"/>
                <w:sz w:val="21"/>
                <w:szCs w:val="21"/>
                <w:highlight w:val="yellow"/>
              </w:rPr>
              <w:t>★</w:t>
            </w:r>
            <w:r>
              <w:rPr>
                <w:rFonts w:hint="eastAsia" w:cs="仿宋_GB2312" w:asciiTheme="minorEastAsia" w:hAnsiTheme="minorEastAsia" w:eastAsiaTheme="minorEastAsia"/>
                <w:b/>
                <w:color w:val="FF0000"/>
                <w:sz w:val="21"/>
                <w:szCs w:val="21"/>
                <w:highlight w:val="yellow"/>
              </w:rPr>
              <w:t>（三）报价要求</w:t>
            </w:r>
          </w:p>
          <w:p w14:paraId="2EFAE279">
            <w:pPr>
              <w:spacing w:line="288" w:lineRule="auto"/>
              <w:ind w:firstLine="420" w:firstLineChars="200"/>
              <w:rPr>
                <w:rFonts w:hint="default"/>
                <w:color w:val="FF0000"/>
                <w:highlight w:val="yellow"/>
                <w:lang w:val="en-US" w:eastAsia="zh-CN"/>
              </w:rPr>
            </w:pPr>
            <w:r>
              <w:rPr>
                <w:rFonts w:hint="eastAsia" w:cs="仿宋_GB2312" w:asciiTheme="minorEastAsia" w:hAnsiTheme="minorEastAsia" w:eastAsiaTheme="minorEastAsia"/>
                <w:b w:val="0"/>
                <w:bCs/>
                <w:color w:val="FF0000"/>
                <w:sz w:val="21"/>
                <w:szCs w:val="21"/>
                <w:highlight w:val="yellow"/>
                <w:lang w:val="en-US" w:eastAsia="zh-CN"/>
              </w:rPr>
              <w:t>1、</w:t>
            </w:r>
            <w:r>
              <w:rPr>
                <w:rFonts w:hint="eastAsia" w:cs="仿宋_GB2312" w:asciiTheme="minorEastAsia" w:hAnsiTheme="minorEastAsia" w:eastAsiaTheme="minorEastAsia"/>
                <w:b w:val="0"/>
                <w:bCs/>
                <w:color w:val="FF0000"/>
                <w:sz w:val="21"/>
                <w:szCs w:val="21"/>
                <w:highlight w:val="yellow"/>
              </w:rPr>
              <w:t>本项目的投标报价为折扣率；</w:t>
            </w:r>
            <w:r>
              <w:rPr>
                <w:rFonts w:hint="eastAsia" w:cs="仿宋_GB2312" w:asciiTheme="minorEastAsia" w:hAnsiTheme="minorEastAsia" w:eastAsiaTheme="minorEastAsia"/>
                <w:b w:val="0"/>
                <w:bCs/>
                <w:color w:val="FF0000"/>
                <w:sz w:val="21"/>
                <w:szCs w:val="21"/>
                <w:highlight w:val="yellow"/>
                <w:lang w:val="en-US" w:eastAsia="zh-CN"/>
              </w:rPr>
              <w:t>实际结算金额=产品价格*中标折扣率（产品价格为</w:t>
            </w:r>
            <w:r>
              <w:rPr>
                <w:rFonts w:hint="eastAsia" w:cs="仿宋_GB2312" w:asciiTheme="minorEastAsia" w:hAnsiTheme="minorEastAsia" w:eastAsiaTheme="minorEastAsia"/>
                <w:b w:val="0"/>
                <w:bCs/>
                <w:color w:val="FF0000"/>
                <w:sz w:val="21"/>
                <w:szCs w:val="21"/>
                <w:highlight w:val="yellow"/>
              </w:rPr>
              <w:t>中农网数据食堂采购平台（http://www.chinaap.com）每月5、15、25日粗加工报价表取三天的平均值（平均值精确到分，即小数点后两位）确定各项物资的</w:t>
            </w:r>
            <w:r>
              <w:rPr>
                <w:rFonts w:hint="eastAsia" w:cs="仿宋_GB2312" w:asciiTheme="minorEastAsia" w:hAnsiTheme="minorEastAsia" w:eastAsiaTheme="minorEastAsia"/>
                <w:b w:val="0"/>
                <w:bCs/>
                <w:color w:val="FF0000"/>
                <w:sz w:val="21"/>
                <w:szCs w:val="21"/>
                <w:highlight w:val="yellow"/>
                <w:lang w:val="en-US" w:eastAsia="zh-CN"/>
              </w:rPr>
              <w:t>产品价格）。</w:t>
            </w:r>
          </w:p>
          <w:p w14:paraId="35581DCA">
            <w:pPr>
              <w:pageBreakBefore w:val="0"/>
              <w:kinsoku/>
              <w:wordWrap/>
              <w:overflowPunct/>
              <w:topLinePunct w:val="0"/>
              <w:autoSpaceDE/>
              <w:autoSpaceDN/>
              <w:bidi w:val="0"/>
              <w:spacing w:line="288" w:lineRule="auto"/>
              <w:ind w:firstLine="420" w:firstLineChars="200"/>
              <w:rPr>
                <w:rFonts w:hint="eastAsia" w:asciiTheme="minorEastAsia" w:hAnsiTheme="minorEastAsia" w:eastAsiaTheme="minorEastAsia"/>
              </w:rPr>
            </w:pPr>
            <w:r>
              <w:rPr>
                <w:rFonts w:hint="eastAsia" w:cs="仿宋_GB2312" w:asciiTheme="minorEastAsia" w:hAnsiTheme="minorEastAsia" w:eastAsiaTheme="minorEastAsia"/>
                <w:b w:val="0"/>
                <w:bCs/>
                <w:color w:val="FF0000"/>
                <w:sz w:val="21"/>
                <w:szCs w:val="21"/>
                <w:highlight w:val="yellow"/>
                <w:lang w:val="en-US" w:eastAsia="zh-CN"/>
              </w:rPr>
              <w:t>2、</w:t>
            </w:r>
            <w:r>
              <w:rPr>
                <w:rFonts w:hint="eastAsia" w:cs="仿宋_GB2312" w:asciiTheme="minorEastAsia" w:hAnsiTheme="minorEastAsia" w:eastAsiaTheme="minorEastAsia"/>
                <w:b w:val="0"/>
                <w:bCs/>
                <w:color w:val="FF0000"/>
                <w:sz w:val="21"/>
                <w:szCs w:val="21"/>
                <w:highlight w:val="yellow"/>
              </w:rPr>
              <w:t>折扣率</w:t>
            </w:r>
            <w:r>
              <w:rPr>
                <w:rFonts w:hint="eastAsia" w:cs="仿宋_GB2312" w:asciiTheme="minorEastAsia" w:hAnsiTheme="minorEastAsia" w:eastAsiaTheme="minorEastAsia"/>
                <w:b w:val="0"/>
                <w:bCs/>
                <w:color w:val="FF0000"/>
                <w:sz w:val="21"/>
                <w:szCs w:val="21"/>
                <w:highlight w:val="yellow"/>
                <w:lang w:eastAsia="zh-CN"/>
              </w:rPr>
              <w:t>需</w:t>
            </w:r>
            <w:r>
              <w:rPr>
                <w:rFonts w:hint="eastAsia" w:cs="仿宋_GB2312" w:asciiTheme="minorEastAsia" w:hAnsiTheme="minorEastAsia" w:eastAsiaTheme="minorEastAsia"/>
                <w:b w:val="0"/>
                <w:bCs/>
                <w:color w:val="FF0000"/>
                <w:sz w:val="21"/>
                <w:szCs w:val="21"/>
                <w:highlight w:val="yellow"/>
              </w:rPr>
              <w:t>小于或等于1且</w:t>
            </w:r>
            <w:r>
              <w:rPr>
                <w:rFonts w:hint="eastAsia" w:cs="仿宋_GB2312" w:asciiTheme="minorEastAsia" w:hAnsiTheme="minorEastAsia" w:eastAsiaTheme="minorEastAsia"/>
                <w:b w:val="0"/>
                <w:bCs/>
                <w:color w:val="FF0000"/>
                <w:sz w:val="21"/>
                <w:szCs w:val="21"/>
                <w:highlight w:val="yellow"/>
                <w:lang w:val="en-US" w:eastAsia="zh-CN"/>
              </w:rPr>
              <w:t>＞</w:t>
            </w:r>
            <w:r>
              <w:rPr>
                <w:rFonts w:hint="eastAsia" w:cs="仿宋_GB2312" w:asciiTheme="minorEastAsia" w:hAnsiTheme="minorEastAsia" w:eastAsiaTheme="minorEastAsia"/>
                <w:b w:val="0"/>
                <w:bCs/>
                <w:color w:val="FF0000"/>
                <w:sz w:val="21"/>
                <w:szCs w:val="21"/>
                <w:highlight w:val="yellow"/>
              </w:rPr>
              <w:t>0，折扣率在服务期限内保持不变（举例说明：若某种货物的价格为10元/斤，投标人投标报价折扣率为9折，实际结算价格为10元/斤*0.9=</w:t>
            </w:r>
            <w:r>
              <w:rPr>
                <w:rFonts w:hint="eastAsia" w:cs="仿宋_GB2312" w:asciiTheme="minorEastAsia" w:hAnsiTheme="minorEastAsia" w:eastAsiaTheme="minorEastAsia"/>
                <w:b w:val="0"/>
                <w:bCs/>
                <w:color w:val="FF0000"/>
                <w:sz w:val="21"/>
                <w:szCs w:val="21"/>
                <w:highlight w:val="yellow"/>
                <w:lang w:val="en-US" w:eastAsia="zh-CN"/>
              </w:rPr>
              <w:t>9</w:t>
            </w:r>
            <w:r>
              <w:rPr>
                <w:rFonts w:hint="eastAsia" w:cs="仿宋_GB2312" w:asciiTheme="minorEastAsia" w:hAnsiTheme="minorEastAsia" w:eastAsiaTheme="minorEastAsia"/>
                <w:b w:val="0"/>
                <w:bCs/>
                <w:color w:val="FF0000"/>
                <w:sz w:val="21"/>
                <w:szCs w:val="21"/>
                <w:highlight w:val="yellow"/>
              </w:rPr>
              <w:t>元/斤，则在投标文件开标一览表中的折扣率应填0.9（最多保留小数点后两位））。</w:t>
            </w:r>
          </w:p>
        </w:tc>
      </w:tr>
    </w:tbl>
    <w:p w14:paraId="039E9D2C">
      <w:pPr>
        <w:rPr>
          <w:rFonts w:hint="eastAsia"/>
          <w:highlight w:val="yellow"/>
        </w:rPr>
      </w:pPr>
    </w:p>
    <w:p w14:paraId="568BE651">
      <w:r>
        <w:rPr>
          <w:rFonts w:hint="eastAsia"/>
          <w:sz w:val="20"/>
          <w:szCs w:val="22"/>
          <w:highlight w:val="yellow"/>
        </w:rPr>
        <w:t>注：上表所列内容为不可负偏离条款，负偏离将视为未实质性满足招标文件要求作投标无效处理</w:t>
      </w:r>
      <w:r>
        <w:rPr>
          <w:rFonts w:hint="eastAsia"/>
          <w:highlight w:val="yellow"/>
        </w:rPr>
        <w:t>。</w:t>
      </w:r>
      <w:bookmarkEnd w:id="29"/>
    </w:p>
    <w:p w14:paraId="2BC945DE">
      <w:pPr>
        <w:rPr>
          <w:b/>
          <w:bCs/>
          <w:sz w:val="24"/>
        </w:rPr>
      </w:pPr>
    </w:p>
    <w:p w14:paraId="18DFC58E">
      <w:pPr>
        <w:pStyle w:val="6"/>
        <w:spacing w:before="120" w:beforeLines="50" w:after="120" w:afterLines="50"/>
        <w:rPr>
          <w:szCs w:val="24"/>
        </w:rPr>
      </w:pPr>
      <w:r>
        <w:rPr>
          <w:rFonts w:hint="eastAsia"/>
          <w:szCs w:val="24"/>
        </w:rPr>
        <w:t>五、技术要求</w:t>
      </w:r>
    </w:p>
    <w:p w14:paraId="0A7362C5">
      <w:pPr>
        <w:pageBreakBefore w:val="0"/>
        <w:tabs>
          <w:tab w:val="left" w:pos="907"/>
        </w:tabs>
        <w:kinsoku/>
        <w:wordWrap/>
        <w:overflowPunct/>
        <w:topLinePunct w:val="0"/>
        <w:autoSpaceDE/>
        <w:autoSpaceDN/>
        <w:bidi w:val="0"/>
        <w:spacing w:line="288" w:lineRule="auto"/>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（一）服务要求</w:t>
      </w:r>
    </w:p>
    <w:p w14:paraId="6FFFC07F">
      <w:pPr>
        <w:pageBreakBefore w:val="0"/>
        <w:kinsoku/>
        <w:wordWrap/>
        <w:overflowPunct/>
        <w:topLinePunct w:val="0"/>
        <w:autoSpaceDE/>
        <w:autoSpaceDN/>
        <w:bidi w:val="0"/>
        <w:snapToGrid w:val="0"/>
        <w:spacing w:line="288" w:lineRule="auto"/>
        <w:ind w:firstLine="420" w:firstLineChars="200"/>
        <w:textAlignment w:val="baseline"/>
        <w:rPr>
          <w:rFonts w:ascii="宋体" w:hAnsi="宋体" w:cs="宋体"/>
          <w:sz w:val="21"/>
          <w:szCs w:val="21"/>
        </w:rPr>
      </w:pPr>
      <w:r>
        <w:rPr>
          <w:rFonts w:hint="eastAsia" w:ascii="宋体" w:hAnsi="宋体" w:cs="宋体"/>
          <w:sz w:val="21"/>
          <w:szCs w:val="21"/>
        </w:rPr>
        <w:t>中标供应商应严格遵守政府采购的相关规定、遵循采购单位食堂需求及签订合同条款的内容进行食堂物资的配送。在规定的时限内对食堂物资进行准点配送，并提前准备好应急预案，沟通协调好与采购单位食堂的食堂物资配送工作。</w:t>
      </w:r>
    </w:p>
    <w:p w14:paraId="1C232B9B">
      <w:pPr>
        <w:pageBreakBefore w:val="0"/>
        <w:kinsoku/>
        <w:wordWrap/>
        <w:overflowPunct/>
        <w:topLinePunct w:val="0"/>
        <w:autoSpaceDE/>
        <w:autoSpaceDN/>
        <w:bidi w:val="0"/>
        <w:spacing w:line="288" w:lineRule="auto"/>
        <w:ind w:firstLine="420" w:firstLineChars="200"/>
        <w:rPr>
          <w:rFonts w:hint="eastAsia" w:cs="仿宋_GB2312" w:asciiTheme="minorEastAsia" w:hAnsiTheme="minorEastAsia" w:eastAsiaTheme="minorEastAsia"/>
          <w:b w:val="0"/>
          <w:bCs/>
          <w:color w:val="000000"/>
          <w:sz w:val="21"/>
          <w:szCs w:val="21"/>
        </w:rPr>
      </w:pPr>
      <w:r>
        <w:rPr>
          <w:rFonts w:hint="eastAsia" w:cs="仿宋_GB2312" w:asciiTheme="minorEastAsia" w:hAnsiTheme="minorEastAsia" w:eastAsiaTheme="minorEastAsia"/>
          <w:b w:val="0"/>
          <w:bCs/>
          <w:color w:val="000000"/>
          <w:sz w:val="21"/>
          <w:szCs w:val="21"/>
        </w:rPr>
        <w:t>1</w:t>
      </w:r>
      <w:r>
        <w:rPr>
          <w:rFonts w:hint="eastAsia" w:cs="仿宋_GB2312" w:asciiTheme="minorEastAsia" w:hAnsiTheme="minorEastAsia" w:eastAsiaTheme="minorEastAsia"/>
          <w:b w:val="0"/>
          <w:bCs/>
          <w:color w:val="000000"/>
          <w:sz w:val="21"/>
          <w:szCs w:val="21"/>
          <w:lang w:eastAsia="zh-CN"/>
        </w:rPr>
        <w:t>、</w:t>
      </w:r>
      <w:r>
        <w:rPr>
          <w:rFonts w:hint="eastAsia" w:cs="仿宋_GB2312" w:asciiTheme="minorEastAsia" w:hAnsiTheme="minorEastAsia" w:eastAsiaTheme="minorEastAsia"/>
          <w:b w:val="0"/>
          <w:bCs/>
          <w:color w:val="000000"/>
          <w:sz w:val="21"/>
          <w:szCs w:val="21"/>
        </w:rPr>
        <w:t>质量要求及验收要求</w:t>
      </w:r>
    </w:p>
    <w:p w14:paraId="39FADF70">
      <w:pPr>
        <w:pageBreakBefore w:val="0"/>
        <w:kinsoku/>
        <w:wordWrap/>
        <w:overflowPunct/>
        <w:topLinePunct w:val="0"/>
        <w:autoSpaceDE/>
        <w:autoSpaceDN/>
        <w:bidi w:val="0"/>
        <w:spacing w:line="288" w:lineRule="auto"/>
        <w:ind w:firstLine="420" w:firstLineChars="200"/>
        <w:rPr>
          <w:rFonts w:hint="eastAsia" w:cs="仿宋_GB2312" w:asciiTheme="minorEastAsia" w:hAnsiTheme="minorEastAsia" w:eastAsiaTheme="minorEastAsia"/>
          <w:b w:val="0"/>
          <w:bCs/>
          <w:color w:val="000000"/>
          <w:sz w:val="21"/>
          <w:szCs w:val="21"/>
        </w:rPr>
      </w:pPr>
      <w:r>
        <w:rPr>
          <w:rFonts w:hint="eastAsia" w:cs="仿宋_GB2312" w:asciiTheme="minorEastAsia" w:hAnsiTheme="minorEastAsia" w:eastAsiaTheme="minorEastAsia"/>
          <w:b w:val="0"/>
          <w:bCs/>
          <w:color w:val="000000"/>
          <w:sz w:val="21"/>
          <w:szCs w:val="21"/>
          <w:lang w:val="en-US" w:eastAsia="zh-CN"/>
        </w:rPr>
        <w:t>1）</w:t>
      </w:r>
      <w:r>
        <w:rPr>
          <w:rFonts w:hint="eastAsia" w:cs="仿宋_GB2312" w:asciiTheme="minorEastAsia" w:hAnsiTheme="minorEastAsia" w:eastAsiaTheme="minorEastAsia"/>
          <w:b w:val="0"/>
          <w:bCs/>
          <w:color w:val="000000"/>
          <w:sz w:val="21"/>
          <w:szCs w:val="21"/>
        </w:rPr>
        <w:t>所有送货产品</w:t>
      </w:r>
      <w:r>
        <w:rPr>
          <w:rFonts w:hint="eastAsia" w:cs="仿宋_GB2312" w:asciiTheme="minorEastAsia" w:hAnsiTheme="minorEastAsia" w:eastAsiaTheme="minorEastAsia"/>
          <w:b w:val="0"/>
          <w:bCs/>
          <w:color w:val="000000"/>
          <w:sz w:val="21"/>
          <w:szCs w:val="21"/>
          <w:lang w:eastAsia="zh-CN"/>
        </w:rPr>
        <w:t>需</w:t>
      </w:r>
      <w:r>
        <w:rPr>
          <w:rFonts w:hint="eastAsia" w:cs="仿宋_GB2312" w:asciiTheme="minorEastAsia" w:hAnsiTheme="minorEastAsia" w:eastAsiaTheme="minorEastAsia"/>
          <w:b w:val="0"/>
          <w:bCs/>
          <w:color w:val="000000"/>
          <w:sz w:val="21"/>
          <w:szCs w:val="21"/>
        </w:rPr>
        <w:t>营业执照、卫生许可证、产品检验报告三证齐全；</w:t>
      </w:r>
    </w:p>
    <w:p w14:paraId="04F016BD">
      <w:pPr>
        <w:pageBreakBefore w:val="0"/>
        <w:kinsoku/>
        <w:wordWrap/>
        <w:overflowPunct/>
        <w:topLinePunct w:val="0"/>
        <w:autoSpaceDE/>
        <w:autoSpaceDN/>
        <w:bidi w:val="0"/>
        <w:spacing w:line="288" w:lineRule="auto"/>
        <w:ind w:firstLine="420" w:firstLineChars="200"/>
        <w:rPr>
          <w:rFonts w:hint="eastAsia" w:cs="仿宋_GB2312" w:asciiTheme="minorEastAsia" w:hAnsiTheme="minorEastAsia" w:eastAsiaTheme="minorEastAsia"/>
          <w:b w:val="0"/>
          <w:bCs/>
          <w:color w:val="000000"/>
          <w:sz w:val="21"/>
          <w:szCs w:val="21"/>
        </w:rPr>
      </w:pPr>
      <w:r>
        <w:rPr>
          <w:rFonts w:hint="eastAsia" w:cs="仿宋_GB2312" w:asciiTheme="minorEastAsia" w:hAnsiTheme="minorEastAsia" w:eastAsiaTheme="minorEastAsia"/>
          <w:b w:val="0"/>
          <w:bCs/>
          <w:color w:val="000000"/>
          <w:sz w:val="21"/>
          <w:szCs w:val="21"/>
          <w:lang w:val="en-US" w:eastAsia="zh-CN"/>
        </w:rPr>
        <w:t>2）</w:t>
      </w:r>
      <w:r>
        <w:rPr>
          <w:rFonts w:hint="eastAsia" w:cs="仿宋_GB2312" w:asciiTheme="minorEastAsia" w:hAnsiTheme="minorEastAsia" w:eastAsiaTheme="minorEastAsia"/>
          <w:b w:val="0"/>
          <w:bCs/>
          <w:color w:val="000000"/>
          <w:sz w:val="21"/>
          <w:szCs w:val="21"/>
        </w:rPr>
        <w:t>所供A级以上（使用率85%以上）蔬菜</w:t>
      </w:r>
      <w:r>
        <w:rPr>
          <w:rFonts w:hint="eastAsia" w:cs="仿宋_GB2312" w:asciiTheme="minorEastAsia" w:hAnsiTheme="minorEastAsia" w:eastAsiaTheme="minorEastAsia"/>
          <w:b w:val="0"/>
          <w:bCs/>
          <w:color w:val="000000"/>
          <w:sz w:val="21"/>
          <w:szCs w:val="21"/>
          <w:lang w:eastAsia="zh-CN"/>
        </w:rPr>
        <w:t>需</w:t>
      </w:r>
      <w:r>
        <w:rPr>
          <w:rFonts w:hint="eastAsia" w:cs="仿宋_GB2312" w:asciiTheme="minorEastAsia" w:hAnsiTheme="minorEastAsia" w:eastAsiaTheme="minorEastAsia"/>
          <w:b w:val="0"/>
          <w:bCs/>
          <w:color w:val="000000"/>
          <w:sz w:val="21"/>
          <w:szCs w:val="21"/>
        </w:rPr>
        <w:t>保证是送货前12小时内收成，当天必</w:t>
      </w:r>
      <w:r>
        <w:rPr>
          <w:rFonts w:hint="eastAsia" w:cs="仿宋_GB2312" w:asciiTheme="minorEastAsia" w:hAnsiTheme="minorEastAsia" w:eastAsiaTheme="minorEastAsia"/>
          <w:b w:val="0"/>
          <w:bCs/>
          <w:color w:val="000000"/>
          <w:sz w:val="21"/>
          <w:szCs w:val="21"/>
          <w:lang w:eastAsia="zh-CN"/>
        </w:rPr>
        <w:t>需</w:t>
      </w:r>
      <w:r>
        <w:rPr>
          <w:rFonts w:hint="eastAsia" w:cs="仿宋_GB2312" w:asciiTheme="minorEastAsia" w:hAnsiTheme="minorEastAsia" w:eastAsiaTheme="minorEastAsia"/>
          <w:b w:val="0"/>
          <w:bCs/>
          <w:color w:val="000000"/>
          <w:sz w:val="21"/>
          <w:szCs w:val="21"/>
        </w:rPr>
        <w:t>提供检测报告书，保持较好色泽及新鲜度</w:t>
      </w:r>
      <w:r>
        <w:rPr>
          <w:rFonts w:hint="eastAsia" w:cs="仿宋_GB2312" w:asciiTheme="minorEastAsia" w:hAnsiTheme="minorEastAsia" w:eastAsiaTheme="minorEastAsia"/>
          <w:b w:val="0"/>
          <w:bCs/>
          <w:color w:val="000000"/>
          <w:sz w:val="21"/>
          <w:szCs w:val="21"/>
          <w:lang w:eastAsia="zh-CN"/>
        </w:rPr>
        <w:t>。</w:t>
      </w:r>
      <w:r>
        <w:rPr>
          <w:rFonts w:hint="eastAsia" w:cs="仿宋_GB2312" w:asciiTheme="minorEastAsia" w:hAnsiTheme="minorEastAsia" w:eastAsiaTheme="minorEastAsia"/>
          <w:b w:val="0"/>
          <w:bCs/>
          <w:color w:val="000000"/>
          <w:sz w:val="21"/>
          <w:szCs w:val="21"/>
        </w:rPr>
        <w:t>（供应商自行检测并提供《无公害叶菜类检测记录》表）；</w:t>
      </w:r>
    </w:p>
    <w:p w14:paraId="60AD35E7">
      <w:pPr>
        <w:pageBreakBefore w:val="0"/>
        <w:kinsoku/>
        <w:wordWrap/>
        <w:overflowPunct/>
        <w:topLinePunct w:val="0"/>
        <w:autoSpaceDE/>
        <w:autoSpaceDN/>
        <w:bidi w:val="0"/>
        <w:spacing w:line="288" w:lineRule="auto"/>
        <w:ind w:firstLine="420" w:firstLineChars="200"/>
        <w:rPr>
          <w:rFonts w:hint="eastAsia" w:cs="仿宋_GB2312" w:asciiTheme="minorEastAsia" w:hAnsiTheme="minorEastAsia" w:eastAsiaTheme="minorEastAsia"/>
          <w:b w:val="0"/>
          <w:bCs/>
          <w:color w:val="000000"/>
          <w:sz w:val="21"/>
          <w:szCs w:val="21"/>
        </w:rPr>
      </w:pPr>
      <w:r>
        <w:rPr>
          <w:rFonts w:hint="eastAsia" w:cs="仿宋_GB2312" w:asciiTheme="minorEastAsia" w:hAnsiTheme="minorEastAsia" w:eastAsiaTheme="minorEastAsia"/>
          <w:b w:val="0"/>
          <w:bCs/>
          <w:color w:val="000000"/>
          <w:sz w:val="21"/>
          <w:szCs w:val="21"/>
          <w:lang w:val="en-US" w:eastAsia="zh-CN"/>
        </w:rPr>
        <w:t>3）</w:t>
      </w:r>
      <w:r>
        <w:rPr>
          <w:rFonts w:hint="eastAsia" w:cs="仿宋_GB2312" w:asciiTheme="minorEastAsia" w:hAnsiTheme="minorEastAsia" w:eastAsiaTheme="minorEastAsia"/>
          <w:b w:val="0"/>
          <w:bCs/>
          <w:color w:val="000000"/>
          <w:sz w:val="21"/>
          <w:szCs w:val="21"/>
        </w:rPr>
        <w:t>所供干货类商品应保持较好的外观，达到相应的等级，</w:t>
      </w:r>
      <w:r>
        <w:rPr>
          <w:rFonts w:hint="eastAsia" w:cs="仿宋_GB2312" w:asciiTheme="minorEastAsia" w:hAnsiTheme="minorEastAsia" w:eastAsiaTheme="minorEastAsia"/>
          <w:b w:val="0"/>
          <w:bCs/>
          <w:color w:val="000000"/>
          <w:sz w:val="21"/>
          <w:szCs w:val="21"/>
          <w:lang w:eastAsia="zh-CN"/>
        </w:rPr>
        <w:t>需</w:t>
      </w:r>
      <w:r>
        <w:rPr>
          <w:rFonts w:hint="eastAsia" w:cs="仿宋_GB2312" w:asciiTheme="minorEastAsia" w:hAnsiTheme="minorEastAsia" w:eastAsiaTheme="minorEastAsia"/>
          <w:b w:val="0"/>
          <w:bCs/>
          <w:color w:val="000000"/>
          <w:sz w:val="21"/>
          <w:szCs w:val="21"/>
        </w:rPr>
        <w:t>是在保质期内。配送的货物符合国家食品安全检测后合格的货品；</w:t>
      </w:r>
    </w:p>
    <w:p w14:paraId="602AAAE9">
      <w:pPr>
        <w:pageBreakBefore w:val="0"/>
        <w:kinsoku/>
        <w:wordWrap/>
        <w:overflowPunct/>
        <w:topLinePunct w:val="0"/>
        <w:autoSpaceDE/>
        <w:autoSpaceDN/>
        <w:bidi w:val="0"/>
        <w:spacing w:line="288" w:lineRule="auto"/>
        <w:ind w:firstLine="420" w:firstLineChars="200"/>
        <w:rPr>
          <w:rFonts w:hint="eastAsia" w:cs="仿宋_GB2312" w:asciiTheme="minorEastAsia" w:hAnsiTheme="minorEastAsia" w:eastAsiaTheme="minorEastAsia"/>
          <w:b w:val="0"/>
          <w:bCs/>
          <w:color w:val="000000"/>
          <w:sz w:val="21"/>
          <w:szCs w:val="21"/>
        </w:rPr>
      </w:pPr>
      <w:r>
        <w:rPr>
          <w:rFonts w:hint="eastAsia" w:cs="仿宋_GB2312" w:asciiTheme="minorEastAsia" w:hAnsiTheme="minorEastAsia" w:eastAsiaTheme="minorEastAsia"/>
          <w:b w:val="0"/>
          <w:bCs/>
          <w:color w:val="000000"/>
          <w:sz w:val="21"/>
          <w:szCs w:val="21"/>
          <w:lang w:val="en-US" w:eastAsia="zh-CN"/>
        </w:rPr>
        <w:t>4）</w:t>
      </w:r>
      <w:r>
        <w:rPr>
          <w:rFonts w:hint="eastAsia" w:cs="仿宋_GB2312" w:asciiTheme="minorEastAsia" w:hAnsiTheme="minorEastAsia" w:eastAsiaTheme="minorEastAsia"/>
          <w:b w:val="0"/>
          <w:bCs/>
          <w:color w:val="000000"/>
          <w:sz w:val="21"/>
          <w:szCs w:val="21"/>
        </w:rPr>
        <w:t>采购单位应严格按《饭堂主副食品供应货物验收标准》《主副食品供应货物验收考核表》要求组织验收，中标供应商配送的货物有不符合要求的，采购方有权拒收质量达不到要求的货物并要求供货方重新送货：出现一次，由采购方向供货方提出口头批评；二次，采购方向供货方提出警告，供货方向采购方作出书面保证；三次，扣除该项当天出现质量达不到要求的货物的货款总价；三次以上，采购方有权解除其供货合同。供货方交售的鲜活产品如有污染或疾病的，采购方有权拒收，并可按国家有关规定处理，采购方有权更换不满意的食品。因供货方所送食品造成采购方人员食物中毒的，经卫生防疫部门鉴定，供货方</w:t>
      </w:r>
      <w:r>
        <w:rPr>
          <w:rFonts w:hint="eastAsia" w:cs="仿宋_GB2312" w:asciiTheme="minorEastAsia" w:hAnsiTheme="minorEastAsia" w:eastAsiaTheme="minorEastAsia"/>
          <w:b w:val="0"/>
          <w:bCs/>
          <w:color w:val="000000"/>
          <w:sz w:val="21"/>
          <w:szCs w:val="21"/>
          <w:lang w:eastAsia="zh-CN"/>
        </w:rPr>
        <w:t>需</w:t>
      </w:r>
      <w:r>
        <w:rPr>
          <w:rFonts w:hint="eastAsia" w:cs="仿宋_GB2312" w:asciiTheme="minorEastAsia" w:hAnsiTheme="minorEastAsia" w:eastAsiaTheme="minorEastAsia"/>
          <w:b w:val="0"/>
          <w:bCs/>
          <w:color w:val="000000"/>
          <w:sz w:val="21"/>
          <w:szCs w:val="21"/>
        </w:rPr>
        <w:t>承担一切法律责任，并终止合同。（考核标准和验收标准见附件。）</w:t>
      </w:r>
    </w:p>
    <w:p w14:paraId="04D16D0A">
      <w:pPr>
        <w:pageBreakBefore w:val="0"/>
        <w:kinsoku/>
        <w:wordWrap/>
        <w:overflowPunct/>
        <w:topLinePunct w:val="0"/>
        <w:autoSpaceDE/>
        <w:autoSpaceDN/>
        <w:bidi w:val="0"/>
        <w:spacing w:line="288" w:lineRule="auto"/>
        <w:ind w:firstLine="420" w:firstLineChars="200"/>
        <w:rPr>
          <w:rFonts w:hint="eastAsia" w:cs="仿宋_GB2312" w:asciiTheme="minorEastAsia" w:hAnsiTheme="minorEastAsia" w:eastAsiaTheme="minorEastAsia"/>
          <w:b w:val="0"/>
          <w:bCs/>
          <w:color w:val="000000"/>
          <w:sz w:val="21"/>
          <w:szCs w:val="21"/>
        </w:rPr>
      </w:pPr>
      <w:r>
        <w:rPr>
          <w:rFonts w:hint="eastAsia" w:cs="仿宋_GB2312" w:asciiTheme="minorEastAsia" w:hAnsiTheme="minorEastAsia" w:eastAsiaTheme="minorEastAsia"/>
          <w:b w:val="0"/>
          <w:bCs/>
          <w:color w:val="000000"/>
          <w:sz w:val="21"/>
          <w:szCs w:val="21"/>
        </w:rPr>
        <w:t>2、数量要求及验收要求</w:t>
      </w:r>
    </w:p>
    <w:p w14:paraId="5DEC7822">
      <w:pPr>
        <w:pageBreakBefore w:val="0"/>
        <w:kinsoku/>
        <w:wordWrap/>
        <w:overflowPunct/>
        <w:topLinePunct w:val="0"/>
        <w:autoSpaceDE/>
        <w:autoSpaceDN/>
        <w:bidi w:val="0"/>
        <w:spacing w:line="288" w:lineRule="auto"/>
        <w:ind w:firstLine="420" w:firstLineChars="200"/>
        <w:rPr>
          <w:rFonts w:hint="eastAsia" w:cs="仿宋_GB2312" w:asciiTheme="minorEastAsia" w:hAnsiTheme="minorEastAsia" w:eastAsiaTheme="minorEastAsia"/>
          <w:b w:val="0"/>
          <w:bCs/>
          <w:color w:val="000000"/>
          <w:sz w:val="21"/>
          <w:szCs w:val="21"/>
        </w:rPr>
      </w:pPr>
      <w:r>
        <w:rPr>
          <w:rFonts w:hint="eastAsia" w:cs="仿宋_GB2312" w:asciiTheme="minorEastAsia" w:hAnsiTheme="minorEastAsia" w:eastAsiaTheme="minorEastAsia"/>
          <w:b w:val="0"/>
          <w:bCs/>
          <w:color w:val="000000"/>
          <w:sz w:val="21"/>
          <w:szCs w:val="21"/>
        </w:rPr>
        <w:t>食品数量不能弄虚作假，</w:t>
      </w:r>
      <w:r>
        <w:rPr>
          <w:rFonts w:hint="eastAsia" w:cs="仿宋_GB2312" w:asciiTheme="minorEastAsia" w:hAnsiTheme="minorEastAsia" w:eastAsiaTheme="minorEastAsia"/>
          <w:b w:val="0"/>
          <w:bCs/>
          <w:color w:val="000000"/>
          <w:sz w:val="21"/>
          <w:szCs w:val="21"/>
          <w:lang w:eastAsia="zh-CN"/>
        </w:rPr>
        <w:t>需</w:t>
      </w:r>
      <w:r>
        <w:rPr>
          <w:rFonts w:hint="eastAsia" w:cs="仿宋_GB2312" w:asciiTheme="minorEastAsia" w:hAnsiTheme="minorEastAsia" w:eastAsiaTheme="minorEastAsia"/>
          <w:b w:val="0"/>
          <w:bCs/>
          <w:color w:val="000000"/>
          <w:sz w:val="21"/>
          <w:szCs w:val="21"/>
        </w:rPr>
        <w:t>保证配送品种斤两的准确性，以采购单位的验货数量为准，中标供应商每次随货送上一式两份的送货清单,供双方验货后签字确认，双方各持一份，作为送、收货的凭证。</w:t>
      </w:r>
    </w:p>
    <w:p w14:paraId="6403545E">
      <w:pPr>
        <w:pageBreakBefore w:val="0"/>
        <w:kinsoku/>
        <w:wordWrap/>
        <w:overflowPunct/>
        <w:topLinePunct w:val="0"/>
        <w:autoSpaceDE/>
        <w:autoSpaceDN/>
        <w:bidi w:val="0"/>
        <w:spacing w:line="288" w:lineRule="auto"/>
        <w:ind w:firstLine="420" w:firstLineChars="200"/>
        <w:rPr>
          <w:rFonts w:hint="eastAsia" w:cs="仿宋_GB2312" w:asciiTheme="minorEastAsia" w:hAnsiTheme="minorEastAsia" w:eastAsiaTheme="minorEastAsia"/>
          <w:b w:val="0"/>
          <w:bCs/>
          <w:color w:val="000000"/>
          <w:sz w:val="21"/>
          <w:szCs w:val="21"/>
        </w:rPr>
      </w:pPr>
      <w:r>
        <w:rPr>
          <w:rFonts w:hint="eastAsia" w:cs="仿宋_GB2312" w:asciiTheme="minorEastAsia" w:hAnsiTheme="minorEastAsia" w:eastAsiaTheme="minorEastAsia"/>
          <w:b w:val="0"/>
          <w:bCs/>
          <w:color w:val="000000"/>
          <w:sz w:val="21"/>
          <w:szCs w:val="21"/>
        </w:rPr>
        <w:t>3、送货时间要求及送货地点</w:t>
      </w:r>
    </w:p>
    <w:p w14:paraId="790DAD4F">
      <w:pPr>
        <w:pageBreakBefore w:val="0"/>
        <w:kinsoku/>
        <w:wordWrap/>
        <w:overflowPunct/>
        <w:topLinePunct w:val="0"/>
        <w:autoSpaceDE/>
        <w:autoSpaceDN/>
        <w:bidi w:val="0"/>
        <w:spacing w:line="288" w:lineRule="auto"/>
        <w:ind w:firstLine="420" w:firstLineChars="200"/>
        <w:rPr>
          <w:rFonts w:hint="eastAsia" w:cs="仿宋_GB2312" w:asciiTheme="minorEastAsia" w:hAnsiTheme="minorEastAsia" w:eastAsiaTheme="minorEastAsia"/>
          <w:b w:val="0"/>
          <w:bCs/>
          <w:color w:val="000000"/>
          <w:sz w:val="21"/>
          <w:szCs w:val="21"/>
        </w:rPr>
      </w:pPr>
      <w:r>
        <w:rPr>
          <w:rFonts w:hint="eastAsia" w:cs="仿宋_GB2312" w:asciiTheme="minorEastAsia" w:hAnsiTheme="minorEastAsia" w:eastAsiaTheme="minorEastAsia"/>
          <w:b w:val="0"/>
          <w:bCs/>
          <w:color w:val="000000"/>
          <w:sz w:val="21"/>
          <w:szCs w:val="21"/>
        </w:rPr>
        <w:t>中标供应商将采购人所订的货物于当地上午</w:t>
      </w:r>
      <w:r>
        <w:rPr>
          <w:rFonts w:hint="eastAsia" w:cs="仿宋_GB2312" w:asciiTheme="minorEastAsia" w:hAnsiTheme="minorEastAsia" w:eastAsiaTheme="minorEastAsia"/>
          <w:b w:val="0"/>
          <w:bCs/>
          <w:color w:val="000000"/>
          <w:sz w:val="21"/>
          <w:szCs w:val="21"/>
          <w:lang w:val="en-US" w:eastAsia="zh-CN"/>
        </w:rPr>
        <w:t>5</w:t>
      </w:r>
      <w:r>
        <w:rPr>
          <w:rFonts w:hint="eastAsia" w:cs="仿宋_GB2312" w:asciiTheme="minorEastAsia" w:hAnsiTheme="minorEastAsia" w:eastAsiaTheme="minorEastAsia"/>
          <w:b w:val="0"/>
          <w:bCs/>
          <w:color w:val="000000"/>
          <w:sz w:val="21"/>
          <w:szCs w:val="21"/>
        </w:rPr>
        <w:t>:</w:t>
      </w:r>
      <w:r>
        <w:rPr>
          <w:rFonts w:hint="eastAsia" w:cs="仿宋_GB2312" w:asciiTheme="minorEastAsia" w:hAnsiTheme="minorEastAsia" w:eastAsiaTheme="minorEastAsia"/>
          <w:b w:val="0"/>
          <w:bCs/>
          <w:color w:val="000000"/>
          <w:sz w:val="21"/>
          <w:szCs w:val="21"/>
          <w:lang w:val="en-US" w:eastAsia="zh-CN"/>
        </w:rPr>
        <w:t>30</w:t>
      </w:r>
      <w:r>
        <w:rPr>
          <w:rFonts w:hint="eastAsia" w:cs="仿宋_GB2312" w:asciiTheme="minorEastAsia" w:hAnsiTheme="minorEastAsia" w:eastAsiaTheme="minorEastAsia"/>
          <w:b w:val="0"/>
          <w:bCs/>
          <w:color w:val="000000"/>
          <w:sz w:val="21"/>
          <w:szCs w:val="21"/>
        </w:rPr>
        <w:t>前送至采购方指定地点（如遇特殊情况，采购方可以改变送货时间，但应提前通知供货方）。如货物不符合验收要求，供应商</w:t>
      </w:r>
      <w:r>
        <w:rPr>
          <w:rFonts w:hint="eastAsia" w:cs="仿宋_GB2312" w:asciiTheme="minorEastAsia" w:hAnsiTheme="minorEastAsia" w:eastAsiaTheme="minorEastAsia"/>
          <w:b w:val="0"/>
          <w:bCs/>
          <w:color w:val="000000"/>
          <w:sz w:val="21"/>
          <w:szCs w:val="21"/>
          <w:lang w:eastAsia="zh-CN"/>
        </w:rPr>
        <w:t>需</w:t>
      </w:r>
      <w:r>
        <w:rPr>
          <w:rFonts w:hint="eastAsia" w:cs="仿宋_GB2312" w:asciiTheme="minorEastAsia" w:hAnsiTheme="minorEastAsia" w:eastAsiaTheme="minorEastAsia"/>
          <w:b w:val="0"/>
          <w:bCs/>
          <w:color w:val="000000"/>
          <w:sz w:val="21"/>
          <w:szCs w:val="21"/>
        </w:rPr>
        <w:t>于一个小时内重新送货上门。</w:t>
      </w:r>
    </w:p>
    <w:p w14:paraId="07FB0BD5">
      <w:pPr>
        <w:pageBreakBefore w:val="0"/>
        <w:kinsoku/>
        <w:wordWrap/>
        <w:overflowPunct/>
        <w:topLinePunct w:val="0"/>
        <w:autoSpaceDE/>
        <w:autoSpaceDN/>
        <w:bidi w:val="0"/>
        <w:spacing w:line="288" w:lineRule="auto"/>
        <w:ind w:firstLine="420" w:firstLineChars="200"/>
        <w:rPr>
          <w:rFonts w:hint="eastAsia" w:cs="仿宋_GB2312" w:asciiTheme="minorEastAsia" w:hAnsiTheme="minorEastAsia" w:eastAsiaTheme="minorEastAsia"/>
          <w:b w:val="0"/>
          <w:bCs/>
          <w:color w:val="000000"/>
          <w:sz w:val="21"/>
          <w:szCs w:val="21"/>
        </w:rPr>
      </w:pPr>
      <w:r>
        <w:rPr>
          <w:rFonts w:hint="eastAsia" w:cs="仿宋_GB2312" w:asciiTheme="minorEastAsia" w:hAnsiTheme="minorEastAsia" w:eastAsiaTheme="minorEastAsia"/>
          <w:b w:val="0"/>
          <w:bCs/>
          <w:color w:val="000000"/>
          <w:sz w:val="21"/>
          <w:szCs w:val="21"/>
        </w:rPr>
        <w:t>中标供应商如送货迟到一次采购单位应提出口头警告，并要求作出书面保证,两次迟到或者一次迟到30分钟以上的扣罚当天总货款的10%，三次迟到或者两次迟到30分钟以上，采购单位可解除其供货合同。</w:t>
      </w:r>
    </w:p>
    <w:p w14:paraId="5CD4BEA3">
      <w:pPr>
        <w:pageBreakBefore w:val="0"/>
        <w:kinsoku/>
        <w:wordWrap/>
        <w:overflowPunct/>
        <w:topLinePunct w:val="0"/>
        <w:autoSpaceDE/>
        <w:autoSpaceDN/>
        <w:bidi w:val="0"/>
        <w:spacing w:line="288" w:lineRule="auto"/>
        <w:ind w:firstLine="422" w:firstLineChars="200"/>
        <w:rPr>
          <w:rFonts w:hint="eastAsia" w:cs="仿宋_GB2312" w:asciiTheme="minorEastAsia" w:hAnsiTheme="minorEastAsia" w:eastAsiaTheme="minorEastAsia"/>
          <w:b w:val="0"/>
          <w:bCs/>
          <w:color w:val="FF0000"/>
          <w:sz w:val="21"/>
          <w:szCs w:val="21"/>
          <w:highlight w:val="yellow"/>
        </w:rPr>
      </w:pPr>
      <w:r>
        <w:rPr>
          <w:rFonts w:hint="eastAsia" w:asciiTheme="minorEastAsia" w:hAnsiTheme="minorEastAsia" w:eastAsiaTheme="minorEastAsia"/>
          <w:b/>
          <w:bCs/>
          <w:color w:val="FF0000"/>
          <w:kern w:val="0"/>
          <w:sz w:val="21"/>
          <w:szCs w:val="21"/>
          <w:highlight w:val="yellow"/>
        </w:rPr>
        <w:t>★</w:t>
      </w:r>
      <w:r>
        <w:rPr>
          <w:rFonts w:hint="eastAsia" w:cs="仿宋_GB2312" w:asciiTheme="minorEastAsia" w:hAnsiTheme="minorEastAsia" w:eastAsiaTheme="minorEastAsia"/>
          <w:b w:val="0"/>
          <w:bCs/>
          <w:color w:val="FF0000"/>
          <w:sz w:val="21"/>
          <w:szCs w:val="21"/>
          <w:highlight w:val="yellow"/>
          <w:lang w:val="en-US" w:eastAsia="zh-CN"/>
        </w:rPr>
        <w:t>4、</w:t>
      </w:r>
      <w:r>
        <w:rPr>
          <w:rFonts w:hint="eastAsia" w:cs="仿宋_GB2312" w:asciiTheme="minorEastAsia" w:hAnsiTheme="minorEastAsia" w:eastAsiaTheme="minorEastAsia"/>
          <w:b w:val="0"/>
          <w:bCs/>
          <w:color w:val="FF0000"/>
          <w:sz w:val="21"/>
          <w:szCs w:val="21"/>
          <w:highlight w:val="yellow"/>
        </w:rPr>
        <w:t>配送食材可通过“深圳市食品安全追溯系统”全面、及时、准确上传追溯信息，确保相关品名、规格、批次等数据真实完整，确保配送食材来源可溯、质量可控。</w:t>
      </w:r>
    </w:p>
    <w:p w14:paraId="5EA9BF7C">
      <w:pPr>
        <w:pageBreakBefore w:val="0"/>
        <w:kinsoku/>
        <w:wordWrap/>
        <w:overflowPunct/>
        <w:topLinePunct w:val="0"/>
        <w:autoSpaceDE/>
        <w:autoSpaceDN/>
        <w:bidi w:val="0"/>
        <w:spacing w:line="288" w:lineRule="auto"/>
        <w:ind w:firstLine="422" w:firstLineChars="200"/>
        <w:rPr>
          <w:rFonts w:hint="eastAsia" w:cs="仿宋_GB2312" w:asciiTheme="minorEastAsia" w:hAnsiTheme="minorEastAsia" w:eastAsiaTheme="minorEastAsia"/>
          <w:b w:val="0"/>
          <w:bCs/>
          <w:color w:val="FF0000"/>
          <w:sz w:val="21"/>
          <w:szCs w:val="21"/>
          <w:highlight w:val="yellow"/>
        </w:rPr>
      </w:pPr>
      <w:r>
        <w:rPr>
          <w:rFonts w:hint="eastAsia" w:asciiTheme="minorEastAsia" w:hAnsiTheme="minorEastAsia" w:eastAsiaTheme="minorEastAsia"/>
          <w:b/>
          <w:bCs/>
          <w:color w:val="FF0000"/>
          <w:kern w:val="0"/>
          <w:sz w:val="21"/>
          <w:szCs w:val="21"/>
          <w:highlight w:val="yellow"/>
        </w:rPr>
        <w:t>★</w:t>
      </w:r>
      <w:r>
        <w:rPr>
          <w:rFonts w:hint="eastAsia" w:cs="仿宋_GB2312" w:asciiTheme="minorEastAsia" w:hAnsiTheme="minorEastAsia" w:eastAsiaTheme="minorEastAsia"/>
          <w:b w:val="0"/>
          <w:bCs/>
          <w:color w:val="FF0000"/>
          <w:sz w:val="21"/>
          <w:szCs w:val="21"/>
          <w:highlight w:val="yellow"/>
          <w:lang w:val="en-US" w:eastAsia="zh-CN"/>
        </w:rPr>
        <w:t>5、</w:t>
      </w:r>
      <w:r>
        <w:rPr>
          <w:rFonts w:hint="eastAsia" w:cs="仿宋_GB2312" w:asciiTheme="minorEastAsia" w:hAnsiTheme="minorEastAsia" w:eastAsiaTheme="minorEastAsia"/>
          <w:b w:val="0"/>
          <w:bCs/>
          <w:color w:val="FF0000"/>
          <w:sz w:val="21"/>
          <w:szCs w:val="21"/>
          <w:highlight w:val="yellow"/>
        </w:rPr>
        <w:t>中标供应商需通过深圳市学校食堂智慧管理平台处理学校食材订单并按合同供货，满足学校食堂智慧化管理需要。</w:t>
      </w:r>
    </w:p>
    <w:p w14:paraId="355CC263">
      <w:pPr>
        <w:pageBreakBefore w:val="0"/>
        <w:kinsoku/>
        <w:wordWrap/>
        <w:overflowPunct/>
        <w:topLinePunct w:val="0"/>
        <w:autoSpaceDE/>
        <w:autoSpaceDN/>
        <w:bidi w:val="0"/>
        <w:spacing w:line="288" w:lineRule="auto"/>
        <w:ind w:firstLine="422" w:firstLineChars="200"/>
        <w:rPr>
          <w:rFonts w:hint="eastAsia" w:cs="仿宋_GB2312" w:asciiTheme="minorEastAsia" w:hAnsiTheme="minorEastAsia" w:eastAsiaTheme="minorEastAsia"/>
          <w:b w:val="0"/>
          <w:bCs/>
          <w:color w:val="FF0000"/>
          <w:sz w:val="21"/>
          <w:szCs w:val="21"/>
          <w:highlight w:val="yellow"/>
        </w:rPr>
      </w:pPr>
      <w:r>
        <w:rPr>
          <w:rFonts w:hint="eastAsia" w:asciiTheme="minorEastAsia" w:hAnsiTheme="minorEastAsia" w:eastAsiaTheme="minorEastAsia"/>
          <w:b/>
          <w:bCs/>
          <w:color w:val="FF0000"/>
          <w:kern w:val="0"/>
          <w:sz w:val="21"/>
          <w:szCs w:val="21"/>
          <w:highlight w:val="yellow"/>
        </w:rPr>
        <w:t>★</w:t>
      </w:r>
      <w:r>
        <w:rPr>
          <w:rFonts w:hint="eastAsia" w:cs="仿宋_GB2312" w:asciiTheme="minorEastAsia" w:hAnsiTheme="minorEastAsia" w:eastAsiaTheme="minorEastAsia"/>
          <w:b w:val="0"/>
          <w:bCs/>
          <w:color w:val="FF0000"/>
          <w:sz w:val="21"/>
          <w:szCs w:val="21"/>
          <w:highlight w:val="yellow"/>
          <w:lang w:val="en-US" w:eastAsia="zh-CN"/>
        </w:rPr>
        <w:t>6、</w:t>
      </w:r>
      <w:r>
        <w:rPr>
          <w:rFonts w:hint="eastAsia" w:cs="仿宋_GB2312" w:asciiTheme="minorEastAsia" w:hAnsiTheme="minorEastAsia" w:eastAsiaTheme="minorEastAsia"/>
          <w:b w:val="0"/>
          <w:bCs/>
          <w:color w:val="FF0000"/>
          <w:sz w:val="21"/>
          <w:szCs w:val="21"/>
          <w:highlight w:val="yellow"/>
        </w:rPr>
        <w:t>投标人能够为采购人提供相关软件支持服务，保证与深圳市中农数据有限公司食堂采配平台（天天采配）及采购单位的信息化对接，实现系统下单及结算。</w:t>
      </w:r>
    </w:p>
    <w:p w14:paraId="130B48DC">
      <w:pPr>
        <w:pageBreakBefore w:val="0"/>
        <w:kinsoku/>
        <w:wordWrap/>
        <w:overflowPunct/>
        <w:topLinePunct w:val="0"/>
        <w:autoSpaceDE/>
        <w:autoSpaceDN/>
        <w:bidi w:val="0"/>
        <w:spacing w:line="288" w:lineRule="auto"/>
        <w:ind w:firstLine="422" w:firstLineChars="200"/>
        <w:rPr>
          <w:rFonts w:hint="eastAsia" w:cs="仿宋_GB2312" w:asciiTheme="minorEastAsia" w:hAnsiTheme="minorEastAsia" w:eastAsiaTheme="minorEastAsia"/>
          <w:b w:val="0"/>
          <w:bCs/>
          <w:color w:val="FF0000"/>
          <w:sz w:val="21"/>
          <w:szCs w:val="21"/>
          <w:highlight w:val="yellow"/>
        </w:rPr>
      </w:pPr>
      <w:r>
        <w:rPr>
          <w:rFonts w:hint="eastAsia" w:asciiTheme="minorEastAsia" w:hAnsiTheme="minorEastAsia" w:eastAsiaTheme="minorEastAsia"/>
          <w:b/>
          <w:bCs/>
          <w:color w:val="FF0000"/>
          <w:kern w:val="0"/>
          <w:sz w:val="21"/>
          <w:szCs w:val="21"/>
          <w:highlight w:val="yellow"/>
        </w:rPr>
        <w:t>★</w:t>
      </w:r>
      <w:r>
        <w:rPr>
          <w:rFonts w:hint="eastAsia" w:cs="仿宋_GB2312" w:asciiTheme="minorEastAsia" w:hAnsiTheme="minorEastAsia" w:eastAsiaTheme="minorEastAsia"/>
          <w:b w:val="0"/>
          <w:bCs/>
          <w:color w:val="FF0000"/>
          <w:sz w:val="21"/>
          <w:szCs w:val="21"/>
          <w:highlight w:val="yellow"/>
          <w:lang w:val="en-US" w:eastAsia="zh-CN"/>
        </w:rPr>
        <w:t>7、</w:t>
      </w:r>
      <w:r>
        <w:rPr>
          <w:rFonts w:hint="eastAsia" w:cs="仿宋_GB2312" w:asciiTheme="minorEastAsia" w:hAnsiTheme="minorEastAsia" w:eastAsiaTheme="minorEastAsia"/>
          <w:b w:val="0"/>
          <w:bCs/>
          <w:color w:val="FF0000"/>
          <w:sz w:val="21"/>
          <w:szCs w:val="21"/>
          <w:highlight w:val="yellow"/>
        </w:rPr>
        <w:t>中标供应商需根据配送食材具体情况提供对应的检测报告，为方便学校管理要求，检测报告需做好品类索引。</w:t>
      </w:r>
    </w:p>
    <w:p w14:paraId="0DE112DA">
      <w:pPr>
        <w:pageBreakBefore w:val="0"/>
        <w:kinsoku/>
        <w:wordWrap/>
        <w:overflowPunct/>
        <w:topLinePunct w:val="0"/>
        <w:autoSpaceDE/>
        <w:autoSpaceDN/>
        <w:bidi w:val="0"/>
        <w:spacing w:line="288" w:lineRule="auto"/>
        <w:ind w:firstLine="422" w:firstLineChars="200"/>
        <w:rPr>
          <w:rFonts w:hint="eastAsia" w:cs="仿宋_GB2312" w:asciiTheme="minorEastAsia" w:hAnsiTheme="minorEastAsia" w:eastAsiaTheme="minorEastAsia"/>
          <w:b w:val="0"/>
          <w:bCs/>
          <w:color w:val="FF0000"/>
          <w:sz w:val="21"/>
          <w:szCs w:val="21"/>
          <w:highlight w:val="yellow"/>
        </w:rPr>
      </w:pPr>
      <w:r>
        <w:rPr>
          <w:rFonts w:hint="eastAsia" w:asciiTheme="minorEastAsia" w:hAnsiTheme="minorEastAsia" w:eastAsiaTheme="minorEastAsia"/>
          <w:b/>
          <w:bCs/>
          <w:color w:val="FF0000"/>
          <w:kern w:val="0"/>
          <w:sz w:val="21"/>
          <w:szCs w:val="21"/>
          <w:highlight w:val="yellow"/>
        </w:rPr>
        <w:t>★</w:t>
      </w:r>
      <w:r>
        <w:rPr>
          <w:rFonts w:hint="eastAsia" w:cs="仿宋_GB2312" w:asciiTheme="minorEastAsia" w:hAnsiTheme="minorEastAsia" w:eastAsiaTheme="minorEastAsia"/>
          <w:b w:val="0"/>
          <w:bCs/>
          <w:color w:val="FF0000"/>
          <w:sz w:val="21"/>
          <w:szCs w:val="21"/>
          <w:highlight w:val="yellow"/>
          <w:lang w:val="en-US" w:eastAsia="zh-CN"/>
        </w:rPr>
        <w:t>8、</w:t>
      </w:r>
      <w:r>
        <w:rPr>
          <w:rFonts w:hint="eastAsia" w:cs="仿宋_GB2312" w:asciiTheme="minorEastAsia" w:hAnsiTheme="minorEastAsia" w:eastAsiaTheme="minorEastAsia"/>
          <w:b w:val="0"/>
          <w:bCs/>
          <w:color w:val="FF0000"/>
          <w:sz w:val="21"/>
          <w:szCs w:val="21"/>
          <w:highlight w:val="yellow"/>
        </w:rPr>
        <w:t>中标供应商提供配送服务的车辆需符合合法上路的要求，签订合同前需提供服务车辆的道路运输证或道路运输经营许可证作为证明材料。</w:t>
      </w:r>
    </w:p>
    <w:p w14:paraId="2DAC14FD">
      <w:pPr>
        <w:pageBreakBefore w:val="0"/>
        <w:kinsoku/>
        <w:wordWrap/>
        <w:overflowPunct/>
        <w:topLinePunct w:val="0"/>
        <w:autoSpaceDE/>
        <w:autoSpaceDN/>
        <w:bidi w:val="0"/>
        <w:spacing w:line="288" w:lineRule="auto"/>
        <w:ind w:firstLine="422" w:firstLineChars="200"/>
        <w:rPr>
          <w:rFonts w:hint="eastAsia" w:cs="仿宋_GB2312" w:asciiTheme="minorEastAsia" w:hAnsiTheme="minorEastAsia" w:eastAsiaTheme="minorEastAsia"/>
          <w:b w:val="0"/>
          <w:bCs/>
          <w:color w:val="FF0000"/>
          <w:sz w:val="21"/>
          <w:szCs w:val="21"/>
          <w:highlight w:val="yellow"/>
        </w:rPr>
      </w:pPr>
      <w:r>
        <w:rPr>
          <w:rFonts w:hint="eastAsia" w:asciiTheme="minorEastAsia" w:hAnsiTheme="minorEastAsia" w:eastAsiaTheme="minorEastAsia"/>
          <w:b/>
          <w:bCs/>
          <w:color w:val="FF0000"/>
          <w:kern w:val="0"/>
          <w:sz w:val="21"/>
          <w:szCs w:val="21"/>
          <w:highlight w:val="yellow"/>
        </w:rPr>
        <w:t>★</w:t>
      </w:r>
      <w:r>
        <w:rPr>
          <w:rFonts w:hint="eastAsia" w:cs="仿宋_GB2312" w:asciiTheme="minorEastAsia" w:hAnsiTheme="minorEastAsia" w:eastAsiaTheme="minorEastAsia"/>
          <w:b w:val="0"/>
          <w:bCs/>
          <w:color w:val="FF0000"/>
          <w:sz w:val="21"/>
          <w:szCs w:val="21"/>
          <w:highlight w:val="yellow"/>
          <w:lang w:val="en-US" w:eastAsia="zh-CN"/>
        </w:rPr>
        <w:t>9、</w:t>
      </w:r>
      <w:r>
        <w:rPr>
          <w:rFonts w:hint="eastAsia" w:cs="仿宋_GB2312" w:asciiTheme="minorEastAsia" w:hAnsiTheme="minorEastAsia" w:eastAsiaTheme="minorEastAsia"/>
          <w:b w:val="0"/>
          <w:bCs/>
          <w:color w:val="FF0000"/>
          <w:sz w:val="21"/>
          <w:szCs w:val="21"/>
          <w:highlight w:val="yellow"/>
        </w:rPr>
        <w:t>因配送运输中出现人身安全事故，中标供应商独立承担一切刑事、民事责任，与采购人、学校无关。</w:t>
      </w:r>
    </w:p>
    <w:p w14:paraId="38F54C17">
      <w:pPr>
        <w:spacing w:line="288" w:lineRule="auto"/>
        <w:ind w:firstLine="420" w:firstLineChars="200"/>
        <w:rPr>
          <w:rFonts w:hint="eastAsia" w:cs="仿宋_GB2312" w:asciiTheme="minorEastAsia" w:hAnsiTheme="minorEastAsia" w:eastAsiaTheme="minorEastAsia"/>
          <w:b w:val="0"/>
          <w:bCs/>
          <w:color w:val="FF0000"/>
          <w:kern w:val="2"/>
          <w:szCs w:val="21"/>
          <w:highlight w:val="yellow"/>
        </w:rPr>
      </w:pPr>
      <w:r>
        <w:rPr>
          <w:rFonts w:hint="eastAsia" w:cs="仿宋_GB2312" w:asciiTheme="minorEastAsia" w:hAnsiTheme="minorEastAsia" w:eastAsiaTheme="minorEastAsia"/>
          <w:b w:val="0"/>
          <w:bCs/>
          <w:color w:val="FF0000"/>
          <w:kern w:val="2"/>
          <w:sz w:val="21"/>
          <w:szCs w:val="21"/>
          <w:highlight w:val="yellow"/>
        </w:rPr>
        <w:t>★</w:t>
      </w:r>
      <w:r>
        <w:rPr>
          <w:rFonts w:hint="eastAsia" w:cs="仿宋_GB2312" w:asciiTheme="minorEastAsia" w:hAnsiTheme="minorEastAsia" w:eastAsiaTheme="minorEastAsia"/>
          <w:b w:val="0"/>
          <w:bCs/>
          <w:color w:val="FF0000"/>
          <w:kern w:val="2"/>
          <w:szCs w:val="21"/>
          <w:highlight w:val="yellow"/>
          <w:lang w:val="en-US" w:eastAsia="zh-CN"/>
        </w:rPr>
        <w:t>10.</w:t>
      </w:r>
      <w:r>
        <w:rPr>
          <w:rFonts w:hint="eastAsia" w:cs="仿宋_GB2312" w:asciiTheme="minorEastAsia" w:hAnsiTheme="minorEastAsia" w:eastAsiaTheme="minorEastAsia"/>
          <w:b w:val="0"/>
          <w:bCs/>
          <w:color w:val="FF0000"/>
          <w:kern w:val="2"/>
          <w:szCs w:val="21"/>
          <w:highlight w:val="yellow"/>
        </w:rPr>
        <w:t>供应商必须开通深圳市中农数据有限公司（天天采购平台）</w:t>
      </w:r>
      <w:r>
        <w:rPr>
          <w:rFonts w:hint="eastAsia" w:cs="仿宋_GB2312" w:asciiTheme="minorEastAsia" w:hAnsiTheme="minorEastAsia" w:eastAsiaTheme="minorEastAsia"/>
          <w:bCs/>
          <w:color w:val="FF0000"/>
          <w:kern w:val="2"/>
          <w:sz w:val="21"/>
          <w:szCs w:val="21"/>
          <w:highlight w:val="yellow"/>
        </w:rPr>
        <w:t>报价授权码Keyid账号对接“深圳市学校食堂智慧管理平台”，实现学校采购管理所需的货品查询、价格比对、商品下单、货品统计、送货清单及报账清单打印等，由此产生的中农授权码Keyid账号使用费用由中标供应商承担，投标人在投标时须充分考虑此项成本。</w:t>
      </w:r>
    </w:p>
    <w:p w14:paraId="4515AA6B">
      <w:pPr>
        <w:pageBreakBefore w:val="0"/>
        <w:kinsoku/>
        <w:wordWrap/>
        <w:overflowPunct/>
        <w:topLinePunct w:val="0"/>
        <w:autoSpaceDE/>
        <w:autoSpaceDN/>
        <w:bidi w:val="0"/>
        <w:adjustRightInd/>
        <w:spacing w:line="288" w:lineRule="auto"/>
        <w:ind w:firstLine="422" w:firstLineChars="200"/>
        <w:rPr>
          <w:rFonts w:hint="eastAsia" w:cs="Times New Roman" w:asciiTheme="minorEastAsia" w:hAnsiTheme="minorEastAsia" w:eastAsiaTheme="minorEastAsia"/>
          <w:b w:val="0"/>
          <w:bCs w:val="0"/>
          <w:color w:val="FF0000"/>
          <w:kern w:val="0"/>
          <w:sz w:val="21"/>
          <w:szCs w:val="21"/>
          <w:highlight w:val="yellow"/>
        </w:rPr>
      </w:pPr>
      <w:r>
        <w:rPr>
          <w:rFonts w:hint="eastAsia" w:asciiTheme="minorEastAsia" w:hAnsiTheme="minorEastAsia" w:eastAsiaTheme="minorEastAsia"/>
          <w:b/>
          <w:bCs/>
          <w:color w:val="FF0000"/>
          <w:kern w:val="0"/>
          <w:sz w:val="21"/>
          <w:szCs w:val="21"/>
          <w:highlight w:val="yellow"/>
        </w:rPr>
        <w:t>★</w:t>
      </w:r>
      <w:r>
        <w:rPr>
          <w:rFonts w:hint="eastAsia" w:cs="Times New Roman" w:asciiTheme="minorEastAsia" w:hAnsiTheme="minorEastAsia" w:eastAsiaTheme="minorEastAsia"/>
          <w:b w:val="0"/>
          <w:bCs w:val="0"/>
          <w:color w:val="FF0000"/>
          <w:kern w:val="0"/>
          <w:szCs w:val="21"/>
          <w:highlight w:val="yellow"/>
          <w:lang w:val="en-US" w:eastAsia="zh-CN"/>
        </w:rPr>
        <w:t>11.</w:t>
      </w:r>
      <w:r>
        <w:rPr>
          <w:rFonts w:hint="eastAsia" w:cs="Times New Roman" w:asciiTheme="minorEastAsia" w:hAnsiTheme="minorEastAsia" w:eastAsiaTheme="minorEastAsia"/>
          <w:b w:val="0"/>
          <w:bCs w:val="0"/>
          <w:color w:val="FF0000"/>
          <w:kern w:val="0"/>
          <w:sz w:val="21"/>
          <w:szCs w:val="21"/>
          <w:highlight w:val="yellow"/>
        </w:rPr>
        <w:t>每天派</w:t>
      </w:r>
      <w:r>
        <w:rPr>
          <w:rFonts w:hint="eastAsia" w:cs="Times New Roman" w:asciiTheme="minorEastAsia" w:hAnsiTheme="minorEastAsia" w:eastAsiaTheme="minorEastAsia"/>
          <w:b w:val="0"/>
          <w:bCs w:val="0"/>
          <w:color w:val="FF0000"/>
          <w:kern w:val="0"/>
          <w:sz w:val="21"/>
          <w:szCs w:val="21"/>
          <w:highlight w:val="yellow"/>
          <w:lang w:val="en-US" w:eastAsia="zh-CN"/>
        </w:rPr>
        <w:t>1</w:t>
      </w:r>
      <w:r>
        <w:rPr>
          <w:rFonts w:hint="eastAsia" w:cs="Times New Roman" w:asciiTheme="minorEastAsia" w:hAnsiTheme="minorEastAsia" w:eastAsiaTheme="minorEastAsia"/>
          <w:b w:val="0"/>
          <w:bCs w:val="0"/>
          <w:color w:val="FF0000"/>
          <w:kern w:val="0"/>
          <w:sz w:val="21"/>
          <w:szCs w:val="21"/>
          <w:highlight w:val="yellow"/>
        </w:rPr>
        <w:t>名专门人员负责完成当天菜品的洗、切等</w:t>
      </w:r>
      <w:r>
        <w:rPr>
          <w:rFonts w:hint="eastAsia" w:cs="Times New Roman" w:asciiTheme="minorEastAsia" w:hAnsiTheme="minorEastAsia" w:eastAsiaTheme="minorEastAsia"/>
          <w:b w:val="0"/>
          <w:bCs w:val="0"/>
          <w:color w:val="FF0000"/>
          <w:kern w:val="0"/>
          <w:sz w:val="21"/>
          <w:szCs w:val="21"/>
          <w:highlight w:val="yellow"/>
          <w:lang w:val="en-US" w:eastAsia="zh-CN"/>
        </w:rPr>
        <w:t>粗</w:t>
      </w:r>
      <w:r>
        <w:rPr>
          <w:rFonts w:hint="eastAsia" w:cs="Times New Roman" w:asciiTheme="minorEastAsia" w:hAnsiTheme="minorEastAsia" w:eastAsiaTheme="minorEastAsia"/>
          <w:b w:val="0"/>
          <w:bCs w:val="0"/>
          <w:color w:val="FF0000"/>
          <w:kern w:val="0"/>
          <w:sz w:val="21"/>
          <w:szCs w:val="21"/>
          <w:highlight w:val="yellow"/>
        </w:rPr>
        <w:t>加工事宜。派驻员工应相对固定，如更换，需事先通知采购人并获得认可。</w:t>
      </w:r>
    </w:p>
    <w:p w14:paraId="05E7259E">
      <w:pPr>
        <w:pageBreakBefore w:val="0"/>
        <w:kinsoku/>
        <w:wordWrap/>
        <w:overflowPunct/>
        <w:topLinePunct w:val="0"/>
        <w:autoSpaceDE/>
        <w:autoSpaceDN/>
        <w:bidi w:val="0"/>
        <w:snapToGrid w:val="0"/>
        <w:spacing w:line="288" w:lineRule="auto"/>
        <w:ind w:firstLine="420" w:firstLineChars="200"/>
        <w:textAlignment w:val="baseline"/>
        <w:rPr>
          <w:rFonts w:ascii="宋体" w:hAnsi="宋体" w:cs="宋体"/>
          <w:sz w:val="21"/>
          <w:szCs w:val="21"/>
        </w:rPr>
      </w:pPr>
    </w:p>
    <w:p w14:paraId="553239F7">
      <w:pPr>
        <w:pageBreakBefore w:val="0"/>
        <w:kinsoku/>
        <w:wordWrap/>
        <w:overflowPunct/>
        <w:topLinePunct w:val="0"/>
        <w:autoSpaceDE/>
        <w:autoSpaceDN/>
        <w:bidi w:val="0"/>
        <w:snapToGrid w:val="0"/>
        <w:spacing w:line="288" w:lineRule="auto"/>
        <w:jc w:val="center"/>
        <w:rPr>
          <w:rFonts w:ascii="宋体" w:hAnsi="宋体"/>
          <w:b/>
          <w:sz w:val="21"/>
          <w:szCs w:val="21"/>
          <w:highlight w:val="yellow"/>
        </w:rPr>
      </w:pPr>
      <w:r>
        <w:rPr>
          <w:rFonts w:hint="eastAsia" w:ascii="宋体" w:hAnsi="宋体"/>
          <w:b/>
          <w:sz w:val="21"/>
          <w:szCs w:val="21"/>
        </w:rPr>
        <w:t>项目人员需求一览表</w:t>
      </w:r>
    </w:p>
    <w:tbl>
      <w:tblPr>
        <w:tblStyle w:val="44"/>
        <w:tblW w:w="51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679"/>
        <w:gridCol w:w="961"/>
        <w:gridCol w:w="1995"/>
        <w:gridCol w:w="3365"/>
      </w:tblGrid>
      <w:tr w14:paraId="4836E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10" w:type="pct"/>
            <w:vAlign w:val="center"/>
          </w:tcPr>
          <w:p w14:paraId="7C01395D">
            <w:pPr>
              <w:pageBreakBefore w:val="0"/>
              <w:kinsoku/>
              <w:wordWrap/>
              <w:overflowPunct/>
              <w:topLinePunct w:val="0"/>
              <w:autoSpaceDE/>
              <w:autoSpaceDN/>
              <w:bidi w:val="0"/>
              <w:snapToGrid w:val="0"/>
              <w:spacing w:line="288" w:lineRule="auto"/>
              <w:jc w:val="center"/>
              <w:rPr>
                <w:rFonts w:ascii="宋体" w:hAnsi="宋体"/>
                <w:sz w:val="21"/>
                <w:szCs w:val="21"/>
              </w:rPr>
            </w:pPr>
            <w:r>
              <w:rPr>
                <w:rFonts w:hint="eastAsia" w:ascii="宋体" w:hAnsi="宋体"/>
                <w:sz w:val="21"/>
                <w:szCs w:val="21"/>
              </w:rPr>
              <w:t>序号</w:t>
            </w:r>
          </w:p>
        </w:tc>
        <w:tc>
          <w:tcPr>
            <w:tcW w:w="963" w:type="pct"/>
            <w:vAlign w:val="center"/>
          </w:tcPr>
          <w:p w14:paraId="0FFF8956">
            <w:pPr>
              <w:pageBreakBefore w:val="0"/>
              <w:kinsoku/>
              <w:wordWrap/>
              <w:overflowPunct/>
              <w:topLinePunct w:val="0"/>
              <w:autoSpaceDE/>
              <w:autoSpaceDN/>
              <w:bidi w:val="0"/>
              <w:snapToGrid w:val="0"/>
              <w:spacing w:line="288" w:lineRule="auto"/>
              <w:jc w:val="center"/>
              <w:rPr>
                <w:rFonts w:ascii="宋体" w:hAnsi="宋体"/>
                <w:b/>
                <w:color w:val="FF0000"/>
                <w:sz w:val="21"/>
                <w:szCs w:val="21"/>
                <w:highlight w:val="yellow"/>
              </w:rPr>
            </w:pPr>
            <w:r>
              <w:rPr>
                <w:rFonts w:hint="eastAsia" w:ascii="宋体" w:hAnsi="宋体"/>
                <w:b/>
                <w:color w:val="FF0000"/>
                <w:sz w:val="21"/>
                <w:szCs w:val="21"/>
                <w:highlight w:val="yellow"/>
              </w:rPr>
              <w:t>★人员类别</w:t>
            </w:r>
          </w:p>
        </w:tc>
        <w:tc>
          <w:tcPr>
            <w:tcW w:w="551" w:type="pct"/>
            <w:vAlign w:val="center"/>
          </w:tcPr>
          <w:p w14:paraId="7D1D93E2">
            <w:pPr>
              <w:pageBreakBefore w:val="0"/>
              <w:kinsoku/>
              <w:wordWrap/>
              <w:overflowPunct/>
              <w:topLinePunct w:val="0"/>
              <w:autoSpaceDE/>
              <w:autoSpaceDN/>
              <w:bidi w:val="0"/>
              <w:snapToGrid w:val="0"/>
              <w:spacing w:line="288" w:lineRule="auto"/>
              <w:jc w:val="center"/>
              <w:rPr>
                <w:rFonts w:ascii="宋体" w:hAnsi="宋体"/>
                <w:b/>
                <w:color w:val="FF0000"/>
                <w:sz w:val="21"/>
                <w:szCs w:val="21"/>
                <w:highlight w:val="yellow"/>
              </w:rPr>
            </w:pPr>
            <w:r>
              <w:rPr>
                <w:rFonts w:hint="eastAsia" w:ascii="宋体" w:hAnsi="宋体"/>
                <w:b/>
                <w:color w:val="FF0000"/>
                <w:sz w:val="21"/>
                <w:szCs w:val="21"/>
                <w:highlight w:val="yellow"/>
              </w:rPr>
              <w:t>★数量</w:t>
            </w:r>
          </w:p>
        </w:tc>
        <w:tc>
          <w:tcPr>
            <w:tcW w:w="1144" w:type="pct"/>
            <w:vAlign w:val="center"/>
          </w:tcPr>
          <w:p w14:paraId="4FC914C7">
            <w:pPr>
              <w:pageBreakBefore w:val="0"/>
              <w:kinsoku/>
              <w:wordWrap/>
              <w:overflowPunct/>
              <w:topLinePunct w:val="0"/>
              <w:autoSpaceDE/>
              <w:autoSpaceDN/>
              <w:bidi w:val="0"/>
              <w:snapToGrid w:val="0"/>
              <w:spacing w:line="288" w:lineRule="auto"/>
              <w:jc w:val="center"/>
              <w:rPr>
                <w:rFonts w:ascii="宋体" w:hAnsi="宋体"/>
                <w:b/>
                <w:color w:val="FF0000"/>
                <w:sz w:val="21"/>
                <w:szCs w:val="21"/>
                <w:highlight w:val="yellow"/>
              </w:rPr>
            </w:pPr>
            <w:r>
              <w:rPr>
                <w:rFonts w:hint="eastAsia" w:ascii="宋体" w:hAnsi="宋体"/>
                <w:b/>
                <w:color w:val="FF0000"/>
                <w:sz w:val="21"/>
                <w:szCs w:val="21"/>
                <w:highlight w:val="yellow"/>
              </w:rPr>
              <w:t>★人员具备条件</w:t>
            </w:r>
          </w:p>
        </w:tc>
        <w:tc>
          <w:tcPr>
            <w:tcW w:w="1930" w:type="pct"/>
            <w:vAlign w:val="center"/>
          </w:tcPr>
          <w:p w14:paraId="5A59E254">
            <w:pPr>
              <w:pageBreakBefore w:val="0"/>
              <w:kinsoku/>
              <w:wordWrap/>
              <w:overflowPunct/>
              <w:topLinePunct w:val="0"/>
              <w:autoSpaceDE/>
              <w:autoSpaceDN/>
              <w:bidi w:val="0"/>
              <w:snapToGrid w:val="0"/>
              <w:spacing w:line="288" w:lineRule="auto"/>
              <w:jc w:val="center"/>
              <w:rPr>
                <w:rFonts w:ascii="宋体" w:hAnsi="宋体"/>
                <w:sz w:val="21"/>
                <w:szCs w:val="21"/>
              </w:rPr>
            </w:pPr>
            <w:r>
              <w:rPr>
                <w:rFonts w:hint="eastAsia" w:ascii="宋体" w:hAnsi="宋体"/>
                <w:sz w:val="21"/>
                <w:szCs w:val="21"/>
              </w:rPr>
              <w:t>人员可偏离条件</w:t>
            </w:r>
          </w:p>
        </w:tc>
      </w:tr>
      <w:tr w14:paraId="0EBDA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10" w:type="pct"/>
            <w:vAlign w:val="center"/>
          </w:tcPr>
          <w:p w14:paraId="1D6351C0">
            <w:pPr>
              <w:pageBreakBefore w:val="0"/>
              <w:kinsoku/>
              <w:wordWrap/>
              <w:overflowPunct/>
              <w:topLinePunct w:val="0"/>
              <w:autoSpaceDE/>
              <w:autoSpaceDN/>
              <w:bidi w:val="0"/>
              <w:snapToGrid w:val="0"/>
              <w:spacing w:line="288" w:lineRule="auto"/>
              <w:jc w:val="center"/>
              <w:rPr>
                <w:rFonts w:hint="eastAsia" w:ascii="宋体" w:hAnsi="宋体" w:eastAsia="宋体"/>
                <w:sz w:val="21"/>
                <w:szCs w:val="21"/>
                <w:lang w:val="en-US" w:eastAsia="zh-CN"/>
              </w:rPr>
            </w:pPr>
            <w:r>
              <w:rPr>
                <w:rFonts w:hint="eastAsia" w:ascii="宋体" w:hAnsi="宋体"/>
                <w:sz w:val="21"/>
                <w:szCs w:val="21"/>
                <w:lang w:val="en-US" w:eastAsia="zh-CN"/>
              </w:rPr>
              <w:t>1</w:t>
            </w:r>
          </w:p>
        </w:tc>
        <w:tc>
          <w:tcPr>
            <w:tcW w:w="963" w:type="pct"/>
            <w:vAlign w:val="center"/>
          </w:tcPr>
          <w:p w14:paraId="2EF73293">
            <w:pPr>
              <w:pageBreakBefore w:val="0"/>
              <w:kinsoku/>
              <w:wordWrap/>
              <w:overflowPunct/>
              <w:topLinePunct w:val="0"/>
              <w:autoSpaceDE/>
              <w:autoSpaceDN/>
              <w:bidi w:val="0"/>
              <w:snapToGrid w:val="0"/>
              <w:spacing w:line="288" w:lineRule="auto"/>
              <w:jc w:val="center"/>
              <w:rPr>
                <w:rFonts w:hint="default" w:ascii="宋体" w:hAnsi="宋体"/>
                <w:sz w:val="21"/>
                <w:szCs w:val="21"/>
                <w:lang w:val="en-US"/>
              </w:rPr>
            </w:pPr>
            <w:r>
              <w:rPr>
                <w:rFonts w:hint="eastAsia" w:ascii="宋体" w:hAnsi="宋体" w:cs="宋体"/>
                <w:sz w:val="21"/>
                <w:szCs w:val="21"/>
                <w:lang w:val="en-US" w:eastAsia="zh-CN" w:bidi="ar-SA"/>
              </w:rPr>
              <w:t>粗加工人员</w:t>
            </w:r>
          </w:p>
        </w:tc>
        <w:tc>
          <w:tcPr>
            <w:tcW w:w="551" w:type="pct"/>
            <w:vAlign w:val="center"/>
          </w:tcPr>
          <w:p w14:paraId="2BD78114">
            <w:pPr>
              <w:pageBreakBefore w:val="0"/>
              <w:kinsoku/>
              <w:wordWrap/>
              <w:overflowPunct/>
              <w:topLinePunct w:val="0"/>
              <w:autoSpaceDE/>
              <w:autoSpaceDN/>
              <w:bidi w:val="0"/>
              <w:snapToGrid w:val="0"/>
              <w:spacing w:line="288" w:lineRule="auto"/>
              <w:jc w:val="center"/>
              <w:rPr>
                <w:rFonts w:hint="eastAsia" w:ascii="宋体" w:hAnsi="宋体" w:eastAsia="宋体"/>
                <w:sz w:val="21"/>
                <w:szCs w:val="21"/>
                <w:lang w:val="en-US" w:eastAsia="zh-CN"/>
              </w:rPr>
            </w:pPr>
            <w:r>
              <w:rPr>
                <w:rFonts w:hint="eastAsia" w:ascii="宋体" w:hAnsi="宋体"/>
                <w:sz w:val="21"/>
                <w:szCs w:val="21"/>
                <w:lang w:val="en-US" w:eastAsia="zh-CN"/>
              </w:rPr>
              <w:t>1</w:t>
            </w:r>
          </w:p>
        </w:tc>
        <w:tc>
          <w:tcPr>
            <w:tcW w:w="1144" w:type="pct"/>
            <w:vAlign w:val="center"/>
          </w:tcPr>
          <w:p w14:paraId="59D434AA">
            <w:pPr>
              <w:pageBreakBefore w:val="0"/>
              <w:kinsoku/>
              <w:wordWrap/>
              <w:overflowPunct/>
              <w:topLinePunct w:val="0"/>
              <w:autoSpaceDE/>
              <w:autoSpaceDN/>
              <w:bidi w:val="0"/>
              <w:snapToGrid w:val="0"/>
              <w:spacing w:line="288" w:lineRule="auto"/>
              <w:jc w:val="center"/>
              <w:rPr>
                <w:b/>
                <w:color w:val="FF0000"/>
                <w:sz w:val="21"/>
                <w:szCs w:val="21"/>
              </w:rPr>
            </w:pPr>
            <w:r>
              <w:rPr>
                <w:rFonts w:hint="eastAsia" w:ascii="宋体" w:hAnsi="宋体" w:cs="宋体"/>
                <w:sz w:val="21"/>
                <w:szCs w:val="21"/>
              </w:rPr>
              <w:t>投标人自有员工</w:t>
            </w:r>
          </w:p>
        </w:tc>
        <w:tc>
          <w:tcPr>
            <w:tcW w:w="1930" w:type="pct"/>
            <w:vAlign w:val="center"/>
          </w:tcPr>
          <w:p w14:paraId="4B85755E">
            <w:pPr>
              <w:pageBreakBefore w:val="0"/>
              <w:kinsoku/>
              <w:wordWrap/>
              <w:overflowPunct/>
              <w:topLinePunct w:val="0"/>
              <w:autoSpaceDE/>
              <w:autoSpaceDN/>
              <w:bidi w:val="0"/>
              <w:spacing w:line="288" w:lineRule="auto"/>
              <w:jc w:val="center"/>
              <w:rPr>
                <w:rFonts w:hint="eastAsia" w:ascii="宋体" w:hAnsi="宋体" w:eastAsia="宋体"/>
                <w:color w:val="000000"/>
                <w:sz w:val="21"/>
                <w:szCs w:val="21"/>
                <w:lang w:val="en-US" w:eastAsia="zh-CN"/>
              </w:rPr>
            </w:pPr>
            <w:r>
              <w:rPr>
                <w:rFonts w:hint="eastAsia" w:ascii="宋体" w:hAnsi="宋体" w:cs="宋体"/>
                <w:sz w:val="21"/>
                <w:szCs w:val="21"/>
                <w:lang w:val="en-US" w:eastAsia="zh-CN"/>
              </w:rPr>
              <w:t>具有</w:t>
            </w:r>
            <w:r>
              <w:rPr>
                <w:rFonts w:ascii="宋体" w:hAnsi="宋体" w:cs="宋体"/>
                <w:sz w:val="21"/>
                <w:szCs w:val="21"/>
              </w:rPr>
              <w:t>菜品的洗、切等</w:t>
            </w:r>
            <w:r>
              <w:rPr>
                <w:rFonts w:hint="eastAsia" w:ascii="宋体" w:hAnsi="宋体" w:cs="宋体"/>
                <w:sz w:val="21"/>
                <w:szCs w:val="21"/>
                <w:lang w:val="en-US" w:eastAsia="zh-CN"/>
              </w:rPr>
              <w:t>粗</w:t>
            </w:r>
            <w:r>
              <w:rPr>
                <w:rFonts w:ascii="宋体" w:hAnsi="宋体" w:cs="宋体"/>
                <w:sz w:val="21"/>
                <w:szCs w:val="21"/>
              </w:rPr>
              <w:t>加工</w:t>
            </w:r>
            <w:r>
              <w:rPr>
                <w:rFonts w:hint="eastAsia" w:ascii="宋体" w:hAnsi="宋体" w:cs="宋体"/>
                <w:sz w:val="21"/>
                <w:szCs w:val="21"/>
                <w:lang w:val="en-US" w:eastAsia="zh-CN"/>
              </w:rPr>
              <w:t>经验</w:t>
            </w:r>
          </w:p>
        </w:tc>
      </w:tr>
      <w:tr w14:paraId="3689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10" w:type="pct"/>
            <w:shd w:val="clear" w:color="auto" w:fill="auto"/>
            <w:vAlign w:val="center"/>
          </w:tcPr>
          <w:p w14:paraId="6DC859B1">
            <w:pPr>
              <w:pageBreakBefore w:val="0"/>
              <w:kinsoku/>
              <w:wordWrap/>
              <w:overflowPunct/>
              <w:topLinePunct w:val="0"/>
              <w:autoSpaceDE/>
              <w:autoSpaceDN/>
              <w:bidi w:val="0"/>
              <w:snapToGrid w:val="0"/>
              <w:spacing w:line="288" w:lineRule="auto"/>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2</w:t>
            </w:r>
          </w:p>
        </w:tc>
        <w:tc>
          <w:tcPr>
            <w:tcW w:w="963" w:type="pct"/>
            <w:shd w:val="clear" w:color="auto" w:fill="auto"/>
            <w:vAlign w:val="center"/>
          </w:tcPr>
          <w:p w14:paraId="76812E17">
            <w:pPr>
              <w:pageBreakBefore w:val="0"/>
              <w:kinsoku/>
              <w:wordWrap/>
              <w:overflowPunct/>
              <w:topLinePunct w:val="0"/>
              <w:autoSpaceDE/>
              <w:autoSpaceDN/>
              <w:bidi w:val="0"/>
              <w:snapToGrid w:val="0"/>
              <w:spacing w:line="288" w:lineRule="auto"/>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bidi="ar-SA"/>
              </w:rPr>
              <w:t>项目负责人</w:t>
            </w:r>
          </w:p>
        </w:tc>
        <w:tc>
          <w:tcPr>
            <w:tcW w:w="551" w:type="pct"/>
            <w:shd w:val="clear" w:color="auto" w:fill="auto"/>
            <w:vAlign w:val="center"/>
          </w:tcPr>
          <w:p w14:paraId="05771191">
            <w:pPr>
              <w:pageBreakBefore w:val="0"/>
              <w:kinsoku/>
              <w:wordWrap/>
              <w:overflowPunct/>
              <w:topLinePunct w:val="0"/>
              <w:autoSpaceDE/>
              <w:autoSpaceDN/>
              <w:bidi w:val="0"/>
              <w:snapToGrid w:val="0"/>
              <w:spacing w:line="288" w:lineRule="auto"/>
              <w:jc w:val="center"/>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1</w:t>
            </w:r>
          </w:p>
        </w:tc>
        <w:tc>
          <w:tcPr>
            <w:tcW w:w="1144" w:type="pct"/>
            <w:shd w:val="clear" w:color="auto" w:fill="auto"/>
            <w:vAlign w:val="center"/>
          </w:tcPr>
          <w:p w14:paraId="28139C55">
            <w:pPr>
              <w:pageBreakBefore w:val="0"/>
              <w:kinsoku/>
              <w:wordWrap/>
              <w:overflowPunct/>
              <w:topLinePunct w:val="0"/>
              <w:autoSpaceDE/>
              <w:autoSpaceDN/>
              <w:bidi w:val="0"/>
              <w:snapToGrid w:val="0"/>
              <w:spacing w:line="288" w:lineRule="auto"/>
              <w:jc w:val="center"/>
              <w:rPr>
                <w:rFonts w:hint="eastAsia" w:ascii="宋体" w:hAnsi="宋体" w:eastAsia="宋体" w:cs="宋体"/>
                <w:kern w:val="2"/>
                <w:sz w:val="21"/>
                <w:szCs w:val="21"/>
                <w:lang w:val="en-US" w:eastAsia="zh-CN" w:bidi="ar-SA"/>
              </w:rPr>
            </w:pPr>
            <w:r>
              <w:rPr>
                <w:rFonts w:hint="eastAsia" w:ascii="宋体" w:hAnsi="宋体" w:cs="宋体"/>
                <w:sz w:val="21"/>
                <w:szCs w:val="21"/>
              </w:rPr>
              <w:t>投标人自有员工</w:t>
            </w:r>
          </w:p>
        </w:tc>
        <w:tc>
          <w:tcPr>
            <w:tcW w:w="1930" w:type="pct"/>
            <w:shd w:val="clear" w:color="auto" w:fill="auto"/>
            <w:vAlign w:val="center"/>
          </w:tcPr>
          <w:p w14:paraId="675972CC">
            <w:pPr>
              <w:pageBreakBefore w:val="0"/>
              <w:kinsoku/>
              <w:wordWrap/>
              <w:overflowPunct/>
              <w:topLinePunct w:val="0"/>
              <w:autoSpaceDE/>
              <w:autoSpaceDN/>
              <w:bidi w:val="0"/>
              <w:spacing w:line="288" w:lineRule="auto"/>
              <w:jc w:val="center"/>
              <w:rPr>
                <w:rFonts w:hint="eastAsia" w:ascii="宋体" w:hAnsi="宋体" w:eastAsia="宋体" w:cs="Times New Roman"/>
                <w:color w:val="000000"/>
                <w:kern w:val="2"/>
                <w:sz w:val="21"/>
                <w:szCs w:val="21"/>
                <w:lang w:val="en-US" w:eastAsia="zh-CN" w:bidi="ar-SA"/>
              </w:rPr>
            </w:pPr>
            <w:r>
              <w:rPr>
                <w:rFonts w:hint="eastAsia" w:ascii="宋体" w:hAnsi="宋体"/>
                <w:color w:val="auto"/>
                <w:lang w:val="zh-CN"/>
              </w:rPr>
              <w:t>具有高级</w:t>
            </w:r>
            <w:r>
              <w:rPr>
                <w:rFonts w:hint="eastAsia" w:ascii="宋体" w:hAnsi="宋体"/>
                <w:color w:val="auto"/>
                <w:lang w:val="en-US" w:eastAsia="zh-CN"/>
              </w:rPr>
              <w:t>食品</w:t>
            </w:r>
            <w:r>
              <w:rPr>
                <w:rFonts w:hint="eastAsia" w:ascii="宋体" w:hAnsi="宋体"/>
                <w:color w:val="auto"/>
                <w:lang w:val="zh-CN"/>
              </w:rPr>
              <w:t>安全管理</w:t>
            </w:r>
            <w:r>
              <w:rPr>
                <w:rFonts w:hint="eastAsia" w:ascii="宋体" w:hAnsi="宋体"/>
                <w:color w:val="auto"/>
                <w:lang w:val="en-US" w:eastAsia="zh-CN"/>
              </w:rPr>
              <w:t>人</w:t>
            </w:r>
            <w:r>
              <w:rPr>
                <w:rFonts w:hint="eastAsia" w:ascii="宋体" w:hAnsi="宋体"/>
                <w:color w:val="auto"/>
                <w:lang w:val="zh-CN"/>
              </w:rPr>
              <w:t>员</w:t>
            </w:r>
            <w:r>
              <w:rPr>
                <w:rFonts w:hint="eastAsia" w:ascii="宋体" w:hAnsi="宋体"/>
                <w:color w:val="auto"/>
                <w:lang w:val="en-US" w:eastAsia="zh-CN"/>
              </w:rPr>
              <w:t>考试（或</w:t>
            </w:r>
            <w:r>
              <w:rPr>
                <w:rFonts w:hint="eastAsia" w:ascii="宋体" w:hAnsi="宋体"/>
                <w:color w:val="auto"/>
                <w:lang w:val="zh-CN"/>
              </w:rPr>
              <w:t>培训</w:t>
            </w:r>
            <w:r>
              <w:rPr>
                <w:rFonts w:hint="eastAsia" w:ascii="宋体" w:hAnsi="宋体"/>
                <w:color w:val="auto"/>
                <w:lang w:val="en-US" w:eastAsia="zh-CN"/>
              </w:rPr>
              <w:t>）</w:t>
            </w:r>
            <w:r>
              <w:rPr>
                <w:rFonts w:hint="eastAsia" w:ascii="宋体" w:hAnsi="宋体"/>
                <w:color w:val="auto"/>
                <w:lang w:val="zh-CN"/>
              </w:rPr>
              <w:t>合格证明</w:t>
            </w:r>
            <w:r>
              <w:rPr>
                <w:rFonts w:hint="eastAsia" w:ascii="宋体" w:hAnsi="宋体"/>
                <w:color w:val="auto"/>
                <w:lang w:val="zh-CN" w:eastAsia="zh-CN"/>
              </w:rPr>
              <w:t>，</w:t>
            </w:r>
            <w:r>
              <w:rPr>
                <w:rFonts w:hint="eastAsia" w:ascii="宋体" w:hAnsi="宋体"/>
                <w:color w:val="auto"/>
                <w:lang w:val="zh-CN"/>
              </w:rPr>
              <w:t>具有高级（或三级）</w:t>
            </w:r>
            <w:r>
              <w:rPr>
                <w:rFonts w:hint="eastAsia" w:ascii="宋体" w:hAnsi="宋体"/>
                <w:color w:val="auto"/>
                <w:lang w:val="en-US" w:eastAsia="zh-CN"/>
              </w:rPr>
              <w:t>或</w:t>
            </w:r>
            <w:r>
              <w:rPr>
                <w:rFonts w:hint="eastAsia" w:ascii="宋体" w:hAnsi="宋体"/>
                <w:color w:val="auto"/>
                <w:lang w:val="zh-CN"/>
              </w:rPr>
              <w:t>以上</w:t>
            </w:r>
            <w:r>
              <w:rPr>
                <w:rFonts w:hint="eastAsia" w:ascii="宋体" w:hAnsi="宋体"/>
                <w:color w:val="auto"/>
                <w:lang w:val="en-US" w:eastAsia="zh-CN"/>
              </w:rPr>
              <w:t>公共营养师证书，</w:t>
            </w:r>
            <w:r>
              <w:rPr>
                <w:rFonts w:hint="eastAsia" w:ascii="宋体" w:hAnsi="宋体"/>
                <w:color w:val="auto"/>
                <w:lang w:val="zh-CN"/>
              </w:rPr>
              <w:t>具有高级（或三级）</w:t>
            </w:r>
            <w:r>
              <w:rPr>
                <w:rFonts w:hint="eastAsia" w:ascii="宋体" w:hAnsi="宋体"/>
                <w:color w:val="auto"/>
                <w:lang w:val="en-US" w:eastAsia="zh-CN"/>
              </w:rPr>
              <w:t>或</w:t>
            </w:r>
            <w:r>
              <w:rPr>
                <w:rFonts w:hint="eastAsia" w:ascii="宋体" w:hAnsi="宋体"/>
                <w:color w:val="auto"/>
                <w:lang w:val="zh-CN"/>
              </w:rPr>
              <w:t>以上</w:t>
            </w:r>
            <w:r>
              <w:rPr>
                <w:rFonts w:hint="eastAsia" w:ascii="宋体" w:hAnsi="宋体"/>
                <w:color w:val="auto"/>
                <w:lang w:val="en-US" w:eastAsia="zh-CN"/>
              </w:rPr>
              <w:t>食品检验工证书</w:t>
            </w:r>
          </w:p>
        </w:tc>
      </w:tr>
      <w:tr w14:paraId="7404D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10" w:type="pct"/>
            <w:vAlign w:val="center"/>
          </w:tcPr>
          <w:p w14:paraId="5A78AA4A">
            <w:pPr>
              <w:pageBreakBefore w:val="0"/>
              <w:kinsoku/>
              <w:wordWrap/>
              <w:overflowPunct/>
              <w:topLinePunct w:val="0"/>
              <w:autoSpaceDE/>
              <w:autoSpaceDN/>
              <w:bidi w:val="0"/>
              <w:snapToGrid w:val="0"/>
              <w:spacing w:line="288" w:lineRule="auto"/>
              <w:jc w:val="center"/>
              <w:rPr>
                <w:rFonts w:hint="default" w:ascii="宋体" w:hAnsi="宋体"/>
                <w:sz w:val="21"/>
                <w:szCs w:val="21"/>
                <w:lang w:val="en-US" w:eastAsia="zh-CN"/>
              </w:rPr>
            </w:pPr>
            <w:r>
              <w:rPr>
                <w:rFonts w:hint="eastAsia" w:ascii="宋体" w:hAnsi="宋体"/>
                <w:sz w:val="21"/>
                <w:szCs w:val="21"/>
                <w:lang w:val="en-US" w:eastAsia="zh-CN"/>
              </w:rPr>
              <w:t>3</w:t>
            </w:r>
          </w:p>
        </w:tc>
        <w:tc>
          <w:tcPr>
            <w:tcW w:w="963" w:type="pct"/>
            <w:vAlign w:val="center"/>
          </w:tcPr>
          <w:p w14:paraId="2067491F">
            <w:pPr>
              <w:pageBreakBefore w:val="0"/>
              <w:kinsoku/>
              <w:wordWrap/>
              <w:overflowPunct/>
              <w:topLinePunct w:val="0"/>
              <w:autoSpaceDE/>
              <w:autoSpaceDN/>
              <w:bidi w:val="0"/>
              <w:snapToGrid w:val="0"/>
              <w:spacing w:line="288" w:lineRule="auto"/>
              <w:jc w:val="center"/>
              <w:rPr>
                <w:rFonts w:hint="eastAsia" w:ascii="宋体" w:hAnsi="宋体" w:cs="宋体"/>
                <w:sz w:val="21"/>
                <w:szCs w:val="21"/>
                <w:lang w:val="en-US" w:eastAsia="zh-CN" w:bidi="ar-SA"/>
              </w:rPr>
            </w:pPr>
            <w:r>
              <w:rPr>
                <w:rFonts w:hint="eastAsia" w:ascii="宋体" w:hAnsi="宋体"/>
                <w:color w:val="auto"/>
                <w:lang w:val="en-US" w:eastAsia="zh-CN"/>
              </w:rPr>
              <w:t>项目</w:t>
            </w:r>
            <w:r>
              <w:rPr>
                <w:rFonts w:hint="eastAsia" w:ascii="宋体" w:hAnsi="宋体"/>
                <w:color w:val="auto"/>
                <w:lang w:val="zh-CN"/>
              </w:rPr>
              <w:t>安全管理人员</w:t>
            </w:r>
          </w:p>
        </w:tc>
        <w:tc>
          <w:tcPr>
            <w:tcW w:w="551" w:type="pct"/>
            <w:vAlign w:val="center"/>
          </w:tcPr>
          <w:p w14:paraId="41FDE622">
            <w:pPr>
              <w:pageBreakBefore w:val="0"/>
              <w:kinsoku/>
              <w:wordWrap/>
              <w:overflowPunct/>
              <w:topLinePunct w:val="0"/>
              <w:autoSpaceDE/>
              <w:autoSpaceDN/>
              <w:bidi w:val="0"/>
              <w:snapToGrid w:val="0"/>
              <w:spacing w:line="288" w:lineRule="auto"/>
              <w:jc w:val="center"/>
              <w:rPr>
                <w:rFonts w:hint="default" w:ascii="宋体" w:hAnsi="宋体"/>
                <w:sz w:val="21"/>
                <w:szCs w:val="21"/>
                <w:lang w:val="en-US" w:eastAsia="zh-CN"/>
              </w:rPr>
            </w:pPr>
            <w:r>
              <w:rPr>
                <w:rFonts w:hint="eastAsia" w:ascii="宋体" w:hAnsi="宋体"/>
                <w:sz w:val="21"/>
                <w:szCs w:val="21"/>
                <w:lang w:val="en-US" w:eastAsia="zh-CN"/>
              </w:rPr>
              <w:t>4</w:t>
            </w:r>
          </w:p>
        </w:tc>
        <w:tc>
          <w:tcPr>
            <w:tcW w:w="1144" w:type="pct"/>
            <w:vAlign w:val="center"/>
          </w:tcPr>
          <w:p w14:paraId="098A13A7">
            <w:pPr>
              <w:pageBreakBefore w:val="0"/>
              <w:kinsoku/>
              <w:wordWrap/>
              <w:overflowPunct/>
              <w:topLinePunct w:val="0"/>
              <w:autoSpaceDE/>
              <w:autoSpaceDN/>
              <w:bidi w:val="0"/>
              <w:snapToGrid w:val="0"/>
              <w:spacing w:line="288" w:lineRule="auto"/>
              <w:jc w:val="center"/>
              <w:rPr>
                <w:rFonts w:hint="eastAsia" w:ascii="宋体" w:hAnsi="宋体" w:cs="宋体"/>
                <w:sz w:val="21"/>
                <w:szCs w:val="21"/>
              </w:rPr>
            </w:pPr>
            <w:r>
              <w:rPr>
                <w:rFonts w:hint="eastAsia" w:ascii="宋体" w:hAnsi="宋体" w:cs="宋体"/>
                <w:sz w:val="21"/>
                <w:szCs w:val="21"/>
              </w:rPr>
              <w:t>投标人自有员工</w:t>
            </w:r>
          </w:p>
        </w:tc>
        <w:tc>
          <w:tcPr>
            <w:tcW w:w="1930" w:type="pct"/>
            <w:vAlign w:val="center"/>
          </w:tcPr>
          <w:p w14:paraId="78D0C24E">
            <w:pPr>
              <w:pageBreakBefore w:val="0"/>
              <w:kinsoku/>
              <w:wordWrap/>
              <w:overflowPunct/>
              <w:topLinePunct w:val="0"/>
              <w:autoSpaceDE/>
              <w:autoSpaceDN/>
              <w:bidi w:val="0"/>
              <w:spacing w:line="288" w:lineRule="auto"/>
              <w:jc w:val="center"/>
              <w:rPr>
                <w:rFonts w:hint="eastAsia" w:ascii="宋体" w:hAnsi="宋体" w:cs="宋体"/>
                <w:sz w:val="21"/>
                <w:szCs w:val="21"/>
                <w:lang w:val="en-US" w:eastAsia="zh-CN"/>
              </w:rPr>
            </w:pPr>
            <w:r>
              <w:rPr>
                <w:rFonts w:hint="eastAsia" w:ascii="宋体" w:hAnsi="宋体"/>
                <w:color w:val="auto"/>
                <w:lang w:val="zh-CN"/>
              </w:rPr>
              <w:t>具有食品药品监督管理部门（或市场监督管理部门）颁发的食品安全管理人员考试（</w:t>
            </w:r>
            <w:r>
              <w:rPr>
                <w:rFonts w:hint="eastAsia" w:ascii="宋体" w:hAnsi="宋体"/>
                <w:color w:val="auto"/>
              </w:rPr>
              <w:t>或培训</w:t>
            </w:r>
            <w:r>
              <w:rPr>
                <w:rFonts w:hint="eastAsia" w:ascii="宋体" w:hAnsi="宋体"/>
                <w:color w:val="auto"/>
                <w:lang w:val="zh-CN"/>
              </w:rPr>
              <w:t>）合格证</w:t>
            </w:r>
            <w:r>
              <w:rPr>
                <w:rFonts w:hint="eastAsia" w:ascii="宋体" w:hAnsi="宋体"/>
                <w:color w:val="auto"/>
              </w:rPr>
              <w:t>明</w:t>
            </w:r>
            <w:r>
              <w:rPr>
                <w:rFonts w:hint="eastAsia" w:ascii="宋体" w:hAnsi="宋体"/>
                <w:color w:val="auto"/>
                <w:lang w:val="zh-CN"/>
              </w:rPr>
              <w:t>，且等级为高级</w:t>
            </w:r>
          </w:p>
        </w:tc>
      </w:tr>
      <w:tr w14:paraId="14BBF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410" w:type="pct"/>
            <w:vAlign w:val="center"/>
          </w:tcPr>
          <w:p w14:paraId="5B114D23">
            <w:pPr>
              <w:pageBreakBefore w:val="0"/>
              <w:kinsoku/>
              <w:wordWrap/>
              <w:overflowPunct/>
              <w:topLinePunct w:val="0"/>
              <w:autoSpaceDE/>
              <w:autoSpaceDN/>
              <w:bidi w:val="0"/>
              <w:snapToGrid w:val="0"/>
              <w:spacing w:line="288" w:lineRule="auto"/>
              <w:jc w:val="center"/>
              <w:rPr>
                <w:rFonts w:hint="default" w:ascii="宋体" w:hAnsi="宋体"/>
                <w:sz w:val="21"/>
                <w:szCs w:val="21"/>
                <w:lang w:val="en-US" w:eastAsia="zh-CN"/>
              </w:rPr>
            </w:pPr>
            <w:r>
              <w:rPr>
                <w:rFonts w:hint="eastAsia" w:ascii="宋体" w:hAnsi="宋体"/>
                <w:sz w:val="21"/>
                <w:szCs w:val="21"/>
                <w:lang w:val="en-US" w:eastAsia="zh-CN"/>
              </w:rPr>
              <w:t>4</w:t>
            </w:r>
          </w:p>
        </w:tc>
        <w:tc>
          <w:tcPr>
            <w:tcW w:w="963" w:type="pct"/>
            <w:vAlign w:val="center"/>
          </w:tcPr>
          <w:p w14:paraId="15734247">
            <w:pPr>
              <w:pageBreakBefore w:val="0"/>
              <w:kinsoku/>
              <w:wordWrap/>
              <w:overflowPunct/>
              <w:topLinePunct w:val="0"/>
              <w:autoSpaceDE/>
              <w:autoSpaceDN/>
              <w:bidi w:val="0"/>
              <w:spacing w:line="288" w:lineRule="auto"/>
              <w:jc w:val="center"/>
              <w:rPr>
                <w:rFonts w:hint="eastAsia" w:ascii="宋体" w:hAnsi="宋体" w:cs="宋体"/>
                <w:sz w:val="21"/>
                <w:szCs w:val="21"/>
                <w:lang w:val="en-US" w:eastAsia="zh-CN" w:bidi="ar-SA"/>
              </w:rPr>
            </w:pPr>
            <w:r>
              <w:rPr>
                <w:rFonts w:hint="eastAsia" w:ascii="宋体" w:hAnsi="宋体" w:cs="宋体"/>
                <w:sz w:val="21"/>
                <w:szCs w:val="21"/>
                <w:lang w:val="en-US" w:eastAsia="zh-CN"/>
              </w:rPr>
              <w:t>项目检验人员</w:t>
            </w:r>
          </w:p>
        </w:tc>
        <w:tc>
          <w:tcPr>
            <w:tcW w:w="551" w:type="pct"/>
            <w:vAlign w:val="center"/>
          </w:tcPr>
          <w:p w14:paraId="0953AE7C">
            <w:pPr>
              <w:pageBreakBefore w:val="0"/>
              <w:kinsoku/>
              <w:wordWrap/>
              <w:overflowPunct/>
              <w:topLinePunct w:val="0"/>
              <w:autoSpaceDE/>
              <w:autoSpaceDN/>
              <w:bidi w:val="0"/>
              <w:snapToGrid w:val="0"/>
              <w:spacing w:line="288" w:lineRule="auto"/>
              <w:jc w:val="center"/>
              <w:rPr>
                <w:rFonts w:hint="default" w:ascii="宋体" w:hAnsi="宋体"/>
                <w:sz w:val="21"/>
                <w:szCs w:val="21"/>
                <w:lang w:val="en-US" w:eastAsia="zh-CN"/>
              </w:rPr>
            </w:pPr>
            <w:r>
              <w:rPr>
                <w:rFonts w:hint="eastAsia" w:ascii="宋体" w:hAnsi="宋体"/>
                <w:sz w:val="21"/>
                <w:szCs w:val="21"/>
                <w:lang w:val="en-US" w:eastAsia="zh-CN"/>
              </w:rPr>
              <w:t>3</w:t>
            </w:r>
          </w:p>
        </w:tc>
        <w:tc>
          <w:tcPr>
            <w:tcW w:w="1144" w:type="pct"/>
            <w:vAlign w:val="center"/>
          </w:tcPr>
          <w:p w14:paraId="4EDC9550">
            <w:pPr>
              <w:pageBreakBefore w:val="0"/>
              <w:kinsoku/>
              <w:wordWrap/>
              <w:overflowPunct/>
              <w:topLinePunct w:val="0"/>
              <w:autoSpaceDE/>
              <w:autoSpaceDN/>
              <w:bidi w:val="0"/>
              <w:snapToGrid w:val="0"/>
              <w:spacing w:line="288" w:lineRule="auto"/>
              <w:jc w:val="center"/>
              <w:rPr>
                <w:rFonts w:hint="eastAsia" w:ascii="宋体" w:hAnsi="宋体" w:cs="宋体"/>
                <w:sz w:val="21"/>
                <w:szCs w:val="21"/>
              </w:rPr>
            </w:pPr>
            <w:r>
              <w:rPr>
                <w:rFonts w:hint="eastAsia" w:ascii="宋体" w:hAnsi="宋体" w:cs="宋体"/>
                <w:sz w:val="21"/>
                <w:szCs w:val="21"/>
              </w:rPr>
              <w:t>投标人自有员工</w:t>
            </w:r>
          </w:p>
        </w:tc>
        <w:tc>
          <w:tcPr>
            <w:tcW w:w="1930" w:type="pct"/>
            <w:vAlign w:val="center"/>
          </w:tcPr>
          <w:p w14:paraId="2592897A">
            <w:pPr>
              <w:pageBreakBefore w:val="0"/>
              <w:kinsoku/>
              <w:wordWrap/>
              <w:overflowPunct/>
              <w:topLinePunct w:val="0"/>
              <w:autoSpaceDE/>
              <w:autoSpaceDN/>
              <w:bidi w:val="0"/>
              <w:spacing w:line="288" w:lineRule="auto"/>
              <w:jc w:val="center"/>
              <w:rPr>
                <w:rFonts w:hint="eastAsia" w:ascii="宋体" w:hAnsi="宋体" w:eastAsia="宋体"/>
                <w:color w:val="000000"/>
                <w:sz w:val="21"/>
                <w:szCs w:val="21"/>
                <w:lang w:val="en-US" w:eastAsia="zh-CN"/>
              </w:rPr>
            </w:pPr>
            <w:r>
              <w:rPr>
                <w:rFonts w:hint="eastAsia" w:ascii="宋体" w:hAnsi="宋体"/>
                <w:color w:val="auto"/>
                <w:lang w:val="zh-CN"/>
              </w:rPr>
              <w:t>具有</w:t>
            </w:r>
            <w:r>
              <w:rPr>
                <w:rFonts w:hint="eastAsia" w:ascii="宋体" w:hAnsi="宋体"/>
                <w:color w:val="auto"/>
                <w:lang w:val="en-US" w:eastAsia="zh-CN"/>
              </w:rPr>
              <w:t>食品检验工或</w:t>
            </w:r>
            <w:r>
              <w:rPr>
                <w:rFonts w:hint="eastAsia" w:asciiTheme="minorEastAsia" w:hAnsiTheme="minorEastAsia" w:eastAsiaTheme="minorEastAsia" w:cstheme="minorEastAsia"/>
                <w:bCs/>
                <w:color w:val="auto"/>
                <w:kern w:val="0"/>
                <w:szCs w:val="21"/>
              </w:rPr>
              <w:t>农产品食品检验员</w:t>
            </w:r>
            <w:r>
              <w:rPr>
                <w:rFonts w:hint="eastAsia" w:asciiTheme="minorEastAsia" w:hAnsiTheme="minorEastAsia" w:cstheme="minorEastAsia"/>
                <w:bCs/>
                <w:color w:val="auto"/>
                <w:kern w:val="0"/>
                <w:szCs w:val="21"/>
                <w:lang w:val="en-US" w:eastAsia="zh-CN"/>
              </w:rPr>
              <w:t>证书</w:t>
            </w:r>
          </w:p>
        </w:tc>
      </w:tr>
    </w:tbl>
    <w:p w14:paraId="6A05B318">
      <w:pPr>
        <w:pStyle w:val="36"/>
        <w:adjustRightInd w:val="0"/>
        <w:snapToGrid w:val="0"/>
        <w:spacing w:line="360" w:lineRule="exact"/>
        <w:ind w:firstLine="482" w:firstLineChars="200"/>
        <w:jc w:val="center"/>
        <w:rPr>
          <w:rFonts w:hint="eastAsia" w:ascii="宋体" w:hAnsi="宋体" w:cs="宋体"/>
          <w:b/>
          <w:bCs/>
        </w:rPr>
      </w:pPr>
    </w:p>
    <w:p w14:paraId="1DA0E794">
      <w:pPr>
        <w:pStyle w:val="36"/>
        <w:adjustRightInd w:val="0"/>
        <w:snapToGrid w:val="0"/>
        <w:spacing w:line="360" w:lineRule="exact"/>
        <w:ind w:firstLine="482" w:firstLineChars="200"/>
        <w:jc w:val="center"/>
        <w:rPr>
          <w:rFonts w:hint="eastAsia"/>
          <w:color w:val="FF0000"/>
          <w:szCs w:val="24"/>
          <w:highlight w:val="yellow"/>
        </w:rPr>
      </w:pPr>
      <w:r>
        <w:rPr>
          <w:rFonts w:hint="eastAsia" w:ascii="宋体" w:hAnsi="宋体" w:cs="宋体"/>
          <w:b/>
          <w:bCs/>
        </w:rPr>
        <w:t>六、商务要求</w:t>
      </w:r>
    </w:p>
    <w:p w14:paraId="28FD4368">
      <w:pPr>
        <w:keepNext/>
        <w:keepLines/>
        <w:pageBreakBefore w:val="0"/>
        <w:widowControl/>
        <w:kinsoku/>
        <w:wordWrap/>
        <w:overflowPunct/>
        <w:topLinePunct w:val="0"/>
        <w:autoSpaceDE/>
        <w:autoSpaceDN/>
        <w:bidi w:val="0"/>
        <w:spacing w:line="288" w:lineRule="auto"/>
        <w:ind w:firstLine="211" w:firstLineChars="100"/>
        <w:outlineLvl w:val="2"/>
        <w:rPr>
          <w:rFonts w:asciiTheme="minorEastAsia" w:hAnsiTheme="minorEastAsia" w:eastAsiaTheme="minorEastAsia"/>
          <w:b/>
          <w:bCs/>
          <w:color w:val="FF0000"/>
          <w:kern w:val="0"/>
          <w:sz w:val="21"/>
          <w:szCs w:val="21"/>
          <w:highlight w:val="yellow"/>
        </w:rPr>
      </w:pPr>
      <w:r>
        <w:rPr>
          <w:rFonts w:hint="eastAsia" w:asciiTheme="minorEastAsia" w:hAnsiTheme="minorEastAsia" w:eastAsiaTheme="minorEastAsia"/>
          <w:b/>
          <w:bCs/>
          <w:color w:val="FF0000"/>
          <w:kern w:val="0"/>
          <w:sz w:val="21"/>
          <w:szCs w:val="21"/>
          <w:highlight w:val="yellow"/>
        </w:rPr>
        <w:t>★（一）服务期限</w:t>
      </w:r>
    </w:p>
    <w:p w14:paraId="4476574E">
      <w:pPr>
        <w:pageBreakBefore w:val="0"/>
        <w:kinsoku/>
        <w:wordWrap/>
        <w:overflowPunct/>
        <w:topLinePunct w:val="0"/>
        <w:autoSpaceDE/>
        <w:autoSpaceDN/>
        <w:bidi w:val="0"/>
        <w:spacing w:line="288" w:lineRule="auto"/>
        <w:ind w:firstLine="420" w:firstLineChars="200"/>
        <w:rPr>
          <w:rFonts w:hint="eastAsia" w:cs="仿宋_GB2312" w:asciiTheme="minorEastAsia" w:hAnsiTheme="minorEastAsia" w:eastAsiaTheme="minorEastAsia"/>
          <w:b w:val="0"/>
          <w:bCs/>
          <w:color w:val="FF0000"/>
          <w:sz w:val="21"/>
          <w:szCs w:val="21"/>
          <w:highlight w:val="yellow"/>
        </w:rPr>
      </w:pPr>
      <w:r>
        <w:rPr>
          <w:rFonts w:hint="eastAsia" w:cs="仿宋_GB2312" w:asciiTheme="minorEastAsia" w:hAnsiTheme="minorEastAsia" w:eastAsiaTheme="minorEastAsia"/>
          <w:b w:val="0"/>
          <w:bCs/>
          <w:color w:val="FF0000"/>
          <w:sz w:val="21"/>
          <w:szCs w:val="21"/>
          <w:highlight w:val="yellow"/>
        </w:rPr>
        <w:t>本项目服务期限为一年。一年合同期满后，经履约考核良好及以上经采购方同意的可按原合同条款续签下一年度合同，每次续签期限为一年，最多可续签二次</w:t>
      </w:r>
      <w:r>
        <w:rPr>
          <w:rFonts w:hint="eastAsia" w:cs="仿宋_GB2312" w:asciiTheme="minorEastAsia" w:hAnsiTheme="minorEastAsia" w:eastAsiaTheme="minorEastAsia"/>
          <w:b w:val="0"/>
          <w:bCs/>
          <w:color w:val="FF0000"/>
          <w:sz w:val="21"/>
          <w:szCs w:val="21"/>
          <w:highlight w:val="yellow"/>
          <w:lang w:eastAsia="zh-CN"/>
        </w:rPr>
        <w:t>。</w:t>
      </w:r>
    </w:p>
    <w:p w14:paraId="1D99EB48">
      <w:pPr>
        <w:pageBreakBefore w:val="0"/>
        <w:kinsoku/>
        <w:wordWrap/>
        <w:overflowPunct/>
        <w:topLinePunct w:val="0"/>
        <w:autoSpaceDE/>
        <w:autoSpaceDN/>
        <w:bidi w:val="0"/>
        <w:spacing w:line="288" w:lineRule="auto"/>
        <w:ind w:firstLine="211" w:firstLineChars="100"/>
        <w:rPr>
          <w:rFonts w:cs="仿宋_GB2312" w:asciiTheme="minorEastAsia" w:hAnsiTheme="minorEastAsia" w:eastAsiaTheme="minorEastAsia"/>
          <w:b/>
          <w:color w:val="000000"/>
          <w:sz w:val="21"/>
          <w:szCs w:val="21"/>
        </w:rPr>
      </w:pPr>
      <w:r>
        <w:rPr>
          <w:rFonts w:hint="eastAsia" w:cs="仿宋_GB2312" w:asciiTheme="minorEastAsia" w:hAnsiTheme="minorEastAsia" w:eastAsiaTheme="minorEastAsia"/>
          <w:b/>
          <w:color w:val="000000"/>
          <w:sz w:val="21"/>
          <w:szCs w:val="21"/>
        </w:rPr>
        <w:t>（二）</w:t>
      </w:r>
      <w:r>
        <w:rPr>
          <w:rFonts w:hint="eastAsia" w:cs="仿宋_GB2312" w:asciiTheme="minorEastAsia" w:hAnsiTheme="minorEastAsia" w:eastAsiaTheme="minorEastAsia"/>
          <w:b/>
          <w:color w:val="000000"/>
          <w:sz w:val="21"/>
          <w:szCs w:val="21"/>
          <w:lang w:val="en-US" w:eastAsia="zh-CN"/>
        </w:rPr>
        <w:t>项目结算</w:t>
      </w:r>
      <w:r>
        <w:rPr>
          <w:rFonts w:cs="仿宋_GB2312" w:asciiTheme="minorEastAsia" w:hAnsiTheme="minorEastAsia" w:eastAsiaTheme="minorEastAsia"/>
          <w:b/>
          <w:color w:val="000000"/>
          <w:sz w:val="21"/>
          <w:szCs w:val="21"/>
        </w:rPr>
        <w:t>方式</w:t>
      </w:r>
    </w:p>
    <w:p w14:paraId="44BA25DD">
      <w:pPr>
        <w:pageBreakBefore w:val="0"/>
        <w:kinsoku/>
        <w:wordWrap/>
        <w:overflowPunct/>
        <w:topLinePunct w:val="0"/>
        <w:autoSpaceDE/>
        <w:autoSpaceDN/>
        <w:bidi w:val="0"/>
        <w:spacing w:line="288" w:lineRule="auto"/>
        <w:ind w:firstLine="420" w:firstLineChars="200"/>
        <w:rPr>
          <w:rFonts w:hint="eastAsia" w:cs="仿宋_GB2312" w:asciiTheme="minorEastAsia" w:hAnsiTheme="minorEastAsia" w:eastAsiaTheme="minorEastAsia"/>
          <w:b w:val="0"/>
          <w:bCs/>
          <w:color w:val="000000"/>
          <w:sz w:val="21"/>
          <w:szCs w:val="21"/>
          <w:lang w:eastAsia="zh-CN"/>
        </w:rPr>
      </w:pPr>
      <w:r>
        <w:rPr>
          <w:rFonts w:hint="eastAsia" w:cs="仿宋_GB2312" w:asciiTheme="minorEastAsia" w:hAnsiTheme="minorEastAsia" w:eastAsiaTheme="minorEastAsia"/>
          <w:b w:val="0"/>
          <w:bCs/>
          <w:color w:val="000000"/>
          <w:sz w:val="21"/>
          <w:szCs w:val="21"/>
        </w:rPr>
        <w:t>1.</w:t>
      </w:r>
      <w:r>
        <w:rPr>
          <w:rFonts w:hint="eastAsia" w:cs="仿宋_GB2312" w:asciiTheme="minorEastAsia" w:hAnsiTheme="minorEastAsia" w:eastAsiaTheme="minorEastAsia"/>
          <w:b w:val="0"/>
          <w:bCs/>
          <w:color w:val="000000"/>
          <w:sz w:val="21"/>
          <w:szCs w:val="21"/>
          <w:lang w:val="en-US" w:eastAsia="zh-CN"/>
        </w:rPr>
        <w:t>所有</w:t>
      </w:r>
      <w:r>
        <w:rPr>
          <w:rFonts w:hint="eastAsia" w:cs="仿宋_GB2312" w:asciiTheme="minorEastAsia" w:hAnsiTheme="minorEastAsia" w:eastAsiaTheme="minorEastAsia"/>
          <w:b w:val="0"/>
          <w:bCs/>
          <w:color w:val="000000"/>
          <w:sz w:val="21"/>
          <w:szCs w:val="21"/>
        </w:rPr>
        <w:t>产品由中农网数据食堂采购平台（http://www.chinaap.com）每月5、15、25日粗加工报价表取三天的平均值（平均值精确到分，即小数点后两位）确定各项物资的</w:t>
      </w:r>
      <w:r>
        <w:rPr>
          <w:rFonts w:hint="eastAsia" w:cs="仿宋_GB2312" w:asciiTheme="minorEastAsia" w:hAnsiTheme="minorEastAsia" w:eastAsiaTheme="minorEastAsia"/>
          <w:b w:val="0"/>
          <w:bCs/>
          <w:color w:val="000000"/>
          <w:sz w:val="21"/>
          <w:szCs w:val="21"/>
          <w:lang w:val="en-US" w:eastAsia="zh-CN"/>
        </w:rPr>
        <w:t>产品价格。</w:t>
      </w:r>
    </w:p>
    <w:p w14:paraId="023BAE16">
      <w:pPr>
        <w:pageBreakBefore w:val="0"/>
        <w:kinsoku/>
        <w:wordWrap/>
        <w:overflowPunct/>
        <w:topLinePunct w:val="0"/>
        <w:autoSpaceDE/>
        <w:autoSpaceDN/>
        <w:bidi w:val="0"/>
        <w:spacing w:line="288" w:lineRule="auto"/>
        <w:ind w:firstLine="420" w:firstLineChars="200"/>
        <w:rPr>
          <w:rFonts w:hint="eastAsia" w:cs="仿宋_GB2312" w:asciiTheme="minorEastAsia" w:hAnsiTheme="minorEastAsia" w:eastAsiaTheme="minorEastAsia"/>
          <w:b w:val="0"/>
          <w:bCs/>
          <w:color w:val="000000"/>
          <w:sz w:val="21"/>
          <w:szCs w:val="21"/>
        </w:rPr>
      </w:pPr>
      <w:r>
        <w:rPr>
          <w:rFonts w:hint="eastAsia" w:cs="仿宋_GB2312" w:asciiTheme="minorEastAsia" w:hAnsiTheme="minorEastAsia" w:eastAsiaTheme="minorEastAsia"/>
          <w:b w:val="0"/>
          <w:bCs/>
          <w:color w:val="000000"/>
          <w:sz w:val="21"/>
          <w:szCs w:val="21"/>
          <w:lang w:val="en-US" w:eastAsia="zh-CN"/>
        </w:rPr>
        <w:t>2</w:t>
      </w:r>
      <w:r>
        <w:rPr>
          <w:rFonts w:hint="eastAsia" w:cs="仿宋_GB2312" w:asciiTheme="minorEastAsia" w:hAnsiTheme="minorEastAsia" w:eastAsiaTheme="minorEastAsia"/>
          <w:b w:val="0"/>
          <w:bCs/>
          <w:color w:val="000000"/>
          <w:sz w:val="21"/>
          <w:szCs w:val="21"/>
        </w:rPr>
        <w:t>.中农数据食堂采配平台中无价格的产品，结算时价格=市场价*折扣率。（市场价采购单位和中标公司组成价格调查小组，到本区堿大型实体商场、菜市场等现场进行调研依据实时行情，综合决定供应价格）</w:t>
      </w:r>
    </w:p>
    <w:p w14:paraId="4CA612FC">
      <w:pPr>
        <w:pageBreakBefore w:val="0"/>
        <w:kinsoku/>
        <w:wordWrap/>
        <w:overflowPunct/>
        <w:topLinePunct w:val="0"/>
        <w:autoSpaceDE/>
        <w:autoSpaceDN/>
        <w:bidi w:val="0"/>
        <w:spacing w:line="288" w:lineRule="auto"/>
        <w:ind w:firstLine="420" w:firstLineChars="200"/>
        <w:rPr>
          <w:rFonts w:hint="eastAsia" w:cs="仿宋_GB2312" w:asciiTheme="minorEastAsia" w:hAnsiTheme="minorEastAsia" w:eastAsiaTheme="minorEastAsia"/>
          <w:b w:val="0"/>
          <w:bCs/>
          <w:color w:val="000000"/>
          <w:sz w:val="21"/>
          <w:szCs w:val="21"/>
        </w:rPr>
      </w:pPr>
      <w:r>
        <w:rPr>
          <w:rFonts w:hint="eastAsia" w:cs="仿宋_GB2312" w:asciiTheme="minorEastAsia" w:hAnsiTheme="minorEastAsia" w:eastAsiaTheme="minorEastAsia"/>
          <w:b w:val="0"/>
          <w:bCs/>
          <w:color w:val="000000"/>
          <w:sz w:val="21"/>
          <w:szCs w:val="21"/>
          <w:lang w:val="en-US" w:eastAsia="zh-CN"/>
        </w:rPr>
        <w:t>3</w:t>
      </w:r>
      <w:r>
        <w:rPr>
          <w:rFonts w:hint="eastAsia" w:cs="仿宋_GB2312" w:asciiTheme="minorEastAsia" w:hAnsiTheme="minorEastAsia" w:eastAsiaTheme="minorEastAsia"/>
          <w:b w:val="0"/>
          <w:bCs/>
          <w:color w:val="000000"/>
          <w:sz w:val="21"/>
          <w:szCs w:val="21"/>
        </w:rPr>
        <w:t>.如遇台风、暴雨等不可遇见的原因造成的个别品种及价格需临时做调整的，供应商应事先通知采购人，在采购人确认后方可调整。</w:t>
      </w:r>
    </w:p>
    <w:p w14:paraId="73CDA177">
      <w:pPr>
        <w:pageBreakBefore w:val="0"/>
        <w:kinsoku/>
        <w:wordWrap/>
        <w:overflowPunct/>
        <w:topLinePunct w:val="0"/>
        <w:autoSpaceDE/>
        <w:autoSpaceDN/>
        <w:bidi w:val="0"/>
        <w:spacing w:line="288" w:lineRule="auto"/>
        <w:ind w:firstLine="420" w:firstLineChars="200"/>
        <w:rPr>
          <w:rFonts w:hint="eastAsia" w:cs="仿宋_GB2312" w:asciiTheme="minorEastAsia" w:hAnsiTheme="minorEastAsia" w:eastAsiaTheme="minorEastAsia"/>
          <w:b w:val="0"/>
          <w:bCs/>
          <w:color w:val="000000"/>
          <w:sz w:val="21"/>
          <w:szCs w:val="21"/>
        </w:rPr>
      </w:pPr>
      <w:r>
        <w:rPr>
          <w:rFonts w:hint="eastAsia" w:cs="仿宋_GB2312" w:asciiTheme="minorEastAsia" w:hAnsiTheme="minorEastAsia" w:eastAsiaTheme="minorEastAsia"/>
          <w:b w:val="0"/>
          <w:bCs/>
          <w:color w:val="000000"/>
          <w:sz w:val="21"/>
          <w:szCs w:val="21"/>
          <w:lang w:val="en-US" w:eastAsia="zh-CN"/>
        </w:rPr>
        <w:t>4</w:t>
      </w:r>
      <w:r>
        <w:rPr>
          <w:rFonts w:hint="eastAsia" w:cs="仿宋_GB2312" w:asciiTheme="minorEastAsia" w:hAnsiTheme="minorEastAsia" w:eastAsiaTheme="minorEastAsia"/>
          <w:b w:val="0"/>
          <w:bCs/>
          <w:color w:val="000000"/>
          <w:sz w:val="21"/>
          <w:szCs w:val="21"/>
        </w:rPr>
        <w:t>.所有物资的报价包括供应产品和产品运输到使用单位的服务费、检测费、人工费、管理费、税金等一切将可发生的费用。以上报价以人民币为报价和结算单位，</w:t>
      </w:r>
      <w:r>
        <w:rPr>
          <w:rFonts w:hint="eastAsia" w:cs="仿宋_GB2312" w:asciiTheme="minorEastAsia" w:hAnsiTheme="minorEastAsia" w:eastAsiaTheme="minorEastAsia"/>
          <w:b w:val="0"/>
          <w:bCs/>
          <w:color w:val="000000"/>
          <w:sz w:val="21"/>
          <w:szCs w:val="21"/>
          <w:lang w:eastAsia="zh-CN"/>
        </w:rPr>
        <w:t>需</w:t>
      </w:r>
      <w:r>
        <w:rPr>
          <w:rFonts w:hint="eastAsia" w:cs="仿宋_GB2312" w:asciiTheme="minorEastAsia" w:hAnsiTheme="minorEastAsia" w:eastAsiaTheme="minorEastAsia"/>
          <w:b w:val="0"/>
          <w:bCs/>
          <w:color w:val="000000"/>
          <w:sz w:val="21"/>
          <w:szCs w:val="21"/>
        </w:rPr>
        <w:t>开具国家正规发票。</w:t>
      </w:r>
    </w:p>
    <w:p w14:paraId="621F10F8">
      <w:pPr>
        <w:pageBreakBefore w:val="0"/>
        <w:kinsoku/>
        <w:wordWrap/>
        <w:overflowPunct/>
        <w:topLinePunct w:val="0"/>
        <w:autoSpaceDE/>
        <w:autoSpaceDN/>
        <w:bidi w:val="0"/>
        <w:spacing w:line="288" w:lineRule="auto"/>
        <w:ind w:firstLine="211" w:firstLineChars="100"/>
        <w:rPr>
          <w:rFonts w:cs="仿宋_GB2312" w:asciiTheme="minorEastAsia" w:hAnsiTheme="minorEastAsia" w:eastAsiaTheme="minorEastAsia"/>
          <w:b/>
          <w:color w:val="FF0000"/>
          <w:sz w:val="21"/>
          <w:szCs w:val="21"/>
          <w:highlight w:val="yellow"/>
        </w:rPr>
      </w:pPr>
      <w:r>
        <w:rPr>
          <w:rFonts w:hint="eastAsia" w:asciiTheme="minorEastAsia" w:hAnsiTheme="minorEastAsia" w:eastAsiaTheme="minorEastAsia"/>
          <w:b/>
          <w:bCs/>
          <w:color w:val="FF0000"/>
          <w:kern w:val="0"/>
          <w:sz w:val="21"/>
          <w:szCs w:val="21"/>
          <w:highlight w:val="yellow"/>
        </w:rPr>
        <w:t>★</w:t>
      </w:r>
      <w:r>
        <w:rPr>
          <w:rFonts w:hint="eastAsia" w:cs="仿宋_GB2312" w:asciiTheme="minorEastAsia" w:hAnsiTheme="minorEastAsia" w:eastAsiaTheme="minorEastAsia"/>
          <w:b/>
          <w:color w:val="FF0000"/>
          <w:sz w:val="21"/>
          <w:szCs w:val="21"/>
          <w:highlight w:val="yellow"/>
        </w:rPr>
        <w:t>（三）报价要求</w:t>
      </w:r>
    </w:p>
    <w:p w14:paraId="28802D3A">
      <w:pPr>
        <w:spacing w:line="288" w:lineRule="auto"/>
        <w:ind w:firstLine="420" w:firstLineChars="200"/>
        <w:rPr>
          <w:rFonts w:hint="default"/>
          <w:lang w:val="en-US" w:eastAsia="zh-CN"/>
        </w:rPr>
      </w:pPr>
      <w:r>
        <w:rPr>
          <w:rFonts w:hint="eastAsia" w:cs="仿宋_GB2312" w:asciiTheme="minorEastAsia" w:hAnsiTheme="minorEastAsia" w:eastAsiaTheme="minorEastAsia"/>
          <w:b w:val="0"/>
          <w:bCs/>
          <w:color w:val="FF0000"/>
          <w:sz w:val="21"/>
          <w:szCs w:val="21"/>
          <w:highlight w:val="yellow"/>
          <w:lang w:val="en-US" w:eastAsia="zh-CN"/>
        </w:rPr>
        <w:t>1、</w:t>
      </w:r>
      <w:r>
        <w:rPr>
          <w:rFonts w:hint="eastAsia" w:cs="仿宋_GB2312" w:asciiTheme="minorEastAsia" w:hAnsiTheme="minorEastAsia" w:eastAsiaTheme="minorEastAsia"/>
          <w:b w:val="0"/>
          <w:bCs/>
          <w:color w:val="FF0000"/>
          <w:sz w:val="21"/>
          <w:szCs w:val="21"/>
          <w:highlight w:val="yellow"/>
        </w:rPr>
        <w:t>本项目的投标报价为折扣率；</w:t>
      </w:r>
      <w:r>
        <w:rPr>
          <w:rFonts w:hint="eastAsia" w:cs="仿宋_GB2312" w:asciiTheme="minorEastAsia" w:hAnsiTheme="minorEastAsia" w:eastAsiaTheme="minorEastAsia"/>
          <w:b w:val="0"/>
          <w:bCs/>
          <w:color w:val="FF0000"/>
          <w:sz w:val="21"/>
          <w:szCs w:val="21"/>
          <w:highlight w:val="yellow"/>
          <w:lang w:val="en-US" w:eastAsia="zh-CN"/>
        </w:rPr>
        <w:t>实际结算金额=产品价格*中标折扣率（产品价格为</w:t>
      </w:r>
      <w:r>
        <w:rPr>
          <w:rFonts w:hint="eastAsia" w:cs="仿宋_GB2312" w:asciiTheme="minorEastAsia" w:hAnsiTheme="minorEastAsia" w:eastAsiaTheme="minorEastAsia"/>
          <w:b w:val="0"/>
          <w:bCs/>
          <w:color w:val="FF0000"/>
          <w:sz w:val="21"/>
          <w:szCs w:val="21"/>
          <w:highlight w:val="yellow"/>
        </w:rPr>
        <w:t>中农网数据食堂采购平台（http://www.chinaap.com）每月5、15、25日粗加工报价表取三天的平均值（平均值精确到分，即小数点后两位）确定各项物资的</w:t>
      </w:r>
      <w:r>
        <w:rPr>
          <w:rFonts w:hint="eastAsia" w:cs="仿宋_GB2312" w:asciiTheme="minorEastAsia" w:hAnsiTheme="minorEastAsia" w:eastAsiaTheme="minorEastAsia"/>
          <w:b w:val="0"/>
          <w:bCs/>
          <w:color w:val="FF0000"/>
          <w:sz w:val="21"/>
          <w:szCs w:val="21"/>
          <w:highlight w:val="yellow"/>
          <w:lang w:val="en-US" w:eastAsia="zh-CN"/>
        </w:rPr>
        <w:t>产品价格）。</w:t>
      </w:r>
    </w:p>
    <w:p w14:paraId="76AEB837">
      <w:pPr>
        <w:pageBreakBefore w:val="0"/>
        <w:kinsoku/>
        <w:wordWrap/>
        <w:overflowPunct/>
        <w:topLinePunct w:val="0"/>
        <w:autoSpaceDE/>
        <w:autoSpaceDN/>
        <w:bidi w:val="0"/>
        <w:spacing w:line="288" w:lineRule="auto"/>
        <w:ind w:firstLine="420" w:firstLineChars="200"/>
        <w:rPr>
          <w:rFonts w:hint="eastAsia" w:cs="仿宋_GB2312" w:asciiTheme="minorEastAsia" w:hAnsiTheme="minorEastAsia" w:eastAsiaTheme="minorEastAsia"/>
          <w:b/>
          <w:color w:val="FF0000"/>
          <w:sz w:val="21"/>
          <w:szCs w:val="21"/>
          <w:highlight w:val="yellow"/>
        </w:rPr>
      </w:pPr>
      <w:r>
        <w:rPr>
          <w:rFonts w:hint="eastAsia" w:cs="仿宋_GB2312" w:asciiTheme="minorEastAsia" w:hAnsiTheme="minorEastAsia" w:eastAsiaTheme="minorEastAsia"/>
          <w:b w:val="0"/>
          <w:bCs/>
          <w:color w:val="FF0000"/>
          <w:sz w:val="21"/>
          <w:szCs w:val="21"/>
          <w:highlight w:val="yellow"/>
          <w:lang w:val="en-US" w:eastAsia="zh-CN"/>
        </w:rPr>
        <w:t>2、</w:t>
      </w:r>
      <w:r>
        <w:rPr>
          <w:rFonts w:hint="eastAsia" w:cs="仿宋_GB2312" w:asciiTheme="minorEastAsia" w:hAnsiTheme="minorEastAsia" w:eastAsiaTheme="minorEastAsia"/>
          <w:b w:val="0"/>
          <w:bCs/>
          <w:color w:val="FF0000"/>
          <w:sz w:val="21"/>
          <w:szCs w:val="21"/>
          <w:highlight w:val="yellow"/>
        </w:rPr>
        <w:t>折扣率</w:t>
      </w:r>
      <w:r>
        <w:rPr>
          <w:rFonts w:hint="eastAsia" w:cs="仿宋_GB2312" w:asciiTheme="minorEastAsia" w:hAnsiTheme="minorEastAsia" w:eastAsiaTheme="minorEastAsia"/>
          <w:b w:val="0"/>
          <w:bCs/>
          <w:color w:val="FF0000"/>
          <w:sz w:val="21"/>
          <w:szCs w:val="21"/>
          <w:highlight w:val="yellow"/>
          <w:lang w:eastAsia="zh-CN"/>
        </w:rPr>
        <w:t>需</w:t>
      </w:r>
      <w:r>
        <w:rPr>
          <w:rFonts w:hint="eastAsia" w:cs="仿宋_GB2312" w:asciiTheme="minorEastAsia" w:hAnsiTheme="minorEastAsia" w:eastAsiaTheme="minorEastAsia"/>
          <w:b w:val="0"/>
          <w:bCs/>
          <w:color w:val="FF0000"/>
          <w:sz w:val="21"/>
          <w:szCs w:val="21"/>
          <w:highlight w:val="yellow"/>
        </w:rPr>
        <w:t>小于或等于1且</w:t>
      </w:r>
      <w:r>
        <w:rPr>
          <w:rFonts w:hint="eastAsia" w:cs="仿宋_GB2312" w:asciiTheme="minorEastAsia" w:hAnsiTheme="minorEastAsia" w:eastAsiaTheme="minorEastAsia"/>
          <w:b w:val="0"/>
          <w:bCs/>
          <w:color w:val="FF0000"/>
          <w:sz w:val="21"/>
          <w:szCs w:val="21"/>
          <w:highlight w:val="yellow"/>
          <w:lang w:val="en-US" w:eastAsia="zh-CN"/>
        </w:rPr>
        <w:t>＞</w:t>
      </w:r>
      <w:r>
        <w:rPr>
          <w:rFonts w:hint="eastAsia" w:cs="仿宋_GB2312" w:asciiTheme="minorEastAsia" w:hAnsiTheme="minorEastAsia" w:eastAsiaTheme="minorEastAsia"/>
          <w:b w:val="0"/>
          <w:bCs/>
          <w:color w:val="FF0000"/>
          <w:sz w:val="21"/>
          <w:szCs w:val="21"/>
          <w:highlight w:val="yellow"/>
        </w:rPr>
        <w:t>0，折扣率在服务期限内保持不变（举例说明：若某种货物的价格为10元/斤，投标人投标报价折扣率为9折，实际结算价格为10元/斤*0.9=</w:t>
      </w:r>
      <w:r>
        <w:rPr>
          <w:rFonts w:hint="eastAsia" w:cs="仿宋_GB2312" w:asciiTheme="minorEastAsia" w:hAnsiTheme="minorEastAsia" w:eastAsiaTheme="minorEastAsia"/>
          <w:b w:val="0"/>
          <w:bCs/>
          <w:color w:val="FF0000"/>
          <w:sz w:val="21"/>
          <w:szCs w:val="21"/>
          <w:highlight w:val="yellow"/>
          <w:lang w:val="en-US" w:eastAsia="zh-CN"/>
        </w:rPr>
        <w:t>9</w:t>
      </w:r>
      <w:r>
        <w:rPr>
          <w:rFonts w:hint="eastAsia" w:cs="仿宋_GB2312" w:asciiTheme="minorEastAsia" w:hAnsiTheme="minorEastAsia" w:eastAsiaTheme="minorEastAsia"/>
          <w:b w:val="0"/>
          <w:bCs/>
          <w:color w:val="FF0000"/>
          <w:sz w:val="21"/>
          <w:szCs w:val="21"/>
          <w:highlight w:val="yellow"/>
        </w:rPr>
        <w:t>元/斤，则在投标文件开标一览表中的折扣率应填0.9（最多保留小数点后两位））。</w:t>
      </w:r>
    </w:p>
    <w:p w14:paraId="1D38CF3B">
      <w:pPr>
        <w:pageBreakBefore w:val="0"/>
        <w:kinsoku/>
        <w:wordWrap/>
        <w:overflowPunct/>
        <w:topLinePunct w:val="0"/>
        <w:autoSpaceDE/>
        <w:autoSpaceDN/>
        <w:bidi w:val="0"/>
        <w:spacing w:line="288" w:lineRule="auto"/>
        <w:ind w:firstLine="211" w:firstLineChars="100"/>
        <w:rPr>
          <w:rFonts w:hint="eastAsia" w:cs="仿宋_GB2312" w:asciiTheme="minorEastAsia" w:hAnsiTheme="minorEastAsia" w:eastAsiaTheme="minorEastAsia"/>
          <w:b/>
          <w:color w:val="000000"/>
          <w:sz w:val="21"/>
          <w:szCs w:val="21"/>
        </w:rPr>
      </w:pPr>
      <w:r>
        <w:rPr>
          <w:rFonts w:hint="eastAsia" w:cs="仿宋_GB2312" w:asciiTheme="minorEastAsia" w:hAnsiTheme="minorEastAsia" w:eastAsiaTheme="minorEastAsia"/>
          <w:b/>
          <w:color w:val="000000"/>
          <w:sz w:val="21"/>
          <w:szCs w:val="21"/>
          <w:lang w:eastAsia="zh-CN"/>
        </w:rPr>
        <w:t>（</w:t>
      </w:r>
      <w:r>
        <w:rPr>
          <w:rFonts w:hint="eastAsia" w:cs="仿宋_GB2312" w:asciiTheme="minorEastAsia" w:hAnsiTheme="minorEastAsia" w:eastAsiaTheme="minorEastAsia"/>
          <w:b/>
          <w:color w:val="000000"/>
          <w:sz w:val="21"/>
          <w:szCs w:val="21"/>
          <w:lang w:val="en-US" w:eastAsia="zh-CN"/>
        </w:rPr>
        <w:t>四</w:t>
      </w:r>
      <w:r>
        <w:rPr>
          <w:rFonts w:hint="eastAsia" w:cs="仿宋_GB2312" w:asciiTheme="minorEastAsia" w:hAnsiTheme="minorEastAsia" w:eastAsiaTheme="minorEastAsia"/>
          <w:b/>
          <w:color w:val="000000"/>
          <w:sz w:val="21"/>
          <w:szCs w:val="21"/>
          <w:lang w:eastAsia="zh-CN"/>
        </w:rPr>
        <w:t>）</w:t>
      </w:r>
      <w:r>
        <w:rPr>
          <w:rFonts w:hint="eastAsia" w:cs="仿宋_GB2312" w:asciiTheme="minorEastAsia" w:hAnsiTheme="minorEastAsia" w:eastAsiaTheme="minorEastAsia"/>
          <w:b/>
          <w:color w:val="000000"/>
          <w:sz w:val="21"/>
          <w:szCs w:val="21"/>
        </w:rPr>
        <w:t>项目服务需求</w:t>
      </w:r>
    </w:p>
    <w:p w14:paraId="799A24FA">
      <w:pPr>
        <w:pageBreakBefore w:val="0"/>
        <w:kinsoku/>
        <w:wordWrap/>
        <w:overflowPunct/>
        <w:topLinePunct w:val="0"/>
        <w:autoSpaceDE/>
        <w:autoSpaceDN/>
        <w:bidi w:val="0"/>
        <w:spacing w:line="288" w:lineRule="auto"/>
        <w:ind w:firstLine="420" w:firstLineChars="200"/>
        <w:rPr>
          <w:rFonts w:hint="eastAsia" w:cs="仿宋_GB2312" w:asciiTheme="minorEastAsia" w:hAnsiTheme="minorEastAsia" w:eastAsiaTheme="minorEastAsia"/>
          <w:b w:val="0"/>
          <w:bCs/>
          <w:color w:val="000000"/>
          <w:sz w:val="21"/>
          <w:szCs w:val="21"/>
        </w:rPr>
      </w:pPr>
      <w:r>
        <w:rPr>
          <w:rFonts w:hint="eastAsia" w:cs="仿宋_GB2312" w:asciiTheme="minorEastAsia" w:hAnsiTheme="minorEastAsia" w:eastAsiaTheme="minorEastAsia"/>
          <w:b w:val="0"/>
          <w:bCs/>
          <w:color w:val="000000"/>
          <w:sz w:val="21"/>
          <w:szCs w:val="21"/>
        </w:rPr>
        <w:t>1、此招标项目中标后不得转包或分包，一经发现，取消中标资格。</w:t>
      </w:r>
    </w:p>
    <w:p w14:paraId="50966166">
      <w:pPr>
        <w:pageBreakBefore w:val="0"/>
        <w:kinsoku/>
        <w:wordWrap/>
        <w:overflowPunct/>
        <w:topLinePunct w:val="0"/>
        <w:autoSpaceDE/>
        <w:autoSpaceDN/>
        <w:bidi w:val="0"/>
        <w:spacing w:line="288" w:lineRule="auto"/>
        <w:ind w:firstLine="420" w:firstLineChars="200"/>
        <w:rPr>
          <w:rFonts w:hint="eastAsia" w:cs="仿宋_GB2312" w:asciiTheme="minorEastAsia" w:hAnsiTheme="minorEastAsia" w:eastAsiaTheme="minorEastAsia"/>
          <w:b w:val="0"/>
          <w:bCs/>
          <w:color w:val="000000"/>
          <w:sz w:val="21"/>
          <w:szCs w:val="21"/>
        </w:rPr>
      </w:pPr>
      <w:r>
        <w:rPr>
          <w:rFonts w:hint="eastAsia" w:cs="仿宋_GB2312" w:asciiTheme="minorEastAsia" w:hAnsiTheme="minorEastAsia" w:eastAsiaTheme="minorEastAsia"/>
          <w:b w:val="0"/>
          <w:bCs/>
          <w:color w:val="000000"/>
          <w:sz w:val="21"/>
          <w:szCs w:val="21"/>
        </w:rPr>
        <w:t>2、中标后应保证所提供的鲜水产、蔬菜种类的多样性和季节性，以保证食材的新鲜感。</w:t>
      </w:r>
    </w:p>
    <w:p w14:paraId="0252D6F9">
      <w:pPr>
        <w:pageBreakBefore w:val="0"/>
        <w:kinsoku/>
        <w:wordWrap/>
        <w:overflowPunct/>
        <w:topLinePunct w:val="0"/>
        <w:autoSpaceDE/>
        <w:autoSpaceDN/>
        <w:bidi w:val="0"/>
        <w:spacing w:line="288" w:lineRule="auto"/>
        <w:ind w:firstLine="420" w:firstLineChars="200"/>
        <w:rPr>
          <w:rFonts w:hint="eastAsia" w:cs="仿宋_GB2312" w:asciiTheme="minorEastAsia" w:hAnsiTheme="minorEastAsia" w:eastAsiaTheme="minorEastAsia"/>
          <w:b w:val="0"/>
          <w:bCs/>
          <w:color w:val="000000"/>
          <w:sz w:val="21"/>
          <w:szCs w:val="21"/>
        </w:rPr>
      </w:pPr>
      <w:r>
        <w:rPr>
          <w:rFonts w:hint="eastAsia" w:cs="仿宋_GB2312" w:asciiTheme="minorEastAsia" w:hAnsiTheme="minorEastAsia" w:eastAsiaTheme="minorEastAsia"/>
          <w:b w:val="0"/>
          <w:bCs/>
          <w:color w:val="000000"/>
          <w:sz w:val="21"/>
          <w:szCs w:val="21"/>
        </w:rPr>
        <w:t>3、采购人发现商品出现损坏（包括表面损坏），或出现水渍、串味、受潮等导致货物性质改变的，中标单位应无条件退货或更换商品。</w:t>
      </w:r>
    </w:p>
    <w:p w14:paraId="1BAA1E3B">
      <w:pPr>
        <w:pageBreakBefore w:val="0"/>
        <w:kinsoku/>
        <w:wordWrap/>
        <w:overflowPunct/>
        <w:topLinePunct w:val="0"/>
        <w:autoSpaceDE/>
        <w:autoSpaceDN/>
        <w:bidi w:val="0"/>
        <w:spacing w:line="288" w:lineRule="auto"/>
        <w:ind w:firstLine="211" w:firstLineChars="100"/>
        <w:rPr>
          <w:rFonts w:hint="eastAsia" w:cs="仿宋_GB2312" w:asciiTheme="minorEastAsia" w:hAnsiTheme="minorEastAsia" w:eastAsiaTheme="minorEastAsia"/>
          <w:b/>
          <w:color w:val="000000"/>
          <w:sz w:val="21"/>
          <w:szCs w:val="21"/>
          <w:lang w:eastAsia="zh-CN"/>
        </w:rPr>
      </w:pPr>
      <w:r>
        <w:rPr>
          <w:rFonts w:hint="eastAsia" w:cs="仿宋_GB2312" w:asciiTheme="minorEastAsia" w:hAnsiTheme="minorEastAsia" w:eastAsiaTheme="minorEastAsia"/>
          <w:b/>
          <w:color w:val="000000"/>
          <w:sz w:val="21"/>
          <w:szCs w:val="21"/>
          <w:lang w:eastAsia="zh-CN"/>
        </w:rPr>
        <w:t>（</w:t>
      </w:r>
      <w:r>
        <w:rPr>
          <w:rFonts w:hint="eastAsia" w:cs="仿宋_GB2312" w:asciiTheme="minorEastAsia" w:hAnsiTheme="minorEastAsia" w:eastAsiaTheme="minorEastAsia"/>
          <w:b/>
          <w:color w:val="000000"/>
          <w:sz w:val="21"/>
          <w:szCs w:val="21"/>
          <w:lang w:val="en-US" w:eastAsia="zh-CN"/>
        </w:rPr>
        <w:t>五</w:t>
      </w:r>
      <w:r>
        <w:rPr>
          <w:rFonts w:hint="eastAsia" w:cs="仿宋_GB2312" w:asciiTheme="minorEastAsia" w:hAnsiTheme="minorEastAsia" w:eastAsiaTheme="minorEastAsia"/>
          <w:b/>
          <w:color w:val="000000"/>
          <w:sz w:val="21"/>
          <w:szCs w:val="21"/>
          <w:lang w:eastAsia="zh-CN"/>
        </w:rPr>
        <w:t>）付款方式</w:t>
      </w:r>
    </w:p>
    <w:p w14:paraId="21099091">
      <w:pPr>
        <w:pageBreakBefore w:val="0"/>
        <w:widowControl/>
        <w:kinsoku/>
        <w:wordWrap/>
        <w:overflowPunct/>
        <w:topLinePunct w:val="0"/>
        <w:autoSpaceDE/>
        <w:autoSpaceDN/>
        <w:bidi w:val="0"/>
        <w:spacing w:line="288" w:lineRule="auto"/>
        <w:ind w:firstLine="420" w:firstLineChars="200"/>
        <w:rPr>
          <w:rFonts w:hint="eastAsia" w:cs="仿宋_GB2312" w:asciiTheme="minorEastAsia" w:hAnsiTheme="minorEastAsia" w:eastAsiaTheme="minorEastAsia"/>
          <w:b w:val="0"/>
          <w:bCs/>
          <w:color w:val="000000"/>
          <w:sz w:val="21"/>
          <w:szCs w:val="21"/>
        </w:rPr>
      </w:pPr>
      <w:r>
        <w:rPr>
          <w:rFonts w:hint="eastAsia" w:cs="宋体" w:asciiTheme="minorEastAsia" w:hAnsiTheme="minorEastAsia" w:eastAsiaTheme="minorEastAsia"/>
          <w:sz w:val="21"/>
          <w:szCs w:val="21"/>
        </w:rPr>
        <w:t>根据每月实际配送货物所需费用，每月结算一次。供应商提供的货款发票，发票公章必</w:t>
      </w:r>
      <w:r>
        <w:rPr>
          <w:rFonts w:hint="eastAsia" w:cs="宋体" w:asciiTheme="minorEastAsia" w:hAnsiTheme="minorEastAsia" w:eastAsiaTheme="minorEastAsia"/>
          <w:sz w:val="21"/>
          <w:szCs w:val="21"/>
          <w:lang w:eastAsia="zh-CN"/>
        </w:rPr>
        <w:t>需</w:t>
      </w:r>
      <w:r>
        <w:rPr>
          <w:rFonts w:hint="eastAsia" w:cs="宋体" w:asciiTheme="minorEastAsia" w:hAnsiTheme="minorEastAsia" w:eastAsiaTheme="minorEastAsia"/>
          <w:sz w:val="21"/>
          <w:szCs w:val="21"/>
        </w:rPr>
        <w:t>与公司名称相符，合同方、收款方、发票方三者必</w:t>
      </w:r>
      <w:r>
        <w:rPr>
          <w:rFonts w:hint="eastAsia" w:cs="宋体" w:asciiTheme="minorEastAsia" w:hAnsiTheme="minorEastAsia" w:eastAsiaTheme="minorEastAsia"/>
          <w:sz w:val="21"/>
          <w:szCs w:val="21"/>
          <w:lang w:eastAsia="zh-CN"/>
        </w:rPr>
        <w:t>需</w:t>
      </w:r>
      <w:r>
        <w:rPr>
          <w:rFonts w:hint="eastAsia" w:cs="宋体" w:asciiTheme="minorEastAsia" w:hAnsiTheme="minorEastAsia" w:eastAsiaTheme="minorEastAsia"/>
          <w:sz w:val="21"/>
          <w:szCs w:val="21"/>
        </w:rPr>
        <w:t>一致，采购方确认后予以支付。若提供假发票，除补开真发票外，采购方可解除合同，且采购人保留向税务及公安机关举报的权力。</w:t>
      </w:r>
      <w:r>
        <w:rPr>
          <w:rFonts w:hint="eastAsia" w:cs="宋体" w:asciiTheme="minorEastAsia" w:hAnsiTheme="minorEastAsia" w:eastAsiaTheme="minorEastAsia"/>
          <w:sz w:val="21"/>
          <w:szCs w:val="21"/>
          <w:lang w:val="en-US" w:eastAsia="zh-CN"/>
        </w:rPr>
        <w:t>详情</w:t>
      </w:r>
      <w:r>
        <w:rPr>
          <w:rFonts w:hint="eastAsia" w:cs="仿宋_GB2312" w:asciiTheme="minorEastAsia" w:hAnsiTheme="minorEastAsia" w:eastAsiaTheme="minorEastAsia"/>
          <w:b w:val="0"/>
          <w:bCs/>
          <w:color w:val="000000"/>
          <w:sz w:val="21"/>
          <w:szCs w:val="21"/>
        </w:rPr>
        <w:t>按照深圳市龙岗区财政局相关规定执行。</w:t>
      </w:r>
    </w:p>
    <w:p w14:paraId="53BDE2FB">
      <w:pPr>
        <w:pageBreakBefore w:val="0"/>
        <w:kinsoku/>
        <w:wordWrap/>
        <w:overflowPunct/>
        <w:topLinePunct w:val="0"/>
        <w:autoSpaceDE/>
        <w:autoSpaceDN/>
        <w:bidi w:val="0"/>
        <w:spacing w:line="288" w:lineRule="auto"/>
        <w:rPr>
          <w:rFonts w:hint="eastAsia" w:ascii="宋体" w:hAnsi="宋体" w:eastAsia="宋体" w:cs="宋体"/>
          <w:lang w:eastAsia="zh-CN"/>
        </w:rPr>
      </w:pPr>
    </w:p>
    <w:p w14:paraId="2F3BCAA3">
      <w:pPr>
        <w:pageBreakBefore w:val="0"/>
        <w:tabs>
          <w:tab w:val="left" w:pos="426"/>
        </w:tabs>
        <w:kinsoku/>
        <w:wordWrap/>
        <w:overflowPunct/>
        <w:topLinePunct w:val="0"/>
        <w:autoSpaceDE/>
        <w:autoSpaceDN/>
        <w:bidi w:val="0"/>
        <w:spacing w:line="288"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附件1：《食品供应货物验收标准》</w:t>
      </w:r>
    </w:p>
    <w:p w14:paraId="003705ED">
      <w:pPr>
        <w:pageBreakBefore w:val="0"/>
        <w:tabs>
          <w:tab w:val="left" w:pos="426"/>
        </w:tabs>
        <w:kinsoku/>
        <w:wordWrap/>
        <w:overflowPunct/>
        <w:topLinePunct w:val="0"/>
        <w:autoSpaceDE/>
        <w:autoSpaceDN/>
        <w:bidi w:val="0"/>
        <w:spacing w:line="288"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stheme="minorEastAsia"/>
          <w:color w:val="auto"/>
          <w:sz w:val="21"/>
          <w:szCs w:val="21"/>
        </w:rPr>
        <w:t>附件2：《食品供应货物验收考核表》</w:t>
      </w:r>
    </w:p>
    <w:p w14:paraId="4E844EE1">
      <w:pPr>
        <w:pageBreakBefore w:val="0"/>
        <w:tabs>
          <w:tab w:val="left" w:pos="426"/>
        </w:tabs>
        <w:kinsoku/>
        <w:wordWrap/>
        <w:overflowPunct/>
        <w:topLinePunct w:val="0"/>
        <w:autoSpaceDE/>
        <w:autoSpaceDN/>
        <w:bidi w:val="0"/>
        <w:spacing w:line="288" w:lineRule="auto"/>
        <w:ind w:firstLine="420" w:firstLineChars="200"/>
        <w:rPr>
          <w:rFonts w:hint="default" w:asciiTheme="minorEastAsia" w:hAnsiTheme="minorEastAsia" w:eastAsiaTheme="minorEastAsia" w:cstheme="minorEastAsia"/>
          <w:color w:val="auto"/>
          <w:sz w:val="21"/>
          <w:szCs w:val="21"/>
          <w:lang w:val="en-US" w:eastAsia="zh-CN"/>
        </w:rPr>
        <w:sectPr>
          <w:footerReference r:id="rId7" w:type="even"/>
          <w:pgSz w:w="11906" w:h="16838"/>
          <w:pgMar w:top="1440" w:right="1800" w:bottom="1440" w:left="1800" w:header="851" w:footer="992" w:gutter="0"/>
          <w:cols w:space="425" w:num="1"/>
          <w:titlePg/>
          <w:docGrid w:linePitch="462" w:charSpace="0"/>
        </w:sectPr>
      </w:pPr>
      <w:r>
        <w:rPr>
          <w:rFonts w:hint="eastAsia" w:asciiTheme="minorEastAsia" w:hAnsiTheme="minorEastAsia" w:eastAsiaTheme="minorEastAsia" w:cstheme="minorEastAsia"/>
          <w:color w:val="auto"/>
          <w:sz w:val="21"/>
          <w:szCs w:val="21"/>
          <w:lang w:val="en-US" w:eastAsia="zh-CN"/>
        </w:rPr>
        <w:t>附件3：其他附件</w:t>
      </w:r>
    </w:p>
    <w:p w14:paraId="0F4A728F">
      <w:pPr>
        <w:pageBreakBefore w:val="0"/>
        <w:tabs>
          <w:tab w:val="left" w:pos="426"/>
        </w:tabs>
        <w:kinsoku/>
        <w:wordWrap/>
        <w:overflowPunct/>
        <w:topLinePunct w:val="0"/>
        <w:autoSpaceDE/>
        <w:autoSpaceDN/>
        <w:bidi w:val="0"/>
        <w:spacing w:line="288" w:lineRule="auto"/>
        <w:rPr>
          <w:rFonts w:asciiTheme="minorEastAsia" w:hAnsiTheme="minorEastAsia" w:eastAsiaTheme="minorEastAsia"/>
          <w:b/>
          <w:color w:val="auto"/>
          <w:szCs w:val="21"/>
        </w:rPr>
      </w:pPr>
    </w:p>
    <w:p w14:paraId="360AEEFF">
      <w:pPr>
        <w:pageBreakBefore w:val="0"/>
        <w:tabs>
          <w:tab w:val="left" w:pos="426"/>
        </w:tabs>
        <w:kinsoku/>
        <w:wordWrap/>
        <w:overflowPunct/>
        <w:topLinePunct w:val="0"/>
        <w:autoSpaceDE/>
        <w:autoSpaceDN/>
        <w:bidi w:val="0"/>
        <w:spacing w:line="288" w:lineRule="auto"/>
        <w:rPr>
          <w:rFonts w:asciiTheme="minorEastAsia" w:hAnsiTheme="minorEastAsia" w:eastAsiaTheme="minorEastAsia"/>
          <w:color w:val="auto"/>
          <w:szCs w:val="21"/>
        </w:rPr>
      </w:pPr>
      <w:r>
        <w:rPr>
          <w:rFonts w:hint="eastAsia" w:asciiTheme="minorEastAsia" w:hAnsiTheme="minorEastAsia" w:eastAsiaTheme="minorEastAsia"/>
          <w:b/>
          <w:bCs/>
          <w:color w:val="auto"/>
          <w:szCs w:val="21"/>
        </w:rPr>
        <w:t>附件一：《食品供应货物验收标准》</w:t>
      </w:r>
    </w:p>
    <w:p w14:paraId="6BBF5638">
      <w:pPr>
        <w:pageBreakBefore w:val="0"/>
        <w:tabs>
          <w:tab w:val="left" w:pos="426"/>
        </w:tabs>
        <w:kinsoku/>
        <w:wordWrap/>
        <w:overflowPunct/>
        <w:topLinePunct w:val="0"/>
        <w:autoSpaceDE/>
        <w:autoSpaceDN/>
        <w:bidi w:val="0"/>
        <w:spacing w:line="288" w:lineRule="auto"/>
        <w:rPr>
          <w:rFonts w:asciiTheme="minorEastAsia" w:hAnsiTheme="minorEastAsia" w:eastAsiaTheme="minorEastAsia"/>
          <w:color w:val="auto"/>
          <w:szCs w:val="21"/>
        </w:rPr>
      </w:pPr>
    </w:p>
    <w:p w14:paraId="64316DB4">
      <w:pPr>
        <w:pageBreakBefore w:val="0"/>
        <w:tabs>
          <w:tab w:val="left" w:pos="426"/>
        </w:tabs>
        <w:kinsoku/>
        <w:wordWrap/>
        <w:overflowPunct/>
        <w:topLinePunct w:val="0"/>
        <w:autoSpaceDE/>
        <w:autoSpaceDN/>
        <w:bidi w:val="0"/>
        <w:spacing w:line="288"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食品供应货物验收标准</w:t>
      </w:r>
    </w:p>
    <w:p w14:paraId="75DB2CB1">
      <w:pPr>
        <w:pageBreakBefore w:val="0"/>
        <w:tabs>
          <w:tab w:val="left" w:pos="426"/>
        </w:tabs>
        <w:kinsoku/>
        <w:wordWrap/>
        <w:overflowPunct/>
        <w:topLinePunct w:val="0"/>
        <w:autoSpaceDE/>
        <w:autoSpaceDN/>
        <w:bidi w:val="0"/>
        <w:spacing w:line="288"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为保证师生吃得安全，吃得放心，对厨房所采购的一切</w:t>
      </w:r>
      <w:r>
        <w:rPr>
          <w:rFonts w:hint="eastAsia" w:asciiTheme="minorEastAsia" w:hAnsiTheme="minorEastAsia" w:eastAsiaTheme="minorEastAsia"/>
          <w:color w:val="auto"/>
          <w:szCs w:val="21"/>
          <w:lang w:val="en-US" w:eastAsia="zh-CN"/>
        </w:rPr>
        <w:t>其他食材</w:t>
      </w:r>
      <w:r>
        <w:rPr>
          <w:rFonts w:hint="eastAsia" w:asciiTheme="minorEastAsia" w:hAnsiTheme="minorEastAsia" w:eastAsiaTheme="minorEastAsia"/>
          <w:color w:val="auto"/>
          <w:szCs w:val="21"/>
        </w:rPr>
        <w:t>，制定以下验收标准：</w:t>
      </w:r>
    </w:p>
    <w:p w14:paraId="6F57CDC5">
      <w:pPr>
        <w:pageBreakBefore w:val="0"/>
        <w:tabs>
          <w:tab w:val="left" w:pos="426"/>
        </w:tabs>
        <w:kinsoku/>
        <w:wordWrap/>
        <w:overflowPunct/>
        <w:topLinePunct w:val="0"/>
        <w:autoSpaceDE/>
        <w:autoSpaceDN/>
        <w:bidi w:val="0"/>
        <w:spacing w:line="288" w:lineRule="auto"/>
        <w:rPr>
          <w:rFonts w:asciiTheme="minorEastAsia" w:hAnsiTheme="minorEastAsia" w:eastAsiaTheme="minorEastAsia"/>
          <w:color w:val="auto"/>
          <w:szCs w:val="21"/>
        </w:rPr>
      </w:pPr>
      <w:r>
        <w:rPr>
          <w:rFonts w:asciiTheme="minorEastAsia" w:hAnsiTheme="minorEastAsia" w:eastAsiaTheme="minorEastAsia"/>
          <w:color w:val="auto"/>
          <w:szCs w:val="21"/>
        </w:rPr>
        <w:t>1、送货时间每</w:t>
      </w:r>
      <w:r>
        <w:rPr>
          <w:rFonts w:hint="eastAsia" w:asciiTheme="minorEastAsia" w:hAnsiTheme="minorEastAsia" w:eastAsiaTheme="minorEastAsia"/>
          <w:color w:val="auto"/>
          <w:szCs w:val="21"/>
        </w:rPr>
        <w:t>天上午</w:t>
      </w:r>
      <w:r>
        <w:rPr>
          <w:rFonts w:hint="eastAsia" w:asciiTheme="minorEastAsia" w:hAnsiTheme="minorEastAsia" w:eastAsiaTheme="minorEastAsia"/>
          <w:color w:val="auto"/>
          <w:szCs w:val="21"/>
          <w:lang w:val="en-US" w:eastAsia="zh-CN"/>
        </w:rPr>
        <w:t>5</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szCs w:val="21"/>
          <w:lang w:val="en-US" w:eastAsia="zh-CN"/>
        </w:rPr>
        <w:t>30</w:t>
      </w:r>
      <w:r>
        <w:rPr>
          <w:rFonts w:hint="eastAsia" w:asciiTheme="minorEastAsia" w:hAnsiTheme="minorEastAsia" w:eastAsiaTheme="minorEastAsia"/>
          <w:color w:val="auto"/>
          <w:szCs w:val="21"/>
        </w:rPr>
        <w:t>点前按量、按标准要求送到</w:t>
      </w:r>
      <w:r>
        <w:rPr>
          <w:rFonts w:hint="eastAsia" w:asciiTheme="minorEastAsia" w:hAnsiTheme="minorEastAsia" w:eastAsiaTheme="minorEastAsia"/>
          <w:color w:val="auto"/>
          <w:szCs w:val="21"/>
          <w:lang w:eastAsia="zh-CN"/>
        </w:rPr>
        <w:t>深圳市龙岗区横岗六约学校</w:t>
      </w:r>
      <w:r>
        <w:rPr>
          <w:rFonts w:hint="eastAsia" w:asciiTheme="minorEastAsia" w:hAnsiTheme="minorEastAsia" w:eastAsiaTheme="minorEastAsia"/>
          <w:color w:val="auto"/>
          <w:szCs w:val="21"/>
        </w:rPr>
        <w:t>指定地点验收，如发生特殊情况要立即启</w:t>
      </w:r>
      <w:r>
        <w:rPr>
          <w:rFonts w:asciiTheme="minorEastAsia" w:hAnsiTheme="minorEastAsia" w:eastAsiaTheme="minorEastAsia"/>
          <w:color w:val="auto"/>
          <w:szCs w:val="21"/>
        </w:rPr>
        <w:t>动应急预案，确保按时送达。（双方人员现场书面确认具体送达时间，如有异议可通过</w:t>
      </w:r>
      <w:r>
        <w:rPr>
          <w:rFonts w:hint="eastAsia" w:cs="Times New Roman" w:asciiTheme="minorEastAsia" w:hAnsiTheme="minorEastAsia" w:eastAsiaTheme="minorEastAsia"/>
          <w:b w:val="0"/>
          <w:color w:val="auto"/>
          <w:kern w:val="2"/>
          <w:sz w:val="21"/>
          <w:szCs w:val="21"/>
          <w:lang w:eastAsia="zh-CN"/>
        </w:rPr>
        <w:t>深圳市龙岗区横岗六约学校</w:t>
      </w:r>
      <w:r>
        <w:rPr>
          <w:rFonts w:asciiTheme="minorEastAsia" w:hAnsiTheme="minorEastAsia" w:eastAsiaTheme="minorEastAsia"/>
          <w:color w:val="auto"/>
          <w:szCs w:val="21"/>
        </w:rPr>
        <w:t>视频予以确认）。</w:t>
      </w:r>
    </w:p>
    <w:p w14:paraId="7DC0A7A7">
      <w:pPr>
        <w:pageBreakBefore w:val="0"/>
        <w:tabs>
          <w:tab w:val="left" w:pos="426"/>
        </w:tabs>
        <w:kinsoku/>
        <w:wordWrap/>
        <w:overflowPunct/>
        <w:topLinePunct w:val="0"/>
        <w:autoSpaceDE/>
        <w:autoSpaceDN/>
        <w:bidi w:val="0"/>
        <w:spacing w:line="288"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中标供应商如送货迟到一次采购单位应提出口头警告，并要求供应商作出书面保证；两次迟到或者一次迟到</w:t>
      </w:r>
      <w:r>
        <w:rPr>
          <w:rFonts w:asciiTheme="minorEastAsia" w:hAnsiTheme="minorEastAsia" w:eastAsiaTheme="minorEastAsia"/>
          <w:color w:val="auto"/>
          <w:szCs w:val="21"/>
        </w:rPr>
        <w:t>30分钟以上的扣罚当天总货款的10%；三次迟到或者两次迟到30分钟以上，采购单位可解除其供货合同。</w:t>
      </w:r>
    </w:p>
    <w:p w14:paraId="75F0B017">
      <w:pPr>
        <w:pageBreakBefore w:val="0"/>
        <w:tabs>
          <w:tab w:val="left" w:pos="426"/>
        </w:tabs>
        <w:kinsoku/>
        <w:wordWrap/>
        <w:overflowPunct/>
        <w:topLinePunct w:val="0"/>
        <w:autoSpaceDE/>
        <w:autoSpaceDN/>
        <w:bidi w:val="0"/>
        <w:spacing w:line="288" w:lineRule="auto"/>
        <w:rPr>
          <w:rFonts w:asciiTheme="minorEastAsia" w:hAnsiTheme="minorEastAsia" w:eastAsiaTheme="minorEastAsia"/>
          <w:color w:val="auto"/>
          <w:szCs w:val="21"/>
        </w:rPr>
      </w:pPr>
      <w:r>
        <w:rPr>
          <w:rFonts w:asciiTheme="minorEastAsia" w:hAnsiTheme="minorEastAsia" w:eastAsiaTheme="minorEastAsia"/>
          <w:color w:val="auto"/>
          <w:szCs w:val="21"/>
        </w:rPr>
        <w:t>2、中标供应商和采购单位要做好每日</w:t>
      </w:r>
      <w:r>
        <w:rPr>
          <w:rFonts w:hint="eastAsia" w:asciiTheme="minorEastAsia" w:hAnsiTheme="minorEastAsia" w:eastAsiaTheme="minorEastAsia"/>
          <w:color w:val="auto"/>
          <w:szCs w:val="21"/>
          <w:lang w:val="en-US" w:eastAsia="zh-CN"/>
        </w:rPr>
        <w:t>其他食材品种</w:t>
      </w:r>
      <w:r>
        <w:rPr>
          <w:rFonts w:asciiTheme="minorEastAsia" w:hAnsiTheme="minorEastAsia" w:eastAsiaTheme="minorEastAsia"/>
          <w:color w:val="auto"/>
          <w:szCs w:val="21"/>
        </w:rPr>
        <w:t>、数量等采购需求的对接工作，明确需求品种、数量以及具体的要求；双方同时制定</w:t>
      </w:r>
      <w:r>
        <w:rPr>
          <w:rFonts w:hint="eastAsia" w:asciiTheme="minorEastAsia" w:hAnsiTheme="minorEastAsia" w:eastAsiaTheme="minorEastAsia"/>
          <w:color w:val="auto"/>
          <w:szCs w:val="21"/>
          <w:lang w:val="en-US" w:eastAsia="zh-CN"/>
        </w:rPr>
        <w:t>其他食材</w:t>
      </w:r>
      <w:r>
        <w:rPr>
          <w:rFonts w:asciiTheme="minorEastAsia" w:hAnsiTheme="minorEastAsia" w:eastAsiaTheme="minorEastAsia"/>
          <w:color w:val="auto"/>
          <w:szCs w:val="21"/>
        </w:rPr>
        <w:t>收货和验收制度、具体工作流程。</w:t>
      </w:r>
    </w:p>
    <w:p w14:paraId="7048CFD7">
      <w:pPr>
        <w:pageBreakBefore w:val="0"/>
        <w:tabs>
          <w:tab w:val="left" w:pos="426"/>
        </w:tabs>
        <w:kinsoku/>
        <w:wordWrap/>
        <w:overflowPunct/>
        <w:topLinePunct w:val="0"/>
        <w:autoSpaceDE/>
        <w:autoSpaceDN/>
        <w:bidi w:val="0"/>
        <w:spacing w:line="288"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中标供应商应严格按照各品格的具体供货标准和收货验收制度等做好采购配送工作，确保所配送的货物符合要求。双方在收货验收过程中，发现所送货物不符合要求，收货验收工作人员要现场拍照留存作为证据，并对相关货物进行封存留验；如采购单位聘请了第三方监管公司的，由监管公司主导处理并形成书面材料。如果因中标供应商所送的货物质量问题导致</w:t>
      </w:r>
      <w:r>
        <w:rPr>
          <w:rFonts w:hint="eastAsia" w:cs="Times New Roman" w:asciiTheme="minorEastAsia" w:hAnsiTheme="minorEastAsia" w:eastAsiaTheme="minorEastAsia"/>
          <w:b w:val="0"/>
          <w:color w:val="auto"/>
          <w:kern w:val="2"/>
          <w:sz w:val="21"/>
          <w:szCs w:val="21"/>
          <w:lang w:eastAsia="zh-CN"/>
        </w:rPr>
        <w:t>深圳市龙岗区横岗六约学校</w:t>
      </w:r>
      <w:r>
        <w:rPr>
          <w:rFonts w:hint="eastAsia" w:asciiTheme="minorEastAsia" w:hAnsiTheme="minorEastAsia" w:eastAsiaTheme="minorEastAsia"/>
          <w:color w:val="auto"/>
          <w:szCs w:val="21"/>
        </w:rPr>
        <w:t>发生食品安全事件，将由食品监督部门按相关法律追究其法律责任。</w:t>
      </w:r>
    </w:p>
    <w:p w14:paraId="5684C3A6">
      <w:pPr>
        <w:pageBreakBefore w:val="0"/>
        <w:tabs>
          <w:tab w:val="left" w:pos="426"/>
        </w:tabs>
        <w:kinsoku/>
        <w:wordWrap/>
        <w:overflowPunct/>
        <w:topLinePunct w:val="0"/>
        <w:autoSpaceDE/>
        <w:autoSpaceDN/>
        <w:bidi w:val="0"/>
        <w:spacing w:line="288"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对中标公司所送货物不符合要求的，出现一次，由采购方向供货方提出口头批评；二次，采购方向供货方提出警告，供货方向采购方作出书面保证；三次，扣除该项当天出现质量达不到要求的货物的货款总价；三次以上，采购方有权解除其供货合同。供货方交售的鲜活产品如有污染或疾病的，采购方有权拒收，并可按国家有关规定处理。</w:t>
      </w:r>
    </w:p>
    <w:p w14:paraId="036EAA57">
      <w:pPr>
        <w:pageBreakBefore w:val="0"/>
        <w:tabs>
          <w:tab w:val="left" w:pos="426"/>
        </w:tabs>
        <w:kinsoku/>
        <w:wordWrap/>
        <w:overflowPunct/>
        <w:topLinePunct w:val="0"/>
        <w:autoSpaceDE/>
        <w:autoSpaceDN/>
        <w:bidi w:val="0"/>
        <w:spacing w:line="288"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3</w:t>
      </w:r>
      <w:r>
        <w:rPr>
          <w:rFonts w:asciiTheme="minorEastAsia" w:hAnsiTheme="minorEastAsia" w:eastAsiaTheme="minorEastAsia"/>
          <w:color w:val="auto"/>
          <w:szCs w:val="21"/>
        </w:rPr>
        <w:t>、水产类</w:t>
      </w:r>
      <w:r>
        <w:rPr>
          <w:rFonts w:hint="eastAsia" w:asciiTheme="minorEastAsia" w:hAnsiTheme="minorEastAsia" w:eastAsiaTheme="minorEastAsia"/>
          <w:color w:val="auto"/>
          <w:szCs w:val="21"/>
          <w:lang w:eastAsia="zh-CN"/>
        </w:rPr>
        <w:t>：</w:t>
      </w:r>
      <w:r>
        <w:rPr>
          <w:rFonts w:asciiTheme="minorEastAsia" w:hAnsiTheme="minorEastAsia" w:eastAsiaTheme="minorEastAsia"/>
          <w:color w:val="auto"/>
          <w:szCs w:val="21"/>
        </w:rPr>
        <w:t>活鲜水产鳞片完整有粘液，眼睛饱满、明亮，游动灵活，大小均匀品相较好。冰鲜水产表面鱼鳞完整，体表无破损，眼睛清晰且完整，大小均匀，品相较好。鲜活水产要求送货必</w:t>
      </w:r>
      <w:r>
        <w:rPr>
          <w:rFonts w:hint="eastAsia" w:asciiTheme="minorEastAsia" w:hAnsiTheme="minorEastAsia" w:eastAsiaTheme="minorEastAsia"/>
          <w:color w:val="auto"/>
          <w:szCs w:val="21"/>
          <w:lang w:eastAsia="zh-CN"/>
        </w:rPr>
        <w:t>需</w:t>
      </w:r>
      <w:r>
        <w:rPr>
          <w:rFonts w:asciiTheme="minorEastAsia" w:hAnsiTheme="minorEastAsia" w:eastAsiaTheme="minorEastAsia"/>
          <w:color w:val="auto"/>
          <w:szCs w:val="21"/>
        </w:rPr>
        <w:t>要配有冲气装备及海鲜车配送服务。</w:t>
      </w:r>
    </w:p>
    <w:p w14:paraId="53FB99F3">
      <w:pPr>
        <w:pageBreakBefore w:val="0"/>
        <w:tabs>
          <w:tab w:val="left" w:pos="426"/>
        </w:tabs>
        <w:kinsoku/>
        <w:wordWrap/>
        <w:overflowPunct/>
        <w:topLinePunct w:val="0"/>
        <w:autoSpaceDE/>
        <w:autoSpaceDN/>
        <w:bidi w:val="0"/>
        <w:spacing w:line="288"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4</w:t>
      </w:r>
      <w:r>
        <w:rPr>
          <w:rFonts w:asciiTheme="minorEastAsia" w:hAnsiTheme="minorEastAsia" w:eastAsiaTheme="minorEastAsia"/>
          <w:color w:val="auto"/>
          <w:szCs w:val="21"/>
        </w:rPr>
        <w:t>、河粉、豆制品类</w:t>
      </w:r>
      <w:r>
        <w:rPr>
          <w:rFonts w:hint="eastAsia" w:asciiTheme="minorEastAsia" w:hAnsiTheme="minorEastAsia" w:eastAsiaTheme="minorEastAsia"/>
          <w:color w:val="auto"/>
          <w:szCs w:val="21"/>
          <w:lang w:eastAsia="zh-CN"/>
        </w:rPr>
        <w:t>：</w:t>
      </w:r>
      <w:r>
        <w:rPr>
          <w:rFonts w:asciiTheme="minorEastAsia" w:hAnsiTheme="minorEastAsia" w:eastAsiaTheme="minorEastAsia"/>
          <w:color w:val="auto"/>
          <w:szCs w:val="21"/>
        </w:rPr>
        <w:t>来源于深圳市正规食品公司出品的货物。</w:t>
      </w:r>
    </w:p>
    <w:p w14:paraId="0B917283">
      <w:pPr>
        <w:pageBreakBefore w:val="0"/>
        <w:tabs>
          <w:tab w:val="left" w:pos="426"/>
        </w:tabs>
        <w:kinsoku/>
        <w:wordWrap/>
        <w:overflowPunct/>
        <w:topLinePunct w:val="0"/>
        <w:autoSpaceDE/>
        <w:autoSpaceDN/>
        <w:bidi w:val="0"/>
        <w:spacing w:line="288"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5</w:t>
      </w:r>
      <w:r>
        <w:rPr>
          <w:rFonts w:asciiTheme="minorEastAsia" w:hAnsiTheme="minorEastAsia" w:eastAsiaTheme="minorEastAsia"/>
          <w:color w:val="auto"/>
          <w:szCs w:val="21"/>
        </w:rPr>
        <w:t>、干货类</w:t>
      </w:r>
      <w:r>
        <w:rPr>
          <w:rFonts w:hint="eastAsia" w:asciiTheme="minorEastAsia" w:hAnsiTheme="minorEastAsia" w:eastAsiaTheme="minorEastAsia"/>
          <w:color w:val="auto"/>
          <w:szCs w:val="21"/>
          <w:lang w:eastAsia="zh-CN"/>
        </w:rPr>
        <w:t>：</w:t>
      </w:r>
      <w:r>
        <w:rPr>
          <w:rFonts w:asciiTheme="minorEastAsia" w:hAnsiTheme="minorEastAsia" w:eastAsiaTheme="minorEastAsia"/>
          <w:color w:val="auto"/>
          <w:szCs w:val="21"/>
        </w:rPr>
        <w:t>由正规厂家生产，杜绝假冒伪劣商品，所提供的</w:t>
      </w:r>
      <w:r>
        <w:rPr>
          <w:rFonts w:hint="eastAsia" w:asciiTheme="minorEastAsia" w:hAnsiTheme="minorEastAsia" w:eastAsiaTheme="minorEastAsia"/>
          <w:color w:val="auto"/>
          <w:szCs w:val="21"/>
          <w:lang w:eastAsia="zh-CN"/>
        </w:rPr>
        <w:t>需</w:t>
      </w:r>
      <w:r>
        <w:rPr>
          <w:rFonts w:asciiTheme="minorEastAsia" w:hAnsiTheme="minorEastAsia" w:eastAsiaTheme="minorEastAsia"/>
          <w:color w:val="auto"/>
          <w:szCs w:val="21"/>
        </w:rPr>
        <w:t>是正规厂家生产的名牌信得过产品。并提供贴有卫生许可验收和商标及地址、电话、保质期内食用产品。</w:t>
      </w:r>
    </w:p>
    <w:p w14:paraId="55E75D80">
      <w:pPr>
        <w:pageBreakBefore w:val="0"/>
        <w:tabs>
          <w:tab w:val="left" w:pos="426"/>
        </w:tabs>
        <w:kinsoku/>
        <w:wordWrap/>
        <w:overflowPunct/>
        <w:topLinePunct w:val="0"/>
        <w:autoSpaceDE/>
        <w:autoSpaceDN/>
        <w:bidi w:val="0"/>
        <w:spacing w:line="288"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6</w:t>
      </w:r>
      <w:r>
        <w:rPr>
          <w:rFonts w:asciiTheme="minorEastAsia" w:hAnsiTheme="minorEastAsia" w:eastAsiaTheme="minorEastAsia"/>
          <w:color w:val="auto"/>
          <w:szCs w:val="21"/>
        </w:rPr>
        <w:t>、蔬菜瓜果类</w:t>
      </w:r>
      <w:r>
        <w:rPr>
          <w:rFonts w:hint="eastAsia" w:asciiTheme="minorEastAsia" w:hAnsiTheme="minorEastAsia" w:eastAsiaTheme="minorEastAsia"/>
          <w:color w:val="auto"/>
          <w:szCs w:val="21"/>
          <w:lang w:eastAsia="zh-CN"/>
        </w:rPr>
        <w:t>：</w:t>
      </w:r>
      <w:r>
        <w:rPr>
          <w:rFonts w:asciiTheme="minorEastAsia" w:hAnsiTheme="minorEastAsia" w:eastAsiaTheme="minorEastAsia"/>
          <w:color w:val="auto"/>
          <w:szCs w:val="21"/>
        </w:rPr>
        <w:t>来自大型“无公害”蔬菜基地，保持良好的色泽和新鲜度，经过初步整理，除去泥、沙、黄叶、烂叶及老叶后的合格率为85%，所提供的蔬菜保证是送货前12小时内收成的，并提供农药残留检测报告书（深圳市无公害农产品质量监督检验站提供的检验报告，及每天供货公司提供的《无公害叶菜类检测记录表》原始单或复印件）。</w:t>
      </w:r>
    </w:p>
    <w:p w14:paraId="101C1D58">
      <w:pPr>
        <w:pageBreakBefore w:val="0"/>
        <w:tabs>
          <w:tab w:val="left" w:pos="426"/>
        </w:tabs>
        <w:kinsoku/>
        <w:wordWrap/>
        <w:overflowPunct/>
        <w:topLinePunct w:val="0"/>
        <w:autoSpaceDE/>
        <w:autoSpaceDN/>
        <w:bidi w:val="0"/>
        <w:spacing w:line="288" w:lineRule="auto"/>
        <w:rPr>
          <w:rFonts w:asciiTheme="minorEastAsia" w:hAnsiTheme="minorEastAsia" w:eastAsiaTheme="minorEastAsia"/>
          <w:b/>
          <w:color w:val="auto"/>
          <w:szCs w:val="21"/>
        </w:rPr>
        <w:sectPr>
          <w:pgSz w:w="11906" w:h="16838"/>
          <w:pgMar w:top="1440" w:right="1800" w:bottom="1440" w:left="1800" w:header="851" w:footer="992" w:gutter="0"/>
          <w:cols w:space="425" w:num="1"/>
          <w:titlePg/>
          <w:docGrid w:linePitch="462" w:charSpace="0"/>
        </w:sectPr>
      </w:pPr>
      <w:r>
        <w:rPr>
          <w:rFonts w:hint="eastAsia" w:asciiTheme="minorEastAsia" w:hAnsiTheme="minorEastAsia" w:eastAsiaTheme="minorEastAsia"/>
          <w:color w:val="auto"/>
          <w:szCs w:val="21"/>
          <w:lang w:val="en-US" w:eastAsia="zh-CN"/>
        </w:rPr>
        <w:t>7</w:t>
      </w:r>
      <w:r>
        <w:rPr>
          <w:rFonts w:asciiTheme="minorEastAsia" w:hAnsiTheme="minorEastAsia" w:eastAsiaTheme="minorEastAsia"/>
          <w:color w:val="auto"/>
          <w:szCs w:val="21"/>
        </w:rPr>
        <w:t>、每年提供所有副食、调料原地生产厂家的《企业法人营业执照》、《税务登记证》、《食品卫生许可证》、《全国工业产品生产许可证》及产品《检验报告》复印件加盖公章。</w:t>
      </w:r>
    </w:p>
    <w:p w14:paraId="2C604763">
      <w:pPr>
        <w:tabs>
          <w:tab w:val="left" w:pos="426"/>
        </w:tabs>
        <w:spacing w:line="240" w:lineRule="auto"/>
        <w:rPr>
          <w:rFonts w:asciiTheme="minorEastAsia" w:hAnsiTheme="minorEastAsia" w:eastAsiaTheme="minorEastAsia"/>
          <w:b/>
          <w:bCs/>
          <w:color w:val="auto"/>
          <w:szCs w:val="21"/>
        </w:rPr>
      </w:pPr>
      <w:r>
        <w:rPr>
          <w:rFonts w:hint="eastAsia" w:asciiTheme="minorEastAsia" w:hAnsiTheme="minorEastAsia" w:eastAsiaTheme="minorEastAsia"/>
          <w:b/>
          <w:color w:val="auto"/>
          <w:szCs w:val="21"/>
        </w:rPr>
        <w:t>附件二：《食品供应货物验收考核表》</w:t>
      </w:r>
    </w:p>
    <w:p w14:paraId="3CF1EA5D">
      <w:pPr>
        <w:tabs>
          <w:tab w:val="left" w:pos="426"/>
        </w:tabs>
        <w:spacing w:line="240" w:lineRule="auto"/>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食品供应货物验收考核表</w:t>
      </w:r>
    </w:p>
    <w:p w14:paraId="0C56BB10">
      <w:pPr>
        <w:tabs>
          <w:tab w:val="left" w:pos="426"/>
        </w:tabs>
        <w:spacing w:line="240"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rPr>
        <w:t>供货（签字）：           收货（签字）：         年   月   日</w:t>
      </w:r>
    </w:p>
    <w:tbl>
      <w:tblPr>
        <w:tblStyle w:val="44"/>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676"/>
        <w:gridCol w:w="1124"/>
        <w:gridCol w:w="818"/>
        <w:gridCol w:w="1165"/>
        <w:gridCol w:w="2589"/>
        <w:gridCol w:w="1418"/>
        <w:gridCol w:w="708"/>
      </w:tblGrid>
      <w:tr w14:paraId="7DDE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78392409">
            <w:pPr>
              <w:keepNext w:val="0"/>
              <w:keepLines w:val="0"/>
              <w:widowControl/>
              <w:suppressLineNumbers w:val="0"/>
              <w:tabs>
                <w:tab w:val="left" w:pos="426"/>
              </w:tabs>
              <w:spacing w:before="0" w:beforeAutospacing="0" w:after="0" w:afterAutospacing="0" w:line="240" w:lineRule="auto"/>
              <w:ind w:left="0" w:right="0"/>
              <w:jc w:val="center"/>
              <w:rPr>
                <w:rFonts w:asciiTheme="minorEastAsia" w:hAnsiTheme="minorEastAsia" w:eastAsiaTheme="minorEastAsia"/>
                <w:b/>
                <w:color w:val="auto"/>
                <w:kern w:val="2"/>
                <w:szCs w:val="21"/>
              </w:rPr>
            </w:pPr>
            <w:r>
              <w:rPr>
                <w:rFonts w:hint="eastAsia" w:asciiTheme="minorEastAsia" w:hAnsiTheme="minorEastAsia" w:eastAsiaTheme="minorEastAsia"/>
                <w:b/>
                <w:color w:val="auto"/>
                <w:kern w:val="2"/>
                <w:szCs w:val="21"/>
              </w:rPr>
              <w:t>食品</w:t>
            </w:r>
          </w:p>
          <w:p w14:paraId="0E2C90AD">
            <w:pPr>
              <w:keepNext w:val="0"/>
              <w:keepLines w:val="0"/>
              <w:widowControl/>
              <w:suppressLineNumbers w:val="0"/>
              <w:tabs>
                <w:tab w:val="left" w:pos="426"/>
              </w:tabs>
              <w:spacing w:before="0" w:beforeAutospacing="0" w:after="0" w:afterAutospacing="0" w:line="240" w:lineRule="auto"/>
              <w:ind w:left="0" w:right="0"/>
              <w:jc w:val="center"/>
              <w:rPr>
                <w:rFonts w:asciiTheme="minorEastAsia" w:hAnsiTheme="minorEastAsia" w:eastAsiaTheme="minorEastAsia"/>
                <w:b/>
                <w:color w:val="auto"/>
                <w:kern w:val="2"/>
                <w:szCs w:val="21"/>
              </w:rPr>
            </w:pPr>
            <w:r>
              <w:rPr>
                <w:rFonts w:hint="eastAsia" w:asciiTheme="minorEastAsia" w:hAnsiTheme="minorEastAsia" w:eastAsiaTheme="minorEastAsia"/>
                <w:b/>
                <w:color w:val="auto"/>
                <w:kern w:val="2"/>
                <w:szCs w:val="21"/>
              </w:rPr>
              <w:t>种类</w:t>
            </w:r>
          </w:p>
        </w:tc>
        <w:tc>
          <w:tcPr>
            <w:tcW w:w="676" w:type="dxa"/>
            <w:vAlign w:val="center"/>
          </w:tcPr>
          <w:p w14:paraId="1B95152F">
            <w:pPr>
              <w:keepNext w:val="0"/>
              <w:keepLines w:val="0"/>
              <w:widowControl/>
              <w:suppressLineNumbers w:val="0"/>
              <w:tabs>
                <w:tab w:val="left" w:pos="426"/>
              </w:tabs>
              <w:spacing w:before="0" w:beforeAutospacing="0" w:after="0" w:afterAutospacing="0" w:line="240" w:lineRule="auto"/>
              <w:ind w:left="0" w:right="0"/>
              <w:jc w:val="center"/>
              <w:rPr>
                <w:rFonts w:asciiTheme="minorEastAsia" w:hAnsiTheme="minorEastAsia" w:eastAsiaTheme="minorEastAsia"/>
                <w:b/>
                <w:color w:val="auto"/>
                <w:kern w:val="2"/>
                <w:szCs w:val="21"/>
              </w:rPr>
            </w:pPr>
            <w:r>
              <w:rPr>
                <w:rFonts w:hint="eastAsia" w:asciiTheme="minorEastAsia" w:hAnsiTheme="minorEastAsia" w:eastAsiaTheme="minorEastAsia"/>
                <w:b/>
                <w:color w:val="auto"/>
                <w:kern w:val="2"/>
                <w:szCs w:val="21"/>
              </w:rPr>
              <w:t>订货</w:t>
            </w:r>
          </w:p>
          <w:p w14:paraId="04E9CC1B">
            <w:pPr>
              <w:keepNext w:val="0"/>
              <w:keepLines w:val="0"/>
              <w:widowControl/>
              <w:suppressLineNumbers w:val="0"/>
              <w:tabs>
                <w:tab w:val="left" w:pos="426"/>
              </w:tabs>
              <w:spacing w:before="0" w:beforeAutospacing="0" w:after="0" w:afterAutospacing="0" w:line="240" w:lineRule="auto"/>
              <w:ind w:left="0" w:right="0"/>
              <w:jc w:val="center"/>
              <w:rPr>
                <w:rFonts w:asciiTheme="minorEastAsia" w:hAnsiTheme="minorEastAsia" w:eastAsiaTheme="minorEastAsia"/>
                <w:b/>
                <w:color w:val="auto"/>
                <w:kern w:val="2"/>
                <w:szCs w:val="21"/>
              </w:rPr>
            </w:pPr>
            <w:r>
              <w:rPr>
                <w:rFonts w:hint="eastAsia" w:asciiTheme="minorEastAsia" w:hAnsiTheme="minorEastAsia" w:eastAsiaTheme="minorEastAsia"/>
                <w:b/>
                <w:color w:val="auto"/>
                <w:kern w:val="2"/>
                <w:szCs w:val="21"/>
              </w:rPr>
              <w:t>时间</w:t>
            </w:r>
          </w:p>
        </w:tc>
        <w:tc>
          <w:tcPr>
            <w:tcW w:w="1124" w:type="dxa"/>
            <w:vAlign w:val="center"/>
          </w:tcPr>
          <w:p w14:paraId="70843503">
            <w:pPr>
              <w:keepNext w:val="0"/>
              <w:keepLines w:val="0"/>
              <w:widowControl/>
              <w:suppressLineNumbers w:val="0"/>
              <w:tabs>
                <w:tab w:val="left" w:pos="426"/>
              </w:tabs>
              <w:spacing w:before="0" w:beforeAutospacing="0" w:after="0" w:afterAutospacing="0" w:line="240" w:lineRule="auto"/>
              <w:ind w:left="0" w:right="0"/>
              <w:jc w:val="center"/>
              <w:rPr>
                <w:rFonts w:asciiTheme="minorEastAsia" w:hAnsiTheme="minorEastAsia" w:eastAsiaTheme="minorEastAsia"/>
                <w:b/>
                <w:color w:val="auto"/>
                <w:kern w:val="2"/>
                <w:szCs w:val="21"/>
              </w:rPr>
            </w:pPr>
            <w:r>
              <w:rPr>
                <w:rFonts w:hint="eastAsia" w:asciiTheme="minorEastAsia" w:hAnsiTheme="minorEastAsia" w:eastAsiaTheme="minorEastAsia"/>
                <w:b/>
                <w:color w:val="auto"/>
                <w:kern w:val="2"/>
                <w:szCs w:val="21"/>
              </w:rPr>
              <w:t>供货</w:t>
            </w:r>
          </w:p>
          <w:p w14:paraId="34D58321">
            <w:pPr>
              <w:keepNext w:val="0"/>
              <w:keepLines w:val="0"/>
              <w:widowControl/>
              <w:suppressLineNumbers w:val="0"/>
              <w:tabs>
                <w:tab w:val="left" w:pos="426"/>
              </w:tabs>
              <w:spacing w:before="0" w:beforeAutospacing="0" w:after="0" w:afterAutospacing="0" w:line="240" w:lineRule="auto"/>
              <w:ind w:left="0" w:right="0"/>
              <w:jc w:val="center"/>
              <w:rPr>
                <w:rFonts w:asciiTheme="minorEastAsia" w:hAnsiTheme="minorEastAsia" w:eastAsiaTheme="minorEastAsia"/>
                <w:b/>
                <w:color w:val="auto"/>
                <w:kern w:val="2"/>
                <w:szCs w:val="21"/>
              </w:rPr>
            </w:pPr>
            <w:r>
              <w:rPr>
                <w:rFonts w:hint="eastAsia" w:asciiTheme="minorEastAsia" w:hAnsiTheme="minorEastAsia" w:eastAsiaTheme="minorEastAsia"/>
                <w:b/>
                <w:color w:val="auto"/>
                <w:kern w:val="2"/>
                <w:szCs w:val="21"/>
              </w:rPr>
              <w:t>时间</w:t>
            </w:r>
          </w:p>
        </w:tc>
        <w:tc>
          <w:tcPr>
            <w:tcW w:w="818" w:type="dxa"/>
            <w:vAlign w:val="center"/>
          </w:tcPr>
          <w:p w14:paraId="2BDFAFE1">
            <w:pPr>
              <w:keepNext w:val="0"/>
              <w:keepLines w:val="0"/>
              <w:widowControl/>
              <w:suppressLineNumbers w:val="0"/>
              <w:tabs>
                <w:tab w:val="left" w:pos="426"/>
              </w:tabs>
              <w:spacing w:before="0" w:beforeAutospacing="0" w:after="0" w:afterAutospacing="0" w:line="240" w:lineRule="auto"/>
              <w:ind w:left="0" w:right="0"/>
              <w:jc w:val="center"/>
              <w:rPr>
                <w:rFonts w:asciiTheme="minorEastAsia" w:hAnsiTheme="minorEastAsia" w:eastAsiaTheme="minorEastAsia"/>
                <w:b/>
                <w:color w:val="auto"/>
                <w:kern w:val="2"/>
                <w:szCs w:val="21"/>
              </w:rPr>
            </w:pPr>
            <w:r>
              <w:rPr>
                <w:rFonts w:hint="eastAsia" w:asciiTheme="minorEastAsia" w:hAnsiTheme="minorEastAsia" w:eastAsiaTheme="minorEastAsia"/>
                <w:b/>
                <w:color w:val="auto"/>
                <w:kern w:val="2"/>
                <w:szCs w:val="21"/>
              </w:rPr>
              <w:t>订货</w:t>
            </w:r>
          </w:p>
          <w:p w14:paraId="4AE73605">
            <w:pPr>
              <w:keepNext w:val="0"/>
              <w:keepLines w:val="0"/>
              <w:widowControl/>
              <w:suppressLineNumbers w:val="0"/>
              <w:tabs>
                <w:tab w:val="left" w:pos="426"/>
              </w:tabs>
              <w:spacing w:before="0" w:beforeAutospacing="0" w:after="0" w:afterAutospacing="0" w:line="240" w:lineRule="auto"/>
              <w:ind w:left="0" w:right="0"/>
              <w:jc w:val="center"/>
              <w:rPr>
                <w:rFonts w:asciiTheme="minorEastAsia" w:hAnsiTheme="minorEastAsia" w:eastAsiaTheme="minorEastAsia"/>
                <w:b/>
                <w:color w:val="auto"/>
                <w:kern w:val="2"/>
                <w:szCs w:val="21"/>
              </w:rPr>
            </w:pPr>
            <w:r>
              <w:rPr>
                <w:rFonts w:hint="eastAsia" w:asciiTheme="minorEastAsia" w:hAnsiTheme="minorEastAsia" w:eastAsiaTheme="minorEastAsia"/>
                <w:b/>
                <w:color w:val="auto"/>
                <w:kern w:val="2"/>
                <w:szCs w:val="21"/>
              </w:rPr>
              <w:t>数量</w:t>
            </w:r>
          </w:p>
        </w:tc>
        <w:tc>
          <w:tcPr>
            <w:tcW w:w="1165" w:type="dxa"/>
            <w:vAlign w:val="center"/>
          </w:tcPr>
          <w:p w14:paraId="481F7E87">
            <w:pPr>
              <w:keepNext w:val="0"/>
              <w:keepLines w:val="0"/>
              <w:widowControl/>
              <w:suppressLineNumbers w:val="0"/>
              <w:tabs>
                <w:tab w:val="left" w:pos="426"/>
              </w:tabs>
              <w:spacing w:before="0" w:beforeAutospacing="0" w:after="0" w:afterAutospacing="0" w:line="240" w:lineRule="auto"/>
              <w:ind w:left="0" w:right="0"/>
              <w:jc w:val="center"/>
              <w:rPr>
                <w:rFonts w:asciiTheme="minorEastAsia" w:hAnsiTheme="minorEastAsia" w:eastAsiaTheme="minorEastAsia"/>
                <w:b/>
                <w:color w:val="auto"/>
                <w:kern w:val="2"/>
                <w:szCs w:val="21"/>
              </w:rPr>
            </w:pPr>
            <w:r>
              <w:rPr>
                <w:rFonts w:hint="eastAsia" w:asciiTheme="minorEastAsia" w:hAnsiTheme="minorEastAsia" w:eastAsiaTheme="minorEastAsia"/>
                <w:b/>
                <w:color w:val="auto"/>
                <w:kern w:val="2"/>
                <w:szCs w:val="21"/>
              </w:rPr>
              <w:t>供货</w:t>
            </w:r>
          </w:p>
          <w:p w14:paraId="1BAD88E8">
            <w:pPr>
              <w:keepNext w:val="0"/>
              <w:keepLines w:val="0"/>
              <w:widowControl/>
              <w:suppressLineNumbers w:val="0"/>
              <w:tabs>
                <w:tab w:val="left" w:pos="426"/>
              </w:tabs>
              <w:spacing w:before="0" w:beforeAutospacing="0" w:after="0" w:afterAutospacing="0" w:line="240" w:lineRule="auto"/>
              <w:ind w:left="0" w:right="0"/>
              <w:jc w:val="center"/>
              <w:rPr>
                <w:rFonts w:asciiTheme="minorEastAsia" w:hAnsiTheme="minorEastAsia" w:eastAsiaTheme="minorEastAsia"/>
                <w:b/>
                <w:color w:val="auto"/>
                <w:kern w:val="2"/>
                <w:szCs w:val="21"/>
              </w:rPr>
            </w:pPr>
            <w:r>
              <w:rPr>
                <w:rFonts w:hint="eastAsia" w:asciiTheme="minorEastAsia" w:hAnsiTheme="minorEastAsia" w:eastAsiaTheme="minorEastAsia"/>
                <w:b/>
                <w:color w:val="auto"/>
                <w:kern w:val="2"/>
                <w:szCs w:val="21"/>
              </w:rPr>
              <w:t>数量</w:t>
            </w:r>
          </w:p>
        </w:tc>
        <w:tc>
          <w:tcPr>
            <w:tcW w:w="2589" w:type="dxa"/>
            <w:vAlign w:val="center"/>
          </w:tcPr>
          <w:p w14:paraId="0EF85D67">
            <w:pPr>
              <w:keepNext w:val="0"/>
              <w:keepLines w:val="0"/>
              <w:widowControl/>
              <w:suppressLineNumbers w:val="0"/>
              <w:tabs>
                <w:tab w:val="left" w:pos="426"/>
              </w:tabs>
              <w:spacing w:before="0" w:beforeAutospacing="0" w:after="0" w:afterAutospacing="0" w:line="240" w:lineRule="auto"/>
              <w:ind w:left="0" w:right="0"/>
              <w:jc w:val="center"/>
              <w:rPr>
                <w:rFonts w:asciiTheme="minorEastAsia" w:hAnsiTheme="minorEastAsia" w:eastAsiaTheme="minorEastAsia"/>
                <w:b/>
                <w:color w:val="auto"/>
                <w:kern w:val="2"/>
                <w:szCs w:val="21"/>
              </w:rPr>
            </w:pPr>
            <w:r>
              <w:rPr>
                <w:rFonts w:hint="eastAsia" w:asciiTheme="minorEastAsia" w:hAnsiTheme="minorEastAsia" w:eastAsiaTheme="minorEastAsia"/>
                <w:b/>
                <w:color w:val="auto"/>
                <w:kern w:val="2"/>
                <w:szCs w:val="21"/>
              </w:rPr>
              <w:t>订货质量标准</w:t>
            </w:r>
          </w:p>
        </w:tc>
        <w:tc>
          <w:tcPr>
            <w:tcW w:w="1418" w:type="dxa"/>
            <w:vAlign w:val="center"/>
          </w:tcPr>
          <w:p w14:paraId="7067A0F5">
            <w:pPr>
              <w:keepNext w:val="0"/>
              <w:keepLines w:val="0"/>
              <w:widowControl/>
              <w:suppressLineNumbers w:val="0"/>
              <w:tabs>
                <w:tab w:val="left" w:pos="426"/>
              </w:tabs>
              <w:spacing w:before="0" w:beforeAutospacing="0" w:after="0" w:afterAutospacing="0" w:line="240" w:lineRule="auto"/>
              <w:ind w:left="0" w:right="0"/>
              <w:jc w:val="center"/>
              <w:rPr>
                <w:rFonts w:asciiTheme="minorEastAsia" w:hAnsiTheme="minorEastAsia" w:eastAsiaTheme="minorEastAsia"/>
                <w:b/>
                <w:color w:val="auto"/>
                <w:kern w:val="2"/>
                <w:szCs w:val="21"/>
              </w:rPr>
            </w:pPr>
            <w:r>
              <w:rPr>
                <w:rFonts w:hint="eastAsia" w:asciiTheme="minorEastAsia" w:hAnsiTheme="minorEastAsia" w:eastAsiaTheme="minorEastAsia"/>
                <w:b/>
                <w:color w:val="auto"/>
                <w:kern w:val="2"/>
                <w:szCs w:val="21"/>
              </w:rPr>
              <w:t>供货等级</w:t>
            </w:r>
          </w:p>
        </w:tc>
        <w:tc>
          <w:tcPr>
            <w:tcW w:w="708" w:type="dxa"/>
            <w:vAlign w:val="center"/>
          </w:tcPr>
          <w:p w14:paraId="67BE8FC6">
            <w:pPr>
              <w:keepNext w:val="0"/>
              <w:keepLines w:val="0"/>
              <w:widowControl/>
              <w:suppressLineNumbers w:val="0"/>
              <w:tabs>
                <w:tab w:val="left" w:pos="426"/>
              </w:tabs>
              <w:spacing w:before="0" w:beforeAutospacing="0" w:after="0" w:afterAutospacing="0" w:line="240" w:lineRule="auto"/>
              <w:ind w:left="0" w:right="0"/>
              <w:jc w:val="center"/>
              <w:rPr>
                <w:rFonts w:asciiTheme="minorEastAsia" w:hAnsiTheme="minorEastAsia" w:eastAsiaTheme="minorEastAsia"/>
                <w:b/>
                <w:color w:val="auto"/>
                <w:kern w:val="2"/>
                <w:szCs w:val="21"/>
              </w:rPr>
            </w:pPr>
            <w:r>
              <w:rPr>
                <w:rFonts w:hint="eastAsia" w:asciiTheme="minorEastAsia" w:hAnsiTheme="minorEastAsia" w:eastAsiaTheme="minorEastAsia"/>
                <w:b/>
                <w:color w:val="auto"/>
                <w:kern w:val="2"/>
                <w:szCs w:val="21"/>
              </w:rPr>
              <w:t>处理</w:t>
            </w:r>
          </w:p>
          <w:p w14:paraId="61A2FF89">
            <w:pPr>
              <w:keepNext w:val="0"/>
              <w:keepLines w:val="0"/>
              <w:widowControl/>
              <w:suppressLineNumbers w:val="0"/>
              <w:tabs>
                <w:tab w:val="left" w:pos="426"/>
              </w:tabs>
              <w:spacing w:before="0" w:beforeAutospacing="0" w:after="0" w:afterAutospacing="0" w:line="240" w:lineRule="auto"/>
              <w:ind w:left="0" w:right="0"/>
              <w:jc w:val="center"/>
              <w:rPr>
                <w:rFonts w:asciiTheme="minorEastAsia" w:hAnsiTheme="minorEastAsia" w:eastAsiaTheme="minorEastAsia"/>
                <w:b/>
                <w:color w:val="auto"/>
                <w:kern w:val="2"/>
                <w:szCs w:val="21"/>
              </w:rPr>
            </w:pPr>
            <w:r>
              <w:rPr>
                <w:rFonts w:hint="eastAsia" w:asciiTheme="minorEastAsia" w:hAnsiTheme="minorEastAsia" w:eastAsiaTheme="minorEastAsia"/>
                <w:b/>
                <w:color w:val="auto"/>
                <w:kern w:val="2"/>
                <w:szCs w:val="21"/>
              </w:rPr>
              <w:t>意见</w:t>
            </w:r>
          </w:p>
        </w:tc>
      </w:tr>
      <w:tr w14:paraId="54C10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1C6A4406">
            <w:pPr>
              <w:keepNext w:val="0"/>
              <w:keepLines w:val="0"/>
              <w:widowControl/>
              <w:suppressLineNumbers w:val="0"/>
              <w:tabs>
                <w:tab w:val="left" w:pos="426"/>
              </w:tabs>
              <w:spacing w:before="0" w:beforeAutospacing="0" w:after="0" w:afterAutospacing="0" w:line="240" w:lineRule="auto"/>
              <w:ind w:left="0" w:right="0"/>
              <w:jc w:val="center"/>
              <w:rPr>
                <w:rFonts w:hint="eastAsia" w:asciiTheme="minorEastAsia" w:hAnsiTheme="minorEastAsia" w:eastAsiaTheme="minorEastAsia"/>
                <w:color w:val="auto"/>
                <w:kern w:val="2"/>
                <w:szCs w:val="21"/>
                <w:lang w:eastAsia="zh-CN"/>
              </w:rPr>
            </w:pPr>
            <w:r>
              <w:rPr>
                <w:rFonts w:hint="eastAsia" w:asciiTheme="minorEastAsia" w:hAnsiTheme="minorEastAsia" w:eastAsiaTheme="minorEastAsia"/>
                <w:color w:val="auto"/>
                <w:kern w:val="2"/>
                <w:szCs w:val="21"/>
              </w:rPr>
              <w:t>蔬菜类</w:t>
            </w:r>
            <w:r>
              <w:rPr>
                <w:rFonts w:hint="eastAsia" w:asciiTheme="minorEastAsia" w:hAnsiTheme="minorEastAsia" w:eastAsiaTheme="minorEastAsia"/>
                <w:color w:val="auto"/>
                <w:kern w:val="2"/>
                <w:szCs w:val="21"/>
                <w:lang w:eastAsia="zh-CN"/>
              </w:rPr>
              <w:t>、</w:t>
            </w:r>
            <w:r>
              <w:rPr>
                <w:rFonts w:hint="eastAsia" w:asciiTheme="minorEastAsia" w:hAnsiTheme="minorEastAsia" w:eastAsiaTheme="minorEastAsia"/>
                <w:color w:val="auto"/>
                <w:kern w:val="2"/>
                <w:szCs w:val="21"/>
                <w:lang w:val="en-US" w:eastAsia="zh-CN"/>
              </w:rPr>
              <w:t>瓜果类</w:t>
            </w:r>
          </w:p>
        </w:tc>
        <w:tc>
          <w:tcPr>
            <w:tcW w:w="676" w:type="dxa"/>
            <w:vAlign w:val="center"/>
          </w:tcPr>
          <w:p w14:paraId="327ABC8F">
            <w:pPr>
              <w:keepNext w:val="0"/>
              <w:keepLines w:val="0"/>
              <w:widowControl/>
              <w:suppressLineNumbers w:val="0"/>
              <w:tabs>
                <w:tab w:val="left" w:pos="426"/>
              </w:tabs>
              <w:spacing w:before="0" w:beforeAutospacing="0" w:after="0" w:afterAutospacing="0" w:line="240" w:lineRule="auto"/>
              <w:ind w:left="0" w:right="0" w:firstLine="560"/>
              <w:jc w:val="center"/>
              <w:rPr>
                <w:rFonts w:asciiTheme="minorEastAsia" w:hAnsiTheme="minorEastAsia" w:eastAsiaTheme="minorEastAsia"/>
                <w:color w:val="auto"/>
                <w:kern w:val="2"/>
                <w:szCs w:val="21"/>
              </w:rPr>
            </w:pPr>
          </w:p>
        </w:tc>
        <w:tc>
          <w:tcPr>
            <w:tcW w:w="1124" w:type="dxa"/>
            <w:vAlign w:val="center"/>
          </w:tcPr>
          <w:p w14:paraId="3F83F81F">
            <w:pPr>
              <w:keepNext w:val="0"/>
              <w:keepLines w:val="0"/>
              <w:widowControl/>
              <w:suppressLineNumbers w:val="0"/>
              <w:tabs>
                <w:tab w:val="left" w:pos="426"/>
              </w:tabs>
              <w:spacing w:before="0" w:beforeAutospacing="0" w:after="0" w:afterAutospacing="0" w:line="240" w:lineRule="auto"/>
              <w:ind w:left="0" w:right="0"/>
              <w:rPr>
                <w:rFonts w:asciiTheme="minorEastAsia" w:hAnsiTheme="minorEastAsia" w:eastAsiaTheme="minorEastAsia"/>
                <w:color w:val="auto"/>
                <w:kern w:val="2"/>
                <w:szCs w:val="21"/>
              </w:rPr>
            </w:pPr>
            <w:r>
              <w:rPr>
                <w:rFonts w:hint="eastAsia" w:asciiTheme="minorEastAsia" w:hAnsiTheme="minorEastAsia" w:eastAsiaTheme="minorEastAsia"/>
                <w:color w:val="auto"/>
                <w:kern w:val="2"/>
                <w:szCs w:val="21"/>
              </w:rPr>
              <w:t>按时（ ）</w:t>
            </w:r>
          </w:p>
          <w:p w14:paraId="4528CB34">
            <w:pPr>
              <w:keepNext w:val="0"/>
              <w:keepLines w:val="0"/>
              <w:widowControl/>
              <w:suppressLineNumbers w:val="0"/>
              <w:tabs>
                <w:tab w:val="left" w:pos="426"/>
              </w:tabs>
              <w:spacing w:before="0" w:beforeAutospacing="0" w:after="0" w:afterAutospacing="0" w:line="240" w:lineRule="auto"/>
              <w:ind w:left="0" w:right="0"/>
              <w:rPr>
                <w:rFonts w:asciiTheme="minorEastAsia" w:hAnsiTheme="minorEastAsia" w:eastAsiaTheme="minorEastAsia"/>
                <w:color w:val="auto"/>
                <w:kern w:val="2"/>
                <w:szCs w:val="21"/>
              </w:rPr>
            </w:pPr>
            <w:r>
              <w:rPr>
                <w:rFonts w:hint="eastAsia" w:asciiTheme="minorEastAsia" w:hAnsiTheme="minorEastAsia" w:eastAsiaTheme="minorEastAsia"/>
                <w:color w:val="auto"/>
                <w:kern w:val="2"/>
                <w:szCs w:val="21"/>
              </w:rPr>
              <w:t>超时（ ）</w:t>
            </w:r>
          </w:p>
        </w:tc>
        <w:tc>
          <w:tcPr>
            <w:tcW w:w="818" w:type="dxa"/>
            <w:vAlign w:val="center"/>
          </w:tcPr>
          <w:p w14:paraId="59E4C57C">
            <w:pPr>
              <w:keepNext w:val="0"/>
              <w:keepLines w:val="0"/>
              <w:widowControl/>
              <w:suppressLineNumbers w:val="0"/>
              <w:tabs>
                <w:tab w:val="left" w:pos="426"/>
              </w:tabs>
              <w:spacing w:before="0" w:beforeAutospacing="0" w:after="0" w:afterAutospacing="0" w:line="240" w:lineRule="auto"/>
              <w:ind w:left="0" w:right="0" w:firstLine="880"/>
              <w:jc w:val="center"/>
              <w:rPr>
                <w:rFonts w:asciiTheme="minorEastAsia" w:hAnsiTheme="minorEastAsia" w:eastAsiaTheme="minorEastAsia"/>
                <w:color w:val="auto"/>
                <w:kern w:val="2"/>
                <w:szCs w:val="21"/>
              </w:rPr>
            </w:pPr>
          </w:p>
        </w:tc>
        <w:tc>
          <w:tcPr>
            <w:tcW w:w="1165" w:type="dxa"/>
            <w:vAlign w:val="center"/>
          </w:tcPr>
          <w:p w14:paraId="1D718C25">
            <w:pPr>
              <w:keepNext w:val="0"/>
              <w:keepLines w:val="0"/>
              <w:widowControl/>
              <w:suppressLineNumbers w:val="0"/>
              <w:tabs>
                <w:tab w:val="left" w:pos="426"/>
              </w:tabs>
              <w:spacing w:before="0" w:beforeAutospacing="0" w:after="0" w:afterAutospacing="0" w:line="240" w:lineRule="auto"/>
              <w:ind w:left="0" w:right="0"/>
              <w:rPr>
                <w:rFonts w:asciiTheme="minorEastAsia" w:hAnsiTheme="minorEastAsia" w:eastAsiaTheme="minorEastAsia"/>
                <w:color w:val="auto"/>
                <w:kern w:val="2"/>
                <w:szCs w:val="21"/>
              </w:rPr>
            </w:pPr>
            <w:r>
              <w:rPr>
                <w:rFonts w:hint="eastAsia" w:asciiTheme="minorEastAsia" w:hAnsiTheme="minorEastAsia" w:eastAsiaTheme="minorEastAsia"/>
                <w:color w:val="auto"/>
                <w:kern w:val="2"/>
                <w:szCs w:val="21"/>
              </w:rPr>
              <w:t>按量（ ）</w:t>
            </w:r>
          </w:p>
          <w:p w14:paraId="1B4BB083">
            <w:pPr>
              <w:keepNext w:val="0"/>
              <w:keepLines w:val="0"/>
              <w:widowControl/>
              <w:suppressLineNumbers w:val="0"/>
              <w:tabs>
                <w:tab w:val="left" w:pos="426"/>
              </w:tabs>
              <w:spacing w:before="0" w:beforeAutospacing="0" w:after="0" w:afterAutospacing="0" w:line="240" w:lineRule="auto"/>
              <w:ind w:left="0" w:right="0"/>
              <w:rPr>
                <w:rFonts w:asciiTheme="minorEastAsia" w:hAnsiTheme="minorEastAsia" w:eastAsiaTheme="minorEastAsia"/>
                <w:color w:val="auto"/>
                <w:kern w:val="2"/>
                <w:szCs w:val="21"/>
              </w:rPr>
            </w:pPr>
            <w:r>
              <w:rPr>
                <w:rFonts w:hint="eastAsia" w:asciiTheme="minorEastAsia" w:hAnsiTheme="minorEastAsia" w:eastAsiaTheme="minorEastAsia"/>
                <w:color w:val="auto"/>
                <w:kern w:val="2"/>
                <w:szCs w:val="21"/>
              </w:rPr>
              <w:t>不足（ ）</w:t>
            </w:r>
          </w:p>
          <w:p w14:paraId="394B6E7D">
            <w:pPr>
              <w:keepNext w:val="0"/>
              <w:keepLines w:val="0"/>
              <w:widowControl/>
              <w:suppressLineNumbers w:val="0"/>
              <w:tabs>
                <w:tab w:val="left" w:pos="426"/>
              </w:tabs>
              <w:spacing w:before="0" w:beforeAutospacing="0" w:after="0" w:afterAutospacing="0" w:line="240" w:lineRule="auto"/>
              <w:ind w:left="0" w:right="0"/>
              <w:rPr>
                <w:rFonts w:asciiTheme="minorEastAsia" w:hAnsiTheme="minorEastAsia" w:eastAsiaTheme="minorEastAsia"/>
                <w:color w:val="auto"/>
                <w:kern w:val="2"/>
                <w:szCs w:val="21"/>
              </w:rPr>
            </w:pPr>
            <w:r>
              <w:rPr>
                <w:rFonts w:hint="eastAsia" w:asciiTheme="minorEastAsia" w:hAnsiTheme="minorEastAsia" w:eastAsiaTheme="minorEastAsia"/>
                <w:color w:val="auto"/>
                <w:kern w:val="2"/>
                <w:szCs w:val="21"/>
              </w:rPr>
              <w:t>超量（ ）</w:t>
            </w:r>
          </w:p>
        </w:tc>
        <w:tc>
          <w:tcPr>
            <w:tcW w:w="2589" w:type="dxa"/>
            <w:vAlign w:val="center"/>
          </w:tcPr>
          <w:p w14:paraId="5F52883B">
            <w:pPr>
              <w:keepNext w:val="0"/>
              <w:keepLines w:val="0"/>
              <w:widowControl/>
              <w:suppressLineNumbers w:val="0"/>
              <w:tabs>
                <w:tab w:val="left" w:pos="426"/>
              </w:tabs>
              <w:spacing w:before="0" w:beforeAutospacing="0" w:after="0" w:afterAutospacing="0" w:line="240" w:lineRule="auto"/>
              <w:ind w:left="0" w:right="0" w:firstLine="560"/>
              <w:rPr>
                <w:rFonts w:asciiTheme="minorEastAsia" w:hAnsiTheme="minorEastAsia" w:eastAsiaTheme="minorEastAsia"/>
                <w:color w:val="auto"/>
                <w:kern w:val="2"/>
                <w:szCs w:val="21"/>
              </w:rPr>
            </w:pPr>
            <w:r>
              <w:rPr>
                <w:rFonts w:hint="eastAsia" w:asciiTheme="minorEastAsia" w:hAnsiTheme="minorEastAsia" w:eastAsiaTheme="minorEastAsia"/>
                <w:color w:val="auto"/>
                <w:kern w:val="2"/>
                <w:szCs w:val="21"/>
              </w:rPr>
              <w:t>来自大型“无公害”蔬菜基地， 送货前12小时收成，提供当天检测检验报告书及《无公害叶菜类检测记录表》，保持较好色泽及新鲜度，经初步整理，除去泥、沙、黄叶、烂叶及老叶后合格率为85%。</w:t>
            </w:r>
          </w:p>
        </w:tc>
        <w:tc>
          <w:tcPr>
            <w:tcW w:w="1418" w:type="dxa"/>
            <w:vAlign w:val="center"/>
          </w:tcPr>
          <w:p w14:paraId="20D15C0F">
            <w:pPr>
              <w:keepNext w:val="0"/>
              <w:keepLines w:val="0"/>
              <w:widowControl/>
              <w:suppressLineNumbers w:val="0"/>
              <w:tabs>
                <w:tab w:val="left" w:pos="426"/>
              </w:tabs>
              <w:spacing w:before="0" w:beforeAutospacing="0" w:after="0" w:afterAutospacing="0" w:line="240" w:lineRule="auto"/>
              <w:ind w:left="0" w:right="0"/>
              <w:rPr>
                <w:rFonts w:asciiTheme="minorEastAsia" w:hAnsiTheme="minorEastAsia" w:eastAsiaTheme="minorEastAsia"/>
                <w:color w:val="auto"/>
                <w:kern w:val="2"/>
                <w:szCs w:val="21"/>
              </w:rPr>
            </w:pPr>
            <w:r>
              <w:rPr>
                <w:rFonts w:hint="eastAsia" w:asciiTheme="minorEastAsia" w:hAnsiTheme="minorEastAsia" w:eastAsiaTheme="minorEastAsia"/>
                <w:color w:val="auto"/>
                <w:kern w:val="2"/>
                <w:szCs w:val="21"/>
              </w:rPr>
              <w:t>优良   （  ）</w:t>
            </w:r>
          </w:p>
          <w:p w14:paraId="7121CAD2">
            <w:pPr>
              <w:keepNext w:val="0"/>
              <w:keepLines w:val="0"/>
              <w:widowControl/>
              <w:suppressLineNumbers w:val="0"/>
              <w:tabs>
                <w:tab w:val="left" w:pos="426"/>
              </w:tabs>
              <w:spacing w:before="0" w:beforeAutospacing="0" w:after="0" w:afterAutospacing="0" w:line="240" w:lineRule="auto"/>
              <w:ind w:left="0" w:right="0"/>
              <w:rPr>
                <w:rFonts w:asciiTheme="minorEastAsia" w:hAnsiTheme="minorEastAsia" w:eastAsiaTheme="minorEastAsia"/>
                <w:color w:val="auto"/>
                <w:kern w:val="2"/>
                <w:szCs w:val="21"/>
              </w:rPr>
            </w:pPr>
            <w:r>
              <w:rPr>
                <w:rFonts w:hint="eastAsia" w:asciiTheme="minorEastAsia" w:hAnsiTheme="minorEastAsia" w:eastAsiaTheme="minorEastAsia"/>
                <w:color w:val="auto"/>
                <w:kern w:val="2"/>
                <w:szCs w:val="21"/>
              </w:rPr>
              <w:t>合格   （  ）</w:t>
            </w:r>
          </w:p>
          <w:p w14:paraId="2B16ED9F">
            <w:pPr>
              <w:keepNext w:val="0"/>
              <w:keepLines w:val="0"/>
              <w:widowControl/>
              <w:suppressLineNumbers w:val="0"/>
              <w:tabs>
                <w:tab w:val="left" w:pos="426"/>
              </w:tabs>
              <w:spacing w:before="0" w:beforeAutospacing="0" w:after="0" w:afterAutospacing="0" w:line="240" w:lineRule="auto"/>
              <w:ind w:left="0" w:right="0"/>
              <w:rPr>
                <w:rFonts w:asciiTheme="minorEastAsia" w:hAnsiTheme="minorEastAsia" w:eastAsiaTheme="minorEastAsia"/>
                <w:color w:val="auto"/>
                <w:kern w:val="2"/>
                <w:szCs w:val="21"/>
              </w:rPr>
            </w:pPr>
            <w:r>
              <w:rPr>
                <w:rFonts w:hint="eastAsia" w:asciiTheme="minorEastAsia" w:hAnsiTheme="minorEastAsia" w:eastAsiaTheme="minorEastAsia"/>
                <w:color w:val="auto"/>
                <w:kern w:val="2"/>
                <w:szCs w:val="21"/>
              </w:rPr>
              <w:t>不合格 （  ）</w:t>
            </w:r>
          </w:p>
        </w:tc>
        <w:tc>
          <w:tcPr>
            <w:tcW w:w="708" w:type="dxa"/>
            <w:vAlign w:val="center"/>
          </w:tcPr>
          <w:p w14:paraId="18A122D5">
            <w:pPr>
              <w:keepNext w:val="0"/>
              <w:keepLines w:val="0"/>
              <w:widowControl/>
              <w:suppressLineNumbers w:val="0"/>
              <w:tabs>
                <w:tab w:val="left" w:pos="426"/>
              </w:tabs>
              <w:spacing w:before="0" w:beforeAutospacing="0" w:after="0" w:afterAutospacing="0" w:line="240" w:lineRule="auto"/>
              <w:ind w:left="0" w:right="0" w:firstLine="560"/>
              <w:jc w:val="center"/>
              <w:rPr>
                <w:rFonts w:asciiTheme="minorEastAsia" w:hAnsiTheme="minorEastAsia" w:eastAsiaTheme="minorEastAsia"/>
                <w:color w:val="auto"/>
                <w:kern w:val="2"/>
                <w:szCs w:val="21"/>
              </w:rPr>
            </w:pPr>
          </w:p>
        </w:tc>
      </w:tr>
      <w:tr w14:paraId="6729B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6E7ECB9D">
            <w:pPr>
              <w:keepNext w:val="0"/>
              <w:keepLines w:val="0"/>
              <w:widowControl/>
              <w:suppressLineNumbers w:val="0"/>
              <w:tabs>
                <w:tab w:val="left" w:pos="426"/>
              </w:tabs>
              <w:spacing w:before="0" w:beforeAutospacing="0" w:after="0" w:afterAutospacing="0" w:line="240" w:lineRule="auto"/>
              <w:ind w:left="0" w:right="0"/>
              <w:jc w:val="center"/>
              <w:rPr>
                <w:rFonts w:asciiTheme="minorEastAsia" w:hAnsiTheme="minorEastAsia" w:eastAsiaTheme="minorEastAsia"/>
                <w:color w:val="auto"/>
                <w:kern w:val="2"/>
                <w:szCs w:val="21"/>
              </w:rPr>
            </w:pPr>
            <w:r>
              <w:rPr>
                <w:rFonts w:hint="eastAsia" w:asciiTheme="minorEastAsia" w:hAnsiTheme="minorEastAsia" w:eastAsiaTheme="minorEastAsia"/>
                <w:color w:val="auto"/>
                <w:kern w:val="2"/>
                <w:szCs w:val="21"/>
              </w:rPr>
              <w:t>水产类</w:t>
            </w:r>
          </w:p>
        </w:tc>
        <w:tc>
          <w:tcPr>
            <w:tcW w:w="676" w:type="dxa"/>
            <w:vAlign w:val="center"/>
          </w:tcPr>
          <w:p w14:paraId="2422B212">
            <w:pPr>
              <w:keepNext w:val="0"/>
              <w:keepLines w:val="0"/>
              <w:widowControl/>
              <w:suppressLineNumbers w:val="0"/>
              <w:tabs>
                <w:tab w:val="left" w:pos="426"/>
              </w:tabs>
              <w:spacing w:before="0" w:beforeAutospacing="0" w:after="0" w:afterAutospacing="0" w:line="240" w:lineRule="auto"/>
              <w:ind w:left="0" w:right="0" w:firstLine="560"/>
              <w:jc w:val="center"/>
              <w:rPr>
                <w:rFonts w:asciiTheme="minorEastAsia" w:hAnsiTheme="minorEastAsia" w:eastAsiaTheme="minorEastAsia"/>
                <w:color w:val="auto"/>
                <w:kern w:val="2"/>
                <w:szCs w:val="21"/>
              </w:rPr>
            </w:pPr>
          </w:p>
        </w:tc>
        <w:tc>
          <w:tcPr>
            <w:tcW w:w="1124" w:type="dxa"/>
            <w:vAlign w:val="center"/>
          </w:tcPr>
          <w:p w14:paraId="05C0AB10">
            <w:pPr>
              <w:keepNext w:val="0"/>
              <w:keepLines w:val="0"/>
              <w:widowControl/>
              <w:suppressLineNumbers w:val="0"/>
              <w:tabs>
                <w:tab w:val="left" w:pos="426"/>
              </w:tabs>
              <w:spacing w:before="0" w:beforeAutospacing="0" w:after="0" w:afterAutospacing="0" w:line="240" w:lineRule="auto"/>
              <w:ind w:left="0" w:right="0"/>
              <w:rPr>
                <w:rFonts w:asciiTheme="minorEastAsia" w:hAnsiTheme="minorEastAsia" w:eastAsiaTheme="minorEastAsia"/>
                <w:color w:val="auto"/>
                <w:kern w:val="2"/>
                <w:szCs w:val="21"/>
              </w:rPr>
            </w:pPr>
            <w:r>
              <w:rPr>
                <w:rFonts w:hint="eastAsia" w:asciiTheme="minorEastAsia" w:hAnsiTheme="minorEastAsia" w:eastAsiaTheme="minorEastAsia"/>
                <w:color w:val="auto"/>
                <w:kern w:val="2"/>
                <w:szCs w:val="21"/>
              </w:rPr>
              <w:t>按时（ ）</w:t>
            </w:r>
          </w:p>
          <w:p w14:paraId="7DD62386">
            <w:pPr>
              <w:keepNext w:val="0"/>
              <w:keepLines w:val="0"/>
              <w:widowControl/>
              <w:suppressLineNumbers w:val="0"/>
              <w:tabs>
                <w:tab w:val="left" w:pos="426"/>
              </w:tabs>
              <w:spacing w:before="0" w:beforeAutospacing="0" w:after="0" w:afterAutospacing="0" w:line="240" w:lineRule="auto"/>
              <w:ind w:left="0" w:right="0"/>
              <w:rPr>
                <w:rFonts w:asciiTheme="minorEastAsia" w:hAnsiTheme="minorEastAsia" w:eastAsiaTheme="minorEastAsia"/>
                <w:color w:val="auto"/>
                <w:kern w:val="2"/>
                <w:szCs w:val="21"/>
              </w:rPr>
            </w:pPr>
            <w:r>
              <w:rPr>
                <w:rFonts w:hint="eastAsia" w:asciiTheme="minorEastAsia" w:hAnsiTheme="minorEastAsia" w:eastAsiaTheme="minorEastAsia"/>
                <w:color w:val="auto"/>
                <w:kern w:val="2"/>
                <w:szCs w:val="21"/>
              </w:rPr>
              <w:t>超时（ ）</w:t>
            </w:r>
          </w:p>
        </w:tc>
        <w:tc>
          <w:tcPr>
            <w:tcW w:w="818" w:type="dxa"/>
            <w:vAlign w:val="center"/>
          </w:tcPr>
          <w:p w14:paraId="4443B70C">
            <w:pPr>
              <w:keepNext w:val="0"/>
              <w:keepLines w:val="0"/>
              <w:widowControl/>
              <w:suppressLineNumbers w:val="0"/>
              <w:tabs>
                <w:tab w:val="left" w:pos="426"/>
              </w:tabs>
              <w:spacing w:before="0" w:beforeAutospacing="0" w:after="0" w:afterAutospacing="0" w:line="240" w:lineRule="auto"/>
              <w:ind w:left="0" w:right="0" w:firstLine="880"/>
              <w:jc w:val="center"/>
              <w:rPr>
                <w:rFonts w:asciiTheme="minorEastAsia" w:hAnsiTheme="minorEastAsia" w:eastAsiaTheme="minorEastAsia"/>
                <w:color w:val="auto"/>
                <w:kern w:val="2"/>
                <w:szCs w:val="21"/>
              </w:rPr>
            </w:pPr>
          </w:p>
        </w:tc>
        <w:tc>
          <w:tcPr>
            <w:tcW w:w="1165" w:type="dxa"/>
            <w:vAlign w:val="center"/>
          </w:tcPr>
          <w:p w14:paraId="476528F5">
            <w:pPr>
              <w:keepNext w:val="0"/>
              <w:keepLines w:val="0"/>
              <w:widowControl/>
              <w:suppressLineNumbers w:val="0"/>
              <w:tabs>
                <w:tab w:val="left" w:pos="426"/>
              </w:tabs>
              <w:spacing w:before="0" w:beforeAutospacing="0" w:after="0" w:afterAutospacing="0" w:line="240" w:lineRule="auto"/>
              <w:ind w:left="0" w:right="0"/>
              <w:rPr>
                <w:rFonts w:asciiTheme="minorEastAsia" w:hAnsiTheme="minorEastAsia" w:eastAsiaTheme="minorEastAsia"/>
                <w:color w:val="auto"/>
                <w:kern w:val="2"/>
                <w:szCs w:val="21"/>
              </w:rPr>
            </w:pPr>
            <w:r>
              <w:rPr>
                <w:rFonts w:hint="eastAsia" w:asciiTheme="minorEastAsia" w:hAnsiTheme="minorEastAsia" w:eastAsiaTheme="minorEastAsia"/>
                <w:color w:val="auto"/>
                <w:kern w:val="2"/>
                <w:szCs w:val="21"/>
              </w:rPr>
              <w:t>按量（ ）</w:t>
            </w:r>
          </w:p>
          <w:p w14:paraId="3E6AB890">
            <w:pPr>
              <w:keepNext w:val="0"/>
              <w:keepLines w:val="0"/>
              <w:widowControl/>
              <w:suppressLineNumbers w:val="0"/>
              <w:tabs>
                <w:tab w:val="left" w:pos="426"/>
              </w:tabs>
              <w:spacing w:before="0" w:beforeAutospacing="0" w:after="0" w:afterAutospacing="0" w:line="240" w:lineRule="auto"/>
              <w:ind w:left="0" w:right="0"/>
              <w:rPr>
                <w:rFonts w:asciiTheme="minorEastAsia" w:hAnsiTheme="minorEastAsia" w:eastAsiaTheme="minorEastAsia"/>
                <w:color w:val="auto"/>
                <w:kern w:val="2"/>
                <w:szCs w:val="21"/>
              </w:rPr>
            </w:pPr>
            <w:r>
              <w:rPr>
                <w:rFonts w:hint="eastAsia" w:asciiTheme="minorEastAsia" w:hAnsiTheme="minorEastAsia" w:eastAsiaTheme="minorEastAsia"/>
                <w:color w:val="auto"/>
                <w:kern w:val="2"/>
                <w:szCs w:val="21"/>
              </w:rPr>
              <w:t>不足（ ）</w:t>
            </w:r>
          </w:p>
          <w:p w14:paraId="2E97F84B">
            <w:pPr>
              <w:keepNext w:val="0"/>
              <w:keepLines w:val="0"/>
              <w:widowControl/>
              <w:suppressLineNumbers w:val="0"/>
              <w:tabs>
                <w:tab w:val="left" w:pos="426"/>
              </w:tabs>
              <w:spacing w:before="0" w:beforeAutospacing="0" w:after="0" w:afterAutospacing="0" w:line="240" w:lineRule="auto"/>
              <w:ind w:left="0" w:right="0"/>
              <w:rPr>
                <w:rFonts w:asciiTheme="minorEastAsia" w:hAnsiTheme="minorEastAsia" w:eastAsiaTheme="minorEastAsia"/>
                <w:color w:val="auto"/>
                <w:kern w:val="2"/>
                <w:szCs w:val="21"/>
              </w:rPr>
            </w:pPr>
            <w:r>
              <w:rPr>
                <w:rFonts w:hint="eastAsia" w:asciiTheme="minorEastAsia" w:hAnsiTheme="minorEastAsia" w:eastAsiaTheme="minorEastAsia"/>
                <w:color w:val="auto"/>
                <w:kern w:val="2"/>
                <w:szCs w:val="21"/>
              </w:rPr>
              <w:t>超量（ ）</w:t>
            </w:r>
          </w:p>
        </w:tc>
        <w:tc>
          <w:tcPr>
            <w:tcW w:w="2589" w:type="dxa"/>
            <w:vAlign w:val="center"/>
          </w:tcPr>
          <w:p w14:paraId="3670D34F">
            <w:pPr>
              <w:keepNext w:val="0"/>
              <w:keepLines w:val="0"/>
              <w:widowControl/>
              <w:suppressLineNumbers w:val="0"/>
              <w:tabs>
                <w:tab w:val="left" w:pos="426"/>
              </w:tabs>
              <w:spacing w:before="0" w:beforeAutospacing="0" w:after="0" w:afterAutospacing="0" w:line="240" w:lineRule="auto"/>
              <w:ind w:left="0" w:right="0" w:firstLine="560"/>
              <w:rPr>
                <w:rFonts w:asciiTheme="minorEastAsia" w:hAnsiTheme="minorEastAsia" w:eastAsiaTheme="minorEastAsia"/>
                <w:color w:val="auto"/>
                <w:kern w:val="2"/>
                <w:szCs w:val="21"/>
              </w:rPr>
            </w:pPr>
            <w:r>
              <w:rPr>
                <w:rFonts w:asciiTheme="minorEastAsia" w:hAnsiTheme="minorEastAsia" w:eastAsiaTheme="minorEastAsia"/>
                <w:color w:val="auto"/>
                <w:kern w:val="2"/>
                <w:szCs w:val="21"/>
                <w:shd w:val="clear" w:color="auto" w:fill="FFFFFF"/>
              </w:rPr>
              <w:t>活鲜水产鳞片完整有粘液，眼睛饱满、明亮，游动灵活，大小均匀品相较好。冰鲜水产表面鱼鳞完整，体表无破损，眼睛清晰且完整，大小均匀，品相较好。</w:t>
            </w:r>
            <w:r>
              <w:rPr>
                <w:rFonts w:hint="eastAsia" w:asciiTheme="minorEastAsia" w:hAnsiTheme="minorEastAsia" w:eastAsiaTheme="minorEastAsia"/>
                <w:color w:val="auto"/>
                <w:kern w:val="2"/>
                <w:szCs w:val="21"/>
              </w:rPr>
              <w:t>鲜活水产要求送货必</w:t>
            </w:r>
            <w:r>
              <w:rPr>
                <w:rFonts w:hint="eastAsia" w:asciiTheme="minorEastAsia" w:hAnsiTheme="minorEastAsia" w:eastAsiaTheme="minorEastAsia"/>
                <w:color w:val="auto"/>
                <w:kern w:val="2"/>
                <w:szCs w:val="21"/>
                <w:lang w:eastAsia="zh-CN"/>
              </w:rPr>
              <w:t>需</w:t>
            </w:r>
            <w:r>
              <w:rPr>
                <w:rFonts w:hint="eastAsia" w:asciiTheme="minorEastAsia" w:hAnsiTheme="minorEastAsia" w:eastAsiaTheme="minorEastAsia"/>
                <w:color w:val="auto"/>
                <w:kern w:val="2"/>
                <w:szCs w:val="21"/>
              </w:rPr>
              <w:t>要配有冲气装备及海鲜车配送服务。</w:t>
            </w:r>
          </w:p>
        </w:tc>
        <w:tc>
          <w:tcPr>
            <w:tcW w:w="1418" w:type="dxa"/>
            <w:vAlign w:val="center"/>
          </w:tcPr>
          <w:p w14:paraId="4D8A941B">
            <w:pPr>
              <w:keepNext w:val="0"/>
              <w:keepLines w:val="0"/>
              <w:widowControl/>
              <w:suppressLineNumbers w:val="0"/>
              <w:tabs>
                <w:tab w:val="left" w:pos="426"/>
              </w:tabs>
              <w:spacing w:before="0" w:beforeAutospacing="0" w:after="0" w:afterAutospacing="0" w:line="240" w:lineRule="auto"/>
              <w:ind w:left="0" w:right="0"/>
              <w:rPr>
                <w:rFonts w:asciiTheme="minorEastAsia" w:hAnsiTheme="minorEastAsia" w:eastAsiaTheme="minorEastAsia"/>
                <w:color w:val="auto"/>
                <w:kern w:val="2"/>
                <w:szCs w:val="21"/>
              </w:rPr>
            </w:pPr>
            <w:r>
              <w:rPr>
                <w:rFonts w:hint="eastAsia" w:asciiTheme="minorEastAsia" w:hAnsiTheme="minorEastAsia" w:eastAsiaTheme="minorEastAsia"/>
                <w:color w:val="auto"/>
                <w:kern w:val="2"/>
                <w:szCs w:val="21"/>
              </w:rPr>
              <w:t>优良   （  ）</w:t>
            </w:r>
          </w:p>
          <w:p w14:paraId="6981AEA4">
            <w:pPr>
              <w:keepNext w:val="0"/>
              <w:keepLines w:val="0"/>
              <w:widowControl/>
              <w:suppressLineNumbers w:val="0"/>
              <w:tabs>
                <w:tab w:val="left" w:pos="426"/>
              </w:tabs>
              <w:spacing w:before="0" w:beforeAutospacing="0" w:after="0" w:afterAutospacing="0" w:line="240" w:lineRule="auto"/>
              <w:ind w:left="0" w:right="0"/>
              <w:rPr>
                <w:rFonts w:asciiTheme="minorEastAsia" w:hAnsiTheme="minorEastAsia" w:eastAsiaTheme="minorEastAsia"/>
                <w:color w:val="auto"/>
                <w:kern w:val="2"/>
                <w:szCs w:val="21"/>
              </w:rPr>
            </w:pPr>
            <w:r>
              <w:rPr>
                <w:rFonts w:hint="eastAsia" w:asciiTheme="minorEastAsia" w:hAnsiTheme="minorEastAsia" w:eastAsiaTheme="minorEastAsia"/>
                <w:color w:val="auto"/>
                <w:kern w:val="2"/>
                <w:szCs w:val="21"/>
              </w:rPr>
              <w:t>合格   （  ）</w:t>
            </w:r>
          </w:p>
          <w:p w14:paraId="1E50B026">
            <w:pPr>
              <w:keepNext w:val="0"/>
              <w:keepLines w:val="0"/>
              <w:widowControl/>
              <w:suppressLineNumbers w:val="0"/>
              <w:tabs>
                <w:tab w:val="left" w:pos="426"/>
              </w:tabs>
              <w:spacing w:before="0" w:beforeAutospacing="0" w:after="0" w:afterAutospacing="0" w:line="240" w:lineRule="auto"/>
              <w:ind w:left="0" w:right="0"/>
              <w:rPr>
                <w:rFonts w:asciiTheme="minorEastAsia" w:hAnsiTheme="minorEastAsia" w:eastAsiaTheme="minorEastAsia"/>
                <w:color w:val="auto"/>
                <w:kern w:val="2"/>
                <w:szCs w:val="21"/>
              </w:rPr>
            </w:pPr>
            <w:r>
              <w:rPr>
                <w:rFonts w:hint="eastAsia" w:asciiTheme="minorEastAsia" w:hAnsiTheme="minorEastAsia" w:eastAsiaTheme="minorEastAsia"/>
                <w:color w:val="auto"/>
                <w:kern w:val="2"/>
                <w:szCs w:val="21"/>
              </w:rPr>
              <w:t>不合格 （  ）</w:t>
            </w:r>
          </w:p>
        </w:tc>
        <w:tc>
          <w:tcPr>
            <w:tcW w:w="708" w:type="dxa"/>
            <w:vAlign w:val="center"/>
          </w:tcPr>
          <w:p w14:paraId="2DF12ECA">
            <w:pPr>
              <w:keepNext w:val="0"/>
              <w:keepLines w:val="0"/>
              <w:widowControl/>
              <w:suppressLineNumbers w:val="0"/>
              <w:tabs>
                <w:tab w:val="left" w:pos="426"/>
              </w:tabs>
              <w:spacing w:before="0" w:beforeAutospacing="0" w:after="0" w:afterAutospacing="0" w:line="240" w:lineRule="auto"/>
              <w:ind w:left="0" w:right="0" w:firstLine="560"/>
              <w:jc w:val="center"/>
              <w:rPr>
                <w:rFonts w:asciiTheme="minorEastAsia" w:hAnsiTheme="minorEastAsia" w:eastAsiaTheme="minorEastAsia"/>
                <w:color w:val="auto"/>
                <w:kern w:val="2"/>
                <w:szCs w:val="21"/>
              </w:rPr>
            </w:pPr>
          </w:p>
        </w:tc>
      </w:tr>
      <w:tr w14:paraId="5421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16F1A2BF">
            <w:pPr>
              <w:keepNext w:val="0"/>
              <w:keepLines w:val="0"/>
              <w:widowControl/>
              <w:suppressLineNumbers w:val="0"/>
              <w:tabs>
                <w:tab w:val="left" w:pos="426"/>
              </w:tabs>
              <w:spacing w:before="0" w:beforeAutospacing="0" w:after="0" w:afterAutospacing="0" w:line="240" w:lineRule="auto"/>
              <w:ind w:left="0" w:right="0"/>
              <w:jc w:val="center"/>
              <w:rPr>
                <w:rFonts w:asciiTheme="minorEastAsia" w:hAnsiTheme="minorEastAsia" w:eastAsiaTheme="minorEastAsia"/>
                <w:color w:val="auto"/>
                <w:kern w:val="2"/>
                <w:szCs w:val="21"/>
              </w:rPr>
            </w:pPr>
            <w:r>
              <w:rPr>
                <w:rFonts w:hint="eastAsia" w:asciiTheme="minorEastAsia" w:hAnsiTheme="minorEastAsia" w:eastAsiaTheme="minorEastAsia"/>
                <w:color w:val="auto"/>
                <w:kern w:val="2"/>
                <w:szCs w:val="21"/>
              </w:rPr>
              <w:t>河粉及豆制品类</w:t>
            </w:r>
          </w:p>
        </w:tc>
        <w:tc>
          <w:tcPr>
            <w:tcW w:w="676" w:type="dxa"/>
            <w:vAlign w:val="center"/>
          </w:tcPr>
          <w:p w14:paraId="1F33A91F">
            <w:pPr>
              <w:keepNext w:val="0"/>
              <w:keepLines w:val="0"/>
              <w:widowControl/>
              <w:suppressLineNumbers w:val="0"/>
              <w:tabs>
                <w:tab w:val="left" w:pos="426"/>
              </w:tabs>
              <w:spacing w:before="0" w:beforeAutospacing="0" w:after="0" w:afterAutospacing="0" w:line="240" w:lineRule="auto"/>
              <w:ind w:left="0" w:right="0" w:firstLine="560"/>
              <w:jc w:val="center"/>
              <w:rPr>
                <w:rFonts w:asciiTheme="minorEastAsia" w:hAnsiTheme="minorEastAsia" w:eastAsiaTheme="minorEastAsia"/>
                <w:color w:val="auto"/>
                <w:kern w:val="2"/>
                <w:szCs w:val="21"/>
              </w:rPr>
            </w:pPr>
          </w:p>
        </w:tc>
        <w:tc>
          <w:tcPr>
            <w:tcW w:w="1124" w:type="dxa"/>
            <w:vAlign w:val="center"/>
          </w:tcPr>
          <w:p w14:paraId="7766F1CE">
            <w:pPr>
              <w:keepNext w:val="0"/>
              <w:keepLines w:val="0"/>
              <w:widowControl/>
              <w:suppressLineNumbers w:val="0"/>
              <w:tabs>
                <w:tab w:val="left" w:pos="426"/>
              </w:tabs>
              <w:spacing w:before="0" w:beforeAutospacing="0" w:after="0" w:afterAutospacing="0" w:line="240" w:lineRule="auto"/>
              <w:ind w:left="0" w:right="0"/>
              <w:rPr>
                <w:rFonts w:asciiTheme="minorEastAsia" w:hAnsiTheme="minorEastAsia" w:eastAsiaTheme="minorEastAsia"/>
                <w:color w:val="auto"/>
                <w:kern w:val="2"/>
                <w:szCs w:val="21"/>
              </w:rPr>
            </w:pPr>
            <w:r>
              <w:rPr>
                <w:rFonts w:hint="eastAsia" w:asciiTheme="minorEastAsia" w:hAnsiTheme="minorEastAsia" w:eastAsiaTheme="minorEastAsia"/>
                <w:color w:val="auto"/>
                <w:kern w:val="2"/>
                <w:szCs w:val="21"/>
              </w:rPr>
              <w:t>按时（ ）</w:t>
            </w:r>
          </w:p>
          <w:p w14:paraId="3A761EEE">
            <w:pPr>
              <w:keepNext w:val="0"/>
              <w:keepLines w:val="0"/>
              <w:widowControl/>
              <w:suppressLineNumbers w:val="0"/>
              <w:tabs>
                <w:tab w:val="left" w:pos="426"/>
              </w:tabs>
              <w:spacing w:before="0" w:beforeAutospacing="0" w:after="0" w:afterAutospacing="0" w:line="240" w:lineRule="auto"/>
              <w:ind w:left="0" w:right="0"/>
              <w:rPr>
                <w:rFonts w:asciiTheme="minorEastAsia" w:hAnsiTheme="minorEastAsia" w:eastAsiaTheme="minorEastAsia"/>
                <w:color w:val="auto"/>
                <w:kern w:val="2"/>
                <w:szCs w:val="21"/>
              </w:rPr>
            </w:pPr>
            <w:r>
              <w:rPr>
                <w:rFonts w:hint="eastAsia" w:asciiTheme="minorEastAsia" w:hAnsiTheme="minorEastAsia" w:eastAsiaTheme="minorEastAsia"/>
                <w:color w:val="auto"/>
                <w:kern w:val="2"/>
                <w:szCs w:val="21"/>
              </w:rPr>
              <w:t>超时（ ）</w:t>
            </w:r>
          </w:p>
        </w:tc>
        <w:tc>
          <w:tcPr>
            <w:tcW w:w="818" w:type="dxa"/>
            <w:vAlign w:val="center"/>
          </w:tcPr>
          <w:p w14:paraId="7E0D05FF">
            <w:pPr>
              <w:keepNext w:val="0"/>
              <w:keepLines w:val="0"/>
              <w:widowControl/>
              <w:suppressLineNumbers w:val="0"/>
              <w:tabs>
                <w:tab w:val="left" w:pos="426"/>
              </w:tabs>
              <w:spacing w:before="0" w:beforeAutospacing="0" w:after="0" w:afterAutospacing="0" w:line="240" w:lineRule="auto"/>
              <w:ind w:left="0" w:right="0" w:firstLine="560"/>
              <w:jc w:val="center"/>
              <w:rPr>
                <w:rFonts w:asciiTheme="minorEastAsia" w:hAnsiTheme="minorEastAsia" w:eastAsiaTheme="minorEastAsia"/>
                <w:color w:val="auto"/>
                <w:kern w:val="2"/>
                <w:szCs w:val="21"/>
              </w:rPr>
            </w:pPr>
          </w:p>
        </w:tc>
        <w:tc>
          <w:tcPr>
            <w:tcW w:w="1165" w:type="dxa"/>
            <w:vAlign w:val="center"/>
          </w:tcPr>
          <w:p w14:paraId="24ADFCC7">
            <w:pPr>
              <w:keepNext w:val="0"/>
              <w:keepLines w:val="0"/>
              <w:widowControl/>
              <w:suppressLineNumbers w:val="0"/>
              <w:tabs>
                <w:tab w:val="left" w:pos="426"/>
              </w:tabs>
              <w:spacing w:before="0" w:beforeAutospacing="0" w:after="0" w:afterAutospacing="0" w:line="240" w:lineRule="auto"/>
              <w:ind w:left="0" w:right="0"/>
              <w:rPr>
                <w:rFonts w:asciiTheme="minorEastAsia" w:hAnsiTheme="minorEastAsia" w:eastAsiaTheme="minorEastAsia"/>
                <w:color w:val="auto"/>
                <w:kern w:val="2"/>
                <w:szCs w:val="21"/>
              </w:rPr>
            </w:pPr>
            <w:r>
              <w:rPr>
                <w:rFonts w:hint="eastAsia" w:asciiTheme="minorEastAsia" w:hAnsiTheme="minorEastAsia" w:eastAsiaTheme="minorEastAsia"/>
                <w:color w:val="auto"/>
                <w:kern w:val="2"/>
                <w:szCs w:val="21"/>
              </w:rPr>
              <w:t>按量（ ）</w:t>
            </w:r>
          </w:p>
          <w:p w14:paraId="26AD5F4D">
            <w:pPr>
              <w:keepNext w:val="0"/>
              <w:keepLines w:val="0"/>
              <w:widowControl/>
              <w:suppressLineNumbers w:val="0"/>
              <w:tabs>
                <w:tab w:val="left" w:pos="426"/>
              </w:tabs>
              <w:spacing w:before="0" w:beforeAutospacing="0" w:after="0" w:afterAutospacing="0" w:line="240" w:lineRule="auto"/>
              <w:ind w:left="0" w:right="0"/>
              <w:rPr>
                <w:rFonts w:asciiTheme="minorEastAsia" w:hAnsiTheme="minorEastAsia" w:eastAsiaTheme="minorEastAsia"/>
                <w:color w:val="auto"/>
                <w:kern w:val="2"/>
                <w:szCs w:val="21"/>
              </w:rPr>
            </w:pPr>
            <w:r>
              <w:rPr>
                <w:rFonts w:hint="eastAsia" w:asciiTheme="minorEastAsia" w:hAnsiTheme="minorEastAsia" w:eastAsiaTheme="minorEastAsia"/>
                <w:color w:val="auto"/>
                <w:kern w:val="2"/>
                <w:szCs w:val="21"/>
              </w:rPr>
              <w:t>不足（ ）</w:t>
            </w:r>
          </w:p>
          <w:p w14:paraId="2F7B56AF">
            <w:pPr>
              <w:keepNext w:val="0"/>
              <w:keepLines w:val="0"/>
              <w:widowControl/>
              <w:suppressLineNumbers w:val="0"/>
              <w:tabs>
                <w:tab w:val="left" w:pos="426"/>
              </w:tabs>
              <w:spacing w:before="0" w:beforeAutospacing="0" w:after="0" w:afterAutospacing="0" w:line="240" w:lineRule="auto"/>
              <w:ind w:left="0" w:right="0"/>
              <w:rPr>
                <w:rFonts w:asciiTheme="minorEastAsia" w:hAnsiTheme="minorEastAsia" w:eastAsiaTheme="minorEastAsia"/>
                <w:color w:val="auto"/>
                <w:kern w:val="2"/>
                <w:szCs w:val="21"/>
              </w:rPr>
            </w:pPr>
            <w:r>
              <w:rPr>
                <w:rFonts w:hint="eastAsia" w:asciiTheme="minorEastAsia" w:hAnsiTheme="minorEastAsia" w:eastAsiaTheme="minorEastAsia"/>
                <w:color w:val="auto"/>
                <w:kern w:val="2"/>
                <w:szCs w:val="21"/>
              </w:rPr>
              <w:t>超量（ ）</w:t>
            </w:r>
          </w:p>
        </w:tc>
        <w:tc>
          <w:tcPr>
            <w:tcW w:w="2589" w:type="dxa"/>
            <w:vAlign w:val="center"/>
          </w:tcPr>
          <w:p w14:paraId="14D9F8B2">
            <w:pPr>
              <w:keepNext w:val="0"/>
              <w:keepLines w:val="0"/>
              <w:widowControl/>
              <w:suppressLineNumbers w:val="0"/>
              <w:tabs>
                <w:tab w:val="left" w:pos="426"/>
              </w:tabs>
              <w:spacing w:before="0" w:beforeAutospacing="0" w:after="0" w:afterAutospacing="0" w:line="240" w:lineRule="auto"/>
              <w:ind w:left="0" w:right="0" w:firstLine="560"/>
              <w:rPr>
                <w:rFonts w:asciiTheme="minorEastAsia" w:hAnsiTheme="minorEastAsia" w:eastAsiaTheme="minorEastAsia"/>
                <w:color w:val="auto"/>
                <w:kern w:val="2"/>
                <w:szCs w:val="21"/>
              </w:rPr>
            </w:pPr>
            <w:r>
              <w:rPr>
                <w:rFonts w:hint="eastAsia" w:asciiTheme="minorEastAsia" w:hAnsiTheme="minorEastAsia" w:eastAsiaTheme="minorEastAsia"/>
                <w:color w:val="auto"/>
                <w:kern w:val="2"/>
                <w:szCs w:val="21"/>
              </w:rPr>
              <w:t>由深圳市正规食品公司出品的货物，保持较好外观，达到相应等级，在保质期内。</w:t>
            </w:r>
          </w:p>
        </w:tc>
        <w:tc>
          <w:tcPr>
            <w:tcW w:w="1418" w:type="dxa"/>
            <w:vAlign w:val="center"/>
          </w:tcPr>
          <w:p w14:paraId="04AA398B">
            <w:pPr>
              <w:keepNext w:val="0"/>
              <w:keepLines w:val="0"/>
              <w:widowControl/>
              <w:suppressLineNumbers w:val="0"/>
              <w:tabs>
                <w:tab w:val="left" w:pos="426"/>
              </w:tabs>
              <w:spacing w:before="0" w:beforeAutospacing="0" w:after="0" w:afterAutospacing="0" w:line="240" w:lineRule="auto"/>
              <w:ind w:left="0" w:right="0"/>
              <w:rPr>
                <w:rFonts w:asciiTheme="minorEastAsia" w:hAnsiTheme="minorEastAsia" w:eastAsiaTheme="minorEastAsia"/>
                <w:color w:val="auto"/>
                <w:kern w:val="2"/>
                <w:szCs w:val="21"/>
              </w:rPr>
            </w:pPr>
            <w:r>
              <w:rPr>
                <w:rFonts w:hint="eastAsia" w:asciiTheme="minorEastAsia" w:hAnsiTheme="minorEastAsia" w:eastAsiaTheme="minorEastAsia"/>
                <w:color w:val="auto"/>
                <w:kern w:val="2"/>
                <w:szCs w:val="21"/>
              </w:rPr>
              <w:t>优良   （  ）</w:t>
            </w:r>
          </w:p>
          <w:p w14:paraId="6FEB9B3B">
            <w:pPr>
              <w:keepNext w:val="0"/>
              <w:keepLines w:val="0"/>
              <w:widowControl/>
              <w:suppressLineNumbers w:val="0"/>
              <w:tabs>
                <w:tab w:val="left" w:pos="426"/>
              </w:tabs>
              <w:spacing w:before="0" w:beforeAutospacing="0" w:after="0" w:afterAutospacing="0" w:line="240" w:lineRule="auto"/>
              <w:ind w:left="0" w:right="0"/>
              <w:rPr>
                <w:rFonts w:asciiTheme="minorEastAsia" w:hAnsiTheme="minorEastAsia" w:eastAsiaTheme="minorEastAsia"/>
                <w:color w:val="auto"/>
                <w:kern w:val="2"/>
                <w:szCs w:val="21"/>
              </w:rPr>
            </w:pPr>
            <w:r>
              <w:rPr>
                <w:rFonts w:hint="eastAsia" w:asciiTheme="minorEastAsia" w:hAnsiTheme="minorEastAsia" w:eastAsiaTheme="minorEastAsia"/>
                <w:color w:val="auto"/>
                <w:kern w:val="2"/>
                <w:szCs w:val="21"/>
              </w:rPr>
              <w:t>合格   （  ）</w:t>
            </w:r>
          </w:p>
          <w:p w14:paraId="4563817D">
            <w:pPr>
              <w:keepNext w:val="0"/>
              <w:keepLines w:val="0"/>
              <w:widowControl/>
              <w:suppressLineNumbers w:val="0"/>
              <w:tabs>
                <w:tab w:val="left" w:pos="426"/>
              </w:tabs>
              <w:spacing w:before="0" w:beforeAutospacing="0" w:after="0" w:afterAutospacing="0" w:line="240" w:lineRule="auto"/>
              <w:ind w:left="0" w:right="0"/>
              <w:rPr>
                <w:rFonts w:asciiTheme="minorEastAsia" w:hAnsiTheme="minorEastAsia" w:eastAsiaTheme="minorEastAsia"/>
                <w:color w:val="auto"/>
                <w:kern w:val="2"/>
                <w:szCs w:val="21"/>
              </w:rPr>
            </w:pPr>
            <w:r>
              <w:rPr>
                <w:rFonts w:hint="eastAsia" w:asciiTheme="minorEastAsia" w:hAnsiTheme="minorEastAsia" w:eastAsiaTheme="minorEastAsia"/>
                <w:color w:val="auto"/>
                <w:kern w:val="2"/>
                <w:szCs w:val="21"/>
              </w:rPr>
              <w:t>不合格 （  ）</w:t>
            </w:r>
          </w:p>
        </w:tc>
        <w:tc>
          <w:tcPr>
            <w:tcW w:w="708" w:type="dxa"/>
            <w:vAlign w:val="center"/>
          </w:tcPr>
          <w:p w14:paraId="3BF6AFAE">
            <w:pPr>
              <w:keepNext w:val="0"/>
              <w:keepLines w:val="0"/>
              <w:widowControl/>
              <w:suppressLineNumbers w:val="0"/>
              <w:tabs>
                <w:tab w:val="left" w:pos="426"/>
              </w:tabs>
              <w:spacing w:before="0" w:beforeAutospacing="0" w:after="0" w:afterAutospacing="0" w:line="240" w:lineRule="auto"/>
              <w:ind w:left="0" w:right="0" w:firstLine="560"/>
              <w:jc w:val="center"/>
              <w:rPr>
                <w:rFonts w:asciiTheme="minorEastAsia" w:hAnsiTheme="minorEastAsia" w:eastAsiaTheme="minorEastAsia"/>
                <w:color w:val="auto"/>
                <w:kern w:val="2"/>
                <w:szCs w:val="21"/>
              </w:rPr>
            </w:pPr>
          </w:p>
        </w:tc>
      </w:tr>
      <w:tr w14:paraId="61872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69382CAF">
            <w:pPr>
              <w:keepNext w:val="0"/>
              <w:keepLines w:val="0"/>
              <w:widowControl/>
              <w:suppressLineNumbers w:val="0"/>
              <w:tabs>
                <w:tab w:val="left" w:pos="426"/>
              </w:tabs>
              <w:spacing w:before="0" w:beforeAutospacing="0" w:after="0" w:afterAutospacing="0" w:line="240" w:lineRule="auto"/>
              <w:ind w:left="0" w:right="0"/>
              <w:jc w:val="center"/>
              <w:rPr>
                <w:rFonts w:asciiTheme="minorEastAsia" w:hAnsiTheme="minorEastAsia" w:eastAsiaTheme="minorEastAsia"/>
                <w:color w:val="auto"/>
                <w:kern w:val="2"/>
                <w:szCs w:val="21"/>
              </w:rPr>
            </w:pPr>
            <w:r>
              <w:rPr>
                <w:rFonts w:hint="eastAsia" w:asciiTheme="minorEastAsia" w:hAnsiTheme="minorEastAsia" w:eastAsiaTheme="minorEastAsia"/>
                <w:color w:val="auto"/>
                <w:kern w:val="2"/>
                <w:szCs w:val="21"/>
              </w:rPr>
              <w:t>干货类</w:t>
            </w:r>
          </w:p>
        </w:tc>
        <w:tc>
          <w:tcPr>
            <w:tcW w:w="676" w:type="dxa"/>
            <w:vAlign w:val="center"/>
          </w:tcPr>
          <w:p w14:paraId="1AA0831C">
            <w:pPr>
              <w:keepNext w:val="0"/>
              <w:keepLines w:val="0"/>
              <w:widowControl/>
              <w:suppressLineNumbers w:val="0"/>
              <w:tabs>
                <w:tab w:val="left" w:pos="426"/>
              </w:tabs>
              <w:spacing w:before="0" w:beforeAutospacing="0" w:after="0" w:afterAutospacing="0" w:line="240" w:lineRule="auto"/>
              <w:ind w:left="0" w:right="0" w:firstLine="560"/>
              <w:jc w:val="center"/>
              <w:rPr>
                <w:rFonts w:asciiTheme="minorEastAsia" w:hAnsiTheme="minorEastAsia" w:eastAsiaTheme="minorEastAsia"/>
                <w:color w:val="auto"/>
                <w:kern w:val="2"/>
                <w:szCs w:val="21"/>
              </w:rPr>
            </w:pPr>
          </w:p>
        </w:tc>
        <w:tc>
          <w:tcPr>
            <w:tcW w:w="1124" w:type="dxa"/>
            <w:vAlign w:val="center"/>
          </w:tcPr>
          <w:p w14:paraId="289B0E9F">
            <w:pPr>
              <w:keepNext w:val="0"/>
              <w:keepLines w:val="0"/>
              <w:widowControl/>
              <w:suppressLineNumbers w:val="0"/>
              <w:tabs>
                <w:tab w:val="left" w:pos="426"/>
              </w:tabs>
              <w:spacing w:before="0" w:beforeAutospacing="0" w:after="0" w:afterAutospacing="0" w:line="240" w:lineRule="auto"/>
              <w:ind w:left="0" w:right="0"/>
              <w:rPr>
                <w:rFonts w:asciiTheme="minorEastAsia" w:hAnsiTheme="minorEastAsia" w:eastAsiaTheme="minorEastAsia"/>
                <w:color w:val="auto"/>
                <w:kern w:val="2"/>
                <w:szCs w:val="21"/>
              </w:rPr>
            </w:pPr>
            <w:r>
              <w:rPr>
                <w:rFonts w:hint="eastAsia" w:asciiTheme="minorEastAsia" w:hAnsiTheme="minorEastAsia" w:eastAsiaTheme="minorEastAsia"/>
                <w:color w:val="auto"/>
                <w:kern w:val="2"/>
                <w:szCs w:val="21"/>
              </w:rPr>
              <w:t>按时（ ）</w:t>
            </w:r>
          </w:p>
          <w:p w14:paraId="50ABC01D">
            <w:pPr>
              <w:keepNext w:val="0"/>
              <w:keepLines w:val="0"/>
              <w:widowControl/>
              <w:suppressLineNumbers w:val="0"/>
              <w:tabs>
                <w:tab w:val="left" w:pos="426"/>
              </w:tabs>
              <w:spacing w:before="0" w:beforeAutospacing="0" w:after="0" w:afterAutospacing="0" w:line="240" w:lineRule="auto"/>
              <w:ind w:left="0" w:right="0"/>
              <w:rPr>
                <w:rFonts w:asciiTheme="minorEastAsia" w:hAnsiTheme="minorEastAsia" w:eastAsiaTheme="minorEastAsia"/>
                <w:color w:val="auto"/>
                <w:kern w:val="2"/>
                <w:szCs w:val="21"/>
              </w:rPr>
            </w:pPr>
            <w:r>
              <w:rPr>
                <w:rFonts w:hint="eastAsia" w:asciiTheme="minorEastAsia" w:hAnsiTheme="minorEastAsia" w:eastAsiaTheme="minorEastAsia"/>
                <w:color w:val="auto"/>
                <w:kern w:val="2"/>
                <w:szCs w:val="21"/>
              </w:rPr>
              <w:t>超时（ ）</w:t>
            </w:r>
          </w:p>
        </w:tc>
        <w:tc>
          <w:tcPr>
            <w:tcW w:w="818" w:type="dxa"/>
            <w:vAlign w:val="center"/>
          </w:tcPr>
          <w:p w14:paraId="42044D01">
            <w:pPr>
              <w:keepNext w:val="0"/>
              <w:keepLines w:val="0"/>
              <w:widowControl/>
              <w:suppressLineNumbers w:val="0"/>
              <w:tabs>
                <w:tab w:val="left" w:pos="426"/>
              </w:tabs>
              <w:spacing w:before="0" w:beforeAutospacing="0" w:after="0" w:afterAutospacing="0" w:line="240" w:lineRule="auto"/>
              <w:ind w:left="0" w:right="0" w:firstLine="560"/>
              <w:jc w:val="center"/>
              <w:rPr>
                <w:rFonts w:asciiTheme="minorEastAsia" w:hAnsiTheme="minorEastAsia" w:eastAsiaTheme="minorEastAsia"/>
                <w:color w:val="auto"/>
                <w:kern w:val="2"/>
                <w:szCs w:val="21"/>
              </w:rPr>
            </w:pPr>
          </w:p>
        </w:tc>
        <w:tc>
          <w:tcPr>
            <w:tcW w:w="1165" w:type="dxa"/>
            <w:vAlign w:val="center"/>
          </w:tcPr>
          <w:p w14:paraId="1F3A0529">
            <w:pPr>
              <w:keepNext w:val="0"/>
              <w:keepLines w:val="0"/>
              <w:widowControl/>
              <w:suppressLineNumbers w:val="0"/>
              <w:tabs>
                <w:tab w:val="left" w:pos="426"/>
              </w:tabs>
              <w:spacing w:before="0" w:beforeAutospacing="0" w:after="0" w:afterAutospacing="0" w:line="240" w:lineRule="auto"/>
              <w:ind w:left="0" w:right="0"/>
              <w:rPr>
                <w:rFonts w:asciiTheme="minorEastAsia" w:hAnsiTheme="minorEastAsia" w:eastAsiaTheme="minorEastAsia"/>
                <w:color w:val="auto"/>
                <w:kern w:val="2"/>
                <w:szCs w:val="21"/>
              </w:rPr>
            </w:pPr>
            <w:r>
              <w:rPr>
                <w:rFonts w:hint="eastAsia" w:asciiTheme="minorEastAsia" w:hAnsiTheme="minorEastAsia" w:eastAsiaTheme="minorEastAsia"/>
                <w:color w:val="auto"/>
                <w:kern w:val="2"/>
                <w:szCs w:val="21"/>
              </w:rPr>
              <w:t>按量（ ）</w:t>
            </w:r>
          </w:p>
          <w:p w14:paraId="4D9F7625">
            <w:pPr>
              <w:keepNext w:val="0"/>
              <w:keepLines w:val="0"/>
              <w:widowControl/>
              <w:suppressLineNumbers w:val="0"/>
              <w:tabs>
                <w:tab w:val="left" w:pos="426"/>
              </w:tabs>
              <w:spacing w:before="0" w:beforeAutospacing="0" w:after="0" w:afterAutospacing="0" w:line="240" w:lineRule="auto"/>
              <w:ind w:left="0" w:right="0"/>
              <w:rPr>
                <w:rFonts w:asciiTheme="minorEastAsia" w:hAnsiTheme="minorEastAsia" w:eastAsiaTheme="minorEastAsia"/>
                <w:color w:val="auto"/>
                <w:kern w:val="2"/>
                <w:szCs w:val="21"/>
              </w:rPr>
            </w:pPr>
            <w:r>
              <w:rPr>
                <w:rFonts w:hint="eastAsia" w:asciiTheme="minorEastAsia" w:hAnsiTheme="minorEastAsia" w:eastAsiaTheme="minorEastAsia"/>
                <w:color w:val="auto"/>
                <w:kern w:val="2"/>
                <w:szCs w:val="21"/>
              </w:rPr>
              <w:t>不足（ ）</w:t>
            </w:r>
          </w:p>
          <w:p w14:paraId="4ECF6343">
            <w:pPr>
              <w:keepNext w:val="0"/>
              <w:keepLines w:val="0"/>
              <w:widowControl/>
              <w:suppressLineNumbers w:val="0"/>
              <w:tabs>
                <w:tab w:val="left" w:pos="426"/>
              </w:tabs>
              <w:spacing w:before="0" w:beforeAutospacing="0" w:after="0" w:afterAutospacing="0" w:line="240" w:lineRule="auto"/>
              <w:ind w:left="0" w:right="0"/>
              <w:rPr>
                <w:rFonts w:asciiTheme="minorEastAsia" w:hAnsiTheme="minorEastAsia" w:eastAsiaTheme="minorEastAsia"/>
                <w:color w:val="auto"/>
                <w:kern w:val="2"/>
                <w:szCs w:val="21"/>
              </w:rPr>
            </w:pPr>
            <w:r>
              <w:rPr>
                <w:rFonts w:hint="eastAsia" w:asciiTheme="minorEastAsia" w:hAnsiTheme="minorEastAsia" w:eastAsiaTheme="minorEastAsia"/>
                <w:color w:val="auto"/>
                <w:kern w:val="2"/>
                <w:szCs w:val="21"/>
              </w:rPr>
              <w:t>超量（ ）</w:t>
            </w:r>
          </w:p>
        </w:tc>
        <w:tc>
          <w:tcPr>
            <w:tcW w:w="2589" w:type="dxa"/>
            <w:vAlign w:val="center"/>
          </w:tcPr>
          <w:p w14:paraId="5C9D32C1">
            <w:pPr>
              <w:keepNext w:val="0"/>
              <w:keepLines w:val="0"/>
              <w:widowControl/>
              <w:suppressLineNumbers w:val="0"/>
              <w:tabs>
                <w:tab w:val="left" w:pos="426"/>
              </w:tabs>
              <w:spacing w:before="0" w:beforeAutospacing="0" w:after="0" w:afterAutospacing="0" w:line="240" w:lineRule="auto"/>
              <w:ind w:left="0" w:right="0" w:firstLine="560"/>
              <w:rPr>
                <w:rFonts w:asciiTheme="minorEastAsia" w:hAnsiTheme="minorEastAsia" w:eastAsiaTheme="minorEastAsia"/>
                <w:color w:val="auto"/>
                <w:kern w:val="2"/>
                <w:szCs w:val="21"/>
              </w:rPr>
            </w:pPr>
            <w:r>
              <w:rPr>
                <w:rFonts w:hint="eastAsia" w:asciiTheme="minorEastAsia" w:hAnsiTheme="minorEastAsia" w:eastAsiaTheme="minorEastAsia"/>
                <w:color w:val="auto"/>
                <w:kern w:val="2"/>
                <w:szCs w:val="21"/>
              </w:rPr>
              <w:t>正规厂家生产，保持较好外观，达到相应等级，并提供贴有卫生许可验收和商标及地址、电话、在保质期内食用产品。</w:t>
            </w:r>
          </w:p>
        </w:tc>
        <w:tc>
          <w:tcPr>
            <w:tcW w:w="1418" w:type="dxa"/>
            <w:vAlign w:val="center"/>
          </w:tcPr>
          <w:p w14:paraId="24860D89">
            <w:pPr>
              <w:keepNext w:val="0"/>
              <w:keepLines w:val="0"/>
              <w:widowControl/>
              <w:suppressLineNumbers w:val="0"/>
              <w:tabs>
                <w:tab w:val="left" w:pos="426"/>
              </w:tabs>
              <w:spacing w:before="0" w:beforeAutospacing="0" w:after="0" w:afterAutospacing="0" w:line="240" w:lineRule="auto"/>
              <w:ind w:left="0" w:right="0"/>
              <w:rPr>
                <w:rFonts w:asciiTheme="minorEastAsia" w:hAnsiTheme="minorEastAsia" w:eastAsiaTheme="minorEastAsia"/>
                <w:color w:val="auto"/>
                <w:kern w:val="2"/>
                <w:szCs w:val="21"/>
              </w:rPr>
            </w:pPr>
            <w:r>
              <w:rPr>
                <w:rFonts w:hint="eastAsia" w:asciiTheme="minorEastAsia" w:hAnsiTheme="minorEastAsia" w:eastAsiaTheme="minorEastAsia"/>
                <w:color w:val="auto"/>
                <w:kern w:val="2"/>
                <w:szCs w:val="21"/>
              </w:rPr>
              <w:t>优良   （  ）</w:t>
            </w:r>
          </w:p>
          <w:p w14:paraId="3ADB9A8B">
            <w:pPr>
              <w:keepNext w:val="0"/>
              <w:keepLines w:val="0"/>
              <w:widowControl/>
              <w:suppressLineNumbers w:val="0"/>
              <w:tabs>
                <w:tab w:val="left" w:pos="426"/>
              </w:tabs>
              <w:spacing w:before="0" w:beforeAutospacing="0" w:after="0" w:afterAutospacing="0" w:line="240" w:lineRule="auto"/>
              <w:ind w:left="0" w:right="0"/>
              <w:rPr>
                <w:rFonts w:asciiTheme="minorEastAsia" w:hAnsiTheme="minorEastAsia" w:eastAsiaTheme="minorEastAsia"/>
                <w:color w:val="auto"/>
                <w:kern w:val="2"/>
                <w:szCs w:val="21"/>
              </w:rPr>
            </w:pPr>
            <w:r>
              <w:rPr>
                <w:rFonts w:hint="eastAsia" w:asciiTheme="minorEastAsia" w:hAnsiTheme="minorEastAsia" w:eastAsiaTheme="minorEastAsia"/>
                <w:color w:val="auto"/>
                <w:kern w:val="2"/>
                <w:szCs w:val="21"/>
              </w:rPr>
              <w:t>合格   （  ）</w:t>
            </w:r>
          </w:p>
          <w:p w14:paraId="518312AF">
            <w:pPr>
              <w:keepNext w:val="0"/>
              <w:keepLines w:val="0"/>
              <w:widowControl/>
              <w:suppressLineNumbers w:val="0"/>
              <w:tabs>
                <w:tab w:val="left" w:pos="426"/>
              </w:tabs>
              <w:spacing w:before="0" w:beforeAutospacing="0" w:after="0" w:afterAutospacing="0" w:line="240" w:lineRule="auto"/>
              <w:ind w:left="0" w:right="0"/>
              <w:rPr>
                <w:rFonts w:asciiTheme="minorEastAsia" w:hAnsiTheme="minorEastAsia" w:eastAsiaTheme="minorEastAsia"/>
                <w:color w:val="auto"/>
                <w:kern w:val="2"/>
                <w:szCs w:val="21"/>
              </w:rPr>
            </w:pPr>
            <w:r>
              <w:rPr>
                <w:rFonts w:hint="eastAsia" w:asciiTheme="minorEastAsia" w:hAnsiTheme="minorEastAsia" w:eastAsiaTheme="minorEastAsia"/>
                <w:color w:val="auto"/>
                <w:kern w:val="2"/>
                <w:szCs w:val="21"/>
              </w:rPr>
              <w:t>不合格 （  ）</w:t>
            </w:r>
          </w:p>
        </w:tc>
        <w:tc>
          <w:tcPr>
            <w:tcW w:w="708" w:type="dxa"/>
            <w:vAlign w:val="center"/>
          </w:tcPr>
          <w:p w14:paraId="49B6C651">
            <w:pPr>
              <w:keepNext w:val="0"/>
              <w:keepLines w:val="0"/>
              <w:widowControl/>
              <w:suppressLineNumbers w:val="0"/>
              <w:tabs>
                <w:tab w:val="left" w:pos="426"/>
              </w:tabs>
              <w:spacing w:before="0" w:beforeAutospacing="0" w:after="0" w:afterAutospacing="0" w:line="240" w:lineRule="auto"/>
              <w:ind w:left="0" w:right="0" w:firstLine="560"/>
              <w:jc w:val="center"/>
              <w:rPr>
                <w:rFonts w:asciiTheme="minorEastAsia" w:hAnsiTheme="minorEastAsia" w:eastAsiaTheme="minorEastAsia"/>
                <w:color w:val="auto"/>
                <w:kern w:val="2"/>
                <w:szCs w:val="21"/>
              </w:rPr>
            </w:pPr>
          </w:p>
        </w:tc>
      </w:tr>
      <w:tr w14:paraId="70B43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6C40E081">
            <w:pPr>
              <w:keepNext w:val="0"/>
              <w:keepLines w:val="0"/>
              <w:widowControl/>
              <w:suppressLineNumbers w:val="0"/>
              <w:tabs>
                <w:tab w:val="left" w:pos="426"/>
              </w:tabs>
              <w:spacing w:before="0" w:beforeAutospacing="0" w:after="0" w:afterAutospacing="0" w:line="240" w:lineRule="auto"/>
              <w:ind w:left="0" w:right="0"/>
              <w:jc w:val="center"/>
              <w:rPr>
                <w:rFonts w:asciiTheme="minorEastAsia" w:hAnsiTheme="minorEastAsia" w:eastAsiaTheme="minorEastAsia"/>
                <w:color w:val="auto"/>
                <w:kern w:val="2"/>
                <w:szCs w:val="21"/>
              </w:rPr>
            </w:pPr>
            <w:r>
              <w:rPr>
                <w:rFonts w:hint="eastAsia" w:asciiTheme="minorEastAsia" w:hAnsiTheme="minorEastAsia" w:eastAsiaTheme="minorEastAsia"/>
                <w:color w:val="auto"/>
                <w:kern w:val="2"/>
                <w:szCs w:val="21"/>
              </w:rPr>
              <w:t>备注</w:t>
            </w:r>
          </w:p>
        </w:tc>
        <w:tc>
          <w:tcPr>
            <w:tcW w:w="8498" w:type="dxa"/>
            <w:gridSpan w:val="7"/>
            <w:vAlign w:val="center"/>
          </w:tcPr>
          <w:p w14:paraId="4F5BAB46">
            <w:pPr>
              <w:keepNext w:val="0"/>
              <w:keepLines w:val="0"/>
              <w:widowControl/>
              <w:suppressLineNumbers w:val="0"/>
              <w:tabs>
                <w:tab w:val="left" w:pos="426"/>
              </w:tabs>
              <w:spacing w:before="0" w:beforeAutospacing="0" w:after="0" w:afterAutospacing="0" w:line="240" w:lineRule="auto"/>
              <w:ind w:left="0" w:right="0" w:firstLine="560"/>
              <w:rPr>
                <w:rFonts w:asciiTheme="minorEastAsia" w:hAnsiTheme="minorEastAsia" w:eastAsiaTheme="minorEastAsia"/>
                <w:color w:val="auto"/>
                <w:kern w:val="2"/>
                <w:szCs w:val="21"/>
              </w:rPr>
            </w:pPr>
            <w:r>
              <w:rPr>
                <w:rFonts w:hint="eastAsia" w:asciiTheme="minorEastAsia" w:hAnsiTheme="minorEastAsia" w:eastAsiaTheme="minorEastAsia"/>
                <w:color w:val="auto"/>
                <w:kern w:val="2"/>
                <w:szCs w:val="21"/>
              </w:rPr>
              <w:t>所有供应食物单位必</w:t>
            </w:r>
            <w:r>
              <w:rPr>
                <w:rFonts w:hint="eastAsia" w:asciiTheme="minorEastAsia" w:hAnsiTheme="minorEastAsia" w:eastAsiaTheme="minorEastAsia"/>
                <w:color w:val="auto"/>
                <w:kern w:val="2"/>
                <w:szCs w:val="21"/>
                <w:lang w:eastAsia="zh-CN"/>
              </w:rPr>
              <w:t>需</w:t>
            </w:r>
            <w:r>
              <w:rPr>
                <w:rFonts w:hint="eastAsia" w:asciiTheme="minorEastAsia" w:hAnsiTheme="minorEastAsia" w:eastAsiaTheme="minorEastAsia"/>
                <w:color w:val="auto"/>
                <w:kern w:val="2"/>
                <w:szCs w:val="21"/>
              </w:rPr>
              <w:t>营业执照、卫生许可证、产品检验报告三证齐全。此清单一式两份，签字确认，作为供货和收货凭证。</w:t>
            </w:r>
          </w:p>
        </w:tc>
      </w:tr>
    </w:tbl>
    <w:p w14:paraId="563A3DEA">
      <w:pPr>
        <w:rPr>
          <w:rFonts w:hint="eastAsia" w:ascii="宋体" w:hAnsi="宋体" w:cs="宋体"/>
        </w:rPr>
      </w:pPr>
      <w:r>
        <w:rPr>
          <w:rFonts w:hint="eastAsia" w:ascii="宋体" w:hAnsi="宋体" w:cs="宋体"/>
        </w:rPr>
        <w:br w:type="page"/>
      </w:r>
    </w:p>
    <w:p w14:paraId="52C14272">
      <w:pPr>
        <w:pageBreakBefore w:val="0"/>
        <w:kinsoku/>
        <w:wordWrap/>
        <w:overflowPunct/>
        <w:topLinePunct w:val="0"/>
        <w:autoSpaceDE/>
        <w:autoSpaceDN/>
        <w:bidi w:val="0"/>
        <w:spacing w:line="288" w:lineRule="auto"/>
        <w:ind w:firstLine="211" w:firstLineChars="100"/>
        <w:rPr>
          <w:rFonts w:hint="default" w:cs="仿宋_GB2312" w:asciiTheme="minorEastAsia" w:hAnsiTheme="minorEastAsia" w:eastAsiaTheme="minorEastAsia"/>
          <w:b/>
          <w:color w:val="000000"/>
          <w:sz w:val="21"/>
          <w:szCs w:val="21"/>
          <w:lang w:val="en-US" w:eastAsia="zh-CN"/>
        </w:rPr>
      </w:pPr>
      <w:r>
        <w:rPr>
          <w:rFonts w:hint="eastAsia" w:cs="仿宋_GB2312" w:asciiTheme="minorEastAsia" w:hAnsiTheme="minorEastAsia" w:eastAsiaTheme="minorEastAsia"/>
          <w:b/>
          <w:color w:val="000000"/>
          <w:sz w:val="21"/>
          <w:szCs w:val="21"/>
          <w:lang w:val="en-US" w:eastAsia="zh-CN"/>
        </w:rPr>
        <w:t>附件三：其他附件</w:t>
      </w:r>
    </w:p>
    <w:p w14:paraId="4C43EAAD">
      <w:pPr>
        <w:pStyle w:val="22"/>
        <w:rPr>
          <w:rFonts w:hint="eastAsia"/>
        </w:rPr>
      </w:pPr>
    </w:p>
    <w:p w14:paraId="2F71EDEC">
      <w:pPr>
        <w:ind w:firstLine="561" w:firstLineChars="266"/>
        <w:jc w:val="center"/>
        <w:outlineLvl w:val="2"/>
        <w:rPr>
          <w:rFonts w:hint="eastAsia" w:ascii="宋体" w:hAnsi="宋体" w:cs="宋体"/>
          <w:szCs w:val="21"/>
        </w:rPr>
      </w:pPr>
      <w:r>
        <w:rPr>
          <w:rFonts w:hint="eastAsia" w:ascii="宋体" w:hAnsi="宋体" w:cs="宋体"/>
          <w:b/>
          <w:bCs/>
          <w:szCs w:val="21"/>
        </w:rPr>
        <w:t>附件1：食堂食材供应商供货异常情况登记表</w:t>
      </w:r>
    </w:p>
    <w:tbl>
      <w:tblPr>
        <w:tblStyle w:val="44"/>
        <w:tblW w:w="4998"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614"/>
        <w:gridCol w:w="2900"/>
        <w:gridCol w:w="1715"/>
        <w:gridCol w:w="2101"/>
      </w:tblGrid>
      <w:tr w14:paraId="52C053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trPr>
        <w:tc>
          <w:tcPr>
            <w:tcW w:w="969" w:type="pct"/>
            <w:tcBorders>
              <w:bottom w:val="single" w:color="000000" w:sz="6" w:space="0"/>
              <w:right w:val="single" w:color="000000" w:sz="6" w:space="0"/>
            </w:tcBorders>
          </w:tcPr>
          <w:p w14:paraId="22E75822">
            <w:pPr>
              <w:pStyle w:val="203"/>
              <w:ind w:left="132" w:right="119"/>
              <w:jc w:val="center"/>
              <w:rPr>
                <w:rFonts w:hint="eastAsia" w:ascii="宋体" w:hAnsi="宋体" w:eastAsia="宋体" w:cs="宋体"/>
                <w:szCs w:val="21"/>
              </w:rPr>
            </w:pPr>
            <w:r>
              <w:rPr>
                <w:rFonts w:hint="eastAsia" w:ascii="宋体" w:hAnsi="宋体" w:eastAsia="宋体" w:cs="宋体"/>
                <w:szCs w:val="21"/>
              </w:rPr>
              <w:t>供应商名称</w:t>
            </w:r>
          </w:p>
        </w:tc>
        <w:tc>
          <w:tcPr>
            <w:tcW w:w="1740" w:type="pct"/>
            <w:tcBorders>
              <w:left w:val="single" w:color="000000" w:sz="6" w:space="0"/>
              <w:bottom w:val="single" w:color="000000" w:sz="6" w:space="0"/>
              <w:right w:val="single" w:color="000000" w:sz="6" w:space="0"/>
            </w:tcBorders>
          </w:tcPr>
          <w:p w14:paraId="20EC5709">
            <w:pPr>
              <w:pStyle w:val="203"/>
              <w:rPr>
                <w:rFonts w:hint="eastAsia" w:ascii="宋体" w:hAnsi="宋体" w:eastAsia="宋体" w:cs="宋体"/>
                <w:szCs w:val="21"/>
              </w:rPr>
            </w:pPr>
          </w:p>
        </w:tc>
        <w:tc>
          <w:tcPr>
            <w:tcW w:w="1029" w:type="pct"/>
            <w:tcBorders>
              <w:left w:val="single" w:color="000000" w:sz="6" w:space="0"/>
              <w:bottom w:val="single" w:color="000000" w:sz="6" w:space="0"/>
              <w:right w:val="single" w:color="000000" w:sz="6" w:space="0"/>
            </w:tcBorders>
          </w:tcPr>
          <w:p w14:paraId="4A327807">
            <w:pPr>
              <w:pStyle w:val="203"/>
              <w:ind w:left="139" w:right="122"/>
              <w:jc w:val="center"/>
              <w:rPr>
                <w:rFonts w:hint="eastAsia" w:ascii="宋体" w:hAnsi="宋体" w:eastAsia="宋体" w:cs="宋体"/>
                <w:szCs w:val="21"/>
              </w:rPr>
            </w:pPr>
            <w:r>
              <w:rPr>
                <w:rFonts w:hint="eastAsia" w:ascii="宋体" w:hAnsi="宋体" w:eastAsia="宋体" w:cs="宋体"/>
                <w:szCs w:val="21"/>
              </w:rPr>
              <w:t>联系人及电话</w:t>
            </w:r>
          </w:p>
        </w:tc>
        <w:tc>
          <w:tcPr>
            <w:tcW w:w="1260" w:type="pct"/>
            <w:tcBorders>
              <w:top w:val="single" w:color="000000" w:sz="4" w:space="0"/>
              <w:left w:val="single" w:color="000000" w:sz="6" w:space="0"/>
              <w:bottom w:val="single" w:color="000000" w:sz="6" w:space="0"/>
            </w:tcBorders>
          </w:tcPr>
          <w:p w14:paraId="3F701445">
            <w:pPr>
              <w:pStyle w:val="203"/>
              <w:rPr>
                <w:rFonts w:hint="eastAsia" w:ascii="宋体" w:hAnsi="宋体" w:eastAsia="宋体" w:cs="宋体"/>
                <w:szCs w:val="21"/>
              </w:rPr>
            </w:pPr>
          </w:p>
        </w:tc>
      </w:tr>
      <w:tr w14:paraId="367065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trPr>
        <w:tc>
          <w:tcPr>
            <w:tcW w:w="969" w:type="pct"/>
            <w:tcBorders>
              <w:top w:val="single" w:color="000000" w:sz="6" w:space="0"/>
              <w:bottom w:val="single" w:color="000000" w:sz="6" w:space="0"/>
              <w:right w:val="single" w:color="000000" w:sz="6" w:space="0"/>
            </w:tcBorders>
          </w:tcPr>
          <w:p w14:paraId="2DC60BAC">
            <w:pPr>
              <w:pStyle w:val="203"/>
              <w:ind w:left="132" w:right="119"/>
              <w:jc w:val="center"/>
              <w:rPr>
                <w:rFonts w:hint="eastAsia" w:ascii="宋体" w:hAnsi="宋体" w:eastAsia="宋体" w:cs="宋体"/>
                <w:szCs w:val="21"/>
              </w:rPr>
            </w:pPr>
            <w:r>
              <w:rPr>
                <w:rFonts w:hint="eastAsia" w:ascii="宋体" w:hAnsi="宋体" w:eastAsia="宋体" w:cs="宋体"/>
                <w:szCs w:val="21"/>
              </w:rPr>
              <w:t>送货地点</w:t>
            </w:r>
          </w:p>
        </w:tc>
        <w:tc>
          <w:tcPr>
            <w:tcW w:w="1740" w:type="pct"/>
            <w:tcBorders>
              <w:top w:val="single" w:color="000000" w:sz="6" w:space="0"/>
              <w:left w:val="single" w:color="000000" w:sz="6" w:space="0"/>
              <w:bottom w:val="single" w:color="000000" w:sz="6" w:space="0"/>
              <w:right w:val="single" w:color="000000" w:sz="6" w:space="0"/>
            </w:tcBorders>
          </w:tcPr>
          <w:p w14:paraId="38043088">
            <w:pPr>
              <w:pStyle w:val="203"/>
              <w:rPr>
                <w:rFonts w:hint="eastAsia" w:ascii="宋体" w:hAnsi="宋体" w:eastAsia="宋体" w:cs="宋体"/>
                <w:szCs w:val="21"/>
              </w:rPr>
            </w:pPr>
          </w:p>
        </w:tc>
        <w:tc>
          <w:tcPr>
            <w:tcW w:w="1029" w:type="pct"/>
            <w:tcBorders>
              <w:top w:val="single" w:color="000000" w:sz="6" w:space="0"/>
              <w:left w:val="single" w:color="000000" w:sz="6" w:space="0"/>
              <w:bottom w:val="single" w:color="000000" w:sz="6" w:space="0"/>
              <w:right w:val="single" w:color="000000" w:sz="6" w:space="0"/>
            </w:tcBorders>
          </w:tcPr>
          <w:p w14:paraId="11815A8B">
            <w:pPr>
              <w:pStyle w:val="203"/>
              <w:ind w:left="139" w:right="122"/>
              <w:jc w:val="center"/>
              <w:rPr>
                <w:rFonts w:hint="eastAsia" w:ascii="宋体" w:hAnsi="宋体" w:eastAsia="宋体" w:cs="宋体"/>
                <w:szCs w:val="21"/>
              </w:rPr>
            </w:pPr>
            <w:r>
              <w:rPr>
                <w:rFonts w:hint="eastAsia" w:ascii="宋体" w:hAnsi="宋体" w:eastAsia="宋体" w:cs="宋体"/>
                <w:szCs w:val="21"/>
              </w:rPr>
              <w:t>送货时间</w:t>
            </w:r>
          </w:p>
        </w:tc>
        <w:tc>
          <w:tcPr>
            <w:tcW w:w="1260" w:type="pct"/>
            <w:tcBorders>
              <w:top w:val="single" w:color="000000" w:sz="6" w:space="0"/>
              <w:left w:val="single" w:color="000000" w:sz="6" w:space="0"/>
              <w:bottom w:val="single" w:color="000000" w:sz="6" w:space="0"/>
            </w:tcBorders>
          </w:tcPr>
          <w:p w14:paraId="51BB77C3">
            <w:pPr>
              <w:pStyle w:val="203"/>
              <w:tabs>
                <w:tab w:val="left" w:pos="1189"/>
                <w:tab w:val="left" w:pos="1789"/>
              </w:tabs>
              <w:ind w:left="589"/>
              <w:rPr>
                <w:rFonts w:hint="eastAsia" w:ascii="宋体" w:hAnsi="宋体" w:eastAsia="宋体" w:cs="宋体"/>
                <w:szCs w:val="21"/>
              </w:rPr>
            </w:pPr>
            <w:r>
              <w:rPr>
                <w:rFonts w:hint="eastAsia" w:ascii="宋体" w:hAnsi="宋体" w:eastAsia="宋体" w:cs="宋体"/>
                <w:szCs w:val="21"/>
              </w:rPr>
              <w:t>年</w:t>
            </w:r>
            <w:r>
              <w:rPr>
                <w:rFonts w:hint="eastAsia" w:ascii="宋体" w:hAnsi="宋体" w:eastAsia="宋体" w:cs="宋体"/>
                <w:szCs w:val="21"/>
              </w:rPr>
              <w:tab/>
            </w:r>
            <w:r>
              <w:rPr>
                <w:rFonts w:hint="eastAsia" w:ascii="宋体" w:hAnsi="宋体" w:eastAsia="宋体" w:cs="宋体"/>
                <w:szCs w:val="21"/>
              </w:rPr>
              <w:t>月</w:t>
            </w:r>
            <w:r>
              <w:rPr>
                <w:rFonts w:hint="eastAsia" w:ascii="宋体" w:hAnsi="宋体" w:eastAsia="宋体" w:cs="宋体"/>
                <w:szCs w:val="21"/>
              </w:rPr>
              <w:tab/>
            </w:r>
            <w:r>
              <w:rPr>
                <w:rFonts w:hint="eastAsia" w:ascii="宋体" w:hAnsi="宋体" w:eastAsia="宋体" w:cs="宋体"/>
                <w:szCs w:val="21"/>
              </w:rPr>
              <w:t>日</w:t>
            </w:r>
          </w:p>
        </w:tc>
      </w:tr>
      <w:tr w14:paraId="34EBBF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trPr>
        <w:tc>
          <w:tcPr>
            <w:tcW w:w="969" w:type="pct"/>
            <w:tcBorders>
              <w:top w:val="single" w:color="000000" w:sz="6" w:space="0"/>
              <w:bottom w:val="single" w:color="000000" w:sz="6" w:space="0"/>
              <w:right w:val="single" w:color="000000" w:sz="6" w:space="0"/>
            </w:tcBorders>
          </w:tcPr>
          <w:p w14:paraId="0E71B25F">
            <w:pPr>
              <w:pStyle w:val="203"/>
              <w:ind w:left="132" w:right="119"/>
              <w:jc w:val="center"/>
              <w:rPr>
                <w:rFonts w:hint="eastAsia" w:ascii="宋体" w:hAnsi="宋体" w:eastAsia="宋体" w:cs="宋体"/>
                <w:szCs w:val="21"/>
              </w:rPr>
            </w:pPr>
            <w:r>
              <w:rPr>
                <w:rFonts w:hint="eastAsia" w:ascii="宋体" w:hAnsi="宋体" w:eastAsia="宋体" w:cs="宋体"/>
                <w:szCs w:val="21"/>
              </w:rPr>
              <w:t>异常情况</w:t>
            </w:r>
          </w:p>
          <w:p w14:paraId="7B94BE61">
            <w:pPr>
              <w:pStyle w:val="203"/>
              <w:ind w:left="132" w:right="119"/>
              <w:jc w:val="center"/>
              <w:rPr>
                <w:rFonts w:hint="eastAsia" w:ascii="宋体" w:hAnsi="宋体" w:eastAsia="宋体" w:cs="宋体"/>
                <w:szCs w:val="21"/>
              </w:rPr>
            </w:pPr>
            <w:r>
              <w:rPr>
                <w:rFonts w:hint="eastAsia" w:ascii="宋体" w:hAnsi="宋体" w:eastAsia="宋体" w:cs="宋体"/>
                <w:szCs w:val="21"/>
              </w:rPr>
              <w:t>类别</w:t>
            </w:r>
          </w:p>
        </w:tc>
        <w:tc>
          <w:tcPr>
            <w:tcW w:w="4030" w:type="pct"/>
            <w:gridSpan w:val="3"/>
            <w:tcBorders>
              <w:top w:val="single" w:color="000000" w:sz="6" w:space="0"/>
              <w:left w:val="single" w:color="000000" w:sz="6" w:space="0"/>
              <w:bottom w:val="single" w:color="000000" w:sz="6" w:space="0"/>
            </w:tcBorders>
          </w:tcPr>
          <w:p w14:paraId="7946E7AC">
            <w:pPr>
              <w:pStyle w:val="203"/>
              <w:ind w:left="589"/>
              <w:rPr>
                <w:rFonts w:hint="eastAsia" w:ascii="宋体" w:hAnsi="宋体" w:eastAsia="宋体" w:cs="宋体"/>
                <w:szCs w:val="21"/>
              </w:rPr>
            </w:pPr>
            <w:r>
              <w:rPr>
                <w:rFonts w:hint="eastAsia" w:ascii="宋体" w:hAnsi="宋体" w:eastAsia="宋体" w:cs="宋体"/>
                <w:szCs w:val="21"/>
              </w:rPr>
              <w:t>质量（ ） 时间（ ） 安全（ ） 价格（ ） 服务（ ）</w:t>
            </w:r>
          </w:p>
        </w:tc>
      </w:tr>
      <w:tr w14:paraId="641F03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32" w:hRule="atLeast"/>
        </w:trPr>
        <w:tc>
          <w:tcPr>
            <w:tcW w:w="969" w:type="pct"/>
            <w:tcBorders>
              <w:top w:val="single" w:color="000000" w:sz="6" w:space="0"/>
              <w:bottom w:val="single" w:color="000000" w:sz="6" w:space="0"/>
              <w:right w:val="single" w:color="000000" w:sz="6" w:space="0"/>
            </w:tcBorders>
          </w:tcPr>
          <w:p w14:paraId="24FF8950">
            <w:pPr>
              <w:pStyle w:val="203"/>
              <w:rPr>
                <w:rFonts w:hint="eastAsia" w:ascii="宋体" w:hAnsi="宋体" w:eastAsia="宋体" w:cs="宋体"/>
                <w:szCs w:val="21"/>
              </w:rPr>
            </w:pPr>
          </w:p>
          <w:p w14:paraId="2DA98CB4">
            <w:pPr>
              <w:pStyle w:val="203"/>
              <w:ind w:left="132" w:right="119"/>
              <w:jc w:val="center"/>
              <w:rPr>
                <w:rFonts w:hint="eastAsia" w:ascii="宋体" w:hAnsi="宋体" w:eastAsia="宋体" w:cs="宋体"/>
                <w:szCs w:val="21"/>
              </w:rPr>
            </w:pPr>
            <w:r>
              <w:rPr>
                <w:rFonts w:hint="eastAsia" w:ascii="宋体" w:hAnsi="宋体" w:eastAsia="宋体" w:cs="宋体"/>
                <w:szCs w:val="21"/>
              </w:rPr>
              <w:t>具体情况</w:t>
            </w:r>
          </w:p>
        </w:tc>
        <w:tc>
          <w:tcPr>
            <w:tcW w:w="4030" w:type="pct"/>
            <w:gridSpan w:val="3"/>
            <w:tcBorders>
              <w:top w:val="single" w:color="000000" w:sz="6" w:space="0"/>
              <w:left w:val="single" w:color="000000" w:sz="6" w:space="0"/>
              <w:bottom w:val="single" w:color="000000" w:sz="6" w:space="0"/>
            </w:tcBorders>
          </w:tcPr>
          <w:p w14:paraId="4C633E2E">
            <w:pPr>
              <w:pStyle w:val="203"/>
              <w:rPr>
                <w:rFonts w:hint="eastAsia" w:ascii="宋体" w:hAnsi="宋体" w:eastAsia="宋体" w:cs="宋体"/>
                <w:szCs w:val="21"/>
              </w:rPr>
            </w:pPr>
          </w:p>
        </w:tc>
      </w:tr>
      <w:tr w14:paraId="791E0F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3" w:hRule="atLeast"/>
        </w:trPr>
        <w:tc>
          <w:tcPr>
            <w:tcW w:w="969" w:type="pct"/>
            <w:tcBorders>
              <w:top w:val="single" w:color="000000" w:sz="6" w:space="0"/>
              <w:bottom w:val="single" w:color="000000" w:sz="6" w:space="0"/>
              <w:right w:val="single" w:color="000000" w:sz="6" w:space="0"/>
            </w:tcBorders>
          </w:tcPr>
          <w:p w14:paraId="55963C14">
            <w:pPr>
              <w:pStyle w:val="203"/>
              <w:ind w:left="132" w:right="119"/>
              <w:jc w:val="center"/>
              <w:rPr>
                <w:rFonts w:hint="eastAsia" w:ascii="宋体" w:hAnsi="宋体" w:eastAsia="宋体" w:cs="宋体"/>
                <w:szCs w:val="21"/>
              </w:rPr>
            </w:pPr>
            <w:r>
              <w:rPr>
                <w:rFonts w:hint="eastAsia" w:ascii="宋体" w:hAnsi="宋体" w:eastAsia="宋体" w:cs="宋体"/>
                <w:szCs w:val="21"/>
              </w:rPr>
              <w:t>学校签名</w:t>
            </w:r>
          </w:p>
        </w:tc>
        <w:tc>
          <w:tcPr>
            <w:tcW w:w="1740" w:type="pct"/>
            <w:tcBorders>
              <w:top w:val="single" w:color="000000" w:sz="6" w:space="0"/>
              <w:left w:val="single" w:color="000000" w:sz="6" w:space="0"/>
              <w:bottom w:val="single" w:color="000000" w:sz="6" w:space="0"/>
              <w:right w:val="single" w:color="000000" w:sz="4" w:space="0"/>
            </w:tcBorders>
          </w:tcPr>
          <w:p w14:paraId="66072F79">
            <w:pPr>
              <w:pStyle w:val="203"/>
              <w:rPr>
                <w:rFonts w:hint="eastAsia" w:ascii="宋体" w:hAnsi="宋体" w:eastAsia="宋体" w:cs="宋体"/>
                <w:szCs w:val="21"/>
              </w:rPr>
            </w:pPr>
          </w:p>
        </w:tc>
        <w:tc>
          <w:tcPr>
            <w:tcW w:w="1029" w:type="pct"/>
            <w:tcBorders>
              <w:top w:val="single" w:color="000000" w:sz="6" w:space="0"/>
              <w:left w:val="single" w:color="000000" w:sz="4" w:space="0"/>
              <w:bottom w:val="single" w:color="000000" w:sz="6" w:space="0"/>
              <w:right w:val="single" w:color="000000" w:sz="4" w:space="0"/>
            </w:tcBorders>
          </w:tcPr>
          <w:p w14:paraId="45E72A67">
            <w:pPr>
              <w:pStyle w:val="203"/>
              <w:ind w:left="261" w:right="244"/>
              <w:jc w:val="center"/>
              <w:rPr>
                <w:rFonts w:hint="eastAsia" w:ascii="宋体" w:hAnsi="宋体" w:eastAsia="宋体" w:cs="宋体"/>
                <w:szCs w:val="21"/>
              </w:rPr>
            </w:pPr>
            <w:r>
              <w:rPr>
                <w:rFonts w:hint="eastAsia" w:ascii="宋体" w:hAnsi="宋体" w:eastAsia="宋体" w:cs="宋体"/>
                <w:szCs w:val="21"/>
              </w:rPr>
              <w:t>供应商签名</w:t>
            </w:r>
          </w:p>
        </w:tc>
        <w:tc>
          <w:tcPr>
            <w:tcW w:w="1260" w:type="pct"/>
            <w:tcBorders>
              <w:top w:val="single" w:color="000000" w:sz="6" w:space="0"/>
              <w:left w:val="single" w:color="000000" w:sz="4" w:space="0"/>
              <w:bottom w:val="single" w:color="000000" w:sz="6" w:space="0"/>
            </w:tcBorders>
          </w:tcPr>
          <w:p w14:paraId="5D7CD259">
            <w:pPr>
              <w:pStyle w:val="203"/>
              <w:rPr>
                <w:rFonts w:hint="eastAsia" w:ascii="宋体" w:hAnsi="宋体" w:eastAsia="宋体" w:cs="宋体"/>
                <w:szCs w:val="21"/>
              </w:rPr>
            </w:pPr>
          </w:p>
        </w:tc>
      </w:tr>
      <w:tr w14:paraId="6FDA5E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3" w:hRule="atLeast"/>
        </w:trPr>
        <w:tc>
          <w:tcPr>
            <w:tcW w:w="969" w:type="pct"/>
            <w:tcBorders>
              <w:top w:val="single" w:color="000000" w:sz="6" w:space="0"/>
              <w:right w:val="single" w:color="000000" w:sz="6" w:space="0"/>
            </w:tcBorders>
          </w:tcPr>
          <w:p w14:paraId="2E5A74D4">
            <w:pPr>
              <w:pStyle w:val="203"/>
              <w:ind w:left="132" w:right="119"/>
              <w:jc w:val="center"/>
              <w:rPr>
                <w:rFonts w:hint="eastAsia" w:ascii="宋体" w:hAnsi="宋体" w:eastAsia="宋体" w:cs="宋体"/>
                <w:szCs w:val="21"/>
              </w:rPr>
            </w:pPr>
            <w:r>
              <w:rPr>
                <w:rFonts w:hint="eastAsia" w:ascii="宋体" w:hAnsi="宋体" w:eastAsia="宋体" w:cs="宋体"/>
                <w:szCs w:val="21"/>
              </w:rPr>
              <w:t>备注</w:t>
            </w:r>
          </w:p>
        </w:tc>
        <w:tc>
          <w:tcPr>
            <w:tcW w:w="4030" w:type="pct"/>
            <w:gridSpan w:val="3"/>
            <w:tcBorders>
              <w:top w:val="single" w:color="000000" w:sz="6" w:space="0"/>
              <w:left w:val="single" w:color="000000" w:sz="6" w:space="0"/>
            </w:tcBorders>
          </w:tcPr>
          <w:p w14:paraId="3ACB0A71">
            <w:pPr>
              <w:pStyle w:val="203"/>
              <w:rPr>
                <w:rFonts w:hint="eastAsia" w:ascii="宋体" w:hAnsi="宋体" w:eastAsia="宋体" w:cs="宋体"/>
                <w:szCs w:val="21"/>
              </w:rPr>
            </w:pPr>
          </w:p>
        </w:tc>
      </w:tr>
    </w:tbl>
    <w:p w14:paraId="2B14D6C4">
      <w:pPr>
        <w:rPr>
          <w:rFonts w:hint="eastAsia" w:ascii="宋体" w:hAnsi="宋体" w:cs="宋体"/>
          <w:szCs w:val="21"/>
        </w:rPr>
      </w:pPr>
      <w:r>
        <w:rPr>
          <w:rFonts w:hint="eastAsia" w:ascii="宋体" w:hAnsi="宋体" w:cs="宋体"/>
          <w:szCs w:val="21"/>
        </w:rPr>
        <w:t>说明：履约异常情况分为质量、时间、安全、价格、服务共五类，请首先在对应的类别前打“√”，然后在“具体情况”一栏详细说明情况并对照《服务供应商月度考核评分表》对相应的指标进行扣分。本表格一式两联，学校及供应商各执一联。</w:t>
      </w:r>
    </w:p>
    <w:p w14:paraId="56A5EC6D">
      <w:pPr>
        <w:rPr>
          <w:rFonts w:hint="eastAsia" w:ascii="宋体" w:hAnsi="宋体" w:cs="宋体"/>
          <w:szCs w:val="21"/>
        </w:rPr>
      </w:pPr>
    </w:p>
    <w:p w14:paraId="41AA4CB4">
      <w:pPr>
        <w:rPr>
          <w:rFonts w:hint="eastAsia" w:ascii="宋体" w:hAnsi="宋体" w:cs="宋体"/>
          <w:b/>
          <w:bCs/>
          <w:szCs w:val="21"/>
        </w:rPr>
      </w:pPr>
      <w:bookmarkStart w:id="31" w:name="附件2：服务供应商月度考核评分表"/>
      <w:bookmarkEnd w:id="31"/>
      <w:r>
        <w:rPr>
          <w:rFonts w:hint="eastAsia" w:ascii="宋体" w:hAnsi="宋体" w:cs="宋体"/>
          <w:b/>
          <w:bCs/>
          <w:szCs w:val="21"/>
        </w:rPr>
        <w:br w:type="page"/>
      </w:r>
    </w:p>
    <w:p w14:paraId="2C114CD4">
      <w:pPr>
        <w:jc w:val="center"/>
        <w:outlineLvl w:val="2"/>
        <w:rPr>
          <w:rFonts w:hint="eastAsia" w:ascii="宋体" w:hAnsi="宋体" w:cs="宋体"/>
          <w:szCs w:val="21"/>
        </w:rPr>
      </w:pPr>
      <w:r>
        <w:rPr>
          <w:rFonts w:hint="eastAsia" w:ascii="宋体" w:hAnsi="宋体" w:cs="宋体"/>
          <w:b/>
          <w:bCs/>
          <w:szCs w:val="21"/>
        </w:rPr>
        <w:t>附件2：服务供应商月度考核评分表</w:t>
      </w:r>
    </w:p>
    <w:tbl>
      <w:tblPr>
        <w:tblStyle w:val="44"/>
        <w:tblW w:w="4998" w:type="pct"/>
        <w:tblInd w:w="0" w:type="dxa"/>
        <w:tblLayout w:type="autofit"/>
        <w:tblCellMar>
          <w:top w:w="0" w:type="dxa"/>
          <w:left w:w="0" w:type="dxa"/>
          <w:bottom w:w="0" w:type="dxa"/>
          <w:right w:w="0" w:type="dxa"/>
        </w:tblCellMar>
      </w:tblPr>
      <w:tblGrid>
        <w:gridCol w:w="427"/>
        <w:gridCol w:w="335"/>
        <w:gridCol w:w="594"/>
        <w:gridCol w:w="400"/>
        <w:gridCol w:w="1712"/>
        <w:gridCol w:w="4106"/>
        <w:gridCol w:w="766"/>
      </w:tblGrid>
      <w:tr w14:paraId="795C1550">
        <w:tblPrEx>
          <w:tblCellMar>
            <w:top w:w="0" w:type="dxa"/>
            <w:left w:w="0" w:type="dxa"/>
            <w:bottom w:w="0" w:type="dxa"/>
            <w:right w:w="0" w:type="dxa"/>
          </w:tblCellMar>
        </w:tblPrEx>
        <w:trPr>
          <w:trHeight w:val="90" w:hRule="atLeast"/>
        </w:trPr>
        <w:tc>
          <w:tcPr>
            <w:tcW w:w="256"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1EF3993A">
            <w:pPr>
              <w:widowControl/>
              <w:jc w:val="center"/>
              <w:textAlignment w:val="center"/>
              <w:rPr>
                <w:rFonts w:hint="eastAsia" w:ascii="宋体" w:hAnsi="宋体" w:cs="宋体"/>
                <w:b/>
                <w:color w:val="000000"/>
                <w:kern w:val="0"/>
                <w:szCs w:val="21"/>
              </w:rPr>
            </w:pPr>
            <w:r>
              <w:rPr>
                <w:rFonts w:hint="eastAsia" w:ascii="宋体" w:hAnsi="宋体" w:cs="宋体"/>
                <w:b/>
                <w:color w:val="000000"/>
                <w:kern w:val="0"/>
                <w:szCs w:val="21"/>
              </w:rPr>
              <w:t>一级</w:t>
            </w:r>
          </w:p>
          <w:p w14:paraId="7E7FF259">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指标</w:t>
            </w:r>
          </w:p>
        </w:tc>
        <w:tc>
          <w:tcPr>
            <w:tcW w:w="201" w:type="pct"/>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166FA22E">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分值</w:t>
            </w:r>
          </w:p>
        </w:tc>
        <w:tc>
          <w:tcPr>
            <w:tcW w:w="356" w:type="pct"/>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5C93D519">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二级指标</w:t>
            </w:r>
          </w:p>
        </w:tc>
        <w:tc>
          <w:tcPr>
            <w:tcW w:w="240" w:type="pct"/>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671685A8">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分值</w:t>
            </w:r>
          </w:p>
        </w:tc>
        <w:tc>
          <w:tcPr>
            <w:tcW w:w="1026" w:type="pct"/>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62ED781A">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考核内容</w:t>
            </w:r>
          </w:p>
        </w:tc>
        <w:tc>
          <w:tcPr>
            <w:tcW w:w="2457" w:type="pct"/>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74B40660">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评分标准</w:t>
            </w:r>
          </w:p>
        </w:tc>
        <w:tc>
          <w:tcPr>
            <w:tcW w:w="459" w:type="pct"/>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0EA4B623">
            <w:pPr>
              <w:widowControl/>
              <w:jc w:val="center"/>
              <w:textAlignment w:val="center"/>
              <w:rPr>
                <w:rFonts w:hint="eastAsia" w:ascii="宋体" w:hAnsi="宋体" w:cs="宋体"/>
                <w:b/>
                <w:color w:val="000000"/>
                <w:szCs w:val="21"/>
              </w:rPr>
            </w:pPr>
            <w:r>
              <w:rPr>
                <w:rFonts w:hint="eastAsia" w:ascii="宋体" w:hAnsi="宋体" w:cs="宋体"/>
                <w:b/>
                <w:color w:val="000000"/>
                <w:kern w:val="0"/>
                <w:szCs w:val="21"/>
              </w:rPr>
              <w:t>得分</w:t>
            </w:r>
          </w:p>
        </w:tc>
      </w:tr>
      <w:tr w14:paraId="68323D50">
        <w:tblPrEx>
          <w:tblCellMar>
            <w:top w:w="0" w:type="dxa"/>
            <w:left w:w="0" w:type="dxa"/>
            <w:bottom w:w="0" w:type="dxa"/>
            <w:right w:w="0" w:type="dxa"/>
          </w:tblCellMar>
        </w:tblPrEx>
        <w:trPr>
          <w:trHeight w:val="656" w:hRule="atLeast"/>
        </w:trPr>
        <w:tc>
          <w:tcPr>
            <w:tcW w:w="256" w:type="pct"/>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C22CC39">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食材管理</w:t>
            </w:r>
          </w:p>
        </w:tc>
        <w:tc>
          <w:tcPr>
            <w:tcW w:w="201" w:type="pct"/>
            <w:vMerge w:val="restart"/>
            <w:tcBorders>
              <w:top w:val="nil"/>
              <w:left w:val="nil"/>
              <w:bottom w:val="single" w:color="000000" w:sz="8" w:space="0"/>
              <w:right w:val="single" w:color="000000" w:sz="8" w:space="0"/>
            </w:tcBorders>
            <w:tcMar>
              <w:top w:w="15" w:type="dxa"/>
              <w:left w:w="15" w:type="dxa"/>
              <w:right w:w="15" w:type="dxa"/>
            </w:tcMar>
            <w:vAlign w:val="center"/>
          </w:tcPr>
          <w:p w14:paraId="4C407124">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35 分</w:t>
            </w:r>
          </w:p>
        </w:tc>
        <w:tc>
          <w:tcPr>
            <w:tcW w:w="356" w:type="pct"/>
            <w:vMerge w:val="restart"/>
            <w:tcBorders>
              <w:top w:val="nil"/>
              <w:left w:val="nil"/>
              <w:bottom w:val="single" w:color="000000" w:sz="8" w:space="0"/>
              <w:right w:val="single" w:color="000000" w:sz="8" w:space="0"/>
            </w:tcBorders>
            <w:tcMar>
              <w:top w:w="15" w:type="dxa"/>
              <w:left w:w="15" w:type="dxa"/>
              <w:right w:w="15" w:type="dxa"/>
            </w:tcMar>
            <w:vAlign w:val="center"/>
          </w:tcPr>
          <w:p w14:paraId="076F59CA">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食材质量评价指标</w:t>
            </w:r>
          </w:p>
        </w:tc>
        <w:tc>
          <w:tcPr>
            <w:tcW w:w="240" w:type="pct"/>
            <w:vMerge w:val="restart"/>
            <w:tcBorders>
              <w:top w:val="nil"/>
              <w:left w:val="nil"/>
              <w:bottom w:val="single" w:color="000000" w:sz="8" w:space="0"/>
              <w:right w:val="single" w:color="000000" w:sz="8" w:space="0"/>
            </w:tcBorders>
            <w:tcMar>
              <w:top w:w="15" w:type="dxa"/>
              <w:left w:w="15" w:type="dxa"/>
              <w:right w:w="15" w:type="dxa"/>
            </w:tcMar>
            <w:vAlign w:val="center"/>
          </w:tcPr>
          <w:p w14:paraId="7711DB4C">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25分</w:t>
            </w:r>
          </w:p>
        </w:tc>
        <w:tc>
          <w:tcPr>
            <w:tcW w:w="1026" w:type="pct"/>
            <w:vMerge w:val="restart"/>
            <w:tcBorders>
              <w:top w:val="nil"/>
              <w:left w:val="nil"/>
              <w:bottom w:val="single" w:color="000000" w:sz="8" w:space="0"/>
              <w:right w:val="single" w:color="000000" w:sz="8" w:space="0"/>
            </w:tcBorders>
            <w:tcMar>
              <w:top w:w="15" w:type="dxa"/>
              <w:left w:w="15" w:type="dxa"/>
              <w:right w:w="15" w:type="dxa"/>
            </w:tcMar>
            <w:vAlign w:val="center"/>
          </w:tcPr>
          <w:p w14:paraId="6F6C65F3">
            <w:pPr>
              <w:widowControl/>
              <w:jc w:val="left"/>
              <w:textAlignment w:val="center"/>
              <w:rPr>
                <w:rFonts w:hint="eastAsia" w:ascii="宋体" w:hAnsi="宋体" w:cs="宋体"/>
                <w:color w:val="000000"/>
                <w:szCs w:val="21"/>
              </w:rPr>
            </w:pPr>
            <w:r>
              <w:rPr>
                <w:rFonts w:hint="eastAsia" w:ascii="宋体" w:hAnsi="宋体" w:cs="宋体"/>
                <w:color w:val="000000"/>
                <w:kern w:val="0"/>
                <w:szCs w:val="21"/>
              </w:rPr>
              <w:t>考核内容配送物品是否存在霉烂、变质、过期、破损、品种不达标等不符《深圳市学校食堂食材采购验收参考标准》中对质量要求的情况， 是否存在以次充好达不到学校要求等的情况。每次退换货及时补回的每次扣 1 分/品种，每次退换货未能及时补回的每次扣 2 分/品种。</w:t>
            </w:r>
          </w:p>
        </w:tc>
        <w:tc>
          <w:tcPr>
            <w:tcW w:w="2457" w:type="pct"/>
            <w:vMerge w:val="restart"/>
            <w:tcBorders>
              <w:top w:val="nil"/>
              <w:left w:val="nil"/>
              <w:bottom w:val="single" w:color="000000" w:sz="8" w:space="0"/>
              <w:right w:val="single" w:color="000000" w:sz="8" w:space="0"/>
            </w:tcBorders>
            <w:tcMar>
              <w:top w:w="15" w:type="dxa"/>
              <w:left w:w="15" w:type="dxa"/>
              <w:right w:w="15" w:type="dxa"/>
            </w:tcMar>
            <w:vAlign w:val="center"/>
          </w:tcPr>
          <w:p w14:paraId="12D82EBF">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本月每日配送食材新鲜，不存在霉烂、变质、过期、破损、品种不达标等情况，完全符合《深圳市学校食堂食材采购验收参考标准》中的相关要求，得 25 分；因食材不符合《深圳市学校食堂食材采购验收参考标准》中的相关要求，校（园）方要求供应商退换货的：供应商能及时补回同品种食材的，每发生一次扣 1 分/品种；供应商不能及时补回同品种食材、但能及时提供符合《深圳市学校食堂食材采购验收参考标准》中相关要求的替代食材的，每发生一次扣 2 分/品种；供应商不能及时补回同品种食材及符合《深圳市学校食堂食材采购验收参考标准》中相关要求的替代食材，对当日餐食造成影响（如不能按时开餐、菜品数量减少等），每发生一次扣 10 分。本项指标累计每月最高扣25 分。</w:t>
            </w:r>
          </w:p>
        </w:tc>
        <w:tc>
          <w:tcPr>
            <w:tcW w:w="459" w:type="pct"/>
            <w:vMerge w:val="restart"/>
            <w:tcBorders>
              <w:top w:val="nil"/>
              <w:left w:val="nil"/>
              <w:bottom w:val="single" w:color="000000" w:sz="8" w:space="0"/>
              <w:right w:val="single" w:color="000000" w:sz="8" w:space="0"/>
            </w:tcBorders>
            <w:tcMar>
              <w:top w:w="15" w:type="dxa"/>
              <w:left w:w="15" w:type="dxa"/>
              <w:right w:w="15" w:type="dxa"/>
            </w:tcMar>
          </w:tcPr>
          <w:p w14:paraId="57301968">
            <w:pPr>
              <w:jc w:val="center"/>
              <w:rPr>
                <w:rFonts w:hint="eastAsia" w:ascii="宋体" w:hAnsi="宋体" w:cs="宋体"/>
                <w:color w:val="000000"/>
                <w:szCs w:val="21"/>
              </w:rPr>
            </w:pPr>
          </w:p>
        </w:tc>
      </w:tr>
      <w:tr w14:paraId="5DF35B53">
        <w:tblPrEx>
          <w:tblCellMar>
            <w:top w:w="0" w:type="dxa"/>
            <w:left w:w="0" w:type="dxa"/>
            <w:bottom w:w="0" w:type="dxa"/>
            <w:right w:w="0" w:type="dxa"/>
          </w:tblCellMar>
        </w:tblPrEx>
        <w:trPr>
          <w:trHeight w:val="812" w:hRule="atLeast"/>
        </w:trPr>
        <w:tc>
          <w:tcPr>
            <w:tcW w:w="256" w:type="pct"/>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43A6390">
            <w:pPr>
              <w:jc w:val="center"/>
              <w:rPr>
                <w:rFonts w:hint="eastAsia" w:ascii="宋体" w:hAnsi="宋体" w:cs="宋体"/>
                <w:color w:val="000000"/>
                <w:szCs w:val="21"/>
              </w:rPr>
            </w:pPr>
          </w:p>
        </w:tc>
        <w:tc>
          <w:tcPr>
            <w:tcW w:w="201"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0BACF591">
            <w:pPr>
              <w:jc w:val="center"/>
              <w:rPr>
                <w:rFonts w:hint="eastAsia" w:ascii="宋体" w:hAnsi="宋体" w:cs="宋体"/>
                <w:color w:val="000000"/>
                <w:szCs w:val="21"/>
              </w:rPr>
            </w:pPr>
          </w:p>
        </w:tc>
        <w:tc>
          <w:tcPr>
            <w:tcW w:w="35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7BAFC62F">
            <w:pPr>
              <w:jc w:val="center"/>
              <w:rPr>
                <w:rFonts w:hint="eastAsia" w:ascii="宋体" w:hAnsi="宋体" w:cs="宋体"/>
                <w:color w:val="000000"/>
                <w:szCs w:val="21"/>
              </w:rPr>
            </w:pPr>
          </w:p>
        </w:tc>
        <w:tc>
          <w:tcPr>
            <w:tcW w:w="240"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5362464D">
            <w:pPr>
              <w:jc w:val="center"/>
              <w:rPr>
                <w:rFonts w:hint="eastAsia" w:ascii="宋体" w:hAnsi="宋体" w:cs="宋体"/>
                <w:color w:val="000000"/>
                <w:szCs w:val="21"/>
              </w:rPr>
            </w:pPr>
          </w:p>
        </w:tc>
        <w:tc>
          <w:tcPr>
            <w:tcW w:w="102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79F108B6">
            <w:pPr>
              <w:jc w:val="left"/>
              <w:rPr>
                <w:rFonts w:hint="eastAsia" w:ascii="宋体" w:hAnsi="宋体" w:cs="宋体"/>
                <w:color w:val="000000"/>
                <w:szCs w:val="21"/>
              </w:rPr>
            </w:pPr>
          </w:p>
        </w:tc>
        <w:tc>
          <w:tcPr>
            <w:tcW w:w="2457"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7FCAA4FE">
            <w:pPr>
              <w:jc w:val="left"/>
              <w:rPr>
                <w:rFonts w:hint="eastAsia" w:ascii="宋体" w:hAnsi="宋体" w:cs="宋体"/>
                <w:color w:val="000000"/>
                <w:szCs w:val="21"/>
              </w:rPr>
            </w:pPr>
          </w:p>
        </w:tc>
        <w:tc>
          <w:tcPr>
            <w:tcW w:w="459" w:type="pct"/>
            <w:vMerge w:val="continue"/>
            <w:tcBorders>
              <w:top w:val="nil"/>
              <w:left w:val="nil"/>
              <w:bottom w:val="single" w:color="000000" w:sz="8" w:space="0"/>
              <w:right w:val="single" w:color="000000" w:sz="8" w:space="0"/>
            </w:tcBorders>
            <w:tcMar>
              <w:top w:w="15" w:type="dxa"/>
              <w:left w:w="15" w:type="dxa"/>
              <w:right w:w="15" w:type="dxa"/>
            </w:tcMar>
          </w:tcPr>
          <w:p w14:paraId="1819E927">
            <w:pPr>
              <w:jc w:val="center"/>
              <w:rPr>
                <w:rFonts w:hint="eastAsia" w:ascii="宋体" w:hAnsi="宋体" w:cs="宋体"/>
                <w:color w:val="000000"/>
                <w:szCs w:val="21"/>
              </w:rPr>
            </w:pPr>
          </w:p>
        </w:tc>
      </w:tr>
      <w:tr w14:paraId="38AEED96">
        <w:tblPrEx>
          <w:tblCellMar>
            <w:top w:w="0" w:type="dxa"/>
            <w:left w:w="0" w:type="dxa"/>
            <w:bottom w:w="0" w:type="dxa"/>
            <w:right w:w="0" w:type="dxa"/>
          </w:tblCellMar>
        </w:tblPrEx>
        <w:trPr>
          <w:trHeight w:val="812" w:hRule="atLeast"/>
        </w:trPr>
        <w:tc>
          <w:tcPr>
            <w:tcW w:w="256" w:type="pct"/>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1CE0A86">
            <w:pPr>
              <w:jc w:val="center"/>
              <w:rPr>
                <w:rFonts w:hint="eastAsia" w:ascii="宋体" w:hAnsi="宋体" w:cs="宋体"/>
                <w:color w:val="000000"/>
                <w:szCs w:val="21"/>
              </w:rPr>
            </w:pPr>
          </w:p>
        </w:tc>
        <w:tc>
          <w:tcPr>
            <w:tcW w:w="201"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5B42A778">
            <w:pPr>
              <w:jc w:val="center"/>
              <w:rPr>
                <w:rFonts w:hint="eastAsia" w:ascii="宋体" w:hAnsi="宋体" w:cs="宋体"/>
                <w:color w:val="000000"/>
                <w:szCs w:val="21"/>
              </w:rPr>
            </w:pPr>
          </w:p>
        </w:tc>
        <w:tc>
          <w:tcPr>
            <w:tcW w:w="35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60DE22D5">
            <w:pPr>
              <w:jc w:val="center"/>
              <w:rPr>
                <w:rFonts w:hint="eastAsia" w:ascii="宋体" w:hAnsi="宋体" w:cs="宋体"/>
                <w:color w:val="000000"/>
                <w:szCs w:val="21"/>
              </w:rPr>
            </w:pPr>
          </w:p>
        </w:tc>
        <w:tc>
          <w:tcPr>
            <w:tcW w:w="240"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5DF06B77">
            <w:pPr>
              <w:jc w:val="center"/>
              <w:rPr>
                <w:rFonts w:hint="eastAsia" w:ascii="宋体" w:hAnsi="宋体" w:cs="宋体"/>
                <w:color w:val="000000"/>
                <w:szCs w:val="21"/>
              </w:rPr>
            </w:pPr>
          </w:p>
        </w:tc>
        <w:tc>
          <w:tcPr>
            <w:tcW w:w="102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4F547CE3">
            <w:pPr>
              <w:jc w:val="left"/>
              <w:rPr>
                <w:rFonts w:hint="eastAsia" w:ascii="宋体" w:hAnsi="宋体" w:cs="宋体"/>
                <w:color w:val="000000"/>
                <w:szCs w:val="21"/>
              </w:rPr>
            </w:pPr>
          </w:p>
        </w:tc>
        <w:tc>
          <w:tcPr>
            <w:tcW w:w="2457"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22853BBB">
            <w:pPr>
              <w:jc w:val="left"/>
              <w:rPr>
                <w:rFonts w:hint="eastAsia" w:ascii="宋体" w:hAnsi="宋体" w:cs="宋体"/>
                <w:color w:val="000000"/>
                <w:szCs w:val="21"/>
              </w:rPr>
            </w:pPr>
          </w:p>
        </w:tc>
        <w:tc>
          <w:tcPr>
            <w:tcW w:w="459" w:type="pct"/>
            <w:vMerge w:val="continue"/>
            <w:tcBorders>
              <w:top w:val="nil"/>
              <w:left w:val="nil"/>
              <w:bottom w:val="single" w:color="000000" w:sz="8" w:space="0"/>
              <w:right w:val="single" w:color="000000" w:sz="8" w:space="0"/>
            </w:tcBorders>
            <w:tcMar>
              <w:top w:w="15" w:type="dxa"/>
              <w:left w:w="15" w:type="dxa"/>
              <w:right w:w="15" w:type="dxa"/>
            </w:tcMar>
          </w:tcPr>
          <w:p w14:paraId="258363A5">
            <w:pPr>
              <w:jc w:val="center"/>
              <w:rPr>
                <w:rFonts w:hint="eastAsia" w:ascii="宋体" w:hAnsi="宋体" w:cs="宋体"/>
                <w:color w:val="000000"/>
                <w:szCs w:val="21"/>
              </w:rPr>
            </w:pPr>
          </w:p>
        </w:tc>
      </w:tr>
      <w:tr w14:paraId="0993794D">
        <w:tblPrEx>
          <w:tblCellMar>
            <w:top w:w="0" w:type="dxa"/>
            <w:left w:w="0" w:type="dxa"/>
            <w:bottom w:w="0" w:type="dxa"/>
            <w:right w:w="0" w:type="dxa"/>
          </w:tblCellMar>
        </w:tblPrEx>
        <w:trPr>
          <w:trHeight w:val="812" w:hRule="atLeast"/>
        </w:trPr>
        <w:tc>
          <w:tcPr>
            <w:tcW w:w="256" w:type="pct"/>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2E2E9B7">
            <w:pPr>
              <w:jc w:val="center"/>
              <w:rPr>
                <w:rFonts w:hint="eastAsia" w:ascii="宋体" w:hAnsi="宋体" w:cs="宋体"/>
                <w:color w:val="000000"/>
                <w:szCs w:val="21"/>
              </w:rPr>
            </w:pPr>
          </w:p>
        </w:tc>
        <w:tc>
          <w:tcPr>
            <w:tcW w:w="201"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2D2864A8">
            <w:pPr>
              <w:jc w:val="center"/>
              <w:rPr>
                <w:rFonts w:hint="eastAsia" w:ascii="宋体" w:hAnsi="宋体" w:cs="宋体"/>
                <w:color w:val="000000"/>
                <w:szCs w:val="21"/>
              </w:rPr>
            </w:pPr>
          </w:p>
        </w:tc>
        <w:tc>
          <w:tcPr>
            <w:tcW w:w="35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3589A092">
            <w:pPr>
              <w:jc w:val="center"/>
              <w:rPr>
                <w:rFonts w:hint="eastAsia" w:ascii="宋体" w:hAnsi="宋体" w:cs="宋体"/>
                <w:color w:val="000000"/>
                <w:szCs w:val="21"/>
              </w:rPr>
            </w:pPr>
          </w:p>
        </w:tc>
        <w:tc>
          <w:tcPr>
            <w:tcW w:w="240"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05342CE7">
            <w:pPr>
              <w:jc w:val="center"/>
              <w:rPr>
                <w:rFonts w:hint="eastAsia" w:ascii="宋体" w:hAnsi="宋体" w:cs="宋体"/>
                <w:color w:val="000000"/>
                <w:szCs w:val="21"/>
              </w:rPr>
            </w:pPr>
          </w:p>
        </w:tc>
        <w:tc>
          <w:tcPr>
            <w:tcW w:w="102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62649122">
            <w:pPr>
              <w:jc w:val="left"/>
              <w:rPr>
                <w:rFonts w:hint="eastAsia" w:ascii="宋体" w:hAnsi="宋体" w:cs="宋体"/>
                <w:color w:val="000000"/>
                <w:szCs w:val="21"/>
              </w:rPr>
            </w:pPr>
          </w:p>
        </w:tc>
        <w:tc>
          <w:tcPr>
            <w:tcW w:w="2457"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57F9FF48">
            <w:pPr>
              <w:jc w:val="left"/>
              <w:rPr>
                <w:rFonts w:hint="eastAsia" w:ascii="宋体" w:hAnsi="宋体" w:cs="宋体"/>
                <w:color w:val="000000"/>
                <w:szCs w:val="21"/>
              </w:rPr>
            </w:pPr>
          </w:p>
        </w:tc>
        <w:tc>
          <w:tcPr>
            <w:tcW w:w="459" w:type="pct"/>
            <w:vMerge w:val="continue"/>
            <w:tcBorders>
              <w:top w:val="nil"/>
              <w:left w:val="nil"/>
              <w:bottom w:val="single" w:color="000000" w:sz="8" w:space="0"/>
              <w:right w:val="single" w:color="000000" w:sz="8" w:space="0"/>
            </w:tcBorders>
            <w:tcMar>
              <w:top w:w="15" w:type="dxa"/>
              <w:left w:w="15" w:type="dxa"/>
              <w:right w:w="15" w:type="dxa"/>
            </w:tcMar>
          </w:tcPr>
          <w:p w14:paraId="13A5221E">
            <w:pPr>
              <w:jc w:val="center"/>
              <w:rPr>
                <w:rFonts w:hint="eastAsia" w:ascii="宋体" w:hAnsi="宋体" w:cs="宋体"/>
                <w:color w:val="000000"/>
                <w:szCs w:val="21"/>
              </w:rPr>
            </w:pPr>
          </w:p>
        </w:tc>
      </w:tr>
      <w:tr w14:paraId="1DE68DD0">
        <w:tblPrEx>
          <w:tblCellMar>
            <w:top w:w="0" w:type="dxa"/>
            <w:left w:w="0" w:type="dxa"/>
            <w:bottom w:w="0" w:type="dxa"/>
            <w:right w:w="0" w:type="dxa"/>
          </w:tblCellMar>
        </w:tblPrEx>
        <w:trPr>
          <w:trHeight w:val="812" w:hRule="atLeast"/>
        </w:trPr>
        <w:tc>
          <w:tcPr>
            <w:tcW w:w="256" w:type="pct"/>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2582073">
            <w:pPr>
              <w:jc w:val="center"/>
              <w:rPr>
                <w:rFonts w:hint="eastAsia" w:ascii="宋体" w:hAnsi="宋体" w:cs="宋体"/>
                <w:color w:val="000000"/>
                <w:szCs w:val="21"/>
              </w:rPr>
            </w:pPr>
          </w:p>
        </w:tc>
        <w:tc>
          <w:tcPr>
            <w:tcW w:w="201"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5CE45773">
            <w:pPr>
              <w:jc w:val="center"/>
              <w:rPr>
                <w:rFonts w:hint="eastAsia" w:ascii="宋体" w:hAnsi="宋体" w:cs="宋体"/>
                <w:color w:val="000000"/>
                <w:szCs w:val="21"/>
              </w:rPr>
            </w:pPr>
          </w:p>
        </w:tc>
        <w:tc>
          <w:tcPr>
            <w:tcW w:w="35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00595FD0">
            <w:pPr>
              <w:jc w:val="center"/>
              <w:rPr>
                <w:rFonts w:hint="eastAsia" w:ascii="宋体" w:hAnsi="宋体" w:cs="宋体"/>
                <w:color w:val="000000"/>
                <w:szCs w:val="21"/>
              </w:rPr>
            </w:pPr>
          </w:p>
        </w:tc>
        <w:tc>
          <w:tcPr>
            <w:tcW w:w="240"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3BD8E1AB">
            <w:pPr>
              <w:jc w:val="center"/>
              <w:rPr>
                <w:rFonts w:hint="eastAsia" w:ascii="宋体" w:hAnsi="宋体" w:cs="宋体"/>
                <w:color w:val="000000"/>
                <w:szCs w:val="21"/>
              </w:rPr>
            </w:pPr>
          </w:p>
        </w:tc>
        <w:tc>
          <w:tcPr>
            <w:tcW w:w="102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51C39B53">
            <w:pPr>
              <w:jc w:val="left"/>
              <w:rPr>
                <w:rFonts w:hint="eastAsia" w:ascii="宋体" w:hAnsi="宋体" w:cs="宋体"/>
                <w:color w:val="000000"/>
                <w:szCs w:val="21"/>
              </w:rPr>
            </w:pPr>
          </w:p>
        </w:tc>
        <w:tc>
          <w:tcPr>
            <w:tcW w:w="2457"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1B0E82E6">
            <w:pPr>
              <w:jc w:val="left"/>
              <w:rPr>
                <w:rFonts w:hint="eastAsia" w:ascii="宋体" w:hAnsi="宋体" w:cs="宋体"/>
                <w:color w:val="000000"/>
                <w:szCs w:val="21"/>
              </w:rPr>
            </w:pPr>
          </w:p>
        </w:tc>
        <w:tc>
          <w:tcPr>
            <w:tcW w:w="459" w:type="pct"/>
            <w:vMerge w:val="continue"/>
            <w:tcBorders>
              <w:top w:val="nil"/>
              <w:left w:val="nil"/>
              <w:bottom w:val="single" w:color="000000" w:sz="8" w:space="0"/>
              <w:right w:val="single" w:color="000000" w:sz="8" w:space="0"/>
            </w:tcBorders>
            <w:tcMar>
              <w:top w:w="15" w:type="dxa"/>
              <w:left w:w="15" w:type="dxa"/>
              <w:right w:w="15" w:type="dxa"/>
            </w:tcMar>
          </w:tcPr>
          <w:p w14:paraId="411C00DF">
            <w:pPr>
              <w:jc w:val="center"/>
              <w:rPr>
                <w:rFonts w:hint="eastAsia" w:ascii="宋体" w:hAnsi="宋体" w:cs="宋体"/>
                <w:color w:val="000000"/>
                <w:szCs w:val="21"/>
              </w:rPr>
            </w:pPr>
          </w:p>
        </w:tc>
      </w:tr>
      <w:tr w14:paraId="4F0ADC04">
        <w:tblPrEx>
          <w:tblCellMar>
            <w:top w:w="0" w:type="dxa"/>
            <w:left w:w="0" w:type="dxa"/>
            <w:bottom w:w="0" w:type="dxa"/>
            <w:right w:w="0" w:type="dxa"/>
          </w:tblCellMar>
        </w:tblPrEx>
        <w:trPr>
          <w:trHeight w:val="812" w:hRule="atLeast"/>
        </w:trPr>
        <w:tc>
          <w:tcPr>
            <w:tcW w:w="256" w:type="pct"/>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EFAA00D">
            <w:pPr>
              <w:jc w:val="center"/>
              <w:rPr>
                <w:rFonts w:hint="eastAsia" w:ascii="宋体" w:hAnsi="宋体" w:cs="宋体"/>
                <w:color w:val="000000"/>
                <w:szCs w:val="21"/>
              </w:rPr>
            </w:pPr>
          </w:p>
        </w:tc>
        <w:tc>
          <w:tcPr>
            <w:tcW w:w="201"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45185146">
            <w:pPr>
              <w:jc w:val="center"/>
              <w:rPr>
                <w:rFonts w:hint="eastAsia" w:ascii="宋体" w:hAnsi="宋体" w:cs="宋体"/>
                <w:color w:val="000000"/>
                <w:szCs w:val="21"/>
              </w:rPr>
            </w:pPr>
          </w:p>
        </w:tc>
        <w:tc>
          <w:tcPr>
            <w:tcW w:w="35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3946DF77">
            <w:pPr>
              <w:jc w:val="center"/>
              <w:rPr>
                <w:rFonts w:hint="eastAsia" w:ascii="宋体" w:hAnsi="宋体" w:cs="宋体"/>
                <w:color w:val="000000"/>
                <w:szCs w:val="21"/>
              </w:rPr>
            </w:pPr>
          </w:p>
        </w:tc>
        <w:tc>
          <w:tcPr>
            <w:tcW w:w="240"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44415950">
            <w:pPr>
              <w:jc w:val="center"/>
              <w:rPr>
                <w:rFonts w:hint="eastAsia" w:ascii="宋体" w:hAnsi="宋体" w:cs="宋体"/>
                <w:color w:val="000000"/>
                <w:szCs w:val="21"/>
              </w:rPr>
            </w:pPr>
          </w:p>
        </w:tc>
        <w:tc>
          <w:tcPr>
            <w:tcW w:w="102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1F43295B">
            <w:pPr>
              <w:jc w:val="left"/>
              <w:rPr>
                <w:rFonts w:hint="eastAsia" w:ascii="宋体" w:hAnsi="宋体" w:cs="宋体"/>
                <w:color w:val="000000"/>
                <w:szCs w:val="21"/>
              </w:rPr>
            </w:pPr>
          </w:p>
        </w:tc>
        <w:tc>
          <w:tcPr>
            <w:tcW w:w="2457"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71D94CC2">
            <w:pPr>
              <w:jc w:val="left"/>
              <w:rPr>
                <w:rFonts w:hint="eastAsia" w:ascii="宋体" w:hAnsi="宋体" w:cs="宋体"/>
                <w:color w:val="000000"/>
                <w:szCs w:val="21"/>
              </w:rPr>
            </w:pPr>
          </w:p>
        </w:tc>
        <w:tc>
          <w:tcPr>
            <w:tcW w:w="459" w:type="pct"/>
            <w:vMerge w:val="continue"/>
            <w:tcBorders>
              <w:top w:val="nil"/>
              <w:left w:val="nil"/>
              <w:bottom w:val="single" w:color="000000" w:sz="8" w:space="0"/>
              <w:right w:val="single" w:color="000000" w:sz="8" w:space="0"/>
            </w:tcBorders>
            <w:tcMar>
              <w:top w:w="15" w:type="dxa"/>
              <w:left w:w="15" w:type="dxa"/>
              <w:right w:w="15" w:type="dxa"/>
            </w:tcMar>
          </w:tcPr>
          <w:p w14:paraId="7AFC4E06">
            <w:pPr>
              <w:jc w:val="center"/>
              <w:rPr>
                <w:rFonts w:hint="eastAsia" w:ascii="宋体" w:hAnsi="宋体" w:cs="宋体"/>
                <w:color w:val="000000"/>
                <w:szCs w:val="21"/>
              </w:rPr>
            </w:pPr>
          </w:p>
        </w:tc>
      </w:tr>
      <w:tr w14:paraId="4A8ABB08">
        <w:tblPrEx>
          <w:tblCellMar>
            <w:top w:w="0" w:type="dxa"/>
            <w:left w:w="0" w:type="dxa"/>
            <w:bottom w:w="0" w:type="dxa"/>
            <w:right w:w="0" w:type="dxa"/>
          </w:tblCellMar>
        </w:tblPrEx>
        <w:trPr>
          <w:trHeight w:val="812" w:hRule="atLeast"/>
        </w:trPr>
        <w:tc>
          <w:tcPr>
            <w:tcW w:w="256" w:type="pct"/>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06A9C07">
            <w:pPr>
              <w:jc w:val="center"/>
              <w:rPr>
                <w:rFonts w:hint="eastAsia" w:ascii="宋体" w:hAnsi="宋体" w:cs="宋体"/>
                <w:color w:val="000000"/>
                <w:szCs w:val="21"/>
              </w:rPr>
            </w:pPr>
          </w:p>
        </w:tc>
        <w:tc>
          <w:tcPr>
            <w:tcW w:w="201"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5B2DDC11">
            <w:pPr>
              <w:jc w:val="center"/>
              <w:rPr>
                <w:rFonts w:hint="eastAsia" w:ascii="宋体" w:hAnsi="宋体" w:cs="宋体"/>
                <w:color w:val="000000"/>
                <w:szCs w:val="21"/>
              </w:rPr>
            </w:pPr>
          </w:p>
        </w:tc>
        <w:tc>
          <w:tcPr>
            <w:tcW w:w="35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4CE263D2">
            <w:pPr>
              <w:jc w:val="center"/>
              <w:rPr>
                <w:rFonts w:hint="eastAsia" w:ascii="宋体" w:hAnsi="宋体" w:cs="宋体"/>
                <w:color w:val="000000"/>
                <w:szCs w:val="21"/>
              </w:rPr>
            </w:pPr>
          </w:p>
        </w:tc>
        <w:tc>
          <w:tcPr>
            <w:tcW w:w="240"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7A1C5D71">
            <w:pPr>
              <w:jc w:val="center"/>
              <w:rPr>
                <w:rFonts w:hint="eastAsia" w:ascii="宋体" w:hAnsi="宋体" w:cs="宋体"/>
                <w:color w:val="000000"/>
                <w:szCs w:val="21"/>
              </w:rPr>
            </w:pPr>
          </w:p>
        </w:tc>
        <w:tc>
          <w:tcPr>
            <w:tcW w:w="102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34A6609D">
            <w:pPr>
              <w:jc w:val="left"/>
              <w:rPr>
                <w:rFonts w:hint="eastAsia" w:ascii="宋体" w:hAnsi="宋体" w:cs="宋体"/>
                <w:color w:val="000000"/>
                <w:szCs w:val="21"/>
              </w:rPr>
            </w:pPr>
          </w:p>
        </w:tc>
        <w:tc>
          <w:tcPr>
            <w:tcW w:w="2457"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508AF338">
            <w:pPr>
              <w:jc w:val="left"/>
              <w:rPr>
                <w:rFonts w:hint="eastAsia" w:ascii="宋体" w:hAnsi="宋体" w:cs="宋体"/>
                <w:color w:val="000000"/>
                <w:szCs w:val="21"/>
              </w:rPr>
            </w:pPr>
          </w:p>
        </w:tc>
        <w:tc>
          <w:tcPr>
            <w:tcW w:w="459" w:type="pct"/>
            <w:vMerge w:val="continue"/>
            <w:tcBorders>
              <w:top w:val="nil"/>
              <w:left w:val="nil"/>
              <w:bottom w:val="single" w:color="000000" w:sz="8" w:space="0"/>
              <w:right w:val="single" w:color="000000" w:sz="8" w:space="0"/>
            </w:tcBorders>
            <w:tcMar>
              <w:top w:w="15" w:type="dxa"/>
              <w:left w:w="15" w:type="dxa"/>
              <w:right w:w="15" w:type="dxa"/>
            </w:tcMar>
          </w:tcPr>
          <w:p w14:paraId="4077D003">
            <w:pPr>
              <w:jc w:val="center"/>
              <w:rPr>
                <w:rFonts w:hint="eastAsia" w:ascii="宋体" w:hAnsi="宋体" w:cs="宋体"/>
                <w:color w:val="000000"/>
                <w:szCs w:val="21"/>
              </w:rPr>
            </w:pPr>
          </w:p>
        </w:tc>
      </w:tr>
      <w:tr w14:paraId="1DFD1135">
        <w:tblPrEx>
          <w:tblCellMar>
            <w:top w:w="0" w:type="dxa"/>
            <w:left w:w="0" w:type="dxa"/>
            <w:bottom w:w="0" w:type="dxa"/>
            <w:right w:w="0" w:type="dxa"/>
          </w:tblCellMar>
        </w:tblPrEx>
        <w:trPr>
          <w:trHeight w:val="812" w:hRule="atLeast"/>
        </w:trPr>
        <w:tc>
          <w:tcPr>
            <w:tcW w:w="256" w:type="pct"/>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0E8C4E3">
            <w:pPr>
              <w:jc w:val="center"/>
              <w:rPr>
                <w:rFonts w:hint="eastAsia" w:ascii="宋体" w:hAnsi="宋体" w:cs="宋体"/>
                <w:color w:val="000000"/>
                <w:szCs w:val="21"/>
              </w:rPr>
            </w:pPr>
          </w:p>
        </w:tc>
        <w:tc>
          <w:tcPr>
            <w:tcW w:w="201"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5A246C71">
            <w:pPr>
              <w:jc w:val="center"/>
              <w:rPr>
                <w:rFonts w:hint="eastAsia" w:ascii="宋体" w:hAnsi="宋体" w:cs="宋体"/>
                <w:color w:val="000000"/>
                <w:szCs w:val="21"/>
              </w:rPr>
            </w:pPr>
          </w:p>
        </w:tc>
        <w:tc>
          <w:tcPr>
            <w:tcW w:w="35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5A10D976">
            <w:pPr>
              <w:jc w:val="center"/>
              <w:rPr>
                <w:rFonts w:hint="eastAsia" w:ascii="宋体" w:hAnsi="宋体" w:cs="宋体"/>
                <w:color w:val="000000"/>
                <w:szCs w:val="21"/>
              </w:rPr>
            </w:pPr>
          </w:p>
        </w:tc>
        <w:tc>
          <w:tcPr>
            <w:tcW w:w="240"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33326BD9">
            <w:pPr>
              <w:jc w:val="center"/>
              <w:rPr>
                <w:rFonts w:hint="eastAsia" w:ascii="宋体" w:hAnsi="宋体" w:cs="宋体"/>
                <w:color w:val="000000"/>
                <w:szCs w:val="21"/>
              </w:rPr>
            </w:pPr>
          </w:p>
        </w:tc>
        <w:tc>
          <w:tcPr>
            <w:tcW w:w="102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44A9A7D4">
            <w:pPr>
              <w:jc w:val="left"/>
              <w:rPr>
                <w:rFonts w:hint="eastAsia" w:ascii="宋体" w:hAnsi="宋体" w:cs="宋体"/>
                <w:color w:val="000000"/>
                <w:szCs w:val="21"/>
              </w:rPr>
            </w:pPr>
          </w:p>
        </w:tc>
        <w:tc>
          <w:tcPr>
            <w:tcW w:w="2457"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39E21BED">
            <w:pPr>
              <w:jc w:val="left"/>
              <w:rPr>
                <w:rFonts w:hint="eastAsia" w:ascii="宋体" w:hAnsi="宋体" w:cs="宋体"/>
                <w:color w:val="000000"/>
                <w:szCs w:val="21"/>
              </w:rPr>
            </w:pPr>
          </w:p>
        </w:tc>
        <w:tc>
          <w:tcPr>
            <w:tcW w:w="459" w:type="pct"/>
            <w:vMerge w:val="continue"/>
            <w:tcBorders>
              <w:top w:val="nil"/>
              <w:left w:val="nil"/>
              <w:bottom w:val="single" w:color="000000" w:sz="8" w:space="0"/>
              <w:right w:val="single" w:color="000000" w:sz="8" w:space="0"/>
            </w:tcBorders>
            <w:tcMar>
              <w:top w:w="15" w:type="dxa"/>
              <w:left w:w="15" w:type="dxa"/>
              <w:right w:w="15" w:type="dxa"/>
            </w:tcMar>
          </w:tcPr>
          <w:p w14:paraId="685B4576">
            <w:pPr>
              <w:jc w:val="center"/>
              <w:rPr>
                <w:rFonts w:hint="eastAsia" w:ascii="宋体" w:hAnsi="宋体" w:cs="宋体"/>
                <w:color w:val="000000"/>
                <w:szCs w:val="21"/>
              </w:rPr>
            </w:pPr>
          </w:p>
        </w:tc>
      </w:tr>
      <w:tr w14:paraId="35C0E9E0">
        <w:tblPrEx>
          <w:tblCellMar>
            <w:top w:w="0" w:type="dxa"/>
            <w:left w:w="0" w:type="dxa"/>
            <w:bottom w:w="0" w:type="dxa"/>
            <w:right w:w="0" w:type="dxa"/>
          </w:tblCellMar>
        </w:tblPrEx>
        <w:trPr>
          <w:trHeight w:val="312" w:hRule="atLeast"/>
        </w:trPr>
        <w:tc>
          <w:tcPr>
            <w:tcW w:w="256" w:type="pct"/>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6F59219">
            <w:pPr>
              <w:jc w:val="center"/>
              <w:rPr>
                <w:rFonts w:hint="eastAsia" w:ascii="宋体" w:hAnsi="宋体" w:cs="宋体"/>
                <w:color w:val="000000"/>
                <w:szCs w:val="21"/>
              </w:rPr>
            </w:pPr>
          </w:p>
        </w:tc>
        <w:tc>
          <w:tcPr>
            <w:tcW w:w="201"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57422544">
            <w:pPr>
              <w:jc w:val="center"/>
              <w:rPr>
                <w:rFonts w:hint="eastAsia" w:ascii="宋体" w:hAnsi="宋体" w:cs="宋体"/>
                <w:color w:val="000000"/>
                <w:szCs w:val="21"/>
              </w:rPr>
            </w:pPr>
          </w:p>
        </w:tc>
        <w:tc>
          <w:tcPr>
            <w:tcW w:w="35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5D5D647B">
            <w:pPr>
              <w:jc w:val="center"/>
              <w:rPr>
                <w:rFonts w:hint="eastAsia" w:ascii="宋体" w:hAnsi="宋体" w:cs="宋体"/>
                <w:color w:val="000000"/>
                <w:szCs w:val="21"/>
              </w:rPr>
            </w:pPr>
          </w:p>
        </w:tc>
        <w:tc>
          <w:tcPr>
            <w:tcW w:w="240"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0BAD601E">
            <w:pPr>
              <w:jc w:val="center"/>
              <w:rPr>
                <w:rFonts w:hint="eastAsia" w:ascii="宋体" w:hAnsi="宋体" w:cs="宋体"/>
                <w:color w:val="000000"/>
                <w:szCs w:val="21"/>
              </w:rPr>
            </w:pPr>
          </w:p>
        </w:tc>
        <w:tc>
          <w:tcPr>
            <w:tcW w:w="102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570A6AF3">
            <w:pPr>
              <w:jc w:val="left"/>
              <w:rPr>
                <w:rFonts w:hint="eastAsia" w:ascii="宋体" w:hAnsi="宋体" w:cs="宋体"/>
                <w:color w:val="000000"/>
                <w:szCs w:val="21"/>
              </w:rPr>
            </w:pPr>
          </w:p>
        </w:tc>
        <w:tc>
          <w:tcPr>
            <w:tcW w:w="2457"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47A9E6E8">
            <w:pPr>
              <w:jc w:val="left"/>
              <w:rPr>
                <w:rFonts w:hint="eastAsia" w:ascii="宋体" w:hAnsi="宋体" w:cs="宋体"/>
                <w:color w:val="000000"/>
                <w:szCs w:val="21"/>
              </w:rPr>
            </w:pPr>
          </w:p>
        </w:tc>
        <w:tc>
          <w:tcPr>
            <w:tcW w:w="459" w:type="pct"/>
            <w:vMerge w:val="continue"/>
            <w:tcBorders>
              <w:top w:val="nil"/>
              <w:left w:val="nil"/>
              <w:bottom w:val="single" w:color="000000" w:sz="8" w:space="0"/>
              <w:right w:val="single" w:color="000000" w:sz="8" w:space="0"/>
            </w:tcBorders>
            <w:tcMar>
              <w:top w:w="15" w:type="dxa"/>
              <w:left w:w="15" w:type="dxa"/>
              <w:right w:w="15" w:type="dxa"/>
            </w:tcMar>
          </w:tcPr>
          <w:p w14:paraId="42D7BBAD">
            <w:pPr>
              <w:jc w:val="center"/>
              <w:rPr>
                <w:rFonts w:hint="eastAsia" w:ascii="宋体" w:hAnsi="宋体" w:cs="宋体"/>
                <w:color w:val="000000"/>
                <w:szCs w:val="21"/>
              </w:rPr>
            </w:pPr>
          </w:p>
        </w:tc>
      </w:tr>
      <w:tr w14:paraId="791A5A6F">
        <w:tblPrEx>
          <w:tblCellMar>
            <w:top w:w="0" w:type="dxa"/>
            <w:left w:w="0" w:type="dxa"/>
            <w:bottom w:w="0" w:type="dxa"/>
            <w:right w:w="0" w:type="dxa"/>
          </w:tblCellMar>
        </w:tblPrEx>
        <w:trPr>
          <w:trHeight w:val="812" w:hRule="atLeast"/>
        </w:trPr>
        <w:tc>
          <w:tcPr>
            <w:tcW w:w="256" w:type="pct"/>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AAF2759">
            <w:pPr>
              <w:jc w:val="center"/>
              <w:rPr>
                <w:rFonts w:hint="eastAsia" w:ascii="宋体" w:hAnsi="宋体" w:cs="宋体"/>
                <w:color w:val="000000"/>
                <w:szCs w:val="21"/>
              </w:rPr>
            </w:pPr>
          </w:p>
        </w:tc>
        <w:tc>
          <w:tcPr>
            <w:tcW w:w="201"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3CF6C4BD">
            <w:pPr>
              <w:jc w:val="center"/>
              <w:rPr>
                <w:rFonts w:hint="eastAsia" w:ascii="宋体" w:hAnsi="宋体" w:cs="宋体"/>
                <w:color w:val="000000"/>
                <w:szCs w:val="21"/>
              </w:rPr>
            </w:pPr>
          </w:p>
        </w:tc>
        <w:tc>
          <w:tcPr>
            <w:tcW w:w="356" w:type="pct"/>
            <w:vMerge w:val="restart"/>
            <w:tcBorders>
              <w:top w:val="nil"/>
              <w:left w:val="nil"/>
              <w:bottom w:val="single" w:color="000000" w:sz="8" w:space="0"/>
              <w:right w:val="single" w:color="000000" w:sz="8" w:space="0"/>
            </w:tcBorders>
            <w:tcMar>
              <w:top w:w="15" w:type="dxa"/>
              <w:left w:w="15" w:type="dxa"/>
              <w:right w:w="15" w:type="dxa"/>
            </w:tcMar>
            <w:vAlign w:val="center"/>
          </w:tcPr>
          <w:p w14:paraId="111A22EF">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食材数量评价指标</w:t>
            </w:r>
          </w:p>
        </w:tc>
        <w:tc>
          <w:tcPr>
            <w:tcW w:w="240" w:type="pct"/>
            <w:vMerge w:val="restart"/>
            <w:tcBorders>
              <w:top w:val="nil"/>
              <w:left w:val="nil"/>
              <w:bottom w:val="single" w:color="000000" w:sz="8" w:space="0"/>
              <w:right w:val="single" w:color="000000" w:sz="8" w:space="0"/>
            </w:tcBorders>
            <w:tcMar>
              <w:top w:w="15" w:type="dxa"/>
              <w:left w:w="15" w:type="dxa"/>
              <w:right w:w="15" w:type="dxa"/>
            </w:tcMar>
            <w:vAlign w:val="center"/>
          </w:tcPr>
          <w:p w14:paraId="66707287">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 分</w:t>
            </w:r>
          </w:p>
        </w:tc>
        <w:tc>
          <w:tcPr>
            <w:tcW w:w="1026" w:type="pct"/>
            <w:vMerge w:val="restart"/>
            <w:tcBorders>
              <w:top w:val="nil"/>
              <w:left w:val="nil"/>
              <w:bottom w:val="single" w:color="000000" w:sz="8" w:space="0"/>
              <w:right w:val="single" w:color="000000" w:sz="8" w:space="0"/>
            </w:tcBorders>
            <w:tcMar>
              <w:top w:w="15" w:type="dxa"/>
              <w:left w:w="15" w:type="dxa"/>
              <w:right w:w="15" w:type="dxa"/>
            </w:tcMar>
            <w:vAlign w:val="center"/>
          </w:tcPr>
          <w:p w14:paraId="13C6B714">
            <w:pPr>
              <w:widowControl/>
              <w:jc w:val="left"/>
              <w:textAlignment w:val="center"/>
              <w:rPr>
                <w:rFonts w:hint="eastAsia" w:ascii="宋体" w:hAnsi="宋体" w:cs="宋体"/>
                <w:color w:val="000000"/>
                <w:szCs w:val="21"/>
              </w:rPr>
            </w:pPr>
            <w:r>
              <w:rPr>
                <w:rFonts w:hint="eastAsia" w:ascii="宋体" w:hAnsi="宋体" w:cs="宋体"/>
                <w:color w:val="000000"/>
                <w:kern w:val="0"/>
                <w:szCs w:val="21"/>
              </w:rPr>
              <w:t>考核供应商是否按照校（园）方订单品种和数量进行配送物品，是否存在缺斤少两的情况。</w:t>
            </w:r>
          </w:p>
        </w:tc>
        <w:tc>
          <w:tcPr>
            <w:tcW w:w="2457" w:type="pct"/>
            <w:vMerge w:val="restart"/>
            <w:tcBorders>
              <w:top w:val="nil"/>
              <w:left w:val="nil"/>
              <w:bottom w:val="single" w:color="000000" w:sz="8" w:space="0"/>
              <w:right w:val="single" w:color="000000" w:sz="8" w:space="0"/>
            </w:tcBorders>
            <w:tcMar>
              <w:top w:w="15" w:type="dxa"/>
              <w:left w:w="15" w:type="dxa"/>
              <w:right w:w="15" w:type="dxa"/>
            </w:tcMar>
            <w:vAlign w:val="center"/>
          </w:tcPr>
          <w:p w14:paraId="595BA25D">
            <w:pPr>
              <w:widowControl/>
              <w:jc w:val="left"/>
              <w:textAlignment w:val="center"/>
              <w:rPr>
                <w:rFonts w:hint="eastAsia" w:ascii="宋体" w:hAnsi="宋体" w:cs="宋体"/>
                <w:color w:val="000000"/>
                <w:szCs w:val="21"/>
              </w:rPr>
            </w:pPr>
            <w:r>
              <w:rPr>
                <w:rFonts w:hint="eastAsia" w:ascii="宋体" w:hAnsi="宋体" w:cs="宋体"/>
                <w:color w:val="000000"/>
                <w:kern w:val="0"/>
                <w:szCs w:val="21"/>
              </w:rPr>
              <w:t>供应商提供的食材品种与校（园）方订单要求一致，重量短缺不超过该类食材配送总量的 5%（含 5%）的，得 10 分；对照校（园）方订单，供应商提供的食材每缺失一个品种，扣 1 分； 供应商提供的食材重量短缺在该类食材配送总量中占 5%~10%（含 10%）的，扣 1 分；占 10%~20%（含 20%）的，扣 2 分；超过 30%（含 30%）的，扣 5 分；本项指标累计每月最高扣分 10分。</w:t>
            </w:r>
          </w:p>
        </w:tc>
        <w:tc>
          <w:tcPr>
            <w:tcW w:w="459" w:type="pct"/>
            <w:vMerge w:val="restart"/>
            <w:tcBorders>
              <w:top w:val="nil"/>
              <w:left w:val="nil"/>
              <w:bottom w:val="single" w:color="000000" w:sz="8" w:space="0"/>
              <w:right w:val="single" w:color="000000" w:sz="8" w:space="0"/>
            </w:tcBorders>
            <w:tcMar>
              <w:top w:w="15" w:type="dxa"/>
              <w:left w:w="15" w:type="dxa"/>
              <w:right w:w="15" w:type="dxa"/>
            </w:tcMar>
          </w:tcPr>
          <w:p w14:paraId="53C56B8E">
            <w:pPr>
              <w:jc w:val="center"/>
              <w:rPr>
                <w:rFonts w:hint="eastAsia" w:ascii="宋体" w:hAnsi="宋体" w:cs="宋体"/>
                <w:color w:val="000000"/>
                <w:szCs w:val="21"/>
              </w:rPr>
            </w:pPr>
          </w:p>
        </w:tc>
      </w:tr>
      <w:tr w14:paraId="5E76CA60">
        <w:tblPrEx>
          <w:tblCellMar>
            <w:top w:w="0" w:type="dxa"/>
            <w:left w:w="0" w:type="dxa"/>
            <w:bottom w:w="0" w:type="dxa"/>
            <w:right w:w="0" w:type="dxa"/>
          </w:tblCellMar>
        </w:tblPrEx>
        <w:trPr>
          <w:trHeight w:val="812" w:hRule="atLeast"/>
        </w:trPr>
        <w:tc>
          <w:tcPr>
            <w:tcW w:w="256" w:type="pct"/>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F159CA8">
            <w:pPr>
              <w:jc w:val="center"/>
              <w:rPr>
                <w:rFonts w:hint="eastAsia" w:ascii="宋体" w:hAnsi="宋体" w:cs="宋体"/>
                <w:color w:val="000000"/>
                <w:szCs w:val="21"/>
              </w:rPr>
            </w:pPr>
          </w:p>
        </w:tc>
        <w:tc>
          <w:tcPr>
            <w:tcW w:w="201"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14A4A4C0">
            <w:pPr>
              <w:jc w:val="center"/>
              <w:rPr>
                <w:rFonts w:hint="eastAsia" w:ascii="宋体" w:hAnsi="宋体" w:cs="宋体"/>
                <w:color w:val="000000"/>
                <w:szCs w:val="21"/>
              </w:rPr>
            </w:pPr>
          </w:p>
        </w:tc>
        <w:tc>
          <w:tcPr>
            <w:tcW w:w="35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0F99F67B">
            <w:pPr>
              <w:jc w:val="center"/>
              <w:rPr>
                <w:rFonts w:hint="eastAsia" w:ascii="宋体" w:hAnsi="宋体" w:cs="宋体"/>
                <w:color w:val="000000"/>
                <w:szCs w:val="21"/>
              </w:rPr>
            </w:pPr>
          </w:p>
        </w:tc>
        <w:tc>
          <w:tcPr>
            <w:tcW w:w="240"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66A8B1E0">
            <w:pPr>
              <w:jc w:val="center"/>
              <w:rPr>
                <w:rFonts w:hint="eastAsia" w:ascii="宋体" w:hAnsi="宋体" w:cs="宋体"/>
                <w:color w:val="000000"/>
                <w:szCs w:val="21"/>
              </w:rPr>
            </w:pPr>
          </w:p>
        </w:tc>
        <w:tc>
          <w:tcPr>
            <w:tcW w:w="102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555ADC8D">
            <w:pPr>
              <w:jc w:val="left"/>
              <w:rPr>
                <w:rFonts w:hint="eastAsia" w:ascii="宋体" w:hAnsi="宋体" w:cs="宋体"/>
                <w:color w:val="000000"/>
                <w:szCs w:val="21"/>
              </w:rPr>
            </w:pPr>
          </w:p>
        </w:tc>
        <w:tc>
          <w:tcPr>
            <w:tcW w:w="2457"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36DF87CE">
            <w:pPr>
              <w:jc w:val="left"/>
              <w:rPr>
                <w:rFonts w:hint="eastAsia" w:ascii="宋体" w:hAnsi="宋体" w:cs="宋体"/>
                <w:color w:val="000000"/>
                <w:szCs w:val="21"/>
              </w:rPr>
            </w:pPr>
          </w:p>
        </w:tc>
        <w:tc>
          <w:tcPr>
            <w:tcW w:w="459" w:type="pct"/>
            <w:vMerge w:val="continue"/>
            <w:tcBorders>
              <w:top w:val="nil"/>
              <w:left w:val="nil"/>
              <w:bottom w:val="single" w:color="000000" w:sz="8" w:space="0"/>
              <w:right w:val="single" w:color="000000" w:sz="8" w:space="0"/>
            </w:tcBorders>
            <w:tcMar>
              <w:top w:w="15" w:type="dxa"/>
              <w:left w:w="15" w:type="dxa"/>
              <w:right w:w="15" w:type="dxa"/>
            </w:tcMar>
          </w:tcPr>
          <w:p w14:paraId="68D026D6">
            <w:pPr>
              <w:jc w:val="center"/>
              <w:rPr>
                <w:rFonts w:hint="eastAsia" w:ascii="宋体" w:hAnsi="宋体" w:cs="宋体"/>
                <w:color w:val="000000"/>
                <w:szCs w:val="21"/>
              </w:rPr>
            </w:pPr>
          </w:p>
        </w:tc>
      </w:tr>
      <w:tr w14:paraId="15911C91">
        <w:tblPrEx>
          <w:tblCellMar>
            <w:top w:w="0" w:type="dxa"/>
            <w:left w:w="0" w:type="dxa"/>
            <w:bottom w:w="0" w:type="dxa"/>
            <w:right w:w="0" w:type="dxa"/>
          </w:tblCellMar>
        </w:tblPrEx>
        <w:trPr>
          <w:trHeight w:val="812" w:hRule="atLeast"/>
        </w:trPr>
        <w:tc>
          <w:tcPr>
            <w:tcW w:w="256" w:type="pct"/>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C253E56">
            <w:pPr>
              <w:jc w:val="center"/>
              <w:rPr>
                <w:rFonts w:hint="eastAsia" w:ascii="宋体" w:hAnsi="宋体" w:cs="宋体"/>
                <w:color w:val="000000"/>
                <w:szCs w:val="21"/>
              </w:rPr>
            </w:pPr>
          </w:p>
        </w:tc>
        <w:tc>
          <w:tcPr>
            <w:tcW w:w="201"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1443019B">
            <w:pPr>
              <w:jc w:val="center"/>
              <w:rPr>
                <w:rFonts w:hint="eastAsia" w:ascii="宋体" w:hAnsi="宋体" w:cs="宋体"/>
                <w:color w:val="000000"/>
                <w:szCs w:val="21"/>
              </w:rPr>
            </w:pPr>
          </w:p>
        </w:tc>
        <w:tc>
          <w:tcPr>
            <w:tcW w:w="35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73909488">
            <w:pPr>
              <w:jc w:val="center"/>
              <w:rPr>
                <w:rFonts w:hint="eastAsia" w:ascii="宋体" w:hAnsi="宋体" w:cs="宋体"/>
                <w:color w:val="000000"/>
                <w:szCs w:val="21"/>
              </w:rPr>
            </w:pPr>
          </w:p>
        </w:tc>
        <w:tc>
          <w:tcPr>
            <w:tcW w:w="240"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7E1F23FE">
            <w:pPr>
              <w:jc w:val="center"/>
              <w:rPr>
                <w:rFonts w:hint="eastAsia" w:ascii="宋体" w:hAnsi="宋体" w:cs="宋体"/>
                <w:color w:val="000000"/>
                <w:szCs w:val="21"/>
              </w:rPr>
            </w:pPr>
          </w:p>
        </w:tc>
        <w:tc>
          <w:tcPr>
            <w:tcW w:w="102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5E867B3C">
            <w:pPr>
              <w:jc w:val="left"/>
              <w:rPr>
                <w:rFonts w:hint="eastAsia" w:ascii="宋体" w:hAnsi="宋体" w:cs="宋体"/>
                <w:color w:val="000000"/>
                <w:szCs w:val="21"/>
              </w:rPr>
            </w:pPr>
          </w:p>
        </w:tc>
        <w:tc>
          <w:tcPr>
            <w:tcW w:w="2457"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466EEB1F">
            <w:pPr>
              <w:jc w:val="left"/>
              <w:rPr>
                <w:rFonts w:hint="eastAsia" w:ascii="宋体" w:hAnsi="宋体" w:cs="宋体"/>
                <w:color w:val="000000"/>
                <w:szCs w:val="21"/>
              </w:rPr>
            </w:pPr>
          </w:p>
        </w:tc>
        <w:tc>
          <w:tcPr>
            <w:tcW w:w="459" w:type="pct"/>
            <w:vMerge w:val="continue"/>
            <w:tcBorders>
              <w:top w:val="nil"/>
              <w:left w:val="nil"/>
              <w:bottom w:val="single" w:color="000000" w:sz="8" w:space="0"/>
              <w:right w:val="single" w:color="000000" w:sz="8" w:space="0"/>
            </w:tcBorders>
            <w:tcMar>
              <w:top w:w="15" w:type="dxa"/>
              <w:left w:w="15" w:type="dxa"/>
              <w:right w:w="15" w:type="dxa"/>
            </w:tcMar>
          </w:tcPr>
          <w:p w14:paraId="5F3DEB8F">
            <w:pPr>
              <w:jc w:val="center"/>
              <w:rPr>
                <w:rFonts w:hint="eastAsia" w:ascii="宋体" w:hAnsi="宋体" w:cs="宋体"/>
                <w:color w:val="000000"/>
                <w:szCs w:val="21"/>
              </w:rPr>
            </w:pPr>
          </w:p>
        </w:tc>
      </w:tr>
      <w:tr w14:paraId="1862BD77">
        <w:tblPrEx>
          <w:tblCellMar>
            <w:top w:w="0" w:type="dxa"/>
            <w:left w:w="0" w:type="dxa"/>
            <w:bottom w:w="0" w:type="dxa"/>
            <w:right w:w="0" w:type="dxa"/>
          </w:tblCellMar>
        </w:tblPrEx>
        <w:trPr>
          <w:trHeight w:val="656" w:hRule="atLeast"/>
        </w:trPr>
        <w:tc>
          <w:tcPr>
            <w:tcW w:w="256" w:type="pct"/>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EDD8D84">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流程</w:t>
            </w:r>
            <w:r>
              <w:rPr>
                <w:rFonts w:hint="eastAsia" w:ascii="宋体" w:hAnsi="宋体" w:cs="宋体"/>
                <w:color w:val="000000"/>
                <w:kern w:val="0"/>
                <w:szCs w:val="21"/>
              </w:rPr>
              <w:br w:type="textWrapping"/>
            </w:r>
            <w:r>
              <w:rPr>
                <w:rFonts w:hint="eastAsia" w:ascii="宋体" w:hAnsi="宋体" w:cs="宋体"/>
                <w:color w:val="000000"/>
                <w:kern w:val="0"/>
                <w:szCs w:val="21"/>
              </w:rPr>
              <w:t>管理</w:t>
            </w:r>
          </w:p>
        </w:tc>
        <w:tc>
          <w:tcPr>
            <w:tcW w:w="201" w:type="pct"/>
            <w:vMerge w:val="restart"/>
            <w:tcBorders>
              <w:top w:val="nil"/>
              <w:left w:val="nil"/>
              <w:bottom w:val="single" w:color="000000" w:sz="8" w:space="0"/>
              <w:right w:val="single" w:color="000000" w:sz="8" w:space="0"/>
            </w:tcBorders>
            <w:tcMar>
              <w:top w:w="15" w:type="dxa"/>
              <w:left w:w="15" w:type="dxa"/>
              <w:right w:w="15" w:type="dxa"/>
            </w:tcMar>
            <w:vAlign w:val="center"/>
          </w:tcPr>
          <w:p w14:paraId="01CB678E">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35 分</w:t>
            </w:r>
          </w:p>
        </w:tc>
        <w:tc>
          <w:tcPr>
            <w:tcW w:w="356" w:type="pct"/>
            <w:vMerge w:val="restart"/>
            <w:tcBorders>
              <w:top w:val="nil"/>
              <w:left w:val="nil"/>
              <w:bottom w:val="single" w:color="000000" w:sz="8" w:space="0"/>
              <w:right w:val="single" w:color="000000" w:sz="8" w:space="0"/>
            </w:tcBorders>
            <w:tcMar>
              <w:top w:w="15" w:type="dxa"/>
              <w:left w:w="15" w:type="dxa"/>
              <w:right w:w="15" w:type="dxa"/>
            </w:tcMar>
            <w:vAlign w:val="center"/>
          </w:tcPr>
          <w:p w14:paraId="209A5B5D">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配送及时性评价指标</w:t>
            </w:r>
          </w:p>
        </w:tc>
        <w:tc>
          <w:tcPr>
            <w:tcW w:w="240" w:type="pct"/>
            <w:vMerge w:val="restart"/>
            <w:tcBorders>
              <w:top w:val="nil"/>
              <w:left w:val="nil"/>
              <w:bottom w:val="single" w:color="000000" w:sz="8" w:space="0"/>
              <w:right w:val="single" w:color="000000" w:sz="8" w:space="0"/>
            </w:tcBorders>
            <w:tcMar>
              <w:top w:w="15" w:type="dxa"/>
              <w:left w:w="15" w:type="dxa"/>
              <w:right w:w="15" w:type="dxa"/>
            </w:tcMar>
            <w:vAlign w:val="center"/>
          </w:tcPr>
          <w:p w14:paraId="74F8BE20">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 分</w:t>
            </w:r>
          </w:p>
        </w:tc>
        <w:tc>
          <w:tcPr>
            <w:tcW w:w="1026" w:type="pct"/>
            <w:vMerge w:val="restart"/>
            <w:tcBorders>
              <w:top w:val="nil"/>
              <w:left w:val="nil"/>
              <w:bottom w:val="single" w:color="000000" w:sz="8" w:space="0"/>
              <w:right w:val="single" w:color="000000" w:sz="8" w:space="0"/>
            </w:tcBorders>
            <w:tcMar>
              <w:top w:w="15" w:type="dxa"/>
              <w:left w:w="15" w:type="dxa"/>
              <w:right w:w="15" w:type="dxa"/>
            </w:tcMar>
            <w:vAlign w:val="center"/>
          </w:tcPr>
          <w:p w14:paraId="3C73064F">
            <w:pPr>
              <w:widowControl/>
              <w:jc w:val="left"/>
              <w:textAlignment w:val="center"/>
              <w:rPr>
                <w:rFonts w:hint="eastAsia" w:ascii="宋体" w:hAnsi="宋体" w:cs="宋体"/>
                <w:color w:val="000000"/>
                <w:szCs w:val="21"/>
              </w:rPr>
            </w:pPr>
            <w:r>
              <w:rPr>
                <w:rFonts w:hint="eastAsia" w:ascii="宋体" w:hAnsi="宋体" w:cs="宋体"/>
                <w:color w:val="000000"/>
                <w:kern w:val="0"/>
                <w:szCs w:val="21"/>
              </w:rPr>
              <w:t>考核供应商能否准时送货。</w:t>
            </w:r>
          </w:p>
        </w:tc>
        <w:tc>
          <w:tcPr>
            <w:tcW w:w="2457" w:type="pct"/>
            <w:vMerge w:val="restart"/>
            <w:tcBorders>
              <w:top w:val="nil"/>
              <w:left w:val="nil"/>
              <w:bottom w:val="single" w:color="000000" w:sz="8" w:space="0"/>
              <w:right w:val="single" w:color="000000" w:sz="8" w:space="0"/>
            </w:tcBorders>
            <w:tcMar>
              <w:top w:w="15" w:type="dxa"/>
              <w:left w:w="15" w:type="dxa"/>
              <w:right w:w="15" w:type="dxa"/>
            </w:tcMar>
            <w:vAlign w:val="center"/>
          </w:tcPr>
          <w:p w14:paraId="2EADA2D7">
            <w:pPr>
              <w:widowControl/>
              <w:jc w:val="left"/>
              <w:textAlignment w:val="center"/>
              <w:rPr>
                <w:rFonts w:hint="eastAsia" w:ascii="宋体" w:hAnsi="宋体" w:cs="宋体"/>
                <w:color w:val="000000"/>
                <w:szCs w:val="21"/>
              </w:rPr>
            </w:pPr>
            <w:r>
              <w:rPr>
                <w:rFonts w:hint="eastAsia" w:ascii="宋体" w:hAnsi="宋体" w:cs="宋体"/>
                <w:color w:val="000000"/>
                <w:kern w:val="0"/>
                <w:szCs w:val="21"/>
              </w:rPr>
              <w:t>供应商每日按学校要求时间准时送达食材的（因不可抗力造成的延迟或配送失败除外），得 10 分；迟于学校要求时间配送的，每迟到 10 分钟扣 2分；本项指标累计每月最高扣分 10 分。</w:t>
            </w:r>
          </w:p>
        </w:tc>
        <w:tc>
          <w:tcPr>
            <w:tcW w:w="459" w:type="pct"/>
            <w:vMerge w:val="restart"/>
            <w:tcBorders>
              <w:top w:val="nil"/>
              <w:left w:val="nil"/>
              <w:bottom w:val="single" w:color="000000" w:sz="8" w:space="0"/>
              <w:right w:val="single" w:color="000000" w:sz="8" w:space="0"/>
            </w:tcBorders>
            <w:tcMar>
              <w:top w:w="15" w:type="dxa"/>
              <w:left w:w="15" w:type="dxa"/>
              <w:right w:w="15" w:type="dxa"/>
            </w:tcMar>
          </w:tcPr>
          <w:p w14:paraId="7A9808BE">
            <w:pPr>
              <w:jc w:val="center"/>
              <w:rPr>
                <w:rFonts w:hint="eastAsia" w:ascii="宋体" w:hAnsi="宋体" w:cs="宋体"/>
                <w:color w:val="000000"/>
                <w:szCs w:val="21"/>
              </w:rPr>
            </w:pPr>
          </w:p>
        </w:tc>
      </w:tr>
      <w:tr w14:paraId="4589CA0E">
        <w:tblPrEx>
          <w:tblCellMar>
            <w:top w:w="0" w:type="dxa"/>
            <w:left w:w="0" w:type="dxa"/>
            <w:bottom w:w="0" w:type="dxa"/>
            <w:right w:w="0" w:type="dxa"/>
          </w:tblCellMar>
        </w:tblPrEx>
        <w:trPr>
          <w:trHeight w:val="864" w:hRule="atLeast"/>
        </w:trPr>
        <w:tc>
          <w:tcPr>
            <w:tcW w:w="256" w:type="pct"/>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98DD21E">
            <w:pPr>
              <w:jc w:val="center"/>
              <w:rPr>
                <w:rFonts w:hint="eastAsia" w:ascii="宋体" w:hAnsi="宋体" w:cs="宋体"/>
                <w:color w:val="000000"/>
                <w:szCs w:val="21"/>
              </w:rPr>
            </w:pPr>
          </w:p>
        </w:tc>
        <w:tc>
          <w:tcPr>
            <w:tcW w:w="201"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4B54BDED">
            <w:pPr>
              <w:jc w:val="center"/>
              <w:rPr>
                <w:rFonts w:hint="eastAsia" w:ascii="宋体" w:hAnsi="宋体" w:cs="宋体"/>
                <w:color w:val="000000"/>
                <w:szCs w:val="21"/>
              </w:rPr>
            </w:pPr>
          </w:p>
        </w:tc>
        <w:tc>
          <w:tcPr>
            <w:tcW w:w="35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7812BDC8">
            <w:pPr>
              <w:jc w:val="center"/>
              <w:rPr>
                <w:rFonts w:hint="eastAsia" w:ascii="宋体" w:hAnsi="宋体" w:cs="宋体"/>
                <w:color w:val="000000"/>
                <w:szCs w:val="21"/>
              </w:rPr>
            </w:pPr>
          </w:p>
        </w:tc>
        <w:tc>
          <w:tcPr>
            <w:tcW w:w="240"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03AD2A3D">
            <w:pPr>
              <w:jc w:val="center"/>
              <w:rPr>
                <w:rFonts w:hint="eastAsia" w:ascii="宋体" w:hAnsi="宋体" w:cs="宋体"/>
                <w:color w:val="000000"/>
                <w:szCs w:val="21"/>
              </w:rPr>
            </w:pPr>
          </w:p>
        </w:tc>
        <w:tc>
          <w:tcPr>
            <w:tcW w:w="102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1ABE864D">
            <w:pPr>
              <w:jc w:val="left"/>
              <w:rPr>
                <w:rFonts w:hint="eastAsia" w:ascii="宋体" w:hAnsi="宋体" w:cs="宋体"/>
                <w:color w:val="000000"/>
                <w:szCs w:val="21"/>
              </w:rPr>
            </w:pPr>
          </w:p>
        </w:tc>
        <w:tc>
          <w:tcPr>
            <w:tcW w:w="2457"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3A54E9D3">
            <w:pPr>
              <w:jc w:val="left"/>
              <w:rPr>
                <w:rFonts w:hint="eastAsia" w:ascii="宋体" w:hAnsi="宋体" w:cs="宋体"/>
                <w:color w:val="000000"/>
                <w:szCs w:val="21"/>
              </w:rPr>
            </w:pPr>
          </w:p>
        </w:tc>
        <w:tc>
          <w:tcPr>
            <w:tcW w:w="459" w:type="pct"/>
            <w:vMerge w:val="continue"/>
            <w:tcBorders>
              <w:top w:val="nil"/>
              <w:left w:val="nil"/>
              <w:bottom w:val="single" w:color="000000" w:sz="8" w:space="0"/>
              <w:right w:val="single" w:color="000000" w:sz="8" w:space="0"/>
            </w:tcBorders>
            <w:tcMar>
              <w:top w:w="15" w:type="dxa"/>
              <w:left w:w="15" w:type="dxa"/>
              <w:right w:w="15" w:type="dxa"/>
            </w:tcMar>
          </w:tcPr>
          <w:p w14:paraId="62165F71">
            <w:pPr>
              <w:jc w:val="center"/>
              <w:rPr>
                <w:rFonts w:hint="eastAsia" w:ascii="宋体" w:hAnsi="宋体" w:cs="宋体"/>
                <w:color w:val="000000"/>
                <w:szCs w:val="21"/>
              </w:rPr>
            </w:pPr>
          </w:p>
        </w:tc>
      </w:tr>
      <w:tr w14:paraId="5663079D">
        <w:tblPrEx>
          <w:tblCellMar>
            <w:top w:w="0" w:type="dxa"/>
            <w:left w:w="0" w:type="dxa"/>
            <w:bottom w:w="0" w:type="dxa"/>
            <w:right w:w="0" w:type="dxa"/>
          </w:tblCellMar>
        </w:tblPrEx>
        <w:trPr>
          <w:trHeight w:val="812" w:hRule="atLeast"/>
        </w:trPr>
        <w:tc>
          <w:tcPr>
            <w:tcW w:w="256" w:type="pct"/>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451C34E">
            <w:pPr>
              <w:jc w:val="center"/>
              <w:rPr>
                <w:rFonts w:hint="eastAsia" w:ascii="宋体" w:hAnsi="宋体" w:cs="宋体"/>
                <w:color w:val="000000"/>
                <w:szCs w:val="21"/>
              </w:rPr>
            </w:pPr>
          </w:p>
        </w:tc>
        <w:tc>
          <w:tcPr>
            <w:tcW w:w="201"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589D7FE8">
            <w:pPr>
              <w:jc w:val="center"/>
              <w:rPr>
                <w:rFonts w:hint="eastAsia" w:ascii="宋体" w:hAnsi="宋体" w:cs="宋体"/>
                <w:color w:val="000000"/>
                <w:szCs w:val="21"/>
              </w:rPr>
            </w:pPr>
          </w:p>
        </w:tc>
        <w:tc>
          <w:tcPr>
            <w:tcW w:w="356" w:type="pct"/>
            <w:vMerge w:val="restart"/>
            <w:tcBorders>
              <w:top w:val="nil"/>
              <w:left w:val="nil"/>
              <w:bottom w:val="single" w:color="000000" w:sz="8" w:space="0"/>
              <w:right w:val="single" w:color="000000" w:sz="8" w:space="0"/>
            </w:tcBorders>
            <w:tcMar>
              <w:top w:w="15" w:type="dxa"/>
              <w:left w:w="15" w:type="dxa"/>
              <w:right w:w="15" w:type="dxa"/>
            </w:tcMar>
            <w:vAlign w:val="center"/>
          </w:tcPr>
          <w:p w14:paraId="343257EB">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应急响应能力评价指标</w:t>
            </w:r>
          </w:p>
        </w:tc>
        <w:tc>
          <w:tcPr>
            <w:tcW w:w="240" w:type="pct"/>
            <w:vMerge w:val="restart"/>
            <w:tcBorders>
              <w:top w:val="nil"/>
              <w:left w:val="nil"/>
              <w:bottom w:val="single" w:color="000000" w:sz="8" w:space="0"/>
              <w:right w:val="single" w:color="000000" w:sz="8" w:space="0"/>
            </w:tcBorders>
            <w:tcMar>
              <w:top w:w="15" w:type="dxa"/>
              <w:left w:w="15" w:type="dxa"/>
              <w:right w:w="15" w:type="dxa"/>
            </w:tcMar>
            <w:vAlign w:val="center"/>
          </w:tcPr>
          <w:p w14:paraId="164D6BDD">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 分</w:t>
            </w:r>
          </w:p>
        </w:tc>
        <w:tc>
          <w:tcPr>
            <w:tcW w:w="1026" w:type="pct"/>
            <w:vMerge w:val="restart"/>
            <w:tcBorders>
              <w:top w:val="nil"/>
              <w:left w:val="nil"/>
              <w:bottom w:val="single" w:color="000000" w:sz="8" w:space="0"/>
              <w:right w:val="single" w:color="000000" w:sz="8" w:space="0"/>
            </w:tcBorders>
            <w:tcMar>
              <w:top w:w="15" w:type="dxa"/>
              <w:left w:w="15" w:type="dxa"/>
              <w:right w:w="15" w:type="dxa"/>
            </w:tcMar>
            <w:vAlign w:val="center"/>
          </w:tcPr>
          <w:p w14:paraId="13F7159E">
            <w:pPr>
              <w:widowControl/>
              <w:jc w:val="left"/>
              <w:textAlignment w:val="center"/>
              <w:rPr>
                <w:rFonts w:hint="eastAsia" w:ascii="宋体" w:hAnsi="宋体" w:cs="宋体"/>
                <w:color w:val="000000"/>
                <w:szCs w:val="21"/>
              </w:rPr>
            </w:pPr>
            <w:r>
              <w:rPr>
                <w:rFonts w:hint="eastAsia" w:ascii="宋体" w:hAnsi="宋体" w:cs="宋体"/>
                <w:color w:val="000000"/>
                <w:kern w:val="0"/>
                <w:szCs w:val="21"/>
              </w:rPr>
              <w:t>考核供应商是否按照校（园）方的要求，以最快的速度，按照招标时的承诺进行应急处理。</w:t>
            </w:r>
          </w:p>
        </w:tc>
        <w:tc>
          <w:tcPr>
            <w:tcW w:w="2457" w:type="pct"/>
            <w:vMerge w:val="restart"/>
            <w:tcBorders>
              <w:top w:val="nil"/>
              <w:left w:val="nil"/>
              <w:bottom w:val="single" w:color="000000" w:sz="8" w:space="0"/>
              <w:right w:val="single" w:color="000000" w:sz="8" w:space="0"/>
            </w:tcBorders>
            <w:tcMar>
              <w:top w:w="15" w:type="dxa"/>
              <w:left w:w="15" w:type="dxa"/>
              <w:right w:w="15" w:type="dxa"/>
            </w:tcMar>
            <w:vAlign w:val="center"/>
          </w:tcPr>
          <w:p w14:paraId="404FBE74">
            <w:pPr>
              <w:widowControl/>
              <w:jc w:val="left"/>
              <w:textAlignment w:val="center"/>
              <w:rPr>
                <w:rFonts w:hint="eastAsia" w:ascii="宋体" w:hAnsi="宋体" w:cs="宋体"/>
                <w:color w:val="000000"/>
                <w:szCs w:val="21"/>
              </w:rPr>
            </w:pPr>
            <w:r>
              <w:rPr>
                <w:rFonts w:hint="eastAsia" w:ascii="宋体" w:hAnsi="宋体" w:cs="宋体"/>
                <w:color w:val="000000"/>
                <w:kern w:val="0"/>
                <w:szCs w:val="21"/>
              </w:rPr>
              <w:t>供应商每次都能够按照合同签订时约定的应急方案，及时响应校（园）方的要求，得 10 分；供应商不能按照合同签订时约定的应急方案，存在延迟响应校（园）方要求且延迟时间不超过半小时（含半小时）的，每延迟一次扣 2 分；供应商延迟响应校（园）方要求超过半个小时的，或者供应商未响应校（园） 方要求的，每发生一次扣 5 分。本项指标累计每月最高扣分 10分。</w:t>
            </w:r>
          </w:p>
        </w:tc>
        <w:tc>
          <w:tcPr>
            <w:tcW w:w="459" w:type="pct"/>
            <w:vMerge w:val="restart"/>
            <w:tcBorders>
              <w:top w:val="nil"/>
              <w:left w:val="nil"/>
              <w:bottom w:val="single" w:color="000000" w:sz="8" w:space="0"/>
              <w:right w:val="single" w:color="000000" w:sz="8" w:space="0"/>
            </w:tcBorders>
            <w:tcMar>
              <w:top w:w="15" w:type="dxa"/>
              <w:left w:w="15" w:type="dxa"/>
              <w:right w:w="15" w:type="dxa"/>
            </w:tcMar>
          </w:tcPr>
          <w:p w14:paraId="1EA7C31B">
            <w:pPr>
              <w:jc w:val="center"/>
              <w:rPr>
                <w:rFonts w:hint="eastAsia" w:ascii="宋体" w:hAnsi="宋体" w:cs="宋体"/>
                <w:color w:val="000000"/>
                <w:szCs w:val="21"/>
              </w:rPr>
            </w:pPr>
          </w:p>
        </w:tc>
      </w:tr>
      <w:tr w14:paraId="038D47E4">
        <w:tblPrEx>
          <w:tblCellMar>
            <w:top w:w="0" w:type="dxa"/>
            <w:left w:w="0" w:type="dxa"/>
            <w:bottom w:w="0" w:type="dxa"/>
            <w:right w:w="0" w:type="dxa"/>
          </w:tblCellMar>
        </w:tblPrEx>
        <w:trPr>
          <w:trHeight w:val="812" w:hRule="atLeast"/>
        </w:trPr>
        <w:tc>
          <w:tcPr>
            <w:tcW w:w="256" w:type="pct"/>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111859B">
            <w:pPr>
              <w:jc w:val="center"/>
              <w:rPr>
                <w:rFonts w:hint="eastAsia" w:ascii="宋体" w:hAnsi="宋体" w:cs="宋体"/>
                <w:color w:val="000000"/>
                <w:szCs w:val="21"/>
              </w:rPr>
            </w:pPr>
          </w:p>
        </w:tc>
        <w:tc>
          <w:tcPr>
            <w:tcW w:w="201"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7D1CEDC5">
            <w:pPr>
              <w:jc w:val="center"/>
              <w:rPr>
                <w:rFonts w:hint="eastAsia" w:ascii="宋体" w:hAnsi="宋体" w:cs="宋体"/>
                <w:color w:val="000000"/>
                <w:szCs w:val="21"/>
              </w:rPr>
            </w:pPr>
          </w:p>
        </w:tc>
        <w:tc>
          <w:tcPr>
            <w:tcW w:w="35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1388659A">
            <w:pPr>
              <w:jc w:val="center"/>
              <w:rPr>
                <w:rFonts w:hint="eastAsia" w:ascii="宋体" w:hAnsi="宋体" w:cs="宋体"/>
                <w:color w:val="000000"/>
                <w:szCs w:val="21"/>
              </w:rPr>
            </w:pPr>
          </w:p>
        </w:tc>
        <w:tc>
          <w:tcPr>
            <w:tcW w:w="240"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4961C319">
            <w:pPr>
              <w:jc w:val="center"/>
              <w:rPr>
                <w:rFonts w:hint="eastAsia" w:ascii="宋体" w:hAnsi="宋体" w:cs="宋体"/>
                <w:color w:val="000000"/>
                <w:szCs w:val="21"/>
              </w:rPr>
            </w:pPr>
          </w:p>
        </w:tc>
        <w:tc>
          <w:tcPr>
            <w:tcW w:w="102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10F49C61">
            <w:pPr>
              <w:jc w:val="left"/>
              <w:rPr>
                <w:rFonts w:hint="eastAsia" w:ascii="宋体" w:hAnsi="宋体" w:cs="宋体"/>
                <w:color w:val="000000"/>
                <w:szCs w:val="21"/>
              </w:rPr>
            </w:pPr>
          </w:p>
        </w:tc>
        <w:tc>
          <w:tcPr>
            <w:tcW w:w="2457"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316943F6">
            <w:pPr>
              <w:jc w:val="left"/>
              <w:rPr>
                <w:rFonts w:hint="eastAsia" w:ascii="宋体" w:hAnsi="宋体" w:cs="宋体"/>
                <w:color w:val="000000"/>
                <w:szCs w:val="21"/>
              </w:rPr>
            </w:pPr>
          </w:p>
        </w:tc>
        <w:tc>
          <w:tcPr>
            <w:tcW w:w="459" w:type="pct"/>
            <w:vMerge w:val="continue"/>
            <w:tcBorders>
              <w:top w:val="nil"/>
              <w:left w:val="nil"/>
              <w:bottom w:val="single" w:color="000000" w:sz="8" w:space="0"/>
              <w:right w:val="single" w:color="000000" w:sz="8" w:space="0"/>
            </w:tcBorders>
            <w:tcMar>
              <w:top w:w="15" w:type="dxa"/>
              <w:left w:w="15" w:type="dxa"/>
              <w:right w:w="15" w:type="dxa"/>
            </w:tcMar>
          </w:tcPr>
          <w:p w14:paraId="2AD13852">
            <w:pPr>
              <w:jc w:val="center"/>
              <w:rPr>
                <w:rFonts w:hint="eastAsia" w:ascii="宋体" w:hAnsi="宋体" w:cs="宋体"/>
                <w:color w:val="000000"/>
                <w:szCs w:val="21"/>
              </w:rPr>
            </w:pPr>
          </w:p>
        </w:tc>
      </w:tr>
      <w:tr w14:paraId="2A65D170">
        <w:tblPrEx>
          <w:tblCellMar>
            <w:top w:w="0" w:type="dxa"/>
            <w:left w:w="0" w:type="dxa"/>
            <w:bottom w:w="0" w:type="dxa"/>
            <w:right w:w="0" w:type="dxa"/>
          </w:tblCellMar>
        </w:tblPrEx>
        <w:trPr>
          <w:trHeight w:val="812" w:hRule="atLeast"/>
        </w:trPr>
        <w:tc>
          <w:tcPr>
            <w:tcW w:w="256" w:type="pct"/>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409B265">
            <w:pPr>
              <w:jc w:val="center"/>
              <w:rPr>
                <w:rFonts w:hint="eastAsia" w:ascii="宋体" w:hAnsi="宋体" w:cs="宋体"/>
                <w:color w:val="000000"/>
                <w:szCs w:val="21"/>
              </w:rPr>
            </w:pPr>
          </w:p>
        </w:tc>
        <w:tc>
          <w:tcPr>
            <w:tcW w:w="201"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6FDED205">
            <w:pPr>
              <w:jc w:val="center"/>
              <w:rPr>
                <w:rFonts w:hint="eastAsia" w:ascii="宋体" w:hAnsi="宋体" w:cs="宋体"/>
                <w:color w:val="000000"/>
                <w:szCs w:val="21"/>
              </w:rPr>
            </w:pPr>
          </w:p>
        </w:tc>
        <w:tc>
          <w:tcPr>
            <w:tcW w:w="35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6FFC57C0">
            <w:pPr>
              <w:jc w:val="center"/>
              <w:rPr>
                <w:rFonts w:hint="eastAsia" w:ascii="宋体" w:hAnsi="宋体" w:cs="宋体"/>
                <w:color w:val="000000"/>
                <w:szCs w:val="21"/>
              </w:rPr>
            </w:pPr>
          </w:p>
        </w:tc>
        <w:tc>
          <w:tcPr>
            <w:tcW w:w="240"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4EC34EDB">
            <w:pPr>
              <w:jc w:val="center"/>
              <w:rPr>
                <w:rFonts w:hint="eastAsia" w:ascii="宋体" w:hAnsi="宋体" w:cs="宋体"/>
                <w:color w:val="000000"/>
                <w:szCs w:val="21"/>
              </w:rPr>
            </w:pPr>
          </w:p>
        </w:tc>
        <w:tc>
          <w:tcPr>
            <w:tcW w:w="102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5F1F2348">
            <w:pPr>
              <w:jc w:val="left"/>
              <w:rPr>
                <w:rFonts w:hint="eastAsia" w:ascii="宋体" w:hAnsi="宋体" w:cs="宋体"/>
                <w:color w:val="000000"/>
                <w:szCs w:val="21"/>
              </w:rPr>
            </w:pPr>
          </w:p>
        </w:tc>
        <w:tc>
          <w:tcPr>
            <w:tcW w:w="2457"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3C05CCEB">
            <w:pPr>
              <w:jc w:val="left"/>
              <w:rPr>
                <w:rFonts w:hint="eastAsia" w:ascii="宋体" w:hAnsi="宋体" w:cs="宋体"/>
                <w:color w:val="000000"/>
                <w:szCs w:val="21"/>
              </w:rPr>
            </w:pPr>
          </w:p>
        </w:tc>
        <w:tc>
          <w:tcPr>
            <w:tcW w:w="459" w:type="pct"/>
            <w:vMerge w:val="continue"/>
            <w:tcBorders>
              <w:top w:val="nil"/>
              <w:left w:val="nil"/>
              <w:bottom w:val="single" w:color="000000" w:sz="8" w:space="0"/>
              <w:right w:val="single" w:color="000000" w:sz="8" w:space="0"/>
            </w:tcBorders>
            <w:tcMar>
              <w:top w:w="15" w:type="dxa"/>
              <w:left w:w="15" w:type="dxa"/>
              <w:right w:w="15" w:type="dxa"/>
            </w:tcMar>
          </w:tcPr>
          <w:p w14:paraId="753F455F">
            <w:pPr>
              <w:jc w:val="center"/>
              <w:rPr>
                <w:rFonts w:hint="eastAsia" w:ascii="宋体" w:hAnsi="宋体" w:cs="宋体"/>
                <w:color w:val="000000"/>
                <w:szCs w:val="21"/>
              </w:rPr>
            </w:pPr>
          </w:p>
        </w:tc>
      </w:tr>
      <w:tr w14:paraId="3FC628E0">
        <w:tblPrEx>
          <w:tblCellMar>
            <w:top w:w="0" w:type="dxa"/>
            <w:left w:w="0" w:type="dxa"/>
            <w:bottom w:w="0" w:type="dxa"/>
            <w:right w:w="0" w:type="dxa"/>
          </w:tblCellMar>
        </w:tblPrEx>
        <w:trPr>
          <w:trHeight w:val="812" w:hRule="atLeast"/>
        </w:trPr>
        <w:tc>
          <w:tcPr>
            <w:tcW w:w="256" w:type="pct"/>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8AD5E53">
            <w:pPr>
              <w:jc w:val="center"/>
              <w:rPr>
                <w:rFonts w:hint="eastAsia" w:ascii="宋体" w:hAnsi="宋体" w:cs="宋体"/>
                <w:color w:val="000000"/>
                <w:szCs w:val="21"/>
              </w:rPr>
            </w:pPr>
          </w:p>
        </w:tc>
        <w:tc>
          <w:tcPr>
            <w:tcW w:w="201"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7DDFF497">
            <w:pPr>
              <w:jc w:val="center"/>
              <w:rPr>
                <w:rFonts w:hint="eastAsia" w:ascii="宋体" w:hAnsi="宋体" w:cs="宋体"/>
                <w:color w:val="000000"/>
                <w:szCs w:val="21"/>
              </w:rPr>
            </w:pPr>
          </w:p>
        </w:tc>
        <w:tc>
          <w:tcPr>
            <w:tcW w:w="35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28A8F875">
            <w:pPr>
              <w:jc w:val="center"/>
              <w:rPr>
                <w:rFonts w:hint="eastAsia" w:ascii="宋体" w:hAnsi="宋体" w:cs="宋体"/>
                <w:color w:val="000000"/>
                <w:szCs w:val="21"/>
              </w:rPr>
            </w:pPr>
          </w:p>
        </w:tc>
        <w:tc>
          <w:tcPr>
            <w:tcW w:w="240"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56C7AA46">
            <w:pPr>
              <w:jc w:val="center"/>
              <w:rPr>
                <w:rFonts w:hint="eastAsia" w:ascii="宋体" w:hAnsi="宋体" w:cs="宋体"/>
                <w:color w:val="000000"/>
                <w:szCs w:val="21"/>
              </w:rPr>
            </w:pPr>
          </w:p>
        </w:tc>
        <w:tc>
          <w:tcPr>
            <w:tcW w:w="102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5E405F21">
            <w:pPr>
              <w:jc w:val="left"/>
              <w:rPr>
                <w:rFonts w:hint="eastAsia" w:ascii="宋体" w:hAnsi="宋体" w:cs="宋体"/>
                <w:color w:val="000000"/>
                <w:szCs w:val="21"/>
              </w:rPr>
            </w:pPr>
          </w:p>
        </w:tc>
        <w:tc>
          <w:tcPr>
            <w:tcW w:w="2457"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4538587A">
            <w:pPr>
              <w:jc w:val="left"/>
              <w:rPr>
                <w:rFonts w:hint="eastAsia" w:ascii="宋体" w:hAnsi="宋体" w:cs="宋体"/>
                <w:color w:val="000000"/>
                <w:szCs w:val="21"/>
              </w:rPr>
            </w:pPr>
          </w:p>
        </w:tc>
        <w:tc>
          <w:tcPr>
            <w:tcW w:w="459" w:type="pct"/>
            <w:vMerge w:val="continue"/>
            <w:tcBorders>
              <w:top w:val="nil"/>
              <w:left w:val="nil"/>
              <w:bottom w:val="single" w:color="000000" w:sz="8" w:space="0"/>
              <w:right w:val="single" w:color="000000" w:sz="8" w:space="0"/>
            </w:tcBorders>
            <w:tcMar>
              <w:top w:w="15" w:type="dxa"/>
              <w:left w:w="15" w:type="dxa"/>
              <w:right w:w="15" w:type="dxa"/>
            </w:tcMar>
          </w:tcPr>
          <w:p w14:paraId="64954A4E">
            <w:pPr>
              <w:jc w:val="center"/>
              <w:rPr>
                <w:rFonts w:hint="eastAsia" w:ascii="宋体" w:hAnsi="宋体" w:cs="宋体"/>
                <w:color w:val="000000"/>
                <w:szCs w:val="21"/>
              </w:rPr>
            </w:pPr>
          </w:p>
        </w:tc>
      </w:tr>
      <w:tr w14:paraId="0B566CF6">
        <w:tblPrEx>
          <w:tblCellMar>
            <w:top w:w="0" w:type="dxa"/>
            <w:left w:w="0" w:type="dxa"/>
            <w:bottom w:w="0" w:type="dxa"/>
            <w:right w:w="0" w:type="dxa"/>
          </w:tblCellMar>
        </w:tblPrEx>
        <w:trPr>
          <w:trHeight w:val="812" w:hRule="atLeast"/>
        </w:trPr>
        <w:tc>
          <w:tcPr>
            <w:tcW w:w="256" w:type="pct"/>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B00621F">
            <w:pPr>
              <w:jc w:val="center"/>
              <w:rPr>
                <w:rFonts w:hint="eastAsia" w:ascii="宋体" w:hAnsi="宋体" w:cs="宋体"/>
                <w:color w:val="000000"/>
                <w:szCs w:val="21"/>
              </w:rPr>
            </w:pPr>
          </w:p>
        </w:tc>
        <w:tc>
          <w:tcPr>
            <w:tcW w:w="201"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370D5C88">
            <w:pPr>
              <w:jc w:val="center"/>
              <w:rPr>
                <w:rFonts w:hint="eastAsia" w:ascii="宋体" w:hAnsi="宋体" w:cs="宋体"/>
                <w:color w:val="000000"/>
                <w:szCs w:val="21"/>
              </w:rPr>
            </w:pPr>
          </w:p>
        </w:tc>
        <w:tc>
          <w:tcPr>
            <w:tcW w:w="356" w:type="pct"/>
            <w:vMerge w:val="restart"/>
            <w:tcBorders>
              <w:top w:val="nil"/>
              <w:left w:val="nil"/>
              <w:bottom w:val="single" w:color="000000" w:sz="8" w:space="0"/>
              <w:right w:val="single" w:color="000000" w:sz="8" w:space="0"/>
            </w:tcBorders>
            <w:tcMar>
              <w:top w:w="15" w:type="dxa"/>
              <w:left w:w="15" w:type="dxa"/>
              <w:right w:w="15" w:type="dxa"/>
            </w:tcMar>
            <w:vAlign w:val="center"/>
          </w:tcPr>
          <w:p w14:paraId="57341A43">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索证制度评价指标</w:t>
            </w:r>
          </w:p>
        </w:tc>
        <w:tc>
          <w:tcPr>
            <w:tcW w:w="240" w:type="pct"/>
            <w:vMerge w:val="restart"/>
            <w:tcBorders>
              <w:top w:val="nil"/>
              <w:left w:val="nil"/>
              <w:bottom w:val="single" w:color="000000" w:sz="8" w:space="0"/>
              <w:right w:val="single" w:color="000000" w:sz="8" w:space="0"/>
            </w:tcBorders>
            <w:tcMar>
              <w:top w:w="15" w:type="dxa"/>
              <w:left w:w="15" w:type="dxa"/>
              <w:right w:w="15" w:type="dxa"/>
            </w:tcMar>
            <w:vAlign w:val="center"/>
          </w:tcPr>
          <w:p w14:paraId="43D048E8">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 分</w:t>
            </w:r>
          </w:p>
        </w:tc>
        <w:tc>
          <w:tcPr>
            <w:tcW w:w="1026" w:type="pct"/>
            <w:vMerge w:val="restart"/>
            <w:tcBorders>
              <w:top w:val="nil"/>
              <w:left w:val="nil"/>
              <w:bottom w:val="single" w:color="000000" w:sz="8" w:space="0"/>
              <w:right w:val="single" w:color="000000" w:sz="8" w:space="0"/>
            </w:tcBorders>
            <w:tcMar>
              <w:top w:w="15" w:type="dxa"/>
              <w:left w:w="15" w:type="dxa"/>
              <w:right w:w="15" w:type="dxa"/>
            </w:tcMar>
            <w:vAlign w:val="center"/>
          </w:tcPr>
          <w:p w14:paraId="77838BCE">
            <w:pPr>
              <w:widowControl/>
              <w:jc w:val="left"/>
              <w:textAlignment w:val="center"/>
              <w:rPr>
                <w:rFonts w:hint="eastAsia" w:ascii="宋体" w:hAnsi="宋体" w:cs="宋体"/>
                <w:color w:val="000000"/>
                <w:szCs w:val="21"/>
              </w:rPr>
            </w:pPr>
            <w:r>
              <w:rPr>
                <w:rFonts w:hint="eastAsia" w:ascii="宋体" w:hAnsi="宋体" w:cs="宋体"/>
                <w:color w:val="000000"/>
                <w:kern w:val="0"/>
                <w:szCs w:val="21"/>
              </w:rPr>
              <w:t>考核供应商的食材追踪体系建立情况</w:t>
            </w:r>
          </w:p>
        </w:tc>
        <w:tc>
          <w:tcPr>
            <w:tcW w:w="2457" w:type="pct"/>
            <w:vMerge w:val="restart"/>
            <w:tcBorders>
              <w:top w:val="nil"/>
              <w:left w:val="nil"/>
              <w:bottom w:val="single" w:color="000000" w:sz="8" w:space="0"/>
              <w:right w:val="single" w:color="000000" w:sz="8" w:space="0"/>
            </w:tcBorders>
            <w:tcMar>
              <w:top w:w="15" w:type="dxa"/>
              <w:left w:w="15" w:type="dxa"/>
              <w:right w:w="15" w:type="dxa"/>
            </w:tcMar>
            <w:vAlign w:val="center"/>
          </w:tcPr>
          <w:p w14:paraId="4ED30B26">
            <w:pPr>
              <w:widowControl/>
              <w:jc w:val="left"/>
              <w:textAlignment w:val="center"/>
              <w:rPr>
                <w:rFonts w:hint="eastAsia" w:ascii="宋体" w:hAnsi="宋体" w:cs="宋体"/>
                <w:color w:val="000000"/>
                <w:szCs w:val="21"/>
              </w:rPr>
            </w:pPr>
            <w:r>
              <w:rPr>
                <w:rFonts w:hint="eastAsia" w:ascii="宋体" w:hAnsi="宋体" w:cs="宋体"/>
                <w:color w:val="000000"/>
                <w:kern w:val="0"/>
                <w:szCs w:val="21"/>
              </w:rPr>
              <w:t>供应商按照《餐饮业食品索证管理规定》，建立了食材追踪体系，并有专门的台账档案，能随时查明货物来源或产地，能及时提供相关的票、据、证等材料的，得 5 分；校（园）方对食材进行抽检，每发现一次相关的票、据、证等材料不齐全的或者无法查明货物来源或产地的，扣 1 分/品种；本项目指标累计每月最高扣分 5 分。</w:t>
            </w:r>
          </w:p>
        </w:tc>
        <w:tc>
          <w:tcPr>
            <w:tcW w:w="459" w:type="pct"/>
            <w:vMerge w:val="restart"/>
            <w:tcBorders>
              <w:top w:val="nil"/>
              <w:left w:val="nil"/>
              <w:bottom w:val="single" w:color="000000" w:sz="8" w:space="0"/>
              <w:right w:val="single" w:color="000000" w:sz="8" w:space="0"/>
            </w:tcBorders>
            <w:tcMar>
              <w:top w:w="15" w:type="dxa"/>
              <w:left w:w="15" w:type="dxa"/>
              <w:right w:w="15" w:type="dxa"/>
            </w:tcMar>
          </w:tcPr>
          <w:p w14:paraId="6353C3C3">
            <w:pPr>
              <w:jc w:val="center"/>
              <w:rPr>
                <w:rFonts w:hint="eastAsia" w:ascii="宋体" w:hAnsi="宋体" w:cs="宋体"/>
                <w:color w:val="000000"/>
                <w:szCs w:val="21"/>
              </w:rPr>
            </w:pPr>
          </w:p>
        </w:tc>
      </w:tr>
      <w:tr w14:paraId="36CC7940">
        <w:tblPrEx>
          <w:tblCellMar>
            <w:top w:w="0" w:type="dxa"/>
            <w:left w:w="0" w:type="dxa"/>
            <w:bottom w:w="0" w:type="dxa"/>
            <w:right w:w="0" w:type="dxa"/>
          </w:tblCellMar>
        </w:tblPrEx>
        <w:trPr>
          <w:trHeight w:val="812" w:hRule="atLeast"/>
        </w:trPr>
        <w:tc>
          <w:tcPr>
            <w:tcW w:w="256" w:type="pct"/>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AF24EF7">
            <w:pPr>
              <w:jc w:val="center"/>
              <w:rPr>
                <w:rFonts w:hint="eastAsia" w:ascii="宋体" w:hAnsi="宋体" w:cs="宋体"/>
                <w:color w:val="000000"/>
                <w:szCs w:val="21"/>
              </w:rPr>
            </w:pPr>
          </w:p>
        </w:tc>
        <w:tc>
          <w:tcPr>
            <w:tcW w:w="201"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4AAE840A">
            <w:pPr>
              <w:jc w:val="center"/>
              <w:rPr>
                <w:rFonts w:hint="eastAsia" w:ascii="宋体" w:hAnsi="宋体" w:cs="宋体"/>
                <w:color w:val="000000"/>
                <w:szCs w:val="21"/>
              </w:rPr>
            </w:pPr>
          </w:p>
        </w:tc>
        <w:tc>
          <w:tcPr>
            <w:tcW w:w="35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5796E859">
            <w:pPr>
              <w:jc w:val="center"/>
              <w:rPr>
                <w:rFonts w:hint="eastAsia" w:ascii="宋体" w:hAnsi="宋体" w:cs="宋体"/>
                <w:color w:val="000000"/>
                <w:szCs w:val="21"/>
              </w:rPr>
            </w:pPr>
          </w:p>
        </w:tc>
        <w:tc>
          <w:tcPr>
            <w:tcW w:w="240"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33ADA0E5">
            <w:pPr>
              <w:jc w:val="center"/>
              <w:rPr>
                <w:rFonts w:hint="eastAsia" w:ascii="宋体" w:hAnsi="宋体" w:cs="宋体"/>
                <w:color w:val="000000"/>
                <w:szCs w:val="21"/>
              </w:rPr>
            </w:pPr>
          </w:p>
        </w:tc>
        <w:tc>
          <w:tcPr>
            <w:tcW w:w="102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045A206A">
            <w:pPr>
              <w:jc w:val="left"/>
              <w:rPr>
                <w:rFonts w:hint="eastAsia" w:ascii="宋体" w:hAnsi="宋体" w:cs="宋体"/>
                <w:color w:val="000000"/>
                <w:szCs w:val="21"/>
              </w:rPr>
            </w:pPr>
          </w:p>
        </w:tc>
        <w:tc>
          <w:tcPr>
            <w:tcW w:w="2457"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084C2308">
            <w:pPr>
              <w:jc w:val="left"/>
              <w:rPr>
                <w:rFonts w:hint="eastAsia" w:ascii="宋体" w:hAnsi="宋体" w:cs="宋体"/>
                <w:color w:val="000000"/>
                <w:szCs w:val="21"/>
              </w:rPr>
            </w:pPr>
          </w:p>
        </w:tc>
        <w:tc>
          <w:tcPr>
            <w:tcW w:w="459" w:type="pct"/>
            <w:vMerge w:val="continue"/>
            <w:tcBorders>
              <w:top w:val="nil"/>
              <w:left w:val="nil"/>
              <w:bottom w:val="single" w:color="000000" w:sz="8" w:space="0"/>
              <w:right w:val="single" w:color="000000" w:sz="8" w:space="0"/>
            </w:tcBorders>
            <w:tcMar>
              <w:top w:w="15" w:type="dxa"/>
              <w:left w:w="15" w:type="dxa"/>
              <w:right w:w="15" w:type="dxa"/>
            </w:tcMar>
          </w:tcPr>
          <w:p w14:paraId="5E332A0C">
            <w:pPr>
              <w:jc w:val="center"/>
              <w:rPr>
                <w:rFonts w:hint="eastAsia" w:ascii="宋体" w:hAnsi="宋体" w:cs="宋体"/>
                <w:color w:val="000000"/>
                <w:szCs w:val="21"/>
              </w:rPr>
            </w:pPr>
          </w:p>
        </w:tc>
      </w:tr>
      <w:tr w14:paraId="556B9033">
        <w:tblPrEx>
          <w:tblCellMar>
            <w:top w:w="0" w:type="dxa"/>
            <w:left w:w="0" w:type="dxa"/>
            <w:bottom w:w="0" w:type="dxa"/>
            <w:right w:w="0" w:type="dxa"/>
          </w:tblCellMar>
        </w:tblPrEx>
        <w:trPr>
          <w:trHeight w:val="812" w:hRule="atLeast"/>
        </w:trPr>
        <w:tc>
          <w:tcPr>
            <w:tcW w:w="256" w:type="pct"/>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6D50BB1">
            <w:pPr>
              <w:jc w:val="center"/>
              <w:rPr>
                <w:rFonts w:hint="eastAsia" w:ascii="宋体" w:hAnsi="宋体" w:cs="宋体"/>
                <w:color w:val="000000"/>
                <w:szCs w:val="21"/>
              </w:rPr>
            </w:pPr>
          </w:p>
        </w:tc>
        <w:tc>
          <w:tcPr>
            <w:tcW w:w="201"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3D22615E">
            <w:pPr>
              <w:jc w:val="center"/>
              <w:rPr>
                <w:rFonts w:hint="eastAsia" w:ascii="宋体" w:hAnsi="宋体" w:cs="宋体"/>
                <w:color w:val="000000"/>
                <w:szCs w:val="21"/>
              </w:rPr>
            </w:pPr>
          </w:p>
        </w:tc>
        <w:tc>
          <w:tcPr>
            <w:tcW w:w="35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1B720FD0">
            <w:pPr>
              <w:jc w:val="center"/>
              <w:rPr>
                <w:rFonts w:hint="eastAsia" w:ascii="宋体" w:hAnsi="宋体" w:cs="宋体"/>
                <w:color w:val="000000"/>
                <w:szCs w:val="21"/>
              </w:rPr>
            </w:pPr>
          </w:p>
        </w:tc>
        <w:tc>
          <w:tcPr>
            <w:tcW w:w="240"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302B0CA3">
            <w:pPr>
              <w:jc w:val="center"/>
              <w:rPr>
                <w:rFonts w:hint="eastAsia" w:ascii="宋体" w:hAnsi="宋体" w:cs="宋体"/>
                <w:color w:val="000000"/>
                <w:szCs w:val="21"/>
              </w:rPr>
            </w:pPr>
          </w:p>
        </w:tc>
        <w:tc>
          <w:tcPr>
            <w:tcW w:w="102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767D20C2">
            <w:pPr>
              <w:jc w:val="left"/>
              <w:rPr>
                <w:rFonts w:hint="eastAsia" w:ascii="宋体" w:hAnsi="宋体" w:cs="宋体"/>
                <w:color w:val="000000"/>
                <w:szCs w:val="21"/>
              </w:rPr>
            </w:pPr>
          </w:p>
        </w:tc>
        <w:tc>
          <w:tcPr>
            <w:tcW w:w="2457"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34DD0DC4">
            <w:pPr>
              <w:jc w:val="left"/>
              <w:rPr>
                <w:rFonts w:hint="eastAsia" w:ascii="宋体" w:hAnsi="宋体" w:cs="宋体"/>
                <w:color w:val="000000"/>
                <w:szCs w:val="21"/>
              </w:rPr>
            </w:pPr>
          </w:p>
        </w:tc>
        <w:tc>
          <w:tcPr>
            <w:tcW w:w="459" w:type="pct"/>
            <w:vMerge w:val="continue"/>
            <w:tcBorders>
              <w:top w:val="nil"/>
              <w:left w:val="nil"/>
              <w:bottom w:val="single" w:color="000000" w:sz="8" w:space="0"/>
              <w:right w:val="single" w:color="000000" w:sz="8" w:space="0"/>
            </w:tcBorders>
            <w:tcMar>
              <w:top w:w="15" w:type="dxa"/>
              <w:left w:w="15" w:type="dxa"/>
              <w:right w:w="15" w:type="dxa"/>
            </w:tcMar>
          </w:tcPr>
          <w:p w14:paraId="04B4F9A0">
            <w:pPr>
              <w:jc w:val="center"/>
              <w:rPr>
                <w:rFonts w:hint="eastAsia" w:ascii="宋体" w:hAnsi="宋体" w:cs="宋体"/>
                <w:color w:val="000000"/>
                <w:szCs w:val="21"/>
              </w:rPr>
            </w:pPr>
          </w:p>
        </w:tc>
      </w:tr>
      <w:tr w14:paraId="794EF0CC">
        <w:tblPrEx>
          <w:tblCellMar>
            <w:top w:w="0" w:type="dxa"/>
            <w:left w:w="0" w:type="dxa"/>
            <w:bottom w:w="0" w:type="dxa"/>
            <w:right w:w="0" w:type="dxa"/>
          </w:tblCellMar>
        </w:tblPrEx>
        <w:trPr>
          <w:trHeight w:val="812" w:hRule="atLeast"/>
        </w:trPr>
        <w:tc>
          <w:tcPr>
            <w:tcW w:w="256" w:type="pct"/>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06455C9">
            <w:pPr>
              <w:jc w:val="center"/>
              <w:rPr>
                <w:rFonts w:hint="eastAsia" w:ascii="宋体" w:hAnsi="宋体" w:cs="宋体"/>
                <w:color w:val="000000"/>
                <w:szCs w:val="21"/>
              </w:rPr>
            </w:pPr>
          </w:p>
        </w:tc>
        <w:tc>
          <w:tcPr>
            <w:tcW w:w="201"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77161FD7">
            <w:pPr>
              <w:jc w:val="center"/>
              <w:rPr>
                <w:rFonts w:hint="eastAsia" w:ascii="宋体" w:hAnsi="宋体" w:cs="宋体"/>
                <w:color w:val="000000"/>
                <w:szCs w:val="21"/>
              </w:rPr>
            </w:pPr>
          </w:p>
        </w:tc>
        <w:tc>
          <w:tcPr>
            <w:tcW w:w="35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4D1BCF82">
            <w:pPr>
              <w:jc w:val="center"/>
              <w:rPr>
                <w:rFonts w:hint="eastAsia" w:ascii="宋体" w:hAnsi="宋体" w:cs="宋体"/>
                <w:color w:val="000000"/>
                <w:szCs w:val="21"/>
              </w:rPr>
            </w:pPr>
          </w:p>
        </w:tc>
        <w:tc>
          <w:tcPr>
            <w:tcW w:w="240"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1025456F">
            <w:pPr>
              <w:jc w:val="center"/>
              <w:rPr>
                <w:rFonts w:hint="eastAsia" w:ascii="宋体" w:hAnsi="宋体" w:cs="宋体"/>
                <w:color w:val="000000"/>
                <w:szCs w:val="21"/>
              </w:rPr>
            </w:pPr>
          </w:p>
        </w:tc>
        <w:tc>
          <w:tcPr>
            <w:tcW w:w="102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2720B419">
            <w:pPr>
              <w:jc w:val="left"/>
              <w:rPr>
                <w:rFonts w:hint="eastAsia" w:ascii="宋体" w:hAnsi="宋体" w:cs="宋体"/>
                <w:color w:val="000000"/>
                <w:szCs w:val="21"/>
              </w:rPr>
            </w:pPr>
          </w:p>
        </w:tc>
        <w:tc>
          <w:tcPr>
            <w:tcW w:w="2457"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4D5FD7BD">
            <w:pPr>
              <w:jc w:val="left"/>
              <w:rPr>
                <w:rFonts w:hint="eastAsia" w:ascii="宋体" w:hAnsi="宋体" w:cs="宋体"/>
                <w:color w:val="000000"/>
                <w:szCs w:val="21"/>
              </w:rPr>
            </w:pPr>
          </w:p>
        </w:tc>
        <w:tc>
          <w:tcPr>
            <w:tcW w:w="459" w:type="pct"/>
            <w:vMerge w:val="continue"/>
            <w:tcBorders>
              <w:top w:val="nil"/>
              <w:left w:val="nil"/>
              <w:bottom w:val="single" w:color="000000" w:sz="8" w:space="0"/>
              <w:right w:val="single" w:color="000000" w:sz="8" w:space="0"/>
            </w:tcBorders>
            <w:tcMar>
              <w:top w:w="15" w:type="dxa"/>
              <w:left w:w="15" w:type="dxa"/>
              <w:right w:w="15" w:type="dxa"/>
            </w:tcMar>
          </w:tcPr>
          <w:p w14:paraId="25B473A3">
            <w:pPr>
              <w:jc w:val="center"/>
              <w:rPr>
                <w:rFonts w:hint="eastAsia" w:ascii="宋体" w:hAnsi="宋体" w:cs="宋体"/>
                <w:color w:val="000000"/>
                <w:szCs w:val="21"/>
              </w:rPr>
            </w:pPr>
          </w:p>
        </w:tc>
      </w:tr>
      <w:tr w14:paraId="6550780E">
        <w:tblPrEx>
          <w:tblCellMar>
            <w:top w:w="0" w:type="dxa"/>
            <w:left w:w="0" w:type="dxa"/>
            <w:bottom w:w="0" w:type="dxa"/>
            <w:right w:w="0" w:type="dxa"/>
          </w:tblCellMar>
        </w:tblPrEx>
        <w:trPr>
          <w:trHeight w:val="812" w:hRule="atLeast"/>
        </w:trPr>
        <w:tc>
          <w:tcPr>
            <w:tcW w:w="256" w:type="pct"/>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EFEDC3D">
            <w:pPr>
              <w:jc w:val="center"/>
              <w:rPr>
                <w:rFonts w:hint="eastAsia" w:ascii="宋体" w:hAnsi="宋体" w:cs="宋体"/>
                <w:color w:val="000000"/>
                <w:szCs w:val="21"/>
              </w:rPr>
            </w:pPr>
          </w:p>
        </w:tc>
        <w:tc>
          <w:tcPr>
            <w:tcW w:w="201"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47DAF2C1">
            <w:pPr>
              <w:jc w:val="center"/>
              <w:rPr>
                <w:rFonts w:hint="eastAsia" w:ascii="宋体" w:hAnsi="宋体" w:cs="宋体"/>
                <w:color w:val="000000"/>
                <w:szCs w:val="21"/>
              </w:rPr>
            </w:pPr>
          </w:p>
        </w:tc>
        <w:tc>
          <w:tcPr>
            <w:tcW w:w="356" w:type="pct"/>
            <w:vMerge w:val="restart"/>
            <w:tcBorders>
              <w:top w:val="nil"/>
              <w:left w:val="nil"/>
              <w:bottom w:val="single" w:color="000000" w:sz="8" w:space="0"/>
              <w:right w:val="single" w:color="000000" w:sz="8" w:space="0"/>
            </w:tcBorders>
            <w:tcMar>
              <w:top w:w="15" w:type="dxa"/>
              <w:left w:w="15" w:type="dxa"/>
              <w:right w:w="15" w:type="dxa"/>
            </w:tcMar>
            <w:vAlign w:val="center"/>
          </w:tcPr>
          <w:p w14:paraId="50F72635">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信息化评价指标</w:t>
            </w:r>
          </w:p>
        </w:tc>
        <w:tc>
          <w:tcPr>
            <w:tcW w:w="240" w:type="pct"/>
            <w:vMerge w:val="restart"/>
            <w:tcBorders>
              <w:top w:val="nil"/>
              <w:left w:val="nil"/>
              <w:bottom w:val="single" w:color="000000" w:sz="8" w:space="0"/>
              <w:right w:val="single" w:color="000000" w:sz="8" w:space="0"/>
            </w:tcBorders>
            <w:tcMar>
              <w:top w:w="15" w:type="dxa"/>
              <w:left w:w="15" w:type="dxa"/>
              <w:right w:w="15" w:type="dxa"/>
            </w:tcMar>
            <w:vAlign w:val="center"/>
          </w:tcPr>
          <w:p w14:paraId="213B46F7">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 分</w:t>
            </w:r>
          </w:p>
        </w:tc>
        <w:tc>
          <w:tcPr>
            <w:tcW w:w="1026" w:type="pct"/>
            <w:vMerge w:val="restart"/>
            <w:tcBorders>
              <w:top w:val="nil"/>
              <w:left w:val="nil"/>
              <w:bottom w:val="single" w:color="000000" w:sz="8" w:space="0"/>
              <w:right w:val="single" w:color="000000" w:sz="8" w:space="0"/>
            </w:tcBorders>
            <w:tcMar>
              <w:top w:w="15" w:type="dxa"/>
              <w:left w:w="15" w:type="dxa"/>
              <w:right w:w="15" w:type="dxa"/>
            </w:tcMar>
            <w:vAlign w:val="center"/>
          </w:tcPr>
          <w:p w14:paraId="01C4C876">
            <w:pPr>
              <w:widowControl/>
              <w:jc w:val="left"/>
              <w:textAlignment w:val="center"/>
              <w:rPr>
                <w:rFonts w:hint="eastAsia" w:ascii="宋体" w:hAnsi="宋体" w:cs="宋体"/>
                <w:color w:val="000000"/>
                <w:szCs w:val="21"/>
              </w:rPr>
            </w:pPr>
            <w:r>
              <w:rPr>
                <w:rFonts w:hint="eastAsia" w:ascii="宋体" w:hAnsi="宋体" w:cs="宋体"/>
                <w:color w:val="000000"/>
                <w:kern w:val="0"/>
                <w:szCs w:val="21"/>
              </w:rPr>
              <w:t>考核供应商是否按要求运用信息化平台。</w:t>
            </w:r>
          </w:p>
        </w:tc>
        <w:tc>
          <w:tcPr>
            <w:tcW w:w="2457" w:type="pct"/>
            <w:vMerge w:val="restart"/>
            <w:tcBorders>
              <w:top w:val="nil"/>
              <w:left w:val="nil"/>
              <w:bottom w:val="single" w:color="000000" w:sz="8" w:space="0"/>
              <w:right w:val="single" w:color="000000" w:sz="8" w:space="0"/>
            </w:tcBorders>
            <w:tcMar>
              <w:top w:w="15" w:type="dxa"/>
              <w:left w:w="15" w:type="dxa"/>
              <w:right w:w="15" w:type="dxa"/>
            </w:tcMar>
            <w:vAlign w:val="center"/>
          </w:tcPr>
          <w:p w14:paraId="2A3096CF">
            <w:pPr>
              <w:widowControl/>
              <w:jc w:val="left"/>
              <w:textAlignment w:val="center"/>
              <w:rPr>
                <w:rFonts w:hint="eastAsia" w:ascii="宋体" w:hAnsi="宋体" w:cs="宋体"/>
                <w:color w:val="000000"/>
                <w:szCs w:val="21"/>
              </w:rPr>
            </w:pPr>
            <w:r>
              <w:rPr>
                <w:rFonts w:hint="eastAsia" w:ascii="宋体" w:hAnsi="宋体" w:cs="宋体"/>
                <w:color w:val="000000"/>
                <w:kern w:val="0"/>
                <w:szCs w:val="21"/>
              </w:rPr>
              <w:t>供应商每次全面、及时、准确上传追溯信息，相关品名、规格、批次等数据真实完整，得 5 分；每发现一次上传信息不完整、不真实，扣 1 分；本项目指标累计每月最高扣分 5 分。</w:t>
            </w:r>
          </w:p>
        </w:tc>
        <w:tc>
          <w:tcPr>
            <w:tcW w:w="459" w:type="pct"/>
            <w:vMerge w:val="restart"/>
            <w:tcBorders>
              <w:top w:val="nil"/>
              <w:left w:val="nil"/>
              <w:bottom w:val="single" w:color="000000" w:sz="8" w:space="0"/>
              <w:right w:val="single" w:color="000000" w:sz="8" w:space="0"/>
            </w:tcBorders>
            <w:tcMar>
              <w:top w:w="15" w:type="dxa"/>
              <w:left w:w="15" w:type="dxa"/>
              <w:right w:w="15" w:type="dxa"/>
            </w:tcMar>
          </w:tcPr>
          <w:p w14:paraId="0E591987">
            <w:pPr>
              <w:jc w:val="center"/>
              <w:rPr>
                <w:rFonts w:hint="eastAsia" w:ascii="宋体" w:hAnsi="宋体" w:cs="宋体"/>
                <w:color w:val="000000"/>
                <w:szCs w:val="21"/>
              </w:rPr>
            </w:pPr>
          </w:p>
        </w:tc>
      </w:tr>
      <w:tr w14:paraId="1726E021">
        <w:tblPrEx>
          <w:tblCellMar>
            <w:top w:w="0" w:type="dxa"/>
            <w:left w:w="0" w:type="dxa"/>
            <w:bottom w:w="0" w:type="dxa"/>
            <w:right w:w="0" w:type="dxa"/>
          </w:tblCellMar>
        </w:tblPrEx>
        <w:trPr>
          <w:trHeight w:val="812" w:hRule="atLeast"/>
        </w:trPr>
        <w:tc>
          <w:tcPr>
            <w:tcW w:w="256" w:type="pct"/>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9FB89D4">
            <w:pPr>
              <w:jc w:val="center"/>
              <w:rPr>
                <w:rFonts w:hint="eastAsia" w:ascii="宋体" w:hAnsi="宋体" w:cs="宋体"/>
                <w:color w:val="000000"/>
                <w:szCs w:val="21"/>
              </w:rPr>
            </w:pPr>
          </w:p>
        </w:tc>
        <w:tc>
          <w:tcPr>
            <w:tcW w:w="201"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7FA6AE71">
            <w:pPr>
              <w:jc w:val="center"/>
              <w:rPr>
                <w:rFonts w:hint="eastAsia" w:ascii="宋体" w:hAnsi="宋体" w:cs="宋体"/>
                <w:color w:val="000000"/>
                <w:szCs w:val="21"/>
              </w:rPr>
            </w:pPr>
          </w:p>
        </w:tc>
        <w:tc>
          <w:tcPr>
            <w:tcW w:w="35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1F0AFD76">
            <w:pPr>
              <w:jc w:val="center"/>
              <w:rPr>
                <w:rFonts w:hint="eastAsia" w:ascii="宋体" w:hAnsi="宋体" w:cs="宋体"/>
                <w:color w:val="000000"/>
                <w:szCs w:val="21"/>
              </w:rPr>
            </w:pPr>
          </w:p>
        </w:tc>
        <w:tc>
          <w:tcPr>
            <w:tcW w:w="240"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5218682B">
            <w:pPr>
              <w:jc w:val="center"/>
              <w:rPr>
                <w:rFonts w:hint="eastAsia" w:ascii="宋体" w:hAnsi="宋体" w:cs="宋体"/>
                <w:color w:val="000000"/>
                <w:szCs w:val="21"/>
              </w:rPr>
            </w:pPr>
          </w:p>
        </w:tc>
        <w:tc>
          <w:tcPr>
            <w:tcW w:w="102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6107C777">
            <w:pPr>
              <w:jc w:val="left"/>
              <w:rPr>
                <w:rFonts w:hint="eastAsia" w:ascii="宋体" w:hAnsi="宋体" w:cs="宋体"/>
                <w:color w:val="000000"/>
                <w:szCs w:val="21"/>
              </w:rPr>
            </w:pPr>
          </w:p>
        </w:tc>
        <w:tc>
          <w:tcPr>
            <w:tcW w:w="2457"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6F1BFF3C">
            <w:pPr>
              <w:jc w:val="left"/>
              <w:rPr>
                <w:rFonts w:hint="eastAsia" w:ascii="宋体" w:hAnsi="宋体" w:cs="宋体"/>
                <w:color w:val="000000"/>
                <w:szCs w:val="21"/>
              </w:rPr>
            </w:pPr>
          </w:p>
        </w:tc>
        <w:tc>
          <w:tcPr>
            <w:tcW w:w="459" w:type="pct"/>
            <w:vMerge w:val="continue"/>
            <w:tcBorders>
              <w:top w:val="nil"/>
              <w:left w:val="nil"/>
              <w:bottom w:val="single" w:color="000000" w:sz="8" w:space="0"/>
              <w:right w:val="single" w:color="000000" w:sz="8" w:space="0"/>
            </w:tcBorders>
            <w:tcMar>
              <w:top w:w="15" w:type="dxa"/>
              <w:left w:w="15" w:type="dxa"/>
              <w:right w:w="15" w:type="dxa"/>
            </w:tcMar>
          </w:tcPr>
          <w:p w14:paraId="3CAD38CD">
            <w:pPr>
              <w:jc w:val="center"/>
              <w:rPr>
                <w:rFonts w:hint="eastAsia" w:ascii="宋体" w:hAnsi="宋体" w:cs="宋体"/>
                <w:color w:val="000000"/>
                <w:szCs w:val="21"/>
              </w:rPr>
            </w:pPr>
          </w:p>
        </w:tc>
      </w:tr>
      <w:tr w14:paraId="5AA39C47">
        <w:tblPrEx>
          <w:tblCellMar>
            <w:top w:w="0" w:type="dxa"/>
            <w:left w:w="0" w:type="dxa"/>
            <w:bottom w:w="0" w:type="dxa"/>
            <w:right w:w="0" w:type="dxa"/>
          </w:tblCellMar>
        </w:tblPrEx>
        <w:trPr>
          <w:trHeight w:val="812" w:hRule="atLeast"/>
        </w:trPr>
        <w:tc>
          <w:tcPr>
            <w:tcW w:w="256" w:type="pct"/>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FEB9E53">
            <w:pPr>
              <w:jc w:val="center"/>
              <w:rPr>
                <w:rFonts w:hint="eastAsia" w:ascii="宋体" w:hAnsi="宋体" w:cs="宋体"/>
                <w:color w:val="000000"/>
                <w:szCs w:val="21"/>
              </w:rPr>
            </w:pPr>
          </w:p>
        </w:tc>
        <w:tc>
          <w:tcPr>
            <w:tcW w:w="201"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380871E8">
            <w:pPr>
              <w:jc w:val="center"/>
              <w:rPr>
                <w:rFonts w:hint="eastAsia" w:ascii="宋体" w:hAnsi="宋体" w:cs="宋体"/>
                <w:color w:val="000000"/>
                <w:szCs w:val="21"/>
              </w:rPr>
            </w:pPr>
          </w:p>
        </w:tc>
        <w:tc>
          <w:tcPr>
            <w:tcW w:w="356" w:type="pct"/>
            <w:vMerge w:val="restart"/>
            <w:tcBorders>
              <w:top w:val="nil"/>
              <w:left w:val="nil"/>
              <w:bottom w:val="single" w:color="000000" w:sz="8" w:space="0"/>
              <w:right w:val="single" w:color="000000" w:sz="8" w:space="0"/>
            </w:tcBorders>
            <w:tcMar>
              <w:top w:w="15" w:type="dxa"/>
              <w:left w:w="15" w:type="dxa"/>
              <w:right w:w="15" w:type="dxa"/>
            </w:tcMar>
            <w:vAlign w:val="center"/>
          </w:tcPr>
          <w:p w14:paraId="0059A541">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单据管理评价指标</w:t>
            </w:r>
          </w:p>
        </w:tc>
        <w:tc>
          <w:tcPr>
            <w:tcW w:w="240" w:type="pct"/>
            <w:vMerge w:val="restart"/>
            <w:tcBorders>
              <w:top w:val="nil"/>
              <w:left w:val="nil"/>
              <w:bottom w:val="single" w:color="000000" w:sz="8" w:space="0"/>
              <w:right w:val="single" w:color="000000" w:sz="8" w:space="0"/>
            </w:tcBorders>
            <w:tcMar>
              <w:top w:w="15" w:type="dxa"/>
              <w:left w:w="15" w:type="dxa"/>
              <w:right w:w="15" w:type="dxa"/>
            </w:tcMar>
            <w:vAlign w:val="center"/>
          </w:tcPr>
          <w:p w14:paraId="315EDE10">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 分</w:t>
            </w:r>
          </w:p>
        </w:tc>
        <w:tc>
          <w:tcPr>
            <w:tcW w:w="1026" w:type="pct"/>
            <w:vMerge w:val="restart"/>
            <w:tcBorders>
              <w:top w:val="nil"/>
              <w:left w:val="nil"/>
              <w:bottom w:val="single" w:color="000000" w:sz="8" w:space="0"/>
              <w:right w:val="single" w:color="000000" w:sz="8" w:space="0"/>
            </w:tcBorders>
            <w:tcMar>
              <w:top w:w="15" w:type="dxa"/>
              <w:left w:w="15" w:type="dxa"/>
              <w:right w:w="15" w:type="dxa"/>
            </w:tcMar>
            <w:vAlign w:val="center"/>
          </w:tcPr>
          <w:p w14:paraId="67EEA347">
            <w:pPr>
              <w:widowControl/>
              <w:jc w:val="left"/>
              <w:textAlignment w:val="center"/>
              <w:rPr>
                <w:rFonts w:hint="eastAsia" w:ascii="宋体" w:hAnsi="宋体" w:cs="宋体"/>
                <w:color w:val="000000"/>
                <w:szCs w:val="21"/>
              </w:rPr>
            </w:pPr>
            <w:r>
              <w:rPr>
                <w:rFonts w:hint="eastAsia" w:ascii="宋体" w:hAnsi="宋体" w:cs="宋体"/>
                <w:color w:val="000000"/>
                <w:kern w:val="0"/>
                <w:szCs w:val="21"/>
              </w:rPr>
              <w:t>考核供应商送货单据是否齐全、清晰。</w:t>
            </w:r>
          </w:p>
        </w:tc>
        <w:tc>
          <w:tcPr>
            <w:tcW w:w="2457" w:type="pct"/>
            <w:vMerge w:val="restart"/>
            <w:tcBorders>
              <w:top w:val="nil"/>
              <w:left w:val="nil"/>
              <w:bottom w:val="single" w:color="000000" w:sz="8" w:space="0"/>
              <w:right w:val="single" w:color="000000" w:sz="8" w:space="0"/>
            </w:tcBorders>
            <w:tcMar>
              <w:top w:w="15" w:type="dxa"/>
              <w:left w:w="15" w:type="dxa"/>
              <w:right w:w="15" w:type="dxa"/>
            </w:tcMar>
            <w:vAlign w:val="center"/>
          </w:tcPr>
          <w:p w14:paraId="3EC505C2">
            <w:pPr>
              <w:widowControl/>
              <w:jc w:val="left"/>
              <w:textAlignment w:val="center"/>
              <w:rPr>
                <w:rFonts w:hint="eastAsia" w:ascii="宋体" w:hAnsi="宋体" w:cs="宋体"/>
                <w:color w:val="000000"/>
                <w:szCs w:val="21"/>
              </w:rPr>
            </w:pPr>
            <w:r>
              <w:rPr>
                <w:rFonts w:hint="eastAsia" w:ascii="宋体" w:hAnsi="宋体" w:cs="宋体"/>
                <w:color w:val="000000"/>
                <w:kern w:val="0"/>
                <w:szCs w:val="21"/>
              </w:rPr>
              <w:t>供应商每次提供的送货单（结算凭证）项目齐全，及其打印清晰的，得 5 分；每发现一次送货单（结算凭证）项目不齐全或者打印不清晰，扣 1 分；本项目指标累计每月最高扣分 5 分。</w:t>
            </w:r>
          </w:p>
        </w:tc>
        <w:tc>
          <w:tcPr>
            <w:tcW w:w="459" w:type="pct"/>
            <w:vMerge w:val="restart"/>
            <w:tcBorders>
              <w:top w:val="nil"/>
              <w:left w:val="nil"/>
              <w:bottom w:val="single" w:color="000000" w:sz="8" w:space="0"/>
              <w:right w:val="single" w:color="000000" w:sz="8" w:space="0"/>
            </w:tcBorders>
            <w:tcMar>
              <w:top w:w="15" w:type="dxa"/>
              <w:left w:w="15" w:type="dxa"/>
              <w:right w:w="15" w:type="dxa"/>
            </w:tcMar>
          </w:tcPr>
          <w:p w14:paraId="3D908B2A">
            <w:pPr>
              <w:jc w:val="center"/>
              <w:rPr>
                <w:rFonts w:hint="eastAsia" w:ascii="宋体" w:hAnsi="宋体" w:cs="宋体"/>
                <w:color w:val="000000"/>
                <w:szCs w:val="21"/>
              </w:rPr>
            </w:pPr>
          </w:p>
        </w:tc>
      </w:tr>
      <w:tr w14:paraId="124A811C">
        <w:tblPrEx>
          <w:tblCellMar>
            <w:top w:w="0" w:type="dxa"/>
            <w:left w:w="0" w:type="dxa"/>
            <w:bottom w:w="0" w:type="dxa"/>
            <w:right w:w="0" w:type="dxa"/>
          </w:tblCellMar>
        </w:tblPrEx>
        <w:trPr>
          <w:trHeight w:val="812" w:hRule="atLeast"/>
        </w:trPr>
        <w:tc>
          <w:tcPr>
            <w:tcW w:w="256" w:type="pct"/>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5B6FB89">
            <w:pPr>
              <w:jc w:val="center"/>
              <w:rPr>
                <w:rFonts w:hint="eastAsia" w:ascii="宋体" w:hAnsi="宋体" w:cs="宋体"/>
                <w:color w:val="000000"/>
                <w:szCs w:val="21"/>
              </w:rPr>
            </w:pPr>
          </w:p>
        </w:tc>
        <w:tc>
          <w:tcPr>
            <w:tcW w:w="201"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544B4D00">
            <w:pPr>
              <w:jc w:val="center"/>
              <w:rPr>
                <w:rFonts w:hint="eastAsia" w:ascii="宋体" w:hAnsi="宋体" w:cs="宋体"/>
                <w:color w:val="000000"/>
                <w:szCs w:val="21"/>
              </w:rPr>
            </w:pPr>
          </w:p>
        </w:tc>
        <w:tc>
          <w:tcPr>
            <w:tcW w:w="35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435B088C">
            <w:pPr>
              <w:jc w:val="center"/>
              <w:rPr>
                <w:rFonts w:hint="eastAsia" w:ascii="宋体" w:hAnsi="宋体" w:cs="宋体"/>
                <w:color w:val="000000"/>
                <w:szCs w:val="21"/>
              </w:rPr>
            </w:pPr>
          </w:p>
        </w:tc>
        <w:tc>
          <w:tcPr>
            <w:tcW w:w="240"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25C03B01">
            <w:pPr>
              <w:jc w:val="center"/>
              <w:rPr>
                <w:rFonts w:hint="eastAsia" w:ascii="宋体" w:hAnsi="宋体" w:cs="宋体"/>
                <w:color w:val="000000"/>
                <w:szCs w:val="21"/>
              </w:rPr>
            </w:pPr>
          </w:p>
        </w:tc>
        <w:tc>
          <w:tcPr>
            <w:tcW w:w="102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641CE537">
            <w:pPr>
              <w:jc w:val="left"/>
              <w:rPr>
                <w:rFonts w:hint="eastAsia" w:ascii="宋体" w:hAnsi="宋体" w:cs="宋体"/>
                <w:color w:val="000000"/>
                <w:szCs w:val="21"/>
              </w:rPr>
            </w:pPr>
          </w:p>
        </w:tc>
        <w:tc>
          <w:tcPr>
            <w:tcW w:w="2457"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1768B6F9">
            <w:pPr>
              <w:jc w:val="left"/>
              <w:rPr>
                <w:rFonts w:hint="eastAsia" w:ascii="宋体" w:hAnsi="宋体" w:cs="宋体"/>
                <w:color w:val="000000"/>
                <w:szCs w:val="21"/>
              </w:rPr>
            </w:pPr>
          </w:p>
        </w:tc>
        <w:tc>
          <w:tcPr>
            <w:tcW w:w="459" w:type="pct"/>
            <w:vMerge w:val="continue"/>
            <w:tcBorders>
              <w:top w:val="nil"/>
              <w:left w:val="nil"/>
              <w:bottom w:val="single" w:color="000000" w:sz="8" w:space="0"/>
              <w:right w:val="single" w:color="000000" w:sz="8" w:space="0"/>
            </w:tcBorders>
            <w:tcMar>
              <w:top w:w="15" w:type="dxa"/>
              <w:left w:w="15" w:type="dxa"/>
              <w:right w:w="15" w:type="dxa"/>
            </w:tcMar>
          </w:tcPr>
          <w:p w14:paraId="07B942CF">
            <w:pPr>
              <w:jc w:val="center"/>
              <w:rPr>
                <w:rFonts w:hint="eastAsia" w:ascii="宋体" w:hAnsi="宋体" w:cs="宋体"/>
                <w:color w:val="000000"/>
                <w:szCs w:val="21"/>
              </w:rPr>
            </w:pPr>
          </w:p>
        </w:tc>
      </w:tr>
      <w:tr w14:paraId="0D412E28">
        <w:tblPrEx>
          <w:tblCellMar>
            <w:top w:w="0" w:type="dxa"/>
            <w:left w:w="0" w:type="dxa"/>
            <w:bottom w:w="0" w:type="dxa"/>
            <w:right w:w="0" w:type="dxa"/>
          </w:tblCellMar>
        </w:tblPrEx>
        <w:trPr>
          <w:trHeight w:val="656" w:hRule="atLeast"/>
        </w:trPr>
        <w:tc>
          <w:tcPr>
            <w:tcW w:w="256" w:type="pct"/>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57A3AD4">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价格管理</w:t>
            </w:r>
          </w:p>
        </w:tc>
        <w:tc>
          <w:tcPr>
            <w:tcW w:w="201" w:type="pct"/>
            <w:vMerge w:val="restart"/>
            <w:tcBorders>
              <w:top w:val="nil"/>
              <w:left w:val="nil"/>
              <w:bottom w:val="single" w:color="000000" w:sz="8" w:space="0"/>
              <w:right w:val="single" w:color="000000" w:sz="8" w:space="0"/>
            </w:tcBorders>
            <w:tcMar>
              <w:top w:w="15" w:type="dxa"/>
              <w:left w:w="15" w:type="dxa"/>
              <w:right w:w="15" w:type="dxa"/>
            </w:tcMar>
            <w:vAlign w:val="center"/>
          </w:tcPr>
          <w:p w14:paraId="561A147E">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 分</w:t>
            </w:r>
          </w:p>
        </w:tc>
        <w:tc>
          <w:tcPr>
            <w:tcW w:w="356" w:type="pct"/>
            <w:vMerge w:val="restart"/>
            <w:tcBorders>
              <w:top w:val="nil"/>
              <w:left w:val="nil"/>
              <w:bottom w:val="single" w:color="000000" w:sz="8" w:space="0"/>
              <w:right w:val="single" w:color="000000" w:sz="8" w:space="0"/>
            </w:tcBorders>
            <w:tcMar>
              <w:top w:w="15" w:type="dxa"/>
              <w:left w:w="15" w:type="dxa"/>
              <w:right w:w="15" w:type="dxa"/>
            </w:tcMar>
            <w:vAlign w:val="center"/>
          </w:tcPr>
          <w:p w14:paraId="75B1CE1F">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价格合理性评价指标</w:t>
            </w:r>
          </w:p>
        </w:tc>
        <w:tc>
          <w:tcPr>
            <w:tcW w:w="240" w:type="pct"/>
            <w:vMerge w:val="restart"/>
            <w:tcBorders>
              <w:top w:val="nil"/>
              <w:left w:val="nil"/>
              <w:bottom w:val="single" w:color="000000" w:sz="8" w:space="0"/>
              <w:right w:val="single" w:color="000000" w:sz="8" w:space="0"/>
            </w:tcBorders>
            <w:tcMar>
              <w:top w:w="15" w:type="dxa"/>
              <w:left w:w="15" w:type="dxa"/>
              <w:right w:w="15" w:type="dxa"/>
            </w:tcMar>
            <w:vAlign w:val="center"/>
          </w:tcPr>
          <w:p w14:paraId="7BC95E59">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 分</w:t>
            </w:r>
          </w:p>
        </w:tc>
        <w:tc>
          <w:tcPr>
            <w:tcW w:w="1026" w:type="pct"/>
            <w:vMerge w:val="restart"/>
            <w:tcBorders>
              <w:top w:val="nil"/>
              <w:left w:val="nil"/>
              <w:bottom w:val="single" w:color="000000" w:sz="8" w:space="0"/>
              <w:right w:val="single" w:color="000000" w:sz="8" w:space="0"/>
            </w:tcBorders>
            <w:tcMar>
              <w:top w:w="15" w:type="dxa"/>
              <w:left w:w="15" w:type="dxa"/>
              <w:right w:w="15" w:type="dxa"/>
            </w:tcMar>
            <w:vAlign w:val="center"/>
          </w:tcPr>
          <w:p w14:paraId="7E73F4FD">
            <w:pPr>
              <w:widowControl/>
              <w:jc w:val="left"/>
              <w:textAlignment w:val="center"/>
              <w:rPr>
                <w:rFonts w:hint="eastAsia" w:ascii="宋体" w:hAnsi="宋体" w:cs="宋体"/>
                <w:color w:val="000000"/>
                <w:szCs w:val="21"/>
              </w:rPr>
            </w:pPr>
            <w:r>
              <w:rPr>
                <w:rFonts w:hint="eastAsia" w:ascii="宋体" w:hAnsi="宋体" w:cs="宋体"/>
                <w:color w:val="000000"/>
                <w:kern w:val="0"/>
                <w:szCs w:val="21"/>
              </w:rPr>
              <w:t>考核供应商是否建立了完善的报价机制；是否存在临时补货物品价格虚高的情况；是否存在对账单价格乱报、错报等的情况；是否存在月度结算对账不及时情况等。</w:t>
            </w:r>
          </w:p>
        </w:tc>
        <w:tc>
          <w:tcPr>
            <w:tcW w:w="2457" w:type="pct"/>
            <w:vMerge w:val="restart"/>
            <w:tcBorders>
              <w:top w:val="nil"/>
              <w:left w:val="nil"/>
              <w:bottom w:val="single" w:color="000000" w:sz="8" w:space="0"/>
              <w:right w:val="single" w:color="000000" w:sz="8" w:space="0"/>
            </w:tcBorders>
            <w:tcMar>
              <w:top w:w="15" w:type="dxa"/>
              <w:left w:w="15" w:type="dxa"/>
              <w:right w:w="15" w:type="dxa"/>
            </w:tcMar>
            <w:vAlign w:val="center"/>
          </w:tcPr>
          <w:p w14:paraId="565D6392">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按照规定时间依时报价，且结算价格严格按照招标文件及供应商承诺的折扣率规定执行，没有虚高、乱报、错报的行为发生， 得 10 分；没有在规定时间内完成本月报价，每发生一次延迟扣</w:t>
            </w:r>
            <w:r>
              <w:rPr>
                <w:rFonts w:hint="eastAsia" w:ascii="宋体" w:hAnsi="宋体" w:cs="宋体"/>
                <w:color w:val="000000"/>
                <w:kern w:val="0"/>
                <w:szCs w:val="21"/>
              </w:rPr>
              <w:br w:type="textWrapping"/>
            </w:r>
            <w:r>
              <w:rPr>
                <w:rFonts w:hint="eastAsia" w:ascii="宋体" w:hAnsi="宋体" w:cs="宋体"/>
                <w:color w:val="000000"/>
                <w:kern w:val="0"/>
                <w:szCs w:val="21"/>
              </w:rPr>
              <w:t>1 分；每发现一次没有按照供应商承诺的折扣率报价，扣 1 分；每发生一次虚高、乱报或错报行为，扣 1 分；本项指标累计每月最高扣分 10 分。</w:t>
            </w:r>
          </w:p>
        </w:tc>
        <w:tc>
          <w:tcPr>
            <w:tcW w:w="459" w:type="pct"/>
            <w:vMerge w:val="restart"/>
            <w:tcBorders>
              <w:top w:val="nil"/>
              <w:left w:val="nil"/>
              <w:bottom w:val="single" w:color="000000" w:sz="8" w:space="0"/>
              <w:right w:val="single" w:color="000000" w:sz="8" w:space="0"/>
            </w:tcBorders>
            <w:tcMar>
              <w:top w:w="15" w:type="dxa"/>
              <w:left w:w="15" w:type="dxa"/>
              <w:right w:w="15" w:type="dxa"/>
            </w:tcMar>
          </w:tcPr>
          <w:p w14:paraId="7049FA0B">
            <w:pPr>
              <w:jc w:val="center"/>
              <w:rPr>
                <w:rFonts w:hint="eastAsia" w:ascii="宋体" w:hAnsi="宋体" w:cs="宋体"/>
                <w:color w:val="000000"/>
                <w:szCs w:val="21"/>
              </w:rPr>
            </w:pPr>
          </w:p>
        </w:tc>
      </w:tr>
      <w:tr w14:paraId="6183B54A">
        <w:tblPrEx>
          <w:tblCellMar>
            <w:top w:w="0" w:type="dxa"/>
            <w:left w:w="0" w:type="dxa"/>
            <w:bottom w:w="0" w:type="dxa"/>
            <w:right w:w="0" w:type="dxa"/>
          </w:tblCellMar>
        </w:tblPrEx>
        <w:trPr>
          <w:trHeight w:val="812" w:hRule="atLeast"/>
        </w:trPr>
        <w:tc>
          <w:tcPr>
            <w:tcW w:w="256" w:type="pct"/>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AA1583B">
            <w:pPr>
              <w:jc w:val="center"/>
              <w:rPr>
                <w:rFonts w:hint="eastAsia" w:ascii="宋体" w:hAnsi="宋体" w:cs="宋体"/>
                <w:color w:val="000000"/>
                <w:szCs w:val="21"/>
              </w:rPr>
            </w:pPr>
          </w:p>
        </w:tc>
        <w:tc>
          <w:tcPr>
            <w:tcW w:w="201"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0825C5F1">
            <w:pPr>
              <w:jc w:val="center"/>
              <w:rPr>
                <w:rFonts w:hint="eastAsia" w:ascii="宋体" w:hAnsi="宋体" w:cs="宋体"/>
                <w:color w:val="000000"/>
                <w:szCs w:val="21"/>
              </w:rPr>
            </w:pPr>
          </w:p>
        </w:tc>
        <w:tc>
          <w:tcPr>
            <w:tcW w:w="35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16C76750">
            <w:pPr>
              <w:jc w:val="center"/>
              <w:rPr>
                <w:rFonts w:hint="eastAsia" w:ascii="宋体" w:hAnsi="宋体" w:cs="宋体"/>
                <w:color w:val="000000"/>
                <w:szCs w:val="21"/>
              </w:rPr>
            </w:pPr>
          </w:p>
        </w:tc>
        <w:tc>
          <w:tcPr>
            <w:tcW w:w="240"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0560D726">
            <w:pPr>
              <w:jc w:val="center"/>
              <w:rPr>
                <w:rFonts w:hint="eastAsia" w:ascii="宋体" w:hAnsi="宋体" w:cs="宋体"/>
                <w:color w:val="000000"/>
                <w:szCs w:val="21"/>
              </w:rPr>
            </w:pPr>
          </w:p>
        </w:tc>
        <w:tc>
          <w:tcPr>
            <w:tcW w:w="102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5CCA133B">
            <w:pPr>
              <w:jc w:val="left"/>
              <w:rPr>
                <w:rFonts w:hint="eastAsia" w:ascii="宋体" w:hAnsi="宋体" w:cs="宋体"/>
                <w:color w:val="000000"/>
                <w:szCs w:val="21"/>
              </w:rPr>
            </w:pPr>
          </w:p>
        </w:tc>
        <w:tc>
          <w:tcPr>
            <w:tcW w:w="2457"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0BAA5CC3">
            <w:pPr>
              <w:jc w:val="left"/>
              <w:rPr>
                <w:rFonts w:hint="eastAsia" w:ascii="宋体" w:hAnsi="宋体" w:cs="宋体"/>
                <w:color w:val="000000"/>
                <w:szCs w:val="21"/>
              </w:rPr>
            </w:pPr>
          </w:p>
        </w:tc>
        <w:tc>
          <w:tcPr>
            <w:tcW w:w="459" w:type="pct"/>
            <w:vMerge w:val="continue"/>
            <w:tcBorders>
              <w:top w:val="nil"/>
              <w:left w:val="nil"/>
              <w:bottom w:val="single" w:color="000000" w:sz="8" w:space="0"/>
              <w:right w:val="single" w:color="000000" w:sz="8" w:space="0"/>
            </w:tcBorders>
            <w:tcMar>
              <w:top w:w="15" w:type="dxa"/>
              <w:left w:w="15" w:type="dxa"/>
              <w:right w:w="15" w:type="dxa"/>
            </w:tcMar>
          </w:tcPr>
          <w:p w14:paraId="202F595B">
            <w:pPr>
              <w:jc w:val="center"/>
              <w:rPr>
                <w:rFonts w:hint="eastAsia" w:ascii="宋体" w:hAnsi="宋体" w:cs="宋体"/>
                <w:color w:val="000000"/>
                <w:szCs w:val="21"/>
              </w:rPr>
            </w:pPr>
          </w:p>
        </w:tc>
      </w:tr>
      <w:tr w14:paraId="523D7A6C">
        <w:tblPrEx>
          <w:tblCellMar>
            <w:top w:w="0" w:type="dxa"/>
            <w:left w:w="0" w:type="dxa"/>
            <w:bottom w:w="0" w:type="dxa"/>
            <w:right w:w="0" w:type="dxa"/>
          </w:tblCellMar>
        </w:tblPrEx>
        <w:trPr>
          <w:trHeight w:val="812" w:hRule="atLeast"/>
        </w:trPr>
        <w:tc>
          <w:tcPr>
            <w:tcW w:w="256" w:type="pct"/>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B5FBDB8">
            <w:pPr>
              <w:jc w:val="center"/>
              <w:rPr>
                <w:rFonts w:hint="eastAsia" w:ascii="宋体" w:hAnsi="宋体" w:cs="宋体"/>
                <w:color w:val="000000"/>
                <w:szCs w:val="21"/>
              </w:rPr>
            </w:pPr>
          </w:p>
        </w:tc>
        <w:tc>
          <w:tcPr>
            <w:tcW w:w="201"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360FD755">
            <w:pPr>
              <w:jc w:val="center"/>
              <w:rPr>
                <w:rFonts w:hint="eastAsia" w:ascii="宋体" w:hAnsi="宋体" w:cs="宋体"/>
                <w:color w:val="000000"/>
                <w:szCs w:val="21"/>
              </w:rPr>
            </w:pPr>
          </w:p>
        </w:tc>
        <w:tc>
          <w:tcPr>
            <w:tcW w:w="35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220012E6">
            <w:pPr>
              <w:jc w:val="center"/>
              <w:rPr>
                <w:rFonts w:hint="eastAsia" w:ascii="宋体" w:hAnsi="宋体" w:cs="宋体"/>
                <w:color w:val="000000"/>
                <w:szCs w:val="21"/>
              </w:rPr>
            </w:pPr>
          </w:p>
        </w:tc>
        <w:tc>
          <w:tcPr>
            <w:tcW w:w="240"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14F4554F">
            <w:pPr>
              <w:jc w:val="center"/>
              <w:rPr>
                <w:rFonts w:hint="eastAsia" w:ascii="宋体" w:hAnsi="宋体" w:cs="宋体"/>
                <w:color w:val="000000"/>
                <w:szCs w:val="21"/>
              </w:rPr>
            </w:pPr>
          </w:p>
        </w:tc>
        <w:tc>
          <w:tcPr>
            <w:tcW w:w="102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1EA1C52B">
            <w:pPr>
              <w:jc w:val="left"/>
              <w:rPr>
                <w:rFonts w:hint="eastAsia" w:ascii="宋体" w:hAnsi="宋体" w:cs="宋体"/>
                <w:color w:val="000000"/>
                <w:szCs w:val="21"/>
              </w:rPr>
            </w:pPr>
          </w:p>
        </w:tc>
        <w:tc>
          <w:tcPr>
            <w:tcW w:w="2457"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55FC1A6B">
            <w:pPr>
              <w:jc w:val="left"/>
              <w:rPr>
                <w:rFonts w:hint="eastAsia" w:ascii="宋体" w:hAnsi="宋体" w:cs="宋体"/>
                <w:color w:val="000000"/>
                <w:szCs w:val="21"/>
              </w:rPr>
            </w:pPr>
          </w:p>
        </w:tc>
        <w:tc>
          <w:tcPr>
            <w:tcW w:w="459" w:type="pct"/>
            <w:vMerge w:val="continue"/>
            <w:tcBorders>
              <w:top w:val="nil"/>
              <w:left w:val="nil"/>
              <w:bottom w:val="single" w:color="000000" w:sz="8" w:space="0"/>
              <w:right w:val="single" w:color="000000" w:sz="8" w:space="0"/>
            </w:tcBorders>
            <w:tcMar>
              <w:top w:w="15" w:type="dxa"/>
              <w:left w:w="15" w:type="dxa"/>
              <w:right w:w="15" w:type="dxa"/>
            </w:tcMar>
          </w:tcPr>
          <w:p w14:paraId="3A2BB5D4">
            <w:pPr>
              <w:jc w:val="center"/>
              <w:rPr>
                <w:rFonts w:hint="eastAsia" w:ascii="宋体" w:hAnsi="宋体" w:cs="宋体"/>
                <w:color w:val="000000"/>
                <w:szCs w:val="21"/>
              </w:rPr>
            </w:pPr>
          </w:p>
        </w:tc>
      </w:tr>
      <w:tr w14:paraId="1ED1D1C5">
        <w:tblPrEx>
          <w:tblCellMar>
            <w:top w:w="0" w:type="dxa"/>
            <w:left w:w="0" w:type="dxa"/>
            <w:bottom w:w="0" w:type="dxa"/>
            <w:right w:w="0" w:type="dxa"/>
          </w:tblCellMar>
        </w:tblPrEx>
        <w:trPr>
          <w:trHeight w:val="996" w:hRule="atLeast"/>
        </w:trPr>
        <w:tc>
          <w:tcPr>
            <w:tcW w:w="256" w:type="pct"/>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42E0FD1">
            <w:pPr>
              <w:jc w:val="center"/>
              <w:rPr>
                <w:rFonts w:hint="eastAsia" w:ascii="宋体" w:hAnsi="宋体" w:cs="宋体"/>
                <w:color w:val="000000"/>
                <w:szCs w:val="21"/>
              </w:rPr>
            </w:pPr>
          </w:p>
        </w:tc>
        <w:tc>
          <w:tcPr>
            <w:tcW w:w="201"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63B0217E">
            <w:pPr>
              <w:jc w:val="center"/>
              <w:rPr>
                <w:rFonts w:hint="eastAsia" w:ascii="宋体" w:hAnsi="宋体" w:cs="宋体"/>
                <w:color w:val="000000"/>
                <w:szCs w:val="21"/>
              </w:rPr>
            </w:pPr>
          </w:p>
        </w:tc>
        <w:tc>
          <w:tcPr>
            <w:tcW w:w="35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4682162C">
            <w:pPr>
              <w:jc w:val="center"/>
              <w:rPr>
                <w:rFonts w:hint="eastAsia" w:ascii="宋体" w:hAnsi="宋体" w:cs="宋体"/>
                <w:color w:val="000000"/>
                <w:szCs w:val="21"/>
              </w:rPr>
            </w:pPr>
          </w:p>
        </w:tc>
        <w:tc>
          <w:tcPr>
            <w:tcW w:w="240"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79D63FE6">
            <w:pPr>
              <w:jc w:val="center"/>
              <w:rPr>
                <w:rFonts w:hint="eastAsia" w:ascii="宋体" w:hAnsi="宋体" w:cs="宋体"/>
                <w:color w:val="000000"/>
                <w:szCs w:val="21"/>
              </w:rPr>
            </w:pPr>
          </w:p>
        </w:tc>
        <w:tc>
          <w:tcPr>
            <w:tcW w:w="102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7206131C">
            <w:pPr>
              <w:jc w:val="left"/>
              <w:rPr>
                <w:rFonts w:hint="eastAsia" w:ascii="宋体" w:hAnsi="宋体" w:cs="宋体"/>
                <w:color w:val="000000"/>
                <w:szCs w:val="21"/>
              </w:rPr>
            </w:pPr>
          </w:p>
        </w:tc>
        <w:tc>
          <w:tcPr>
            <w:tcW w:w="2457"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293E7B2B">
            <w:pPr>
              <w:jc w:val="left"/>
              <w:rPr>
                <w:rFonts w:hint="eastAsia" w:ascii="宋体" w:hAnsi="宋体" w:cs="宋体"/>
                <w:color w:val="000000"/>
                <w:szCs w:val="21"/>
              </w:rPr>
            </w:pPr>
          </w:p>
        </w:tc>
        <w:tc>
          <w:tcPr>
            <w:tcW w:w="459" w:type="pct"/>
            <w:vMerge w:val="continue"/>
            <w:tcBorders>
              <w:top w:val="nil"/>
              <w:left w:val="nil"/>
              <w:bottom w:val="single" w:color="000000" w:sz="8" w:space="0"/>
              <w:right w:val="single" w:color="000000" w:sz="8" w:space="0"/>
            </w:tcBorders>
            <w:tcMar>
              <w:top w:w="15" w:type="dxa"/>
              <w:left w:w="15" w:type="dxa"/>
              <w:right w:w="15" w:type="dxa"/>
            </w:tcMar>
          </w:tcPr>
          <w:p w14:paraId="61248ECD">
            <w:pPr>
              <w:jc w:val="center"/>
              <w:rPr>
                <w:rFonts w:hint="eastAsia" w:ascii="宋体" w:hAnsi="宋体" w:cs="宋体"/>
                <w:color w:val="000000"/>
                <w:szCs w:val="21"/>
              </w:rPr>
            </w:pPr>
          </w:p>
        </w:tc>
      </w:tr>
      <w:tr w14:paraId="12F87716">
        <w:tblPrEx>
          <w:tblCellMar>
            <w:top w:w="0" w:type="dxa"/>
            <w:left w:w="0" w:type="dxa"/>
            <w:bottom w:w="0" w:type="dxa"/>
            <w:right w:w="0" w:type="dxa"/>
          </w:tblCellMar>
        </w:tblPrEx>
        <w:trPr>
          <w:trHeight w:val="656" w:hRule="atLeast"/>
        </w:trPr>
        <w:tc>
          <w:tcPr>
            <w:tcW w:w="256" w:type="pct"/>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961E401">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安全卫生</w:t>
            </w:r>
          </w:p>
        </w:tc>
        <w:tc>
          <w:tcPr>
            <w:tcW w:w="201" w:type="pct"/>
            <w:vMerge w:val="restart"/>
            <w:tcBorders>
              <w:top w:val="nil"/>
              <w:left w:val="nil"/>
              <w:bottom w:val="single" w:color="000000" w:sz="8" w:space="0"/>
              <w:right w:val="single" w:color="000000" w:sz="8" w:space="0"/>
            </w:tcBorders>
            <w:tcMar>
              <w:top w:w="15" w:type="dxa"/>
              <w:left w:w="15" w:type="dxa"/>
              <w:right w:w="15" w:type="dxa"/>
            </w:tcMar>
            <w:vAlign w:val="center"/>
          </w:tcPr>
          <w:p w14:paraId="7FCC2FFA">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15分</w:t>
            </w:r>
          </w:p>
        </w:tc>
        <w:tc>
          <w:tcPr>
            <w:tcW w:w="356" w:type="pct"/>
            <w:vMerge w:val="restart"/>
            <w:tcBorders>
              <w:top w:val="nil"/>
              <w:left w:val="nil"/>
              <w:bottom w:val="single" w:color="000000" w:sz="8" w:space="0"/>
              <w:right w:val="single" w:color="000000" w:sz="8" w:space="0"/>
            </w:tcBorders>
            <w:tcMar>
              <w:top w:w="15" w:type="dxa"/>
              <w:left w:w="15" w:type="dxa"/>
              <w:right w:w="15" w:type="dxa"/>
            </w:tcMar>
            <w:vAlign w:val="center"/>
          </w:tcPr>
          <w:p w14:paraId="5BCB5E8E">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食材安全性评价指标</w:t>
            </w:r>
          </w:p>
        </w:tc>
        <w:tc>
          <w:tcPr>
            <w:tcW w:w="240" w:type="pct"/>
            <w:vMerge w:val="restart"/>
            <w:tcBorders>
              <w:top w:val="nil"/>
              <w:left w:val="nil"/>
              <w:bottom w:val="single" w:color="000000" w:sz="8" w:space="0"/>
              <w:right w:val="single" w:color="000000" w:sz="8" w:space="0"/>
            </w:tcBorders>
            <w:tcMar>
              <w:top w:w="15" w:type="dxa"/>
              <w:left w:w="15" w:type="dxa"/>
              <w:right w:w="15" w:type="dxa"/>
            </w:tcMar>
            <w:vAlign w:val="center"/>
          </w:tcPr>
          <w:p w14:paraId="6DBEB1E4">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 分</w:t>
            </w:r>
          </w:p>
        </w:tc>
        <w:tc>
          <w:tcPr>
            <w:tcW w:w="1026" w:type="pct"/>
            <w:vMerge w:val="restart"/>
            <w:tcBorders>
              <w:top w:val="nil"/>
              <w:left w:val="nil"/>
              <w:bottom w:val="single" w:color="000000" w:sz="8" w:space="0"/>
              <w:right w:val="single" w:color="000000" w:sz="8" w:space="0"/>
            </w:tcBorders>
            <w:tcMar>
              <w:top w:w="15" w:type="dxa"/>
              <w:left w:w="15" w:type="dxa"/>
              <w:right w:w="15" w:type="dxa"/>
            </w:tcMar>
            <w:vAlign w:val="center"/>
          </w:tcPr>
          <w:p w14:paraId="678F1212">
            <w:pPr>
              <w:widowControl/>
              <w:jc w:val="left"/>
              <w:textAlignment w:val="center"/>
              <w:rPr>
                <w:rFonts w:hint="eastAsia" w:ascii="宋体" w:hAnsi="宋体" w:cs="宋体"/>
                <w:color w:val="000000"/>
                <w:szCs w:val="21"/>
              </w:rPr>
            </w:pPr>
            <w:r>
              <w:rPr>
                <w:rFonts w:hint="eastAsia" w:ascii="宋体" w:hAnsi="宋体" w:cs="宋体"/>
                <w:color w:val="000000"/>
                <w:kern w:val="0"/>
                <w:szCs w:val="21"/>
              </w:rPr>
              <w:t>考核食材安全检测指标是否符合国家相关规定</w:t>
            </w:r>
          </w:p>
        </w:tc>
        <w:tc>
          <w:tcPr>
            <w:tcW w:w="2457" w:type="pct"/>
            <w:vMerge w:val="restart"/>
            <w:tcBorders>
              <w:top w:val="nil"/>
              <w:left w:val="nil"/>
              <w:bottom w:val="single" w:color="000000" w:sz="8" w:space="0"/>
              <w:right w:val="single" w:color="000000" w:sz="8" w:space="0"/>
            </w:tcBorders>
            <w:tcMar>
              <w:top w:w="15" w:type="dxa"/>
              <w:left w:w="15" w:type="dxa"/>
              <w:right w:w="15" w:type="dxa"/>
            </w:tcMar>
            <w:vAlign w:val="center"/>
          </w:tcPr>
          <w:p w14:paraId="7CC6A317">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校（园）方不定期对配送物品进行食品安全抽检（如农药超标检测等），各项指标符合国家相关规范标准的要求，得 10 分；每存在一项指标不符合国家相关规范标准的要求，扣 5 分；本项目指标累计每月最高扣分 10 分。</w:t>
            </w:r>
          </w:p>
        </w:tc>
        <w:tc>
          <w:tcPr>
            <w:tcW w:w="459" w:type="pct"/>
            <w:vMerge w:val="restart"/>
            <w:tcBorders>
              <w:top w:val="nil"/>
              <w:left w:val="nil"/>
              <w:bottom w:val="single" w:color="000000" w:sz="8" w:space="0"/>
              <w:right w:val="single" w:color="000000" w:sz="8" w:space="0"/>
            </w:tcBorders>
            <w:tcMar>
              <w:top w:w="15" w:type="dxa"/>
              <w:left w:w="15" w:type="dxa"/>
              <w:right w:w="15" w:type="dxa"/>
            </w:tcMar>
          </w:tcPr>
          <w:p w14:paraId="41AF6FD7">
            <w:pPr>
              <w:jc w:val="center"/>
              <w:rPr>
                <w:rFonts w:hint="eastAsia" w:ascii="宋体" w:hAnsi="宋体" w:cs="宋体"/>
                <w:color w:val="000000"/>
                <w:szCs w:val="21"/>
              </w:rPr>
            </w:pPr>
          </w:p>
        </w:tc>
      </w:tr>
      <w:tr w14:paraId="32EE2D5C">
        <w:tblPrEx>
          <w:tblCellMar>
            <w:top w:w="0" w:type="dxa"/>
            <w:left w:w="0" w:type="dxa"/>
            <w:bottom w:w="0" w:type="dxa"/>
            <w:right w:w="0" w:type="dxa"/>
          </w:tblCellMar>
        </w:tblPrEx>
        <w:trPr>
          <w:trHeight w:val="812" w:hRule="atLeast"/>
        </w:trPr>
        <w:tc>
          <w:tcPr>
            <w:tcW w:w="256" w:type="pct"/>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E6A4A9D">
            <w:pPr>
              <w:jc w:val="center"/>
              <w:rPr>
                <w:rFonts w:hint="eastAsia" w:ascii="宋体" w:hAnsi="宋体" w:cs="宋体"/>
                <w:color w:val="000000"/>
                <w:szCs w:val="21"/>
              </w:rPr>
            </w:pPr>
          </w:p>
        </w:tc>
        <w:tc>
          <w:tcPr>
            <w:tcW w:w="201"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202A7B97">
            <w:pPr>
              <w:jc w:val="center"/>
              <w:rPr>
                <w:rFonts w:hint="eastAsia" w:ascii="宋体" w:hAnsi="宋体" w:cs="宋体"/>
                <w:color w:val="000000"/>
                <w:szCs w:val="21"/>
              </w:rPr>
            </w:pPr>
          </w:p>
        </w:tc>
        <w:tc>
          <w:tcPr>
            <w:tcW w:w="35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63BBE178">
            <w:pPr>
              <w:jc w:val="center"/>
              <w:rPr>
                <w:rFonts w:hint="eastAsia" w:ascii="宋体" w:hAnsi="宋体" w:cs="宋体"/>
                <w:color w:val="000000"/>
                <w:szCs w:val="21"/>
              </w:rPr>
            </w:pPr>
          </w:p>
        </w:tc>
        <w:tc>
          <w:tcPr>
            <w:tcW w:w="240"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213A4043">
            <w:pPr>
              <w:jc w:val="center"/>
              <w:rPr>
                <w:rFonts w:hint="eastAsia" w:ascii="宋体" w:hAnsi="宋体" w:cs="宋体"/>
                <w:color w:val="000000"/>
                <w:szCs w:val="21"/>
              </w:rPr>
            </w:pPr>
          </w:p>
        </w:tc>
        <w:tc>
          <w:tcPr>
            <w:tcW w:w="102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07B05A45">
            <w:pPr>
              <w:jc w:val="left"/>
              <w:rPr>
                <w:rFonts w:hint="eastAsia" w:ascii="宋体" w:hAnsi="宋体" w:cs="宋体"/>
                <w:color w:val="000000"/>
                <w:szCs w:val="21"/>
              </w:rPr>
            </w:pPr>
          </w:p>
        </w:tc>
        <w:tc>
          <w:tcPr>
            <w:tcW w:w="2457"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03C2BCC8">
            <w:pPr>
              <w:jc w:val="left"/>
              <w:rPr>
                <w:rFonts w:hint="eastAsia" w:ascii="宋体" w:hAnsi="宋体" w:cs="宋体"/>
                <w:color w:val="000000"/>
                <w:szCs w:val="21"/>
              </w:rPr>
            </w:pPr>
          </w:p>
        </w:tc>
        <w:tc>
          <w:tcPr>
            <w:tcW w:w="459" w:type="pct"/>
            <w:vMerge w:val="continue"/>
            <w:tcBorders>
              <w:top w:val="nil"/>
              <w:left w:val="nil"/>
              <w:bottom w:val="single" w:color="000000" w:sz="8" w:space="0"/>
              <w:right w:val="single" w:color="000000" w:sz="8" w:space="0"/>
            </w:tcBorders>
            <w:tcMar>
              <w:top w:w="15" w:type="dxa"/>
              <w:left w:w="15" w:type="dxa"/>
              <w:right w:w="15" w:type="dxa"/>
            </w:tcMar>
          </w:tcPr>
          <w:p w14:paraId="6BC15B66">
            <w:pPr>
              <w:jc w:val="center"/>
              <w:rPr>
                <w:rFonts w:hint="eastAsia" w:ascii="宋体" w:hAnsi="宋体" w:cs="宋体"/>
                <w:color w:val="000000"/>
                <w:szCs w:val="21"/>
              </w:rPr>
            </w:pPr>
          </w:p>
        </w:tc>
      </w:tr>
      <w:tr w14:paraId="668830D7">
        <w:tblPrEx>
          <w:tblCellMar>
            <w:top w:w="0" w:type="dxa"/>
            <w:left w:w="0" w:type="dxa"/>
            <w:bottom w:w="0" w:type="dxa"/>
            <w:right w:w="0" w:type="dxa"/>
          </w:tblCellMar>
        </w:tblPrEx>
        <w:trPr>
          <w:trHeight w:val="812" w:hRule="atLeast"/>
        </w:trPr>
        <w:tc>
          <w:tcPr>
            <w:tcW w:w="256" w:type="pct"/>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ADC3B6C">
            <w:pPr>
              <w:jc w:val="center"/>
              <w:rPr>
                <w:rFonts w:hint="eastAsia" w:ascii="宋体" w:hAnsi="宋体" w:cs="宋体"/>
                <w:color w:val="000000"/>
                <w:szCs w:val="21"/>
              </w:rPr>
            </w:pPr>
          </w:p>
        </w:tc>
        <w:tc>
          <w:tcPr>
            <w:tcW w:w="201"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1940E561">
            <w:pPr>
              <w:jc w:val="center"/>
              <w:rPr>
                <w:rFonts w:hint="eastAsia" w:ascii="宋体" w:hAnsi="宋体" w:cs="宋体"/>
                <w:color w:val="000000"/>
                <w:szCs w:val="21"/>
              </w:rPr>
            </w:pPr>
          </w:p>
        </w:tc>
        <w:tc>
          <w:tcPr>
            <w:tcW w:w="35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7AF19741">
            <w:pPr>
              <w:jc w:val="center"/>
              <w:rPr>
                <w:rFonts w:hint="eastAsia" w:ascii="宋体" w:hAnsi="宋体" w:cs="宋体"/>
                <w:color w:val="000000"/>
                <w:szCs w:val="21"/>
              </w:rPr>
            </w:pPr>
          </w:p>
        </w:tc>
        <w:tc>
          <w:tcPr>
            <w:tcW w:w="240"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7A175B3E">
            <w:pPr>
              <w:jc w:val="center"/>
              <w:rPr>
                <w:rFonts w:hint="eastAsia" w:ascii="宋体" w:hAnsi="宋体" w:cs="宋体"/>
                <w:color w:val="000000"/>
                <w:szCs w:val="21"/>
              </w:rPr>
            </w:pPr>
          </w:p>
        </w:tc>
        <w:tc>
          <w:tcPr>
            <w:tcW w:w="102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76322931">
            <w:pPr>
              <w:jc w:val="left"/>
              <w:rPr>
                <w:rFonts w:hint="eastAsia" w:ascii="宋体" w:hAnsi="宋体" w:cs="宋体"/>
                <w:color w:val="000000"/>
                <w:szCs w:val="21"/>
              </w:rPr>
            </w:pPr>
          </w:p>
        </w:tc>
        <w:tc>
          <w:tcPr>
            <w:tcW w:w="2457"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356AD1DB">
            <w:pPr>
              <w:jc w:val="left"/>
              <w:rPr>
                <w:rFonts w:hint="eastAsia" w:ascii="宋体" w:hAnsi="宋体" w:cs="宋体"/>
                <w:color w:val="000000"/>
                <w:szCs w:val="21"/>
              </w:rPr>
            </w:pPr>
          </w:p>
        </w:tc>
        <w:tc>
          <w:tcPr>
            <w:tcW w:w="459" w:type="pct"/>
            <w:vMerge w:val="continue"/>
            <w:tcBorders>
              <w:top w:val="nil"/>
              <w:left w:val="nil"/>
              <w:bottom w:val="single" w:color="000000" w:sz="8" w:space="0"/>
              <w:right w:val="single" w:color="000000" w:sz="8" w:space="0"/>
            </w:tcBorders>
            <w:tcMar>
              <w:top w:w="15" w:type="dxa"/>
              <w:left w:w="15" w:type="dxa"/>
              <w:right w:w="15" w:type="dxa"/>
            </w:tcMar>
          </w:tcPr>
          <w:p w14:paraId="17741CA4">
            <w:pPr>
              <w:jc w:val="center"/>
              <w:rPr>
                <w:rFonts w:hint="eastAsia" w:ascii="宋体" w:hAnsi="宋体" w:cs="宋体"/>
                <w:color w:val="000000"/>
                <w:szCs w:val="21"/>
              </w:rPr>
            </w:pPr>
          </w:p>
        </w:tc>
      </w:tr>
      <w:tr w14:paraId="640452BF">
        <w:tblPrEx>
          <w:tblCellMar>
            <w:top w:w="0" w:type="dxa"/>
            <w:left w:w="0" w:type="dxa"/>
            <w:bottom w:w="0" w:type="dxa"/>
            <w:right w:w="0" w:type="dxa"/>
          </w:tblCellMar>
        </w:tblPrEx>
        <w:trPr>
          <w:trHeight w:val="812" w:hRule="atLeast"/>
        </w:trPr>
        <w:tc>
          <w:tcPr>
            <w:tcW w:w="256" w:type="pct"/>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28B670D">
            <w:pPr>
              <w:jc w:val="center"/>
              <w:rPr>
                <w:rFonts w:hint="eastAsia" w:ascii="宋体" w:hAnsi="宋体" w:cs="宋体"/>
                <w:color w:val="000000"/>
                <w:szCs w:val="21"/>
              </w:rPr>
            </w:pPr>
          </w:p>
        </w:tc>
        <w:tc>
          <w:tcPr>
            <w:tcW w:w="201"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13971CD2">
            <w:pPr>
              <w:jc w:val="center"/>
              <w:rPr>
                <w:rFonts w:hint="eastAsia" w:ascii="宋体" w:hAnsi="宋体" w:cs="宋体"/>
                <w:color w:val="000000"/>
                <w:szCs w:val="21"/>
              </w:rPr>
            </w:pPr>
          </w:p>
        </w:tc>
        <w:tc>
          <w:tcPr>
            <w:tcW w:w="356" w:type="pct"/>
            <w:vMerge w:val="restart"/>
            <w:tcBorders>
              <w:top w:val="nil"/>
              <w:left w:val="nil"/>
              <w:bottom w:val="single" w:color="000000" w:sz="8" w:space="0"/>
              <w:right w:val="single" w:color="000000" w:sz="8" w:space="0"/>
            </w:tcBorders>
            <w:tcMar>
              <w:top w:w="15" w:type="dxa"/>
              <w:left w:w="15" w:type="dxa"/>
              <w:right w:w="15" w:type="dxa"/>
            </w:tcMar>
            <w:vAlign w:val="center"/>
          </w:tcPr>
          <w:p w14:paraId="03E4DC3B">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配送人员评价指标</w:t>
            </w:r>
          </w:p>
        </w:tc>
        <w:tc>
          <w:tcPr>
            <w:tcW w:w="240" w:type="pct"/>
            <w:vMerge w:val="restart"/>
            <w:tcBorders>
              <w:top w:val="nil"/>
              <w:left w:val="nil"/>
              <w:bottom w:val="single" w:color="000000" w:sz="8" w:space="0"/>
              <w:right w:val="single" w:color="000000" w:sz="8" w:space="0"/>
            </w:tcBorders>
            <w:tcMar>
              <w:top w:w="15" w:type="dxa"/>
              <w:left w:w="15" w:type="dxa"/>
              <w:right w:w="15" w:type="dxa"/>
            </w:tcMar>
            <w:vAlign w:val="center"/>
          </w:tcPr>
          <w:p w14:paraId="1724EE0C">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 分</w:t>
            </w:r>
          </w:p>
        </w:tc>
        <w:tc>
          <w:tcPr>
            <w:tcW w:w="1026" w:type="pct"/>
            <w:vMerge w:val="restart"/>
            <w:tcBorders>
              <w:top w:val="nil"/>
              <w:left w:val="nil"/>
              <w:bottom w:val="single" w:color="000000" w:sz="8" w:space="0"/>
              <w:right w:val="single" w:color="000000" w:sz="8" w:space="0"/>
            </w:tcBorders>
            <w:tcMar>
              <w:top w:w="15" w:type="dxa"/>
              <w:left w:w="15" w:type="dxa"/>
              <w:right w:w="15" w:type="dxa"/>
            </w:tcMar>
            <w:vAlign w:val="center"/>
          </w:tcPr>
          <w:p w14:paraId="385C7259">
            <w:pPr>
              <w:widowControl/>
              <w:jc w:val="left"/>
              <w:textAlignment w:val="center"/>
              <w:rPr>
                <w:rFonts w:hint="eastAsia" w:ascii="宋体" w:hAnsi="宋体" w:cs="宋体"/>
                <w:color w:val="000000"/>
                <w:szCs w:val="21"/>
              </w:rPr>
            </w:pPr>
            <w:r>
              <w:rPr>
                <w:rFonts w:hint="eastAsia" w:ascii="宋体" w:hAnsi="宋体" w:cs="宋体"/>
                <w:color w:val="000000"/>
                <w:kern w:val="0"/>
                <w:szCs w:val="21"/>
              </w:rPr>
              <w:t>考核配送人员的综合素质。</w:t>
            </w:r>
          </w:p>
        </w:tc>
        <w:tc>
          <w:tcPr>
            <w:tcW w:w="2457" w:type="pct"/>
            <w:vMerge w:val="restart"/>
            <w:tcBorders>
              <w:top w:val="nil"/>
              <w:left w:val="nil"/>
              <w:bottom w:val="single" w:color="000000" w:sz="8" w:space="0"/>
              <w:right w:val="single" w:color="000000" w:sz="8" w:space="0"/>
            </w:tcBorders>
            <w:tcMar>
              <w:top w:w="15" w:type="dxa"/>
              <w:left w:w="15" w:type="dxa"/>
              <w:right w:w="15" w:type="dxa"/>
            </w:tcMar>
            <w:vAlign w:val="center"/>
          </w:tcPr>
          <w:p w14:paraId="44A4230C">
            <w:pPr>
              <w:widowControl/>
              <w:jc w:val="left"/>
              <w:textAlignment w:val="center"/>
              <w:rPr>
                <w:rFonts w:hint="eastAsia" w:ascii="宋体" w:hAnsi="宋体" w:cs="宋体"/>
                <w:color w:val="000000"/>
                <w:szCs w:val="21"/>
              </w:rPr>
            </w:pPr>
            <w:r>
              <w:rPr>
                <w:rFonts w:hint="eastAsia" w:ascii="宋体" w:hAnsi="宋体" w:cs="宋体"/>
                <w:color w:val="000000"/>
                <w:kern w:val="0"/>
                <w:szCs w:val="21"/>
              </w:rPr>
              <w:t>每一名配送人员均持有健康证，配送时段统一穿工服，得 5 分；每发现一次配送人员未统一着装，扣 1 分/人；发现一次配送人员无健康证，扣 5 分；本项指标累计每月最高扣分 5 分。</w:t>
            </w:r>
          </w:p>
        </w:tc>
        <w:tc>
          <w:tcPr>
            <w:tcW w:w="459" w:type="pct"/>
            <w:vMerge w:val="restart"/>
            <w:tcBorders>
              <w:top w:val="nil"/>
              <w:left w:val="nil"/>
              <w:bottom w:val="single" w:color="000000" w:sz="8" w:space="0"/>
              <w:right w:val="single" w:color="000000" w:sz="8" w:space="0"/>
            </w:tcBorders>
            <w:tcMar>
              <w:top w:w="15" w:type="dxa"/>
              <w:left w:w="15" w:type="dxa"/>
              <w:right w:w="15" w:type="dxa"/>
            </w:tcMar>
          </w:tcPr>
          <w:p w14:paraId="4FC9F07B">
            <w:pPr>
              <w:jc w:val="center"/>
              <w:rPr>
                <w:rFonts w:hint="eastAsia" w:ascii="宋体" w:hAnsi="宋体" w:cs="宋体"/>
                <w:color w:val="000000"/>
                <w:szCs w:val="21"/>
              </w:rPr>
            </w:pPr>
          </w:p>
        </w:tc>
      </w:tr>
      <w:tr w14:paraId="64D2BB21">
        <w:tblPrEx>
          <w:tblCellMar>
            <w:top w:w="0" w:type="dxa"/>
            <w:left w:w="0" w:type="dxa"/>
            <w:bottom w:w="0" w:type="dxa"/>
            <w:right w:w="0" w:type="dxa"/>
          </w:tblCellMar>
        </w:tblPrEx>
        <w:trPr>
          <w:trHeight w:val="812" w:hRule="atLeast"/>
        </w:trPr>
        <w:tc>
          <w:tcPr>
            <w:tcW w:w="256" w:type="pct"/>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246A825">
            <w:pPr>
              <w:jc w:val="center"/>
              <w:rPr>
                <w:rFonts w:hint="eastAsia" w:ascii="宋体" w:hAnsi="宋体" w:cs="宋体"/>
                <w:color w:val="000000"/>
                <w:szCs w:val="21"/>
              </w:rPr>
            </w:pPr>
          </w:p>
        </w:tc>
        <w:tc>
          <w:tcPr>
            <w:tcW w:w="201"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34E3644F">
            <w:pPr>
              <w:jc w:val="center"/>
              <w:rPr>
                <w:rFonts w:hint="eastAsia" w:ascii="宋体" w:hAnsi="宋体" w:cs="宋体"/>
                <w:color w:val="000000"/>
                <w:szCs w:val="21"/>
              </w:rPr>
            </w:pPr>
          </w:p>
        </w:tc>
        <w:tc>
          <w:tcPr>
            <w:tcW w:w="35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4B5BDE4E">
            <w:pPr>
              <w:jc w:val="center"/>
              <w:rPr>
                <w:rFonts w:hint="eastAsia" w:ascii="宋体" w:hAnsi="宋体" w:cs="宋体"/>
                <w:color w:val="000000"/>
                <w:szCs w:val="21"/>
              </w:rPr>
            </w:pPr>
          </w:p>
        </w:tc>
        <w:tc>
          <w:tcPr>
            <w:tcW w:w="240"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71AA094E">
            <w:pPr>
              <w:jc w:val="center"/>
              <w:rPr>
                <w:rFonts w:hint="eastAsia" w:ascii="宋体" w:hAnsi="宋体" w:cs="宋体"/>
                <w:color w:val="000000"/>
                <w:szCs w:val="21"/>
              </w:rPr>
            </w:pPr>
          </w:p>
        </w:tc>
        <w:tc>
          <w:tcPr>
            <w:tcW w:w="102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3F08A728">
            <w:pPr>
              <w:jc w:val="left"/>
              <w:rPr>
                <w:rFonts w:hint="eastAsia" w:ascii="宋体" w:hAnsi="宋体" w:cs="宋体"/>
                <w:color w:val="000000"/>
                <w:szCs w:val="21"/>
              </w:rPr>
            </w:pPr>
          </w:p>
        </w:tc>
        <w:tc>
          <w:tcPr>
            <w:tcW w:w="2457"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38F9B469">
            <w:pPr>
              <w:jc w:val="left"/>
              <w:rPr>
                <w:rFonts w:hint="eastAsia" w:ascii="宋体" w:hAnsi="宋体" w:cs="宋体"/>
                <w:color w:val="000000"/>
                <w:szCs w:val="21"/>
              </w:rPr>
            </w:pPr>
          </w:p>
        </w:tc>
        <w:tc>
          <w:tcPr>
            <w:tcW w:w="459" w:type="pct"/>
            <w:vMerge w:val="continue"/>
            <w:tcBorders>
              <w:top w:val="nil"/>
              <w:left w:val="nil"/>
              <w:bottom w:val="single" w:color="000000" w:sz="8" w:space="0"/>
              <w:right w:val="single" w:color="000000" w:sz="8" w:space="0"/>
            </w:tcBorders>
            <w:tcMar>
              <w:top w:w="15" w:type="dxa"/>
              <w:left w:w="15" w:type="dxa"/>
              <w:right w:w="15" w:type="dxa"/>
            </w:tcMar>
          </w:tcPr>
          <w:p w14:paraId="15EBDFC2">
            <w:pPr>
              <w:jc w:val="center"/>
              <w:rPr>
                <w:rFonts w:hint="eastAsia" w:ascii="宋体" w:hAnsi="宋体" w:cs="宋体"/>
                <w:color w:val="000000"/>
                <w:szCs w:val="21"/>
              </w:rPr>
            </w:pPr>
          </w:p>
        </w:tc>
      </w:tr>
      <w:tr w14:paraId="2A7905C0">
        <w:tblPrEx>
          <w:tblCellMar>
            <w:top w:w="0" w:type="dxa"/>
            <w:left w:w="0" w:type="dxa"/>
            <w:bottom w:w="0" w:type="dxa"/>
            <w:right w:w="0" w:type="dxa"/>
          </w:tblCellMar>
        </w:tblPrEx>
        <w:trPr>
          <w:trHeight w:val="312" w:hRule="atLeast"/>
        </w:trPr>
        <w:tc>
          <w:tcPr>
            <w:tcW w:w="256" w:type="pct"/>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0D8FEFE">
            <w:pPr>
              <w:jc w:val="center"/>
              <w:rPr>
                <w:rFonts w:hint="eastAsia" w:ascii="宋体" w:hAnsi="宋体" w:cs="宋体"/>
                <w:color w:val="000000"/>
                <w:szCs w:val="21"/>
              </w:rPr>
            </w:pPr>
          </w:p>
        </w:tc>
        <w:tc>
          <w:tcPr>
            <w:tcW w:w="201"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7E83842F">
            <w:pPr>
              <w:jc w:val="center"/>
              <w:rPr>
                <w:rFonts w:hint="eastAsia" w:ascii="宋体" w:hAnsi="宋体" w:cs="宋体"/>
                <w:color w:val="000000"/>
                <w:szCs w:val="21"/>
              </w:rPr>
            </w:pPr>
          </w:p>
        </w:tc>
        <w:tc>
          <w:tcPr>
            <w:tcW w:w="35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023ACB5B">
            <w:pPr>
              <w:jc w:val="center"/>
              <w:rPr>
                <w:rFonts w:hint="eastAsia" w:ascii="宋体" w:hAnsi="宋体" w:cs="宋体"/>
                <w:color w:val="000000"/>
                <w:szCs w:val="21"/>
              </w:rPr>
            </w:pPr>
          </w:p>
        </w:tc>
        <w:tc>
          <w:tcPr>
            <w:tcW w:w="240"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71E9199A">
            <w:pPr>
              <w:jc w:val="center"/>
              <w:rPr>
                <w:rFonts w:hint="eastAsia" w:ascii="宋体" w:hAnsi="宋体" w:cs="宋体"/>
                <w:color w:val="000000"/>
                <w:szCs w:val="21"/>
              </w:rPr>
            </w:pPr>
          </w:p>
        </w:tc>
        <w:tc>
          <w:tcPr>
            <w:tcW w:w="102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62594977">
            <w:pPr>
              <w:jc w:val="left"/>
              <w:rPr>
                <w:rFonts w:hint="eastAsia" w:ascii="宋体" w:hAnsi="宋体" w:cs="宋体"/>
                <w:color w:val="000000"/>
                <w:szCs w:val="21"/>
              </w:rPr>
            </w:pPr>
          </w:p>
        </w:tc>
        <w:tc>
          <w:tcPr>
            <w:tcW w:w="2457"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44848EFA">
            <w:pPr>
              <w:jc w:val="left"/>
              <w:rPr>
                <w:rFonts w:hint="eastAsia" w:ascii="宋体" w:hAnsi="宋体" w:cs="宋体"/>
                <w:color w:val="000000"/>
                <w:szCs w:val="21"/>
              </w:rPr>
            </w:pPr>
          </w:p>
        </w:tc>
        <w:tc>
          <w:tcPr>
            <w:tcW w:w="459" w:type="pct"/>
            <w:vMerge w:val="continue"/>
            <w:tcBorders>
              <w:top w:val="nil"/>
              <w:left w:val="nil"/>
              <w:bottom w:val="single" w:color="000000" w:sz="8" w:space="0"/>
              <w:right w:val="single" w:color="000000" w:sz="8" w:space="0"/>
            </w:tcBorders>
            <w:tcMar>
              <w:top w:w="15" w:type="dxa"/>
              <w:left w:w="15" w:type="dxa"/>
              <w:right w:w="15" w:type="dxa"/>
            </w:tcMar>
          </w:tcPr>
          <w:p w14:paraId="261B6956">
            <w:pPr>
              <w:jc w:val="center"/>
              <w:rPr>
                <w:rFonts w:hint="eastAsia" w:ascii="宋体" w:hAnsi="宋体" w:cs="宋体"/>
                <w:color w:val="000000"/>
                <w:szCs w:val="21"/>
              </w:rPr>
            </w:pPr>
          </w:p>
        </w:tc>
      </w:tr>
      <w:tr w14:paraId="35F33CA4">
        <w:tblPrEx>
          <w:tblCellMar>
            <w:top w:w="0" w:type="dxa"/>
            <w:left w:w="0" w:type="dxa"/>
            <w:bottom w:w="0" w:type="dxa"/>
            <w:right w:w="0" w:type="dxa"/>
          </w:tblCellMar>
        </w:tblPrEx>
        <w:trPr>
          <w:trHeight w:val="656" w:hRule="atLeast"/>
        </w:trPr>
        <w:tc>
          <w:tcPr>
            <w:tcW w:w="256" w:type="pct"/>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3E84868">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服务质量</w:t>
            </w:r>
          </w:p>
        </w:tc>
        <w:tc>
          <w:tcPr>
            <w:tcW w:w="201" w:type="pct"/>
            <w:vMerge w:val="restart"/>
            <w:tcBorders>
              <w:top w:val="nil"/>
              <w:left w:val="nil"/>
              <w:bottom w:val="single" w:color="000000" w:sz="8" w:space="0"/>
              <w:right w:val="single" w:color="000000" w:sz="8" w:space="0"/>
            </w:tcBorders>
            <w:tcMar>
              <w:top w:w="15" w:type="dxa"/>
              <w:left w:w="15" w:type="dxa"/>
              <w:right w:w="15" w:type="dxa"/>
            </w:tcMar>
            <w:vAlign w:val="center"/>
          </w:tcPr>
          <w:p w14:paraId="141DE3C6">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10 分</w:t>
            </w:r>
          </w:p>
        </w:tc>
        <w:tc>
          <w:tcPr>
            <w:tcW w:w="356" w:type="pct"/>
            <w:vMerge w:val="restart"/>
            <w:tcBorders>
              <w:top w:val="nil"/>
              <w:left w:val="nil"/>
              <w:bottom w:val="single" w:color="000000" w:sz="8" w:space="0"/>
              <w:right w:val="single" w:color="000000" w:sz="8" w:space="0"/>
            </w:tcBorders>
            <w:tcMar>
              <w:top w:w="15" w:type="dxa"/>
              <w:left w:w="15" w:type="dxa"/>
              <w:right w:w="15" w:type="dxa"/>
            </w:tcMar>
            <w:vAlign w:val="center"/>
          </w:tcPr>
          <w:p w14:paraId="4C393F54">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服务态度评价指标</w:t>
            </w:r>
          </w:p>
        </w:tc>
        <w:tc>
          <w:tcPr>
            <w:tcW w:w="240" w:type="pct"/>
            <w:vMerge w:val="restart"/>
            <w:tcBorders>
              <w:top w:val="nil"/>
              <w:left w:val="nil"/>
              <w:bottom w:val="single" w:color="000000" w:sz="8" w:space="0"/>
              <w:right w:val="single" w:color="000000" w:sz="8" w:space="0"/>
            </w:tcBorders>
            <w:tcMar>
              <w:top w:w="15" w:type="dxa"/>
              <w:left w:w="15" w:type="dxa"/>
              <w:right w:w="15" w:type="dxa"/>
            </w:tcMar>
            <w:vAlign w:val="center"/>
          </w:tcPr>
          <w:p w14:paraId="5CD1D514">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 分</w:t>
            </w:r>
          </w:p>
        </w:tc>
        <w:tc>
          <w:tcPr>
            <w:tcW w:w="1026" w:type="pct"/>
            <w:vMerge w:val="restart"/>
            <w:tcBorders>
              <w:top w:val="nil"/>
              <w:left w:val="nil"/>
              <w:bottom w:val="single" w:color="000000" w:sz="8" w:space="0"/>
              <w:right w:val="single" w:color="000000" w:sz="8" w:space="0"/>
            </w:tcBorders>
            <w:tcMar>
              <w:top w:w="15" w:type="dxa"/>
              <w:left w:w="15" w:type="dxa"/>
              <w:right w:w="15" w:type="dxa"/>
            </w:tcMar>
            <w:vAlign w:val="center"/>
          </w:tcPr>
          <w:p w14:paraId="68F235DB">
            <w:pPr>
              <w:widowControl/>
              <w:jc w:val="left"/>
              <w:textAlignment w:val="center"/>
              <w:rPr>
                <w:rFonts w:hint="eastAsia" w:ascii="宋体" w:hAnsi="宋体" w:cs="宋体"/>
                <w:color w:val="000000"/>
                <w:szCs w:val="21"/>
              </w:rPr>
            </w:pPr>
            <w:r>
              <w:rPr>
                <w:rFonts w:hint="eastAsia" w:ascii="宋体" w:hAnsi="宋体" w:cs="宋体"/>
                <w:color w:val="000000"/>
                <w:kern w:val="0"/>
                <w:szCs w:val="21"/>
              </w:rPr>
              <w:t>考核供应商服务态度是否良好。</w:t>
            </w:r>
          </w:p>
        </w:tc>
        <w:tc>
          <w:tcPr>
            <w:tcW w:w="2457" w:type="pct"/>
            <w:vMerge w:val="restart"/>
            <w:tcBorders>
              <w:top w:val="nil"/>
              <w:left w:val="nil"/>
              <w:bottom w:val="single" w:color="000000" w:sz="8" w:space="0"/>
              <w:right w:val="single" w:color="000000" w:sz="8" w:space="0"/>
            </w:tcBorders>
            <w:tcMar>
              <w:top w:w="15" w:type="dxa"/>
              <w:left w:w="15" w:type="dxa"/>
              <w:right w:w="15" w:type="dxa"/>
            </w:tcMar>
            <w:vAlign w:val="center"/>
          </w:tcPr>
          <w:p w14:paraId="15105408">
            <w:pPr>
              <w:widowControl/>
              <w:jc w:val="left"/>
              <w:textAlignment w:val="center"/>
              <w:rPr>
                <w:rFonts w:hint="eastAsia" w:ascii="宋体" w:hAnsi="宋体" w:cs="宋体"/>
                <w:color w:val="000000"/>
                <w:szCs w:val="21"/>
              </w:rPr>
            </w:pPr>
            <w:r>
              <w:rPr>
                <w:rFonts w:hint="eastAsia" w:ascii="宋体" w:hAnsi="宋体" w:cs="宋体"/>
                <w:color w:val="000000"/>
                <w:kern w:val="0"/>
                <w:szCs w:val="21"/>
              </w:rPr>
              <w:t>工作人员工作认真，服务热情周到，运送搬运文明，无投诉事件发生，得 5 分；每接到 1 次有效投诉扣 5 分；本项指标累计每月最高扣分 5 分。</w:t>
            </w:r>
          </w:p>
        </w:tc>
        <w:tc>
          <w:tcPr>
            <w:tcW w:w="459" w:type="pct"/>
            <w:vMerge w:val="restart"/>
            <w:tcBorders>
              <w:top w:val="nil"/>
              <w:left w:val="nil"/>
              <w:bottom w:val="single" w:color="000000" w:sz="8" w:space="0"/>
              <w:right w:val="single" w:color="000000" w:sz="8" w:space="0"/>
            </w:tcBorders>
            <w:tcMar>
              <w:top w:w="15" w:type="dxa"/>
              <w:left w:w="15" w:type="dxa"/>
              <w:right w:w="15" w:type="dxa"/>
            </w:tcMar>
          </w:tcPr>
          <w:p w14:paraId="2A84A28E">
            <w:pPr>
              <w:jc w:val="center"/>
              <w:rPr>
                <w:rFonts w:hint="eastAsia" w:ascii="宋体" w:hAnsi="宋体" w:cs="宋体"/>
                <w:color w:val="000000"/>
                <w:szCs w:val="21"/>
              </w:rPr>
            </w:pPr>
          </w:p>
        </w:tc>
      </w:tr>
      <w:tr w14:paraId="606B06A9">
        <w:tblPrEx>
          <w:tblCellMar>
            <w:top w:w="0" w:type="dxa"/>
            <w:left w:w="0" w:type="dxa"/>
            <w:bottom w:w="0" w:type="dxa"/>
            <w:right w:w="0" w:type="dxa"/>
          </w:tblCellMar>
        </w:tblPrEx>
        <w:trPr>
          <w:trHeight w:val="812" w:hRule="atLeast"/>
        </w:trPr>
        <w:tc>
          <w:tcPr>
            <w:tcW w:w="256" w:type="pct"/>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FC1A7D0">
            <w:pPr>
              <w:jc w:val="center"/>
              <w:rPr>
                <w:rFonts w:hint="eastAsia" w:ascii="宋体" w:hAnsi="宋体" w:cs="宋体"/>
                <w:color w:val="000000"/>
                <w:szCs w:val="21"/>
              </w:rPr>
            </w:pPr>
          </w:p>
        </w:tc>
        <w:tc>
          <w:tcPr>
            <w:tcW w:w="201"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44D4E307">
            <w:pPr>
              <w:jc w:val="center"/>
              <w:rPr>
                <w:rFonts w:hint="eastAsia" w:ascii="宋体" w:hAnsi="宋体" w:cs="宋体"/>
                <w:color w:val="000000"/>
                <w:szCs w:val="21"/>
              </w:rPr>
            </w:pPr>
          </w:p>
        </w:tc>
        <w:tc>
          <w:tcPr>
            <w:tcW w:w="35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3F48C203">
            <w:pPr>
              <w:jc w:val="center"/>
              <w:rPr>
                <w:rFonts w:hint="eastAsia" w:ascii="宋体" w:hAnsi="宋体" w:cs="宋体"/>
                <w:color w:val="000000"/>
                <w:szCs w:val="21"/>
              </w:rPr>
            </w:pPr>
          </w:p>
        </w:tc>
        <w:tc>
          <w:tcPr>
            <w:tcW w:w="240"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5D509099">
            <w:pPr>
              <w:jc w:val="center"/>
              <w:rPr>
                <w:rFonts w:hint="eastAsia" w:ascii="宋体" w:hAnsi="宋体" w:cs="宋体"/>
                <w:color w:val="000000"/>
                <w:szCs w:val="21"/>
              </w:rPr>
            </w:pPr>
          </w:p>
        </w:tc>
        <w:tc>
          <w:tcPr>
            <w:tcW w:w="102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7705A7F3">
            <w:pPr>
              <w:jc w:val="left"/>
              <w:rPr>
                <w:rFonts w:hint="eastAsia" w:ascii="宋体" w:hAnsi="宋体" w:cs="宋体"/>
                <w:color w:val="000000"/>
                <w:szCs w:val="21"/>
              </w:rPr>
            </w:pPr>
          </w:p>
        </w:tc>
        <w:tc>
          <w:tcPr>
            <w:tcW w:w="2457"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2F12CBE1">
            <w:pPr>
              <w:jc w:val="left"/>
              <w:rPr>
                <w:rFonts w:hint="eastAsia" w:ascii="宋体" w:hAnsi="宋体" w:cs="宋体"/>
                <w:color w:val="000000"/>
                <w:szCs w:val="21"/>
              </w:rPr>
            </w:pPr>
          </w:p>
        </w:tc>
        <w:tc>
          <w:tcPr>
            <w:tcW w:w="459" w:type="pct"/>
            <w:vMerge w:val="continue"/>
            <w:tcBorders>
              <w:top w:val="nil"/>
              <w:left w:val="nil"/>
              <w:bottom w:val="single" w:color="000000" w:sz="8" w:space="0"/>
              <w:right w:val="single" w:color="000000" w:sz="8" w:space="0"/>
            </w:tcBorders>
            <w:tcMar>
              <w:top w:w="15" w:type="dxa"/>
              <w:left w:w="15" w:type="dxa"/>
              <w:right w:w="15" w:type="dxa"/>
            </w:tcMar>
          </w:tcPr>
          <w:p w14:paraId="21FBDA9B">
            <w:pPr>
              <w:jc w:val="center"/>
              <w:rPr>
                <w:rFonts w:hint="eastAsia" w:ascii="宋体" w:hAnsi="宋体" w:cs="宋体"/>
                <w:color w:val="000000"/>
                <w:szCs w:val="21"/>
              </w:rPr>
            </w:pPr>
          </w:p>
        </w:tc>
      </w:tr>
      <w:tr w14:paraId="369A9AAE">
        <w:tblPrEx>
          <w:tblCellMar>
            <w:top w:w="0" w:type="dxa"/>
            <w:left w:w="0" w:type="dxa"/>
            <w:bottom w:w="0" w:type="dxa"/>
            <w:right w:w="0" w:type="dxa"/>
          </w:tblCellMar>
        </w:tblPrEx>
        <w:trPr>
          <w:trHeight w:val="312" w:hRule="atLeast"/>
        </w:trPr>
        <w:tc>
          <w:tcPr>
            <w:tcW w:w="256" w:type="pct"/>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427E35F">
            <w:pPr>
              <w:jc w:val="center"/>
              <w:rPr>
                <w:rFonts w:hint="eastAsia" w:ascii="宋体" w:hAnsi="宋体" w:cs="宋体"/>
                <w:color w:val="000000"/>
                <w:szCs w:val="21"/>
              </w:rPr>
            </w:pPr>
          </w:p>
        </w:tc>
        <w:tc>
          <w:tcPr>
            <w:tcW w:w="201"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181E7476">
            <w:pPr>
              <w:jc w:val="center"/>
              <w:rPr>
                <w:rFonts w:hint="eastAsia" w:ascii="宋体" w:hAnsi="宋体" w:cs="宋体"/>
                <w:color w:val="000000"/>
                <w:szCs w:val="21"/>
              </w:rPr>
            </w:pPr>
          </w:p>
        </w:tc>
        <w:tc>
          <w:tcPr>
            <w:tcW w:w="35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2C648C65">
            <w:pPr>
              <w:jc w:val="center"/>
              <w:rPr>
                <w:rFonts w:hint="eastAsia" w:ascii="宋体" w:hAnsi="宋体" w:cs="宋体"/>
                <w:color w:val="000000"/>
                <w:szCs w:val="21"/>
              </w:rPr>
            </w:pPr>
          </w:p>
        </w:tc>
        <w:tc>
          <w:tcPr>
            <w:tcW w:w="240"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3998F343">
            <w:pPr>
              <w:jc w:val="center"/>
              <w:rPr>
                <w:rFonts w:hint="eastAsia" w:ascii="宋体" w:hAnsi="宋体" w:cs="宋体"/>
                <w:color w:val="000000"/>
                <w:szCs w:val="21"/>
              </w:rPr>
            </w:pPr>
          </w:p>
        </w:tc>
        <w:tc>
          <w:tcPr>
            <w:tcW w:w="102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7AF245F4">
            <w:pPr>
              <w:jc w:val="left"/>
              <w:rPr>
                <w:rFonts w:hint="eastAsia" w:ascii="宋体" w:hAnsi="宋体" w:cs="宋体"/>
                <w:color w:val="000000"/>
                <w:szCs w:val="21"/>
              </w:rPr>
            </w:pPr>
          </w:p>
        </w:tc>
        <w:tc>
          <w:tcPr>
            <w:tcW w:w="2457"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7A2AF202">
            <w:pPr>
              <w:jc w:val="left"/>
              <w:rPr>
                <w:rFonts w:hint="eastAsia" w:ascii="宋体" w:hAnsi="宋体" w:cs="宋体"/>
                <w:color w:val="000000"/>
                <w:szCs w:val="21"/>
              </w:rPr>
            </w:pPr>
          </w:p>
        </w:tc>
        <w:tc>
          <w:tcPr>
            <w:tcW w:w="459" w:type="pct"/>
            <w:vMerge w:val="continue"/>
            <w:tcBorders>
              <w:top w:val="nil"/>
              <w:left w:val="nil"/>
              <w:bottom w:val="single" w:color="000000" w:sz="8" w:space="0"/>
              <w:right w:val="single" w:color="000000" w:sz="8" w:space="0"/>
            </w:tcBorders>
            <w:tcMar>
              <w:top w:w="15" w:type="dxa"/>
              <w:left w:w="15" w:type="dxa"/>
              <w:right w:w="15" w:type="dxa"/>
            </w:tcMar>
          </w:tcPr>
          <w:p w14:paraId="46F78A66">
            <w:pPr>
              <w:jc w:val="center"/>
              <w:rPr>
                <w:rFonts w:hint="eastAsia" w:ascii="宋体" w:hAnsi="宋体" w:cs="宋体"/>
                <w:color w:val="000000"/>
                <w:szCs w:val="21"/>
              </w:rPr>
            </w:pPr>
          </w:p>
        </w:tc>
      </w:tr>
      <w:tr w14:paraId="412523F7">
        <w:tblPrEx>
          <w:tblCellMar>
            <w:top w:w="0" w:type="dxa"/>
            <w:left w:w="0" w:type="dxa"/>
            <w:bottom w:w="0" w:type="dxa"/>
            <w:right w:w="0" w:type="dxa"/>
          </w:tblCellMar>
        </w:tblPrEx>
        <w:trPr>
          <w:trHeight w:val="812" w:hRule="atLeast"/>
        </w:trPr>
        <w:tc>
          <w:tcPr>
            <w:tcW w:w="256" w:type="pct"/>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4BDBEA5">
            <w:pPr>
              <w:jc w:val="center"/>
              <w:rPr>
                <w:rFonts w:hint="eastAsia" w:ascii="宋体" w:hAnsi="宋体" w:cs="宋体"/>
                <w:color w:val="000000"/>
                <w:szCs w:val="21"/>
              </w:rPr>
            </w:pPr>
          </w:p>
        </w:tc>
        <w:tc>
          <w:tcPr>
            <w:tcW w:w="201"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671A2FAA">
            <w:pPr>
              <w:jc w:val="center"/>
              <w:rPr>
                <w:rFonts w:hint="eastAsia" w:ascii="宋体" w:hAnsi="宋体" w:cs="宋体"/>
                <w:color w:val="000000"/>
                <w:szCs w:val="21"/>
              </w:rPr>
            </w:pPr>
          </w:p>
        </w:tc>
        <w:tc>
          <w:tcPr>
            <w:tcW w:w="356" w:type="pct"/>
            <w:vMerge w:val="restart"/>
            <w:tcBorders>
              <w:top w:val="nil"/>
              <w:left w:val="nil"/>
              <w:bottom w:val="single" w:color="000000" w:sz="8" w:space="0"/>
              <w:right w:val="single" w:color="000000" w:sz="8" w:space="0"/>
            </w:tcBorders>
            <w:tcMar>
              <w:top w:w="15" w:type="dxa"/>
              <w:left w:w="15" w:type="dxa"/>
              <w:right w:w="15" w:type="dxa"/>
            </w:tcMar>
            <w:vAlign w:val="center"/>
          </w:tcPr>
          <w:p w14:paraId="68D900CC">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反馈整改评价指标</w:t>
            </w:r>
          </w:p>
        </w:tc>
        <w:tc>
          <w:tcPr>
            <w:tcW w:w="240" w:type="pct"/>
            <w:vMerge w:val="restart"/>
            <w:tcBorders>
              <w:top w:val="nil"/>
              <w:left w:val="nil"/>
              <w:bottom w:val="single" w:color="000000" w:sz="8" w:space="0"/>
              <w:right w:val="single" w:color="000000" w:sz="8" w:space="0"/>
            </w:tcBorders>
            <w:tcMar>
              <w:top w:w="15" w:type="dxa"/>
              <w:left w:w="15" w:type="dxa"/>
              <w:right w:w="15" w:type="dxa"/>
            </w:tcMar>
            <w:vAlign w:val="center"/>
          </w:tcPr>
          <w:p w14:paraId="132F518B">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5 分</w:t>
            </w:r>
          </w:p>
        </w:tc>
        <w:tc>
          <w:tcPr>
            <w:tcW w:w="1026" w:type="pct"/>
            <w:vMerge w:val="restart"/>
            <w:tcBorders>
              <w:top w:val="nil"/>
              <w:left w:val="nil"/>
              <w:bottom w:val="single" w:color="000000" w:sz="8" w:space="0"/>
              <w:right w:val="single" w:color="000000" w:sz="8" w:space="0"/>
            </w:tcBorders>
            <w:tcMar>
              <w:top w:w="15" w:type="dxa"/>
              <w:left w:w="15" w:type="dxa"/>
              <w:right w:w="15" w:type="dxa"/>
            </w:tcMar>
            <w:vAlign w:val="center"/>
          </w:tcPr>
          <w:p w14:paraId="774EE790">
            <w:pPr>
              <w:widowControl/>
              <w:jc w:val="left"/>
              <w:textAlignment w:val="center"/>
              <w:rPr>
                <w:rFonts w:hint="eastAsia" w:ascii="宋体" w:hAnsi="宋体" w:cs="宋体"/>
                <w:color w:val="000000"/>
                <w:szCs w:val="21"/>
              </w:rPr>
            </w:pPr>
            <w:r>
              <w:rPr>
                <w:rFonts w:hint="eastAsia" w:ascii="宋体" w:hAnsi="宋体" w:cs="宋体"/>
                <w:color w:val="000000"/>
                <w:kern w:val="0"/>
                <w:szCs w:val="21"/>
              </w:rPr>
              <w:t>考核供应商是否对校</w:t>
            </w:r>
            <w:r>
              <w:rPr>
                <w:rFonts w:hint="eastAsia" w:ascii="宋体" w:hAnsi="宋体" w:cs="宋体"/>
                <w:color w:val="000000"/>
                <w:kern w:val="0"/>
                <w:szCs w:val="21"/>
              </w:rPr>
              <w:br w:type="textWrapping"/>
            </w:r>
            <w:r>
              <w:rPr>
                <w:rFonts w:hint="eastAsia" w:ascii="宋体" w:hAnsi="宋体" w:cs="宋体"/>
                <w:color w:val="000000"/>
                <w:kern w:val="0"/>
                <w:szCs w:val="21"/>
              </w:rPr>
              <w:t>（园）方、考核小组的反馈意见进行认真及时的整改。</w:t>
            </w:r>
          </w:p>
        </w:tc>
        <w:tc>
          <w:tcPr>
            <w:tcW w:w="2457" w:type="pct"/>
            <w:vMerge w:val="restart"/>
            <w:tcBorders>
              <w:top w:val="nil"/>
              <w:left w:val="nil"/>
              <w:bottom w:val="single" w:color="000000" w:sz="8" w:space="0"/>
              <w:right w:val="single" w:color="000000" w:sz="8" w:space="0"/>
            </w:tcBorders>
            <w:tcMar>
              <w:top w:w="15" w:type="dxa"/>
              <w:left w:w="15" w:type="dxa"/>
              <w:right w:w="15" w:type="dxa"/>
            </w:tcMar>
            <w:vAlign w:val="center"/>
          </w:tcPr>
          <w:p w14:paraId="6A5162E9">
            <w:pPr>
              <w:widowControl/>
              <w:jc w:val="left"/>
              <w:textAlignment w:val="center"/>
              <w:rPr>
                <w:rFonts w:hint="eastAsia" w:ascii="宋体" w:hAnsi="宋体" w:cs="宋体"/>
                <w:color w:val="000000"/>
                <w:szCs w:val="21"/>
              </w:rPr>
            </w:pPr>
            <w:r>
              <w:rPr>
                <w:rFonts w:hint="eastAsia" w:ascii="宋体" w:hAnsi="宋体" w:cs="宋体"/>
                <w:color w:val="000000"/>
                <w:kern w:val="0"/>
                <w:szCs w:val="21"/>
              </w:rPr>
              <w:t>对校（园）方、考核小组的反馈意见虚心接受，认真及时更改， 得 5 分；对校（园）方、考核小组的反馈意见没有及时整改，每发现一次扣 1 分；本项指标累计每月最高扣分 5 分。</w:t>
            </w:r>
          </w:p>
        </w:tc>
        <w:tc>
          <w:tcPr>
            <w:tcW w:w="459" w:type="pct"/>
            <w:vMerge w:val="restart"/>
            <w:tcBorders>
              <w:top w:val="nil"/>
              <w:left w:val="nil"/>
              <w:bottom w:val="single" w:color="000000" w:sz="8" w:space="0"/>
              <w:right w:val="single" w:color="000000" w:sz="8" w:space="0"/>
            </w:tcBorders>
            <w:tcMar>
              <w:top w:w="15" w:type="dxa"/>
              <w:left w:w="15" w:type="dxa"/>
              <w:right w:w="15" w:type="dxa"/>
            </w:tcMar>
          </w:tcPr>
          <w:p w14:paraId="1330C0B8">
            <w:pPr>
              <w:jc w:val="center"/>
              <w:rPr>
                <w:rFonts w:hint="eastAsia" w:ascii="宋体" w:hAnsi="宋体" w:cs="宋体"/>
                <w:color w:val="000000"/>
                <w:szCs w:val="21"/>
              </w:rPr>
            </w:pPr>
          </w:p>
        </w:tc>
      </w:tr>
      <w:tr w14:paraId="6C7381CA">
        <w:tblPrEx>
          <w:tblCellMar>
            <w:top w:w="0" w:type="dxa"/>
            <w:left w:w="0" w:type="dxa"/>
            <w:bottom w:w="0" w:type="dxa"/>
            <w:right w:w="0" w:type="dxa"/>
          </w:tblCellMar>
        </w:tblPrEx>
        <w:trPr>
          <w:trHeight w:val="812" w:hRule="atLeast"/>
        </w:trPr>
        <w:tc>
          <w:tcPr>
            <w:tcW w:w="256" w:type="pct"/>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6A811A8">
            <w:pPr>
              <w:jc w:val="center"/>
              <w:rPr>
                <w:rFonts w:hint="eastAsia" w:ascii="宋体" w:hAnsi="宋体" w:cs="宋体"/>
                <w:color w:val="000000"/>
                <w:szCs w:val="21"/>
              </w:rPr>
            </w:pPr>
          </w:p>
        </w:tc>
        <w:tc>
          <w:tcPr>
            <w:tcW w:w="201"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6B3740D5">
            <w:pPr>
              <w:jc w:val="center"/>
              <w:rPr>
                <w:rFonts w:hint="eastAsia" w:ascii="宋体" w:hAnsi="宋体" w:cs="宋体"/>
                <w:color w:val="000000"/>
                <w:szCs w:val="21"/>
              </w:rPr>
            </w:pPr>
          </w:p>
        </w:tc>
        <w:tc>
          <w:tcPr>
            <w:tcW w:w="35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4BB40823">
            <w:pPr>
              <w:jc w:val="center"/>
              <w:rPr>
                <w:rFonts w:hint="eastAsia" w:ascii="宋体" w:hAnsi="宋体" w:cs="宋体"/>
                <w:color w:val="000000"/>
                <w:szCs w:val="21"/>
              </w:rPr>
            </w:pPr>
          </w:p>
        </w:tc>
        <w:tc>
          <w:tcPr>
            <w:tcW w:w="240"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541A9EAD">
            <w:pPr>
              <w:jc w:val="center"/>
              <w:rPr>
                <w:rFonts w:hint="eastAsia" w:ascii="宋体" w:hAnsi="宋体" w:cs="宋体"/>
                <w:color w:val="000000"/>
                <w:szCs w:val="21"/>
              </w:rPr>
            </w:pPr>
          </w:p>
        </w:tc>
        <w:tc>
          <w:tcPr>
            <w:tcW w:w="1026"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04E3D101">
            <w:pPr>
              <w:jc w:val="left"/>
              <w:rPr>
                <w:rFonts w:hint="eastAsia" w:ascii="宋体" w:hAnsi="宋体" w:cs="宋体"/>
                <w:color w:val="000000"/>
                <w:szCs w:val="21"/>
              </w:rPr>
            </w:pPr>
          </w:p>
        </w:tc>
        <w:tc>
          <w:tcPr>
            <w:tcW w:w="2457" w:type="pct"/>
            <w:vMerge w:val="continue"/>
            <w:tcBorders>
              <w:top w:val="nil"/>
              <w:left w:val="nil"/>
              <w:bottom w:val="single" w:color="000000" w:sz="8" w:space="0"/>
              <w:right w:val="single" w:color="000000" w:sz="8" w:space="0"/>
            </w:tcBorders>
            <w:tcMar>
              <w:top w:w="15" w:type="dxa"/>
              <w:left w:w="15" w:type="dxa"/>
              <w:right w:w="15" w:type="dxa"/>
            </w:tcMar>
            <w:vAlign w:val="center"/>
          </w:tcPr>
          <w:p w14:paraId="3D07D51C">
            <w:pPr>
              <w:jc w:val="left"/>
              <w:rPr>
                <w:rFonts w:hint="eastAsia" w:ascii="宋体" w:hAnsi="宋体" w:cs="宋体"/>
                <w:color w:val="000000"/>
                <w:szCs w:val="21"/>
              </w:rPr>
            </w:pPr>
          </w:p>
        </w:tc>
        <w:tc>
          <w:tcPr>
            <w:tcW w:w="459" w:type="pct"/>
            <w:vMerge w:val="continue"/>
            <w:tcBorders>
              <w:top w:val="nil"/>
              <w:left w:val="nil"/>
              <w:bottom w:val="single" w:color="000000" w:sz="8" w:space="0"/>
              <w:right w:val="single" w:color="000000" w:sz="8" w:space="0"/>
            </w:tcBorders>
            <w:tcMar>
              <w:top w:w="15" w:type="dxa"/>
              <w:left w:w="15" w:type="dxa"/>
              <w:right w:w="15" w:type="dxa"/>
            </w:tcMar>
          </w:tcPr>
          <w:p w14:paraId="0C37D0FB">
            <w:pPr>
              <w:jc w:val="center"/>
              <w:rPr>
                <w:rFonts w:hint="eastAsia" w:ascii="宋体" w:hAnsi="宋体" w:cs="宋体"/>
                <w:color w:val="000000"/>
                <w:szCs w:val="21"/>
              </w:rPr>
            </w:pPr>
          </w:p>
        </w:tc>
      </w:tr>
      <w:tr w14:paraId="533CBAB7">
        <w:tblPrEx>
          <w:tblCellMar>
            <w:top w:w="0" w:type="dxa"/>
            <w:left w:w="0" w:type="dxa"/>
            <w:bottom w:w="0" w:type="dxa"/>
            <w:right w:w="0" w:type="dxa"/>
          </w:tblCellMar>
        </w:tblPrEx>
        <w:trPr>
          <w:trHeight w:val="719" w:hRule="atLeast"/>
        </w:trPr>
        <w:tc>
          <w:tcPr>
            <w:tcW w:w="4540" w:type="pct"/>
            <w:gridSpan w:val="6"/>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54BC20A">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服务供应商月度考核总得分</w:t>
            </w:r>
          </w:p>
        </w:tc>
        <w:tc>
          <w:tcPr>
            <w:tcW w:w="459" w:type="pct"/>
            <w:tcBorders>
              <w:top w:val="nil"/>
              <w:left w:val="nil"/>
              <w:bottom w:val="single" w:color="000000" w:sz="8" w:space="0"/>
              <w:right w:val="single" w:color="000000" w:sz="8" w:space="0"/>
            </w:tcBorders>
            <w:noWrap/>
            <w:tcMar>
              <w:top w:w="15" w:type="dxa"/>
              <w:left w:w="15" w:type="dxa"/>
              <w:right w:w="15" w:type="dxa"/>
            </w:tcMar>
            <w:vAlign w:val="center"/>
          </w:tcPr>
          <w:p w14:paraId="269FC232">
            <w:pPr>
              <w:jc w:val="center"/>
              <w:rPr>
                <w:rFonts w:hint="eastAsia" w:ascii="宋体" w:hAnsi="宋体" w:cs="宋体"/>
                <w:color w:val="000000"/>
                <w:szCs w:val="21"/>
              </w:rPr>
            </w:pPr>
          </w:p>
        </w:tc>
      </w:tr>
    </w:tbl>
    <w:p w14:paraId="6B178F06">
      <w:pPr>
        <w:rPr>
          <w:rFonts w:hint="eastAsia" w:ascii="宋体" w:hAnsi="宋体" w:cs="宋体"/>
          <w:szCs w:val="21"/>
        </w:rPr>
      </w:pPr>
      <w:r>
        <w:rPr>
          <w:rFonts w:hint="eastAsia" w:ascii="宋体" w:hAnsi="宋体" w:cs="宋体"/>
          <w:szCs w:val="21"/>
        </w:rPr>
        <w:t>考评人员签名：                                      考评时间：</w:t>
      </w:r>
    </w:p>
    <w:p w14:paraId="62C91F66">
      <w:pPr>
        <w:rPr>
          <w:rFonts w:hint="eastAsia" w:ascii="宋体" w:hAnsi="宋体" w:cs="宋体"/>
          <w:szCs w:val="21"/>
        </w:rPr>
      </w:pPr>
      <w:r>
        <w:rPr>
          <w:rFonts w:hint="eastAsia" w:ascii="宋体" w:hAnsi="宋体" w:cs="宋体"/>
          <w:szCs w:val="21"/>
        </w:rPr>
        <w:br w:type="page"/>
      </w:r>
    </w:p>
    <w:p w14:paraId="55C6A5BF">
      <w:pPr>
        <w:jc w:val="center"/>
        <w:outlineLvl w:val="2"/>
        <w:rPr>
          <w:rFonts w:hint="eastAsia" w:ascii="宋体" w:hAnsi="宋体" w:cs="宋体"/>
          <w:szCs w:val="21"/>
        </w:rPr>
      </w:pPr>
      <w:r>
        <w:rPr>
          <w:rFonts w:hint="eastAsia" w:ascii="宋体" w:hAnsi="宋体" w:cs="宋体"/>
          <w:b/>
          <w:bCs/>
          <w:szCs w:val="21"/>
        </w:rPr>
        <w:t>附件3：供应商季度综合评议考核评分表</w:t>
      </w:r>
    </w:p>
    <w:tbl>
      <w:tblPr>
        <w:tblStyle w:val="44"/>
        <w:tblW w:w="4998"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794"/>
        <w:gridCol w:w="2096"/>
        <w:gridCol w:w="1770"/>
        <w:gridCol w:w="2670"/>
      </w:tblGrid>
      <w:tr w14:paraId="4DF546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jc w:val="center"/>
        </w:trPr>
        <w:tc>
          <w:tcPr>
            <w:tcW w:w="1077" w:type="pct"/>
            <w:tcBorders>
              <w:bottom w:val="single" w:color="000000" w:sz="6" w:space="0"/>
              <w:right w:val="single" w:color="000000" w:sz="6" w:space="0"/>
            </w:tcBorders>
            <w:vAlign w:val="center"/>
          </w:tcPr>
          <w:p w14:paraId="08F05B19">
            <w:pPr>
              <w:pStyle w:val="203"/>
              <w:ind w:left="132" w:right="119"/>
              <w:jc w:val="center"/>
              <w:rPr>
                <w:rFonts w:hint="eastAsia" w:ascii="宋体" w:hAnsi="宋体" w:eastAsia="宋体" w:cs="宋体"/>
                <w:szCs w:val="21"/>
              </w:rPr>
            </w:pPr>
            <w:r>
              <w:rPr>
                <w:rFonts w:hint="eastAsia" w:ascii="宋体" w:hAnsi="宋体" w:eastAsia="宋体" w:cs="宋体"/>
                <w:szCs w:val="21"/>
              </w:rPr>
              <w:t>供应商名称</w:t>
            </w:r>
          </w:p>
        </w:tc>
        <w:tc>
          <w:tcPr>
            <w:tcW w:w="1258" w:type="pct"/>
            <w:tcBorders>
              <w:left w:val="single" w:color="000000" w:sz="6" w:space="0"/>
              <w:bottom w:val="single" w:color="000000" w:sz="6" w:space="0"/>
              <w:right w:val="single" w:color="000000" w:sz="6" w:space="0"/>
            </w:tcBorders>
            <w:vAlign w:val="center"/>
          </w:tcPr>
          <w:p w14:paraId="18B16F96">
            <w:pPr>
              <w:pStyle w:val="203"/>
              <w:jc w:val="center"/>
              <w:rPr>
                <w:rFonts w:hint="eastAsia" w:ascii="宋体" w:hAnsi="宋体" w:eastAsia="宋体" w:cs="宋体"/>
                <w:szCs w:val="21"/>
              </w:rPr>
            </w:pPr>
          </w:p>
        </w:tc>
        <w:tc>
          <w:tcPr>
            <w:tcW w:w="1062" w:type="pct"/>
            <w:tcBorders>
              <w:left w:val="single" w:color="000000" w:sz="6" w:space="0"/>
              <w:bottom w:val="single" w:color="000000" w:sz="6" w:space="0"/>
              <w:right w:val="single" w:color="000000" w:sz="6" w:space="0"/>
            </w:tcBorders>
            <w:vAlign w:val="center"/>
          </w:tcPr>
          <w:p w14:paraId="625241F6">
            <w:pPr>
              <w:pStyle w:val="203"/>
              <w:ind w:left="139" w:right="122"/>
              <w:jc w:val="center"/>
              <w:rPr>
                <w:rFonts w:hint="eastAsia" w:ascii="宋体" w:hAnsi="宋体" w:eastAsia="宋体" w:cs="宋体"/>
                <w:szCs w:val="21"/>
              </w:rPr>
            </w:pPr>
            <w:r>
              <w:rPr>
                <w:rFonts w:hint="eastAsia" w:ascii="宋体" w:hAnsi="宋体" w:eastAsia="宋体" w:cs="宋体"/>
                <w:szCs w:val="21"/>
              </w:rPr>
              <w:t>联系人及电话</w:t>
            </w:r>
          </w:p>
        </w:tc>
        <w:tc>
          <w:tcPr>
            <w:tcW w:w="1601" w:type="pct"/>
            <w:tcBorders>
              <w:top w:val="single" w:color="000000" w:sz="4" w:space="0"/>
              <w:left w:val="single" w:color="000000" w:sz="6" w:space="0"/>
              <w:bottom w:val="single" w:color="000000" w:sz="6" w:space="0"/>
            </w:tcBorders>
          </w:tcPr>
          <w:p w14:paraId="3262F847">
            <w:pPr>
              <w:pStyle w:val="203"/>
              <w:rPr>
                <w:rFonts w:hint="eastAsia" w:ascii="宋体" w:hAnsi="宋体" w:eastAsia="宋体" w:cs="宋体"/>
                <w:szCs w:val="21"/>
              </w:rPr>
            </w:pPr>
          </w:p>
        </w:tc>
      </w:tr>
      <w:tr w14:paraId="194DE1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jc w:val="center"/>
        </w:trPr>
        <w:tc>
          <w:tcPr>
            <w:tcW w:w="1077" w:type="pct"/>
            <w:tcBorders>
              <w:top w:val="single" w:color="000000" w:sz="6" w:space="0"/>
              <w:bottom w:val="single" w:color="000000" w:sz="6" w:space="0"/>
              <w:right w:val="single" w:color="000000" w:sz="6" w:space="0"/>
            </w:tcBorders>
            <w:vAlign w:val="center"/>
          </w:tcPr>
          <w:p w14:paraId="7CBF8138">
            <w:pPr>
              <w:pStyle w:val="203"/>
              <w:ind w:left="132" w:right="119"/>
              <w:jc w:val="center"/>
              <w:rPr>
                <w:rFonts w:hint="eastAsia" w:ascii="宋体" w:hAnsi="宋体" w:eastAsia="宋体" w:cs="宋体"/>
                <w:szCs w:val="21"/>
                <w:lang w:val="en-US"/>
              </w:rPr>
            </w:pPr>
            <w:r>
              <w:rPr>
                <w:rFonts w:hint="eastAsia" w:ascii="宋体" w:hAnsi="宋体" w:eastAsia="宋体" w:cs="宋体"/>
                <w:szCs w:val="21"/>
              </w:rPr>
              <w:t>合同履约时间</w:t>
            </w:r>
          </w:p>
        </w:tc>
        <w:tc>
          <w:tcPr>
            <w:tcW w:w="1258" w:type="pct"/>
            <w:tcBorders>
              <w:top w:val="single" w:color="000000" w:sz="6" w:space="0"/>
              <w:left w:val="single" w:color="000000" w:sz="6" w:space="0"/>
              <w:bottom w:val="single" w:color="000000" w:sz="6" w:space="0"/>
              <w:right w:val="single" w:color="000000" w:sz="6" w:space="0"/>
            </w:tcBorders>
            <w:vAlign w:val="center"/>
          </w:tcPr>
          <w:p w14:paraId="774ED762">
            <w:pPr>
              <w:pStyle w:val="203"/>
              <w:jc w:val="center"/>
              <w:rPr>
                <w:rFonts w:hint="eastAsia" w:ascii="宋体" w:hAnsi="宋体" w:eastAsia="宋体" w:cs="宋体"/>
                <w:szCs w:val="21"/>
              </w:rPr>
            </w:pPr>
          </w:p>
        </w:tc>
        <w:tc>
          <w:tcPr>
            <w:tcW w:w="1062" w:type="pct"/>
            <w:tcBorders>
              <w:top w:val="single" w:color="000000" w:sz="6" w:space="0"/>
              <w:left w:val="single" w:color="000000" w:sz="6" w:space="0"/>
              <w:bottom w:val="single" w:color="000000" w:sz="6" w:space="0"/>
              <w:right w:val="single" w:color="000000" w:sz="6" w:space="0"/>
            </w:tcBorders>
            <w:vAlign w:val="center"/>
          </w:tcPr>
          <w:p w14:paraId="4FFA13E4">
            <w:pPr>
              <w:pStyle w:val="203"/>
              <w:ind w:left="139" w:right="122"/>
              <w:jc w:val="center"/>
              <w:rPr>
                <w:rFonts w:hint="eastAsia" w:ascii="宋体" w:hAnsi="宋体" w:eastAsia="宋体" w:cs="宋体"/>
                <w:szCs w:val="21"/>
                <w:lang w:val="en-US"/>
              </w:rPr>
            </w:pPr>
            <w:r>
              <w:rPr>
                <w:rFonts w:hint="eastAsia" w:ascii="宋体" w:hAnsi="宋体" w:eastAsia="宋体" w:cs="宋体"/>
                <w:szCs w:val="21"/>
                <w:lang w:val="en-US"/>
              </w:rPr>
              <w:t>考核日期</w:t>
            </w:r>
          </w:p>
        </w:tc>
        <w:tc>
          <w:tcPr>
            <w:tcW w:w="1601" w:type="pct"/>
            <w:tcBorders>
              <w:top w:val="single" w:color="000000" w:sz="6" w:space="0"/>
              <w:left w:val="single" w:color="000000" w:sz="6" w:space="0"/>
              <w:bottom w:val="single" w:color="000000" w:sz="6" w:space="0"/>
            </w:tcBorders>
          </w:tcPr>
          <w:p w14:paraId="7836A449">
            <w:pPr>
              <w:pStyle w:val="203"/>
              <w:tabs>
                <w:tab w:val="left" w:pos="1189"/>
                <w:tab w:val="left" w:pos="1789"/>
              </w:tabs>
              <w:ind w:left="589"/>
              <w:rPr>
                <w:rFonts w:hint="eastAsia" w:ascii="宋体" w:hAnsi="宋体" w:eastAsia="宋体" w:cs="宋体"/>
                <w:szCs w:val="21"/>
              </w:rPr>
            </w:pPr>
            <w:r>
              <w:rPr>
                <w:rFonts w:hint="eastAsia" w:ascii="宋体" w:hAnsi="宋体" w:eastAsia="宋体" w:cs="宋体"/>
                <w:szCs w:val="21"/>
              </w:rPr>
              <w:t>年</w:t>
            </w:r>
            <w:r>
              <w:rPr>
                <w:rFonts w:hint="eastAsia" w:ascii="宋体" w:hAnsi="宋体" w:eastAsia="宋体" w:cs="宋体"/>
                <w:szCs w:val="21"/>
              </w:rPr>
              <w:tab/>
            </w:r>
            <w:r>
              <w:rPr>
                <w:rFonts w:hint="eastAsia" w:ascii="宋体" w:hAnsi="宋体" w:eastAsia="宋体" w:cs="宋体"/>
                <w:szCs w:val="21"/>
                <w:lang w:val="en-US"/>
              </w:rPr>
              <w:t xml:space="preserve">  </w:t>
            </w:r>
            <w:r>
              <w:rPr>
                <w:rFonts w:hint="eastAsia" w:ascii="宋体" w:hAnsi="宋体" w:eastAsia="宋体" w:cs="宋体"/>
                <w:szCs w:val="21"/>
              </w:rPr>
              <w:t>月</w:t>
            </w:r>
            <w:r>
              <w:rPr>
                <w:rFonts w:hint="eastAsia" w:ascii="宋体" w:hAnsi="宋体" w:eastAsia="宋体" w:cs="宋体"/>
                <w:szCs w:val="21"/>
                <w:lang w:val="en-US"/>
              </w:rPr>
              <w:t xml:space="preserve">  </w:t>
            </w:r>
            <w:r>
              <w:rPr>
                <w:rFonts w:hint="eastAsia" w:ascii="宋体" w:hAnsi="宋体" w:eastAsia="宋体" w:cs="宋体"/>
                <w:szCs w:val="21"/>
              </w:rPr>
              <w:t>日</w:t>
            </w:r>
          </w:p>
        </w:tc>
      </w:tr>
      <w:tr w14:paraId="789F13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jc w:val="center"/>
        </w:trPr>
        <w:tc>
          <w:tcPr>
            <w:tcW w:w="1077" w:type="pct"/>
            <w:tcBorders>
              <w:top w:val="single" w:color="000000" w:sz="6" w:space="0"/>
              <w:bottom w:val="single" w:color="000000" w:sz="6" w:space="0"/>
              <w:right w:val="single" w:color="000000" w:sz="6" w:space="0"/>
            </w:tcBorders>
            <w:vAlign w:val="center"/>
          </w:tcPr>
          <w:p w14:paraId="59B3FCBE">
            <w:pPr>
              <w:pStyle w:val="203"/>
              <w:ind w:left="132" w:right="119"/>
              <w:jc w:val="center"/>
              <w:rPr>
                <w:rFonts w:hint="eastAsia" w:ascii="宋体" w:hAnsi="宋体" w:eastAsia="宋体" w:cs="宋体"/>
                <w:szCs w:val="21"/>
              </w:rPr>
            </w:pPr>
            <w:r>
              <w:rPr>
                <w:rFonts w:hint="eastAsia" w:ascii="宋体" w:hAnsi="宋体" w:eastAsia="宋体" w:cs="宋体"/>
                <w:szCs w:val="21"/>
                <w:lang w:val="en-US"/>
              </w:rPr>
              <w:t>学校名称</w:t>
            </w:r>
          </w:p>
        </w:tc>
        <w:tc>
          <w:tcPr>
            <w:tcW w:w="1258" w:type="pct"/>
            <w:tcBorders>
              <w:top w:val="single" w:color="000000" w:sz="6" w:space="0"/>
              <w:left w:val="single" w:color="000000" w:sz="6" w:space="0"/>
              <w:bottom w:val="single" w:color="000000" w:sz="6" w:space="0"/>
              <w:right w:val="single" w:color="000000" w:sz="6" w:space="0"/>
            </w:tcBorders>
            <w:vAlign w:val="center"/>
          </w:tcPr>
          <w:p w14:paraId="62B8F3FD">
            <w:pPr>
              <w:pStyle w:val="203"/>
              <w:jc w:val="center"/>
              <w:rPr>
                <w:rFonts w:hint="eastAsia" w:ascii="宋体" w:hAnsi="宋体" w:eastAsia="宋体" w:cs="宋体"/>
                <w:szCs w:val="21"/>
              </w:rPr>
            </w:pPr>
            <w:r>
              <w:rPr>
                <w:rFonts w:hint="eastAsia" w:ascii="宋体" w:hAnsi="宋体" w:eastAsia="宋体" w:cs="宋体"/>
                <w:szCs w:val="21"/>
                <w:lang w:val="en-US"/>
              </w:rPr>
              <w:t>季度考核评分</w:t>
            </w:r>
          </w:p>
        </w:tc>
        <w:tc>
          <w:tcPr>
            <w:tcW w:w="1062" w:type="pct"/>
            <w:tcBorders>
              <w:top w:val="single" w:color="000000" w:sz="6" w:space="0"/>
              <w:left w:val="single" w:color="000000" w:sz="6" w:space="0"/>
              <w:bottom w:val="single" w:color="000000" w:sz="6" w:space="0"/>
              <w:right w:val="single" w:color="000000" w:sz="6" w:space="0"/>
            </w:tcBorders>
            <w:vAlign w:val="center"/>
          </w:tcPr>
          <w:p w14:paraId="2DF023DA">
            <w:pPr>
              <w:pStyle w:val="203"/>
              <w:ind w:left="132" w:right="119"/>
              <w:jc w:val="center"/>
              <w:rPr>
                <w:rFonts w:hint="eastAsia" w:ascii="宋体" w:hAnsi="宋体" w:eastAsia="宋体" w:cs="宋体"/>
                <w:szCs w:val="21"/>
                <w:lang w:val="en-US"/>
              </w:rPr>
            </w:pPr>
            <w:r>
              <w:rPr>
                <w:rFonts w:hint="eastAsia" w:ascii="宋体" w:hAnsi="宋体" w:eastAsia="宋体" w:cs="宋体"/>
                <w:szCs w:val="21"/>
                <w:lang w:val="en-US"/>
              </w:rPr>
              <w:t>学校名称</w:t>
            </w:r>
          </w:p>
        </w:tc>
        <w:tc>
          <w:tcPr>
            <w:tcW w:w="1601" w:type="pct"/>
            <w:tcBorders>
              <w:top w:val="single" w:color="000000" w:sz="6" w:space="0"/>
              <w:left w:val="single" w:color="000000" w:sz="6" w:space="0"/>
              <w:bottom w:val="single" w:color="000000" w:sz="6" w:space="0"/>
            </w:tcBorders>
            <w:vAlign w:val="center"/>
          </w:tcPr>
          <w:p w14:paraId="64C146E8">
            <w:pPr>
              <w:pStyle w:val="203"/>
              <w:jc w:val="center"/>
              <w:rPr>
                <w:rFonts w:hint="eastAsia" w:ascii="宋体" w:hAnsi="宋体" w:eastAsia="宋体" w:cs="宋体"/>
                <w:szCs w:val="21"/>
              </w:rPr>
            </w:pPr>
            <w:r>
              <w:rPr>
                <w:rFonts w:hint="eastAsia" w:ascii="宋体" w:hAnsi="宋体" w:eastAsia="宋体" w:cs="宋体"/>
                <w:szCs w:val="21"/>
                <w:lang w:val="en-US"/>
              </w:rPr>
              <w:t>季度考核评分</w:t>
            </w:r>
          </w:p>
        </w:tc>
      </w:tr>
      <w:tr w14:paraId="29DB36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0" w:hRule="atLeast"/>
          <w:jc w:val="center"/>
        </w:trPr>
        <w:tc>
          <w:tcPr>
            <w:tcW w:w="1077" w:type="pct"/>
            <w:tcBorders>
              <w:top w:val="single" w:color="000000" w:sz="6" w:space="0"/>
              <w:bottom w:val="single" w:color="000000" w:sz="6" w:space="0"/>
              <w:right w:val="single" w:color="000000" w:sz="6" w:space="0"/>
            </w:tcBorders>
          </w:tcPr>
          <w:p w14:paraId="78F9FB3D">
            <w:pPr>
              <w:pStyle w:val="203"/>
              <w:ind w:left="132" w:right="119"/>
              <w:jc w:val="center"/>
              <w:rPr>
                <w:rFonts w:hint="eastAsia" w:ascii="宋体" w:hAnsi="宋体" w:eastAsia="宋体" w:cs="宋体"/>
                <w:i/>
                <w:iCs/>
                <w:szCs w:val="21"/>
                <w:u w:val="wave"/>
                <w:lang w:val="en-US"/>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190864F2">
            <w:pPr>
              <w:pStyle w:val="203"/>
              <w:jc w:val="center"/>
              <w:rPr>
                <w:rFonts w:hint="eastAsia" w:ascii="宋体" w:hAnsi="宋体" w:eastAsia="宋体" w:cs="宋体"/>
                <w:szCs w:val="21"/>
                <w:lang w:val="en-US"/>
              </w:rPr>
            </w:pPr>
          </w:p>
        </w:tc>
        <w:tc>
          <w:tcPr>
            <w:tcW w:w="1062" w:type="pct"/>
            <w:tcBorders>
              <w:top w:val="single" w:color="000000" w:sz="6" w:space="0"/>
              <w:left w:val="single" w:color="000000" w:sz="6" w:space="0"/>
              <w:bottom w:val="single" w:color="000000" w:sz="6" w:space="0"/>
              <w:right w:val="single" w:color="000000" w:sz="6" w:space="0"/>
            </w:tcBorders>
          </w:tcPr>
          <w:p w14:paraId="7564A007">
            <w:pPr>
              <w:pStyle w:val="203"/>
              <w:ind w:left="132" w:right="119"/>
              <w:jc w:val="center"/>
              <w:rPr>
                <w:rFonts w:hint="eastAsia" w:ascii="宋体" w:hAnsi="宋体" w:eastAsia="宋体" w:cs="宋体"/>
                <w:i/>
                <w:iCs/>
                <w:szCs w:val="21"/>
                <w:u w:val="wave"/>
                <w:lang w:val="en-US"/>
              </w:rPr>
            </w:pPr>
          </w:p>
        </w:tc>
        <w:tc>
          <w:tcPr>
            <w:tcW w:w="1601" w:type="pct"/>
            <w:tcBorders>
              <w:top w:val="single" w:color="000000" w:sz="6" w:space="0"/>
              <w:left w:val="single" w:color="000000" w:sz="6" w:space="0"/>
              <w:bottom w:val="single" w:color="000000" w:sz="6" w:space="0"/>
            </w:tcBorders>
            <w:vAlign w:val="center"/>
          </w:tcPr>
          <w:p w14:paraId="18742B8A">
            <w:pPr>
              <w:pStyle w:val="203"/>
              <w:jc w:val="center"/>
              <w:rPr>
                <w:rFonts w:hint="eastAsia" w:ascii="宋体" w:hAnsi="宋体" w:eastAsia="宋体" w:cs="宋体"/>
                <w:szCs w:val="21"/>
                <w:lang w:val="en-US"/>
              </w:rPr>
            </w:pPr>
          </w:p>
        </w:tc>
      </w:tr>
      <w:tr w14:paraId="0A7B83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77" w:type="pct"/>
            <w:tcBorders>
              <w:top w:val="single" w:color="000000" w:sz="6" w:space="0"/>
              <w:bottom w:val="single" w:color="000000" w:sz="6" w:space="0"/>
              <w:right w:val="single" w:color="000000" w:sz="6" w:space="0"/>
            </w:tcBorders>
          </w:tcPr>
          <w:p w14:paraId="6D40D3A0">
            <w:pPr>
              <w:pStyle w:val="203"/>
              <w:ind w:left="132" w:right="119"/>
              <w:jc w:val="center"/>
              <w:rPr>
                <w:rFonts w:hint="eastAsia" w:ascii="宋体" w:hAnsi="宋体" w:eastAsia="宋体" w:cs="宋体"/>
                <w:i/>
                <w:iCs/>
                <w:szCs w:val="21"/>
                <w:u w:val="wave"/>
                <w:lang w:val="en-US"/>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0D926E52">
            <w:pPr>
              <w:pStyle w:val="203"/>
              <w:jc w:val="center"/>
              <w:rPr>
                <w:rFonts w:hint="eastAsia" w:ascii="宋体" w:hAnsi="宋体" w:eastAsia="宋体" w:cs="宋体"/>
                <w:szCs w:val="21"/>
                <w:lang w:val="en-US"/>
              </w:rPr>
            </w:pPr>
          </w:p>
        </w:tc>
        <w:tc>
          <w:tcPr>
            <w:tcW w:w="1062" w:type="pct"/>
            <w:tcBorders>
              <w:top w:val="single" w:color="000000" w:sz="6" w:space="0"/>
              <w:left w:val="single" w:color="000000" w:sz="6" w:space="0"/>
              <w:bottom w:val="single" w:color="000000" w:sz="6" w:space="0"/>
              <w:right w:val="single" w:color="000000" w:sz="6" w:space="0"/>
            </w:tcBorders>
          </w:tcPr>
          <w:p w14:paraId="2941CB7C">
            <w:pPr>
              <w:pStyle w:val="203"/>
              <w:ind w:left="132" w:right="119"/>
              <w:jc w:val="center"/>
              <w:rPr>
                <w:rFonts w:hint="eastAsia" w:ascii="宋体" w:hAnsi="宋体" w:eastAsia="宋体" w:cs="宋体"/>
                <w:i/>
                <w:iCs/>
                <w:szCs w:val="21"/>
                <w:u w:val="wave"/>
                <w:lang w:val="en-US"/>
              </w:rPr>
            </w:pPr>
          </w:p>
        </w:tc>
        <w:tc>
          <w:tcPr>
            <w:tcW w:w="1601" w:type="pct"/>
            <w:tcBorders>
              <w:top w:val="single" w:color="000000" w:sz="6" w:space="0"/>
              <w:left w:val="single" w:color="000000" w:sz="6" w:space="0"/>
              <w:bottom w:val="single" w:color="000000" w:sz="6" w:space="0"/>
            </w:tcBorders>
            <w:vAlign w:val="center"/>
          </w:tcPr>
          <w:p w14:paraId="510CE6F6">
            <w:pPr>
              <w:pStyle w:val="203"/>
              <w:jc w:val="center"/>
              <w:rPr>
                <w:rFonts w:hint="eastAsia" w:ascii="宋体" w:hAnsi="宋体" w:eastAsia="宋体" w:cs="宋体"/>
                <w:szCs w:val="21"/>
                <w:lang w:val="en-US"/>
              </w:rPr>
            </w:pPr>
          </w:p>
        </w:tc>
      </w:tr>
      <w:tr w14:paraId="25FCEA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77" w:type="pct"/>
            <w:tcBorders>
              <w:top w:val="single" w:color="000000" w:sz="6" w:space="0"/>
              <w:bottom w:val="single" w:color="000000" w:sz="6" w:space="0"/>
              <w:right w:val="single" w:color="000000" w:sz="6" w:space="0"/>
            </w:tcBorders>
          </w:tcPr>
          <w:p w14:paraId="174425D2">
            <w:pPr>
              <w:pStyle w:val="203"/>
              <w:ind w:left="132" w:right="119"/>
              <w:jc w:val="center"/>
              <w:rPr>
                <w:rFonts w:hint="eastAsia" w:ascii="宋体" w:hAnsi="宋体" w:eastAsia="宋体" w:cs="宋体"/>
                <w:i/>
                <w:iCs/>
                <w:szCs w:val="21"/>
                <w:u w:val="wave"/>
                <w:lang w:val="en-US"/>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221A9EC7">
            <w:pPr>
              <w:pStyle w:val="203"/>
              <w:jc w:val="center"/>
              <w:rPr>
                <w:rFonts w:hint="eastAsia" w:ascii="宋体" w:hAnsi="宋体" w:eastAsia="宋体" w:cs="宋体"/>
                <w:szCs w:val="21"/>
                <w:lang w:val="en-US"/>
              </w:rPr>
            </w:pPr>
          </w:p>
        </w:tc>
        <w:tc>
          <w:tcPr>
            <w:tcW w:w="1062" w:type="pct"/>
            <w:tcBorders>
              <w:top w:val="single" w:color="000000" w:sz="6" w:space="0"/>
              <w:left w:val="single" w:color="000000" w:sz="6" w:space="0"/>
              <w:bottom w:val="single" w:color="000000" w:sz="6" w:space="0"/>
              <w:right w:val="single" w:color="000000" w:sz="6" w:space="0"/>
            </w:tcBorders>
          </w:tcPr>
          <w:p w14:paraId="6884CFF2">
            <w:pPr>
              <w:pStyle w:val="203"/>
              <w:ind w:left="132" w:right="119"/>
              <w:jc w:val="center"/>
              <w:rPr>
                <w:rFonts w:hint="eastAsia" w:ascii="宋体" w:hAnsi="宋体" w:eastAsia="宋体" w:cs="宋体"/>
                <w:i/>
                <w:iCs/>
                <w:szCs w:val="21"/>
                <w:u w:val="wave"/>
                <w:lang w:val="en-US"/>
              </w:rPr>
            </w:pPr>
          </w:p>
        </w:tc>
        <w:tc>
          <w:tcPr>
            <w:tcW w:w="1601" w:type="pct"/>
            <w:tcBorders>
              <w:top w:val="single" w:color="000000" w:sz="6" w:space="0"/>
              <w:left w:val="single" w:color="000000" w:sz="6" w:space="0"/>
              <w:bottom w:val="single" w:color="000000" w:sz="6" w:space="0"/>
            </w:tcBorders>
            <w:vAlign w:val="center"/>
          </w:tcPr>
          <w:p w14:paraId="4EBB7DE2">
            <w:pPr>
              <w:pStyle w:val="203"/>
              <w:jc w:val="center"/>
              <w:rPr>
                <w:rFonts w:hint="eastAsia" w:ascii="宋体" w:hAnsi="宋体" w:eastAsia="宋体" w:cs="宋体"/>
                <w:szCs w:val="21"/>
                <w:lang w:val="en-US"/>
              </w:rPr>
            </w:pPr>
          </w:p>
        </w:tc>
      </w:tr>
      <w:tr w14:paraId="5EB571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77" w:type="pct"/>
            <w:tcBorders>
              <w:top w:val="single" w:color="000000" w:sz="6" w:space="0"/>
              <w:bottom w:val="single" w:color="000000" w:sz="6" w:space="0"/>
              <w:right w:val="single" w:color="000000" w:sz="6" w:space="0"/>
            </w:tcBorders>
          </w:tcPr>
          <w:p w14:paraId="271E9582">
            <w:pPr>
              <w:pStyle w:val="203"/>
              <w:ind w:left="132" w:right="119"/>
              <w:jc w:val="center"/>
              <w:rPr>
                <w:rFonts w:hint="eastAsia" w:ascii="宋体" w:hAnsi="宋体" w:eastAsia="宋体" w:cs="宋体"/>
                <w:i/>
                <w:iCs/>
                <w:szCs w:val="21"/>
                <w:u w:val="wave"/>
                <w:lang w:val="en-US"/>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49FFF748">
            <w:pPr>
              <w:pStyle w:val="203"/>
              <w:jc w:val="center"/>
              <w:rPr>
                <w:rFonts w:hint="eastAsia" w:ascii="宋体" w:hAnsi="宋体" w:eastAsia="宋体" w:cs="宋体"/>
                <w:szCs w:val="21"/>
                <w:lang w:val="en-US"/>
              </w:rPr>
            </w:pPr>
          </w:p>
        </w:tc>
        <w:tc>
          <w:tcPr>
            <w:tcW w:w="1062" w:type="pct"/>
            <w:tcBorders>
              <w:top w:val="single" w:color="000000" w:sz="6" w:space="0"/>
              <w:left w:val="single" w:color="000000" w:sz="6" w:space="0"/>
              <w:bottom w:val="single" w:color="000000" w:sz="6" w:space="0"/>
              <w:right w:val="single" w:color="000000" w:sz="6" w:space="0"/>
            </w:tcBorders>
          </w:tcPr>
          <w:p w14:paraId="76B32588">
            <w:pPr>
              <w:pStyle w:val="203"/>
              <w:ind w:left="132" w:right="119"/>
              <w:jc w:val="center"/>
              <w:rPr>
                <w:rFonts w:hint="eastAsia" w:ascii="宋体" w:hAnsi="宋体" w:eastAsia="宋体" w:cs="宋体"/>
                <w:i/>
                <w:iCs/>
                <w:szCs w:val="21"/>
                <w:u w:val="wave"/>
                <w:lang w:val="en-US"/>
              </w:rPr>
            </w:pPr>
          </w:p>
        </w:tc>
        <w:tc>
          <w:tcPr>
            <w:tcW w:w="1601" w:type="pct"/>
            <w:tcBorders>
              <w:top w:val="single" w:color="000000" w:sz="6" w:space="0"/>
              <w:left w:val="single" w:color="000000" w:sz="6" w:space="0"/>
              <w:bottom w:val="single" w:color="000000" w:sz="6" w:space="0"/>
            </w:tcBorders>
            <w:vAlign w:val="center"/>
          </w:tcPr>
          <w:p w14:paraId="649A2966">
            <w:pPr>
              <w:pStyle w:val="203"/>
              <w:jc w:val="center"/>
              <w:rPr>
                <w:rFonts w:hint="eastAsia" w:ascii="宋体" w:hAnsi="宋体" w:eastAsia="宋体" w:cs="宋体"/>
                <w:szCs w:val="21"/>
                <w:lang w:val="en-US"/>
              </w:rPr>
            </w:pPr>
          </w:p>
        </w:tc>
      </w:tr>
      <w:tr w14:paraId="0CA263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77" w:type="pct"/>
            <w:tcBorders>
              <w:top w:val="single" w:color="000000" w:sz="6" w:space="0"/>
              <w:bottom w:val="single" w:color="000000" w:sz="6" w:space="0"/>
              <w:right w:val="single" w:color="000000" w:sz="6" w:space="0"/>
            </w:tcBorders>
          </w:tcPr>
          <w:p w14:paraId="5066306C">
            <w:pPr>
              <w:pStyle w:val="203"/>
              <w:ind w:left="132" w:right="119"/>
              <w:jc w:val="center"/>
              <w:rPr>
                <w:rFonts w:hint="eastAsia" w:ascii="宋体" w:hAnsi="宋体" w:eastAsia="宋体" w:cs="宋体"/>
                <w:i/>
                <w:iCs/>
                <w:szCs w:val="21"/>
                <w:u w:val="wave"/>
                <w:lang w:val="en-US"/>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37B1E5FA">
            <w:pPr>
              <w:pStyle w:val="203"/>
              <w:jc w:val="center"/>
              <w:rPr>
                <w:rFonts w:hint="eastAsia" w:ascii="宋体" w:hAnsi="宋体" w:eastAsia="宋体" w:cs="宋体"/>
                <w:szCs w:val="21"/>
                <w:lang w:val="en-US"/>
              </w:rPr>
            </w:pPr>
          </w:p>
        </w:tc>
        <w:tc>
          <w:tcPr>
            <w:tcW w:w="1062" w:type="pct"/>
            <w:tcBorders>
              <w:top w:val="single" w:color="000000" w:sz="6" w:space="0"/>
              <w:left w:val="single" w:color="000000" w:sz="6" w:space="0"/>
              <w:bottom w:val="single" w:color="000000" w:sz="6" w:space="0"/>
              <w:right w:val="single" w:color="000000" w:sz="6" w:space="0"/>
            </w:tcBorders>
          </w:tcPr>
          <w:p w14:paraId="474063F5">
            <w:pPr>
              <w:pStyle w:val="203"/>
              <w:ind w:left="132" w:right="119"/>
              <w:jc w:val="center"/>
              <w:rPr>
                <w:rFonts w:hint="eastAsia" w:ascii="宋体" w:hAnsi="宋体" w:eastAsia="宋体" w:cs="宋体"/>
                <w:i/>
                <w:iCs/>
                <w:szCs w:val="21"/>
                <w:u w:val="wave"/>
                <w:lang w:val="en-US"/>
              </w:rPr>
            </w:pPr>
          </w:p>
        </w:tc>
        <w:tc>
          <w:tcPr>
            <w:tcW w:w="1601" w:type="pct"/>
            <w:tcBorders>
              <w:top w:val="single" w:color="000000" w:sz="6" w:space="0"/>
              <w:left w:val="single" w:color="000000" w:sz="6" w:space="0"/>
              <w:bottom w:val="single" w:color="000000" w:sz="6" w:space="0"/>
            </w:tcBorders>
            <w:vAlign w:val="center"/>
          </w:tcPr>
          <w:p w14:paraId="66AE5BB9">
            <w:pPr>
              <w:pStyle w:val="203"/>
              <w:jc w:val="center"/>
              <w:rPr>
                <w:rFonts w:hint="eastAsia" w:ascii="宋体" w:hAnsi="宋体" w:eastAsia="宋体" w:cs="宋体"/>
                <w:szCs w:val="21"/>
                <w:lang w:val="en-US"/>
              </w:rPr>
            </w:pPr>
          </w:p>
        </w:tc>
      </w:tr>
      <w:tr w14:paraId="664356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6" w:hRule="atLeast"/>
          <w:jc w:val="center"/>
        </w:trPr>
        <w:tc>
          <w:tcPr>
            <w:tcW w:w="1077" w:type="pct"/>
            <w:tcBorders>
              <w:top w:val="single" w:color="000000" w:sz="6" w:space="0"/>
              <w:bottom w:val="single" w:color="000000" w:sz="6" w:space="0"/>
              <w:right w:val="single" w:color="000000" w:sz="6" w:space="0"/>
            </w:tcBorders>
            <w:vAlign w:val="center"/>
          </w:tcPr>
          <w:p w14:paraId="7E9428D6">
            <w:pPr>
              <w:pStyle w:val="203"/>
              <w:jc w:val="center"/>
              <w:rPr>
                <w:rFonts w:hint="eastAsia" w:ascii="宋体" w:hAnsi="宋体" w:eastAsia="宋体" w:cs="宋体"/>
                <w:szCs w:val="21"/>
                <w:lang w:val="en-US"/>
              </w:rPr>
            </w:pPr>
            <w:r>
              <w:rPr>
                <w:rFonts w:hint="eastAsia" w:ascii="宋体" w:hAnsi="宋体" w:eastAsia="宋体" w:cs="宋体"/>
                <w:i/>
                <w:iCs/>
                <w:szCs w:val="21"/>
              </w:rPr>
              <w:t>采购人</w:t>
            </w:r>
          </w:p>
        </w:tc>
        <w:tc>
          <w:tcPr>
            <w:tcW w:w="3922" w:type="pct"/>
            <w:gridSpan w:val="3"/>
            <w:tcBorders>
              <w:top w:val="single" w:color="000000" w:sz="6" w:space="0"/>
              <w:left w:val="single" w:color="000000" w:sz="6" w:space="0"/>
              <w:bottom w:val="single" w:color="000000" w:sz="6" w:space="0"/>
            </w:tcBorders>
          </w:tcPr>
          <w:p w14:paraId="57FC0663">
            <w:pPr>
              <w:pStyle w:val="203"/>
              <w:jc w:val="right"/>
              <w:rPr>
                <w:rFonts w:hint="eastAsia" w:ascii="宋体" w:hAnsi="宋体" w:eastAsia="宋体" w:cs="宋体"/>
                <w:szCs w:val="21"/>
                <w:lang w:val="en-US"/>
              </w:rPr>
            </w:pPr>
          </w:p>
          <w:p w14:paraId="448DD81A">
            <w:pPr>
              <w:pStyle w:val="203"/>
              <w:jc w:val="center"/>
              <w:rPr>
                <w:rFonts w:hint="eastAsia" w:ascii="宋体" w:hAnsi="宋体" w:eastAsia="宋体" w:cs="宋体"/>
                <w:i/>
                <w:iCs/>
                <w:szCs w:val="21"/>
                <w:lang w:val="en-US"/>
              </w:rPr>
            </w:pPr>
            <w:r>
              <w:rPr>
                <w:rFonts w:hint="eastAsia" w:ascii="宋体" w:hAnsi="宋体" w:eastAsia="宋体" w:cs="宋体"/>
                <w:i/>
                <w:iCs/>
                <w:szCs w:val="21"/>
              </w:rPr>
              <w:t>供应商季度综合评议考核评分</w:t>
            </w:r>
            <w:r>
              <w:rPr>
                <w:rFonts w:hint="eastAsia" w:ascii="宋体" w:hAnsi="宋体" w:eastAsia="宋体" w:cs="宋体"/>
                <w:i/>
                <w:iCs/>
                <w:szCs w:val="21"/>
                <w:lang w:val="en-US"/>
              </w:rPr>
              <w:t>及评价。</w:t>
            </w:r>
          </w:p>
          <w:p w14:paraId="146E603A">
            <w:pPr>
              <w:pStyle w:val="203"/>
              <w:jc w:val="center"/>
              <w:rPr>
                <w:rFonts w:hint="eastAsia" w:ascii="宋体" w:hAnsi="宋体" w:eastAsia="宋体" w:cs="宋体"/>
                <w:szCs w:val="21"/>
                <w:lang w:val="en-US"/>
              </w:rPr>
            </w:pPr>
          </w:p>
          <w:p w14:paraId="15889A46">
            <w:pPr>
              <w:pStyle w:val="203"/>
              <w:jc w:val="center"/>
              <w:rPr>
                <w:rFonts w:hint="eastAsia" w:ascii="宋体" w:hAnsi="宋体" w:eastAsia="宋体" w:cs="宋体"/>
                <w:szCs w:val="21"/>
                <w:lang w:val="en-US"/>
              </w:rPr>
            </w:pPr>
            <w:r>
              <w:rPr>
                <w:rFonts w:hint="eastAsia" w:ascii="宋体" w:hAnsi="宋体" w:eastAsia="宋体" w:cs="宋体"/>
                <w:szCs w:val="21"/>
                <w:lang w:val="en-US"/>
              </w:rPr>
              <w:t xml:space="preserve">                             签名：                                                                               日期：</w:t>
            </w:r>
          </w:p>
        </w:tc>
      </w:tr>
      <w:tr w14:paraId="20CF0C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3" w:hRule="atLeast"/>
          <w:jc w:val="center"/>
        </w:trPr>
        <w:tc>
          <w:tcPr>
            <w:tcW w:w="1077" w:type="pct"/>
            <w:tcBorders>
              <w:top w:val="single" w:color="000000" w:sz="6" w:space="0"/>
              <w:right w:val="single" w:color="000000" w:sz="6" w:space="0"/>
            </w:tcBorders>
          </w:tcPr>
          <w:p w14:paraId="73C8A902">
            <w:pPr>
              <w:pStyle w:val="203"/>
              <w:ind w:left="132" w:right="119"/>
              <w:jc w:val="center"/>
              <w:rPr>
                <w:rFonts w:hint="eastAsia" w:ascii="宋体" w:hAnsi="宋体" w:eastAsia="宋体" w:cs="宋体"/>
                <w:szCs w:val="21"/>
                <w:lang w:val="en-US"/>
              </w:rPr>
            </w:pPr>
            <w:r>
              <w:rPr>
                <w:rFonts w:hint="eastAsia" w:ascii="宋体" w:hAnsi="宋体" w:eastAsia="宋体" w:cs="宋体"/>
                <w:szCs w:val="21"/>
                <w:lang w:val="en-US"/>
              </w:rPr>
              <w:t>备注</w:t>
            </w:r>
          </w:p>
        </w:tc>
        <w:tc>
          <w:tcPr>
            <w:tcW w:w="3922" w:type="pct"/>
            <w:gridSpan w:val="3"/>
            <w:tcBorders>
              <w:top w:val="single" w:color="000000" w:sz="6" w:space="0"/>
              <w:left w:val="single" w:color="000000" w:sz="6" w:space="0"/>
            </w:tcBorders>
          </w:tcPr>
          <w:p w14:paraId="1044E5BB">
            <w:pPr>
              <w:pStyle w:val="203"/>
              <w:rPr>
                <w:rFonts w:hint="eastAsia" w:ascii="宋体" w:hAnsi="宋体" w:eastAsia="宋体" w:cs="宋体"/>
                <w:szCs w:val="21"/>
              </w:rPr>
            </w:pPr>
          </w:p>
        </w:tc>
      </w:tr>
    </w:tbl>
    <w:p w14:paraId="044C2761">
      <w:pPr>
        <w:rPr>
          <w:rFonts w:hint="eastAsia" w:ascii="宋体" w:hAnsi="宋体" w:cs="宋体"/>
          <w:szCs w:val="21"/>
        </w:rPr>
      </w:pPr>
      <w:r>
        <w:rPr>
          <w:rFonts w:hint="eastAsia" w:ascii="宋体" w:hAnsi="宋体" w:cs="宋体"/>
          <w:szCs w:val="21"/>
        </w:rPr>
        <w:t>说明：季度考核得分为标段内各学校提交的加盖学校公章的服务供应商月度考核评分表（评分内容完整无缺漏，并计算出总得分）中月度考核总得分的平均值；供应商季度综合评议考核评分为其负责配送服务标段内各学校季度考核得分的平均值。</w:t>
      </w:r>
    </w:p>
    <w:p w14:paraId="44D1335F">
      <w:pPr>
        <w:rPr>
          <w:rFonts w:hint="eastAsia" w:ascii="宋体" w:hAnsi="宋体" w:cs="宋体"/>
          <w:szCs w:val="21"/>
        </w:rPr>
      </w:pPr>
    </w:p>
    <w:p w14:paraId="7C609DF0">
      <w:pPr>
        <w:rPr>
          <w:rFonts w:hint="eastAsia" w:ascii="宋体" w:hAnsi="宋体" w:cs="宋体"/>
          <w:szCs w:val="21"/>
        </w:rPr>
      </w:pPr>
    </w:p>
    <w:p w14:paraId="389FC56B">
      <w:pPr>
        <w:rPr>
          <w:rFonts w:hint="eastAsia" w:ascii="宋体" w:hAnsi="宋体" w:cs="宋体"/>
          <w:szCs w:val="21"/>
        </w:rPr>
      </w:pPr>
      <w:r>
        <w:rPr>
          <w:rFonts w:hint="eastAsia" w:ascii="宋体" w:hAnsi="宋体" w:cs="宋体"/>
          <w:szCs w:val="21"/>
        </w:rPr>
        <w:br w:type="page"/>
      </w:r>
    </w:p>
    <w:p w14:paraId="2FE78FB5">
      <w:pPr>
        <w:jc w:val="center"/>
        <w:outlineLvl w:val="2"/>
        <w:rPr>
          <w:rFonts w:hint="eastAsia" w:ascii="宋体" w:hAnsi="宋体" w:cs="宋体"/>
          <w:b/>
          <w:bCs/>
          <w:szCs w:val="21"/>
        </w:rPr>
      </w:pPr>
      <w:r>
        <w:rPr>
          <w:rFonts w:hint="eastAsia" w:ascii="宋体" w:hAnsi="宋体" w:cs="宋体"/>
          <w:b/>
          <w:bCs/>
          <w:szCs w:val="21"/>
        </w:rPr>
        <w:t>附件4：食品安全承诺书</w:t>
      </w:r>
    </w:p>
    <w:p w14:paraId="3023F64C">
      <w:pPr>
        <w:jc w:val="center"/>
        <w:rPr>
          <w:rFonts w:hint="eastAsia" w:ascii="宋体" w:hAnsi="宋体" w:cs="宋体"/>
          <w:szCs w:val="21"/>
        </w:rPr>
      </w:pPr>
      <w:r>
        <w:rPr>
          <w:rFonts w:hint="eastAsia" w:ascii="宋体" w:hAnsi="宋体" w:cs="宋体"/>
          <w:b/>
          <w:szCs w:val="21"/>
        </w:rPr>
        <w:t>食品安全承诺书</w:t>
      </w:r>
    </w:p>
    <w:p w14:paraId="69CFB329">
      <w:pPr>
        <w:ind w:firstLine="367" w:firstLineChars="175"/>
        <w:rPr>
          <w:rFonts w:hint="eastAsia" w:ascii="宋体" w:hAnsi="宋体" w:cs="宋体"/>
          <w:szCs w:val="21"/>
        </w:rPr>
      </w:pPr>
      <w:r>
        <w:rPr>
          <w:rFonts w:hint="eastAsia" w:ascii="宋体" w:hAnsi="宋体" w:cs="宋体"/>
          <w:szCs w:val="21"/>
        </w:rPr>
        <w:t>我公司清楚作为中标供应商需承担的法律责任和社会责任，将加强自律，并郑重承诺如下：</w:t>
      </w:r>
    </w:p>
    <w:p w14:paraId="40770489">
      <w:pPr>
        <w:ind w:firstLine="367" w:firstLineChars="175"/>
        <w:rPr>
          <w:rFonts w:hint="eastAsia" w:ascii="宋体" w:hAnsi="宋体" w:cs="宋体"/>
          <w:szCs w:val="21"/>
        </w:rPr>
      </w:pPr>
      <w:r>
        <w:rPr>
          <w:rFonts w:hint="eastAsia" w:ascii="宋体" w:hAnsi="宋体" w:cs="宋体"/>
          <w:szCs w:val="21"/>
        </w:rPr>
        <w:t>一、严格遵守《中华人民共和国食品安全法》、《中华人民共和国食品安全实施条例》、《国家食品卫生标准》、《农产品质量安全法》、《餐饮业和集体用餐配送单位卫生规范》等法律、法规和规章的规定从事经营活动，对贵单位和社会公众负责，保证食品安全，接受社会监督，承担社会责任。</w:t>
      </w:r>
    </w:p>
    <w:p w14:paraId="1E70312B">
      <w:pPr>
        <w:ind w:firstLine="367" w:firstLineChars="175"/>
        <w:rPr>
          <w:rFonts w:hint="eastAsia" w:ascii="宋体" w:hAnsi="宋体" w:cs="宋体"/>
          <w:szCs w:val="21"/>
        </w:rPr>
      </w:pPr>
      <w:r>
        <w:rPr>
          <w:rFonts w:hint="eastAsia" w:ascii="宋体" w:hAnsi="宋体" w:cs="宋体"/>
          <w:szCs w:val="21"/>
        </w:rPr>
        <w:t>二、持有合格有效的《食品生产许可证》或《食品经营许可证》，以及《工商营业执照》，并保证在许可范围内提供符合食品卫生标准的货源，且提供每批次食品应由有资质的检验机构出具的检验合格证。</w:t>
      </w:r>
    </w:p>
    <w:p w14:paraId="5C46E9B2">
      <w:pPr>
        <w:ind w:firstLine="367" w:firstLineChars="175"/>
        <w:rPr>
          <w:rFonts w:hint="eastAsia" w:ascii="宋体" w:hAnsi="宋体" w:cs="宋体"/>
          <w:szCs w:val="21"/>
        </w:rPr>
      </w:pPr>
      <w:r>
        <w:rPr>
          <w:rFonts w:hint="eastAsia" w:ascii="宋体" w:hAnsi="宋体" w:cs="宋体"/>
          <w:szCs w:val="21"/>
        </w:rPr>
        <w:t>三、保证食品原料来源合法、安全，不提供以下食品：</w:t>
      </w:r>
    </w:p>
    <w:p w14:paraId="2F019175">
      <w:pPr>
        <w:ind w:firstLine="367" w:firstLineChars="175"/>
        <w:rPr>
          <w:rFonts w:hint="eastAsia" w:ascii="宋体" w:hAnsi="宋体" w:cs="宋体"/>
          <w:szCs w:val="21"/>
        </w:rPr>
      </w:pPr>
      <w:r>
        <w:rPr>
          <w:rFonts w:hint="eastAsia" w:ascii="宋体" w:hAnsi="宋体" w:cs="宋体"/>
          <w:szCs w:val="21"/>
        </w:rPr>
        <w:t>（一）无证、照的供应商、农贸市场等销售的米、面、食用油、调味料等食品、食品添加剂和一次性餐具等食品相关产品。</w:t>
      </w:r>
    </w:p>
    <w:p w14:paraId="7F62F623">
      <w:pPr>
        <w:ind w:firstLine="367" w:firstLineChars="175"/>
        <w:rPr>
          <w:rFonts w:hint="eastAsia" w:ascii="宋体" w:hAnsi="宋体" w:cs="宋体"/>
          <w:szCs w:val="21"/>
        </w:rPr>
      </w:pPr>
      <w:r>
        <w:rPr>
          <w:rFonts w:hint="eastAsia" w:ascii="宋体" w:hAnsi="宋体" w:cs="宋体"/>
          <w:szCs w:val="21"/>
        </w:rPr>
        <w:t>（二）过期、变质或预包装无中文标识、无生产厂家、生产日期、标注内容不齐全、包装不完整或潲水油等假冒伪劣食用品。</w:t>
      </w:r>
    </w:p>
    <w:p w14:paraId="3919509F">
      <w:pPr>
        <w:ind w:firstLine="367" w:firstLineChars="175"/>
        <w:rPr>
          <w:rFonts w:hint="eastAsia" w:ascii="宋体" w:hAnsi="宋体" w:cs="宋体"/>
          <w:szCs w:val="21"/>
        </w:rPr>
      </w:pPr>
      <w:r>
        <w:rPr>
          <w:rFonts w:hint="eastAsia" w:ascii="宋体" w:hAnsi="宋体" w:cs="宋体"/>
          <w:szCs w:val="21"/>
        </w:rPr>
        <w:t>（三）非定点屠宰单位供应、未经检疫合格的猪肉，来源不明或不符合要求的水产品，以及病死或者死因不明的禽兽肉及其制品。</w:t>
      </w:r>
    </w:p>
    <w:p w14:paraId="1AE3E4EA">
      <w:pPr>
        <w:ind w:firstLine="367" w:firstLineChars="175"/>
        <w:rPr>
          <w:rFonts w:hint="eastAsia" w:ascii="宋体" w:hAnsi="宋体" w:cs="宋体"/>
          <w:szCs w:val="21"/>
        </w:rPr>
      </w:pPr>
      <w:r>
        <w:rPr>
          <w:rFonts w:hint="eastAsia" w:ascii="宋体" w:hAnsi="宋体" w:cs="宋体"/>
          <w:szCs w:val="21"/>
        </w:rPr>
        <w:t>（四）《食品安全法》第三十四条禁止生产经营的其他食品。</w:t>
      </w:r>
    </w:p>
    <w:p w14:paraId="63D93FB6">
      <w:pPr>
        <w:ind w:firstLine="367" w:firstLineChars="175"/>
        <w:rPr>
          <w:rFonts w:hint="eastAsia" w:ascii="宋体" w:hAnsi="宋体" w:cs="宋体"/>
          <w:szCs w:val="21"/>
        </w:rPr>
      </w:pPr>
      <w:r>
        <w:rPr>
          <w:rFonts w:hint="eastAsia" w:ascii="宋体" w:hAnsi="宋体" w:cs="宋体"/>
          <w:szCs w:val="21"/>
        </w:rPr>
        <w:t>四、不弄虚作假，造成食堂食品安全问题的，我公司承担一切法律后果和赔偿责任；经检测不合格的产品，同意一律当场销毁。</w:t>
      </w:r>
    </w:p>
    <w:p w14:paraId="7AC6D6AB">
      <w:pPr>
        <w:ind w:firstLine="367" w:firstLineChars="175"/>
        <w:rPr>
          <w:rFonts w:hint="eastAsia" w:ascii="宋体" w:hAnsi="宋体" w:cs="宋体"/>
          <w:szCs w:val="21"/>
        </w:rPr>
      </w:pPr>
      <w:r>
        <w:rPr>
          <w:rFonts w:hint="eastAsia" w:ascii="宋体" w:hAnsi="宋体" w:cs="宋体"/>
          <w:szCs w:val="21"/>
        </w:rPr>
        <w:t>五、自觉建立票、据、证档案，无条件配合食堂工作人员建立食品原料、食品添加剂、食品相关产品进货查验记录制度，按要求如实记录相关进货信息。</w:t>
      </w:r>
    </w:p>
    <w:p w14:paraId="28D6318E">
      <w:pPr>
        <w:ind w:firstLine="367" w:firstLineChars="175"/>
        <w:rPr>
          <w:rFonts w:hint="eastAsia" w:ascii="宋体" w:hAnsi="宋体" w:cs="宋体"/>
          <w:szCs w:val="21"/>
        </w:rPr>
      </w:pPr>
      <w:r>
        <w:rPr>
          <w:rFonts w:hint="eastAsia" w:ascii="宋体" w:hAnsi="宋体" w:cs="宋体"/>
          <w:szCs w:val="21"/>
        </w:rPr>
        <w:t>六、接收和配合市场监督管理部门对本单位的食品安全监督检查，如实提供有关情况资料，并落实监督部门提出的整改意见，发现食品安全问题及时报告。</w:t>
      </w:r>
    </w:p>
    <w:p w14:paraId="0E7E2100">
      <w:pPr>
        <w:ind w:firstLine="367" w:firstLineChars="175"/>
        <w:rPr>
          <w:rFonts w:hint="eastAsia" w:ascii="宋体" w:hAnsi="宋体" w:cs="宋体"/>
          <w:szCs w:val="21"/>
        </w:rPr>
      </w:pPr>
      <w:r>
        <w:rPr>
          <w:rFonts w:hint="eastAsia" w:ascii="宋体" w:hAnsi="宋体" w:cs="宋体"/>
          <w:szCs w:val="21"/>
        </w:rPr>
        <w:t>七、自行承担工作及运输过程的安全生产管理及责任</w:t>
      </w:r>
    </w:p>
    <w:p w14:paraId="639787E2">
      <w:pPr>
        <w:ind w:firstLine="367" w:firstLineChars="175"/>
        <w:rPr>
          <w:rFonts w:hint="eastAsia" w:ascii="宋体" w:hAnsi="宋体" w:cs="宋体"/>
          <w:szCs w:val="21"/>
        </w:rPr>
      </w:pPr>
      <w:r>
        <w:rPr>
          <w:rFonts w:hint="eastAsia" w:ascii="宋体" w:hAnsi="宋体" w:cs="宋体"/>
          <w:szCs w:val="21"/>
        </w:rPr>
        <w:t>本公司自愿签署以上承诺，并将严格履行承诺，如有违反，愿意承担相应的法律责任，并接受处罚。欢迎社会各界予以监督。该承诺书与合同具有同等的法律效力。</w:t>
      </w:r>
    </w:p>
    <w:p w14:paraId="60D77B6D">
      <w:pPr>
        <w:jc w:val="center"/>
        <w:rPr>
          <w:rFonts w:hint="eastAsia" w:ascii="宋体" w:hAnsi="宋体" w:cs="宋体"/>
          <w:szCs w:val="21"/>
        </w:rPr>
      </w:pPr>
      <w:r>
        <w:rPr>
          <w:rFonts w:hint="eastAsia" w:ascii="宋体" w:hAnsi="宋体" w:cs="宋体"/>
          <w:szCs w:val="21"/>
        </w:rPr>
        <w:t xml:space="preserve">                                        投标单位：（盖章）</w:t>
      </w:r>
    </w:p>
    <w:p w14:paraId="356A2E3B">
      <w:pPr>
        <w:jc w:val="center"/>
        <w:rPr>
          <w:rFonts w:hint="eastAsia" w:ascii="宋体" w:hAnsi="宋体" w:cs="宋体"/>
          <w:szCs w:val="21"/>
        </w:rPr>
      </w:pPr>
      <w:r>
        <w:rPr>
          <w:rFonts w:hint="eastAsia" w:ascii="宋体" w:hAnsi="宋体" w:cs="宋体"/>
          <w:szCs w:val="21"/>
        </w:rPr>
        <w:t xml:space="preserve">                               授权代表或法人代表：（签字）</w:t>
      </w:r>
    </w:p>
    <w:p w14:paraId="4B1CE271">
      <w:pPr>
        <w:pStyle w:val="8"/>
        <w:spacing w:before="60" w:beforeLines="25" w:after="60" w:afterLines="25"/>
        <w:ind w:firstLine="392" w:firstLineChars="187"/>
        <w:rPr>
          <w:rFonts w:hint="eastAsia" w:ascii="宋体" w:hAnsi="宋体" w:cs="宋体"/>
          <w:szCs w:val="21"/>
        </w:rPr>
      </w:pPr>
      <w:r>
        <w:rPr>
          <w:rFonts w:hint="eastAsia" w:ascii="宋体" w:hAnsi="宋体" w:cs="宋体"/>
          <w:szCs w:val="21"/>
        </w:rPr>
        <w:t xml:space="preserve">                                      年      月     日</w:t>
      </w:r>
    </w:p>
    <w:p w14:paraId="5A29EA93">
      <w:pPr>
        <w:pStyle w:val="8"/>
        <w:spacing w:before="60" w:beforeLines="25" w:after="60" w:afterLines="25"/>
        <w:ind w:firstLine="392" w:firstLineChars="187"/>
        <w:rPr>
          <w:rFonts w:ascii="宋体" w:hAnsi="宋体"/>
          <w:szCs w:val="21"/>
        </w:rPr>
      </w:pPr>
    </w:p>
    <w:p w14:paraId="79A248CA">
      <w:pPr>
        <w:pStyle w:val="8"/>
        <w:spacing w:before="60" w:beforeLines="25" w:after="60" w:afterLines="25"/>
        <w:ind w:firstLine="392" w:firstLineChars="187"/>
        <w:rPr>
          <w:rFonts w:ascii="宋体" w:hAnsi="宋体"/>
          <w:szCs w:val="21"/>
        </w:rPr>
      </w:pPr>
    </w:p>
    <w:p w14:paraId="7EC3026E">
      <w:pPr>
        <w:pStyle w:val="8"/>
        <w:spacing w:before="60" w:beforeLines="25" w:after="60" w:afterLines="25"/>
        <w:ind w:firstLine="392" w:firstLineChars="187"/>
        <w:rPr>
          <w:rFonts w:ascii="宋体" w:hAnsi="宋体"/>
          <w:szCs w:val="21"/>
        </w:rPr>
      </w:pPr>
    </w:p>
    <w:p w14:paraId="1AB72ED8">
      <w:r>
        <w:rPr>
          <w:rFonts w:hint="eastAsia"/>
        </w:rPr>
        <w:br w:type="page"/>
      </w:r>
    </w:p>
    <w:p w14:paraId="4455923C">
      <w:pPr>
        <w:pStyle w:val="6"/>
        <w:spacing w:before="120" w:beforeLines="50" w:after="120" w:afterLines="50"/>
        <w:rPr>
          <w:rFonts w:hint="eastAsia"/>
          <w:szCs w:val="24"/>
        </w:rPr>
      </w:pPr>
    </w:p>
    <w:p w14:paraId="1F0DB53D">
      <w:pPr>
        <w:pStyle w:val="6"/>
        <w:spacing w:before="120" w:beforeLines="50" w:after="120" w:afterLines="50"/>
        <w:rPr>
          <w:rFonts w:hint="eastAsia"/>
          <w:szCs w:val="24"/>
        </w:rPr>
      </w:pPr>
    </w:p>
    <w:p w14:paraId="53FAD8B3">
      <w:pPr>
        <w:pStyle w:val="6"/>
        <w:spacing w:before="120" w:beforeLines="50" w:after="120" w:afterLines="50"/>
        <w:rPr>
          <w:szCs w:val="24"/>
        </w:rPr>
      </w:pPr>
      <w:r>
        <w:rPr>
          <w:rFonts w:hint="eastAsia"/>
          <w:szCs w:val="24"/>
        </w:rPr>
        <w:t>七、其他重要条款</w:t>
      </w:r>
    </w:p>
    <w:p w14:paraId="64B8A458">
      <w:pPr>
        <w:ind w:firstLine="420" w:firstLineChars="200"/>
        <w:rPr>
          <w:bCs/>
          <w:szCs w:val="21"/>
          <w:highlight w:val="none"/>
        </w:rPr>
      </w:pPr>
      <w:r>
        <w:rPr>
          <w:rFonts w:hint="eastAsia"/>
          <w:bCs/>
          <w:szCs w:val="21"/>
        </w:rPr>
        <w:t>1、</w:t>
      </w:r>
      <w:r>
        <w:rPr>
          <w:rFonts w:hint="eastAsia"/>
          <w:bCs/>
          <w:szCs w:val="21"/>
          <w:highlight w:val="none"/>
        </w:rPr>
        <w:t>本项目投标报价</w:t>
      </w:r>
      <w:r>
        <w:rPr>
          <w:rFonts w:hint="eastAsia"/>
          <w:bCs/>
          <w:szCs w:val="21"/>
          <w:highlight w:val="none"/>
          <w:lang w:eastAsia="zh-CN"/>
        </w:rPr>
        <w:t>已</w:t>
      </w:r>
      <w:r>
        <w:rPr>
          <w:rFonts w:hint="eastAsia"/>
          <w:bCs/>
          <w:szCs w:val="21"/>
          <w:highlight w:val="none"/>
        </w:rPr>
        <w:t>包括成本、法定税费和相应的利润，应涵盖本项目招标范围和招标文件所列的各项内容中所述的全部。由投标人根据招标需求自行测算投标报价；一经中标，投标报价即作为中标单位与采购人签订的合同金额</w:t>
      </w:r>
      <w:r>
        <w:rPr>
          <w:rFonts w:hint="eastAsia"/>
          <w:bCs/>
          <w:szCs w:val="21"/>
          <w:highlight w:val="none"/>
          <w:lang w:eastAsia="zh-CN"/>
        </w:rPr>
        <w:t>。若实际工作量低于报价工作量，以实际结算为准；若实际工作量超出报价工作量，实行包干制</w:t>
      </w:r>
      <w:r>
        <w:rPr>
          <w:rFonts w:hint="eastAsia"/>
          <w:bCs/>
          <w:szCs w:val="21"/>
          <w:highlight w:val="none"/>
        </w:rPr>
        <w:t>。</w:t>
      </w:r>
    </w:p>
    <w:p w14:paraId="67424FFB">
      <w:pPr>
        <w:pStyle w:val="8"/>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14:paraId="4F10715D">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205D23D3">
      <w:pPr>
        <w:ind w:firstLine="420" w:firstLineChars="200"/>
        <w:rPr>
          <w:bCs/>
          <w:szCs w:val="21"/>
        </w:rPr>
      </w:pPr>
      <w:r>
        <w:rPr>
          <w:rFonts w:hint="eastAsia" w:ascii="Times New Roman" w:eastAsia="宋体"/>
          <w:bCs/>
          <w:szCs w:val="21"/>
          <w:lang w:val="en-US" w:eastAsia="zh-CN"/>
        </w:rPr>
        <w:t>4</w:t>
      </w:r>
      <w:r>
        <w:rPr>
          <w:rFonts w:hint="eastAsia"/>
          <w:bCs/>
          <w:szCs w:val="21"/>
        </w:rPr>
        <w:t>、除政府采购合同继续履行将损害国家利益和社会公共利益外，双方当事人不得擅自变更、中止或者终止合同。</w:t>
      </w:r>
    </w:p>
    <w:p w14:paraId="0CBE16C1">
      <w:pPr>
        <w:ind w:firstLine="420" w:firstLineChars="200"/>
        <w:rPr>
          <w:rFonts w:hint="eastAsia" w:eastAsia="宋体"/>
          <w:bCs/>
          <w:szCs w:val="21"/>
          <w:lang w:val="en-US" w:eastAsia="zh-CN"/>
        </w:rPr>
      </w:pPr>
      <w:r>
        <w:rPr>
          <w:rFonts w:hint="eastAsia" w:ascii="Times New Roman" w:eastAsia="宋体"/>
          <w:bCs/>
          <w:szCs w:val="21"/>
          <w:lang w:val="en-US" w:eastAsia="zh-CN"/>
        </w:rPr>
        <w:t>5</w:t>
      </w:r>
      <w:r>
        <w:rPr>
          <w:rFonts w:hint="eastAsia"/>
          <w:bCs/>
          <w:szCs w:val="21"/>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ascii="Times New Roman" w:eastAsia="宋体"/>
          <w:bCs/>
          <w:szCs w:val="21"/>
          <w:lang w:val="en-US" w:eastAsia="zh-CN"/>
        </w:rPr>
        <w:t>。</w:t>
      </w:r>
    </w:p>
    <w:p w14:paraId="133C3F78">
      <w:pPr>
        <w:pStyle w:val="8"/>
        <w:spacing w:before="60" w:beforeLines="25" w:after="60" w:afterLines="25"/>
        <w:ind w:firstLine="392" w:firstLineChars="187"/>
        <w:rPr>
          <w:rFonts w:ascii="宋体" w:hAnsi="宋体"/>
          <w:szCs w:val="21"/>
        </w:rPr>
      </w:pPr>
    </w:p>
    <w:p w14:paraId="302084B7">
      <w:pPr>
        <w:pStyle w:val="8"/>
        <w:spacing w:before="60" w:beforeLines="25" w:after="60" w:afterLines="25"/>
        <w:ind w:firstLine="392" w:firstLineChars="187"/>
        <w:rPr>
          <w:rFonts w:ascii="宋体" w:hAnsi="宋体"/>
          <w:szCs w:val="21"/>
        </w:rPr>
      </w:pPr>
    </w:p>
    <w:p w14:paraId="58622F8F">
      <w:r>
        <w:rPr>
          <w:rFonts w:ascii="宋体" w:hAnsi="宋体"/>
          <w:szCs w:val="21"/>
        </w:rPr>
        <w:br w:type="page"/>
      </w:r>
    </w:p>
    <w:p w14:paraId="715D255D"/>
    <w:p w14:paraId="26713746">
      <w:pPr>
        <w:pStyle w:val="6"/>
        <w:rPr>
          <w:rFonts w:hint="eastAsia" w:eastAsia="宋体"/>
          <w:kern w:val="2"/>
          <w:lang w:eastAsia="zh-CN"/>
        </w:rPr>
      </w:pPr>
      <w:r>
        <w:rPr>
          <w:rFonts w:hint="eastAsia"/>
          <w:kern w:val="2"/>
        </w:rPr>
        <w:t>第四章 投标文件组成要求及格式</w:t>
      </w:r>
      <w:r>
        <w:rPr>
          <w:rFonts w:hint="eastAsia"/>
          <w:lang w:eastAsia="zh-CN"/>
        </w:rPr>
        <w:t>（不公开部分）</w:t>
      </w:r>
    </w:p>
    <w:p w14:paraId="2DC6C46E">
      <w:pPr>
        <w:rPr>
          <w:rFonts w:ascii="宋体" w:hAnsi="宋体"/>
          <w:sz w:val="24"/>
        </w:rPr>
      </w:pPr>
      <w:bookmarkStart w:id="32" w:name="_Hlk72257253"/>
      <w:r>
        <w:rPr>
          <w:rFonts w:hint="eastAsia" w:ascii="宋体" w:hAnsi="宋体"/>
          <w:sz w:val="24"/>
        </w:rPr>
        <w:t>投标文件组成：</w:t>
      </w:r>
    </w:p>
    <w:p w14:paraId="19C83F74">
      <w:pPr>
        <w:ind w:firstLine="1200" w:firstLineChars="500"/>
        <w:outlineLvl w:val="0"/>
        <w:rPr>
          <w:rFonts w:ascii="宋体" w:hAnsi="宋体"/>
          <w:sz w:val="24"/>
        </w:rPr>
      </w:pPr>
      <w:r>
        <w:rPr>
          <w:rFonts w:hint="eastAsia" w:ascii="宋体" w:hAnsi="宋体"/>
          <w:sz w:val="24"/>
        </w:rPr>
        <w:t>1.投标文件正文，主要包括以下内容：</w:t>
      </w:r>
    </w:p>
    <w:p w14:paraId="1D1975DD">
      <w:pPr>
        <w:ind w:left="718" w:leftChars="342" w:firstLine="1417" w:firstLineChars="675"/>
        <w:rPr>
          <w:szCs w:val="21"/>
        </w:rPr>
      </w:pPr>
      <w:r>
        <w:rPr>
          <w:rFonts w:hint="eastAsia"/>
          <w:szCs w:val="21"/>
        </w:rPr>
        <w:t>（1）</w:t>
      </w:r>
      <w:bookmarkStart w:id="33" w:name="_Hlk72070784"/>
      <w:r>
        <w:rPr>
          <w:rFonts w:hint="eastAsia"/>
          <w:szCs w:val="21"/>
        </w:rPr>
        <w:t>投标函</w:t>
      </w:r>
      <w:bookmarkEnd w:id="33"/>
    </w:p>
    <w:p w14:paraId="5CAF27AF">
      <w:pPr>
        <w:ind w:left="718" w:leftChars="342" w:firstLine="1417" w:firstLineChars="675"/>
        <w:rPr>
          <w:szCs w:val="21"/>
        </w:rPr>
      </w:pPr>
      <w:r>
        <w:rPr>
          <w:rFonts w:hint="eastAsia"/>
          <w:szCs w:val="21"/>
        </w:rPr>
        <w:t>（2）</w:t>
      </w:r>
      <w:bookmarkStart w:id="34" w:name="_Hlk72062521"/>
      <w:r>
        <w:rPr>
          <w:rFonts w:hint="eastAsia"/>
          <w:szCs w:val="21"/>
        </w:rPr>
        <w:t>政府采购投标及履约承诺函</w:t>
      </w:r>
      <w:bookmarkEnd w:id="34"/>
    </w:p>
    <w:p w14:paraId="12E0757B">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58A3125A">
      <w:pPr>
        <w:ind w:left="718" w:leftChars="342" w:firstLine="1417" w:firstLineChars="675"/>
        <w:rPr>
          <w:rFonts w:ascii="宋体" w:hAnsi="宋体"/>
          <w:szCs w:val="21"/>
        </w:rPr>
      </w:pPr>
      <w:bookmarkStart w:id="35" w:name="_Hlk72257201"/>
      <w:r>
        <w:rPr>
          <w:rFonts w:hint="eastAsia"/>
          <w:szCs w:val="21"/>
        </w:rPr>
        <w:t>（</w:t>
      </w:r>
      <w:r>
        <w:rPr>
          <w:szCs w:val="21"/>
        </w:rPr>
        <w:t>4</w:t>
      </w:r>
      <w:r>
        <w:rPr>
          <w:rFonts w:hint="eastAsia"/>
          <w:szCs w:val="21"/>
        </w:rPr>
        <w:t>）项目详细报价</w:t>
      </w:r>
      <w:bookmarkEnd w:id="35"/>
    </w:p>
    <w:p w14:paraId="53AEB592">
      <w:pPr>
        <w:ind w:left="718" w:leftChars="342" w:firstLine="1417" w:firstLineChars="675"/>
        <w:rPr>
          <w:rFonts w:hint="eastAsia" w:eastAsia="宋体"/>
          <w:szCs w:val="21"/>
          <w:lang w:val="en-US" w:eastAsia="zh-CN"/>
        </w:rPr>
      </w:pPr>
      <w:bookmarkStart w:id="36" w:name="_Hlk110596703"/>
      <w:r>
        <w:rPr>
          <w:rFonts w:hint="eastAsia" w:eastAsia="宋体"/>
          <w:szCs w:val="21"/>
        </w:rPr>
        <w:t>（5）</w:t>
      </w:r>
      <w:r>
        <w:rPr>
          <w:rFonts w:hint="eastAsia" w:eastAsia="宋体"/>
          <w:szCs w:val="21"/>
          <w:lang w:val="en-US" w:eastAsia="zh-CN"/>
        </w:rPr>
        <w:t>投标人通过相关认证情况</w:t>
      </w:r>
    </w:p>
    <w:bookmarkEnd w:id="36"/>
    <w:p w14:paraId="5C3D7297">
      <w:pPr>
        <w:ind w:left="718" w:leftChars="342" w:firstLine="1417" w:firstLineChars="675"/>
        <w:rPr>
          <w:rFonts w:hint="eastAsia" w:eastAsia="宋体"/>
          <w:szCs w:val="21"/>
          <w:lang w:val="en-US" w:eastAsia="zh-CN"/>
        </w:rPr>
      </w:pPr>
      <w:r>
        <w:rPr>
          <w:rFonts w:hint="eastAsia" w:eastAsia="宋体"/>
          <w:szCs w:val="21"/>
        </w:rPr>
        <w:t>（6）</w:t>
      </w:r>
      <w:r>
        <w:rPr>
          <w:rFonts w:hint="eastAsia" w:eastAsia="宋体"/>
          <w:szCs w:val="21"/>
          <w:lang w:val="en-US" w:eastAsia="zh-CN"/>
        </w:rPr>
        <w:t>投标人同类项目业绩情况</w:t>
      </w:r>
    </w:p>
    <w:p w14:paraId="1D892A05">
      <w:pPr>
        <w:ind w:left="718" w:leftChars="342" w:firstLine="1417" w:firstLineChars="675"/>
        <w:rPr>
          <w:rFonts w:hint="eastAsia" w:eastAsia="宋体"/>
          <w:szCs w:val="21"/>
          <w:lang w:val="en-US" w:eastAsia="zh-CN"/>
        </w:rPr>
      </w:pPr>
      <w:r>
        <w:rPr>
          <w:rFonts w:hint="eastAsia" w:eastAsia="宋体"/>
          <w:szCs w:val="21"/>
        </w:rPr>
        <w:t>（7）</w:t>
      </w:r>
      <w:r>
        <w:rPr>
          <w:rFonts w:hint="eastAsia" w:eastAsia="宋体"/>
          <w:szCs w:val="21"/>
          <w:lang w:val="en-US" w:eastAsia="zh-CN"/>
        </w:rPr>
        <w:t>信息化能力</w:t>
      </w:r>
    </w:p>
    <w:p w14:paraId="1A5304F2">
      <w:pPr>
        <w:ind w:firstLine="1200" w:firstLineChars="500"/>
        <w:outlineLvl w:val="0"/>
        <w:rPr>
          <w:rFonts w:ascii="宋体" w:hAnsi="宋体"/>
          <w:sz w:val="24"/>
        </w:rPr>
      </w:pPr>
      <w:r>
        <w:rPr>
          <w:rFonts w:hint="eastAsia" w:ascii="宋体" w:hAnsi="宋体"/>
          <w:sz w:val="24"/>
        </w:rPr>
        <w:t>2.投标文件附件：主要包括以下内容：</w:t>
      </w:r>
    </w:p>
    <w:p w14:paraId="7051FB22">
      <w:pPr>
        <w:ind w:firstLine="2100" w:firstLineChars="1000"/>
        <w:rPr>
          <w:rFonts w:hint="eastAsia"/>
          <w:szCs w:val="21"/>
          <w:lang w:val="en-US" w:eastAsia="zh-CN"/>
        </w:rPr>
      </w:pPr>
      <w:r>
        <w:rPr>
          <w:rFonts w:hint="eastAsia"/>
          <w:szCs w:val="21"/>
        </w:rPr>
        <w:t>（1）</w:t>
      </w:r>
      <w:r>
        <w:rPr>
          <w:rFonts w:hint="eastAsia"/>
          <w:szCs w:val="21"/>
          <w:lang w:val="en-US" w:eastAsia="zh-CN"/>
        </w:rPr>
        <w:t>供应商基本情况表</w:t>
      </w:r>
    </w:p>
    <w:p w14:paraId="05F5C3AD">
      <w:pPr>
        <w:ind w:firstLine="2100" w:firstLineChars="1000"/>
        <w:rPr>
          <w:szCs w:val="21"/>
        </w:rPr>
      </w:pPr>
      <w:r>
        <w:rPr>
          <w:rFonts w:hint="eastAsia"/>
          <w:szCs w:val="21"/>
        </w:rPr>
        <w:t>（2）法定代表人（负责人）证明书</w:t>
      </w:r>
    </w:p>
    <w:p w14:paraId="6F1031B2">
      <w:pPr>
        <w:ind w:left="718" w:leftChars="342" w:firstLine="1417" w:firstLineChars="675"/>
        <w:rPr>
          <w:szCs w:val="21"/>
        </w:rPr>
      </w:pPr>
      <w:r>
        <w:rPr>
          <w:rFonts w:hint="eastAsia"/>
          <w:szCs w:val="21"/>
        </w:rPr>
        <w:t>（3）投标文件签署授权委托书</w:t>
      </w:r>
    </w:p>
    <w:p w14:paraId="262B56D5">
      <w:pPr>
        <w:ind w:left="718" w:leftChars="342" w:firstLine="1417" w:firstLineChars="675"/>
        <w:rPr>
          <w:rFonts w:hint="eastAsia" w:eastAsia="宋体"/>
          <w:szCs w:val="21"/>
        </w:rPr>
      </w:pPr>
      <w:r>
        <w:rPr>
          <w:rFonts w:hint="eastAsia" w:eastAsia="宋体"/>
          <w:szCs w:val="21"/>
        </w:rPr>
        <w:t>（</w:t>
      </w:r>
      <w:r>
        <w:rPr>
          <w:rFonts w:hint="eastAsia" w:eastAsia="宋体"/>
          <w:szCs w:val="21"/>
          <w:lang w:val="en-US" w:eastAsia="zh-CN"/>
        </w:rPr>
        <w:t>4</w:t>
      </w:r>
      <w:r>
        <w:rPr>
          <w:rFonts w:hint="eastAsia" w:eastAsia="宋体"/>
          <w:szCs w:val="21"/>
        </w:rPr>
        <w:t>）</w:t>
      </w:r>
      <w:r>
        <w:rPr>
          <w:szCs w:val="21"/>
        </w:rPr>
        <w:t>实质性条款响应情况表</w:t>
      </w:r>
    </w:p>
    <w:p w14:paraId="178056CA">
      <w:pPr>
        <w:ind w:left="718" w:leftChars="342" w:firstLine="1417" w:firstLineChars="675"/>
        <w:rPr>
          <w:rFonts w:hint="eastAsia" w:eastAsia="宋体"/>
          <w:szCs w:val="21"/>
        </w:rPr>
      </w:pPr>
      <w:r>
        <w:rPr>
          <w:rFonts w:hint="eastAsia" w:eastAsia="宋体"/>
          <w:szCs w:val="21"/>
        </w:rPr>
        <w:t>（5）项目整体设想及规划方案</w:t>
      </w:r>
    </w:p>
    <w:p w14:paraId="577DC47F">
      <w:pPr>
        <w:ind w:left="718" w:leftChars="342" w:firstLine="1417" w:firstLineChars="675"/>
        <w:rPr>
          <w:rFonts w:hint="default" w:eastAsia="宋体"/>
          <w:szCs w:val="21"/>
          <w:lang w:val="en-US" w:eastAsia="zh-CN"/>
        </w:rPr>
      </w:pPr>
      <w:r>
        <w:rPr>
          <w:rFonts w:hint="eastAsia" w:eastAsia="宋体"/>
          <w:szCs w:val="21"/>
        </w:rPr>
        <w:t>（6）</w:t>
      </w:r>
      <w:r>
        <w:rPr>
          <w:rFonts w:hint="eastAsia" w:eastAsia="宋体"/>
          <w:szCs w:val="21"/>
          <w:lang w:val="en-US" w:eastAsia="zh-CN"/>
        </w:rPr>
        <w:t>规章管理制度、工作流程等</w:t>
      </w:r>
    </w:p>
    <w:p w14:paraId="53F0955A">
      <w:pPr>
        <w:ind w:left="718" w:leftChars="342" w:firstLine="1417" w:firstLineChars="675"/>
        <w:rPr>
          <w:rFonts w:hint="eastAsia" w:eastAsia="宋体"/>
          <w:szCs w:val="21"/>
        </w:rPr>
      </w:pPr>
      <w:r>
        <w:rPr>
          <w:rFonts w:hint="eastAsia" w:eastAsia="宋体"/>
          <w:szCs w:val="21"/>
        </w:rPr>
        <w:t>（7）应急</w:t>
      </w:r>
      <w:r>
        <w:rPr>
          <w:rFonts w:hint="eastAsia" w:eastAsia="宋体"/>
          <w:szCs w:val="21"/>
          <w:lang w:val="en-US" w:eastAsia="zh-CN"/>
        </w:rPr>
        <w:t>预案</w:t>
      </w:r>
    </w:p>
    <w:p w14:paraId="67E2221F">
      <w:pPr>
        <w:ind w:left="718" w:leftChars="342" w:firstLine="1417" w:firstLineChars="675"/>
        <w:rPr>
          <w:rFonts w:hint="eastAsia" w:eastAsia="宋体"/>
          <w:szCs w:val="21"/>
          <w:lang w:val="en-US" w:eastAsia="zh-CN"/>
        </w:rPr>
      </w:pPr>
      <w:r>
        <w:rPr>
          <w:rFonts w:hint="eastAsia" w:eastAsia="宋体"/>
          <w:szCs w:val="21"/>
        </w:rPr>
        <w:t>（</w:t>
      </w:r>
      <w:r>
        <w:rPr>
          <w:rFonts w:hint="eastAsia" w:eastAsia="宋体"/>
          <w:szCs w:val="21"/>
          <w:lang w:val="en-US" w:eastAsia="zh-CN"/>
        </w:rPr>
        <w:t>8</w:t>
      </w:r>
      <w:r>
        <w:rPr>
          <w:rFonts w:hint="eastAsia" w:eastAsia="宋体"/>
          <w:szCs w:val="21"/>
        </w:rPr>
        <w:t>）</w:t>
      </w:r>
      <w:r>
        <w:rPr>
          <w:rFonts w:hint="eastAsia" w:eastAsia="宋体"/>
          <w:szCs w:val="21"/>
          <w:lang w:val="en-US" w:eastAsia="zh-CN"/>
        </w:rPr>
        <w:t>拟投入本项目冷库面积</w:t>
      </w:r>
    </w:p>
    <w:p w14:paraId="3F996572">
      <w:pPr>
        <w:ind w:left="718" w:leftChars="342" w:firstLine="1417" w:firstLineChars="675"/>
        <w:rPr>
          <w:rFonts w:hint="eastAsia" w:eastAsia="宋体"/>
          <w:szCs w:val="21"/>
        </w:rPr>
      </w:pPr>
      <w:r>
        <w:rPr>
          <w:rFonts w:hint="eastAsia"/>
          <w:szCs w:val="21"/>
          <w:lang w:eastAsia="zh-CN"/>
        </w:rPr>
        <w:t>（</w:t>
      </w:r>
      <w:r>
        <w:rPr>
          <w:rFonts w:hint="eastAsia"/>
          <w:szCs w:val="21"/>
          <w:lang w:val="en-US" w:eastAsia="zh-CN"/>
        </w:rPr>
        <w:t>9）</w:t>
      </w:r>
      <w:r>
        <w:rPr>
          <w:rFonts w:hint="eastAsia" w:eastAsia="宋体"/>
          <w:szCs w:val="21"/>
        </w:rPr>
        <w:t>拟用于本项目生产基地情况</w:t>
      </w:r>
    </w:p>
    <w:p w14:paraId="76223AA8">
      <w:pPr>
        <w:ind w:left="718" w:leftChars="342" w:firstLine="1417" w:firstLineChars="675"/>
        <w:rPr>
          <w:rFonts w:hint="eastAsia" w:eastAsia="宋体"/>
          <w:szCs w:val="21"/>
        </w:rPr>
      </w:pPr>
      <w:r>
        <w:rPr>
          <w:rFonts w:hint="eastAsia"/>
          <w:szCs w:val="21"/>
          <w:lang w:eastAsia="zh-CN"/>
        </w:rPr>
        <w:t>（</w:t>
      </w:r>
      <w:r>
        <w:rPr>
          <w:rFonts w:hint="eastAsia"/>
          <w:szCs w:val="21"/>
          <w:lang w:val="en-US" w:eastAsia="zh-CN"/>
        </w:rPr>
        <w:t>10）</w:t>
      </w:r>
      <w:r>
        <w:rPr>
          <w:rFonts w:hint="eastAsia" w:eastAsia="宋体"/>
          <w:szCs w:val="21"/>
        </w:rPr>
        <w:t>拟投入本项目的配送场所面积</w:t>
      </w:r>
    </w:p>
    <w:p w14:paraId="0697956B">
      <w:pPr>
        <w:ind w:left="718" w:leftChars="342" w:firstLine="1417" w:firstLineChars="675"/>
        <w:rPr>
          <w:rFonts w:hint="eastAsia" w:eastAsia="宋体"/>
          <w:szCs w:val="21"/>
        </w:rPr>
      </w:pPr>
      <w:r>
        <w:rPr>
          <w:rFonts w:hint="eastAsia"/>
          <w:szCs w:val="21"/>
          <w:lang w:eastAsia="zh-CN"/>
        </w:rPr>
        <w:t>（</w:t>
      </w:r>
      <w:r>
        <w:rPr>
          <w:rFonts w:hint="eastAsia"/>
          <w:szCs w:val="21"/>
          <w:lang w:val="en-US" w:eastAsia="zh-CN"/>
        </w:rPr>
        <w:t>11）</w:t>
      </w:r>
      <w:r>
        <w:rPr>
          <w:rFonts w:hint="eastAsia" w:eastAsia="宋体"/>
          <w:szCs w:val="21"/>
        </w:rPr>
        <w:t>食品安全检测能力</w:t>
      </w:r>
    </w:p>
    <w:p w14:paraId="10047589">
      <w:pPr>
        <w:ind w:left="718" w:leftChars="342" w:firstLine="1417" w:firstLineChars="675"/>
        <w:rPr>
          <w:rFonts w:hint="eastAsia" w:eastAsia="宋体"/>
          <w:szCs w:val="21"/>
        </w:rPr>
      </w:pPr>
      <w:r>
        <w:rPr>
          <w:rFonts w:hint="eastAsia"/>
          <w:szCs w:val="21"/>
          <w:lang w:eastAsia="zh-CN"/>
        </w:rPr>
        <w:t>（</w:t>
      </w:r>
      <w:r>
        <w:rPr>
          <w:rFonts w:hint="eastAsia"/>
          <w:szCs w:val="21"/>
          <w:lang w:val="en-US" w:eastAsia="zh-CN"/>
        </w:rPr>
        <w:t>12）</w:t>
      </w:r>
      <w:r>
        <w:rPr>
          <w:rFonts w:hint="eastAsia" w:eastAsia="宋体"/>
          <w:szCs w:val="21"/>
        </w:rPr>
        <w:t>食品安全保险</w:t>
      </w:r>
    </w:p>
    <w:p w14:paraId="6E165104">
      <w:pPr>
        <w:ind w:left="718" w:leftChars="342" w:firstLine="1417" w:firstLineChars="675"/>
        <w:rPr>
          <w:rFonts w:hint="eastAsia" w:eastAsia="宋体"/>
          <w:szCs w:val="21"/>
        </w:rPr>
      </w:pPr>
      <w:r>
        <w:rPr>
          <w:rFonts w:hint="eastAsia"/>
          <w:szCs w:val="21"/>
          <w:lang w:eastAsia="zh-CN"/>
        </w:rPr>
        <w:t>（</w:t>
      </w:r>
      <w:r>
        <w:rPr>
          <w:rFonts w:hint="eastAsia"/>
          <w:szCs w:val="21"/>
          <w:lang w:val="en-US" w:eastAsia="zh-CN"/>
        </w:rPr>
        <w:t>13）</w:t>
      </w:r>
      <w:r>
        <w:rPr>
          <w:rFonts w:hint="eastAsia" w:eastAsia="宋体"/>
          <w:szCs w:val="21"/>
        </w:rPr>
        <w:t>拟投入本项目的车辆</w:t>
      </w:r>
    </w:p>
    <w:p w14:paraId="5097DBA6">
      <w:pPr>
        <w:ind w:left="718" w:leftChars="342" w:firstLine="1417" w:firstLineChars="675"/>
        <w:rPr>
          <w:rFonts w:hint="eastAsia" w:eastAsia="宋体"/>
          <w:szCs w:val="21"/>
        </w:rPr>
      </w:pPr>
      <w:r>
        <w:rPr>
          <w:rFonts w:hint="eastAsia"/>
          <w:szCs w:val="21"/>
          <w:lang w:eastAsia="zh-CN"/>
        </w:rPr>
        <w:t>（</w:t>
      </w:r>
      <w:r>
        <w:rPr>
          <w:rFonts w:hint="eastAsia"/>
          <w:szCs w:val="21"/>
          <w:lang w:val="en-US" w:eastAsia="zh-CN"/>
        </w:rPr>
        <w:t>14）</w:t>
      </w:r>
      <w:r>
        <w:rPr>
          <w:rFonts w:hint="eastAsia" w:eastAsia="宋体"/>
          <w:szCs w:val="21"/>
        </w:rPr>
        <w:t>拟安排本项目负责人（限1人）</w:t>
      </w:r>
    </w:p>
    <w:p w14:paraId="69A2EF1E">
      <w:pPr>
        <w:ind w:left="718" w:leftChars="342" w:firstLine="1417" w:firstLineChars="675"/>
        <w:rPr>
          <w:rFonts w:hint="eastAsia" w:eastAsia="宋体"/>
          <w:szCs w:val="21"/>
        </w:rPr>
      </w:pPr>
      <w:r>
        <w:rPr>
          <w:rFonts w:hint="eastAsia"/>
          <w:szCs w:val="21"/>
          <w:lang w:eastAsia="zh-CN"/>
        </w:rPr>
        <w:t>（</w:t>
      </w:r>
      <w:r>
        <w:rPr>
          <w:rFonts w:hint="eastAsia"/>
          <w:szCs w:val="21"/>
          <w:lang w:val="en-US" w:eastAsia="zh-CN"/>
        </w:rPr>
        <w:t>15）</w:t>
      </w:r>
      <w:r>
        <w:rPr>
          <w:rFonts w:hint="eastAsia" w:eastAsia="宋体"/>
          <w:szCs w:val="21"/>
        </w:rPr>
        <w:t>拟安排本项目的团队成员情况（项目负责人除外）</w:t>
      </w:r>
    </w:p>
    <w:p w14:paraId="16968000">
      <w:pPr>
        <w:ind w:left="718" w:leftChars="342" w:firstLine="1417" w:firstLineChars="675"/>
        <w:rPr>
          <w:rFonts w:hint="eastAsia" w:eastAsia="宋体"/>
          <w:szCs w:val="21"/>
        </w:rPr>
      </w:pPr>
      <w:r>
        <w:rPr>
          <w:rFonts w:hint="eastAsia"/>
          <w:szCs w:val="21"/>
          <w:lang w:eastAsia="zh-CN"/>
        </w:rPr>
        <w:t>（</w:t>
      </w:r>
      <w:r>
        <w:rPr>
          <w:rFonts w:hint="eastAsia"/>
          <w:szCs w:val="21"/>
          <w:lang w:val="en-US" w:eastAsia="zh-CN"/>
        </w:rPr>
        <w:t>16）</w:t>
      </w:r>
      <w:r>
        <w:rPr>
          <w:rFonts w:hint="eastAsia" w:eastAsia="宋体"/>
          <w:szCs w:val="21"/>
        </w:rPr>
        <w:t>检验检测报告</w:t>
      </w:r>
    </w:p>
    <w:p w14:paraId="09D618BC">
      <w:pPr>
        <w:ind w:left="718" w:leftChars="342" w:firstLine="1417" w:firstLineChars="675"/>
        <w:rPr>
          <w:rFonts w:hint="eastAsia"/>
          <w:szCs w:val="21"/>
        </w:rPr>
      </w:pPr>
      <w:r>
        <w:rPr>
          <w:rFonts w:hint="eastAsia"/>
          <w:szCs w:val="21"/>
          <w:lang w:eastAsia="zh-CN"/>
        </w:rPr>
        <w:t>（</w:t>
      </w:r>
      <w:r>
        <w:rPr>
          <w:rFonts w:hint="eastAsia"/>
          <w:szCs w:val="21"/>
          <w:lang w:val="en-US" w:eastAsia="zh-CN"/>
        </w:rPr>
        <w:t>17</w:t>
      </w:r>
      <w:r>
        <w:rPr>
          <w:rFonts w:hint="eastAsia"/>
          <w:szCs w:val="21"/>
          <w:lang w:eastAsia="zh-CN"/>
        </w:rPr>
        <w:t>）</w:t>
      </w:r>
      <w:r>
        <w:rPr>
          <w:rFonts w:hint="eastAsia"/>
          <w:szCs w:val="21"/>
        </w:rPr>
        <w:t>投标人认为需要加以说明的其他内容</w:t>
      </w:r>
    </w:p>
    <w:p w14:paraId="6C4ED7F9">
      <w:pPr>
        <w:pStyle w:val="2"/>
      </w:pPr>
    </w:p>
    <w:bookmarkEnd w:id="32"/>
    <w:p w14:paraId="2DC91DFE">
      <w:pPr>
        <w:ind w:left="718" w:leftChars="342" w:firstLine="1417" w:firstLineChars="675"/>
        <w:rPr>
          <w:szCs w:val="21"/>
        </w:rPr>
      </w:pPr>
    </w:p>
    <w:p w14:paraId="3E76AD88">
      <w:pPr>
        <w:ind w:firstLine="426" w:firstLineChars="202"/>
        <w:rPr>
          <w:rFonts w:ascii="宋体" w:hAnsi="宋体"/>
          <w:b/>
          <w:szCs w:val="21"/>
        </w:rPr>
      </w:pPr>
      <w:bookmarkStart w:id="37" w:name="_Hlk72257771"/>
      <w:r>
        <w:rPr>
          <w:rFonts w:hint="eastAsia" w:ascii="宋体" w:hAnsi="宋体"/>
          <w:b/>
          <w:szCs w:val="21"/>
        </w:rPr>
        <w:t>备注：</w:t>
      </w:r>
    </w:p>
    <w:p w14:paraId="0231CDB7">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14:paraId="0F11A888">
      <w:pPr>
        <w:ind w:firstLine="422" w:firstLineChars="200"/>
        <w:rPr>
          <w:rFonts w:ascii="宋体" w:hAnsi="宋体"/>
          <w:color w:val="FF0000"/>
          <w:sz w:val="24"/>
        </w:rPr>
      </w:pPr>
      <w:bookmarkStart w:id="38" w:name="_Hlk72263559"/>
      <w:r>
        <w:rPr>
          <w:rFonts w:hint="eastAsia" w:ascii="宋体" w:hAnsi="宋体"/>
          <w:b/>
          <w:szCs w:val="21"/>
        </w:rPr>
        <w:t>2.关于填写“开标一览表”的说明：“开标一览表”中除“投标总价”外，其他信息不作评审依据。</w:t>
      </w:r>
      <w:bookmarkEnd w:id="37"/>
      <w:bookmarkEnd w:id="38"/>
    </w:p>
    <w:p w14:paraId="0F5B5A82">
      <w:pPr>
        <w:rPr>
          <w:rFonts w:ascii="宋体" w:hAnsi="宋体"/>
          <w:color w:val="FF0000"/>
          <w:sz w:val="24"/>
        </w:rPr>
      </w:pPr>
    </w:p>
    <w:p w14:paraId="0066A475">
      <w:pPr>
        <w:rPr>
          <w:rFonts w:ascii="宋体" w:hAnsi="宋体"/>
          <w:color w:val="FF0000"/>
          <w:sz w:val="24"/>
        </w:rPr>
        <w:sectPr>
          <w:pgSz w:w="11907" w:h="16840"/>
          <w:pgMar w:top="1440" w:right="1797" w:bottom="1440" w:left="1797" w:header="851" w:footer="992" w:gutter="0"/>
          <w:cols w:space="425" w:num="1"/>
          <w:titlePg/>
          <w:docGrid w:linePitch="462" w:charSpace="0"/>
        </w:sectPr>
      </w:pPr>
    </w:p>
    <w:p w14:paraId="23B20F5C">
      <w:pPr>
        <w:outlineLvl w:val="1"/>
        <w:rPr>
          <w:rFonts w:ascii="宋体" w:hAnsi="宋体"/>
          <w:b/>
          <w:color w:val="FF0000"/>
          <w:sz w:val="28"/>
          <w:szCs w:val="28"/>
        </w:rPr>
      </w:pPr>
      <w:r>
        <w:rPr>
          <w:rFonts w:hint="eastAsia" w:ascii="宋体" w:hAnsi="宋体"/>
          <w:b/>
          <w:color w:val="FF0000"/>
          <w:sz w:val="28"/>
          <w:szCs w:val="28"/>
        </w:rPr>
        <w:t>投标文件正文</w:t>
      </w:r>
    </w:p>
    <w:p w14:paraId="602CACEB">
      <w:pPr>
        <w:pStyle w:val="4"/>
        <w:jc w:val="center"/>
        <w:rPr>
          <w:rFonts w:ascii="黑体" w:eastAsia="黑体"/>
          <w:b w:val="0"/>
          <w:kern w:val="0"/>
          <w:sz w:val="24"/>
        </w:rPr>
      </w:pPr>
      <w:r>
        <w:rPr>
          <w:rFonts w:hint="eastAsia" w:ascii="黑体" w:eastAsia="黑体"/>
          <w:b w:val="0"/>
          <w:kern w:val="0"/>
          <w:sz w:val="24"/>
        </w:rPr>
        <w:t>一、投标函</w:t>
      </w:r>
    </w:p>
    <w:p w14:paraId="0D842362">
      <w:pPr>
        <w:spacing w:line="360" w:lineRule="auto"/>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14:paraId="056B81F3">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bookmarkStart w:id="39" w:name="_Hlk73818812"/>
      <w:r>
        <w:rPr>
          <w:rFonts w:hint="eastAsia"/>
          <w:szCs w:val="21"/>
        </w:rPr>
        <w:t>1、根据已收到贵单位的项目编号为</w:t>
      </w:r>
      <w:r>
        <w:rPr>
          <w:rFonts w:hint="eastAsia"/>
          <w:szCs w:val="21"/>
          <w:u w:val="thick"/>
        </w:rPr>
        <w:t xml:space="preserve">        </w:t>
      </w:r>
      <w:r>
        <w:rPr>
          <w:rFonts w:hint="eastAsia"/>
          <w:szCs w:val="21"/>
        </w:rPr>
        <w:t>的</w:t>
      </w:r>
      <w:r>
        <w:rPr>
          <w:rFonts w:hint="eastAsia"/>
          <w:szCs w:val="21"/>
          <w:u w:val="thick"/>
        </w:rPr>
        <w:t xml:space="preserve">    </w:t>
      </w:r>
      <w:r>
        <w:rPr>
          <w:rFonts w:hint="eastAsia" w:eastAsia="宋体"/>
          <w:szCs w:val="21"/>
          <w:u w:val="thick"/>
          <w:lang w:eastAsia="zh-CN"/>
        </w:rPr>
        <w:t>（</w:t>
      </w:r>
      <w:r>
        <w:rPr>
          <w:rFonts w:hint="eastAsia"/>
          <w:szCs w:val="21"/>
          <w:u w:val="thick"/>
        </w:rPr>
        <w:t>项目</w:t>
      </w:r>
      <w:r>
        <w:rPr>
          <w:rFonts w:hint="eastAsia" w:ascii="Times New Roman" w:eastAsia="宋体"/>
          <w:szCs w:val="21"/>
          <w:u w:val="thick"/>
          <w:lang w:val="en-US" w:eastAsia="zh-CN"/>
        </w:rPr>
        <w:t>名称</w:t>
      </w:r>
      <w:r>
        <w:rPr>
          <w:rFonts w:hint="eastAsia" w:eastAsia="宋体"/>
          <w:szCs w:val="21"/>
          <w:u w:val="thick"/>
          <w:lang w:eastAsia="zh-CN"/>
        </w:rPr>
        <w:t>）</w:t>
      </w:r>
      <w:r>
        <w:rPr>
          <w:rFonts w:hint="eastAsia"/>
          <w:szCs w:val="21"/>
          <w:u w:val="thick"/>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40" w:name="_Hlk72263588"/>
      <w:r>
        <w:rPr>
          <w:rFonts w:hint="eastAsia"/>
          <w:szCs w:val="21"/>
        </w:rPr>
        <w:t>愿意按照招标文件要求承包上述项目并修补其任何缺陷。</w:t>
      </w:r>
      <w:bookmarkEnd w:id="40"/>
    </w:p>
    <w:p w14:paraId="1E172967">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投标书编制软件中《开标一览表》中填写的投标总价。</w:t>
      </w:r>
    </w:p>
    <w:p w14:paraId="26232670">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3、如果我单位中标，我单位将按照招标文件的要求足额提交履约担保。</w:t>
      </w:r>
    </w:p>
    <w:p w14:paraId="2DDEA657">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64F83D4A">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5、除非另外达成协议并生效，贵单位的中标通知书和本投标文件将构成合同的重要内容。</w:t>
      </w:r>
    </w:p>
    <w:p w14:paraId="468C8B2F">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szCs w:val="21"/>
        </w:rPr>
      </w:pPr>
      <w:r>
        <w:rPr>
          <w:rFonts w:hint="eastAsia" w:ascii="宋体" w:hAnsi="宋体"/>
          <w:szCs w:val="21"/>
        </w:rPr>
        <w:t>6、我单位理解贵单位将不受必须接受所收到的最低报价或其它任何投标文件的约束。</w:t>
      </w:r>
      <w:bookmarkEnd w:id="39"/>
    </w:p>
    <w:p w14:paraId="7ED3130A">
      <w:pPr>
        <w:keepNext w:val="0"/>
        <w:keepLines w:val="0"/>
        <w:pageBreakBefore w:val="0"/>
        <w:widowControl w:val="0"/>
        <w:kinsoku/>
        <w:wordWrap/>
        <w:overflowPunct/>
        <w:topLinePunct w:val="0"/>
        <w:autoSpaceDE/>
        <w:autoSpaceDN/>
        <w:bidi w:val="0"/>
        <w:adjustRightInd/>
        <w:snapToGrid/>
        <w:ind w:left="0" w:leftChars="0" w:firstLine="422" w:firstLineChars="200"/>
        <w:textAlignment w:val="auto"/>
        <w:rPr>
          <w:rFonts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36025793">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szCs w:val="21"/>
          <w:u w:val="none"/>
          <w:lang w:eastAsia="zh-CN"/>
        </w:rPr>
      </w:pPr>
      <w:r>
        <w:rPr>
          <w:rFonts w:hint="eastAsia"/>
          <w:szCs w:val="21"/>
        </w:rPr>
        <w:t>投标人：</w:t>
      </w:r>
      <w:r>
        <w:rPr>
          <w:rFonts w:hint="eastAsia"/>
          <w:szCs w:val="21"/>
          <w:u w:val="thick"/>
        </w:rPr>
        <w:t xml:space="preserve">       </w:t>
      </w:r>
      <w:r>
        <w:rPr>
          <w:rFonts w:hint="eastAsia" w:eastAsia="宋体"/>
          <w:szCs w:val="21"/>
          <w:lang w:eastAsia="zh-CN"/>
        </w:rPr>
        <w:t>；</w:t>
      </w:r>
      <w:r>
        <w:rPr>
          <w:rFonts w:hint="eastAsia"/>
          <w:szCs w:val="21"/>
        </w:rPr>
        <w:t xml:space="preserve">  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14:paraId="0DAAF4CE">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eastAsia="宋体"/>
          <w:szCs w:val="21"/>
          <w:u w:val="none"/>
          <w:lang w:eastAsia="zh-CN"/>
        </w:rPr>
        <w:t>；</w:t>
      </w:r>
    </w:p>
    <w:p w14:paraId="0A5CE870">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eastAsia="宋体"/>
          <w:szCs w:val="21"/>
          <w:u w:val="none"/>
          <w:lang w:eastAsia="zh-CN"/>
        </w:rPr>
        <w:t>；</w:t>
      </w:r>
    </w:p>
    <w:p w14:paraId="3EDA27E9">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szCs w:val="21"/>
          <w:u w:val="none"/>
          <w:lang w:eastAsia="zh-CN"/>
        </w:rPr>
      </w:pPr>
      <w:r>
        <w:rPr>
          <w:rFonts w:hint="eastAsia" w:ascii="Times New Roman" w:eastAsia="宋体"/>
          <w:szCs w:val="21"/>
          <w:lang w:val="en-US" w:eastAsia="zh-CN"/>
        </w:rPr>
        <w:t>开户银行账号：</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14:paraId="6494A13F">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szCs w:val="21"/>
          <w:u w:val="none"/>
        </w:rPr>
      </w:pPr>
      <w:r>
        <w:rPr>
          <w:rFonts w:hint="eastAsia"/>
          <w:szCs w:val="21"/>
        </w:rPr>
        <w:t>邮政编码：</w:t>
      </w:r>
      <w:r>
        <w:rPr>
          <w:rFonts w:hint="eastAsia"/>
          <w:szCs w:val="21"/>
          <w:u w:val="thick"/>
        </w:rPr>
        <w:t xml:space="preserve">          </w:t>
      </w:r>
      <w:r>
        <w:rPr>
          <w:rFonts w:hint="eastAsia"/>
          <w:szCs w:val="21"/>
        </w:rPr>
        <w:t xml:space="preserve">  电话</w:t>
      </w:r>
      <w:r>
        <w:rPr>
          <w:rFonts w:hint="eastAsia"/>
          <w:szCs w:val="21"/>
          <w:u w:val="none"/>
        </w:rPr>
        <w:t>：</w:t>
      </w:r>
      <w:r>
        <w:rPr>
          <w:rFonts w:hint="eastAsia"/>
          <w:szCs w:val="21"/>
          <w:u w:val="thick"/>
        </w:rPr>
        <w:t xml:space="preserve">         </w:t>
      </w:r>
      <w:r>
        <w:rPr>
          <w:rFonts w:hint="eastAsia"/>
          <w:szCs w:val="21"/>
        </w:rPr>
        <w:t xml:space="preserve"> 传真：</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r>
        <w:rPr>
          <w:rFonts w:hint="eastAsia"/>
          <w:szCs w:val="21"/>
          <w:u w:val="none"/>
        </w:rPr>
        <w:t xml:space="preserve">     </w:t>
      </w:r>
    </w:p>
    <w:p w14:paraId="3A1546D1">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37B5526C">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sz w:val="24"/>
        </w:rPr>
      </w:pPr>
      <w:r>
        <w:rPr>
          <w:rFonts w:hint="eastAsia"/>
          <w:sz w:val="24"/>
        </w:rPr>
        <w:t xml:space="preserve">                       </w:t>
      </w:r>
    </w:p>
    <w:p w14:paraId="11C4EAF1">
      <w:pPr>
        <w:rPr>
          <w:rFonts w:ascii="黑体" w:hAnsi="宋体" w:eastAsia="黑体"/>
        </w:rPr>
      </w:pPr>
    </w:p>
    <w:p w14:paraId="6741B20B">
      <w:pPr>
        <w:rPr>
          <w:rFonts w:ascii="宋体" w:hAnsi="宋体"/>
          <w:szCs w:val="21"/>
        </w:rPr>
      </w:pPr>
    </w:p>
    <w:p w14:paraId="427FF2D2">
      <w:pPr>
        <w:rPr>
          <w:rFonts w:hint="eastAsia" w:ascii="黑体" w:eastAsia="黑体"/>
          <w:b w:val="0"/>
          <w:kern w:val="0"/>
          <w:sz w:val="24"/>
        </w:rPr>
      </w:pPr>
      <w:r>
        <w:rPr>
          <w:rFonts w:hint="eastAsia" w:ascii="黑体" w:eastAsia="黑体"/>
          <w:b w:val="0"/>
          <w:kern w:val="0"/>
          <w:sz w:val="24"/>
        </w:rPr>
        <w:br w:type="page"/>
      </w:r>
    </w:p>
    <w:p w14:paraId="7BDF0F1C">
      <w:pPr>
        <w:pStyle w:val="4"/>
        <w:jc w:val="center"/>
        <w:rPr>
          <w:rFonts w:ascii="黑体" w:eastAsia="黑体"/>
          <w:b w:val="0"/>
          <w:kern w:val="0"/>
          <w:sz w:val="24"/>
        </w:rPr>
      </w:pPr>
      <w:r>
        <w:rPr>
          <w:rFonts w:hint="eastAsia" w:ascii="黑体" w:eastAsia="黑体"/>
          <w:b w:val="0"/>
          <w:kern w:val="0"/>
          <w:sz w:val="24"/>
        </w:rPr>
        <w:t>二、政府采购投标及履约承诺函</w:t>
      </w:r>
    </w:p>
    <w:p w14:paraId="1DBACE97">
      <w:pPr>
        <w:rPr>
          <w:rFonts w:ascii="宋体" w:hAnsi="宋体"/>
          <w:sz w:val="24"/>
        </w:rPr>
      </w:pPr>
    </w:p>
    <w:p w14:paraId="5D6CBBC0">
      <w:pPr>
        <w:rPr>
          <w:rFonts w:ascii="宋体" w:hAnsi="宋体"/>
          <w:color w:val="FF0000"/>
          <w:szCs w:val="21"/>
        </w:rPr>
      </w:pPr>
      <w:r>
        <w:rPr>
          <w:rFonts w:hint="eastAsia" w:ascii="宋体" w:hAnsi="宋体"/>
          <w:color w:val="FF0000"/>
          <w:szCs w:val="21"/>
        </w:rPr>
        <w:t>致：</w:t>
      </w:r>
      <w:r>
        <w:rPr>
          <w:rFonts w:hint="eastAsia" w:ascii="宋体" w:hAnsi="宋体"/>
          <w:color w:val="FF0000"/>
          <w:szCs w:val="21"/>
          <w:u w:val="single"/>
        </w:rPr>
        <w:t>深圳公共资源交易中心</w:t>
      </w:r>
    </w:p>
    <w:p w14:paraId="39051168">
      <w:pPr>
        <w:ind w:right="-815" w:firstLine="420" w:firstLineChars="200"/>
        <w:rPr>
          <w:rFonts w:ascii="宋体" w:hAnsi="宋体"/>
          <w:szCs w:val="21"/>
        </w:rPr>
      </w:pPr>
      <w:r>
        <w:rPr>
          <w:rFonts w:hint="eastAsia" w:ascii="宋体" w:hAnsi="宋体"/>
          <w:szCs w:val="21"/>
        </w:rPr>
        <w:t>我单位承诺：</w:t>
      </w:r>
    </w:p>
    <w:p w14:paraId="29BC5E37">
      <w:pPr>
        <w:ind w:firstLine="420" w:firstLineChars="200"/>
        <w:rPr>
          <w:rFonts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48F40FA6">
      <w:pPr>
        <w:ind w:firstLine="420" w:firstLineChars="200"/>
        <w:rPr>
          <w:rFonts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14:paraId="4EBA7937">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14:paraId="168162FC">
      <w:pPr>
        <w:ind w:firstLine="420" w:firstLineChars="200"/>
        <w:rPr>
          <w:rFonts w:hint="eastAsia"/>
          <w:lang w:eastAsia="zh-CN"/>
        </w:rPr>
      </w:pPr>
      <w:r>
        <w:rPr>
          <w:rFonts w:hint="eastAsia" w:ascii="宋体" w:hAnsi="宋体"/>
          <w:szCs w:val="21"/>
        </w:rPr>
        <w:t>4.我单位</w:t>
      </w:r>
      <w:r>
        <w:rPr>
          <w:rFonts w:hint="eastAsia"/>
        </w:rPr>
        <w:t>未被列入失信被执行人、重大税收违法案件当事人名单、政府采购严重违法失信行为记录名单</w:t>
      </w:r>
      <w:r>
        <w:rPr>
          <w:rFonts w:hint="eastAsia"/>
          <w:lang w:eastAsia="zh-CN"/>
        </w:rPr>
        <w:t>。</w:t>
      </w:r>
    </w:p>
    <w:p w14:paraId="26EFAA63">
      <w:pPr>
        <w:ind w:firstLine="420" w:firstLineChars="200"/>
        <w:rPr>
          <w:rFonts w:hint="eastAsia"/>
          <w:lang w:eastAsia="zh-CN"/>
        </w:rPr>
      </w:pPr>
      <w:r>
        <w:rPr>
          <w:rFonts w:hint="eastAsia" w:ascii="Times New Roman" w:eastAsia="宋体"/>
          <w:color w:val="FF0000"/>
          <w:lang w:val="en-US" w:eastAsia="zh-CN"/>
        </w:rPr>
        <w:t>5.我单位不存在《深圳市财政局政府采购供应商信用信息管理办法》（深财规〔2023〕3号）列明的严重违法失信行为。</w:t>
      </w:r>
    </w:p>
    <w:p w14:paraId="246710F5">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3BC5C8AD">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3F4FFCDA">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3FE41DC3">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30DBEB8C">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14:paraId="4F030F53">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7A1A427F">
      <w:pPr>
        <w:ind w:firstLine="420" w:firstLineChars="200"/>
        <w:rPr>
          <w:rFonts w:ascii="宋体" w:hAnsi="宋体" w:cs="宋体"/>
          <w:b/>
          <w:kern w:val="0"/>
          <w:szCs w:val="21"/>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eastAsia="宋体"/>
          <w:lang w:eastAsia="zh-CN"/>
        </w:rPr>
        <w:t>（</w:t>
      </w:r>
      <w:r>
        <w:rPr>
          <w:rFonts w:hint="eastAsia"/>
        </w:rPr>
        <w:t>财库〔2023〕7号）</w:t>
      </w:r>
      <w:r>
        <w:rPr>
          <w:rFonts w:hint="eastAsia" w:ascii="Times New Roman" w:eastAsia="宋体"/>
          <w:lang w:val="en-US" w:eastAsia="zh-CN"/>
        </w:rPr>
        <w:t>要求。若所投产品涉及国家强制性标准的，所投产品应符合国家强制性标准相关要求。</w:t>
      </w:r>
    </w:p>
    <w:p w14:paraId="61F75511">
      <w:pPr>
        <w:ind w:firstLine="420" w:firstLineChars="200"/>
        <w:rPr>
          <w:rFonts w:hint="eastAsia"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14:paraId="1718272C">
      <w:pPr>
        <w:ind w:firstLine="420" w:firstLineChars="200"/>
        <w:rPr>
          <w:rFonts w:hint="eastAsia" w:ascii="宋体" w:hAnsi="宋体"/>
          <w:b w:val="0"/>
          <w:bCs/>
        </w:rPr>
      </w:pPr>
      <w:r>
        <w:rPr>
          <w:rFonts w:hint="eastAsia" w:ascii="宋体" w:hAnsi="宋体"/>
          <w:b w:val="0"/>
          <w:bCs/>
        </w:rPr>
        <w:t>1</w:t>
      </w:r>
      <w:r>
        <w:rPr>
          <w:rFonts w:hint="eastAsia" w:ascii="宋体" w:hAnsi="宋体"/>
          <w:b w:val="0"/>
          <w:bCs/>
          <w:lang w:val="en-US" w:eastAsia="zh-CN"/>
        </w:rPr>
        <w:t>3</w:t>
      </w:r>
      <w:r>
        <w:rPr>
          <w:rFonts w:hint="eastAsia" w:ascii="宋体" w:hAnsi="宋体"/>
          <w:b w:val="0"/>
          <w:bCs/>
        </w:rPr>
        <w:t>.我单位保证，符合《中华人民共和国政府采购法实施条例》第十八条规定，与其他投标供应商不存在单位负责人为同一人或者存在直接控股、管理关系；</w:t>
      </w:r>
      <w:r>
        <w:rPr>
          <w:rFonts w:hint="eastAsia" w:ascii="宋体" w:hAnsi="宋体"/>
          <w:b w:val="0"/>
          <w:bCs/>
          <w:color w:val="auto"/>
          <w:lang w:val="en-US" w:eastAsia="zh-CN"/>
        </w:rPr>
        <w:t>不存在为</w:t>
      </w:r>
      <w:r>
        <w:rPr>
          <w:rFonts w:hint="eastAsia" w:ascii="宋体" w:hAnsi="宋体"/>
          <w:b w:val="0"/>
          <w:bCs/>
        </w:rPr>
        <w:t>本次采购项目提供整体设计、规范编制或者项目管理、监理、检测等服务的情</w:t>
      </w:r>
      <w:r>
        <w:rPr>
          <w:rFonts w:hint="eastAsia" w:ascii="宋体" w:hAnsi="宋体"/>
          <w:b w:val="0"/>
          <w:bCs/>
          <w:color w:val="auto"/>
        </w:rPr>
        <w:t>形。</w:t>
      </w:r>
      <w:r>
        <w:rPr>
          <w:rFonts w:hint="eastAsia" w:ascii="宋体" w:hAnsi="宋体"/>
          <w:b w:val="0"/>
          <w:bCs/>
          <w:color w:val="auto"/>
          <w:lang w:val="en-US" w:eastAsia="zh-CN"/>
        </w:rPr>
        <w:t>若</w:t>
      </w:r>
      <w:r>
        <w:rPr>
          <w:rFonts w:hint="eastAsia" w:ascii="宋体" w:hAnsi="宋体"/>
          <w:b w:val="0"/>
          <w:bCs/>
          <w:color w:val="auto"/>
        </w:rPr>
        <w:t>存在“不同供应商的董事、股东或其他高级管理人员为同一人的”情形的，</w:t>
      </w:r>
      <w:r>
        <w:rPr>
          <w:rFonts w:hint="eastAsia" w:ascii="宋体" w:hAnsi="宋体"/>
          <w:b w:val="0"/>
          <w:bCs/>
          <w:color w:val="auto"/>
          <w:lang w:val="en-US" w:eastAsia="zh-CN"/>
        </w:rPr>
        <w:t>我单位保证</w:t>
      </w:r>
      <w:r>
        <w:rPr>
          <w:rFonts w:hint="eastAsia" w:ascii="宋体" w:hAnsi="宋体"/>
          <w:b w:val="0"/>
          <w:bCs/>
          <w:color w:val="auto"/>
        </w:rPr>
        <w:t>不存在串通投标、恶意串通或者视为串通投标的情形</w:t>
      </w:r>
      <w:r>
        <w:rPr>
          <w:rFonts w:hint="eastAsia" w:ascii="宋体" w:hAnsi="宋体"/>
          <w:b w:val="0"/>
          <w:bCs/>
          <w:color w:val="auto"/>
          <w:lang w:eastAsia="zh-CN"/>
        </w:rPr>
        <w:t>。</w:t>
      </w:r>
    </w:p>
    <w:p w14:paraId="2B24D82F">
      <w:pPr>
        <w:ind w:firstLine="422" w:firstLineChars="200"/>
        <w:rPr>
          <w:rFonts w:ascii="宋体" w:hAnsi="宋体"/>
          <w:b/>
        </w:rPr>
      </w:pPr>
      <w:r>
        <w:rPr>
          <w:rFonts w:hint="eastAsia" w:ascii="宋体" w:hAnsi="宋体"/>
          <w:b/>
          <w:bCs w:val="0"/>
          <w:sz w:val="21"/>
          <w:lang w:val="en-US" w:eastAsia="zh-CN"/>
        </w:rPr>
        <w:t>14.我单位清楚，如存在违反投标承诺行为情节严重的，将根据《深圳市财政局关于印发&lt;深圳市财政局政府采购供应商信用信息管理办法&gt;的通知》，依法被列入失信信息。</w:t>
      </w:r>
    </w:p>
    <w:p w14:paraId="5E206ED5">
      <w:pPr>
        <w:pStyle w:val="2"/>
        <w:ind w:firstLine="482" w:firstLineChars="200"/>
        <w:rPr>
          <w:rFonts w:ascii="宋体" w:hAnsi="宋体"/>
        </w:rPr>
      </w:pPr>
    </w:p>
    <w:p w14:paraId="5F2877E3">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14:paraId="44903173">
      <w:pPr>
        <w:spacing w:before="60" w:beforeLines="25" w:after="60" w:afterLines="25"/>
        <w:ind w:firstLine="5460" w:firstLineChars="2600"/>
        <w:rPr>
          <w:rFonts w:ascii="宋体" w:hAnsi="宋体"/>
          <w:szCs w:val="21"/>
        </w:rPr>
      </w:pPr>
      <w:r>
        <w:rPr>
          <w:rFonts w:hint="eastAsia" w:ascii="宋体" w:hAnsi="宋体"/>
          <w:szCs w:val="21"/>
        </w:rPr>
        <w:t xml:space="preserve">                                    </w:t>
      </w:r>
    </w:p>
    <w:p w14:paraId="3B00F5A6">
      <w:pPr>
        <w:spacing w:before="60" w:beforeLines="25" w:after="60" w:afterLines="25"/>
        <w:ind w:firstLine="5460" w:firstLineChars="2600"/>
        <w:rPr>
          <w:color w:val="FF0000"/>
        </w:rPr>
      </w:pPr>
      <w:r>
        <w:rPr>
          <w:rFonts w:hint="eastAsia"/>
          <w:color w:val="FF0000"/>
          <w:szCs w:val="21"/>
        </w:rPr>
        <w:t>投标人：</w:t>
      </w:r>
      <w:r>
        <w:rPr>
          <w:rFonts w:hint="eastAsia"/>
          <w:color w:val="FF0000"/>
          <w:szCs w:val="21"/>
          <w:u w:val="single"/>
        </w:rPr>
        <w:t xml:space="preserve">              </w:t>
      </w:r>
    </w:p>
    <w:p w14:paraId="468EFD52">
      <w:pPr>
        <w:ind w:firstLine="645"/>
        <w:rPr>
          <w:rFonts w:ascii="宋体" w:hAnsi="宋体"/>
          <w:color w:val="FF0000"/>
          <w:szCs w:val="21"/>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14:paraId="33F15315">
      <w:pPr>
        <w:rPr>
          <w:rFonts w:hint="eastAsia" w:ascii="黑体" w:eastAsia="黑体"/>
          <w:b w:val="0"/>
          <w:kern w:val="0"/>
          <w:sz w:val="24"/>
        </w:rPr>
      </w:pPr>
      <w:r>
        <w:rPr>
          <w:rFonts w:hint="eastAsia" w:ascii="黑体" w:eastAsia="黑体"/>
          <w:b w:val="0"/>
          <w:kern w:val="0"/>
          <w:sz w:val="24"/>
        </w:rPr>
        <w:br w:type="page"/>
      </w:r>
    </w:p>
    <w:p w14:paraId="230F41A7">
      <w:pPr>
        <w:pStyle w:val="4"/>
        <w:spacing w:before="120" w:after="120"/>
        <w:jc w:val="center"/>
        <w:rPr>
          <w:rFonts w:ascii="黑体" w:eastAsia="黑体"/>
          <w:b w:val="0"/>
          <w:kern w:val="0"/>
          <w:sz w:val="24"/>
        </w:rPr>
      </w:pPr>
      <w:r>
        <w:rPr>
          <w:rFonts w:hint="eastAsia" w:ascii="黑体" w:eastAsia="黑体"/>
          <w:b w:val="0"/>
          <w:kern w:val="0"/>
          <w:sz w:val="24"/>
        </w:rPr>
        <w:t>三、投标人情况及资格证明文件</w:t>
      </w:r>
    </w:p>
    <w:p w14:paraId="5744A35F">
      <w:pPr>
        <w:ind w:firstLine="2640" w:firstLineChars="1100"/>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14:paraId="0067AA0D">
      <w:pPr>
        <w:ind w:firstLine="422" w:firstLineChars="200"/>
        <w:rPr>
          <w:rFonts w:hint="eastAsia" w:ascii="宋体" w:hAnsi="宋体" w:cs="宋体"/>
          <w:b/>
          <w:bCs/>
          <w:color w:val="FF0000"/>
          <w:sz w:val="21"/>
          <w:szCs w:val="21"/>
        </w:rPr>
      </w:pPr>
      <w:r>
        <w:rPr>
          <w:rFonts w:hint="eastAsia" w:ascii="宋体" w:hAnsi="宋体" w:cs="宋体"/>
          <w:b/>
          <w:bCs/>
          <w:color w:val="FF0000"/>
          <w:sz w:val="21"/>
          <w:szCs w:val="21"/>
        </w:rPr>
        <w:t>（特别提示：投标人须按本招标文件第一册第一章招标公告“申请人的资格要求”（即投标人资格要求）提供相关的资格证明资料，未提供或提供不完整、不符合要求的，将作投标无效处理，其中要求提供《政府采购投标及履约承诺函》《供应商基本情况表》且已在规定章节中提供的，此处不重复提供。）</w:t>
      </w:r>
    </w:p>
    <w:p w14:paraId="2F730CF4">
      <w:pPr>
        <w:ind w:firstLine="422" w:firstLineChars="200"/>
        <w:rPr>
          <w:rFonts w:hint="eastAsia" w:ascii="宋体" w:hAnsi="宋体" w:cs="宋体"/>
          <w:b/>
          <w:bCs/>
          <w:color w:val="auto"/>
          <w:sz w:val="21"/>
          <w:szCs w:val="21"/>
        </w:rPr>
      </w:pPr>
      <w:r>
        <w:rPr>
          <w:rFonts w:hint="eastAsia" w:ascii="宋体" w:hAnsi="宋体" w:cs="宋体"/>
          <w:b/>
          <w:bCs/>
          <w:color w:val="auto"/>
          <w:sz w:val="21"/>
          <w:szCs w:val="21"/>
        </w:rPr>
        <w:t>（二）中小企业声明函、残疾人福利性单位声明函及监狱企业声明函</w:t>
      </w:r>
    </w:p>
    <w:p w14:paraId="7C5D16DC">
      <w:pPr>
        <w:ind w:firstLine="422" w:firstLineChars="200"/>
        <w:rPr>
          <w:rFonts w:hint="eastAsia" w:ascii="宋体" w:hAnsi="宋体" w:cs="宋体"/>
          <w:b/>
          <w:bCs/>
          <w:color w:val="FF0000"/>
          <w:sz w:val="21"/>
          <w:szCs w:val="21"/>
        </w:rPr>
      </w:pPr>
    </w:p>
    <w:p w14:paraId="44E199FE">
      <w:pPr>
        <w:pStyle w:val="2"/>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color w:val="FF0000"/>
          <w:sz w:val="21"/>
          <w:szCs w:val="21"/>
        </w:rPr>
      </w:pPr>
      <w:r>
        <w:rPr>
          <w:rFonts w:hint="eastAsia" w:ascii="宋体" w:hAnsi="宋体" w:cs="宋体"/>
          <w:b/>
          <w:bCs/>
          <w:color w:val="FF0000"/>
          <w:sz w:val="21"/>
          <w:szCs w:val="21"/>
        </w:rPr>
        <w:t>填写指引：</w:t>
      </w:r>
    </w:p>
    <w:p w14:paraId="5AE93225">
      <w:pPr>
        <w:pStyle w:val="2"/>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color w:val="FF0000"/>
          <w:sz w:val="21"/>
          <w:szCs w:val="21"/>
        </w:rPr>
      </w:pPr>
      <w:r>
        <w:rPr>
          <w:rFonts w:hint="eastAsia" w:ascii="宋体" w:hAnsi="宋体" w:cs="宋体"/>
          <w:b/>
          <w:bCs/>
          <w:color w:val="FF0000"/>
          <w:sz w:val="21"/>
          <w:szCs w:val="21"/>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23AC664D">
      <w:pPr>
        <w:pStyle w:val="2"/>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color w:val="FF0000"/>
          <w:sz w:val="21"/>
          <w:szCs w:val="21"/>
        </w:rPr>
      </w:pPr>
      <w:r>
        <w:rPr>
          <w:rFonts w:hint="eastAsia" w:ascii="宋体" w:hAnsi="宋体" w:cs="宋体"/>
          <w:b/>
          <w:bCs/>
          <w:color w:val="FF0000"/>
          <w:sz w:val="21"/>
          <w:szCs w:val="21"/>
        </w:rPr>
        <w:t>2、该部分内容填写需要参考的相关文件：</w:t>
      </w:r>
    </w:p>
    <w:p w14:paraId="3CCFA89B">
      <w:pPr>
        <w:pStyle w:val="2"/>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color w:val="FF0000"/>
          <w:sz w:val="21"/>
          <w:szCs w:val="21"/>
        </w:rPr>
      </w:pPr>
      <w:r>
        <w:rPr>
          <w:rFonts w:hint="eastAsia" w:ascii="宋体" w:hAnsi="宋体" w:cs="宋体"/>
          <w:b/>
          <w:bCs/>
          <w:color w:val="FF0000"/>
          <w:sz w:val="21"/>
          <w:szCs w:val="21"/>
        </w:rPr>
        <w:t>(1)财政部《政府采购促进中小企业发展管理办法》（财库〔2020〕46号）</w:t>
      </w:r>
    </w:p>
    <w:p w14:paraId="3633EECF">
      <w:pPr>
        <w:pStyle w:val="2"/>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color w:val="FF0000"/>
          <w:sz w:val="21"/>
          <w:szCs w:val="21"/>
        </w:rPr>
      </w:pPr>
      <w:r>
        <w:rPr>
          <w:rFonts w:hint="eastAsia" w:ascii="宋体" w:hAnsi="宋体" w:cs="宋体"/>
          <w:b/>
          <w:bCs/>
          <w:color w:val="FF0000"/>
          <w:sz w:val="21"/>
          <w:szCs w:val="21"/>
        </w:rPr>
        <w:t>(2)《工业和信息化部、国家统计局、国家发展和改革委员会、财政部关于印发中小企业划型标准规定的通知》（工信部联企业〔2011〕300号）</w:t>
      </w:r>
    </w:p>
    <w:p w14:paraId="658D1389">
      <w:pPr>
        <w:pStyle w:val="2"/>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color w:val="FF0000"/>
          <w:sz w:val="21"/>
          <w:szCs w:val="21"/>
        </w:rPr>
      </w:pPr>
      <w:r>
        <w:rPr>
          <w:rFonts w:hint="eastAsia" w:ascii="宋体" w:hAnsi="宋体" w:cs="宋体"/>
          <w:b/>
          <w:bCs/>
          <w:color w:val="FF0000"/>
          <w:sz w:val="21"/>
          <w:szCs w:val="21"/>
        </w:rPr>
        <w:t>(3)《统计上大中小微型企业划分办法(2017)》（国统字〔2017〕213号）</w:t>
      </w:r>
    </w:p>
    <w:p w14:paraId="6FDAB42B">
      <w:pPr>
        <w:pStyle w:val="2"/>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color w:val="FF0000"/>
          <w:sz w:val="21"/>
          <w:szCs w:val="21"/>
        </w:rPr>
      </w:pPr>
      <w:r>
        <w:rPr>
          <w:rFonts w:hint="eastAsia" w:ascii="宋体" w:hAnsi="宋体" w:cs="宋体"/>
          <w:b/>
          <w:bCs/>
          <w:color w:val="FF0000"/>
          <w:sz w:val="21"/>
          <w:szCs w:val="21"/>
        </w:rPr>
        <w:t>(4)《关于促进残疾人就业政府采购政策的通知》（财库〔2017〕141号）</w:t>
      </w:r>
    </w:p>
    <w:p w14:paraId="27E6BC57">
      <w:pPr>
        <w:pStyle w:val="2"/>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color w:val="FF0000"/>
          <w:sz w:val="21"/>
          <w:szCs w:val="21"/>
        </w:rPr>
      </w:pPr>
      <w:r>
        <w:rPr>
          <w:rFonts w:hint="eastAsia" w:ascii="宋体" w:hAnsi="宋体" w:cs="宋体"/>
          <w:b/>
          <w:bCs/>
          <w:color w:val="FF0000"/>
          <w:sz w:val="21"/>
          <w:szCs w:val="21"/>
        </w:rPr>
        <w:t>(5)《关于政府采购支持监狱企业发展有关问题的通知》（财库〔2014〕68号）</w:t>
      </w:r>
    </w:p>
    <w:p w14:paraId="7BF43744">
      <w:pPr>
        <w:pStyle w:val="2"/>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color w:val="FF0000"/>
          <w:sz w:val="21"/>
          <w:szCs w:val="21"/>
        </w:rPr>
      </w:pPr>
      <w:r>
        <w:rPr>
          <w:rFonts w:hint="eastAsia" w:ascii="宋体" w:hAnsi="宋体" w:cs="宋体"/>
          <w:b/>
          <w:bCs/>
          <w:color w:val="FF0000"/>
          <w:sz w:val="21"/>
          <w:szCs w:val="21"/>
        </w:rPr>
        <w:t>3、请依照提供的格式和内容填写声明函，不要随意变更格式；声明函不需要盖章或签字；满足多项优惠政策的投标人，不重复享受多项价格扣除政策。</w:t>
      </w:r>
    </w:p>
    <w:p w14:paraId="6EDDBF2D">
      <w:pPr>
        <w:pStyle w:val="2"/>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color w:val="FF0000"/>
          <w:sz w:val="21"/>
          <w:szCs w:val="21"/>
        </w:rPr>
      </w:pPr>
      <w:r>
        <w:rPr>
          <w:rFonts w:hint="eastAsia" w:ascii="宋体" w:hAnsi="宋体" w:cs="宋体"/>
          <w:b/>
          <w:bCs/>
          <w:color w:val="FF0000"/>
          <w:sz w:val="21"/>
          <w:szCs w:val="21"/>
        </w:rPr>
        <w:t>4、声明函具体填写要求：</w:t>
      </w:r>
    </w:p>
    <w:p w14:paraId="3F92DAF1">
      <w:pPr>
        <w:pStyle w:val="2"/>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color w:val="FF0000"/>
          <w:sz w:val="21"/>
          <w:szCs w:val="21"/>
        </w:rPr>
      </w:pPr>
      <w:r>
        <w:rPr>
          <w:rFonts w:hint="eastAsia" w:ascii="宋体" w:hAnsi="宋体" w:cs="宋体"/>
          <w:b/>
          <w:bCs/>
          <w:color w:val="FF0000"/>
          <w:sz w:val="21"/>
          <w:szCs w:val="21"/>
        </w:rPr>
        <w:t>（1）声明是中小企业须填写《中小企业声明函》的以下内容：</w:t>
      </w:r>
    </w:p>
    <w:p w14:paraId="2CC20B40">
      <w:pPr>
        <w:pStyle w:val="2"/>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color w:val="FF0000"/>
          <w:sz w:val="21"/>
          <w:szCs w:val="21"/>
        </w:rPr>
      </w:pPr>
      <w:r>
        <w:rPr>
          <w:rFonts w:hint="eastAsia" w:ascii="宋体" w:hAnsi="宋体" w:cs="宋体"/>
          <w:b/>
          <w:bCs/>
          <w:color w:val="FF0000"/>
          <w:sz w:val="21"/>
          <w:szCs w:val="21"/>
        </w:rPr>
        <w:t>第一处，在“单位名称”下划线处如实填写采购人名称（深圳公共资源交易中心不是本项目的采购人，而是组织实施机构）；</w:t>
      </w:r>
    </w:p>
    <w:p w14:paraId="659CBE42">
      <w:pPr>
        <w:pStyle w:val="2"/>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color w:val="FF0000"/>
          <w:sz w:val="21"/>
          <w:szCs w:val="21"/>
        </w:rPr>
      </w:pPr>
      <w:r>
        <w:rPr>
          <w:rFonts w:hint="eastAsia" w:ascii="宋体" w:hAnsi="宋体" w:cs="宋体"/>
          <w:b/>
          <w:bCs/>
          <w:color w:val="FF0000"/>
          <w:sz w:val="21"/>
          <w:szCs w:val="21"/>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3F6B6366">
      <w:pPr>
        <w:pStyle w:val="2"/>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color w:val="FF0000"/>
          <w:sz w:val="21"/>
          <w:szCs w:val="21"/>
        </w:rPr>
      </w:pPr>
      <w:r>
        <w:rPr>
          <w:rFonts w:hint="eastAsia" w:ascii="宋体" w:hAnsi="宋体" w:cs="宋体"/>
          <w:b/>
          <w:bCs/>
          <w:color w:val="FF0000"/>
          <w:sz w:val="21"/>
          <w:szCs w:val="21"/>
        </w:rPr>
        <w:t>第三处，在“标的名称”下划线处填写所采购标的具体名称（以招标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31461CB5">
      <w:pPr>
        <w:pStyle w:val="2"/>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color w:val="FF0000"/>
          <w:sz w:val="21"/>
          <w:szCs w:val="21"/>
        </w:rPr>
      </w:pPr>
      <w:r>
        <w:rPr>
          <w:rFonts w:hint="eastAsia" w:ascii="宋体" w:hAnsi="宋体" w:cs="宋体"/>
          <w:b/>
          <w:bCs/>
          <w:color w:val="FF0000"/>
          <w:sz w:val="21"/>
          <w:szCs w:val="21"/>
        </w:rPr>
        <w:t>第四处，在“采购文件中明确的所属行业”下划线处填写采购标的对应的中小企业划分标准所属行业（所属行业以招标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67854C4D">
      <w:pPr>
        <w:pStyle w:val="2"/>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color w:val="FF0000"/>
          <w:sz w:val="21"/>
          <w:szCs w:val="21"/>
        </w:rPr>
      </w:pPr>
      <w:r>
        <w:rPr>
          <w:rFonts w:hint="eastAsia" w:ascii="宋体" w:hAnsi="宋体" w:cs="宋体"/>
          <w:b/>
          <w:bCs/>
          <w:color w:val="FF0000"/>
          <w:sz w:val="21"/>
          <w:szCs w:val="21"/>
        </w:rPr>
        <w:t>第五处，在“企业名称”下划线处如实填写服务承接商名称。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7A594052">
      <w:pPr>
        <w:pStyle w:val="2"/>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color w:val="FF0000"/>
          <w:sz w:val="21"/>
          <w:szCs w:val="21"/>
        </w:rPr>
      </w:pPr>
      <w:r>
        <w:rPr>
          <w:rFonts w:hint="eastAsia" w:ascii="宋体" w:hAnsi="宋体" w:cs="宋体"/>
          <w:b/>
          <w:bCs/>
          <w:color w:val="FF0000"/>
          <w:sz w:val="21"/>
          <w:szCs w:val="21"/>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5DBF633E">
      <w:pPr>
        <w:pStyle w:val="2"/>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color w:val="FF0000"/>
          <w:sz w:val="21"/>
          <w:szCs w:val="21"/>
        </w:rPr>
      </w:pPr>
      <w:r>
        <w:rPr>
          <w:rFonts w:hint="eastAsia" w:ascii="宋体" w:hAnsi="宋体" w:cs="宋体"/>
          <w:b/>
          <w:bCs/>
          <w:color w:val="FF0000"/>
          <w:sz w:val="21"/>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5E8B1DFF">
      <w:pPr>
        <w:pStyle w:val="2"/>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color w:val="FF0000"/>
          <w:sz w:val="21"/>
          <w:szCs w:val="21"/>
        </w:rPr>
      </w:pPr>
      <w:r>
        <w:rPr>
          <w:rFonts w:hint="eastAsia" w:ascii="宋体" w:hAnsi="宋体" w:cs="宋体"/>
          <w:b/>
          <w:bCs/>
          <w:color w:val="FF0000"/>
          <w:sz w:val="21"/>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35DECC9B">
      <w:pPr>
        <w:pStyle w:val="2"/>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color w:val="FF0000"/>
          <w:sz w:val="21"/>
          <w:szCs w:val="21"/>
        </w:rPr>
      </w:pPr>
      <w:r>
        <w:rPr>
          <w:rFonts w:hint="eastAsia" w:ascii="宋体" w:hAnsi="宋体" w:cs="宋体"/>
          <w:b/>
          <w:bCs/>
          <w:color w:val="FF0000"/>
          <w:sz w:val="21"/>
          <w:szCs w:val="21"/>
        </w:rPr>
        <w:t>（3）事业单位、社会组织等非企业主体不享受中小企业扶持政策。</w:t>
      </w:r>
    </w:p>
    <w:p w14:paraId="4EA40C49">
      <w:pPr>
        <w:pStyle w:val="2"/>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color w:val="FF0000"/>
          <w:sz w:val="21"/>
          <w:szCs w:val="21"/>
        </w:rPr>
      </w:pPr>
      <w:r>
        <w:rPr>
          <w:rFonts w:hint="eastAsia" w:ascii="宋体" w:hAnsi="宋体" w:cs="宋体"/>
          <w:b/>
          <w:bCs/>
          <w:color w:val="FF0000"/>
          <w:sz w:val="21"/>
          <w:szCs w:val="21"/>
        </w:rPr>
        <w:t>（4）声明是残疾人福利性单位须填写《残疾人福利性单位声明函》的相关内容，具体参照以上《中小企业声明函》填写要求执行。</w:t>
      </w:r>
    </w:p>
    <w:p w14:paraId="1E19148D">
      <w:pPr>
        <w:pStyle w:val="2"/>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color w:val="FF0000"/>
          <w:sz w:val="21"/>
          <w:szCs w:val="21"/>
        </w:rPr>
      </w:pPr>
      <w:r>
        <w:rPr>
          <w:rFonts w:hint="eastAsia" w:ascii="宋体" w:hAnsi="宋体" w:cs="宋体"/>
          <w:b/>
          <w:bCs/>
          <w:color w:val="FF0000"/>
          <w:sz w:val="21"/>
          <w:szCs w:val="21"/>
        </w:rPr>
        <w:t>（5）声明是监狱企业须填写《监狱企业声明函》的三项内容（填写位置的字体已加粗），具体参照以上《中小企业声明函》填写要求执行。</w:t>
      </w:r>
    </w:p>
    <w:p w14:paraId="22552665">
      <w:pPr>
        <w:pStyle w:val="2"/>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color w:val="FF0000"/>
          <w:sz w:val="21"/>
          <w:szCs w:val="21"/>
        </w:rPr>
      </w:pPr>
      <w:r>
        <w:rPr>
          <w:rFonts w:hint="eastAsia" w:ascii="宋体" w:hAnsi="宋体" w:cs="宋体"/>
          <w:b/>
          <w:bCs/>
          <w:color w:val="FF0000"/>
          <w:sz w:val="21"/>
          <w:szCs w:val="21"/>
        </w:rPr>
        <w:t>5、本项目属于服务类项目，相关服务承接商应当为中小企业或残疾人福利性单位或监狱企业，如包含硬件设备、产品等货物采购的，不再对其中涉及的货物制造商作出要求。</w:t>
      </w:r>
    </w:p>
    <w:p w14:paraId="638596EE">
      <w:pPr>
        <w:pStyle w:val="2"/>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color w:val="FF0000"/>
          <w:sz w:val="21"/>
          <w:szCs w:val="21"/>
        </w:rPr>
      </w:pPr>
      <w:r>
        <w:rPr>
          <w:rFonts w:hint="eastAsia" w:ascii="宋体" w:hAnsi="宋体" w:cs="宋体"/>
          <w:b/>
          <w:bCs/>
          <w:color w:val="FF0000"/>
          <w:sz w:val="21"/>
          <w:szCs w:val="21"/>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36279E86">
      <w:pPr>
        <w:pStyle w:val="2"/>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sz w:val="21"/>
          <w:szCs w:val="21"/>
        </w:rPr>
      </w:pPr>
      <w:r>
        <w:rPr>
          <w:rFonts w:hint="eastAsia" w:ascii="宋体" w:hAnsi="宋体" w:cs="宋体"/>
          <w:b/>
          <w:bCs/>
          <w:color w:val="FF0000"/>
          <w:sz w:val="21"/>
          <w:szCs w:val="21"/>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65511C09">
      <w:pPr>
        <w:jc w:val="center"/>
        <w:outlineLvl w:val="3"/>
        <w:rPr>
          <w:rFonts w:ascii="宋体" w:hAnsi="宋体" w:cs="宋体"/>
          <w:b/>
          <w:sz w:val="21"/>
          <w:szCs w:val="21"/>
        </w:rPr>
      </w:pPr>
      <w:r>
        <w:rPr>
          <w:rFonts w:hint="eastAsia" w:ascii="宋体" w:hAnsi="宋体" w:cs="宋体"/>
          <w:b/>
          <w:sz w:val="21"/>
          <w:szCs w:val="21"/>
        </w:rPr>
        <w:t>1、中小企业声明函（服务）</w:t>
      </w:r>
    </w:p>
    <w:p w14:paraId="7FB01919">
      <w:pPr>
        <w:pStyle w:val="2"/>
        <w:spacing w:line="240" w:lineRule="auto"/>
        <w:rPr>
          <w:sz w:val="21"/>
          <w:szCs w:val="21"/>
        </w:rPr>
      </w:pPr>
    </w:p>
    <w:p w14:paraId="69D638B4">
      <w:pPr>
        <w:ind w:firstLine="420" w:firstLineChars="200"/>
        <w:outlineLvl w:val="3"/>
        <w:rPr>
          <w:rFonts w:ascii="宋体" w:hAnsi="宋体" w:cs="宋体"/>
          <w:sz w:val="21"/>
          <w:szCs w:val="21"/>
        </w:rPr>
      </w:pPr>
      <w:r>
        <w:rPr>
          <w:rFonts w:hint="eastAsia" w:ascii="宋体" w:hAnsi="宋体" w:cs="宋体"/>
          <w:sz w:val="21"/>
          <w:szCs w:val="21"/>
        </w:rPr>
        <w:t>本公司（联合体）郑重声明，根据《政府采购促进中小企业发展管理办法》（财库﹝2020﹞46号）的规定，本公司（联合体）参加</w:t>
      </w:r>
      <w:r>
        <w:rPr>
          <w:rFonts w:hint="eastAsia" w:ascii="宋体" w:hAnsi="宋体" w:cs="宋体"/>
          <w:b/>
          <w:bCs/>
          <w:sz w:val="21"/>
          <w:szCs w:val="21"/>
          <w:u w:val="single"/>
        </w:rPr>
        <w:t xml:space="preserve">    （</w:t>
      </w:r>
      <w:r>
        <w:rPr>
          <w:rFonts w:hint="eastAsia" w:ascii="宋体" w:hAnsi="宋体" w:cs="宋体"/>
          <w:b/>
          <w:bCs/>
          <w:sz w:val="21"/>
          <w:szCs w:val="21"/>
          <w:u w:val="single"/>
          <w:lang w:eastAsia="zh-CN"/>
        </w:rPr>
        <w:t>采购</w:t>
      </w:r>
      <w:r>
        <w:rPr>
          <w:rFonts w:hint="eastAsia" w:ascii="宋体" w:hAnsi="宋体" w:cs="宋体"/>
          <w:b/>
          <w:bCs/>
          <w:sz w:val="21"/>
          <w:szCs w:val="21"/>
          <w:u w:val="single"/>
        </w:rPr>
        <w:t xml:space="preserve">单位名称）    </w:t>
      </w:r>
      <w:r>
        <w:rPr>
          <w:rFonts w:hint="eastAsia" w:ascii="宋体" w:hAnsi="宋体" w:cs="宋体"/>
          <w:sz w:val="21"/>
          <w:szCs w:val="21"/>
        </w:rPr>
        <w:t>的</w:t>
      </w:r>
      <w:r>
        <w:rPr>
          <w:rFonts w:hint="eastAsia" w:ascii="宋体" w:hAnsi="宋体" w:cs="宋体"/>
          <w:b/>
          <w:bCs/>
          <w:sz w:val="21"/>
          <w:szCs w:val="21"/>
          <w:u w:val="single"/>
        </w:rPr>
        <w:t xml:space="preserve">    （项目名称）    </w:t>
      </w:r>
      <w:r>
        <w:rPr>
          <w:rFonts w:hint="eastAsia" w:ascii="宋体" w:hAnsi="宋体" w:cs="宋体"/>
          <w:sz w:val="21"/>
          <w:szCs w:val="21"/>
        </w:rPr>
        <w:t>采购活动，服务全部由符合政策要求的中小企业承接。相关企业（含联合体中的中小企业、</w:t>
      </w:r>
      <w:r>
        <w:rPr>
          <w:rFonts w:hint="eastAsia" w:ascii="宋体" w:hAnsi="宋体" w:cs="宋体"/>
          <w:sz w:val="21"/>
          <w:szCs w:val="21"/>
          <w:highlight w:val="yellow"/>
        </w:rPr>
        <w:t>签订分包意向协议的中小企业</w:t>
      </w:r>
      <w:r>
        <w:rPr>
          <w:rFonts w:hint="eastAsia" w:ascii="宋体" w:hAnsi="宋体" w:cs="宋体"/>
          <w:sz w:val="21"/>
          <w:szCs w:val="21"/>
        </w:rPr>
        <w:t>）的具体情况如下：</w:t>
      </w:r>
    </w:p>
    <w:p w14:paraId="000E3A45">
      <w:pPr>
        <w:ind w:firstLine="420" w:firstLineChars="200"/>
        <w:outlineLvl w:val="3"/>
        <w:rPr>
          <w:rFonts w:ascii="宋体" w:hAnsi="宋体" w:cs="宋体"/>
          <w:sz w:val="21"/>
          <w:szCs w:val="21"/>
        </w:rPr>
      </w:pPr>
      <w:r>
        <w:rPr>
          <w:rFonts w:hint="eastAsia" w:ascii="宋体" w:hAnsi="宋体" w:cs="宋体"/>
          <w:sz w:val="21"/>
          <w:szCs w:val="21"/>
        </w:rPr>
        <w:t>1.</w:t>
      </w:r>
      <w:r>
        <w:rPr>
          <w:rFonts w:hint="eastAsia" w:ascii="宋体" w:hAnsi="宋体" w:cs="宋体"/>
          <w:b/>
          <w:bCs/>
          <w:sz w:val="21"/>
          <w:szCs w:val="21"/>
          <w:u w:val="single"/>
        </w:rPr>
        <w:t xml:space="preserve">    （标的名称）     </w:t>
      </w:r>
      <w:r>
        <w:rPr>
          <w:rFonts w:hint="eastAsia" w:ascii="宋体" w:hAnsi="宋体" w:cs="宋体"/>
          <w:sz w:val="21"/>
          <w:szCs w:val="21"/>
        </w:rPr>
        <w:t>，属于</w:t>
      </w:r>
      <w:r>
        <w:rPr>
          <w:rFonts w:hint="eastAsia" w:ascii="宋体" w:hAnsi="宋体" w:cs="宋体"/>
          <w:b/>
          <w:bCs/>
          <w:sz w:val="21"/>
          <w:szCs w:val="21"/>
          <w:u w:val="single"/>
        </w:rPr>
        <w:t xml:space="preserve">    （采购文件中明确的所属行业）    </w:t>
      </w:r>
      <w:r>
        <w:rPr>
          <w:rFonts w:hint="eastAsia" w:ascii="宋体" w:hAnsi="宋体" w:cs="宋体"/>
          <w:sz w:val="21"/>
          <w:szCs w:val="21"/>
        </w:rPr>
        <w:t>行业；承接企业为</w:t>
      </w:r>
      <w:r>
        <w:rPr>
          <w:rFonts w:hint="eastAsia" w:ascii="宋体" w:hAnsi="宋体" w:cs="宋体"/>
          <w:b/>
          <w:bCs/>
          <w:sz w:val="21"/>
          <w:szCs w:val="21"/>
          <w:u w:val="single"/>
        </w:rPr>
        <w:t xml:space="preserve">    （企业名称，要求承接企业本身所属行业应当与招标文件要求的行业相一致）    </w:t>
      </w:r>
      <w:r>
        <w:rPr>
          <w:rFonts w:hint="eastAsia" w:ascii="宋体" w:hAnsi="宋体" w:cs="宋体"/>
          <w:sz w:val="21"/>
          <w:szCs w:val="21"/>
        </w:rPr>
        <w:t>，从业人员</w:t>
      </w:r>
      <w:r>
        <w:rPr>
          <w:rFonts w:hint="eastAsia" w:ascii="宋体" w:hAnsi="宋体" w:cs="宋体"/>
          <w:b/>
          <w:bCs/>
          <w:sz w:val="21"/>
          <w:szCs w:val="21"/>
          <w:u w:val="single"/>
        </w:rPr>
        <w:t xml:space="preserve">        </w:t>
      </w:r>
      <w:r>
        <w:rPr>
          <w:rFonts w:hint="eastAsia" w:ascii="宋体" w:hAnsi="宋体" w:cs="宋体"/>
          <w:sz w:val="21"/>
          <w:szCs w:val="21"/>
        </w:rPr>
        <w:t>人，营业收入为</w:t>
      </w:r>
      <w:r>
        <w:rPr>
          <w:rFonts w:hint="eastAsia" w:ascii="宋体" w:hAnsi="宋体" w:cs="宋体"/>
          <w:b/>
          <w:bCs/>
          <w:sz w:val="21"/>
          <w:szCs w:val="21"/>
          <w:u w:val="single"/>
        </w:rPr>
        <w:t xml:space="preserve">        </w:t>
      </w:r>
      <w:r>
        <w:rPr>
          <w:rFonts w:hint="eastAsia" w:ascii="宋体" w:hAnsi="宋体" w:cs="宋体"/>
          <w:sz w:val="21"/>
          <w:szCs w:val="21"/>
        </w:rPr>
        <w:t>万元，资产总额为</w:t>
      </w:r>
      <w:r>
        <w:rPr>
          <w:rFonts w:hint="eastAsia" w:ascii="宋体" w:hAnsi="宋体" w:cs="宋体"/>
          <w:b/>
          <w:bCs/>
          <w:sz w:val="21"/>
          <w:szCs w:val="21"/>
          <w:u w:val="single"/>
        </w:rPr>
        <w:t xml:space="preserve">        </w:t>
      </w:r>
      <w:r>
        <w:rPr>
          <w:rFonts w:hint="eastAsia" w:ascii="宋体" w:hAnsi="宋体" w:cs="宋体"/>
          <w:sz w:val="21"/>
          <w:szCs w:val="21"/>
        </w:rPr>
        <w:t>万元，属于</w:t>
      </w:r>
      <w:r>
        <w:rPr>
          <w:rFonts w:hint="eastAsia" w:ascii="宋体" w:hAnsi="宋体" w:cs="宋体"/>
          <w:b/>
          <w:bCs/>
          <w:sz w:val="21"/>
          <w:szCs w:val="21"/>
          <w:u w:val="single"/>
        </w:rPr>
        <w:t xml:space="preserve">    （中型企业、小型企业、微型企业）    </w:t>
      </w:r>
      <w:r>
        <w:rPr>
          <w:rFonts w:hint="eastAsia" w:ascii="宋体" w:hAnsi="宋体" w:cs="宋体"/>
          <w:sz w:val="21"/>
          <w:szCs w:val="21"/>
        </w:rPr>
        <w:t>；</w:t>
      </w:r>
    </w:p>
    <w:p w14:paraId="22EFE584">
      <w:pPr>
        <w:ind w:firstLine="420" w:firstLineChars="200"/>
        <w:outlineLvl w:val="3"/>
        <w:rPr>
          <w:rFonts w:ascii="宋体" w:hAnsi="宋体" w:cs="宋体"/>
          <w:sz w:val="21"/>
          <w:szCs w:val="21"/>
        </w:rPr>
      </w:pPr>
      <w:r>
        <w:rPr>
          <w:rFonts w:hint="eastAsia" w:ascii="宋体" w:hAnsi="宋体" w:cs="宋体"/>
          <w:sz w:val="21"/>
          <w:szCs w:val="21"/>
        </w:rPr>
        <w:t>2.</w:t>
      </w:r>
      <w:r>
        <w:rPr>
          <w:rFonts w:hint="eastAsia" w:ascii="宋体" w:hAnsi="宋体" w:cs="宋体"/>
          <w:b/>
          <w:bCs/>
          <w:sz w:val="21"/>
          <w:szCs w:val="21"/>
          <w:u w:val="single"/>
        </w:rPr>
        <w:t xml:space="preserve">    （标的名称）     </w:t>
      </w:r>
      <w:r>
        <w:rPr>
          <w:rFonts w:hint="eastAsia" w:ascii="宋体" w:hAnsi="宋体" w:cs="宋体"/>
          <w:sz w:val="21"/>
          <w:szCs w:val="21"/>
        </w:rPr>
        <w:t>，属于</w:t>
      </w:r>
      <w:r>
        <w:rPr>
          <w:rFonts w:hint="eastAsia" w:ascii="宋体" w:hAnsi="宋体" w:cs="宋体"/>
          <w:b/>
          <w:bCs/>
          <w:sz w:val="21"/>
          <w:szCs w:val="21"/>
          <w:u w:val="single"/>
        </w:rPr>
        <w:t xml:space="preserve">    （采购文件中明确的所属行业）    </w:t>
      </w:r>
      <w:r>
        <w:rPr>
          <w:rFonts w:hint="eastAsia" w:ascii="宋体" w:hAnsi="宋体" w:cs="宋体"/>
          <w:sz w:val="21"/>
          <w:szCs w:val="21"/>
        </w:rPr>
        <w:t>行业；承接企业为</w:t>
      </w:r>
      <w:r>
        <w:rPr>
          <w:rFonts w:hint="eastAsia" w:ascii="宋体" w:hAnsi="宋体" w:cs="宋体"/>
          <w:b/>
          <w:bCs/>
          <w:sz w:val="21"/>
          <w:szCs w:val="21"/>
          <w:u w:val="single"/>
        </w:rPr>
        <w:t xml:space="preserve">    （企业名称，要求承接企业本身所属行业应当与招标文件要求的行业相一致）    </w:t>
      </w:r>
      <w:r>
        <w:rPr>
          <w:rFonts w:hint="eastAsia" w:ascii="宋体" w:hAnsi="宋体" w:cs="宋体"/>
          <w:sz w:val="21"/>
          <w:szCs w:val="21"/>
        </w:rPr>
        <w:t>，从业人员</w:t>
      </w:r>
      <w:r>
        <w:rPr>
          <w:rFonts w:hint="eastAsia" w:ascii="宋体" w:hAnsi="宋体" w:cs="宋体"/>
          <w:b/>
          <w:bCs/>
          <w:sz w:val="21"/>
          <w:szCs w:val="21"/>
          <w:u w:val="single"/>
        </w:rPr>
        <w:t xml:space="preserve">        </w:t>
      </w:r>
      <w:r>
        <w:rPr>
          <w:rFonts w:hint="eastAsia" w:ascii="宋体" w:hAnsi="宋体" w:cs="宋体"/>
          <w:sz w:val="21"/>
          <w:szCs w:val="21"/>
        </w:rPr>
        <w:t>人，营业收入为</w:t>
      </w:r>
      <w:r>
        <w:rPr>
          <w:rFonts w:hint="eastAsia" w:ascii="宋体" w:hAnsi="宋体" w:cs="宋体"/>
          <w:b/>
          <w:bCs/>
          <w:sz w:val="21"/>
          <w:szCs w:val="21"/>
          <w:u w:val="single"/>
        </w:rPr>
        <w:t xml:space="preserve">        </w:t>
      </w:r>
      <w:r>
        <w:rPr>
          <w:rFonts w:hint="eastAsia" w:ascii="宋体" w:hAnsi="宋体" w:cs="宋体"/>
          <w:sz w:val="21"/>
          <w:szCs w:val="21"/>
        </w:rPr>
        <w:t>万元，资产总额为</w:t>
      </w:r>
      <w:r>
        <w:rPr>
          <w:rFonts w:hint="eastAsia" w:ascii="宋体" w:hAnsi="宋体" w:cs="宋体"/>
          <w:b/>
          <w:bCs/>
          <w:sz w:val="21"/>
          <w:szCs w:val="21"/>
          <w:u w:val="single"/>
        </w:rPr>
        <w:t xml:space="preserve">        </w:t>
      </w:r>
      <w:r>
        <w:rPr>
          <w:rFonts w:hint="eastAsia" w:ascii="宋体" w:hAnsi="宋体" w:cs="宋体"/>
          <w:sz w:val="21"/>
          <w:szCs w:val="21"/>
        </w:rPr>
        <w:t>万元，属于</w:t>
      </w:r>
      <w:r>
        <w:rPr>
          <w:rFonts w:hint="eastAsia" w:ascii="宋体" w:hAnsi="宋体" w:cs="宋体"/>
          <w:b/>
          <w:bCs/>
          <w:sz w:val="21"/>
          <w:szCs w:val="21"/>
          <w:u w:val="single"/>
        </w:rPr>
        <w:t xml:space="preserve">    （中型企业、小型企业、微型企业）    </w:t>
      </w:r>
      <w:r>
        <w:rPr>
          <w:rFonts w:hint="eastAsia" w:ascii="宋体" w:hAnsi="宋体" w:cs="宋体"/>
          <w:sz w:val="21"/>
          <w:szCs w:val="21"/>
        </w:rPr>
        <w:t>；</w:t>
      </w:r>
    </w:p>
    <w:p w14:paraId="2B2E4403">
      <w:pPr>
        <w:ind w:firstLine="420" w:firstLineChars="200"/>
        <w:outlineLvl w:val="3"/>
        <w:rPr>
          <w:rFonts w:ascii="宋体" w:hAnsi="宋体" w:cs="宋体"/>
          <w:sz w:val="21"/>
          <w:szCs w:val="21"/>
        </w:rPr>
      </w:pPr>
      <w:r>
        <w:rPr>
          <w:rFonts w:hint="eastAsia" w:ascii="宋体" w:hAnsi="宋体" w:cs="宋体"/>
          <w:sz w:val="21"/>
          <w:szCs w:val="21"/>
        </w:rPr>
        <w:t>……</w:t>
      </w:r>
    </w:p>
    <w:p w14:paraId="74D2FF4A">
      <w:pPr>
        <w:ind w:firstLine="420" w:firstLineChars="200"/>
        <w:outlineLvl w:val="3"/>
        <w:rPr>
          <w:rFonts w:ascii="宋体" w:hAnsi="宋体" w:cs="宋体"/>
          <w:sz w:val="21"/>
          <w:szCs w:val="21"/>
        </w:rPr>
      </w:pPr>
      <w:r>
        <w:rPr>
          <w:rFonts w:hint="eastAsia" w:ascii="宋体" w:hAnsi="宋体" w:cs="宋体"/>
          <w:sz w:val="21"/>
          <w:szCs w:val="21"/>
        </w:rPr>
        <w:t>以上企业，不属于大企业的分支机构，不存在控股股东为大企业的情形，也不存在与大企业的负责人为同一人的情形。</w:t>
      </w:r>
    </w:p>
    <w:p w14:paraId="012BD45C">
      <w:pPr>
        <w:ind w:firstLine="420" w:firstLineChars="200"/>
        <w:jc w:val="left"/>
        <w:outlineLvl w:val="3"/>
        <w:rPr>
          <w:rFonts w:ascii="宋体" w:hAnsi="宋体" w:cs="宋体"/>
          <w:sz w:val="21"/>
          <w:szCs w:val="21"/>
        </w:rPr>
      </w:pPr>
      <w:r>
        <w:rPr>
          <w:rFonts w:hint="eastAsia" w:ascii="宋体" w:hAnsi="宋体" w:cs="宋体"/>
          <w:sz w:val="21"/>
          <w:szCs w:val="21"/>
        </w:rPr>
        <w:t>本企业对上述声明内容的真实性负责。如有虚假，将依法承担相应责任。</w:t>
      </w:r>
    </w:p>
    <w:p w14:paraId="218C83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p>
    <w:p w14:paraId="22EA40CE">
      <w:pPr>
        <w:ind w:firstLine="420" w:firstLineChars="200"/>
      </w:pPr>
    </w:p>
    <w:p w14:paraId="585BE7CC">
      <w:pPr>
        <w:jc w:val="center"/>
        <w:outlineLvl w:val="3"/>
        <w:rPr>
          <w:b/>
          <w:sz w:val="24"/>
        </w:rPr>
      </w:pPr>
      <w:r>
        <w:rPr>
          <w:rFonts w:hint="eastAsia"/>
          <w:b/>
          <w:sz w:val="24"/>
        </w:rPr>
        <w:t>2、残疾人福利性单位声明函</w:t>
      </w:r>
      <w:r>
        <w:rPr>
          <w:rFonts w:hint="eastAsia"/>
          <w:b/>
          <w:sz w:val="24"/>
          <w:lang w:eastAsia="zh-CN"/>
        </w:rPr>
        <w:t>（</w:t>
      </w:r>
      <w:r>
        <w:rPr>
          <w:rFonts w:hint="eastAsia"/>
          <w:b/>
          <w:sz w:val="24"/>
          <w:lang w:val="en-US" w:eastAsia="zh-CN"/>
        </w:rPr>
        <w:t>服务</w:t>
      </w:r>
      <w:r>
        <w:rPr>
          <w:rFonts w:hint="eastAsia"/>
          <w:b/>
          <w:sz w:val="24"/>
        </w:rPr>
        <w:t>类）</w:t>
      </w:r>
    </w:p>
    <w:p w14:paraId="7A00C7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单位的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项目采购活动由本单位提供服务。</w:t>
      </w:r>
    </w:p>
    <w:p w14:paraId="39CB65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本单位对上述声明的真实性负责。如有虚假，将依法承担相应责任。</w:t>
      </w:r>
    </w:p>
    <w:p w14:paraId="6E1064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p>
    <w:p w14:paraId="571FF064">
      <w:pPr>
        <w:ind w:firstLine="420" w:firstLineChars="200"/>
        <w:rPr>
          <w:rFonts w:ascii="宋体" w:hAnsi="宋体"/>
          <w:szCs w:val="21"/>
        </w:rPr>
      </w:pPr>
    </w:p>
    <w:p w14:paraId="787436DC">
      <w:pPr>
        <w:ind w:firstLine="420" w:firstLineChars="200"/>
        <w:rPr>
          <w:rFonts w:ascii="宋体" w:hAnsi="宋体"/>
          <w:szCs w:val="21"/>
        </w:rPr>
      </w:pPr>
    </w:p>
    <w:p w14:paraId="28E103C8">
      <w:pPr>
        <w:ind w:firstLine="420" w:firstLineChars="200"/>
        <w:rPr>
          <w:rFonts w:ascii="宋体" w:hAnsi="宋体"/>
          <w:szCs w:val="21"/>
        </w:rPr>
      </w:pPr>
    </w:p>
    <w:p w14:paraId="66610A14">
      <w:pPr>
        <w:jc w:val="center"/>
        <w:outlineLvl w:val="3"/>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14:paraId="7E4A5D6F">
      <w:pPr>
        <w:ind w:firstLine="420" w:firstLineChars="200"/>
        <w:rPr>
          <w:rFonts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14:paraId="3E031F4C">
      <w:pPr>
        <w:ind w:firstLine="420" w:firstLineChars="200"/>
        <w:rPr>
          <w:rFonts w:ascii="宋体" w:hAnsi="宋体"/>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ascii="宋体" w:hAnsi="宋体"/>
          <w:szCs w:val="21"/>
        </w:rPr>
        <w:t>；</w:t>
      </w:r>
    </w:p>
    <w:p w14:paraId="385361C7">
      <w:pPr>
        <w:ind w:firstLine="420" w:firstLineChars="200"/>
        <w:rPr>
          <w:rFonts w:ascii="宋体" w:hAnsi="宋体"/>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hint="eastAsia" w:ascii="宋体" w:hAnsi="宋体"/>
          <w:szCs w:val="21"/>
        </w:rPr>
        <w:t>。</w:t>
      </w:r>
    </w:p>
    <w:p w14:paraId="1BDA2E13">
      <w:pPr>
        <w:ind w:firstLine="420" w:firstLineChars="200"/>
        <w:outlineLvl w:val="3"/>
        <w:rPr>
          <w:rFonts w:ascii="宋体" w:hAnsi="宋体"/>
          <w:szCs w:val="21"/>
        </w:rPr>
      </w:pPr>
      <w:r>
        <w:rPr>
          <w:rFonts w:ascii="宋体" w:hAnsi="宋体"/>
          <w:szCs w:val="21"/>
        </w:rPr>
        <w:t xml:space="preserve">…… </w:t>
      </w:r>
    </w:p>
    <w:p w14:paraId="07371A18">
      <w:pPr>
        <w:ind w:firstLine="420" w:firstLineChars="200"/>
        <w:rPr>
          <w:rFonts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14:paraId="3B23CB7C">
      <w:pPr>
        <w:ind w:firstLine="420" w:firstLineChars="200"/>
        <w:rPr>
          <w:rFonts w:ascii="宋体" w:hAnsi="宋体"/>
          <w:szCs w:val="21"/>
        </w:rPr>
      </w:pPr>
      <w:r>
        <w:rPr>
          <w:rFonts w:hint="eastAsia" w:ascii="宋体" w:hAnsi="宋体"/>
          <w:szCs w:val="21"/>
        </w:rPr>
        <w:t>附：省级以上监狱管理局、戒毒管理局（含新疆生产建设兵团）出具的监狱企业证明文件。</w:t>
      </w:r>
    </w:p>
    <w:p w14:paraId="54A16A0F">
      <w:pPr>
        <w:ind w:left="723" w:hanging="723" w:hangingChars="300"/>
        <w:rPr>
          <w:b/>
          <w:sz w:val="24"/>
        </w:rPr>
      </w:pPr>
    </w:p>
    <w:p w14:paraId="7937E59F">
      <w:pPr>
        <w:ind w:left="723" w:hanging="723" w:hangingChars="300"/>
        <w:rPr>
          <w:b/>
          <w:sz w:val="24"/>
        </w:rPr>
      </w:pPr>
    </w:p>
    <w:p w14:paraId="0F2A1D18">
      <w:pPr>
        <w:rPr>
          <w:rFonts w:hint="eastAsia" w:ascii="黑体" w:eastAsia="黑体"/>
          <w:b w:val="0"/>
          <w:sz w:val="24"/>
          <w:szCs w:val="24"/>
        </w:rPr>
      </w:pPr>
      <w:r>
        <w:rPr>
          <w:rFonts w:hint="eastAsia" w:ascii="黑体" w:eastAsia="黑体"/>
          <w:b w:val="0"/>
          <w:sz w:val="24"/>
          <w:szCs w:val="24"/>
        </w:rPr>
        <w:br w:type="page"/>
      </w:r>
    </w:p>
    <w:p w14:paraId="2799CA21">
      <w:pPr>
        <w:keepNext w:val="0"/>
        <w:keepLines w:val="0"/>
        <w:widowControl/>
        <w:suppressLineNumbers w:val="0"/>
        <w:jc w:val="center"/>
        <w:rPr>
          <w:rFonts w:hint="eastAsia" w:ascii="宋体" w:hAnsi="宋体" w:eastAsia="宋体" w:cs="宋体"/>
          <w:b/>
          <w:bCs/>
          <w:color w:val="000000"/>
          <w:kern w:val="0"/>
          <w:sz w:val="24"/>
          <w:szCs w:val="24"/>
          <w:lang w:val="en-US" w:eastAsia="zh-CN" w:bidi="ar"/>
        </w:rPr>
      </w:pPr>
      <w:r>
        <w:rPr>
          <w:rFonts w:hint="eastAsia" w:ascii="黑体" w:hAnsi="宋体" w:eastAsia="黑体" w:cs="Times New Roman"/>
          <w:b w:val="0"/>
          <w:bCs/>
          <w:kern w:val="0"/>
          <w:sz w:val="24"/>
          <w:szCs w:val="32"/>
          <w:lang w:val="en-US" w:eastAsia="zh-CN" w:bidi="ar-SA"/>
        </w:rPr>
        <w:t>四、</w:t>
      </w:r>
      <w:r>
        <w:rPr>
          <w:rFonts w:hint="eastAsia" w:ascii="黑体" w:hAnsi="宋体" w:eastAsia="黑体" w:cs="Times New Roman"/>
          <w:b w:val="0"/>
          <w:bCs/>
          <w:color w:val="auto"/>
          <w:kern w:val="0"/>
          <w:sz w:val="24"/>
          <w:szCs w:val="32"/>
          <w:lang w:val="en-US" w:eastAsia="zh-CN" w:bidi="ar-SA"/>
        </w:rPr>
        <w:t>项目详细报价</w:t>
      </w:r>
    </w:p>
    <w:p w14:paraId="188B3683">
      <w:pPr>
        <w:keepNext w:val="0"/>
        <w:keepLines w:val="0"/>
        <w:widowControl/>
        <w:suppressLineNumbers w:val="0"/>
        <w:jc w:val="center"/>
      </w:pPr>
      <w:r>
        <w:rPr>
          <w:rFonts w:hint="eastAsia" w:ascii="宋体" w:hAnsi="宋体" w:eastAsia="宋体" w:cs="宋体"/>
          <w:b/>
          <w:bCs/>
          <w:color w:val="000000"/>
          <w:kern w:val="0"/>
          <w:sz w:val="24"/>
          <w:szCs w:val="24"/>
          <w:lang w:val="en-US" w:eastAsia="zh-CN" w:bidi="ar"/>
        </w:rPr>
        <w:t>（一）项目报价表</w:t>
      </w:r>
    </w:p>
    <w:p w14:paraId="4D09215B">
      <w:pPr>
        <w:ind w:firstLine="482" w:firstLineChars="200"/>
        <w:rPr>
          <w:rFonts w:hint="default" w:hAnsi="宋体" w:eastAsia="宋体"/>
          <w:b/>
          <w:bCs/>
          <w:sz w:val="24"/>
          <w:lang w:val="en-US" w:eastAsia="zh-CN"/>
        </w:rPr>
      </w:pPr>
    </w:p>
    <w:tbl>
      <w:tblPr>
        <w:tblStyle w:val="45"/>
        <w:tblpPr w:leftFromText="180" w:rightFromText="180" w:vertAnchor="text" w:horzAnchor="page" w:tblpX="1724" w:tblpY="16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3"/>
        <w:gridCol w:w="2843"/>
        <w:gridCol w:w="2843"/>
      </w:tblGrid>
      <w:tr w14:paraId="61AF1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Pr>
          <w:p w14:paraId="539E3A77">
            <w:pPr>
              <w:jc w:val="center"/>
              <w:rPr>
                <w:rFonts w:hint="default" w:hAnsi="宋体" w:eastAsia="宋体"/>
                <w:b/>
                <w:bCs/>
                <w:sz w:val="24"/>
                <w:vertAlign w:val="baseline"/>
                <w:lang w:val="en-US" w:eastAsia="zh-CN"/>
              </w:rPr>
            </w:pPr>
            <w:r>
              <w:rPr>
                <w:rFonts w:hint="eastAsia" w:hAnsi="宋体"/>
                <w:b/>
                <w:bCs/>
                <w:sz w:val="24"/>
                <w:vertAlign w:val="baseline"/>
                <w:lang w:val="en-US" w:eastAsia="zh-CN"/>
              </w:rPr>
              <w:t>项目名称</w:t>
            </w:r>
          </w:p>
        </w:tc>
        <w:tc>
          <w:tcPr>
            <w:tcW w:w="1666" w:type="pct"/>
          </w:tcPr>
          <w:p w14:paraId="1C58B327">
            <w:pPr>
              <w:jc w:val="center"/>
              <w:rPr>
                <w:rFonts w:hint="default" w:hAnsi="宋体" w:eastAsia="宋体"/>
                <w:b/>
                <w:bCs/>
                <w:sz w:val="24"/>
                <w:vertAlign w:val="baseline"/>
                <w:lang w:val="en-US" w:eastAsia="zh-CN"/>
              </w:rPr>
            </w:pPr>
            <w:r>
              <w:rPr>
                <w:rFonts w:hint="eastAsia" w:hAnsi="宋体"/>
                <w:b/>
                <w:bCs/>
                <w:sz w:val="24"/>
                <w:vertAlign w:val="baseline"/>
                <w:lang w:val="en-US" w:eastAsia="zh-CN"/>
              </w:rPr>
              <w:t>折扣率</w:t>
            </w:r>
          </w:p>
        </w:tc>
        <w:tc>
          <w:tcPr>
            <w:tcW w:w="1666" w:type="pct"/>
          </w:tcPr>
          <w:p w14:paraId="60D8226C">
            <w:pPr>
              <w:jc w:val="center"/>
              <w:rPr>
                <w:rFonts w:hint="default" w:hAnsi="宋体" w:eastAsia="宋体"/>
                <w:b/>
                <w:bCs/>
                <w:sz w:val="24"/>
                <w:vertAlign w:val="baseline"/>
                <w:lang w:val="en-US" w:eastAsia="zh-CN"/>
              </w:rPr>
            </w:pPr>
            <w:r>
              <w:rPr>
                <w:rFonts w:hint="eastAsia" w:hAnsi="宋体"/>
                <w:b/>
                <w:bCs/>
                <w:sz w:val="24"/>
                <w:vertAlign w:val="baseline"/>
                <w:lang w:val="en-US" w:eastAsia="zh-CN"/>
              </w:rPr>
              <w:t>备注</w:t>
            </w:r>
          </w:p>
        </w:tc>
      </w:tr>
      <w:tr w14:paraId="6C5D3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666" w:type="pct"/>
          </w:tcPr>
          <w:p w14:paraId="04A01EC5">
            <w:pPr>
              <w:rPr>
                <w:rFonts w:hint="default" w:hAnsi="宋体" w:eastAsia="宋体"/>
                <w:b/>
                <w:bCs/>
                <w:sz w:val="24"/>
                <w:vertAlign w:val="baseline"/>
                <w:lang w:val="en-US" w:eastAsia="zh-CN"/>
              </w:rPr>
            </w:pPr>
          </w:p>
        </w:tc>
        <w:tc>
          <w:tcPr>
            <w:tcW w:w="1666" w:type="pct"/>
          </w:tcPr>
          <w:p w14:paraId="728DEF17">
            <w:pPr>
              <w:rPr>
                <w:rFonts w:hint="default" w:hAnsi="宋体" w:eastAsia="宋体"/>
                <w:b/>
                <w:bCs/>
                <w:sz w:val="24"/>
                <w:vertAlign w:val="baseline"/>
                <w:lang w:val="en-US" w:eastAsia="zh-CN"/>
              </w:rPr>
            </w:pPr>
          </w:p>
        </w:tc>
        <w:tc>
          <w:tcPr>
            <w:tcW w:w="1666" w:type="pct"/>
          </w:tcPr>
          <w:p w14:paraId="6FFE7A2A">
            <w:pPr>
              <w:rPr>
                <w:rFonts w:hint="default" w:hAnsi="宋体" w:eastAsia="宋体"/>
                <w:b/>
                <w:bCs/>
                <w:sz w:val="24"/>
                <w:vertAlign w:val="baseline"/>
                <w:lang w:val="en-US" w:eastAsia="zh-CN"/>
              </w:rPr>
            </w:pPr>
          </w:p>
        </w:tc>
      </w:tr>
    </w:tbl>
    <w:p w14:paraId="30BB429F">
      <w:pPr>
        <w:pStyle w:val="202"/>
        <w:keepNext w:val="0"/>
        <w:keepLines w:val="0"/>
        <w:pageBreakBefore w:val="0"/>
        <w:widowControl/>
        <w:suppressLineNumbers w:val="0"/>
        <w:kinsoku/>
        <w:wordWrap/>
        <w:overflowPunct/>
        <w:topLinePunct w:val="0"/>
        <w:autoSpaceDE/>
        <w:autoSpaceDN/>
        <w:bidi w:val="0"/>
        <w:spacing w:before="0" w:beforeAutospacing="0" w:after="0" w:afterAutospacing="0" w:line="288" w:lineRule="auto"/>
        <w:ind w:left="0" w:leftChars="0" w:right="0" w:rightChars="0"/>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color w:val="000000"/>
          <w:kern w:val="0"/>
          <w:sz w:val="21"/>
          <w:szCs w:val="21"/>
          <w:lang w:val="en-US" w:eastAsia="zh-CN" w:bidi="ar"/>
        </w:rPr>
        <w:t>注：</w:t>
      </w:r>
      <w:r>
        <w:rPr>
          <w:rFonts w:hint="eastAsia" w:cs="Times New Roman" w:asciiTheme="minorEastAsia" w:hAnsiTheme="minorEastAsia" w:eastAsiaTheme="minorEastAsia"/>
          <w:color w:val="auto"/>
          <w:kern w:val="2"/>
          <w:sz w:val="21"/>
          <w:szCs w:val="21"/>
          <w:lang w:val="en-US" w:eastAsia="zh-CN" w:bidi="ar-SA"/>
        </w:rPr>
        <w:t>1、本项目的投标报价为折扣率；</w:t>
      </w:r>
    </w:p>
    <w:p w14:paraId="51EDA9C3">
      <w:pPr>
        <w:widowControl/>
        <w:snapToGrid w:val="0"/>
        <w:jc w:val="left"/>
        <w:rPr>
          <w:rFonts w:ascii="宋体" w:hAnsi="宋体"/>
          <w:color w:val="0000FF"/>
          <w:kern w:val="0"/>
          <w:szCs w:val="21"/>
        </w:rPr>
      </w:pPr>
      <w:r>
        <w:rPr>
          <w:rFonts w:hint="eastAsia" w:cs="Times New Roman" w:asciiTheme="minorEastAsia" w:hAnsiTheme="minorEastAsia" w:eastAsiaTheme="minorEastAsia"/>
          <w:color w:val="auto"/>
          <w:kern w:val="2"/>
          <w:sz w:val="21"/>
          <w:szCs w:val="21"/>
          <w:lang w:val="en-US" w:eastAsia="zh-CN" w:bidi="ar-SA"/>
        </w:rPr>
        <w:t>2、折扣率必需小于或等于1且不得为0，折扣率在服务期限内保持不变（举例说明：若某种货物的价格为10元/斤，投标人投标报价折扣率为9折，实际结算价格为10元/斤*0.9=9元/斤，则在投标文件开标一览表中的折扣率应填0.9（最多保留小数点后两位））。</w:t>
      </w:r>
    </w:p>
    <w:p w14:paraId="3F1556D3">
      <w:pPr>
        <w:ind w:firstLine="482" w:firstLineChars="200"/>
        <w:rPr>
          <w:rFonts w:hAnsi="宋体"/>
          <w:b/>
          <w:bCs/>
          <w:sz w:val="24"/>
        </w:rPr>
      </w:pPr>
    </w:p>
    <w:p w14:paraId="5174385F">
      <w:pPr>
        <w:tabs>
          <w:tab w:val="left" w:pos="720"/>
        </w:tabs>
        <w:jc w:val="center"/>
        <w:rPr>
          <w:b/>
          <w:sz w:val="24"/>
        </w:rPr>
      </w:pPr>
      <w:r>
        <w:rPr>
          <w:rFonts w:hint="eastAsia"/>
          <w:b/>
          <w:sz w:val="24"/>
        </w:rPr>
        <w:t>（二）投标人认为需要涉及的其他内容报价清单</w:t>
      </w:r>
    </w:p>
    <w:p w14:paraId="2EC31009">
      <w:pPr>
        <w:rPr>
          <w:b/>
          <w:bCs/>
        </w:rPr>
      </w:pPr>
    </w:p>
    <w:p w14:paraId="53B99DD3">
      <w:pPr>
        <w:pStyle w:val="4"/>
        <w:numPr>
          <w:ilvl w:val="0"/>
          <w:numId w:val="0"/>
        </w:numPr>
        <w:ind w:leftChars="200"/>
        <w:jc w:val="center"/>
        <w:rPr>
          <w:rFonts w:hint="eastAsia" w:ascii="黑体" w:hAnsi="宋体" w:eastAsia="黑体"/>
          <w:b w:val="0"/>
          <w:sz w:val="24"/>
          <w:szCs w:val="24"/>
          <w:lang w:val="en-US" w:eastAsia="zh-CN"/>
        </w:rPr>
      </w:pPr>
      <w:r>
        <w:rPr>
          <w:rFonts w:hint="eastAsia" w:ascii="黑体" w:hAnsi="宋体" w:eastAsia="黑体"/>
          <w:b w:val="0"/>
          <w:sz w:val="24"/>
          <w:szCs w:val="24"/>
          <w:lang w:val="en-US" w:eastAsia="zh-CN"/>
        </w:rPr>
        <w:t>五、投标人通过相关认证情况</w:t>
      </w:r>
    </w:p>
    <w:p w14:paraId="0478C9BD">
      <w:pPr>
        <w:pStyle w:val="8"/>
        <w:ind w:firstLine="0"/>
        <w:rPr>
          <w:rFonts w:asciiTheme="minorEastAsia" w:hAnsiTheme="minorEastAsia" w:eastAsiaTheme="minorEastAsia" w:cstheme="minorEastAsia"/>
          <w:color w:val="auto"/>
          <w:sz w:val="24"/>
        </w:rPr>
      </w:pPr>
      <w:r>
        <w:t xml:space="preserve"> </w:t>
      </w:r>
      <w:r>
        <w:rPr>
          <w:color w:val="auto"/>
        </w:rPr>
        <w:t xml:space="preserve"> </w:t>
      </w:r>
      <w:r>
        <w:rPr>
          <w:rFonts w:hint="eastAsia" w:asciiTheme="minorEastAsia" w:hAnsiTheme="minorEastAsia" w:eastAsiaTheme="minorEastAsia" w:cstheme="minorEastAsia"/>
          <w:color w:val="auto"/>
          <w:sz w:val="24"/>
        </w:rPr>
        <w:t>（特别提示：投标人须按本招标文件评标信息中“投标人通过相关认证情况”这一评审因素要求，提供证明资料）</w:t>
      </w:r>
    </w:p>
    <w:p w14:paraId="52DAB093">
      <w:pPr>
        <w:pStyle w:val="4"/>
        <w:numPr>
          <w:ilvl w:val="0"/>
          <w:numId w:val="9"/>
        </w:numPr>
        <w:jc w:val="center"/>
        <w:rPr>
          <w:rFonts w:hint="eastAsia" w:ascii="黑体" w:hAnsi="宋体" w:eastAsia="黑体"/>
          <w:b w:val="0"/>
          <w:color w:val="auto"/>
          <w:sz w:val="24"/>
          <w:szCs w:val="24"/>
          <w:lang w:val="en-US" w:eastAsia="zh-CN"/>
        </w:rPr>
      </w:pPr>
      <w:r>
        <w:rPr>
          <w:rFonts w:hint="eastAsia" w:ascii="黑体" w:hAnsi="宋体" w:eastAsia="黑体"/>
          <w:b w:val="0"/>
          <w:color w:val="auto"/>
          <w:sz w:val="24"/>
          <w:szCs w:val="24"/>
          <w:lang w:val="en-US" w:eastAsia="zh-CN"/>
        </w:rPr>
        <w:t>投标人同类项目业绩情况</w:t>
      </w:r>
    </w:p>
    <w:p w14:paraId="1F15C8D2">
      <w:pPr>
        <w:pStyle w:val="8"/>
        <w:ind w:firstLine="0"/>
        <w:rPr>
          <w:rFonts w:asciiTheme="minorEastAsia" w:hAnsiTheme="minorEastAsia" w:eastAsiaTheme="minorEastAsia" w:cstheme="minorEastAsia"/>
          <w:color w:val="auto"/>
          <w:sz w:val="24"/>
        </w:rPr>
      </w:pPr>
      <w:r>
        <w:rPr>
          <w:color w:val="auto"/>
        </w:rPr>
        <w:t xml:space="preserve">  </w:t>
      </w:r>
      <w:r>
        <w:rPr>
          <w:rFonts w:hint="eastAsia" w:asciiTheme="minorEastAsia" w:hAnsiTheme="minorEastAsia" w:eastAsiaTheme="minorEastAsia" w:cstheme="minorEastAsia"/>
          <w:color w:val="auto"/>
          <w:sz w:val="24"/>
        </w:rPr>
        <w:t>（特别提示：投标人须按本招标文件评标信息中“</w:t>
      </w:r>
      <w:r>
        <w:rPr>
          <w:rFonts w:hint="eastAsia" w:asciiTheme="minorEastAsia" w:hAnsiTheme="minorEastAsia" w:eastAsiaTheme="minorEastAsia" w:cstheme="minorEastAsia"/>
          <w:color w:val="auto"/>
          <w:sz w:val="24"/>
          <w:lang w:val="en-US" w:eastAsia="zh-CN"/>
        </w:rPr>
        <w:t>投标人同类项目业绩情况</w:t>
      </w:r>
      <w:r>
        <w:rPr>
          <w:rFonts w:hint="eastAsia" w:asciiTheme="minorEastAsia" w:hAnsiTheme="minorEastAsia" w:eastAsiaTheme="minorEastAsia" w:cstheme="minorEastAsia"/>
          <w:color w:val="auto"/>
          <w:sz w:val="24"/>
        </w:rPr>
        <w:t>”这一评审因素要求，提供证明资料）</w:t>
      </w:r>
    </w:p>
    <w:p w14:paraId="3DEE6E84">
      <w:pPr>
        <w:pStyle w:val="4"/>
        <w:numPr>
          <w:ilvl w:val="0"/>
          <w:numId w:val="0"/>
        </w:numPr>
        <w:jc w:val="center"/>
        <w:rPr>
          <w:rFonts w:hint="eastAsia" w:ascii="黑体" w:hAnsi="宋体" w:eastAsia="黑体"/>
          <w:b w:val="0"/>
          <w:color w:val="auto"/>
          <w:sz w:val="24"/>
          <w:szCs w:val="24"/>
          <w:lang w:val="en-US" w:eastAsia="zh-CN"/>
        </w:rPr>
      </w:pPr>
      <w:r>
        <w:rPr>
          <w:rFonts w:hint="eastAsia" w:ascii="黑体" w:hAnsi="宋体" w:eastAsia="黑体"/>
          <w:b w:val="0"/>
          <w:color w:val="auto"/>
          <w:sz w:val="24"/>
          <w:szCs w:val="24"/>
          <w:lang w:val="en-US" w:eastAsia="zh-CN"/>
        </w:rPr>
        <w:t>七、信息化能力</w:t>
      </w:r>
    </w:p>
    <w:p w14:paraId="3B5ECB99">
      <w:pPr>
        <w:numPr>
          <w:ilvl w:val="0"/>
          <w:numId w:val="0"/>
        </w:numPr>
        <w:rPr>
          <w:rFonts w:hint="eastAsia"/>
          <w:color w:val="auto"/>
          <w:lang w:val="en-US" w:eastAsia="zh-CN"/>
        </w:rPr>
      </w:pPr>
      <w:r>
        <w:rPr>
          <w:rFonts w:hint="eastAsia" w:asciiTheme="minorEastAsia" w:hAnsiTheme="minorEastAsia" w:eastAsiaTheme="minorEastAsia" w:cstheme="minorEastAsia"/>
          <w:color w:val="auto"/>
          <w:sz w:val="24"/>
        </w:rPr>
        <w:t>（特别提示：投标人须按本招标文件评标信息中“</w:t>
      </w:r>
      <w:r>
        <w:rPr>
          <w:rFonts w:hint="eastAsia" w:asciiTheme="minorEastAsia" w:hAnsiTheme="minorEastAsia" w:eastAsiaTheme="minorEastAsia" w:cstheme="minorEastAsia"/>
          <w:color w:val="auto"/>
          <w:sz w:val="24"/>
          <w:lang w:val="en-US" w:eastAsia="zh-CN"/>
        </w:rPr>
        <w:t>信息化能力</w:t>
      </w:r>
      <w:r>
        <w:rPr>
          <w:rFonts w:hint="eastAsia" w:asciiTheme="minorEastAsia" w:hAnsiTheme="minorEastAsia" w:eastAsiaTheme="minorEastAsia" w:cstheme="minorEastAsia"/>
          <w:color w:val="auto"/>
          <w:sz w:val="24"/>
        </w:rPr>
        <w:t>”这一评审因素要求，提供证明资料）</w:t>
      </w:r>
    </w:p>
    <w:p w14:paraId="04350DF0">
      <w:pPr>
        <w:outlineLvl w:val="9"/>
        <w:rPr>
          <w:rFonts w:hint="eastAsia" w:ascii="宋体" w:hAnsi="宋体"/>
          <w:b/>
          <w:color w:val="FF0000"/>
          <w:sz w:val="28"/>
          <w:szCs w:val="28"/>
        </w:rPr>
      </w:pPr>
      <w:r>
        <w:rPr>
          <w:rFonts w:hint="eastAsia" w:ascii="宋体" w:hAnsi="宋体"/>
          <w:b/>
          <w:color w:val="FF0000"/>
          <w:sz w:val="28"/>
          <w:szCs w:val="28"/>
        </w:rPr>
        <w:br w:type="page"/>
      </w:r>
    </w:p>
    <w:p w14:paraId="447B6725">
      <w:pPr>
        <w:outlineLvl w:val="1"/>
        <w:rPr>
          <w:rFonts w:ascii="宋体" w:hAnsi="宋体"/>
          <w:b/>
          <w:color w:val="FF0000"/>
          <w:sz w:val="28"/>
          <w:szCs w:val="28"/>
        </w:rPr>
      </w:pPr>
      <w:r>
        <w:rPr>
          <w:rFonts w:hint="eastAsia" w:ascii="宋体" w:hAnsi="宋体"/>
          <w:b/>
          <w:color w:val="FF0000"/>
          <w:sz w:val="28"/>
          <w:szCs w:val="28"/>
        </w:rPr>
        <w:t>投标文件附件</w:t>
      </w:r>
    </w:p>
    <w:p w14:paraId="6176E47A">
      <w:pPr>
        <w:pStyle w:val="2"/>
        <w:rPr>
          <w:b w:val="0"/>
          <w:bCs w:val="0"/>
        </w:rPr>
      </w:pPr>
    </w:p>
    <w:p w14:paraId="44DFFA1D">
      <w:pPr>
        <w:widowControl/>
        <w:snapToGrid/>
        <w:spacing w:before="0" w:after="0" w:line="240" w:lineRule="auto"/>
        <w:jc w:val="center"/>
        <w:outlineLvl w:val="9"/>
        <w:rPr>
          <w:rFonts w:hint="eastAsia" w:ascii="黑体" w:hAnsi="宋体" w:eastAsia="黑体" w:cs="Times New Roman"/>
          <w:b w:val="0"/>
          <w:bCs/>
          <w:kern w:val="2"/>
          <w:sz w:val="24"/>
          <w:szCs w:val="32"/>
          <w:lang w:val="en-US" w:eastAsia="zh-CN" w:bidi="ar-SA"/>
        </w:rPr>
      </w:pPr>
      <w:r>
        <w:rPr>
          <w:rFonts w:hint="eastAsia" w:ascii="黑体" w:hAnsi="宋体" w:eastAsia="黑体" w:cs="Times New Roman"/>
          <w:b w:val="0"/>
          <w:bCs/>
          <w:kern w:val="2"/>
          <w:sz w:val="24"/>
          <w:szCs w:val="32"/>
          <w:lang w:val="en-US" w:eastAsia="zh-CN" w:bidi="ar-SA"/>
        </w:rPr>
        <w:t>一、供应商基本情况表</w:t>
      </w:r>
    </w:p>
    <w:tbl>
      <w:tblPr>
        <w:tblStyle w:val="4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14:paraId="11E22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9" w:type="pct"/>
            <w:gridSpan w:val="2"/>
            <w:noWrap w:val="0"/>
            <w:vAlign w:val="center"/>
          </w:tcPr>
          <w:p w14:paraId="51A7ABE1">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投标（响应）供应商</w:t>
            </w:r>
          </w:p>
        </w:tc>
        <w:tc>
          <w:tcPr>
            <w:tcW w:w="1427" w:type="pct"/>
            <w:gridSpan w:val="2"/>
            <w:noWrap w:val="0"/>
            <w:vAlign w:val="center"/>
          </w:tcPr>
          <w:p w14:paraId="3B1972B4">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1A4BFE25">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项目名称及编号</w:t>
            </w:r>
          </w:p>
        </w:tc>
        <w:tc>
          <w:tcPr>
            <w:tcW w:w="1669" w:type="pct"/>
            <w:gridSpan w:val="2"/>
            <w:noWrap w:val="0"/>
            <w:vAlign w:val="center"/>
          </w:tcPr>
          <w:p w14:paraId="41B2B863">
            <w:pPr>
              <w:jc w:val="center"/>
              <w:rPr>
                <w:rFonts w:hint="eastAsia" w:ascii="宋体" w:hAnsi="宋体" w:eastAsia="宋体" w:cs="宋体"/>
                <w:color w:val="auto"/>
                <w:sz w:val="21"/>
                <w:szCs w:val="21"/>
                <w:vertAlign w:val="baseline"/>
                <w:lang w:val="en-US" w:eastAsia="zh-CN"/>
              </w:rPr>
            </w:pPr>
          </w:p>
        </w:tc>
      </w:tr>
      <w:tr w14:paraId="1B00F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7BADEA29">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投标（响应）供应商相关人员情况</w:t>
            </w:r>
          </w:p>
        </w:tc>
      </w:tr>
      <w:tr w14:paraId="0EFBA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2804E91C">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275" w:type="pct"/>
            <w:gridSpan w:val="2"/>
            <w:tcBorders>
              <w:bottom w:val="single" w:color="auto" w:sz="4" w:space="0"/>
            </w:tcBorders>
            <w:noWrap w:val="0"/>
            <w:vAlign w:val="center"/>
          </w:tcPr>
          <w:p w14:paraId="0C6A74D9">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职务</w:t>
            </w:r>
          </w:p>
        </w:tc>
        <w:tc>
          <w:tcPr>
            <w:tcW w:w="529" w:type="pct"/>
            <w:tcBorders>
              <w:bottom w:val="single" w:color="auto" w:sz="4" w:space="0"/>
            </w:tcBorders>
            <w:noWrap w:val="0"/>
            <w:vAlign w:val="center"/>
          </w:tcPr>
          <w:p w14:paraId="772F7E5D">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113" w:type="pct"/>
            <w:gridSpan w:val="2"/>
            <w:tcBorders>
              <w:bottom w:val="single" w:color="auto" w:sz="4" w:space="0"/>
            </w:tcBorders>
            <w:noWrap w:val="0"/>
            <w:vAlign w:val="center"/>
          </w:tcPr>
          <w:p w14:paraId="4FBD79E2">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身份证号码</w:t>
            </w:r>
          </w:p>
        </w:tc>
        <w:tc>
          <w:tcPr>
            <w:tcW w:w="838" w:type="pct"/>
            <w:tcBorders>
              <w:bottom w:val="single" w:color="auto" w:sz="4" w:space="0"/>
            </w:tcBorders>
            <w:noWrap w:val="0"/>
            <w:vAlign w:val="center"/>
          </w:tcPr>
          <w:p w14:paraId="4075659A">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劳动合同</w:t>
            </w:r>
          </w:p>
          <w:p w14:paraId="6F7242EB">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关系单位</w:t>
            </w:r>
          </w:p>
        </w:tc>
        <w:tc>
          <w:tcPr>
            <w:tcW w:w="830" w:type="pct"/>
            <w:tcBorders>
              <w:bottom w:val="single" w:color="auto" w:sz="4" w:space="0"/>
            </w:tcBorders>
            <w:noWrap w:val="0"/>
            <w:vAlign w:val="center"/>
          </w:tcPr>
          <w:p w14:paraId="0FF8FB9D">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缴纳社会</w:t>
            </w:r>
          </w:p>
          <w:p w14:paraId="16080CA4">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保险单位</w:t>
            </w:r>
          </w:p>
        </w:tc>
      </w:tr>
      <w:tr w14:paraId="7780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20CCEB72">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42DB1A5C">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30A1662D">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55EC3058">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6405C60D">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3D3D5F5C">
            <w:pPr>
              <w:jc w:val="center"/>
              <w:rPr>
                <w:rFonts w:hint="eastAsia" w:ascii="宋体" w:hAnsi="宋体" w:eastAsia="宋体" w:cs="宋体"/>
                <w:color w:val="auto"/>
                <w:sz w:val="21"/>
                <w:szCs w:val="21"/>
                <w:vertAlign w:val="baseline"/>
                <w:lang w:val="en-US" w:eastAsia="zh-CN"/>
              </w:rPr>
            </w:pPr>
          </w:p>
        </w:tc>
      </w:tr>
      <w:tr w14:paraId="0349E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781D90BC">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2E586AE7">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65DE8735">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08D38A0A">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75F4D22C">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1D19FF51">
            <w:pPr>
              <w:jc w:val="center"/>
              <w:rPr>
                <w:rFonts w:hint="eastAsia" w:ascii="宋体" w:hAnsi="宋体" w:eastAsia="宋体" w:cs="宋体"/>
                <w:color w:val="auto"/>
                <w:sz w:val="21"/>
                <w:szCs w:val="21"/>
                <w:vertAlign w:val="baseline"/>
                <w:lang w:val="en-US" w:eastAsia="zh-CN"/>
              </w:rPr>
            </w:pPr>
          </w:p>
        </w:tc>
      </w:tr>
      <w:tr w14:paraId="0098B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14:paraId="61DDEF64">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3</w:t>
            </w:r>
          </w:p>
        </w:tc>
        <w:tc>
          <w:tcPr>
            <w:tcW w:w="1275" w:type="pct"/>
            <w:gridSpan w:val="2"/>
            <w:tcBorders>
              <w:top w:val="single" w:color="auto" w:sz="4" w:space="0"/>
            </w:tcBorders>
            <w:noWrap w:val="0"/>
            <w:vAlign w:val="center"/>
          </w:tcPr>
          <w:p w14:paraId="5642BE63">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14:paraId="76CE35E8">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tcBorders>
            <w:noWrap w:val="0"/>
            <w:vAlign w:val="center"/>
          </w:tcPr>
          <w:p w14:paraId="5A4AE8C5">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tcBorders>
            <w:noWrap w:val="0"/>
            <w:vAlign w:val="center"/>
          </w:tcPr>
          <w:p w14:paraId="64028644">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tcBorders>
            <w:noWrap w:val="0"/>
            <w:vAlign w:val="center"/>
          </w:tcPr>
          <w:p w14:paraId="1529812B">
            <w:pPr>
              <w:jc w:val="center"/>
              <w:rPr>
                <w:rFonts w:hint="eastAsia" w:ascii="宋体" w:hAnsi="宋体" w:eastAsia="宋体" w:cs="宋体"/>
                <w:color w:val="auto"/>
                <w:sz w:val="21"/>
                <w:szCs w:val="21"/>
                <w:vertAlign w:val="baseline"/>
                <w:lang w:val="en-US" w:eastAsia="zh-CN"/>
              </w:rPr>
            </w:pPr>
          </w:p>
        </w:tc>
      </w:tr>
      <w:tr w14:paraId="263BA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6BC2AA46">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4</w:t>
            </w:r>
          </w:p>
        </w:tc>
        <w:tc>
          <w:tcPr>
            <w:tcW w:w="1275" w:type="pct"/>
            <w:gridSpan w:val="2"/>
            <w:noWrap w:val="0"/>
            <w:vAlign w:val="center"/>
          </w:tcPr>
          <w:p w14:paraId="4CADA330">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14:paraId="4BE8EEF1">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5C15B5EE">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14:paraId="2FDE2E66">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14:paraId="42CA0643">
            <w:pPr>
              <w:jc w:val="center"/>
              <w:rPr>
                <w:rFonts w:hint="eastAsia" w:ascii="宋体" w:hAnsi="宋体" w:eastAsia="宋体" w:cs="宋体"/>
                <w:color w:val="auto"/>
                <w:sz w:val="21"/>
                <w:szCs w:val="21"/>
                <w:vertAlign w:val="baseline"/>
                <w:lang w:val="en-US" w:eastAsia="zh-CN"/>
              </w:rPr>
            </w:pPr>
          </w:p>
        </w:tc>
      </w:tr>
      <w:tr w14:paraId="411BA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47D684B6">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5</w:t>
            </w:r>
          </w:p>
        </w:tc>
        <w:tc>
          <w:tcPr>
            <w:tcW w:w="1275" w:type="pct"/>
            <w:gridSpan w:val="2"/>
            <w:noWrap w:val="0"/>
            <w:vAlign w:val="center"/>
          </w:tcPr>
          <w:p w14:paraId="61816F62">
            <w:pPr>
              <w:widowControl w:val="0"/>
              <w:snapToGrid w:val="0"/>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14:paraId="6BEC6880">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07E87E59">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14:paraId="06C934DD">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14:paraId="06A8302A">
            <w:pPr>
              <w:jc w:val="center"/>
              <w:rPr>
                <w:rFonts w:hint="eastAsia" w:ascii="宋体" w:hAnsi="宋体" w:eastAsia="宋体" w:cs="宋体"/>
                <w:color w:val="auto"/>
                <w:sz w:val="21"/>
                <w:szCs w:val="21"/>
                <w:vertAlign w:val="baseline"/>
                <w:lang w:val="en-US" w:eastAsia="zh-CN"/>
              </w:rPr>
            </w:pPr>
          </w:p>
        </w:tc>
      </w:tr>
      <w:tr w14:paraId="746A6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6938C388">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14:paraId="7D845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14:paraId="71F39D92">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投标（响应）供应商关联关系情况</w:t>
            </w:r>
          </w:p>
        </w:tc>
      </w:tr>
      <w:tr w14:paraId="53E0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4DC374E2">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序号</w:t>
            </w:r>
          </w:p>
        </w:tc>
        <w:tc>
          <w:tcPr>
            <w:tcW w:w="1275" w:type="pct"/>
            <w:gridSpan w:val="2"/>
            <w:tcBorders>
              <w:bottom w:val="single" w:color="auto" w:sz="4" w:space="0"/>
            </w:tcBorders>
            <w:noWrap w:val="0"/>
            <w:vAlign w:val="center"/>
          </w:tcPr>
          <w:p w14:paraId="5D6EAE3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14:paraId="27F6C8E9">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14:paraId="4410CDA7">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20E3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05315A72">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66C60C15">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17B8B837">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6C9BD42D">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493B7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27C0DDA1">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3FAFF0F0">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600FD08B">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1ABC7D1F">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14:paraId="55A5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46588E0F">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14:paraId="1DA5F46D">
      <w:pPr>
        <w:pStyle w:val="4"/>
        <w:jc w:val="center"/>
        <w:rPr>
          <w:rFonts w:hint="eastAsia" w:ascii="黑体" w:eastAsia="黑体"/>
          <w:b w:val="0"/>
          <w:sz w:val="24"/>
          <w:lang w:val="en-US" w:eastAsia="zh-CN"/>
        </w:rPr>
      </w:pPr>
    </w:p>
    <w:p w14:paraId="1D002D27">
      <w:pPr>
        <w:pStyle w:val="4"/>
        <w:jc w:val="center"/>
        <w:rPr>
          <w:rFonts w:ascii="黑体" w:eastAsia="黑体"/>
          <w:b w:val="0"/>
          <w:sz w:val="24"/>
        </w:rPr>
      </w:pPr>
      <w:r>
        <w:rPr>
          <w:rFonts w:hint="eastAsia" w:ascii="黑体" w:eastAsia="黑体"/>
          <w:b w:val="0"/>
          <w:sz w:val="24"/>
          <w:lang w:val="en-US" w:eastAsia="zh-CN"/>
        </w:rPr>
        <w:t>二</w:t>
      </w:r>
      <w:r>
        <w:rPr>
          <w:rFonts w:hint="eastAsia" w:ascii="黑体" w:eastAsia="黑体"/>
          <w:b w:val="0"/>
          <w:sz w:val="24"/>
        </w:rPr>
        <w:t>、</w:t>
      </w:r>
      <w:bookmarkStart w:id="41" w:name="_Hlk72092499"/>
      <w:r>
        <w:rPr>
          <w:rFonts w:hint="eastAsia" w:ascii="黑体" w:eastAsia="黑体"/>
          <w:b w:val="0"/>
          <w:sz w:val="24"/>
        </w:rPr>
        <w:t>法定代表人（负责人）证明书</w:t>
      </w:r>
      <w:bookmarkEnd w:id="41"/>
    </w:p>
    <w:p w14:paraId="4971E4CE">
      <w:pPr>
        <w:rPr>
          <w:sz w:val="24"/>
        </w:rPr>
      </w:pPr>
    </w:p>
    <w:p w14:paraId="74703954">
      <w:pPr>
        <w:spacing w:line="360" w:lineRule="auto"/>
        <w:ind w:firstLine="420" w:firstLineChars="200"/>
        <w:rPr>
          <w:rFonts w:hint="default" w:eastAsia="宋体"/>
          <w:szCs w:val="21"/>
          <w:lang w:val="en-US" w:eastAsia="zh-CN"/>
        </w:rPr>
      </w:pP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eastAsia="宋体"/>
          <w:szCs w:val="21"/>
          <w:u w:val="none"/>
          <w:lang w:eastAsia="zh-CN"/>
        </w:rPr>
        <w:t>（</w:t>
      </w:r>
      <w:r>
        <w:rPr>
          <w:rFonts w:hint="eastAsia" w:ascii="Times New Roman" w:eastAsia="宋体"/>
          <w:szCs w:val="21"/>
          <w:u w:val="none"/>
          <w:lang w:val="en-US" w:eastAsia="zh-CN"/>
        </w:rPr>
        <w:t>姓名</w:t>
      </w:r>
      <w:r>
        <w:rPr>
          <w:rFonts w:hint="eastAsia" w:eastAsia="宋体"/>
          <w:szCs w:val="21"/>
          <w:u w:val="none"/>
          <w:lang w:eastAsia="zh-CN"/>
        </w:rPr>
        <w:t>）</w:t>
      </w:r>
      <w:r>
        <w:rPr>
          <w:rFonts w:hint="eastAsia"/>
          <w:szCs w:val="21"/>
        </w:rPr>
        <w:t>，现任我单位</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szCs w:val="21"/>
        </w:rPr>
        <w:t>职务，为法定代表人（负责人），</w:t>
      </w:r>
      <w:r>
        <w:rPr>
          <w:rFonts w:hint="eastAsia" w:ascii="Times New Roman" w:eastAsia="宋体"/>
          <w:szCs w:val="21"/>
          <w:lang w:val="en-US" w:eastAsia="zh-CN"/>
        </w:rPr>
        <w:t>身份证件</w:t>
      </w:r>
      <w:r>
        <w:rPr>
          <w:rFonts w:hint="eastAsia"/>
          <w:szCs w:val="21"/>
        </w:rPr>
        <w:t>号</w:t>
      </w:r>
      <w:r>
        <w:rPr>
          <w:rFonts w:hint="eastAsia" w:ascii="Times New Roman" w:eastAsia="宋体"/>
          <w:szCs w:val="21"/>
          <w:lang w:val="en-US" w:eastAsia="zh-CN"/>
        </w:rPr>
        <w:t>为</w:t>
      </w:r>
      <w:r>
        <w:rPr>
          <w:rFonts w:hint="eastAsia"/>
          <w:szCs w:val="21"/>
        </w:rPr>
        <w:t>：</w:t>
      </w:r>
      <w:r>
        <w:rPr>
          <w:rFonts w:hint="eastAsia"/>
          <w:szCs w:val="21"/>
          <w:u w:val="single"/>
        </w:rPr>
        <w:t xml:space="preserve">                                     </w:t>
      </w:r>
      <w:r>
        <w:rPr>
          <w:rFonts w:hint="eastAsia" w:eastAsia="宋体"/>
          <w:szCs w:val="21"/>
          <w:u w:val="none"/>
          <w:lang w:eastAsia="zh-CN"/>
        </w:rPr>
        <w:t>，</w:t>
      </w:r>
      <w:r>
        <w:rPr>
          <w:rFonts w:hint="eastAsia"/>
          <w:szCs w:val="21"/>
        </w:rPr>
        <w:t>联系电话：</w:t>
      </w:r>
      <w:r>
        <w:rPr>
          <w:rFonts w:hint="eastAsia" w:ascii="Times New Roman" w:eastAsia="宋体"/>
          <w:szCs w:val="21"/>
          <w:u w:val="single"/>
          <w:lang w:val="en-US" w:eastAsia="zh-CN"/>
        </w:rPr>
        <w:t xml:space="preserve">                </w:t>
      </w:r>
      <w:r>
        <w:rPr>
          <w:rFonts w:hint="eastAsia" w:ascii="Times New Roman" w:eastAsia="宋体"/>
          <w:szCs w:val="21"/>
          <w:lang w:val="en-US" w:eastAsia="zh-CN"/>
        </w:rPr>
        <w:t>。</w:t>
      </w:r>
    </w:p>
    <w:p w14:paraId="33B11AAA">
      <w:pPr>
        <w:spacing w:line="360" w:lineRule="auto"/>
        <w:ind w:firstLine="420" w:firstLineChars="200"/>
        <w:rPr>
          <w:szCs w:val="21"/>
        </w:rPr>
      </w:pPr>
      <w:r>
        <w:rPr>
          <w:rFonts w:hint="eastAsia"/>
          <w:szCs w:val="21"/>
        </w:rPr>
        <w:t>特此证明。</w:t>
      </w:r>
    </w:p>
    <w:p w14:paraId="013003AB">
      <w:pPr>
        <w:spacing w:line="360" w:lineRule="auto"/>
        <w:ind w:firstLine="420" w:firstLineChars="200"/>
        <w:rPr>
          <w:rFonts w:hint="eastAsia"/>
          <w:szCs w:val="21"/>
        </w:rPr>
      </w:pPr>
      <w:r>
        <w:rPr>
          <w:rFonts w:hint="eastAsia"/>
          <w:szCs w:val="21"/>
        </w:rPr>
        <w:t>说明：1、法定代表人为投标人（企业事业单位、国家机关、社会团体）的主要行政负责人。</w:t>
      </w:r>
    </w:p>
    <w:p w14:paraId="649828AD">
      <w:pPr>
        <w:numPr>
          <w:ilvl w:val="0"/>
          <w:numId w:val="10"/>
        </w:numPr>
        <w:spacing w:line="360" w:lineRule="auto"/>
        <w:ind w:firstLine="420" w:firstLineChars="200"/>
        <w:rPr>
          <w:rFonts w:hint="eastAsia"/>
          <w:color w:val="auto"/>
          <w:szCs w:val="21"/>
          <w:lang w:val="en-US" w:eastAsia="zh-CN"/>
        </w:rPr>
      </w:pPr>
      <w:r>
        <w:rPr>
          <w:rFonts w:hint="eastAsia" w:eastAsia="宋体"/>
          <w:color w:val="auto"/>
          <w:szCs w:val="21"/>
          <w:lang w:eastAsia="zh-Hans"/>
        </w:rPr>
        <w:t>本证明书要供法定代表人（负责人）</w:t>
      </w:r>
      <w:r>
        <w:rPr>
          <w:rFonts w:hint="eastAsia" w:ascii="Times New Roman" w:eastAsia="宋体"/>
          <w:color w:val="auto"/>
          <w:szCs w:val="21"/>
          <w:lang w:val="en-US" w:eastAsia="zh-CN"/>
        </w:rPr>
        <w:t>相关身份证明文件：身份证扫描件（正反两面）；港澳台居民可提供来往通行证扫描件；非中国国籍管辖范围人员，可提供公安部门认可的身份证明材料扫描件。</w:t>
      </w:r>
    </w:p>
    <w:p w14:paraId="43ECE066">
      <w:pPr>
        <w:numPr>
          <w:ilvl w:val="0"/>
          <w:numId w:val="10"/>
        </w:numPr>
        <w:spacing w:line="360" w:lineRule="auto"/>
        <w:ind w:firstLine="420" w:firstLineChars="200"/>
        <w:rPr>
          <w:szCs w:val="21"/>
        </w:rPr>
      </w:pPr>
      <w:r>
        <w:rPr>
          <w:rFonts w:hint="eastAsia" w:eastAsia="宋体"/>
          <w:color w:val="auto"/>
          <w:szCs w:val="21"/>
          <w:lang w:eastAsia="zh-Hans"/>
        </w:rPr>
        <w:t>本项目投标授权代表为法定代表人（负责人）的，无需提供</w:t>
      </w:r>
      <w:r>
        <w:rPr>
          <w:rFonts w:hint="eastAsia"/>
          <w:color w:val="auto"/>
          <w:szCs w:val="21"/>
        </w:rPr>
        <w:t>《投标文件签署授权委托书》</w:t>
      </w:r>
      <w:r>
        <w:rPr>
          <w:rFonts w:hint="eastAsia" w:eastAsia="宋体"/>
          <w:color w:val="auto"/>
          <w:szCs w:val="21"/>
          <w:lang w:eastAsia="zh-Hans"/>
        </w:rPr>
        <w:t>。</w:t>
      </w:r>
    </w:p>
    <w:p w14:paraId="157AB1FE">
      <w:pPr>
        <w:numPr>
          <w:ilvl w:val="0"/>
          <w:numId w:val="10"/>
        </w:numPr>
        <w:spacing w:line="360" w:lineRule="auto"/>
        <w:ind w:firstLine="420" w:firstLineChars="200"/>
        <w:rPr>
          <w:szCs w:val="21"/>
        </w:rPr>
      </w:pPr>
      <w:r>
        <w:rPr>
          <w:rFonts w:hint="eastAsia"/>
          <w:szCs w:val="21"/>
        </w:rPr>
        <w:t>内容必须填写真实、清楚，涂改无效，不得转让、买卖。</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50721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49341E6E">
            <w:pPr>
              <w:jc w:val="center"/>
              <w:rPr>
                <w:rFonts w:hint="eastAsia"/>
                <w:lang w:val="en-US" w:eastAsia="zh-CN"/>
              </w:rPr>
            </w:pPr>
            <w:r>
              <w:rPr>
                <w:rFonts w:hint="eastAsia" w:ascii="Times New Roman" w:eastAsia="宋体"/>
                <w:lang w:val="en-US" w:eastAsia="zh-CN"/>
              </w:rPr>
              <w:t>证件扫描件正面</w:t>
            </w:r>
          </w:p>
          <w:p w14:paraId="34DD758B">
            <w:pPr>
              <w:pStyle w:val="2"/>
              <w:jc w:val="center"/>
              <w:rPr>
                <w:rFonts w:hint="eastAsia"/>
                <w:lang w:val="en-US" w:eastAsia="zh-CN"/>
              </w:rPr>
            </w:pPr>
          </w:p>
          <w:p w14:paraId="36B5A417">
            <w:pPr>
              <w:pStyle w:val="36"/>
              <w:jc w:val="center"/>
              <w:rPr>
                <w:rFonts w:hint="default"/>
                <w:lang w:val="en-US" w:eastAsia="zh-CN"/>
              </w:rPr>
            </w:pPr>
          </w:p>
        </w:tc>
        <w:tc>
          <w:tcPr>
            <w:tcW w:w="4265" w:type="dxa"/>
            <w:vAlign w:val="top"/>
          </w:tcPr>
          <w:p w14:paraId="4804BF14">
            <w:pPr>
              <w:jc w:val="center"/>
              <w:rPr>
                <w:rFonts w:hint="eastAsia"/>
                <w:lang w:val="en-US" w:eastAsia="zh-CN"/>
              </w:rPr>
            </w:pPr>
            <w:r>
              <w:rPr>
                <w:rFonts w:hint="eastAsia" w:ascii="Times New Roman" w:eastAsia="宋体"/>
                <w:lang w:val="en-US" w:eastAsia="zh-CN"/>
              </w:rPr>
              <w:t>证件扫描件反面</w:t>
            </w:r>
          </w:p>
          <w:p w14:paraId="763A3988">
            <w:pPr>
              <w:pStyle w:val="2"/>
              <w:jc w:val="center"/>
              <w:rPr>
                <w:rFonts w:hint="eastAsia"/>
                <w:lang w:val="en-US" w:eastAsia="zh-CN"/>
              </w:rPr>
            </w:pPr>
          </w:p>
          <w:p w14:paraId="4BD8CDDB">
            <w:pPr>
              <w:pStyle w:val="36"/>
              <w:jc w:val="center"/>
              <w:rPr>
                <w:rFonts w:hint="eastAsia"/>
                <w:sz w:val="24"/>
                <w:vertAlign w:val="baseline"/>
                <w:lang w:val="en-US" w:eastAsia="zh-CN"/>
              </w:rPr>
            </w:pPr>
          </w:p>
        </w:tc>
      </w:tr>
    </w:tbl>
    <w:p w14:paraId="1EBFA7B0">
      <w:pPr>
        <w:rPr>
          <w:sz w:val="24"/>
        </w:rPr>
      </w:pPr>
    </w:p>
    <w:p w14:paraId="60FD0813">
      <w:pPr>
        <w:numPr>
          <w:ilvl w:val="0"/>
          <w:numId w:val="0"/>
        </w:numPr>
        <w:spacing w:line="360" w:lineRule="auto"/>
        <w:rPr>
          <w:rFonts w:ascii="宋体" w:hAnsi="宋体" w:cs="宋体"/>
          <w:sz w:val="24"/>
        </w:rPr>
      </w:pPr>
      <w:r>
        <w:rPr>
          <w:rFonts w:hint="eastAsia"/>
          <w:highlight w:val="yellow"/>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665B5EE">
      <w:pPr>
        <w:rPr>
          <w:rFonts w:hint="eastAsia" w:ascii="黑体" w:eastAsia="黑体"/>
          <w:b w:val="0"/>
          <w:sz w:val="24"/>
          <w:lang w:val="en-US" w:eastAsia="zh-CN"/>
        </w:rPr>
      </w:pPr>
    </w:p>
    <w:p w14:paraId="6C161049">
      <w:pPr>
        <w:pStyle w:val="4"/>
        <w:spacing w:before="120" w:after="120"/>
        <w:jc w:val="center"/>
        <w:rPr>
          <w:rFonts w:ascii="黑体" w:eastAsia="黑体"/>
          <w:b w:val="0"/>
          <w:sz w:val="24"/>
        </w:rPr>
      </w:pPr>
      <w:r>
        <w:rPr>
          <w:rFonts w:hint="eastAsia" w:ascii="黑体" w:eastAsia="黑体"/>
          <w:b w:val="0"/>
          <w:sz w:val="24"/>
          <w:lang w:val="en-US" w:eastAsia="zh-CN"/>
        </w:rPr>
        <w:t>三</w:t>
      </w:r>
      <w:r>
        <w:rPr>
          <w:rFonts w:hint="eastAsia" w:ascii="黑体" w:eastAsia="黑体"/>
          <w:b w:val="0"/>
          <w:sz w:val="24"/>
        </w:rPr>
        <w:t>、投标文件签署授权委托书</w:t>
      </w:r>
    </w:p>
    <w:p w14:paraId="4DE71CCB">
      <w:pPr>
        <w:spacing w:line="360" w:lineRule="auto"/>
        <w:ind w:firstLine="420" w:firstLineChars="200"/>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34C27598">
      <w:pPr>
        <w:spacing w:line="360" w:lineRule="auto"/>
        <w:ind w:firstLine="420" w:firstLineChars="200"/>
        <w:rPr>
          <w:rFonts w:hint="eastAsia"/>
          <w:szCs w:val="21"/>
        </w:rPr>
      </w:pPr>
      <w:r>
        <w:rPr>
          <w:rFonts w:hint="eastAsia"/>
          <w:szCs w:val="21"/>
        </w:rPr>
        <w:t>代理人无转委托权，特此委托。</w:t>
      </w:r>
    </w:p>
    <w:p w14:paraId="69300BB9">
      <w:pPr>
        <w:spacing w:line="360" w:lineRule="auto"/>
        <w:ind w:firstLine="420" w:firstLineChars="200"/>
        <w:rPr>
          <w:rFonts w:hint="eastAsia"/>
          <w:szCs w:val="21"/>
        </w:rPr>
      </w:pPr>
    </w:p>
    <w:p w14:paraId="18A043B6">
      <w:pPr>
        <w:spacing w:line="360" w:lineRule="auto"/>
        <w:ind w:firstLine="420" w:firstLineChars="200"/>
        <w:rPr>
          <w:rFonts w:hint="eastAsia"/>
          <w:szCs w:val="21"/>
          <w:u w:val="none"/>
          <w:lang w:eastAsia="zh-CN"/>
        </w:rPr>
      </w:pPr>
      <w:r>
        <w:rPr>
          <w:rFonts w:hint="eastAsia"/>
          <w:szCs w:val="21"/>
        </w:rPr>
        <w:t>代理人</w:t>
      </w:r>
      <w:r>
        <w:rPr>
          <w:rFonts w:hint="eastAsia" w:eastAsia="宋体"/>
          <w:szCs w:val="21"/>
          <w:lang w:eastAsia="zh-CN"/>
        </w:rPr>
        <w:t>：</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14:paraId="3040D560">
      <w:pPr>
        <w:spacing w:line="360" w:lineRule="auto"/>
        <w:ind w:firstLine="420" w:firstLineChars="200"/>
        <w:rPr>
          <w:rFonts w:hint="eastAsia"/>
          <w:szCs w:val="21"/>
          <w:u w:val="none"/>
          <w:lang w:eastAsia="zh-CN"/>
        </w:rPr>
      </w:pPr>
      <w:r>
        <w:rPr>
          <w:rFonts w:hint="eastAsia"/>
          <w:szCs w:val="21"/>
        </w:rPr>
        <w:t>身份</w:t>
      </w:r>
      <w:r>
        <w:rPr>
          <w:rFonts w:hint="eastAsia" w:ascii="Times New Roman" w:eastAsia="宋体"/>
          <w:szCs w:val="21"/>
          <w:lang w:val="en-US" w:eastAsia="zh-CN"/>
        </w:rPr>
        <w:t>证件号</w:t>
      </w:r>
      <w:r>
        <w:rPr>
          <w:rFonts w:hint="eastAsia"/>
          <w:szCs w:val="21"/>
        </w:rPr>
        <w:t>：</w:t>
      </w:r>
      <w:r>
        <w:rPr>
          <w:rFonts w:hint="eastAsia"/>
          <w:szCs w:val="21"/>
          <w:u w:val="single"/>
        </w:rPr>
        <w:t xml:space="preserve">                        </w:t>
      </w:r>
      <w:r>
        <w:rPr>
          <w:rFonts w:hint="eastAsia" w:eastAsia="宋体"/>
          <w:szCs w:val="21"/>
          <w:u w:val="none"/>
          <w:lang w:eastAsia="zh-CN"/>
        </w:rPr>
        <w:t>，</w:t>
      </w:r>
      <w:r>
        <w:rPr>
          <w:rFonts w:hint="eastAsia"/>
          <w:szCs w:val="21"/>
        </w:rPr>
        <w:t>职务：</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14:paraId="1839FFC4">
      <w:pPr>
        <w:spacing w:line="360" w:lineRule="auto"/>
        <w:ind w:firstLine="420" w:firstLineChars="200"/>
        <w:rPr>
          <w:rFonts w:hint="default"/>
          <w:szCs w:val="21"/>
          <w:u w:val="none"/>
          <w:lang w:val="en-US" w:eastAsia="zh-CN"/>
        </w:rPr>
      </w:pPr>
      <w:r>
        <w:rPr>
          <w:rFonts w:hint="eastAsia"/>
          <w:szCs w:val="21"/>
        </w:rPr>
        <w:t>联系电话：</w:t>
      </w:r>
      <w:r>
        <w:rPr>
          <w:rFonts w:hint="eastAsia"/>
          <w:szCs w:val="21"/>
          <w:u w:val="single"/>
        </w:rPr>
        <w:t xml:space="preserve">         </w:t>
      </w:r>
      <w:r>
        <w:rPr>
          <w:rFonts w:hint="eastAsia" w:eastAsia="宋体"/>
          <w:szCs w:val="21"/>
          <w:lang w:eastAsia="zh-CN"/>
        </w:rPr>
        <w:t>，</w:t>
      </w:r>
      <w:r>
        <w:rPr>
          <w:rFonts w:hint="eastAsia"/>
          <w:szCs w:val="21"/>
        </w:rPr>
        <w:t>手机：</w:t>
      </w:r>
      <w:r>
        <w:rPr>
          <w:rFonts w:hint="eastAsia"/>
          <w:szCs w:val="21"/>
          <w:u w:val="single"/>
        </w:rPr>
        <w:t xml:space="preserve">                </w:t>
      </w:r>
      <w:r>
        <w:rPr>
          <w:rFonts w:hint="eastAsia" w:eastAsia="宋体"/>
          <w:szCs w:val="21"/>
          <w:u w:val="none"/>
          <w:lang w:eastAsia="zh-CN"/>
        </w:rPr>
        <w:t>，</w:t>
      </w:r>
      <w:r>
        <w:rPr>
          <w:rFonts w:hint="eastAsia" w:ascii="Times New Roman" w:eastAsia="宋体"/>
          <w:szCs w:val="21"/>
          <w:u w:val="none"/>
          <w:lang w:val="en-US" w:eastAsia="zh-CN"/>
        </w:rPr>
        <w:t>电子邮箱：</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14:paraId="0458AC6C">
      <w:pPr>
        <w:spacing w:line="360" w:lineRule="auto"/>
        <w:ind w:firstLine="420" w:firstLineChars="200"/>
        <w:rPr>
          <w:rFonts w:hint="eastAsia" w:eastAsia="宋体"/>
          <w:szCs w:val="21"/>
          <w:lang w:eastAsia="zh-CN"/>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r>
        <w:rPr>
          <w:rFonts w:hint="eastAsia" w:eastAsia="宋体"/>
          <w:szCs w:val="21"/>
          <w:lang w:eastAsia="zh-CN"/>
        </w:rPr>
        <w:t>。</w:t>
      </w:r>
    </w:p>
    <w:p w14:paraId="4D962075">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6348B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323A5B2D">
            <w:pPr>
              <w:jc w:val="center"/>
              <w:rPr>
                <w:rFonts w:hint="eastAsia"/>
                <w:lang w:val="en-US" w:eastAsia="zh-CN"/>
              </w:rPr>
            </w:pPr>
            <w:r>
              <w:rPr>
                <w:rFonts w:hint="eastAsia" w:ascii="Times New Roman" w:eastAsia="宋体"/>
                <w:lang w:val="en-US" w:eastAsia="zh-CN"/>
              </w:rPr>
              <w:t>证件扫描件正面</w:t>
            </w:r>
          </w:p>
          <w:p w14:paraId="1E76C5CD">
            <w:pPr>
              <w:pStyle w:val="2"/>
              <w:jc w:val="center"/>
              <w:rPr>
                <w:rFonts w:hint="eastAsia"/>
                <w:lang w:val="en-US" w:eastAsia="zh-CN"/>
              </w:rPr>
            </w:pPr>
          </w:p>
          <w:p w14:paraId="7CD7EE5D">
            <w:pPr>
              <w:pStyle w:val="36"/>
              <w:jc w:val="center"/>
              <w:rPr>
                <w:rFonts w:hint="default"/>
                <w:lang w:val="en-US" w:eastAsia="zh-CN"/>
              </w:rPr>
            </w:pPr>
          </w:p>
        </w:tc>
        <w:tc>
          <w:tcPr>
            <w:tcW w:w="4265" w:type="dxa"/>
            <w:vAlign w:val="top"/>
          </w:tcPr>
          <w:p w14:paraId="7E4D6840">
            <w:pPr>
              <w:jc w:val="center"/>
              <w:rPr>
                <w:rFonts w:hint="eastAsia"/>
                <w:lang w:val="en-US" w:eastAsia="zh-CN"/>
              </w:rPr>
            </w:pPr>
            <w:r>
              <w:rPr>
                <w:rFonts w:hint="eastAsia" w:ascii="Times New Roman" w:eastAsia="宋体"/>
                <w:lang w:val="en-US" w:eastAsia="zh-CN"/>
              </w:rPr>
              <w:t>证件扫描件反面</w:t>
            </w:r>
          </w:p>
          <w:p w14:paraId="3D77301B">
            <w:pPr>
              <w:pStyle w:val="2"/>
              <w:jc w:val="center"/>
              <w:rPr>
                <w:rFonts w:hint="eastAsia"/>
                <w:lang w:val="en-US" w:eastAsia="zh-CN"/>
              </w:rPr>
            </w:pPr>
          </w:p>
          <w:p w14:paraId="7D145A03">
            <w:pPr>
              <w:pStyle w:val="36"/>
              <w:jc w:val="center"/>
              <w:rPr>
                <w:rFonts w:hint="eastAsia"/>
                <w:sz w:val="24"/>
                <w:vertAlign w:val="baseline"/>
                <w:lang w:val="en-US" w:eastAsia="zh-CN"/>
              </w:rPr>
            </w:pPr>
          </w:p>
        </w:tc>
      </w:tr>
    </w:tbl>
    <w:p w14:paraId="592ED940">
      <w:pPr>
        <w:rPr>
          <w:rFonts w:hint="eastAsia" w:ascii="黑体" w:eastAsia="黑体"/>
          <w:b w:val="0"/>
          <w:kern w:val="0"/>
          <w:sz w:val="24"/>
          <w:szCs w:val="24"/>
        </w:rPr>
      </w:pPr>
      <w:r>
        <w:rPr>
          <w:rFonts w:hint="eastAsia"/>
          <w:highlight w:val="yellow"/>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黑体" w:eastAsia="黑体"/>
          <w:b w:val="0"/>
          <w:kern w:val="0"/>
          <w:sz w:val="24"/>
          <w:szCs w:val="24"/>
        </w:rPr>
        <w:br w:type="page"/>
      </w:r>
    </w:p>
    <w:p w14:paraId="68097D8C">
      <w:pPr>
        <w:pStyle w:val="4"/>
        <w:jc w:val="center"/>
        <w:rPr>
          <w:rFonts w:ascii="黑体" w:eastAsia="黑体"/>
          <w:b w:val="0"/>
          <w:kern w:val="0"/>
          <w:sz w:val="24"/>
          <w:szCs w:val="24"/>
        </w:rPr>
      </w:pPr>
      <w:r>
        <w:rPr>
          <w:rFonts w:hint="eastAsia" w:ascii="黑体" w:eastAsia="黑体"/>
          <w:b w:val="0"/>
          <w:kern w:val="0"/>
          <w:sz w:val="24"/>
          <w:szCs w:val="24"/>
          <w:lang w:val="en-US" w:eastAsia="zh-CN"/>
        </w:rPr>
        <w:t>四</w:t>
      </w:r>
      <w:r>
        <w:rPr>
          <w:rFonts w:hint="eastAsia" w:ascii="黑体" w:eastAsia="黑体"/>
          <w:b w:val="0"/>
          <w:kern w:val="0"/>
          <w:sz w:val="24"/>
          <w:szCs w:val="24"/>
        </w:rPr>
        <w:t>、</w:t>
      </w:r>
      <w:bookmarkStart w:id="42" w:name="_Hlk72092634"/>
      <w:r>
        <w:rPr>
          <w:rFonts w:hint="eastAsia" w:ascii="黑体" w:eastAsia="黑体"/>
          <w:b w:val="0"/>
          <w:kern w:val="0"/>
          <w:sz w:val="24"/>
          <w:szCs w:val="24"/>
        </w:rPr>
        <w:t>实质性条款响应情况表</w:t>
      </w:r>
      <w:bookmarkEnd w:id="42"/>
    </w:p>
    <w:tbl>
      <w:tblPr>
        <w:tblStyle w:val="4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14:paraId="36134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18502920">
            <w:pPr>
              <w:adjustRightInd w:val="0"/>
              <w:snapToGrid w:val="0"/>
              <w:spacing w:line="360" w:lineRule="auto"/>
              <w:jc w:val="center"/>
              <w:rPr>
                <w:rFonts w:ascii="宋体" w:hAnsi="宋体"/>
                <w:kern w:val="0"/>
                <w:szCs w:val="21"/>
              </w:rPr>
            </w:pPr>
            <w:bookmarkStart w:id="43" w:name="_Hlk72092651"/>
            <w:r>
              <w:rPr>
                <w:rFonts w:hint="eastAsia" w:ascii="宋体" w:hAnsi="宋体"/>
                <w:kern w:val="0"/>
                <w:szCs w:val="21"/>
              </w:rPr>
              <w:t>序号</w:t>
            </w:r>
          </w:p>
        </w:tc>
        <w:tc>
          <w:tcPr>
            <w:tcW w:w="2664" w:type="dxa"/>
            <w:vAlign w:val="center"/>
          </w:tcPr>
          <w:p w14:paraId="3C13FA0E">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88" w:type="dxa"/>
            <w:vAlign w:val="center"/>
          </w:tcPr>
          <w:p w14:paraId="1AC6A406">
            <w:pPr>
              <w:adjustRightInd w:val="0"/>
              <w:snapToGrid w:val="0"/>
              <w:spacing w:line="360" w:lineRule="auto"/>
              <w:jc w:val="center"/>
              <w:rPr>
                <w:rFonts w:ascii="宋体" w:hAnsi="宋体"/>
                <w:kern w:val="0"/>
                <w:szCs w:val="21"/>
              </w:rPr>
            </w:pPr>
            <w:r>
              <w:rPr>
                <w:rFonts w:hint="eastAsia"/>
              </w:rPr>
              <w:t>投标响应</w:t>
            </w:r>
          </w:p>
        </w:tc>
        <w:tc>
          <w:tcPr>
            <w:tcW w:w="1842" w:type="dxa"/>
            <w:vAlign w:val="center"/>
          </w:tcPr>
          <w:p w14:paraId="52E2812A">
            <w:pPr>
              <w:adjustRightInd w:val="0"/>
              <w:snapToGrid w:val="0"/>
              <w:spacing w:line="360" w:lineRule="auto"/>
              <w:jc w:val="center"/>
              <w:rPr>
                <w:rFonts w:ascii="宋体" w:hAnsi="宋体"/>
                <w:kern w:val="0"/>
                <w:szCs w:val="21"/>
              </w:rPr>
            </w:pPr>
            <w:r>
              <w:rPr>
                <w:rFonts w:hint="eastAsia"/>
              </w:rPr>
              <w:t>偏离情况</w:t>
            </w:r>
          </w:p>
        </w:tc>
        <w:tc>
          <w:tcPr>
            <w:tcW w:w="1418" w:type="dxa"/>
            <w:vAlign w:val="center"/>
          </w:tcPr>
          <w:p w14:paraId="0AF283A2">
            <w:pPr>
              <w:adjustRightInd w:val="0"/>
              <w:snapToGrid w:val="0"/>
              <w:spacing w:line="360" w:lineRule="auto"/>
              <w:jc w:val="center"/>
              <w:rPr>
                <w:rFonts w:ascii="宋体" w:hAnsi="宋体"/>
                <w:kern w:val="0"/>
                <w:szCs w:val="21"/>
              </w:rPr>
            </w:pPr>
            <w:r>
              <w:rPr>
                <w:rFonts w:hint="eastAsia"/>
              </w:rPr>
              <w:t>说明</w:t>
            </w:r>
          </w:p>
        </w:tc>
      </w:tr>
      <w:bookmarkEnd w:id="43"/>
      <w:tr w14:paraId="514CB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1B2A15A5">
            <w:pPr>
              <w:adjustRightInd w:val="0"/>
              <w:snapToGrid w:val="0"/>
              <w:spacing w:line="360" w:lineRule="auto"/>
              <w:rPr>
                <w:rFonts w:ascii="宋体" w:hAnsi="宋体"/>
                <w:kern w:val="0"/>
                <w:szCs w:val="21"/>
              </w:rPr>
            </w:pPr>
            <w:r>
              <w:rPr>
                <w:rFonts w:hint="eastAsia" w:ascii="宋体" w:hAnsi="宋体"/>
                <w:kern w:val="0"/>
                <w:szCs w:val="21"/>
              </w:rPr>
              <w:t>1</w:t>
            </w:r>
          </w:p>
        </w:tc>
        <w:tc>
          <w:tcPr>
            <w:tcW w:w="2664" w:type="dxa"/>
            <w:shd w:val="clear" w:color="auto" w:fill="auto"/>
            <w:vAlign w:val="center"/>
          </w:tcPr>
          <w:p w14:paraId="2F21F5B0">
            <w:pPr>
              <w:pageBreakBefore w:val="0"/>
              <w:kinsoku/>
              <w:wordWrap/>
              <w:overflowPunct/>
              <w:topLinePunct w:val="0"/>
              <w:autoSpaceDE/>
              <w:autoSpaceDN/>
              <w:bidi w:val="0"/>
              <w:spacing w:line="288" w:lineRule="auto"/>
              <w:ind w:firstLine="422" w:firstLineChars="200"/>
              <w:rPr>
                <w:rFonts w:hint="eastAsia" w:cs="仿宋_GB2312" w:asciiTheme="minorEastAsia" w:hAnsiTheme="minorEastAsia" w:eastAsiaTheme="minorEastAsia"/>
                <w:b w:val="0"/>
                <w:bCs/>
                <w:color w:val="FF0000"/>
                <w:sz w:val="21"/>
                <w:szCs w:val="21"/>
                <w:highlight w:val="yellow"/>
              </w:rPr>
            </w:pPr>
            <w:r>
              <w:rPr>
                <w:rFonts w:hint="eastAsia" w:asciiTheme="minorEastAsia" w:hAnsiTheme="minorEastAsia" w:eastAsiaTheme="minorEastAsia"/>
                <w:b/>
                <w:bCs/>
                <w:color w:val="FF0000"/>
                <w:kern w:val="0"/>
                <w:sz w:val="21"/>
                <w:szCs w:val="21"/>
                <w:highlight w:val="yellow"/>
              </w:rPr>
              <w:t>★</w:t>
            </w:r>
            <w:r>
              <w:rPr>
                <w:rFonts w:hint="eastAsia" w:cs="仿宋_GB2312" w:asciiTheme="minorEastAsia" w:hAnsiTheme="minorEastAsia" w:eastAsiaTheme="minorEastAsia"/>
                <w:b w:val="0"/>
                <w:bCs/>
                <w:color w:val="FF0000"/>
                <w:sz w:val="21"/>
                <w:szCs w:val="21"/>
                <w:highlight w:val="yellow"/>
                <w:lang w:val="en-US" w:eastAsia="zh-CN"/>
              </w:rPr>
              <w:t>4、</w:t>
            </w:r>
            <w:r>
              <w:rPr>
                <w:rFonts w:hint="eastAsia" w:cs="仿宋_GB2312" w:asciiTheme="minorEastAsia" w:hAnsiTheme="minorEastAsia" w:eastAsiaTheme="minorEastAsia"/>
                <w:b w:val="0"/>
                <w:bCs/>
                <w:color w:val="FF0000"/>
                <w:sz w:val="21"/>
                <w:szCs w:val="21"/>
                <w:highlight w:val="yellow"/>
              </w:rPr>
              <w:t>配送食材可通过“深圳市食品安全追溯系统”全面、及时、准确上传追溯信息，确保相关品名、规格、批次等数据真实完整，确保配送食材来源可溯、质量可控。</w:t>
            </w:r>
          </w:p>
          <w:p w14:paraId="50377AC2">
            <w:pPr>
              <w:pageBreakBefore w:val="0"/>
              <w:kinsoku/>
              <w:wordWrap/>
              <w:overflowPunct/>
              <w:topLinePunct w:val="0"/>
              <w:autoSpaceDE/>
              <w:autoSpaceDN/>
              <w:bidi w:val="0"/>
              <w:spacing w:line="288" w:lineRule="auto"/>
              <w:ind w:firstLine="422" w:firstLineChars="200"/>
              <w:rPr>
                <w:rFonts w:hint="eastAsia" w:cs="仿宋_GB2312" w:asciiTheme="minorEastAsia" w:hAnsiTheme="minorEastAsia" w:eastAsiaTheme="minorEastAsia"/>
                <w:b w:val="0"/>
                <w:bCs/>
                <w:color w:val="FF0000"/>
                <w:sz w:val="21"/>
                <w:szCs w:val="21"/>
                <w:highlight w:val="yellow"/>
              </w:rPr>
            </w:pPr>
            <w:r>
              <w:rPr>
                <w:rFonts w:hint="eastAsia" w:asciiTheme="minorEastAsia" w:hAnsiTheme="minorEastAsia" w:eastAsiaTheme="minorEastAsia"/>
                <w:b/>
                <w:bCs/>
                <w:color w:val="FF0000"/>
                <w:kern w:val="0"/>
                <w:sz w:val="21"/>
                <w:szCs w:val="21"/>
                <w:highlight w:val="yellow"/>
              </w:rPr>
              <w:t>★</w:t>
            </w:r>
            <w:r>
              <w:rPr>
                <w:rFonts w:hint="eastAsia" w:cs="仿宋_GB2312" w:asciiTheme="minorEastAsia" w:hAnsiTheme="minorEastAsia" w:eastAsiaTheme="minorEastAsia"/>
                <w:b w:val="0"/>
                <w:bCs/>
                <w:color w:val="FF0000"/>
                <w:sz w:val="21"/>
                <w:szCs w:val="21"/>
                <w:highlight w:val="yellow"/>
                <w:lang w:val="en-US" w:eastAsia="zh-CN"/>
              </w:rPr>
              <w:t>5、</w:t>
            </w:r>
            <w:r>
              <w:rPr>
                <w:rFonts w:hint="eastAsia" w:cs="仿宋_GB2312" w:asciiTheme="minorEastAsia" w:hAnsiTheme="minorEastAsia" w:eastAsiaTheme="minorEastAsia"/>
                <w:b w:val="0"/>
                <w:bCs/>
                <w:color w:val="FF0000"/>
                <w:sz w:val="21"/>
                <w:szCs w:val="21"/>
                <w:highlight w:val="yellow"/>
              </w:rPr>
              <w:t>中标供应商需通过深圳市学校食堂智慧管理平台处理学校食材订单并按合同供货，满足学校食堂智慧化管理需要。</w:t>
            </w:r>
          </w:p>
          <w:p w14:paraId="6F7B8FD2">
            <w:pPr>
              <w:pageBreakBefore w:val="0"/>
              <w:kinsoku/>
              <w:wordWrap/>
              <w:overflowPunct/>
              <w:topLinePunct w:val="0"/>
              <w:autoSpaceDE/>
              <w:autoSpaceDN/>
              <w:bidi w:val="0"/>
              <w:spacing w:line="288" w:lineRule="auto"/>
              <w:ind w:firstLine="422" w:firstLineChars="200"/>
              <w:rPr>
                <w:rFonts w:hint="eastAsia" w:cs="仿宋_GB2312" w:asciiTheme="minorEastAsia" w:hAnsiTheme="minorEastAsia" w:eastAsiaTheme="minorEastAsia"/>
                <w:b w:val="0"/>
                <w:bCs/>
                <w:color w:val="FF0000"/>
                <w:sz w:val="21"/>
                <w:szCs w:val="21"/>
                <w:highlight w:val="yellow"/>
              </w:rPr>
            </w:pPr>
            <w:r>
              <w:rPr>
                <w:rFonts w:hint="eastAsia" w:asciiTheme="minorEastAsia" w:hAnsiTheme="minorEastAsia" w:eastAsiaTheme="minorEastAsia"/>
                <w:b/>
                <w:bCs/>
                <w:color w:val="FF0000"/>
                <w:kern w:val="0"/>
                <w:sz w:val="21"/>
                <w:szCs w:val="21"/>
                <w:highlight w:val="yellow"/>
              </w:rPr>
              <w:t>★</w:t>
            </w:r>
            <w:r>
              <w:rPr>
                <w:rFonts w:hint="eastAsia" w:cs="仿宋_GB2312" w:asciiTheme="minorEastAsia" w:hAnsiTheme="minorEastAsia" w:eastAsiaTheme="minorEastAsia"/>
                <w:b w:val="0"/>
                <w:bCs/>
                <w:color w:val="FF0000"/>
                <w:sz w:val="21"/>
                <w:szCs w:val="21"/>
                <w:highlight w:val="yellow"/>
                <w:lang w:val="en-US" w:eastAsia="zh-CN"/>
              </w:rPr>
              <w:t>6、</w:t>
            </w:r>
            <w:r>
              <w:rPr>
                <w:rFonts w:hint="eastAsia" w:cs="仿宋_GB2312" w:asciiTheme="minorEastAsia" w:hAnsiTheme="minorEastAsia" w:eastAsiaTheme="minorEastAsia"/>
                <w:b w:val="0"/>
                <w:bCs/>
                <w:color w:val="FF0000"/>
                <w:sz w:val="21"/>
                <w:szCs w:val="21"/>
                <w:highlight w:val="yellow"/>
              </w:rPr>
              <w:t>投标人能够为采购人提供相关软件支持服务，保证与深圳市中农数据有限公司食堂采配平台（天天采配）及采购单位的信息化对接，实现系统下单及结算。</w:t>
            </w:r>
          </w:p>
          <w:p w14:paraId="6175E04F">
            <w:pPr>
              <w:pageBreakBefore w:val="0"/>
              <w:kinsoku/>
              <w:wordWrap/>
              <w:overflowPunct/>
              <w:topLinePunct w:val="0"/>
              <w:autoSpaceDE/>
              <w:autoSpaceDN/>
              <w:bidi w:val="0"/>
              <w:spacing w:line="288" w:lineRule="auto"/>
              <w:ind w:firstLine="422" w:firstLineChars="200"/>
              <w:rPr>
                <w:rFonts w:hint="eastAsia" w:cs="仿宋_GB2312" w:asciiTheme="minorEastAsia" w:hAnsiTheme="minorEastAsia" w:eastAsiaTheme="minorEastAsia"/>
                <w:b w:val="0"/>
                <w:bCs/>
                <w:color w:val="FF0000"/>
                <w:sz w:val="21"/>
                <w:szCs w:val="21"/>
                <w:highlight w:val="yellow"/>
              </w:rPr>
            </w:pPr>
            <w:r>
              <w:rPr>
                <w:rFonts w:hint="eastAsia" w:asciiTheme="minorEastAsia" w:hAnsiTheme="minorEastAsia" w:eastAsiaTheme="minorEastAsia"/>
                <w:b/>
                <w:bCs/>
                <w:color w:val="FF0000"/>
                <w:kern w:val="0"/>
                <w:sz w:val="21"/>
                <w:szCs w:val="21"/>
                <w:highlight w:val="yellow"/>
              </w:rPr>
              <w:t>★</w:t>
            </w:r>
            <w:r>
              <w:rPr>
                <w:rFonts w:hint="eastAsia" w:cs="仿宋_GB2312" w:asciiTheme="minorEastAsia" w:hAnsiTheme="minorEastAsia" w:eastAsiaTheme="minorEastAsia"/>
                <w:b w:val="0"/>
                <w:bCs/>
                <w:color w:val="FF0000"/>
                <w:sz w:val="21"/>
                <w:szCs w:val="21"/>
                <w:highlight w:val="yellow"/>
                <w:lang w:val="en-US" w:eastAsia="zh-CN"/>
              </w:rPr>
              <w:t>7、</w:t>
            </w:r>
            <w:r>
              <w:rPr>
                <w:rFonts w:hint="eastAsia" w:cs="仿宋_GB2312" w:asciiTheme="minorEastAsia" w:hAnsiTheme="minorEastAsia" w:eastAsiaTheme="minorEastAsia"/>
                <w:b w:val="0"/>
                <w:bCs/>
                <w:color w:val="FF0000"/>
                <w:sz w:val="21"/>
                <w:szCs w:val="21"/>
                <w:highlight w:val="yellow"/>
              </w:rPr>
              <w:t>中标供应商需根据配送食材具体情况提供对应的检测报告，为方便学校管理要求，检测报告需做好品类索引。</w:t>
            </w:r>
          </w:p>
          <w:p w14:paraId="061CA2A2">
            <w:pPr>
              <w:pageBreakBefore w:val="0"/>
              <w:kinsoku/>
              <w:wordWrap/>
              <w:overflowPunct/>
              <w:topLinePunct w:val="0"/>
              <w:autoSpaceDE/>
              <w:autoSpaceDN/>
              <w:bidi w:val="0"/>
              <w:spacing w:line="288" w:lineRule="auto"/>
              <w:ind w:firstLine="422" w:firstLineChars="200"/>
              <w:rPr>
                <w:rFonts w:hint="eastAsia" w:cs="仿宋_GB2312" w:asciiTheme="minorEastAsia" w:hAnsiTheme="minorEastAsia" w:eastAsiaTheme="minorEastAsia"/>
                <w:b w:val="0"/>
                <w:bCs/>
                <w:color w:val="FF0000"/>
                <w:sz w:val="21"/>
                <w:szCs w:val="21"/>
                <w:highlight w:val="yellow"/>
              </w:rPr>
            </w:pPr>
            <w:r>
              <w:rPr>
                <w:rFonts w:hint="eastAsia" w:asciiTheme="minorEastAsia" w:hAnsiTheme="minorEastAsia" w:eastAsiaTheme="minorEastAsia"/>
                <w:b/>
                <w:bCs/>
                <w:color w:val="FF0000"/>
                <w:kern w:val="0"/>
                <w:sz w:val="21"/>
                <w:szCs w:val="21"/>
                <w:highlight w:val="yellow"/>
              </w:rPr>
              <w:t>★</w:t>
            </w:r>
            <w:r>
              <w:rPr>
                <w:rFonts w:hint="eastAsia" w:cs="仿宋_GB2312" w:asciiTheme="minorEastAsia" w:hAnsiTheme="minorEastAsia" w:eastAsiaTheme="minorEastAsia"/>
                <w:b w:val="0"/>
                <w:bCs/>
                <w:color w:val="FF0000"/>
                <w:sz w:val="21"/>
                <w:szCs w:val="21"/>
                <w:highlight w:val="yellow"/>
                <w:lang w:val="en-US" w:eastAsia="zh-CN"/>
              </w:rPr>
              <w:t>8、</w:t>
            </w:r>
            <w:r>
              <w:rPr>
                <w:rFonts w:hint="eastAsia" w:cs="仿宋_GB2312" w:asciiTheme="minorEastAsia" w:hAnsiTheme="minorEastAsia" w:eastAsiaTheme="minorEastAsia"/>
                <w:b w:val="0"/>
                <w:bCs/>
                <w:color w:val="FF0000"/>
                <w:sz w:val="21"/>
                <w:szCs w:val="21"/>
                <w:highlight w:val="yellow"/>
              </w:rPr>
              <w:t>中标供应商提供配送服务的车辆需符合合法上路的要求，签订合同前需提供服务车辆的道路运输证或道路运输经营许可证作为证明材料。</w:t>
            </w:r>
          </w:p>
          <w:p w14:paraId="57036582">
            <w:pPr>
              <w:pageBreakBefore w:val="0"/>
              <w:kinsoku/>
              <w:wordWrap/>
              <w:overflowPunct/>
              <w:topLinePunct w:val="0"/>
              <w:autoSpaceDE/>
              <w:autoSpaceDN/>
              <w:bidi w:val="0"/>
              <w:spacing w:line="288" w:lineRule="auto"/>
              <w:ind w:firstLine="422" w:firstLineChars="200"/>
              <w:rPr>
                <w:rFonts w:hint="eastAsia" w:cs="仿宋_GB2312" w:asciiTheme="minorEastAsia" w:hAnsiTheme="minorEastAsia" w:eastAsiaTheme="minorEastAsia"/>
                <w:b w:val="0"/>
                <w:bCs/>
                <w:color w:val="FF0000"/>
                <w:sz w:val="21"/>
                <w:szCs w:val="21"/>
                <w:highlight w:val="yellow"/>
              </w:rPr>
            </w:pPr>
            <w:r>
              <w:rPr>
                <w:rFonts w:hint="eastAsia" w:asciiTheme="minorEastAsia" w:hAnsiTheme="minorEastAsia" w:eastAsiaTheme="minorEastAsia"/>
                <w:b/>
                <w:bCs/>
                <w:color w:val="FF0000"/>
                <w:kern w:val="0"/>
                <w:sz w:val="21"/>
                <w:szCs w:val="21"/>
                <w:highlight w:val="yellow"/>
              </w:rPr>
              <w:t>★</w:t>
            </w:r>
            <w:r>
              <w:rPr>
                <w:rFonts w:hint="eastAsia" w:cs="仿宋_GB2312" w:asciiTheme="minorEastAsia" w:hAnsiTheme="minorEastAsia" w:eastAsiaTheme="minorEastAsia"/>
                <w:b w:val="0"/>
                <w:bCs/>
                <w:color w:val="FF0000"/>
                <w:sz w:val="21"/>
                <w:szCs w:val="21"/>
                <w:highlight w:val="yellow"/>
                <w:lang w:val="en-US" w:eastAsia="zh-CN"/>
              </w:rPr>
              <w:t>9、</w:t>
            </w:r>
            <w:r>
              <w:rPr>
                <w:rFonts w:hint="eastAsia" w:cs="仿宋_GB2312" w:asciiTheme="minorEastAsia" w:hAnsiTheme="minorEastAsia" w:eastAsiaTheme="minorEastAsia"/>
                <w:b w:val="0"/>
                <w:bCs/>
                <w:color w:val="FF0000"/>
                <w:sz w:val="21"/>
                <w:szCs w:val="21"/>
                <w:highlight w:val="yellow"/>
              </w:rPr>
              <w:t>因配送运输中出现人身安全事故，中标供应商独立承担一切刑事、民事责任，与采购人、学校无关。</w:t>
            </w:r>
          </w:p>
          <w:p w14:paraId="466B36E5">
            <w:pPr>
              <w:spacing w:line="288" w:lineRule="auto"/>
              <w:ind w:firstLine="422" w:firstLineChars="200"/>
              <w:rPr>
                <w:rFonts w:hint="eastAsia" w:cs="Times New Roman" w:asciiTheme="minorEastAsia" w:hAnsiTheme="minorEastAsia" w:eastAsiaTheme="minorEastAsia"/>
                <w:b w:val="0"/>
                <w:bCs w:val="0"/>
                <w:color w:val="FF0000"/>
                <w:kern w:val="0"/>
                <w:szCs w:val="21"/>
                <w:highlight w:val="yellow"/>
              </w:rPr>
            </w:pPr>
            <w:r>
              <w:rPr>
                <w:rFonts w:hint="eastAsia" w:asciiTheme="minorEastAsia" w:hAnsiTheme="minorEastAsia" w:eastAsiaTheme="minorEastAsia"/>
                <w:b/>
                <w:bCs/>
                <w:color w:val="FF0000"/>
                <w:kern w:val="0"/>
                <w:sz w:val="21"/>
                <w:szCs w:val="21"/>
                <w:highlight w:val="yellow"/>
              </w:rPr>
              <w:t>★</w:t>
            </w:r>
            <w:r>
              <w:rPr>
                <w:rFonts w:hint="eastAsia" w:cs="Times New Roman" w:asciiTheme="minorEastAsia" w:hAnsiTheme="minorEastAsia" w:eastAsiaTheme="minorEastAsia"/>
                <w:b w:val="0"/>
                <w:bCs w:val="0"/>
                <w:color w:val="FF0000"/>
                <w:kern w:val="0"/>
                <w:szCs w:val="21"/>
                <w:highlight w:val="yellow"/>
                <w:lang w:val="en-US" w:eastAsia="zh-CN"/>
              </w:rPr>
              <w:t>10.</w:t>
            </w:r>
            <w:r>
              <w:rPr>
                <w:rFonts w:hint="eastAsia" w:cs="Times New Roman" w:asciiTheme="minorEastAsia" w:hAnsiTheme="minorEastAsia" w:eastAsiaTheme="minorEastAsia"/>
                <w:b w:val="0"/>
                <w:bCs w:val="0"/>
                <w:color w:val="FF0000"/>
                <w:kern w:val="0"/>
                <w:szCs w:val="21"/>
                <w:highlight w:val="yellow"/>
              </w:rPr>
              <w:t>供应商必须开通深圳市中农数据有限公司（天天采购平台）</w:t>
            </w:r>
            <w:r>
              <w:rPr>
                <w:rFonts w:hint="eastAsia" w:cs="Times New Roman" w:asciiTheme="minorEastAsia" w:hAnsiTheme="minorEastAsia" w:eastAsiaTheme="minorEastAsia"/>
                <w:color w:val="FF0000"/>
                <w:kern w:val="0"/>
                <w:sz w:val="21"/>
                <w:szCs w:val="21"/>
                <w:highlight w:val="yellow"/>
              </w:rPr>
              <w:t>报价授权码Keyid账号对接“深圳市学校食堂智慧管理平台”，实现学校采购管理所需的货品查询、价格比对、商品下单、货品统计、送货清单及报账清单打印等，由此产生的中农授权码Keyid账号使用费用由中标供应商承担，投标人在投标时须充分考虑此项成本。</w:t>
            </w:r>
          </w:p>
          <w:p w14:paraId="3291DC9D">
            <w:pPr>
              <w:spacing w:line="288" w:lineRule="auto"/>
              <w:ind w:firstLine="420" w:firstLineChars="200"/>
              <w:rPr>
                <w:rFonts w:ascii="Times New Roman" w:hAnsi="Times New Roman" w:eastAsia="宋体" w:cs="Times New Roman"/>
                <w:color w:val="FF0000"/>
                <w:kern w:val="2"/>
                <w:sz w:val="21"/>
                <w:szCs w:val="24"/>
                <w:highlight w:val="yellow"/>
                <w:lang w:val="en-US" w:eastAsia="zh-CN" w:bidi="ar-SA"/>
              </w:rPr>
            </w:pPr>
            <w:r>
              <w:rPr>
                <w:rFonts w:hint="eastAsia" w:cs="仿宋_GB2312" w:asciiTheme="minorEastAsia" w:hAnsiTheme="minorEastAsia" w:eastAsiaTheme="minorEastAsia"/>
                <w:b w:val="0"/>
                <w:bCs/>
                <w:color w:val="FF0000"/>
                <w:kern w:val="2"/>
                <w:sz w:val="21"/>
                <w:szCs w:val="21"/>
                <w:highlight w:val="yellow"/>
              </w:rPr>
              <w:t>★</w:t>
            </w:r>
            <w:r>
              <w:rPr>
                <w:rFonts w:hint="eastAsia" w:cs="仿宋_GB2312" w:asciiTheme="minorEastAsia" w:hAnsiTheme="minorEastAsia" w:eastAsiaTheme="minorEastAsia"/>
                <w:b w:val="0"/>
                <w:bCs/>
                <w:color w:val="FF0000"/>
                <w:kern w:val="2"/>
                <w:szCs w:val="21"/>
                <w:highlight w:val="yellow"/>
                <w:lang w:val="en-US" w:eastAsia="zh-CN"/>
              </w:rPr>
              <w:t>11.</w:t>
            </w:r>
            <w:r>
              <w:rPr>
                <w:rFonts w:hint="eastAsia" w:cs="仿宋_GB2312" w:asciiTheme="minorEastAsia" w:hAnsiTheme="minorEastAsia" w:eastAsiaTheme="minorEastAsia"/>
                <w:b w:val="0"/>
                <w:bCs/>
                <w:color w:val="FF0000"/>
                <w:kern w:val="2"/>
                <w:sz w:val="21"/>
                <w:szCs w:val="21"/>
                <w:highlight w:val="yellow"/>
              </w:rPr>
              <w:t>每天派</w:t>
            </w:r>
            <w:r>
              <w:rPr>
                <w:rFonts w:hint="eastAsia" w:cs="仿宋_GB2312" w:asciiTheme="minorEastAsia" w:hAnsiTheme="minorEastAsia" w:eastAsiaTheme="minorEastAsia"/>
                <w:b w:val="0"/>
                <w:bCs/>
                <w:color w:val="FF0000"/>
                <w:kern w:val="2"/>
                <w:sz w:val="21"/>
                <w:szCs w:val="21"/>
                <w:highlight w:val="yellow"/>
                <w:lang w:val="en-US" w:eastAsia="zh-CN"/>
              </w:rPr>
              <w:t>1</w:t>
            </w:r>
            <w:r>
              <w:rPr>
                <w:rFonts w:hint="eastAsia" w:cs="仿宋_GB2312" w:asciiTheme="minorEastAsia" w:hAnsiTheme="minorEastAsia" w:eastAsiaTheme="minorEastAsia"/>
                <w:b w:val="0"/>
                <w:bCs/>
                <w:color w:val="FF0000"/>
                <w:kern w:val="2"/>
                <w:sz w:val="21"/>
                <w:szCs w:val="21"/>
                <w:highlight w:val="yellow"/>
              </w:rPr>
              <w:t>名专门人员负责完成当天菜品的洗、切等</w:t>
            </w:r>
            <w:r>
              <w:rPr>
                <w:rFonts w:hint="eastAsia" w:cs="仿宋_GB2312" w:asciiTheme="minorEastAsia" w:hAnsiTheme="minorEastAsia" w:eastAsiaTheme="minorEastAsia"/>
                <w:b w:val="0"/>
                <w:bCs/>
                <w:color w:val="FF0000"/>
                <w:kern w:val="2"/>
                <w:sz w:val="21"/>
                <w:szCs w:val="21"/>
                <w:highlight w:val="yellow"/>
                <w:lang w:val="en-US" w:eastAsia="zh-CN"/>
              </w:rPr>
              <w:t>粗</w:t>
            </w:r>
            <w:r>
              <w:rPr>
                <w:rFonts w:hint="eastAsia" w:cs="仿宋_GB2312" w:asciiTheme="minorEastAsia" w:hAnsiTheme="minorEastAsia" w:eastAsiaTheme="minorEastAsia"/>
                <w:b w:val="0"/>
                <w:bCs/>
                <w:color w:val="FF0000"/>
                <w:kern w:val="2"/>
                <w:sz w:val="21"/>
                <w:szCs w:val="21"/>
                <w:highlight w:val="yellow"/>
              </w:rPr>
              <w:t>加工事宜。派驻员工应相对固定，如更换，需事先通知采购人并获得认可。</w:t>
            </w:r>
          </w:p>
        </w:tc>
        <w:tc>
          <w:tcPr>
            <w:tcW w:w="1588" w:type="dxa"/>
          </w:tcPr>
          <w:p w14:paraId="4D22DF98">
            <w:pPr>
              <w:adjustRightInd w:val="0"/>
              <w:snapToGrid w:val="0"/>
              <w:spacing w:line="360" w:lineRule="auto"/>
              <w:rPr>
                <w:rFonts w:ascii="宋体" w:hAnsi="宋体"/>
                <w:kern w:val="0"/>
                <w:szCs w:val="21"/>
              </w:rPr>
            </w:pPr>
          </w:p>
        </w:tc>
        <w:tc>
          <w:tcPr>
            <w:tcW w:w="1842" w:type="dxa"/>
          </w:tcPr>
          <w:p w14:paraId="7C464131">
            <w:pPr>
              <w:adjustRightInd w:val="0"/>
              <w:snapToGrid w:val="0"/>
              <w:spacing w:line="360" w:lineRule="auto"/>
              <w:rPr>
                <w:rFonts w:ascii="宋体" w:hAnsi="宋体"/>
                <w:kern w:val="0"/>
                <w:szCs w:val="21"/>
              </w:rPr>
            </w:pPr>
          </w:p>
        </w:tc>
        <w:tc>
          <w:tcPr>
            <w:tcW w:w="1418" w:type="dxa"/>
          </w:tcPr>
          <w:p w14:paraId="0C326564">
            <w:pPr>
              <w:adjustRightInd w:val="0"/>
              <w:snapToGrid w:val="0"/>
              <w:spacing w:line="360" w:lineRule="auto"/>
              <w:rPr>
                <w:rFonts w:ascii="宋体" w:hAnsi="宋体"/>
                <w:kern w:val="0"/>
                <w:szCs w:val="21"/>
              </w:rPr>
            </w:pPr>
          </w:p>
        </w:tc>
      </w:tr>
      <w:tr w14:paraId="72D55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5C425B78">
            <w:pPr>
              <w:adjustRightInd w:val="0"/>
              <w:snapToGrid w:val="0"/>
              <w:spacing w:line="360" w:lineRule="auto"/>
              <w:rPr>
                <w:rFonts w:ascii="宋体" w:hAnsi="宋体"/>
                <w:kern w:val="0"/>
                <w:szCs w:val="21"/>
              </w:rPr>
            </w:pPr>
            <w:r>
              <w:rPr>
                <w:rFonts w:hint="eastAsia" w:ascii="宋体" w:hAnsi="宋体"/>
                <w:kern w:val="0"/>
                <w:szCs w:val="21"/>
              </w:rPr>
              <w:t>2</w:t>
            </w:r>
          </w:p>
        </w:tc>
        <w:tc>
          <w:tcPr>
            <w:tcW w:w="2664" w:type="dxa"/>
            <w:shd w:val="clear" w:color="auto" w:fill="auto"/>
            <w:vAlign w:val="center"/>
          </w:tcPr>
          <w:p w14:paraId="19CA7BBA">
            <w:pPr>
              <w:pStyle w:val="202"/>
              <w:keepNext w:val="0"/>
              <w:keepLines w:val="0"/>
              <w:pageBreakBefore w:val="0"/>
              <w:widowControl/>
              <w:suppressLineNumbers w:val="0"/>
              <w:kinsoku/>
              <w:wordWrap/>
              <w:overflowPunct/>
              <w:topLinePunct w:val="0"/>
              <w:autoSpaceDE/>
              <w:autoSpaceDN/>
              <w:bidi w:val="0"/>
              <w:spacing w:before="0" w:beforeAutospacing="0" w:after="0" w:afterAutospacing="0" w:line="288" w:lineRule="auto"/>
              <w:ind w:left="0" w:leftChars="0" w:right="0" w:rightChars="0" w:firstLine="420" w:firstLineChars="200"/>
              <w:rPr>
                <w:rFonts w:cs="Times New Roman" w:asciiTheme="minorEastAsia" w:hAnsiTheme="minorEastAsia" w:eastAsiaTheme="minorEastAsia"/>
                <w:color w:val="FF0000"/>
                <w:kern w:val="2"/>
                <w:sz w:val="21"/>
                <w:szCs w:val="21"/>
                <w:highlight w:val="yellow"/>
                <w:lang w:val="en-US" w:eastAsia="zh-CN" w:bidi="ar-SA"/>
              </w:rPr>
            </w:pPr>
            <w:r>
              <w:rPr>
                <w:rFonts w:hint="eastAsia" w:cs="Times New Roman" w:asciiTheme="minorEastAsia" w:hAnsiTheme="minorEastAsia" w:eastAsiaTheme="minorEastAsia"/>
                <w:color w:val="FF0000"/>
                <w:kern w:val="2"/>
                <w:sz w:val="21"/>
                <w:szCs w:val="21"/>
                <w:highlight w:val="yellow"/>
                <w:lang w:val="en-US" w:eastAsia="zh-CN" w:bidi="ar-SA"/>
              </w:rPr>
              <w:t>★人员类别★数量★人员具备条件</w:t>
            </w:r>
          </w:p>
        </w:tc>
        <w:tc>
          <w:tcPr>
            <w:tcW w:w="1588" w:type="dxa"/>
          </w:tcPr>
          <w:p w14:paraId="57ED9A78">
            <w:pPr>
              <w:adjustRightInd w:val="0"/>
              <w:snapToGrid w:val="0"/>
              <w:spacing w:line="360" w:lineRule="auto"/>
              <w:rPr>
                <w:rFonts w:ascii="宋体" w:hAnsi="宋体"/>
                <w:kern w:val="0"/>
                <w:szCs w:val="21"/>
              </w:rPr>
            </w:pPr>
          </w:p>
        </w:tc>
        <w:tc>
          <w:tcPr>
            <w:tcW w:w="1842" w:type="dxa"/>
          </w:tcPr>
          <w:p w14:paraId="546CF61F">
            <w:pPr>
              <w:adjustRightInd w:val="0"/>
              <w:snapToGrid w:val="0"/>
              <w:spacing w:line="360" w:lineRule="auto"/>
              <w:rPr>
                <w:rFonts w:ascii="宋体" w:hAnsi="宋体"/>
                <w:kern w:val="0"/>
                <w:szCs w:val="21"/>
              </w:rPr>
            </w:pPr>
          </w:p>
        </w:tc>
        <w:tc>
          <w:tcPr>
            <w:tcW w:w="1418" w:type="dxa"/>
          </w:tcPr>
          <w:p w14:paraId="03272FB8">
            <w:pPr>
              <w:adjustRightInd w:val="0"/>
              <w:snapToGrid w:val="0"/>
              <w:spacing w:line="360" w:lineRule="auto"/>
              <w:rPr>
                <w:rFonts w:ascii="宋体" w:hAnsi="宋体"/>
                <w:kern w:val="0"/>
                <w:szCs w:val="21"/>
              </w:rPr>
            </w:pPr>
          </w:p>
        </w:tc>
      </w:tr>
      <w:tr w14:paraId="70AF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59446F9A">
            <w:pPr>
              <w:adjustRightInd w:val="0"/>
              <w:snapToGrid w:val="0"/>
              <w:spacing w:line="360" w:lineRule="auto"/>
              <w:rPr>
                <w:rFonts w:ascii="宋体" w:hAnsi="宋体"/>
                <w:kern w:val="0"/>
                <w:szCs w:val="21"/>
              </w:rPr>
            </w:pPr>
            <w:r>
              <w:rPr>
                <w:rFonts w:hint="eastAsia" w:ascii="宋体" w:hAnsi="宋体"/>
                <w:kern w:val="0"/>
                <w:szCs w:val="21"/>
              </w:rPr>
              <w:t>3</w:t>
            </w:r>
          </w:p>
        </w:tc>
        <w:tc>
          <w:tcPr>
            <w:tcW w:w="2664" w:type="dxa"/>
            <w:shd w:val="clear" w:color="auto" w:fill="auto"/>
            <w:vAlign w:val="center"/>
          </w:tcPr>
          <w:p w14:paraId="01843D5D">
            <w:pPr>
              <w:keepNext/>
              <w:keepLines/>
              <w:pageBreakBefore w:val="0"/>
              <w:widowControl/>
              <w:kinsoku/>
              <w:wordWrap/>
              <w:overflowPunct/>
              <w:topLinePunct w:val="0"/>
              <w:autoSpaceDE/>
              <w:autoSpaceDN/>
              <w:bidi w:val="0"/>
              <w:spacing w:line="288" w:lineRule="auto"/>
              <w:ind w:firstLine="211" w:firstLineChars="100"/>
              <w:outlineLvl w:val="2"/>
              <w:rPr>
                <w:rFonts w:asciiTheme="minorEastAsia" w:hAnsiTheme="minorEastAsia" w:eastAsiaTheme="minorEastAsia"/>
                <w:b/>
                <w:bCs/>
                <w:color w:val="FF0000"/>
                <w:kern w:val="0"/>
                <w:sz w:val="21"/>
                <w:szCs w:val="21"/>
                <w:highlight w:val="yellow"/>
              </w:rPr>
            </w:pPr>
            <w:r>
              <w:rPr>
                <w:rFonts w:hint="eastAsia" w:asciiTheme="minorEastAsia" w:hAnsiTheme="minorEastAsia" w:eastAsiaTheme="minorEastAsia"/>
                <w:b/>
                <w:bCs/>
                <w:color w:val="FF0000"/>
                <w:kern w:val="0"/>
                <w:sz w:val="21"/>
                <w:szCs w:val="21"/>
                <w:highlight w:val="yellow"/>
              </w:rPr>
              <w:t>★（一）服务期限</w:t>
            </w:r>
          </w:p>
          <w:p w14:paraId="3326AB4E">
            <w:pPr>
              <w:pageBreakBefore w:val="0"/>
              <w:kinsoku/>
              <w:wordWrap/>
              <w:overflowPunct/>
              <w:topLinePunct w:val="0"/>
              <w:autoSpaceDE/>
              <w:autoSpaceDN/>
              <w:bidi w:val="0"/>
              <w:spacing w:line="288" w:lineRule="auto"/>
              <w:ind w:firstLine="420" w:firstLineChars="200"/>
              <w:rPr>
                <w:rFonts w:cs="Times New Roman" w:asciiTheme="minorEastAsia" w:hAnsiTheme="minorEastAsia" w:eastAsiaTheme="minorEastAsia"/>
                <w:color w:val="FF0000"/>
                <w:kern w:val="2"/>
                <w:sz w:val="21"/>
                <w:szCs w:val="24"/>
                <w:highlight w:val="yellow"/>
                <w:lang w:val="en-US" w:eastAsia="zh-CN" w:bidi="ar-SA"/>
              </w:rPr>
            </w:pPr>
            <w:r>
              <w:rPr>
                <w:rFonts w:hint="eastAsia" w:cs="仿宋_GB2312" w:asciiTheme="minorEastAsia" w:hAnsiTheme="minorEastAsia" w:eastAsiaTheme="minorEastAsia"/>
                <w:b w:val="0"/>
                <w:bCs/>
                <w:color w:val="FF0000"/>
                <w:sz w:val="21"/>
                <w:szCs w:val="21"/>
                <w:highlight w:val="yellow"/>
              </w:rPr>
              <w:t>本项目服务期限为一年。一年合同期满后，经履约考核良好及以上经采购方同意的可按原合同条款续签下一年度合同，每次续签期限为一年，最多可续签二次</w:t>
            </w:r>
            <w:r>
              <w:rPr>
                <w:rFonts w:hint="eastAsia" w:cs="仿宋_GB2312" w:asciiTheme="minorEastAsia" w:hAnsiTheme="minorEastAsia" w:eastAsiaTheme="minorEastAsia"/>
                <w:b w:val="0"/>
                <w:bCs/>
                <w:color w:val="FF0000"/>
                <w:sz w:val="21"/>
                <w:szCs w:val="21"/>
                <w:highlight w:val="yellow"/>
                <w:lang w:eastAsia="zh-CN"/>
              </w:rPr>
              <w:t>。</w:t>
            </w:r>
          </w:p>
        </w:tc>
        <w:tc>
          <w:tcPr>
            <w:tcW w:w="1588" w:type="dxa"/>
          </w:tcPr>
          <w:p w14:paraId="05A3E3B6">
            <w:pPr>
              <w:adjustRightInd w:val="0"/>
              <w:snapToGrid w:val="0"/>
              <w:spacing w:line="360" w:lineRule="auto"/>
              <w:rPr>
                <w:rFonts w:ascii="宋体" w:hAnsi="宋体"/>
                <w:kern w:val="0"/>
                <w:szCs w:val="21"/>
              </w:rPr>
            </w:pPr>
          </w:p>
        </w:tc>
        <w:tc>
          <w:tcPr>
            <w:tcW w:w="1842" w:type="dxa"/>
          </w:tcPr>
          <w:p w14:paraId="572F758B">
            <w:pPr>
              <w:adjustRightInd w:val="0"/>
              <w:snapToGrid w:val="0"/>
              <w:spacing w:line="360" w:lineRule="auto"/>
              <w:rPr>
                <w:rFonts w:ascii="宋体" w:hAnsi="宋体"/>
                <w:kern w:val="0"/>
                <w:szCs w:val="21"/>
              </w:rPr>
            </w:pPr>
          </w:p>
        </w:tc>
        <w:tc>
          <w:tcPr>
            <w:tcW w:w="1418" w:type="dxa"/>
          </w:tcPr>
          <w:p w14:paraId="5969CD2E">
            <w:pPr>
              <w:adjustRightInd w:val="0"/>
              <w:snapToGrid w:val="0"/>
              <w:spacing w:line="360" w:lineRule="auto"/>
              <w:rPr>
                <w:rFonts w:ascii="宋体" w:hAnsi="宋体"/>
                <w:kern w:val="0"/>
                <w:szCs w:val="21"/>
              </w:rPr>
            </w:pPr>
          </w:p>
        </w:tc>
      </w:tr>
      <w:tr w14:paraId="67697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6122ECA7">
            <w:pPr>
              <w:adjustRightInd w:val="0"/>
              <w:snapToGrid w:val="0"/>
              <w:spacing w:line="360" w:lineRule="auto"/>
              <w:rPr>
                <w:rFonts w:hint="eastAsia" w:ascii="宋体" w:hAnsi="宋体" w:eastAsia="宋体"/>
                <w:kern w:val="0"/>
                <w:szCs w:val="21"/>
                <w:lang w:val="en-US" w:eastAsia="zh-CN"/>
              </w:rPr>
            </w:pPr>
            <w:r>
              <w:rPr>
                <w:rFonts w:hint="eastAsia" w:ascii="宋体" w:hAnsi="宋体"/>
                <w:kern w:val="0"/>
                <w:szCs w:val="21"/>
                <w:lang w:val="en-US" w:eastAsia="zh-CN"/>
              </w:rPr>
              <w:t>4</w:t>
            </w:r>
          </w:p>
        </w:tc>
        <w:tc>
          <w:tcPr>
            <w:tcW w:w="2664" w:type="dxa"/>
            <w:shd w:val="clear" w:color="auto" w:fill="auto"/>
            <w:vAlign w:val="center"/>
          </w:tcPr>
          <w:p w14:paraId="79D63A98">
            <w:pPr>
              <w:pageBreakBefore w:val="0"/>
              <w:kinsoku/>
              <w:wordWrap/>
              <w:overflowPunct/>
              <w:topLinePunct w:val="0"/>
              <w:autoSpaceDE/>
              <w:autoSpaceDN/>
              <w:bidi w:val="0"/>
              <w:spacing w:line="288" w:lineRule="auto"/>
              <w:ind w:firstLine="211" w:firstLineChars="100"/>
              <w:rPr>
                <w:rFonts w:cs="仿宋_GB2312" w:asciiTheme="minorEastAsia" w:hAnsiTheme="minorEastAsia" w:eastAsiaTheme="minorEastAsia"/>
                <w:b/>
                <w:color w:val="FF0000"/>
                <w:sz w:val="21"/>
                <w:szCs w:val="21"/>
                <w:highlight w:val="yellow"/>
              </w:rPr>
            </w:pPr>
            <w:r>
              <w:rPr>
                <w:rFonts w:hint="eastAsia" w:asciiTheme="minorEastAsia" w:hAnsiTheme="minorEastAsia" w:eastAsiaTheme="minorEastAsia"/>
                <w:b/>
                <w:bCs/>
                <w:color w:val="FF0000"/>
                <w:kern w:val="0"/>
                <w:sz w:val="21"/>
                <w:szCs w:val="21"/>
                <w:highlight w:val="yellow"/>
              </w:rPr>
              <w:t>★</w:t>
            </w:r>
            <w:r>
              <w:rPr>
                <w:rFonts w:hint="eastAsia" w:cs="仿宋_GB2312" w:asciiTheme="minorEastAsia" w:hAnsiTheme="minorEastAsia" w:eastAsiaTheme="minorEastAsia"/>
                <w:b/>
                <w:color w:val="FF0000"/>
                <w:sz w:val="21"/>
                <w:szCs w:val="21"/>
                <w:highlight w:val="yellow"/>
              </w:rPr>
              <w:t>（三）报价要求</w:t>
            </w:r>
          </w:p>
          <w:p w14:paraId="7CB61AC8">
            <w:pPr>
              <w:spacing w:line="288" w:lineRule="auto"/>
              <w:ind w:firstLine="420" w:firstLineChars="200"/>
              <w:rPr>
                <w:color w:val="FF0000"/>
                <w:highlight w:val="yellow"/>
              </w:rPr>
            </w:pPr>
            <w:r>
              <w:rPr>
                <w:rFonts w:hint="eastAsia" w:cs="仿宋_GB2312" w:asciiTheme="minorEastAsia" w:hAnsiTheme="minorEastAsia" w:eastAsiaTheme="minorEastAsia"/>
                <w:b w:val="0"/>
                <w:bCs/>
                <w:color w:val="FF0000"/>
                <w:sz w:val="21"/>
                <w:szCs w:val="21"/>
                <w:highlight w:val="yellow"/>
                <w:lang w:val="en-US" w:eastAsia="zh-CN"/>
              </w:rPr>
              <w:t>1、</w:t>
            </w:r>
            <w:r>
              <w:rPr>
                <w:rFonts w:hint="eastAsia" w:cs="仿宋_GB2312" w:asciiTheme="minorEastAsia" w:hAnsiTheme="minorEastAsia" w:eastAsiaTheme="minorEastAsia"/>
                <w:b w:val="0"/>
                <w:bCs/>
                <w:color w:val="FF0000"/>
                <w:sz w:val="21"/>
                <w:szCs w:val="21"/>
                <w:highlight w:val="yellow"/>
              </w:rPr>
              <w:t>本项目的投标报价为折扣率；</w:t>
            </w:r>
            <w:r>
              <w:rPr>
                <w:rFonts w:hint="eastAsia" w:cs="仿宋_GB2312" w:asciiTheme="minorEastAsia" w:hAnsiTheme="minorEastAsia" w:eastAsiaTheme="minorEastAsia"/>
                <w:b w:val="0"/>
                <w:bCs/>
                <w:color w:val="FF0000"/>
                <w:sz w:val="21"/>
                <w:szCs w:val="21"/>
                <w:highlight w:val="yellow"/>
                <w:lang w:val="en-US" w:eastAsia="zh-CN"/>
              </w:rPr>
              <w:t>实际结算金额=产品价格*中标折扣率（产品价格为</w:t>
            </w:r>
            <w:r>
              <w:rPr>
                <w:rFonts w:hint="eastAsia" w:cs="仿宋_GB2312" w:asciiTheme="minorEastAsia" w:hAnsiTheme="minorEastAsia" w:eastAsiaTheme="minorEastAsia"/>
                <w:b w:val="0"/>
                <w:bCs/>
                <w:color w:val="FF0000"/>
                <w:sz w:val="21"/>
                <w:szCs w:val="21"/>
                <w:highlight w:val="yellow"/>
              </w:rPr>
              <w:t>中农网数据食堂采购平台（http://www.chinaap.com）每月5、15、25日粗加工报价表取三天的平均值（平均值精确到分，即小数点后两位）确定各项物资的</w:t>
            </w:r>
            <w:r>
              <w:rPr>
                <w:rFonts w:hint="eastAsia" w:cs="仿宋_GB2312" w:asciiTheme="minorEastAsia" w:hAnsiTheme="minorEastAsia" w:eastAsiaTheme="minorEastAsia"/>
                <w:b w:val="0"/>
                <w:bCs/>
                <w:color w:val="FF0000"/>
                <w:sz w:val="21"/>
                <w:szCs w:val="21"/>
                <w:highlight w:val="yellow"/>
                <w:lang w:val="en-US" w:eastAsia="zh-CN"/>
              </w:rPr>
              <w:t>产品价格）。</w:t>
            </w:r>
          </w:p>
          <w:p w14:paraId="1DF8C677">
            <w:pPr>
              <w:pageBreakBefore w:val="0"/>
              <w:kinsoku/>
              <w:wordWrap/>
              <w:overflowPunct/>
              <w:topLinePunct w:val="0"/>
              <w:autoSpaceDE/>
              <w:autoSpaceDN/>
              <w:bidi w:val="0"/>
              <w:spacing w:line="288" w:lineRule="auto"/>
              <w:ind w:firstLine="420" w:firstLineChars="200"/>
              <w:rPr>
                <w:rFonts w:hint="eastAsia" w:cs="Times New Roman" w:asciiTheme="minorEastAsia" w:hAnsiTheme="minorEastAsia" w:eastAsiaTheme="minorEastAsia"/>
                <w:color w:val="FF0000"/>
                <w:kern w:val="2"/>
                <w:sz w:val="21"/>
                <w:szCs w:val="24"/>
                <w:highlight w:val="yellow"/>
                <w:lang w:val="en-US" w:eastAsia="zh-CN" w:bidi="ar-SA"/>
              </w:rPr>
            </w:pPr>
            <w:r>
              <w:rPr>
                <w:rFonts w:hint="eastAsia" w:cs="仿宋_GB2312" w:asciiTheme="minorEastAsia" w:hAnsiTheme="minorEastAsia" w:eastAsiaTheme="minorEastAsia"/>
                <w:b w:val="0"/>
                <w:bCs/>
                <w:color w:val="FF0000"/>
                <w:sz w:val="21"/>
                <w:szCs w:val="21"/>
                <w:highlight w:val="yellow"/>
                <w:lang w:val="en-US" w:eastAsia="zh-CN"/>
              </w:rPr>
              <w:t>2、</w:t>
            </w:r>
            <w:r>
              <w:rPr>
                <w:rFonts w:hint="eastAsia" w:cs="仿宋_GB2312" w:asciiTheme="minorEastAsia" w:hAnsiTheme="minorEastAsia" w:eastAsiaTheme="minorEastAsia"/>
                <w:b w:val="0"/>
                <w:bCs/>
                <w:color w:val="FF0000"/>
                <w:sz w:val="21"/>
                <w:szCs w:val="21"/>
                <w:highlight w:val="yellow"/>
              </w:rPr>
              <w:t>折扣率</w:t>
            </w:r>
            <w:r>
              <w:rPr>
                <w:rFonts w:hint="eastAsia" w:cs="仿宋_GB2312" w:asciiTheme="minorEastAsia" w:hAnsiTheme="minorEastAsia" w:eastAsiaTheme="minorEastAsia"/>
                <w:b w:val="0"/>
                <w:bCs/>
                <w:color w:val="FF0000"/>
                <w:sz w:val="21"/>
                <w:szCs w:val="21"/>
                <w:highlight w:val="yellow"/>
                <w:lang w:eastAsia="zh-CN"/>
              </w:rPr>
              <w:t>需</w:t>
            </w:r>
            <w:r>
              <w:rPr>
                <w:rFonts w:hint="eastAsia" w:cs="仿宋_GB2312" w:asciiTheme="minorEastAsia" w:hAnsiTheme="minorEastAsia" w:eastAsiaTheme="minorEastAsia"/>
                <w:b w:val="0"/>
                <w:bCs/>
                <w:color w:val="FF0000"/>
                <w:sz w:val="21"/>
                <w:szCs w:val="21"/>
                <w:highlight w:val="yellow"/>
              </w:rPr>
              <w:t>小于或等于1且</w:t>
            </w:r>
            <w:r>
              <w:rPr>
                <w:rFonts w:hint="eastAsia" w:cs="仿宋_GB2312" w:asciiTheme="minorEastAsia" w:hAnsiTheme="minorEastAsia" w:eastAsiaTheme="minorEastAsia"/>
                <w:b w:val="0"/>
                <w:bCs/>
                <w:color w:val="FF0000"/>
                <w:sz w:val="21"/>
                <w:szCs w:val="21"/>
                <w:highlight w:val="yellow"/>
                <w:lang w:val="en-US" w:eastAsia="zh-CN"/>
              </w:rPr>
              <w:t>＞</w:t>
            </w:r>
            <w:r>
              <w:rPr>
                <w:rFonts w:hint="eastAsia" w:cs="仿宋_GB2312" w:asciiTheme="minorEastAsia" w:hAnsiTheme="minorEastAsia" w:eastAsiaTheme="minorEastAsia"/>
                <w:b w:val="0"/>
                <w:bCs/>
                <w:color w:val="FF0000"/>
                <w:sz w:val="21"/>
                <w:szCs w:val="21"/>
                <w:highlight w:val="yellow"/>
              </w:rPr>
              <w:t>0，折扣率在服务期限内保持不变（举例说明：若某种货物的价格为10元/斤，投标人投标报价折扣率为9折，实际结算价格为10元/斤*0.9=</w:t>
            </w:r>
            <w:r>
              <w:rPr>
                <w:rFonts w:hint="eastAsia" w:cs="仿宋_GB2312" w:asciiTheme="minorEastAsia" w:hAnsiTheme="minorEastAsia" w:eastAsiaTheme="minorEastAsia"/>
                <w:b w:val="0"/>
                <w:bCs/>
                <w:color w:val="FF0000"/>
                <w:sz w:val="21"/>
                <w:szCs w:val="21"/>
                <w:highlight w:val="yellow"/>
                <w:lang w:val="en-US" w:eastAsia="zh-CN"/>
              </w:rPr>
              <w:t>9</w:t>
            </w:r>
            <w:r>
              <w:rPr>
                <w:rFonts w:hint="eastAsia" w:cs="仿宋_GB2312" w:asciiTheme="minorEastAsia" w:hAnsiTheme="minorEastAsia" w:eastAsiaTheme="minorEastAsia"/>
                <w:b w:val="0"/>
                <w:bCs/>
                <w:color w:val="FF0000"/>
                <w:sz w:val="21"/>
                <w:szCs w:val="21"/>
                <w:highlight w:val="yellow"/>
              </w:rPr>
              <w:t>元/斤，则在投标文件开标一览表中的折扣率应填0.9（最多保留小数点后两位））。</w:t>
            </w:r>
          </w:p>
        </w:tc>
        <w:tc>
          <w:tcPr>
            <w:tcW w:w="1588" w:type="dxa"/>
          </w:tcPr>
          <w:p w14:paraId="36BF542E">
            <w:pPr>
              <w:adjustRightInd w:val="0"/>
              <w:snapToGrid w:val="0"/>
              <w:spacing w:line="360" w:lineRule="auto"/>
              <w:rPr>
                <w:rFonts w:ascii="宋体" w:hAnsi="宋体"/>
                <w:kern w:val="0"/>
                <w:szCs w:val="21"/>
              </w:rPr>
            </w:pPr>
          </w:p>
        </w:tc>
        <w:tc>
          <w:tcPr>
            <w:tcW w:w="1842" w:type="dxa"/>
          </w:tcPr>
          <w:p w14:paraId="2A3F866D">
            <w:pPr>
              <w:adjustRightInd w:val="0"/>
              <w:snapToGrid w:val="0"/>
              <w:spacing w:line="360" w:lineRule="auto"/>
              <w:rPr>
                <w:rFonts w:ascii="宋体" w:hAnsi="宋体"/>
                <w:kern w:val="0"/>
                <w:szCs w:val="21"/>
              </w:rPr>
            </w:pPr>
          </w:p>
        </w:tc>
        <w:tc>
          <w:tcPr>
            <w:tcW w:w="1418" w:type="dxa"/>
          </w:tcPr>
          <w:p w14:paraId="28287662">
            <w:pPr>
              <w:adjustRightInd w:val="0"/>
              <w:snapToGrid w:val="0"/>
              <w:spacing w:line="360" w:lineRule="auto"/>
              <w:rPr>
                <w:rFonts w:ascii="宋体" w:hAnsi="宋体"/>
                <w:kern w:val="0"/>
                <w:szCs w:val="21"/>
              </w:rPr>
            </w:pPr>
          </w:p>
        </w:tc>
      </w:tr>
    </w:tbl>
    <w:p w14:paraId="46CB605E">
      <w:pPr>
        <w:ind w:firstLine="482" w:firstLineChars="200"/>
        <w:rPr>
          <w:b/>
          <w:sz w:val="24"/>
          <w:szCs w:val="22"/>
        </w:rPr>
      </w:pPr>
      <w:r>
        <w:rPr>
          <w:rFonts w:hint="eastAsia"/>
          <w:b/>
          <w:sz w:val="24"/>
          <w:szCs w:val="22"/>
        </w:rPr>
        <w:t>注：1.上表所列各项均为不可负偏离条款。</w:t>
      </w:r>
    </w:p>
    <w:p w14:paraId="5FDECC0D">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5520DD1B">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14:paraId="509B02A8">
      <w:pPr>
        <w:ind w:firstLine="482" w:firstLineChars="200"/>
        <w:rPr>
          <w:b/>
          <w:sz w:val="24"/>
        </w:rPr>
      </w:pPr>
      <w:r>
        <w:rPr>
          <w:b/>
          <w:sz w:val="24"/>
        </w:rPr>
        <w:t>4.</w:t>
      </w:r>
      <w:r>
        <w:rPr>
          <w:rFonts w:hint="eastAsia"/>
          <w:b/>
          <w:sz w:val="24"/>
        </w:rPr>
        <w:t>评审委员会有权对投标响应情况作出判断（作出评审结论）。</w:t>
      </w:r>
    </w:p>
    <w:p w14:paraId="1679D6B9">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p>
    <w:p w14:paraId="3CF4D22F">
      <w:pPr>
        <w:ind w:firstLine="482" w:firstLineChars="200"/>
        <w:rPr>
          <w:b/>
          <w:sz w:val="24"/>
          <w:szCs w:val="22"/>
        </w:rPr>
      </w:pPr>
      <w:r>
        <w:rPr>
          <w:rFonts w:hint="eastAsia"/>
          <w:b/>
          <w:sz w:val="24"/>
          <w:szCs w:val="22"/>
        </w:rPr>
        <w:t>6.要求提供证明资料，在“说明”一栏中列明证明资料的位置,以便评审；未要求提供证明材料的，投标人可以不提供。</w:t>
      </w:r>
    </w:p>
    <w:p w14:paraId="48B31C46">
      <w:pPr>
        <w:ind w:firstLine="420" w:firstLineChars="200"/>
      </w:pPr>
    </w:p>
    <w:p w14:paraId="21DE1959">
      <w:pPr>
        <w:pStyle w:val="4"/>
        <w:numPr>
          <w:ilvl w:val="0"/>
          <w:numId w:val="0"/>
        </w:numPr>
        <w:jc w:val="center"/>
        <w:rPr>
          <w:rFonts w:hint="eastAsia" w:ascii="黑体" w:hAnsi="宋体" w:eastAsia="黑体" w:cs="Times New Roman"/>
          <w:b w:val="0"/>
          <w:kern w:val="0"/>
          <w:sz w:val="24"/>
          <w:szCs w:val="24"/>
        </w:rPr>
      </w:pPr>
      <w:r>
        <w:rPr>
          <w:rFonts w:hint="eastAsia" w:ascii="黑体" w:eastAsia="黑体"/>
          <w:b w:val="0"/>
          <w:sz w:val="24"/>
          <w:lang w:val="en-US" w:eastAsia="zh-CN"/>
        </w:rPr>
        <w:t>五、</w:t>
      </w:r>
      <w:r>
        <w:rPr>
          <w:rFonts w:hint="eastAsia" w:ascii="黑体" w:hAnsi="宋体" w:eastAsia="黑体" w:cs="Times New Roman"/>
          <w:b w:val="0"/>
          <w:kern w:val="0"/>
          <w:sz w:val="24"/>
          <w:szCs w:val="24"/>
        </w:rPr>
        <w:t>项目整体设想及规划方案</w:t>
      </w:r>
    </w:p>
    <w:p w14:paraId="33DED0C3">
      <w:pPr>
        <w:pStyle w:val="4"/>
        <w:jc w:val="center"/>
        <w:rPr>
          <w:rFonts w:hint="eastAsia" w:asciiTheme="minorEastAsia" w:hAnsiTheme="minorEastAsia" w:eastAsiaTheme="minorEastAsia" w:cstheme="minorEastAsia"/>
          <w:color w:val="auto"/>
          <w:sz w:val="24"/>
        </w:rPr>
      </w:pPr>
      <w:r>
        <w:rPr>
          <w:color w:val="auto"/>
        </w:rPr>
        <w:t xml:space="preserve">  </w:t>
      </w:r>
      <w:r>
        <w:rPr>
          <w:rFonts w:hint="eastAsia" w:asciiTheme="minorEastAsia" w:hAnsiTheme="minorEastAsia" w:eastAsiaTheme="minorEastAsia" w:cstheme="minorEastAsia"/>
          <w:color w:val="auto"/>
          <w:sz w:val="24"/>
        </w:rPr>
        <w:t>（特别提示：投标人须按本招标文件评标信息中“项目整体设想及规划方案”这一评审因素要求，提供证明资料）</w:t>
      </w:r>
    </w:p>
    <w:p w14:paraId="4CC6DEAC">
      <w:pPr>
        <w:pStyle w:val="4"/>
        <w:jc w:val="center"/>
        <w:rPr>
          <w:rFonts w:hint="eastAsia" w:ascii="黑体" w:hAnsi="宋体" w:eastAsia="黑体" w:cs="Times New Roman"/>
          <w:b w:val="0"/>
          <w:color w:val="auto"/>
          <w:kern w:val="0"/>
          <w:sz w:val="24"/>
          <w:szCs w:val="24"/>
        </w:rPr>
      </w:pPr>
      <w:r>
        <w:rPr>
          <w:rFonts w:hint="eastAsia" w:ascii="黑体" w:hAnsi="宋体" w:eastAsia="黑体" w:cs="Times New Roman"/>
          <w:b w:val="0"/>
          <w:bCs/>
          <w:color w:val="auto"/>
          <w:kern w:val="0"/>
          <w:sz w:val="24"/>
          <w:szCs w:val="24"/>
          <w:lang w:val="en-US" w:eastAsia="zh-CN" w:bidi="ar-SA"/>
        </w:rPr>
        <w:t>六、</w:t>
      </w:r>
      <w:r>
        <w:rPr>
          <w:rFonts w:hint="eastAsia" w:ascii="黑体" w:hAnsi="宋体" w:eastAsia="黑体" w:cs="Times New Roman"/>
          <w:b w:val="0"/>
          <w:color w:val="auto"/>
          <w:kern w:val="0"/>
          <w:sz w:val="24"/>
          <w:szCs w:val="24"/>
        </w:rPr>
        <w:t>规章管理制度、工作流程等</w:t>
      </w:r>
    </w:p>
    <w:p w14:paraId="13425597">
      <w:pPr>
        <w:pStyle w:val="4"/>
        <w:jc w:val="center"/>
        <w:rPr>
          <w:rFonts w:hint="eastAsia" w:ascii="黑体" w:hAnsi="宋体" w:eastAsia="黑体" w:cs="Times New Roman"/>
          <w:b w:val="0"/>
          <w:color w:val="auto"/>
          <w:kern w:val="0"/>
          <w:sz w:val="24"/>
          <w:szCs w:val="24"/>
        </w:rPr>
      </w:pPr>
      <w:r>
        <w:rPr>
          <w:color w:val="auto"/>
        </w:rPr>
        <w:t xml:space="preserve">  </w:t>
      </w:r>
      <w:r>
        <w:rPr>
          <w:rFonts w:hint="eastAsia" w:asciiTheme="minorEastAsia" w:hAnsiTheme="minorEastAsia" w:eastAsiaTheme="minorEastAsia" w:cstheme="minorEastAsia"/>
          <w:color w:val="auto"/>
          <w:sz w:val="24"/>
        </w:rPr>
        <w:t>（特别提示：投标人须按本招标文件评标信息中“规章管理制度、工作流程等”这一评审因素要求，提供证明资料）</w:t>
      </w:r>
    </w:p>
    <w:p w14:paraId="48239EC3">
      <w:pPr>
        <w:pStyle w:val="4"/>
        <w:numPr>
          <w:ilvl w:val="0"/>
          <w:numId w:val="0"/>
        </w:numPr>
        <w:ind w:left="0" w:leftChars="0" w:firstLine="0" w:firstLineChars="0"/>
        <w:jc w:val="center"/>
        <w:rPr>
          <w:rFonts w:hint="eastAsia" w:ascii="黑体" w:hAnsi="宋体" w:eastAsia="黑体" w:cs="Times New Roman"/>
          <w:b w:val="0"/>
          <w:color w:val="auto"/>
          <w:kern w:val="0"/>
          <w:sz w:val="24"/>
          <w:szCs w:val="24"/>
        </w:rPr>
      </w:pPr>
      <w:r>
        <w:rPr>
          <w:rFonts w:hint="eastAsia" w:ascii="黑体" w:hAnsi="宋体" w:eastAsia="黑体" w:cs="Times New Roman"/>
          <w:b w:val="0"/>
          <w:bCs/>
          <w:color w:val="auto"/>
          <w:kern w:val="0"/>
          <w:sz w:val="24"/>
          <w:szCs w:val="24"/>
          <w:lang w:val="en-US" w:eastAsia="zh-CN" w:bidi="ar-SA"/>
        </w:rPr>
        <w:t>七、</w:t>
      </w:r>
      <w:r>
        <w:rPr>
          <w:rFonts w:hint="eastAsia" w:ascii="黑体" w:hAnsi="宋体" w:eastAsia="黑体" w:cs="Times New Roman"/>
          <w:b w:val="0"/>
          <w:color w:val="auto"/>
          <w:kern w:val="0"/>
          <w:sz w:val="24"/>
          <w:szCs w:val="24"/>
        </w:rPr>
        <w:t>应急方案</w:t>
      </w:r>
    </w:p>
    <w:p w14:paraId="0221AE36">
      <w:pPr>
        <w:pStyle w:val="4"/>
        <w:jc w:val="center"/>
        <w:rPr>
          <w:rFonts w:hint="eastAsia" w:eastAsia="宋体"/>
          <w:color w:val="auto"/>
          <w:lang w:eastAsia="zh-CN"/>
        </w:rPr>
      </w:pPr>
      <w:r>
        <w:rPr>
          <w:color w:val="auto"/>
        </w:rPr>
        <w:t xml:space="preserve">  </w:t>
      </w:r>
      <w:r>
        <w:rPr>
          <w:rFonts w:hint="eastAsia" w:asciiTheme="minorEastAsia" w:hAnsiTheme="minorEastAsia" w:eastAsiaTheme="minorEastAsia" w:cstheme="minorEastAsia"/>
          <w:color w:val="auto"/>
          <w:sz w:val="24"/>
        </w:rPr>
        <w:t>（特别提示：投标人须按本招标文件评标信息中“应急方案”这一评审因素要求，提供证明资料）</w:t>
      </w:r>
    </w:p>
    <w:p w14:paraId="4355AB36">
      <w:pPr>
        <w:pStyle w:val="4"/>
        <w:numPr>
          <w:ilvl w:val="0"/>
          <w:numId w:val="0"/>
        </w:numPr>
        <w:ind w:left="0" w:leftChars="0" w:firstLine="0" w:firstLineChars="0"/>
        <w:jc w:val="center"/>
        <w:rPr>
          <w:rFonts w:hint="eastAsia" w:ascii="黑体" w:hAnsi="宋体" w:eastAsia="黑体" w:cs="Times New Roman"/>
          <w:b w:val="0"/>
          <w:color w:val="auto"/>
          <w:kern w:val="0"/>
          <w:sz w:val="24"/>
          <w:szCs w:val="24"/>
        </w:rPr>
      </w:pPr>
      <w:r>
        <w:rPr>
          <w:rFonts w:hint="eastAsia" w:ascii="黑体" w:hAnsi="宋体" w:eastAsia="黑体" w:cs="Times New Roman"/>
          <w:b w:val="0"/>
          <w:bCs/>
          <w:color w:val="auto"/>
          <w:kern w:val="0"/>
          <w:sz w:val="24"/>
          <w:szCs w:val="24"/>
          <w:lang w:val="en-US" w:eastAsia="zh-CN" w:bidi="ar-SA"/>
        </w:rPr>
        <w:t>八、</w:t>
      </w:r>
      <w:r>
        <w:rPr>
          <w:rFonts w:hint="eastAsia" w:ascii="黑体" w:hAnsi="宋体" w:eastAsia="黑体" w:cs="Times New Roman"/>
          <w:b w:val="0"/>
          <w:color w:val="auto"/>
          <w:kern w:val="0"/>
          <w:sz w:val="24"/>
          <w:szCs w:val="24"/>
        </w:rPr>
        <w:t>拟投入本项目冷库面积</w:t>
      </w:r>
    </w:p>
    <w:p w14:paraId="07A7E0AD">
      <w:pPr>
        <w:pStyle w:val="4"/>
        <w:jc w:val="center"/>
        <w:rPr>
          <w:rFonts w:hint="eastAsia" w:ascii="黑体" w:hAnsi="宋体" w:eastAsia="黑体" w:cs="Times New Roman"/>
          <w:b w:val="0"/>
          <w:color w:val="auto"/>
          <w:kern w:val="0"/>
          <w:sz w:val="24"/>
          <w:szCs w:val="24"/>
        </w:rPr>
      </w:pPr>
      <w:r>
        <w:rPr>
          <w:color w:val="auto"/>
        </w:rPr>
        <w:t xml:space="preserve">  </w:t>
      </w:r>
      <w:r>
        <w:rPr>
          <w:rFonts w:hint="eastAsia" w:asciiTheme="minorEastAsia" w:hAnsiTheme="minorEastAsia" w:eastAsiaTheme="minorEastAsia" w:cstheme="minorEastAsia"/>
          <w:color w:val="auto"/>
          <w:sz w:val="24"/>
        </w:rPr>
        <w:t>（特别提示：投标人须按本招标文件评标信息中“拟投入本项目冷库面积”这一评审因素要求，提供证明资料）</w:t>
      </w:r>
    </w:p>
    <w:p w14:paraId="346F12E1">
      <w:pPr>
        <w:pStyle w:val="4"/>
        <w:numPr>
          <w:ilvl w:val="0"/>
          <w:numId w:val="0"/>
        </w:numPr>
        <w:ind w:left="0" w:leftChars="0" w:firstLine="0" w:firstLineChars="0"/>
        <w:jc w:val="center"/>
        <w:rPr>
          <w:rFonts w:hint="eastAsia" w:ascii="黑体" w:hAnsi="宋体" w:eastAsia="黑体" w:cs="Times New Roman"/>
          <w:b w:val="0"/>
          <w:color w:val="auto"/>
          <w:kern w:val="0"/>
          <w:sz w:val="24"/>
          <w:szCs w:val="24"/>
        </w:rPr>
      </w:pPr>
      <w:r>
        <w:rPr>
          <w:rFonts w:hint="eastAsia" w:ascii="黑体" w:hAnsi="宋体" w:eastAsia="黑体" w:cs="Times New Roman"/>
          <w:b w:val="0"/>
          <w:bCs/>
          <w:color w:val="auto"/>
          <w:kern w:val="0"/>
          <w:sz w:val="24"/>
          <w:szCs w:val="24"/>
          <w:lang w:val="en-US" w:eastAsia="zh-CN" w:bidi="ar-SA"/>
        </w:rPr>
        <w:t>九、</w:t>
      </w:r>
      <w:r>
        <w:rPr>
          <w:rFonts w:hint="eastAsia" w:ascii="黑体" w:hAnsi="宋体" w:eastAsia="黑体" w:cs="Times New Roman"/>
          <w:b w:val="0"/>
          <w:color w:val="auto"/>
          <w:kern w:val="0"/>
          <w:sz w:val="24"/>
          <w:szCs w:val="24"/>
        </w:rPr>
        <w:t>拟用于本项目生产基地情况</w:t>
      </w:r>
    </w:p>
    <w:p w14:paraId="469C47D8">
      <w:pPr>
        <w:pStyle w:val="4"/>
        <w:jc w:val="center"/>
        <w:rPr>
          <w:rFonts w:hint="eastAsia" w:ascii="黑体" w:hAnsi="宋体" w:eastAsia="黑体" w:cs="Times New Roman"/>
          <w:b w:val="0"/>
          <w:color w:val="auto"/>
          <w:kern w:val="0"/>
          <w:sz w:val="24"/>
          <w:szCs w:val="24"/>
        </w:rPr>
      </w:pPr>
      <w:r>
        <w:rPr>
          <w:color w:val="auto"/>
        </w:rPr>
        <w:t xml:space="preserve">  </w:t>
      </w:r>
      <w:r>
        <w:rPr>
          <w:rFonts w:hint="eastAsia" w:asciiTheme="minorEastAsia" w:hAnsiTheme="minorEastAsia" w:eastAsiaTheme="minorEastAsia" w:cstheme="minorEastAsia"/>
          <w:color w:val="auto"/>
          <w:sz w:val="24"/>
        </w:rPr>
        <w:t>（特别提示：投标人须按本招标文件评标信息中“拟用于本项目生产基地情况”这一评审因素要求，提供证明资料）</w:t>
      </w:r>
    </w:p>
    <w:p w14:paraId="33386C56">
      <w:pPr>
        <w:pStyle w:val="8"/>
        <w:numPr>
          <w:ilvl w:val="0"/>
          <w:numId w:val="11"/>
        </w:numPr>
        <w:ind w:firstLine="0"/>
        <w:jc w:val="center"/>
        <w:rPr>
          <w:rFonts w:hint="eastAsia" w:ascii="黑体" w:hAnsi="宋体" w:eastAsia="黑体" w:cs="Times New Roman"/>
          <w:bCs/>
          <w:color w:val="auto"/>
          <w:kern w:val="0"/>
          <w:sz w:val="24"/>
          <w:szCs w:val="24"/>
        </w:rPr>
      </w:pPr>
      <w:r>
        <w:rPr>
          <w:rFonts w:hint="eastAsia" w:ascii="黑体" w:hAnsi="宋体" w:eastAsia="黑体" w:cs="Times New Roman"/>
          <w:bCs/>
          <w:color w:val="auto"/>
          <w:kern w:val="0"/>
          <w:sz w:val="24"/>
          <w:szCs w:val="24"/>
        </w:rPr>
        <w:t>拟投入本项目的配送场所面积</w:t>
      </w:r>
    </w:p>
    <w:p w14:paraId="69353025">
      <w:pPr>
        <w:pStyle w:val="8"/>
        <w:numPr>
          <w:ilvl w:val="-1"/>
          <w:numId w:val="0"/>
        </w:numPr>
        <w:ind w:firstLine="0"/>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（特别提示：投标人须按本招标文件评标信息中“拟投入本项目的配送场所面积”这一评审因素要求，提供证明资料）</w:t>
      </w:r>
    </w:p>
    <w:p w14:paraId="08013DBF">
      <w:pPr>
        <w:pStyle w:val="4"/>
        <w:jc w:val="center"/>
        <w:rPr>
          <w:rFonts w:hint="eastAsia" w:ascii="黑体" w:hAnsi="宋体" w:eastAsia="黑体" w:cs="Times New Roman"/>
          <w:b w:val="0"/>
          <w:bCs/>
          <w:color w:val="auto"/>
          <w:kern w:val="0"/>
          <w:sz w:val="24"/>
          <w:szCs w:val="24"/>
          <w:lang w:val="en-US" w:eastAsia="zh-CN" w:bidi="ar-SA"/>
        </w:rPr>
      </w:pPr>
      <w:r>
        <w:rPr>
          <w:rFonts w:hint="eastAsia" w:ascii="黑体" w:eastAsia="黑体" w:cs="Times New Roman"/>
          <w:b w:val="0"/>
          <w:bCs/>
          <w:color w:val="auto"/>
          <w:kern w:val="0"/>
          <w:sz w:val="24"/>
          <w:szCs w:val="24"/>
          <w:lang w:val="en-US" w:eastAsia="zh-CN" w:bidi="ar-SA"/>
        </w:rPr>
        <w:t>十一、</w:t>
      </w:r>
      <w:r>
        <w:rPr>
          <w:rFonts w:hint="eastAsia" w:ascii="黑体" w:hAnsi="宋体" w:eastAsia="黑体" w:cs="Times New Roman"/>
          <w:b w:val="0"/>
          <w:bCs/>
          <w:color w:val="auto"/>
          <w:kern w:val="0"/>
          <w:sz w:val="24"/>
          <w:szCs w:val="24"/>
          <w:lang w:val="en-US" w:eastAsia="zh-CN" w:bidi="ar-SA"/>
        </w:rPr>
        <w:t>食品安全检测能力</w:t>
      </w:r>
    </w:p>
    <w:p w14:paraId="58091840">
      <w:pPr>
        <w:pStyle w:val="4"/>
        <w:jc w:val="center"/>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（特别提示：投标人须按本招标文件评标信息中“食品安全检测能力”这一评审因素要求，提供证明资料）</w:t>
      </w:r>
    </w:p>
    <w:p w14:paraId="6D5FDE2E">
      <w:pPr>
        <w:pStyle w:val="4"/>
        <w:jc w:val="center"/>
        <w:rPr>
          <w:rFonts w:hint="eastAsia" w:ascii="黑体" w:hAnsi="宋体" w:eastAsia="黑体" w:cs="Times New Roman"/>
          <w:b w:val="0"/>
          <w:bCs/>
          <w:color w:val="auto"/>
          <w:kern w:val="0"/>
          <w:sz w:val="24"/>
          <w:szCs w:val="24"/>
          <w:lang w:val="en-US" w:eastAsia="zh-CN" w:bidi="ar-SA"/>
        </w:rPr>
      </w:pPr>
      <w:r>
        <w:rPr>
          <w:rFonts w:hint="eastAsia" w:ascii="黑体" w:hAnsi="宋体" w:eastAsia="黑体" w:cs="Times New Roman"/>
          <w:b w:val="0"/>
          <w:bCs/>
          <w:color w:val="auto"/>
          <w:kern w:val="0"/>
          <w:sz w:val="24"/>
          <w:szCs w:val="24"/>
          <w:lang w:val="en-US" w:eastAsia="zh-CN" w:bidi="ar-SA"/>
        </w:rPr>
        <w:t>十二、食品安全保险</w:t>
      </w:r>
    </w:p>
    <w:p w14:paraId="1FA8659F">
      <w:pPr>
        <w:pStyle w:val="4"/>
        <w:jc w:val="center"/>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（特别提示：投标人须按本招标文件评标信息中“食品安全保险”这一评审因素要求，提供证明资料）</w:t>
      </w:r>
    </w:p>
    <w:p w14:paraId="6619027B">
      <w:pPr>
        <w:pStyle w:val="4"/>
        <w:jc w:val="center"/>
        <w:rPr>
          <w:rFonts w:hint="eastAsia" w:ascii="黑体" w:hAnsi="宋体" w:eastAsia="黑体" w:cs="Times New Roman"/>
          <w:b w:val="0"/>
          <w:bCs/>
          <w:color w:val="auto"/>
          <w:kern w:val="0"/>
          <w:sz w:val="24"/>
          <w:szCs w:val="24"/>
          <w:lang w:val="en-US" w:eastAsia="zh-CN" w:bidi="ar-SA"/>
        </w:rPr>
      </w:pPr>
      <w:r>
        <w:rPr>
          <w:rFonts w:hint="eastAsia" w:ascii="黑体" w:eastAsia="黑体" w:cs="Times New Roman"/>
          <w:b w:val="0"/>
          <w:bCs/>
          <w:color w:val="auto"/>
          <w:kern w:val="0"/>
          <w:sz w:val="24"/>
          <w:szCs w:val="24"/>
          <w:lang w:val="en-US" w:eastAsia="zh-CN" w:bidi="ar-SA"/>
        </w:rPr>
        <w:t>十三、</w:t>
      </w:r>
      <w:r>
        <w:rPr>
          <w:rFonts w:hint="eastAsia" w:ascii="黑体" w:hAnsi="宋体" w:eastAsia="黑体" w:cs="Times New Roman"/>
          <w:b w:val="0"/>
          <w:bCs/>
          <w:color w:val="auto"/>
          <w:kern w:val="0"/>
          <w:sz w:val="24"/>
          <w:szCs w:val="24"/>
          <w:lang w:val="en-US" w:eastAsia="zh-CN" w:bidi="ar-SA"/>
        </w:rPr>
        <w:t>拟投入本项目的车辆</w:t>
      </w:r>
    </w:p>
    <w:p w14:paraId="51F40012">
      <w:pPr>
        <w:pStyle w:val="4"/>
        <w:jc w:val="center"/>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（特别提示：投标人须按本招标文件评标信息中“拟投入本项目的车辆”这一评审因素要求，提供证明资料）</w:t>
      </w:r>
    </w:p>
    <w:p w14:paraId="4E403A77">
      <w:pPr>
        <w:pStyle w:val="4"/>
        <w:jc w:val="center"/>
        <w:rPr>
          <w:rFonts w:hint="eastAsia" w:ascii="黑体" w:hAnsi="宋体" w:eastAsia="黑体" w:cs="Times New Roman"/>
          <w:b w:val="0"/>
          <w:bCs/>
          <w:color w:val="auto"/>
          <w:kern w:val="0"/>
          <w:sz w:val="24"/>
          <w:szCs w:val="24"/>
          <w:lang w:val="en-US" w:eastAsia="zh-CN" w:bidi="ar-SA"/>
        </w:rPr>
      </w:pPr>
      <w:r>
        <w:rPr>
          <w:rFonts w:hint="eastAsia" w:ascii="黑体" w:eastAsia="黑体" w:cs="Times New Roman"/>
          <w:b w:val="0"/>
          <w:bCs/>
          <w:color w:val="auto"/>
          <w:kern w:val="0"/>
          <w:sz w:val="24"/>
          <w:szCs w:val="24"/>
          <w:lang w:val="en-US" w:eastAsia="zh-CN" w:bidi="ar-SA"/>
        </w:rPr>
        <w:t>十四、</w:t>
      </w:r>
      <w:r>
        <w:rPr>
          <w:rFonts w:hint="eastAsia" w:ascii="黑体" w:hAnsi="宋体" w:eastAsia="黑体" w:cs="Times New Roman"/>
          <w:b w:val="0"/>
          <w:bCs/>
          <w:color w:val="auto"/>
          <w:kern w:val="0"/>
          <w:sz w:val="24"/>
          <w:szCs w:val="24"/>
          <w:lang w:val="en-US" w:eastAsia="zh-CN" w:bidi="ar-SA"/>
        </w:rPr>
        <w:t>拟安排本项目负责人（限1人）</w:t>
      </w:r>
    </w:p>
    <w:p w14:paraId="2F50AED1">
      <w:pPr>
        <w:pStyle w:val="4"/>
        <w:jc w:val="center"/>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（特别提示：投标人须按本招标文件评标信息中“拟安排本项目负责人（限1人）”这一评审因素要求，提供证明资料）</w:t>
      </w:r>
    </w:p>
    <w:p w14:paraId="322A9C2B">
      <w:pPr>
        <w:pStyle w:val="4"/>
        <w:jc w:val="center"/>
        <w:rPr>
          <w:rFonts w:hint="eastAsia" w:ascii="黑体" w:hAnsi="宋体" w:eastAsia="黑体" w:cs="Times New Roman"/>
          <w:b w:val="0"/>
          <w:bCs/>
          <w:color w:val="auto"/>
          <w:kern w:val="0"/>
          <w:sz w:val="24"/>
          <w:szCs w:val="24"/>
          <w:lang w:val="en-US" w:eastAsia="zh-CN" w:bidi="ar-SA"/>
        </w:rPr>
      </w:pPr>
      <w:r>
        <w:rPr>
          <w:rFonts w:hint="eastAsia" w:ascii="黑体" w:eastAsia="黑体" w:cs="Times New Roman"/>
          <w:b w:val="0"/>
          <w:bCs/>
          <w:color w:val="auto"/>
          <w:kern w:val="0"/>
          <w:sz w:val="24"/>
          <w:szCs w:val="24"/>
          <w:lang w:val="en-US" w:eastAsia="zh-CN" w:bidi="ar-SA"/>
        </w:rPr>
        <w:t>十五、</w:t>
      </w:r>
      <w:r>
        <w:rPr>
          <w:rFonts w:hint="eastAsia" w:ascii="黑体" w:hAnsi="宋体" w:eastAsia="黑体" w:cs="Times New Roman"/>
          <w:b w:val="0"/>
          <w:bCs/>
          <w:color w:val="auto"/>
          <w:kern w:val="0"/>
          <w:sz w:val="24"/>
          <w:szCs w:val="24"/>
          <w:lang w:val="en-US" w:eastAsia="zh-CN" w:bidi="ar-SA"/>
        </w:rPr>
        <w:t>拟安排本项目的团队成员情况（项目负责人除外）</w:t>
      </w:r>
    </w:p>
    <w:p w14:paraId="16C4D587">
      <w:pPr>
        <w:pStyle w:val="4"/>
        <w:jc w:val="center"/>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（特别提示：投标人须按本招标文件评标信息中“拟安排本项目的团队成员情况（项目负责人除外）”这一评审因素要求，提供证明资料）</w:t>
      </w:r>
    </w:p>
    <w:p w14:paraId="4C66C1FC">
      <w:pPr>
        <w:pStyle w:val="4"/>
        <w:jc w:val="center"/>
        <w:rPr>
          <w:rFonts w:hint="eastAsia" w:ascii="黑体" w:hAnsi="宋体" w:eastAsia="黑体" w:cs="Times New Roman"/>
          <w:b w:val="0"/>
          <w:bCs/>
          <w:color w:val="auto"/>
          <w:kern w:val="0"/>
          <w:sz w:val="24"/>
          <w:szCs w:val="24"/>
          <w:lang w:val="en-US" w:eastAsia="zh-CN" w:bidi="ar-SA"/>
        </w:rPr>
      </w:pPr>
      <w:r>
        <w:rPr>
          <w:rFonts w:hint="eastAsia" w:ascii="黑体" w:eastAsia="黑体" w:cs="Times New Roman"/>
          <w:b w:val="0"/>
          <w:bCs/>
          <w:color w:val="auto"/>
          <w:kern w:val="0"/>
          <w:sz w:val="24"/>
          <w:szCs w:val="24"/>
          <w:lang w:val="en-US" w:eastAsia="zh-CN" w:bidi="ar-SA"/>
        </w:rPr>
        <w:t>十六、</w:t>
      </w:r>
      <w:r>
        <w:rPr>
          <w:rFonts w:hint="eastAsia" w:ascii="黑体" w:hAnsi="宋体" w:eastAsia="黑体" w:cs="Times New Roman"/>
          <w:b w:val="0"/>
          <w:bCs/>
          <w:color w:val="auto"/>
          <w:kern w:val="0"/>
          <w:sz w:val="24"/>
          <w:szCs w:val="24"/>
          <w:lang w:val="en-US" w:eastAsia="zh-CN" w:bidi="ar-SA"/>
        </w:rPr>
        <w:t>检验检测报告</w:t>
      </w:r>
    </w:p>
    <w:p w14:paraId="248BCA72">
      <w:pPr>
        <w:pStyle w:val="4"/>
        <w:jc w:val="center"/>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（特别提示：投标人须按本招标文件评标信息中“检验检测报告”这一评审因素要求，提供证明资料）</w:t>
      </w:r>
    </w:p>
    <w:p w14:paraId="6A41F08A">
      <w:pPr>
        <w:pStyle w:val="4"/>
        <w:jc w:val="center"/>
        <w:rPr>
          <w:rFonts w:ascii="黑体" w:eastAsia="黑体"/>
          <w:b w:val="0"/>
          <w:bCs w:val="0"/>
          <w:sz w:val="24"/>
          <w:szCs w:val="20"/>
        </w:rPr>
      </w:pPr>
      <w:r>
        <w:rPr>
          <w:rFonts w:hint="eastAsia" w:ascii="黑体" w:eastAsia="黑体"/>
          <w:b w:val="0"/>
          <w:bCs w:val="0"/>
          <w:sz w:val="24"/>
          <w:szCs w:val="20"/>
          <w:lang w:val="en-US" w:eastAsia="zh-CN"/>
        </w:rPr>
        <w:t xml:space="preserve"> 十七</w:t>
      </w:r>
      <w:r>
        <w:rPr>
          <w:rFonts w:hint="eastAsia" w:ascii="黑体" w:eastAsia="黑体"/>
          <w:b w:val="0"/>
          <w:bCs w:val="0"/>
          <w:sz w:val="24"/>
          <w:szCs w:val="20"/>
        </w:rPr>
        <w:t>、</w:t>
      </w:r>
      <w:bookmarkStart w:id="44" w:name="_Hlk72062872"/>
      <w:r>
        <w:rPr>
          <w:rFonts w:hint="eastAsia" w:ascii="黑体" w:eastAsia="黑体"/>
          <w:b w:val="0"/>
          <w:bCs w:val="0"/>
          <w:sz w:val="24"/>
          <w:szCs w:val="20"/>
        </w:rPr>
        <w:t>投标人认为需要加以说明的其他内容</w:t>
      </w:r>
      <w:bookmarkEnd w:id="44"/>
    </w:p>
    <w:p w14:paraId="039D9F8E">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14:paraId="7D09AA87">
      <w:pPr>
        <w:widowControl/>
        <w:jc w:val="center"/>
        <w:rPr>
          <w:rFonts w:ascii="黑体" w:hAnsi="宋体" w:eastAsia="黑体"/>
          <w:kern w:val="0"/>
          <w:sz w:val="24"/>
          <w:szCs w:val="20"/>
        </w:rPr>
      </w:pPr>
    </w:p>
    <w:p w14:paraId="60E71EE4">
      <w:pPr>
        <w:spacing w:before="0" w:beforeLines="0" w:after="157" w:afterLines="50" w:line="360" w:lineRule="exact"/>
        <w:ind w:firstLine="482" w:firstLineChars="200"/>
        <w:rPr>
          <w:rFonts w:hint="eastAsia" w:eastAsia="宋体" w:cs="Times New Roman"/>
          <w:b/>
          <w:bCs/>
          <w:color w:val="auto"/>
          <w:sz w:val="24"/>
          <w:lang w:val="en-US" w:eastAsia="zh-CN"/>
        </w:rPr>
      </w:pPr>
      <w:r>
        <w:rPr>
          <w:rFonts w:hint="eastAsia"/>
          <w:b/>
          <w:bCs/>
          <w:color w:val="auto"/>
          <w:sz w:val="24"/>
          <w:lang w:eastAsia="zh-CN"/>
        </w:rPr>
        <w:t>我</w:t>
      </w:r>
      <w:r>
        <w:rPr>
          <w:rFonts w:hint="eastAsia" w:ascii="Calibri" w:hAnsi="Calibri" w:eastAsia="宋体" w:cs="Times New Roman"/>
          <w:b/>
          <w:bCs/>
          <w:color w:val="auto"/>
          <w:sz w:val="24"/>
          <w:szCs w:val="24"/>
          <w:lang w:val="en-US" w:eastAsia="zh-CN"/>
        </w:rPr>
        <w:t>单位</w:t>
      </w:r>
      <w:r>
        <w:rPr>
          <w:rFonts w:hint="eastAsia" w:eastAsia="宋体"/>
          <w:b/>
          <w:bCs/>
          <w:color w:val="auto"/>
          <w:sz w:val="24"/>
        </w:rPr>
        <w:t>在</w:t>
      </w:r>
      <w:r>
        <w:rPr>
          <w:rFonts w:hint="eastAsia"/>
          <w:b/>
          <w:bCs/>
          <w:color w:val="auto"/>
          <w:sz w:val="24"/>
        </w:rPr>
        <w:t>投标前已充分知悉以下情形为参与政府采购活动时的重大风险事项，并承诺已对下述风险提示事项重点排查，</w:t>
      </w:r>
      <w:r>
        <w:rPr>
          <w:rFonts w:hint="eastAsia" w:eastAsia="宋体" w:cs="Times New Roman"/>
          <w:b/>
          <w:bCs/>
          <w:color w:val="auto"/>
          <w:sz w:val="24"/>
          <w:lang w:val="en-US" w:eastAsia="zh-CN"/>
        </w:rPr>
        <w:t>若存在下述情况，我单位愿意依法承担被记入供应商诚信档案、罚款、取消参与政府采购资格、吊销营业执照等处罚；构成犯罪的，依法承担刑事责任。</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72F8E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14:paraId="755CE4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7811" w:type="dxa"/>
            <w:noWrap w:val="0"/>
            <w:vAlign w:val="top"/>
          </w:tcPr>
          <w:p w14:paraId="3053D3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供应商参与投标禁止情形</w:t>
            </w:r>
          </w:p>
        </w:tc>
      </w:tr>
      <w:tr w14:paraId="037BE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6D57B6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811" w:type="dxa"/>
            <w:noWrap w:val="0"/>
            <w:vAlign w:val="center"/>
          </w:tcPr>
          <w:p w14:paraId="045A72C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与其他投标供应商的法定代表人、主要经营负责人、投标授权代表人、项目负责人、主要技术人员为</w:t>
            </w:r>
            <w:r>
              <w:rPr>
                <w:rFonts w:hint="eastAsia" w:ascii="仿宋_GB2312" w:hAnsi="仿宋_GB2312" w:eastAsia="仿宋_GB2312" w:cs="仿宋_GB2312"/>
                <w:b/>
                <w:bCs/>
                <w:color w:val="auto"/>
                <w:sz w:val="24"/>
                <w:szCs w:val="24"/>
                <w:highlight w:val="none"/>
                <w:lang w:val="en-US" w:eastAsia="zh-CN"/>
              </w:rPr>
              <w:t>同一人、属同一单位或者在同一单位缴纳社会保险</w:t>
            </w:r>
            <w:r>
              <w:rPr>
                <w:rFonts w:hint="eastAsia" w:ascii="仿宋_GB2312" w:hAnsi="仿宋_GB2312" w:eastAsia="仿宋_GB2312" w:cs="仿宋_GB2312"/>
                <w:color w:val="auto"/>
                <w:sz w:val="24"/>
                <w:szCs w:val="24"/>
                <w:highlight w:val="none"/>
                <w:lang w:val="en-US" w:eastAsia="zh-CN"/>
              </w:rPr>
              <w:t>。</w:t>
            </w:r>
          </w:p>
        </w:tc>
      </w:tr>
      <w:tr w14:paraId="2A118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4DB520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811" w:type="dxa"/>
            <w:noWrap w:val="0"/>
            <w:vAlign w:val="center"/>
          </w:tcPr>
          <w:p w14:paraId="709C09B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参与本项目政府采购活动时，与其他投标供应商存在单位负责人为</w:t>
            </w:r>
            <w:r>
              <w:rPr>
                <w:rFonts w:hint="eastAsia" w:ascii="仿宋_GB2312" w:hAnsi="仿宋_GB2312" w:eastAsia="仿宋_GB2312" w:cs="仿宋_GB2312"/>
                <w:b/>
                <w:bCs/>
                <w:color w:val="auto"/>
                <w:sz w:val="24"/>
                <w:szCs w:val="24"/>
                <w:highlight w:val="none"/>
                <w:lang w:val="en-US" w:eastAsia="zh-CN"/>
              </w:rPr>
              <w:t>同一人或直接控股、管理关系</w:t>
            </w:r>
            <w:r>
              <w:rPr>
                <w:rFonts w:hint="eastAsia" w:ascii="仿宋_GB2312" w:hAnsi="仿宋_GB2312" w:eastAsia="仿宋_GB2312" w:cs="仿宋_GB2312"/>
                <w:color w:val="auto"/>
                <w:sz w:val="24"/>
                <w:szCs w:val="24"/>
                <w:highlight w:val="none"/>
                <w:lang w:val="en-US" w:eastAsia="zh-CN"/>
              </w:rPr>
              <w:t>。</w:t>
            </w:r>
          </w:p>
        </w:tc>
      </w:tr>
      <w:tr w14:paraId="547E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3CFF66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7811" w:type="dxa"/>
            <w:noWrap w:val="0"/>
            <w:vAlign w:val="center"/>
          </w:tcPr>
          <w:p w14:paraId="1557789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与其他投标供应商的投标文件或部分投标文件</w:t>
            </w:r>
            <w:r>
              <w:rPr>
                <w:rFonts w:hint="eastAsia" w:ascii="仿宋_GB2312" w:hAnsi="仿宋_GB2312" w:eastAsia="仿宋_GB2312" w:cs="仿宋_GB2312"/>
                <w:b/>
                <w:bCs/>
                <w:color w:val="auto"/>
                <w:sz w:val="24"/>
                <w:szCs w:val="24"/>
                <w:highlight w:val="none"/>
                <w:lang w:val="en-US" w:eastAsia="zh-CN"/>
              </w:rPr>
              <w:t>相互混装或存在非正常一致</w:t>
            </w:r>
            <w:r>
              <w:rPr>
                <w:rFonts w:hint="eastAsia" w:ascii="仿宋_GB2312" w:hAnsi="仿宋_GB2312" w:eastAsia="仿宋_GB2312" w:cs="仿宋_GB2312"/>
                <w:color w:val="auto"/>
                <w:sz w:val="24"/>
                <w:szCs w:val="24"/>
                <w:highlight w:val="none"/>
                <w:lang w:val="en-US" w:eastAsia="zh-CN"/>
              </w:rPr>
              <w:t>。</w:t>
            </w:r>
          </w:p>
        </w:tc>
      </w:tr>
      <w:tr w14:paraId="3AF45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5A8565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7811" w:type="dxa"/>
            <w:noWrap w:val="0"/>
            <w:vAlign w:val="center"/>
          </w:tcPr>
          <w:p w14:paraId="54A628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与其他投标供应商的投标文件由</w:t>
            </w:r>
            <w:r>
              <w:rPr>
                <w:rFonts w:hint="eastAsia" w:ascii="仿宋_GB2312" w:hAnsi="仿宋_GB2312" w:eastAsia="仿宋_GB2312" w:cs="仿宋_GB2312"/>
                <w:b/>
                <w:bCs/>
                <w:color w:val="auto"/>
                <w:sz w:val="24"/>
                <w:szCs w:val="24"/>
                <w:highlight w:val="none"/>
                <w:lang w:val="en-US" w:eastAsia="zh-CN"/>
              </w:rPr>
              <w:t>同一单位或者同一人编制</w:t>
            </w:r>
            <w:r>
              <w:rPr>
                <w:rFonts w:hint="eastAsia" w:ascii="仿宋_GB2312" w:hAnsi="仿宋_GB2312" w:eastAsia="仿宋_GB2312" w:cs="仿宋_GB2312"/>
                <w:color w:val="auto"/>
                <w:sz w:val="24"/>
                <w:szCs w:val="24"/>
                <w:highlight w:val="none"/>
                <w:lang w:val="en-US" w:eastAsia="zh-CN"/>
              </w:rPr>
              <w:t>，或者使用</w:t>
            </w:r>
            <w:r>
              <w:rPr>
                <w:rFonts w:hint="eastAsia" w:ascii="仿宋_GB2312" w:hAnsi="仿宋_GB2312" w:eastAsia="仿宋_GB2312" w:cs="仿宋_GB2312"/>
                <w:b/>
                <w:bCs/>
                <w:color w:val="auto"/>
                <w:sz w:val="24"/>
                <w:szCs w:val="24"/>
                <w:highlight w:val="none"/>
                <w:lang w:val="en-US" w:eastAsia="zh-CN"/>
              </w:rPr>
              <w:t>同一设备编制</w:t>
            </w:r>
            <w:r>
              <w:rPr>
                <w:rFonts w:hint="eastAsia" w:ascii="仿宋_GB2312" w:hAnsi="仿宋_GB2312" w:eastAsia="仿宋_GB2312" w:cs="仿宋_GB2312"/>
                <w:color w:val="auto"/>
                <w:sz w:val="24"/>
                <w:szCs w:val="24"/>
                <w:highlight w:val="none"/>
                <w:lang w:val="en-US" w:eastAsia="zh-CN"/>
              </w:rPr>
              <w:t>（“文件制作机器码”“文件创建标识码”一致）。</w:t>
            </w:r>
          </w:p>
        </w:tc>
      </w:tr>
      <w:tr w14:paraId="4FB66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19215E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7811" w:type="dxa"/>
            <w:noWrap w:val="0"/>
            <w:vAlign w:val="center"/>
          </w:tcPr>
          <w:p w14:paraId="6C7BD84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w:t>
            </w:r>
            <w:r>
              <w:rPr>
                <w:rFonts w:hint="eastAsia" w:ascii="仿宋_GB2312" w:hAnsi="仿宋_GB2312" w:eastAsia="仿宋_GB2312" w:cs="仿宋_GB2312"/>
                <w:b/>
                <w:bCs/>
                <w:color w:val="auto"/>
                <w:sz w:val="24"/>
                <w:szCs w:val="24"/>
                <w:highlight w:val="none"/>
                <w:lang w:val="en-US" w:eastAsia="zh-CN"/>
              </w:rPr>
              <w:t>未经出具机构核实</w:t>
            </w:r>
            <w:r>
              <w:rPr>
                <w:rFonts w:hint="eastAsia" w:ascii="仿宋_GB2312" w:hAnsi="仿宋_GB2312" w:eastAsia="仿宋_GB2312" w:cs="仿宋_GB2312"/>
                <w:color w:val="auto"/>
                <w:sz w:val="24"/>
                <w:szCs w:val="24"/>
                <w:highlight w:val="none"/>
                <w:lang w:val="en-US" w:eastAsia="zh-CN"/>
              </w:rPr>
              <w:t>的虚假的检验检测报告、业绩材料、社保缴纳证明、学历学位证书、职称认证证书等材料。</w:t>
            </w:r>
          </w:p>
        </w:tc>
      </w:tr>
      <w:tr w14:paraId="539C7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331F25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7811" w:type="dxa"/>
            <w:noWrap w:val="0"/>
            <w:vAlign w:val="center"/>
          </w:tcPr>
          <w:p w14:paraId="4745170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擅自将投标密钥或电子营业执照出借他人使用或未妥善保管。</w:t>
            </w:r>
          </w:p>
        </w:tc>
      </w:tr>
    </w:tbl>
    <w:p w14:paraId="160EF2A5">
      <w:pPr>
        <w:ind w:firstLine="422" w:firstLineChars="200"/>
        <w:rPr>
          <w:rFonts w:hint="eastAsia"/>
          <w:b/>
        </w:rPr>
      </w:pPr>
    </w:p>
    <w:p w14:paraId="1234B2DC">
      <w:pPr>
        <w:ind w:firstLine="422" w:firstLineChars="200"/>
        <w:rPr>
          <w:b/>
        </w:rPr>
      </w:pPr>
      <w:r>
        <w:rPr>
          <w:rFonts w:hint="eastAsia"/>
          <w:b/>
        </w:rPr>
        <w:t>一、本公司已充分知悉“隐瞒真实情况，提供虚假资料”的法定情形，相关情形包括但不限于：</w:t>
      </w:r>
    </w:p>
    <w:p w14:paraId="3E09FB00">
      <w:pPr>
        <w:ind w:firstLine="420" w:firstLineChars="200"/>
      </w:pPr>
      <w:r>
        <w:rPr>
          <w:rFonts w:hint="eastAsia"/>
        </w:rPr>
        <w:t>（一）通过转让或者租借等方式从其他单位获取资格或者资质证书投标的。</w:t>
      </w:r>
    </w:p>
    <w:p w14:paraId="736A8329">
      <w:pPr>
        <w:ind w:firstLine="420" w:firstLineChars="200"/>
      </w:pPr>
      <w:r>
        <w:rPr>
          <w:rFonts w:hint="eastAsia"/>
        </w:rPr>
        <w:t>（二）由其他单位或者其他单位负责人在投标供应商编制的投标文件上加盖印章或者签字的。</w:t>
      </w:r>
    </w:p>
    <w:p w14:paraId="62181EBF">
      <w:pPr>
        <w:ind w:firstLine="420" w:firstLineChars="200"/>
      </w:pPr>
      <w:r>
        <w:rPr>
          <w:rFonts w:hint="eastAsia"/>
        </w:rPr>
        <w:t>（三）项目负责人或者主要技术人员不是本单位人员的。</w:t>
      </w:r>
    </w:p>
    <w:p w14:paraId="41DE4048">
      <w:pPr>
        <w:ind w:firstLine="420" w:firstLineChars="200"/>
      </w:pPr>
      <w:r>
        <w:rPr>
          <w:rFonts w:hint="eastAsia"/>
        </w:rPr>
        <w:t>（四）投标保证金不是从投标供应商基本账户转出的。</w:t>
      </w:r>
    </w:p>
    <w:p w14:paraId="570E321B">
      <w:pPr>
        <w:ind w:firstLine="420" w:firstLineChars="200"/>
      </w:pPr>
      <w:r>
        <w:rPr>
          <w:rFonts w:hint="eastAsia"/>
        </w:rPr>
        <w:t>（五）其他隐瞒真实情况、提供虚假资料的行为。</w:t>
      </w:r>
    </w:p>
    <w:p w14:paraId="1517670B">
      <w:pPr>
        <w:ind w:firstLine="422" w:firstLineChars="200"/>
        <w:rPr>
          <w:b/>
        </w:rPr>
      </w:pPr>
      <w:r>
        <w:rPr>
          <w:rFonts w:hint="eastAsia"/>
          <w:b/>
        </w:rPr>
        <w:t>二、本公司已充分知悉“与其他采购参加人串通投标”的法定情形，相关情形包括但不限于：</w:t>
      </w:r>
    </w:p>
    <w:p w14:paraId="7BA2C7D8">
      <w:pPr>
        <w:ind w:firstLine="420" w:firstLineChars="200"/>
      </w:pPr>
      <w:r>
        <w:rPr>
          <w:rFonts w:hint="eastAsia"/>
        </w:rPr>
        <w:t>（一）投标供应商之间相互约定给予未中标的供应商利益补偿。</w:t>
      </w:r>
    </w:p>
    <w:p w14:paraId="084465B6">
      <w:pPr>
        <w:ind w:firstLine="420" w:firstLineChars="200"/>
      </w:pPr>
      <w:r>
        <w:rPr>
          <w:rFonts w:hint="eastAsia"/>
        </w:rPr>
        <w:t>（二）不同投标供应商的法定代表人、主要经营负责人、项目投标授权代表人、项目负责人、主要技术人员为同一人、属同一单位或者在同一单位缴纳社会保险。</w:t>
      </w:r>
    </w:p>
    <w:p w14:paraId="1BD063F6">
      <w:pPr>
        <w:ind w:firstLine="420" w:firstLineChars="200"/>
      </w:pPr>
      <w:r>
        <w:rPr>
          <w:rFonts w:hint="eastAsia"/>
        </w:rPr>
        <w:t>（三）不同投标供应商的投标文件由同一单位或者同一人编制，或者由同一人分阶段参与编制的。</w:t>
      </w:r>
    </w:p>
    <w:p w14:paraId="1F1309CC">
      <w:pPr>
        <w:ind w:firstLine="420" w:firstLineChars="200"/>
      </w:pPr>
      <w:r>
        <w:rPr>
          <w:rFonts w:hint="eastAsia"/>
        </w:rPr>
        <w:t>（四）不同投标供应商的投标文件或部分投标文件相互混装。</w:t>
      </w:r>
    </w:p>
    <w:p w14:paraId="3CDEFFB9">
      <w:pPr>
        <w:ind w:firstLine="420" w:firstLineChars="200"/>
      </w:pPr>
      <w:r>
        <w:rPr>
          <w:rFonts w:hint="eastAsia"/>
        </w:rPr>
        <w:t>（五）不同投标供应商的投标文件内容存在非正常一致。</w:t>
      </w:r>
    </w:p>
    <w:p w14:paraId="30A78160">
      <w:pPr>
        <w:ind w:firstLine="420" w:firstLineChars="200"/>
      </w:pPr>
      <w:r>
        <w:rPr>
          <w:rFonts w:hint="eastAsia"/>
        </w:rPr>
        <w:t>（六）由同一单位工作人员为两家以上（含两家）供应商进行同一项投标活动的。</w:t>
      </w:r>
    </w:p>
    <w:p w14:paraId="51E33DCC">
      <w:pPr>
        <w:ind w:firstLine="420" w:firstLineChars="200"/>
      </w:pPr>
      <w:r>
        <w:rPr>
          <w:rFonts w:hint="eastAsia"/>
        </w:rPr>
        <w:t>（七）不同投标人的投标报价呈规律性差异。</w:t>
      </w:r>
    </w:p>
    <w:p w14:paraId="557AF865">
      <w:pPr>
        <w:ind w:firstLine="420" w:firstLineChars="200"/>
      </w:pPr>
      <w:r>
        <w:rPr>
          <w:rFonts w:hint="eastAsia"/>
        </w:rPr>
        <w:t>（八）不同投标人的投标保证金从同一单位或者个人的账户转出。</w:t>
      </w:r>
    </w:p>
    <w:p w14:paraId="1ED915DA">
      <w:pPr>
        <w:ind w:firstLine="420" w:firstLineChars="200"/>
      </w:pPr>
      <w:r>
        <w:rPr>
          <w:rFonts w:hint="eastAsia"/>
        </w:rPr>
        <w:t>（九）主管部门依照法律、法规认定的其他情形。</w:t>
      </w:r>
    </w:p>
    <w:p w14:paraId="7D8423A2">
      <w:pPr>
        <w:ind w:firstLine="422" w:firstLineChars="200"/>
        <w:rPr>
          <w:b/>
        </w:rPr>
      </w:pPr>
      <w:r>
        <w:rPr>
          <w:rFonts w:hint="eastAsia"/>
          <w:b/>
        </w:rPr>
        <w:t>三、本公司已充分知悉下列情形所对应的法律风险，并在投标前已对相关风险事项进行排查。</w:t>
      </w:r>
    </w:p>
    <w:p w14:paraId="0783540E">
      <w:pPr>
        <w:ind w:firstLine="420" w:firstLineChars="200"/>
        <w:rPr>
          <w:b/>
        </w:rPr>
      </w:pPr>
      <w:r>
        <w:rPr>
          <w:rFonts w:hint="eastAsia"/>
        </w:rPr>
        <w:t>（一）对于从其他主体获取的投标资料，供应商应审慎核查，确保投标资料的真实性。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14:paraId="6AA1E1DC">
      <w:pPr>
        <w:ind w:firstLine="420" w:firstLineChars="200"/>
      </w:pPr>
      <w:r>
        <w:rPr>
          <w:rFonts w:hint="eastAsia"/>
        </w:rPr>
        <w:t>（二）对于涉及国家机关出具的公文、证件、证明材料等文件，一旦涉嫌虚假，经查实，主管部门将依法从严处理，并移送有关部门追究法律责任；涉嫌犯罪的，主管部门将一并移送司法机关追究法律责任。</w:t>
      </w:r>
    </w:p>
    <w:p w14:paraId="533B3C6A">
      <w:pPr>
        <w:ind w:firstLine="420" w:firstLineChars="200"/>
      </w:pPr>
      <w:r>
        <w:rPr>
          <w:rFonts w:hint="eastAsia"/>
        </w:rPr>
        <w:t>（三）对于涉及安全生产、特种作业、抢险救灾、防疫等政府采购项目，供应商实施提供虚假资料、串通投标等违法行为的，主管部门将依法从严处理。</w:t>
      </w:r>
    </w:p>
    <w:p w14:paraId="4CD41048">
      <w:pPr>
        <w:ind w:firstLine="420" w:firstLineChars="200"/>
      </w:pPr>
      <w:r>
        <w:rPr>
          <w:rFonts w:hint="eastAsia"/>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3C55EED3">
      <w:pPr>
        <w:ind w:firstLine="420" w:firstLineChars="200"/>
      </w:pPr>
      <w:r>
        <w:rPr>
          <w:rFonts w:hint="eastAsia"/>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05A626F6">
      <w:pPr>
        <w:ind w:firstLine="420" w:firstLineChars="200"/>
      </w:pPr>
      <w:r>
        <w:rPr>
          <w:rFonts w:hint="eastAsia"/>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2245BF67">
      <w:pPr>
        <w:ind w:firstLine="422" w:firstLineChars="200"/>
        <w:rPr>
          <w:b/>
        </w:rPr>
      </w:pPr>
      <w:r>
        <w:rPr>
          <w:rFonts w:hint="eastAsia"/>
          <w:b/>
        </w:rPr>
        <w:t>四、本公司已充分知悉政府采购违法、违规行为的法律后果。</w:t>
      </w:r>
    </w:p>
    <w:p w14:paraId="224C26A9">
      <w:pPr>
        <w:ind w:firstLine="420" w:firstLineChars="200"/>
      </w:pPr>
      <w:r>
        <w:rPr>
          <w:rFonts w:hint="eastAsia"/>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46A4F5D4">
      <w:pPr>
        <w:ind w:firstLine="420" w:firstLineChars="200"/>
      </w:pPr>
      <w:r>
        <w:rPr>
          <w:rFonts w:hint="eastAsia"/>
          <w:highlight w:val="yellow"/>
        </w:rPr>
        <w:t>以下文字请投标供应商抄写并确认：“本公司已仔细阅读《政府采购违法行为风险知悉确认书》，充分知悉违法行为的法律后果，并承诺将严谨、诚信、依法依规参与政府采购活动”。</w:t>
      </w:r>
    </w:p>
    <w:tbl>
      <w:tblPr>
        <w:tblStyle w:val="193"/>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3601011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3CA95678">
            <w:pPr>
              <w:autoSpaceDE w:val="0"/>
              <w:autoSpaceDN w:val="0"/>
              <w:spacing w:line="400" w:lineRule="exact"/>
              <w:ind w:firstLine="1866"/>
              <w:rPr>
                <w:rFonts w:ascii="宋体" w:hAnsi="宋体" w:eastAsiaTheme="minorEastAsia"/>
                <w:spacing w:val="-4"/>
                <w:kern w:val="0"/>
                <w:szCs w:val="21"/>
              </w:rPr>
            </w:pPr>
          </w:p>
        </w:tc>
      </w:tr>
      <w:tr w14:paraId="2B8B8A5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637576DB">
            <w:pPr>
              <w:autoSpaceDE w:val="0"/>
              <w:autoSpaceDN w:val="0"/>
              <w:spacing w:line="400" w:lineRule="exact"/>
              <w:ind w:firstLine="1866"/>
              <w:rPr>
                <w:rFonts w:ascii="宋体" w:hAnsi="宋体" w:eastAsiaTheme="minorEastAsia"/>
                <w:spacing w:val="-4"/>
                <w:kern w:val="0"/>
                <w:szCs w:val="21"/>
              </w:rPr>
            </w:pPr>
          </w:p>
        </w:tc>
      </w:tr>
      <w:tr w14:paraId="15FDE89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3B46DFB6">
            <w:pPr>
              <w:autoSpaceDE w:val="0"/>
              <w:autoSpaceDN w:val="0"/>
              <w:spacing w:line="400" w:lineRule="exact"/>
              <w:ind w:firstLine="1866"/>
              <w:rPr>
                <w:rFonts w:ascii="宋体" w:hAnsi="宋体" w:eastAsiaTheme="minorEastAsia"/>
                <w:spacing w:val="-4"/>
                <w:kern w:val="0"/>
                <w:szCs w:val="21"/>
              </w:rPr>
            </w:pPr>
          </w:p>
        </w:tc>
      </w:tr>
      <w:tr w14:paraId="11327B6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4A6F0C74">
            <w:pPr>
              <w:autoSpaceDE w:val="0"/>
              <w:autoSpaceDN w:val="0"/>
              <w:spacing w:line="400" w:lineRule="exact"/>
              <w:ind w:firstLine="1866"/>
              <w:rPr>
                <w:rFonts w:ascii="宋体" w:hAnsi="宋体" w:eastAsiaTheme="minorEastAsia"/>
                <w:spacing w:val="-4"/>
                <w:kern w:val="0"/>
                <w:szCs w:val="21"/>
              </w:rPr>
            </w:pPr>
          </w:p>
        </w:tc>
      </w:tr>
    </w:tbl>
    <w:p w14:paraId="6A3EA9F3">
      <w:pPr>
        <w:widowControl/>
        <w:wordWrap w:val="0"/>
        <w:autoSpaceDE w:val="0"/>
        <w:autoSpaceDN w:val="0"/>
        <w:spacing w:line="400" w:lineRule="exact"/>
        <w:ind w:right="808" w:firstLine="404" w:firstLineChars="200"/>
        <w:jc w:val="right"/>
        <w:rPr>
          <w:rFonts w:ascii="宋体" w:hAnsi="宋体" w:eastAsiaTheme="minorEastAsia"/>
          <w:spacing w:val="-4"/>
          <w:kern w:val="0"/>
          <w:szCs w:val="21"/>
          <w:u w:val="single"/>
        </w:rPr>
      </w:pPr>
      <w:r>
        <w:rPr>
          <w:rFonts w:hint="eastAsia" w:ascii="宋体" w:hAnsi="宋体" w:eastAsiaTheme="minorEastAsia"/>
          <w:spacing w:val="-4"/>
          <w:kern w:val="0"/>
          <w:szCs w:val="21"/>
        </w:rPr>
        <w:t>负责人/投标授权代表签名：</w:t>
      </w:r>
      <w:r>
        <w:rPr>
          <w:rFonts w:hint="eastAsia" w:ascii="宋体" w:hAnsi="宋体" w:eastAsiaTheme="minorEastAsia"/>
          <w:spacing w:val="-4"/>
          <w:kern w:val="0"/>
          <w:szCs w:val="21"/>
          <w:u w:val="single"/>
        </w:rPr>
        <w:t xml:space="preserve">              </w:t>
      </w:r>
    </w:p>
    <w:p w14:paraId="1C0E23AD">
      <w:pPr>
        <w:widowControl/>
        <w:wordWrap w:val="0"/>
        <w:autoSpaceDE w:val="0"/>
        <w:autoSpaceDN w:val="0"/>
        <w:spacing w:line="400" w:lineRule="exact"/>
        <w:ind w:right="808" w:firstLine="404" w:firstLineChars="200"/>
        <w:jc w:val="right"/>
        <w:rPr>
          <w:rFonts w:ascii="宋体" w:hAnsi="宋体" w:eastAsiaTheme="minorEastAsia"/>
          <w:spacing w:val="-4"/>
          <w:kern w:val="0"/>
          <w:szCs w:val="21"/>
          <w:u w:val="single"/>
        </w:rPr>
      </w:pPr>
      <w:r>
        <w:rPr>
          <w:rFonts w:hint="eastAsia" w:ascii="宋体" w:hAnsi="宋体" w:eastAsiaTheme="minorEastAsia"/>
          <w:spacing w:val="-4"/>
          <w:kern w:val="0"/>
          <w:szCs w:val="21"/>
        </w:rPr>
        <w:t>知悉人（公章）：</w:t>
      </w:r>
      <w:r>
        <w:rPr>
          <w:rFonts w:hint="eastAsia" w:ascii="宋体" w:hAnsi="宋体" w:eastAsiaTheme="minorEastAsia"/>
          <w:spacing w:val="-4"/>
          <w:kern w:val="0"/>
          <w:szCs w:val="21"/>
          <w:u w:val="single"/>
        </w:rPr>
        <w:t xml:space="preserve">              </w:t>
      </w:r>
    </w:p>
    <w:p w14:paraId="2121AE84">
      <w:pPr>
        <w:widowControl/>
        <w:wordWrap w:val="0"/>
        <w:autoSpaceDE w:val="0"/>
        <w:autoSpaceDN w:val="0"/>
        <w:spacing w:line="400" w:lineRule="exact"/>
        <w:ind w:right="808" w:firstLine="404" w:firstLineChars="200"/>
        <w:jc w:val="right"/>
        <w:rPr>
          <w:rFonts w:ascii="宋体" w:hAnsi="宋体" w:eastAsiaTheme="minorEastAsia"/>
          <w:spacing w:val="-4"/>
          <w:kern w:val="0"/>
          <w:szCs w:val="21"/>
          <w:u w:val="single"/>
        </w:rPr>
      </w:pPr>
      <w:r>
        <w:rPr>
          <w:rFonts w:hint="eastAsia" w:ascii="宋体" w:hAnsi="宋体" w:eastAsiaTheme="minorEastAsia"/>
          <w:spacing w:val="-4"/>
          <w:kern w:val="0"/>
          <w:szCs w:val="21"/>
        </w:rPr>
        <w:t xml:space="preserve">     日期：</w:t>
      </w:r>
      <w:r>
        <w:rPr>
          <w:rFonts w:hint="eastAsia" w:ascii="宋体" w:hAnsi="宋体" w:eastAsiaTheme="minorEastAsia"/>
          <w:spacing w:val="-4"/>
          <w:kern w:val="0"/>
          <w:szCs w:val="21"/>
          <w:u w:val="single"/>
        </w:rPr>
        <w:t xml:space="preserve">              </w:t>
      </w:r>
    </w:p>
    <w:p w14:paraId="39114371">
      <w:pPr>
        <w:widowControl/>
        <w:wordWrap w:val="0"/>
        <w:autoSpaceDE w:val="0"/>
        <w:autoSpaceDN w:val="0"/>
        <w:spacing w:line="400" w:lineRule="exact"/>
        <w:ind w:right="1414" w:firstLine="404" w:firstLineChars="200"/>
        <w:jc w:val="right"/>
        <w:rPr>
          <w:rFonts w:ascii="宋体" w:hAnsi="宋体" w:eastAsiaTheme="minorEastAsia"/>
          <w:spacing w:val="-4"/>
          <w:kern w:val="0"/>
          <w:szCs w:val="21"/>
        </w:rPr>
      </w:pPr>
      <w:r>
        <w:rPr>
          <w:rFonts w:hint="eastAsia" w:ascii="宋体" w:hAnsi="宋体" w:eastAsiaTheme="minorEastAsia"/>
          <w:spacing w:val="-4"/>
          <w:kern w:val="0"/>
          <w:szCs w:val="21"/>
        </w:rPr>
        <w:t xml:space="preserve">     </w:t>
      </w:r>
    </w:p>
    <w:p w14:paraId="0D23DBA2">
      <w:pPr>
        <w:widowControl/>
        <w:autoSpaceDE w:val="0"/>
        <w:autoSpaceDN w:val="0"/>
        <w:spacing w:line="400" w:lineRule="exact"/>
        <w:ind w:firstLine="406" w:firstLineChars="200"/>
        <w:jc w:val="left"/>
        <w:rPr>
          <w:rFonts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注：</w:t>
      </w:r>
    </w:p>
    <w:p w14:paraId="3D59ADDD">
      <w:pPr>
        <w:widowControl/>
        <w:autoSpaceDE w:val="0"/>
        <w:autoSpaceDN w:val="0"/>
        <w:spacing w:line="400" w:lineRule="exact"/>
        <w:ind w:firstLine="406" w:firstLineChars="200"/>
        <w:jc w:val="left"/>
        <w:rPr>
          <w:rFonts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1.</w:t>
      </w:r>
      <w:r>
        <w:rPr>
          <w:rFonts w:hint="eastAsia"/>
        </w:rPr>
        <w:t xml:space="preserve"> </w:t>
      </w:r>
      <w:r>
        <w:rPr>
          <w:rFonts w:hint="eastAsia" w:ascii="宋体" w:hAnsi="宋体"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14:paraId="7EFFDCBF">
      <w:pPr>
        <w:widowControl/>
        <w:autoSpaceDE w:val="0"/>
        <w:autoSpaceDN w:val="0"/>
        <w:spacing w:line="400" w:lineRule="exact"/>
        <w:ind w:firstLine="406" w:firstLineChars="200"/>
        <w:jc w:val="left"/>
        <w:rPr>
          <w:rFonts w:eastAsiaTheme="minorEastAsia"/>
          <w:b/>
          <w:bCs/>
          <w:kern w:val="0"/>
          <w:sz w:val="24"/>
        </w:rPr>
      </w:pPr>
      <w:r>
        <w:rPr>
          <w:rFonts w:hint="eastAsia" w:ascii="宋体" w:hAnsi="宋体" w:eastAsiaTheme="minorEastAsia"/>
          <w:b/>
          <w:bCs/>
          <w:color w:val="FF0000"/>
          <w:spacing w:val="-4"/>
          <w:kern w:val="0"/>
          <w:szCs w:val="21"/>
        </w:rPr>
        <w:t>2.投标供应商负责人或投标授权代表签字</w:t>
      </w:r>
      <w:r>
        <w:rPr>
          <w:rFonts w:hint="eastAsia" w:ascii="宋体" w:hAnsi="宋体" w:eastAsiaTheme="minorEastAsia"/>
          <w:b/>
          <w:bCs/>
          <w:color w:val="FF0000"/>
          <w:spacing w:val="-4"/>
          <w:kern w:val="0"/>
          <w:szCs w:val="21"/>
          <w:highlight w:val="yellow"/>
        </w:rPr>
        <w:t>并加盖单位公章</w:t>
      </w:r>
      <w:r>
        <w:rPr>
          <w:rFonts w:hint="eastAsia" w:ascii="宋体" w:hAnsi="宋体" w:eastAsiaTheme="minorEastAsia"/>
          <w:b/>
          <w:bCs/>
          <w:color w:val="FF0000"/>
          <w:spacing w:val="-4"/>
          <w:kern w:val="0"/>
          <w:szCs w:val="21"/>
        </w:rPr>
        <w:t>后，扫描上传至投标文件一并提交。</w:t>
      </w:r>
    </w:p>
    <w:p w14:paraId="570BB65A">
      <w:pPr>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（二）订单融资情况</w:t>
      </w:r>
    </w:p>
    <w:p w14:paraId="12FAF780">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关于政府采购订单融资政策</w:t>
      </w:r>
    </w:p>
    <w:p w14:paraId="356403FF">
      <w:pPr>
        <w:pStyle w:val="2"/>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2941B884">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14:paraId="4F11019C">
      <w:pPr>
        <w:ind w:left="420" w:leftChars="200" w:firstLine="210" w:firstLineChars="100"/>
        <w:rPr>
          <w:rFonts w:hint="eastAsia"/>
          <w:szCs w:val="21"/>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14:paraId="7BE71E32">
      <w:pPr>
        <w:ind w:left="420" w:leftChars="200" w:firstLine="210" w:firstLineChars="100"/>
        <w:rPr>
          <w:rFonts w:hint="eastAsia"/>
          <w:szCs w:val="21"/>
          <w:u w:val="none"/>
          <w:lang w:eastAsia="zh-CN"/>
        </w:rPr>
      </w:pPr>
      <w:r>
        <w:rPr>
          <w:rFonts w:hint="eastAsia"/>
          <w:szCs w:val="21"/>
          <w:lang w:val="en-US" w:eastAsia="zh-CN"/>
        </w:rPr>
        <w:t>投标人</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14:paraId="20108739">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14:paraId="771888B3">
      <w:pPr>
        <w:ind w:left="420" w:leftChars="200" w:firstLine="210" w:firstLineChars="100"/>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14:paraId="2B3A5EB5">
      <w:pPr>
        <w:ind w:left="420" w:leftChars="200" w:firstLine="210" w:firstLineChars="100"/>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14:paraId="167341E8">
      <w:pPr>
        <w:ind w:left="420" w:leftChars="200" w:firstLine="210" w:firstLineChars="100"/>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14:paraId="4D40EE38">
      <w:pPr>
        <w:ind w:left="420" w:leftChars="200" w:firstLine="210" w:firstLineChars="100"/>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14:paraId="1AB89C5E">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14:paraId="6DC9CB37">
      <w:pPr>
        <w:widowControl/>
        <w:autoSpaceDE w:val="0"/>
        <w:autoSpaceDN w:val="0"/>
        <w:spacing w:line="400" w:lineRule="exact"/>
        <w:ind w:right="1414" w:firstLine="480" w:firstLineChars="200"/>
        <w:jc w:val="right"/>
        <w:rPr>
          <w:rFonts w:eastAsiaTheme="minorEastAsia"/>
          <w:kern w:val="0"/>
          <w:sz w:val="24"/>
        </w:rPr>
      </w:pPr>
    </w:p>
    <w:p w14:paraId="29935E41">
      <w:pPr>
        <w:widowControl/>
        <w:autoSpaceDE w:val="0"/>
        <w:autoSpaceDN w:val="0"/>
        <w:spacing w:line="400" w:lineRule="exact"/>
        <w:ind w:right="1414" w:firstLine="480" w:firstLineChars="200"/>
        <w:jc w:val="right"/>
        <w:rPr>
          <w:rFonts w:eastAsiaTheme="minorEastAsia"/>
          <w:kern w:val="0"/>
          <w:sz w:val="24"/>
        </w:rPr>
      </w:pPr>
    </w:p>
    <w:p w14:paraId="2118FFC5">
      <w:pPr>
        <w:ind w:firstLine="630" w:firstLineChars="300"/>
        <w:rPr>
          <w:rFonts w:ascii="宋体" w:hAnsi="宋体"/>
        </w:rPr>
      </w:pPr>
      <w:r>
        <w:t xml:space="preserve">  </w:t>
      </w:r>
      <w:r>
        <w:rPr>
          <w:rFonts w:hint="eastAsia" w:ascii="宋体" w:hAnsi="宋体"/>
        </w:rPr>
        <w:t>………………（根据项目具体情况增加与综合实力评审相关的节点）</w:t>
      </w:r>
    </w:p>
    <w:p w14:paraId="01F893E7">
      <w:pPr>
        <w:ind w:firstLine="720" w:firstLineChars="300"/>
        <w:rPr>
          <w:sz w:val="24"/>
        </w:rPr>
      </w:pPr>
    </w:p>
    <w:p w14:paraId="57A99581">
      <w:pPr>
        <w:widowControl/>
        <w:spacing w:line="360" w:lineRule="auto"/>
        <w:jc w:val="left"/>
        <w:rPr>
          <w:rFonts w:eastAsiaTheme="minorEastAsia"/>
          <w:b/>
          <w:bCs/>
          <w:kern w:val="0"/>
          <w:sz w:val="24"/>
        </w:rPr>
      </w:pPr>
    </w:p>
    <w:p w14:paraId="63200E1E">
      <w:pPr>
        <w:widowControl/>
        <w:jc w:val="center"/>
        <w:rPr>
          <w:rFonts w:ascii="黑体" w:hAnsi="宋体" w:eastAsia="黑体"/>
          <w:kern w:val="0"/>
          <w:sz w:val="24"/>
          <w:szCs w:val="20"/>
        </w:rPr>
      </w:pPr>
      <w:r>
        <w:rPr>
          <w:rFonts w:hint="eastAsia" w:ascii="黑体" w:hAnsi="宋体" w:eastAsia="黑体"/>
          <w:kern w:val="0"/>
          <w:sz w:val="24"/>
          <w:szCs w:val="20"/>
          <w:lang w:val="en-US" w:eastAsia="zh-CN"/>
        </w:rPr>
        <w:t>十九、</w:t>
      </w:r>
      <w:r>
        <w:rPr>
          <w:rFonts w:hint="eastAsia" w:ascii="黑体" w:hAnsi="宋体" w:eastAsia="黑体"/>
          <w:kern w:val="0"/>
          <w:sz w:val="24"/>
          <w:szCs w:val="20"/>
        </w:rPr>
        <w:t>投标人认为需要加以说明的其他内容（格式自定）</w:t>
      </w:r>
    </w:p>
    <w:p w14:paraId="20BA7E65"/>
    <w:p w14:paraId="06B9FC33">
      <w:pPr>
        <w:pStyle w:val="2"/>
        <w:sectPr>
          <w:pgSz w:w="11907" w:h="16840"/>
          <w:pgMar w:top="1440" w:right="1797" w:bottom="1440" w:left="1797" w:header="851" w:footer="992" w:gutter="0"/>
          <w:cols w:space="425" w:num="1"/>
          <w:titlePg/>
          <w:docGrid w:linePitch="462" w:charSpace="0"/>
        </w:sectPr>
      </w:pPr>
    </w:p>
    <w:p w14:paraId="27428C8E">
      <w:pPr>
        <w:pStyle w:val="6"/>
        <w:rPr>
          <w:rFonts w:hint="eastAsia" w:ascii="宋体" w:hAnsi="宋体" w:eastAsia="宋体" w:cs="宋体"/>
          <w:b/>
          <w:bCs/>
          <w:sz w:val="21"/>
          <w:szCs w:val="21"/>
        </w:rPr>
      </w:pPr>
      <w:r>
        <w:rPr>
          <w:rFonts w:hint="eastAsia" w:ascii="宋体" w:hAnsi="宋体" w:eastAsia="宋体" w:cs="宋体"/>
          <w:b/>
          <w:bCs/>
          <w:sz w:val="21"/>
          <w:szCs w:val="21"/>
        </w:rPr>
        <w:t>第五章</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合同条款及格式</w:t>
      </w:r>
    </w:p>
    <w:p w14:paraId="73781A19">
      <w:pPr>
        <w:ind w:firstLine="413" w:firstLineChars="196"/>
        <w:rPr>
          <w:rFonts w:hint="eastAsia" w:ascii="宋体" w:hAnsi="宋体" w:eastAsia="宋体" w:cs="宋体"/>
          <w:b/>
          <w:bCs/>
          <w:sz w:val="21"/>
          <w:szCs w:val="21"/>
        </w:rPr>
      </w:pPr>
    </w:p>
    <w:p w14:paraId="053DB5AA">
      <w:pPr>
        <w:jc w:val="center"/>
        <w:outlineLvl w:val="0"/>
        <w:rPr>
          <w:rFonts w:hint="eastAsia" w:ascii="宋体" w:hAnsi="宋体" w:eastAsia="宋体" w:cs="宋体"/>
          <w:sz w:val="21"/>
          <w:szCs w:val="21"/>
        </w:rPr>
      </w:pPr>
      <w:r>
        <w:rPr>
          <w:rFonts w:hint="eastAsia" w:ascii="宋体" w:hAnsi="宋体" w:eastAsia="宋体" w:cs="宋体"/>
          <w:b/>
          <w:sz w:val="21"/>
          <w:szCs w:val="21"/>
        </w:rPr>
        <w:t>（仅供参考，具体以项目需求及采购结果为准）</w:t>
      </w:r>
    </w:p>
    <w:p w14:paraId="34F19ABF">
      <w:pPr>
        <w:rPr>
          <w:rFonts w:hint="eastAsia" w:ascii="宋体" w:hAnsi="宋体" w:eastAsia="宋体" w:cs="宋体"/>
          <w:b/>
          <w:bCs/>
          <w:sz w:val="21"/>
          <w:szCs w:val="21"/>
        </w:rPr>
      </w:pPr>
      <w:r>
        <w:rPr>
          <w:rFonts w:hint="eastAsia" w:ascii="宋体" w:hAnsi="宋体" w:eastAsia="宋体" w:cs="宋体"/>
          <w:b/>
          <w:bCs/>
          <w:sz w:val="21"/>
          <w:szCs w:val="21"/>
        </w:rPr>
        <w:t>甲方：</w:t>
      </w:r>
    </w:p>
    <w:p w14:paraId="6B64623A">
      <w:pPr>
        <w:rPr>
          <w:rFonts w:hint="eastAsia" w:ascii="宋体" w:hAnsi="宋体" w:eastAsia="宋体" w:cs="宋体"/>
          <w:sz w:val="21"/>
          <w:szCs w:val="21"/>
        </w:rPr>
      </w:pPr>
      <w:r>
        <w:rPr>
          <w:rFonts w:hint="eastAsia" w:ascii="宋体" w:hAnsi="宋体" w:eastAsia="宋体" w:cs="宋体"/>
          <w:sz w:val="21"/>
          <w:szCs w:val="21"/>
        </w:rPr>
        <w:t>地址：</w:t>
      </w:r>
    </w:p>
    <w:p w14:paraId="7D79F781">
      <w:pPr>
        <w:rPr>
          <w:rFonts w:hint="eastAsia" w:ascii="宋体" w:hAnsi="宋体" w:eastAsia="宋体" w:cs="宋体"/>
          <w:sz w:val="21"/>
          <w:szCs w:val="21"/>
        </w:rPr>
      </w:pPr>
      <w:r>
        <w:rPr>
          <w:rFonts w:hint="eastAsia" w:ascii="宋体" w:hAnsi="宋体" w:eastAsia="宋体" w:cs="宋体"/>
          <w:sz w:val="21"/>
          <w:szCs w:val="21"/>
        </w:rPr>
        <w:t>联系人：</w:t>
      </w:r>
    </w:p>
    <w:p w14:paraId="719FA341">
      <w:pPr>
        <w:rPr>
          <w:rFonts w:hint="eastAsia" w:ascii="宋体" w:hAnsi="宋体" w:eastAsia="宋体" w:cs="宋体"/>
          <w:b/>
          <w:bCs/>
          <w:sz w:val="21"/>
          <w:szCs w:val="21"/>
        </w:rPr>
      </w:pPr>
      <w:r>
        <w:rPr>
          <w:rFonts w:hint="eastAsia" w:ascii="宋体" w:hAnsi="宋体" w:eastAsia="宋体" w:cs="宋体"/>
          <w:sz w:val="21"/>
          <w:szCs w:val="21"/>
        </w:rPr>
        <w:t>联系电话：</w:t>
      </w:r>
    </w:p>
    <w:p w14:paraId="4417F28B">
      <w:pPr>
        <w:rPr>
          <w:rFonts w:hint="eastAsia" w:ascii="宋体" w:hAnsi="宋体" w:eastAsia="宋体" w:cs="宋体"/>
          <w:b/>
          <w:bCs/>
          <w:sz w:val="21"/>
          <w:szCs w:val="21"/>
        </w:rPr>
      </w:pPr>
    </w:p>
    <w:p w14:paraId="001C0F12">
      <w:pPr>
        <w:rPr>
          <w:rFonts w:hint="eastAsia" w:ascii="宋体" w:hAnsi="宋体" w:eastAsia="宋体" w:cs="宋体"/>
          <w:b/>
          <w:bCs/>
          <w:sz w:val="21"/>
          <w:szCs w:val="21"/>
        </w:rPr>
      </w:pPr>
      <w:r>
        <w:rPr>
          <w:rFonts w:hint="eastAsia" w:ascii="宋体" w:hAnsi="宋体" w:eastAsia="宋体" w:cs="宋体"/>
          <w:b/>
          <w:bCs/>
          <w:sz w:val="21"/>
          <w:szCs w:val="21"/>
        </w:rPr>
        <w:t>乙方：</w:t>
      </w:r>
    </w:p>
    <w:p w14:paraId="426B917D">
      <w:pPr>
        <w:rPr>
          <w:rFonts w:hint="eastAsia" w:ascii="宋体" w:hAnsi="宋体" w:eastAsia="宋体" w:cs="宋体"/>
          <w:sz w:val="21"/>
          <w:szCs w:val="21"/>
        </w:rPr>
      </w:pPr>
      <w:r>
        <w:rPr>
          <w:rFonts w:hint="eastAsia" w:ascii="宋体" w:hAnsi="宋体" w:eastAsia="宋体" w:cs="宋体"/>
          <w:sz w:val="21"/>
          <w:szCs w:val="21"/>
        </w:rPr>
        <w:t>地址：</w:t>
      </w:r>
    </w:p>
    <w:p w14:paraId="66D314DE">
      <w:pPr>
        <w:rPr>
          <w:rFonts w:hint="eastAsia" w:ascii="宋体" w:hAnsi="宋体" w:eastAsia="宋体" w:cs="宋体"/>
          <w:sz w:val="21"/>
          <w:szCs w:val="21"/>
        </w:rPr>
      </w:pPr>
      <w:r>
        <w:rPr>
          <w:rFonts w:hint="eastAsia" w:ascii="宋体" w:hAnsi="宋体" w:eastAsia="宋体" w:cs="宋体"/>
          <w:sz w:val="21"/>
          <w:szCs w:val="21"/>
        </w:rPr>
        <w:t>联系人：</w:t>
      </w:r>
    </w:p>
    <w:p w14:paraId="47325340">
      <w:pPr>
        <w:rPr>
          <w:rFonts w:hint="eastAsia" w:ascii="宋体" w:hAnsi="宋体" w:eastAsia="宋体" w:cs="宋体"/>
          <w:b/>
          <w:bCs/>
          <w:sz w:val="21"/>
          <w:szCs w:val="21"/>
        </w:rPr>
      </w:pPr>
      <w:r>
        <w:rPr>
          <w:rFonts w:hint="eastAsia" w:ascii="宋体" w:hAnsi="宋体" w:eastAsia="宋体" w:cs="宋体"/>
          <w:sz w:val="21"/>
          <w:szCs w:val="21"/>
        </w:rPr>
        <w:t>联系电话：</w:t>
      </w:r>
    </w:p>
    <w:p w14:paraId="1110F85A">
      <w:pPr>
        <w:rPr>
          <w:rFonts w:hint="eastAsia" w:ascii="宋体" w:hAnsi="宋体" w:eastAsia="宋体" w:cs="宋体"/>
          <w:sz w:val="21"/>
          <w:szCs w:val="21"/>
        </w:rPr>
      </w:pPr>
    </w:p>
    <w:p w14:paraId="3F3F9A4C">
      <w:pPr>
        <w:rPr>
          <w:rFonts w:hint="eastAsia" w:ascii="宋体" w:hAnsi="宋体" w:eastAsia="宋体" w:cs="宋体"/>
          <w:sz w:val="21"/>
          <w:szCs w:val="21"/>
        </w:rPr>
      </w:pPr>
    </w:p>
    <w:p w14:paraId="2F4552BD">
      <w:pPr>
        <w:ind w:firstLine="420" w:firstLineChars="200"/>
        <w:rPr>
          <w:rFonts w:hint="eastAsia" w:ascii="宋体" w:hAnsi="宋体" w:eastAsia="宋体" w:cs="宋体"/>
          <w:sz w:val="21"/>
          <w:szCs w:val="21"/>
        </w:rPr>
      </w:pPr>
      <w:r>
        <w:rPr>
          <w:rFonts w:hint="eastAsia" w:ascii="宋体" w:hAnsi="宋体" w:eastAsia="宋体" w:cs="宋体"/>
          <w:sz w:val="21"/>
          <w:szCs w:val="21"/>
        </w:rPr>
        <w:t>根据深圳公共资源交易中心（深圳交易集团有限公司龙岗分公司）***号项目结果，***单位为中标人。按照《中华人民共和国民法典》（第三编合同）》和《深圳经济特区政府采购条例》，经深圳市（以下简称甲方）和单位（以下简称乙方）协商，就甲方委托乙方承担</w:t>
      </w:r>
      <w:r>
        <w:rPr>
          <w:rFonts w:hint="eastAsia" w:ascii="宋体" w:hAnsi="宋体" w:eastAsia="宋体" w:cs="宋体"/>
          <w:b/>
          <w:bCs/>
          <w:snapToGrid w:val="0"/>
          <w:kern w:val="0"/>
          <w:sz w:val="21"/>
          <w:szCs w:val="21"/>
          <w:u w:val="single"/>
          <w:lang w:val="zh-CN"/>
        </w:rPr>
        <w:t>服务项目</w:t>
      </w:r>
      <w:r>
        <w:rPr>
          <w:rFonts w:hint="eastAsia" w:ascii="宋体" w:hAnsi="宋体" w:eastAsia="宋体" w:cs="宋体"/>
          <w:sz w:val="21"/>
          <w:szCs w:val="21"/>
        </w:rPr>
        <w:t>，达成以下合同条款：</w:t>
      </w:r>
    </w:p>
    <w:p w14:paraId="683C8764">
      <w:pPr>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第一条项目概况</w:t>
      </w:r>
    </w:p>
    <w:p w14:paraId="41E5B5E2">
      <w:pPr>
        <w:ind w:firstLine="420" w:firstLineChars="200"/>
        <w:rPr>
          <w:rFonts w:hint="eastAsia" w:ascii="宋体" w:hAnsi="宋体" w:eastAsia="宋体" w:cs="宋体"/>
          <w:sz w:val="21"/>
          <w:szCs w:val="21"/>
        </w:rPr>
      </w:pPr>
      <w:r>
        <w:rPr>
          <w:rFonts w:hint="eastAsia" w:ascii="宋体" w:hAnsi="宋体" w:eastAsia="宋体" w:cs="宋体"/>
          <w:sz w:val="21"/>
          <w:szCs w:val="21"/>
        </w:rPr>
        <w:t>项目名称：</w:t>
      </w:r>
    </w:p>
    <w:p w14:paraId="6362E193">
      <w:pPr>
        <w:ind w:firstLine="420" w:firstLineChars="200"/>
        <w:rPr>
          <w:rFonts w:hint="eastAsia" w:ascii="宋体" w:hAnsi="宋体" w:eastAsia="宋体" w:cs="宋体"/>
          <w:sz w:val="21"/>
          <w:szCs w:val="21"/>
        </w:rPr>
      </w:pPr>
      <w:r>
        <w:rPr>
          <w:rFonts w:hint="eastAsia" w:ascii="宋体" w:hAnsi="宋体" w:eastAsia="宋体" w:cs="宋体"/>
          <w:sz w:val="21"/>
          <w:szCs w:val="21"/>
        </w:rPr>
        <w:t>项目内容：</w:t>
      </w:r>
    </w:p>
    <w:p w14:paraId="30B7C4F4">
      <w:pPr>
        <w:ind w:firstLine="420" w:firstLineChars="200"/>
        <w:rPr>
          <w:rFonts w:hint="eastAsia" w:ascii="宋体" w:hAnsi="宋体" w:eastAsia="宋体" w:cs="宋体"/>
          <w:sz w:val="21"/>
          <w:szCs w:val="21"/>
        </w:rPr>
      </w:pPr>
      <w:r>
        <w:rPr>
          <w:rFonts w:hint="eastAsia" w:ascii="宋体" w:hAnsi="宋体" w:eastAsia="宋体" w:cs="宋体"/>
          <w:sz w:val="21"/>
          <w:szCs w:val="21"/>
        </w:rPr>
        <w:t>服务时间：</w:t>
      </w:r>
    </w:p>
    <w:p w14:paraId="6AAE26E6">
      <w:pPr>
        <w:ind w:firstLine="420" w:firstLineChars="200"/>
        <w:rPr>
          <w:rFonts w:hint="eastAsia" w:ascii="宋体" w:hAnsi="宋体" w:eastAsia="宋体" w:cs="宋体"/>
          <w:sz w:val="21"/>
          <w:szCs w:val="21"/>
        </w:rPr>
      </w:pPr>
      <w:r>
        <w:rPr>
          <w:rFonts w:hint="eastAsia" w:ascii="宋体" w:hAnsi="宋体" w:eastAsia="宋体" w:cs="宋体"/>
          <w:sz w:val="21"/>
          <w:szCs w:val="21"/>
        </w:rPr>
        <w:t>合同价款：合同总价为元，含一切税、费。本合同总价包括乙方为实施本项目***所需的设备仪器费、车辆租赁费、服务和技术费用等，为固定不变价格，且不随通货膨胀的影响而波动。合同总价包括乙方履行本合同义务所发生的一切费用和支出和以各种方式寄送技术资料到甲方办公室所发生的费用。</w:t>
      </w:r>
    </w:p>
    <w:p w14:paraId="0393E8D9">
      <w:pPr>
        <w:pStyle w:val="8"/>
        <w:rPr>
          <w:rFonts w:hint="eastAsia" w:ascii="宋体" w:hAnsi="宋体" w:eastAsia="宋体" w:cs="宋体"/>
          <w:sz w:val="21"/>
          <w:szCs w:val="21"/>
        </w:rPr>
      </w:pPr>
      <w:r>
        <w:rPr>
          <w:rFonts w:hint="eastAsia" w:ascii="宋体" w:hAnsi="宋体" w:eastAsia="宋体" w:cs="宋体"/>
          <w:sz w:val="21"/>
          <w:szCs w:val="21"/>
        </w:rPr>
        <w:t>支付方式：分期支付。</w:t>
      </w:r>
    </w:p>
    <w:p w14:paraId="1623D20E">
      <w:pPr>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第二条服务范围</w:t>
      </w:r>
    </w:p>
    <w:p w14:paraId="060FA570">
      <w:pPr>
        <w:ind w:firstLine="420" w:firstLineChars="200"/>
        <w:rPr>
          <w:rFonts w:hint="eastAsia" w:ascii="宋体" w:hAnsi="宋体" w:eastAsia="宋体" w:cs="宋体"/>
          <w:sz w:val="21"/>
          <w:szCs w:val="21"/>
        </w:rPr>
      </w:pPr>
      <w:r>
        <w:rPr>
          <w:rFonts w:hint="eastAsia" w:ascii="宋体" w:hAnsi="宋体" w:eastAsia="宋体" w:cs="宋体"/>
          <w:sz w:val="21"/>
          <w:szCs w:val="21"/>
        </w:rPr>
        <w:t>1、</w:t>
      </w:r>
    </w:p>
    <w:p w14:paraId="03136328">
      <w:pPr>
        <w:ind w:firstLine="420" w:firstLineChars="200"/>
        <w:rPr>
          <w:rFonts w:hint="eastAsia" w:ascii="宋体" w:hAnsi="宋体" w:eastAsia="宋体" w:cs="宋体"/>
          <w:sz w:val="21"/>
          <w:szCs w:val="21"/>
        </w:rPr>
      </w:pPr>
      <w:r>
        <w:rPr>
          <w:rFonts w:hint="eastAsia" w:ascii="宋体" w:hAnsi="宋体" w:eastAsia="宋体" w:cs="宋体"/>
          <w:sz w:val="21"/>
          <w:szCs w:val="21"/>
        </w:rPr>
        <w:t>2、</w:t>
      </w:r>
    </w:p>
    <w:p w14:paraId="6D3018B7">
      <w:pPr>
        <w:ind w:firstLine="420" w:firstLineChars="200"/>
        <w:rPr>
          <w:rFonts w:hint="eastAsia" w:ascii="宋体" w:hAnsi="宋体" w:eastAsia="宋体" w:cs="宋体"/>
          <w:sz w:val="21"/>
          <w:szCs w:val="21"/>
        </w:rPr>
      </w:pPr>
      <w:r>
        <w:rPr>
          <w:rFonts w:hint="eastAsia" w:ascii="宋体" w:hAnsi="宋体" w:eastAsia="宋体" w:cs="宋体"/>
          <w:sz w:val="21"/>
          <w:szCs w:val="21"/>
        </w:rPr>
        <w:t>3、</w:t>
      </w:r>
    </w:p>
    <w:p w14:paraId="05783729">
      <w:pPr>
        <w:ind w:firstLine="420" w:firstLineChars="200"/>
        <w:rPr>
          <w:rFonts w:hint="eastAsia" w:ascii="宋体" w:hAnsi="宋体" w:eastAsia="宋体" w:cs="宋体"/>
          <w:sz w:val="21"/>
          <w:szCs w:val="21"/>
        </w:rPr>
      </w:pPr>
      <w:r>
        <w:rPr>
          <w:rFonts w:hint="eastAsia" w:ascii="宋体" w:hAnsi="宋体" w:eastAsia="宋体" w:cs="宋体"/>
          <w:sz w:val="21"/>
          <w:szCs w:val="21"/>
        </w:rPr>
        <w:t>4、其他合同未明示的相关工作。</w:t>
      </w:r>
    </w:p>
    <w:p w14:paraId="6B954C4D">
      <w:pPr>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第三条时间要求及阶段成果</w:t>
      </w:r>
    </w:p>
    <w:p w14:paraId="2580D37C">
      <w:pPr>
        <w:ind w:firstLine="420" w:firstLineChars="200"/>
        <w:rPr>
          <w:rFonts w:hint="eastAsia" w:ascii="宋体" w:hAnsi="宋体" w:eastAsia="宋体" w:cs="宋体"/>
          <w:sz w:val="21"/>
          <w:szCs w:val="21"/>
        </w:rPr>
      </w:pPr>
      <w:r>
        <w:rPr>
          <w:rFonts w:hint="eastAsia" w:ascii="宋体" w:hAnsi="宋体" w:eastAsia="宋体" w:cs="宋体"/>
          <w:sz w:val="21"/>
          <w:szCs w:val="21"/>
        </w:rPr>
        <w:t>1、合同签订天内完成项目实施的准备工作，包括工作大纲和试验细则的编制；</w:t>
      </w:r>
    </w:p>
    <w:p w14:paraId="2EB6FBB3">
      <w:pPr>
        <w:ind w:firstLine="420" w:firstLineChars="200"/>
        <w:rPr>
          <w:rFonts w:hint="eastAsia" w:ascii="宋体" w:hAnsi="宋体" w:eastAsia="宋体" w:cs="宋体"/>
          <w:sz w:val="21"/>
          <w:szCs w:val="21"/>
        </w:rPr>
      </w:pPr>
      <w:r>
        <w:rPr>
          <w:rFonts w:hint="eastAsia" w:ascii="宋体" w:hAnsi="宋体" w:eastAsia="宋体" w:cs="宋体"/>
          <w:sz w:val="21"/>
          <w:szCs w:val="21"/>
        </w:rPr>
        <w:t>2、</w:t>
      </w:r>
    </w:p>
    <w:p w14:paraId="178926A8">
      <w:pPr>
        <w:ind w:firstLine="420" w:firstLineChars="200"/>
        <w:rPr>
          <w:rFonts w:hint="eastAsia" w:ascii="宋体" w:hAnsi="宋体" w:eastAsia="宋体" w:cs="宋体"/>
          <w:sz w:val="21"/>
          <w:szCs w:val="21"/>
        </w:rPr>
      </w:pPr>
      <w:r>
        <w:rPr>
          <w:rFonts w:hint="eastAsia" w:ascii="宋体" w:hAnsi="宋体" w:eastAsia="宋体" w:cs="宋体"/>
          <w:sz w:val="21"/>
          <w:szCs w:val="21"/>
        </w:rPr>
        <w:t>3、</w:t>
      </w:r>
    </w:p>
    <w:p w14:paraId="1AF3D9CF">
      <w:pPr>
        <w:ind w:firstLine="420" w:firstLineChars="200"/>
        <w:rPr>
          <w:rFonts w:hint="eastAsia" w:ascii="宋体" w:hAnsi="宋体" w:eastAsia="宋体" w:cs="宋体"/>
          <w:sz w:val="21"/>
          <w:szCs w:val="21"/>
        </w:rPr>
      </w:pPr>
      <w:r>
        <w:rPr>
          <w:rFonts w:hint="eastAsia" w:ascii="宋体" w:hAnsi="宋体" w:eastAsia="宋体" w:cs="宋体"/>
          <w:sz w:val="21"/>
          <w:szCs w:val="21"/>
        </w:rPr>
        <w:t>4、</w:t>
      </w:r>
    </w:p>
    <w:p w14:paraId="2594D7CE">
      <w:pPr>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第四条咨询服务资料归属</w:t>
      </w:r>
    </w:p>
    <w:p w14:paraId="0EF353BB">
      <w:pPr>
        <w:ind w:firstLine="420" w:firstLineChars="200"/>
        <w:rPr>
          <w:rFonts w:hint="eastAsia" w:ascii="宋体" w:hAnsi="宋体" w:eastAsia="宋体" w:cs="宋体"/>
          <w:sz w:val="21"/>
          <w:szCs w:val="21"/>
        </w:rPr>
      </w:pPr>
      <w:r>
        <w:rPr>
          <w:rFonts w:hint="eastAsia" w:ascii="宋体" w:hAnsi="宋体" w:eastAsia="宋体" w:cs="宋体"/>
          <w:sz w:val="21"/>
          <w:szCs w:val="21"/>
        </w:rPr>
        <w:t>1、所有提交给甲方的咨询服务文件及相关的资料的最后文本，包括为履行技术咨询服务范围所编制的图纸、计划和证明资料等，都属于甲方的财产，乙方在提交给甲方之前应将上述资料进行整理归类和编制索引。</w:t>
      </w:r>
    </w:p>
    <w:p w14:paraId="62E238BD">
      <w:pPr>
        <w:ind w:firstLine="420" w:firstLineChars="200"/>
        <w:rPr>
          <w:rFonts w:hint="eastAsia" w:ascii="宋体" w:hAnsi="宋体" w:eastAsia="宋体" w:cs="宋体"/>
          <w:sz w:val="21"/>
          <w:szCs w:val="21"/>
        </w:rPr>
      </w:pPr>
      <w:r>
        <w:rPr>
          <w:rFonts w:hint="eastAsia" w:ascii="宋体" w:hAnsi="宋体" w:eastAsia="宋体" w:cs="宋体"/>
          <w:sz w:val="21"/>
          <w:szCs w:val="21"/>
        </w:rPr>
        <w:t>2、乙方未经甲方的书面同意，不得将上述资料用于与本咨询服务项目之外的任何项目。</w:t>
      </w:r>
    </w:p>
    <w:p w14:paraId="57A6374F">
      <w:pPr>
        <w:ind w:firstLine="420" w:firstLineChars="200"/>
        <w:rPr>
          <w:rFonts w:hint="eastAsia" w:ascii="宋体" w:hAnsi="宋体" w:eastAsia="宋体" w:cs="宋体"/>
          <w:sz w:val="21"/>
          <w:szCs w:val="21"/>
        </w:rPr>
      </w:pPr>
      <w:r>
        <w:rPr>
          <w:rFonts w:hint="eastAsia" w:ascii="宋体" w:hAnsi="宋体" w:eastAsia="宋体" w:cs="宋体"/>
          <w:sz w:val="21"/>
          <w:szCs w:val="21"/>
        </w:rPr>
        <w:t>3、合同履行完毕，未经甲方的书面同意，乙方不得保存在履行合同过程中所获得或接触到的任何内部数据资料。</w:t>
      </w:r>
    </w:p>
    <w:p w14:paraId="673FF20D">
      <w:pPr>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第五条甲方的义务</w:t>
      </w:r>
    </w:p>
    <w:p w14:paraId="5003812C">
      <w:pPr>
        <w:ind w:firstLine="420" w:firstLineChars="200"/>
        <w:rPr>
          <w:rFonts w:hint="eastAsia" w:ascii="宋体" w:hAnsi="宋体" w:eastAsia="宋体" w:cs="宋体"/>
          <w:sz w:val="21"/>
          <w:szCs w:val="21"/>
        </w:rPr>
      </w:pPr>
      <w:r>
        <w:rPr>
          <w:rFonts w:hint="eastAsia" w:ascii="宋体" w:hAnsi="宋体" w:eastAsia="宋体" w:cs="宋体"/>
          <w:sz w:val="21"/>
          <w:szCs w:val="21"/>
        </w:rPr>
        <w:t>1、负责与本咨询服务项目有关的第三方的协调，提供开展咨询服务工作的外部条件。</w:t>
      </w:r>
    </w:p>
    <w:p w14:paraId="7C656504">
      <w:pPr>
        <w:ind w:firstLine="420" w:firstLineChars="200"/>
        <w:rPr>
          <w:rFonts w:hint="eastAsia" w:ascii="宋体" w:hAnsi="宋体" w:eastAsia="宋体" w:cs="宋体"/>
          <w:sz w:val="21"/>
          <w:szCs w:val="21"/>
        </w:rPr>
      </w:pPr>
      <w:r>
        <w:rPr>
          <w:rFonts w:hint="eastAsia" w:ascii="宋体" w:hAnsi="宋体" w:eastAsia="宋体" w:cs="宋体"/>
          <w:sz w:val="21"/>
          <w:szCs w:val="21"/>
        </w:rPr>
        <w:t>2、向乙方提供与本项目咨询服务工作有关的资料。</w:t>
      </w:r>
    </w:p>
    <w:p w14:paraId="5859EAB4">
      <w:pPr>
        <w:ind w:firstLine="420" w:firstLineChars="200"/>
        <w:rPr>
          <w:rFonts w:hint="eastAsia" w:ascii="宋体" w:hAnsi="宋体" w:eastAsia="宋体" w:cs="宋体"/>
          <w:sz w:val="21"/>
          <w:szCs w:val="21"/>
        </w:rPr>
      </w:pPr>
      <w:r>
        <w:rPr>
          <w:rFonts w:hint="eastAsia" w:ascii="宋体" w:hAnsi="宋体" w:eastAsia="宋体" w:cs="宋体"/>
          <w:sz w:val="21"/>
          <w:szCs w:val="21"/>
        </w:rPr>
        <w:t>3、负责组织有关专家对项目试验成果评估报告的评审。</w:t>
      </w:r>
    </w:p>
    <w:p w14:paraId="027F8C19">
      <w:pPr>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第六条乙方的义务</w:t>
      </w:r>
    </w:p>
    <w:p w14:paraId="33775134">
      <w:pPr>
        <w:ind w:firstLine="420" w:firstLineChars="200"/>
        <w:rPr>
          <w:rFonts w:hint="eastAsia" w:ascii="宋体" w:hAnsi="宋体" w:eastAsia="宋体" w:cs="宋体"/>
          <w:sz w:val="21"/>
          <w:szCs w:val="21"/>
        </w:rPr>
      </w:pPr>
      <w:r>
        <w:rPr>
          <w:rFonts w:hint="eastAsia" w:ascii="宋体" w:hAnsi="宋体" w:eastAsia="宋体" w:cs="宋体"/>
          <w:sz w:val="21"/>
          <w:szCs w:val="21"/>
        </w:rPr>
        <w:t>１、应按照招标文件、投标文件要求按期完成本项目咨询服务工作。</w:t>
      </w:r>
    </w:p>
    <w:p w14:paraId="3EB9D9E0">
      <w:pPr>
        <w:ind w:firstLine="420" w:firstLineChars="200"/>
        <w:rPr>
          <w:rFonts w:hint="eastAsia" w:ascii="宋体" w:hAnsi="宋体" w:eastAsia="宋体" w:cs="宋体"/>
          <w:sz w:val="21"/>
          <w:szCs w:val="21"/>
        </w:rPr>
      </w:pPr>
      <w:r>
        <w:rPr>
          <w:rFonts w:hint="eastAsia" w:ascii="宋体" w:hAnsi="宋体" w:eastAsia="宋体" w:cs="宋体"/>
          <w:sz w:val="21"/>
          <w:szCs w:val="21"/>
        </w:rPr>
        <w:t>2、负责组织项目的实施，保证工程进度和成桥荷载试验工作质量，并满足交通部交工验收相关标准。</w:t>
      </w:r>
    </w:p>
    <w:p w14:paraId="1168EB14">
      <w:pPr>
        <w:ind w:firstLine="420" w:firstLineChars="200"/>
        <w:rPr>
          <w:rFonts w:hint="eastAsia" w:ascii="宋体" w:hAnsi="宋体" w:eastAsia="宋体" w:cs="宋体"/>
          <w:sz w:val="21"/>
          <w:szCs w:val="21"/>
        </w:rPr>
      </w:pPr>
      <w:r>
        <w:rPr>
          <w:rFonts w:hint="eastAsia" w:ascii="宋体" w:hAnsi="宋体" w:eastAsia="宋体" w:cs="宋体"/>
          <w:sz w:val="21"/>
          <w:szCs w:val="21"/>
        </w:rPr>
        <w:t>3、向甲方提交检测资料等各套，一套电子版文件。</w:t>
      </w:r>
    </w:p>
    <w:p w14:paraId="2A8542A0">
      <w:pPr>
        <w:ind w:firstLine="420" w:firstLineChars="200"/>
        <w:rPr>
          <w:rFonts w:hint="eastAsia" w:ascii="宋体" w:hAnsi="宋体" w:eastAsia="宋体" w:cs="宋体"/>
          <w:sz w:val="21"/>
          <w:szCs w:val="21"/>
        </w:rPr>
      </w:pPr>
      <w:r>
        <w:rPr>
          <w:rFonts w:hint="eastAsia" w:ascii="宋体" w:hAnsi="宋体" w:eastAsia="宋体" w:cs="宋体"/>
          <w:sz w:val="21"/>
          <w:szCs w:val="21"/>
        </w:rPr>
        <w:t>4、在履行合同期间或合同规定期限内，不得泄露与本合同规定业务活动有关的保密资料。</w:t>
      </w:r>
    </w:p>
    <w:p w14:paraId="06D08D32">
      <w:pPr>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第七条甲方的权利</w:t>
      </w:r>
    </w:p>
    <w:p w14:paraId="4663D855">
      <w:pPr>
        <w:ind w:firstLine="420" w:firstLineChars="200"/>
        <w:rPr>
          <w:rFonts w:hint="eastAsia" w:ascii="宋体" w:hAnsi="宋体" w:eastAsia="宋体" w:cs="宋体"/>
          <w:sz w:val="21"/>
          <w:szCs w:val="21"/>
        </w:rPr>
      </w:pPr>
      <w:r>
        <w:rPr>
          <w:rFonts w:hint="eastAsia" w:ascii="宋体" w:hAnsi="宋体" w:eastAsia="宋体" w:cs="宋体"/>
          <w:sz w:val="21"/>
          <w:szCs w:val="21"/>
        </w:rPr>
        <w:t>1、有权向乙方询问工作进展情况及相关的内容。</w:t>
      </w:r>
    </w:p>
    <w:p w14:paraId="06403513">
      <w:pPr>
        <w:ind w:firstLine="420" w:firstLineChars="200"/>
        <w:rPr>
          <w:rFonts w:hint="eastAsia" w:ascii="宋体" w:hAnsi="宋体" w:eastAsia="宋体" w:cs="宋体"/>
          <w:sz w:val="21"/>
          <w:szCs w:val="21"/>
        </w:rPr>
      </w:pPr>
      <w:r>
        <w:rPr>
          <w:rFonts w:hint="eastAsia" w:ascii="宋体" w:hAnsi="宋体" w:eastAsia="宋体" w:cs="宋体"/>
          <w:sz w:val="21"/>
          <w:szCs w:val="21"/>
        </w:rPr>
        <w:t>2、有权阐述对具体问题的意见和建议。</w:t>
      </w:r>
    </w:p>
    <w:p w14:paraId="6BF75E76">
      <w:pPr>
        <w:ind w:firstLine="420" w:firstLineChars="200"/>
        <w:rPr>
          <w:rFonts w:hint="eastAsia" w:ascii="宋体" w:hAnsi="宋体" w:eastAsia="宋体" w:cs="宋体"/>
          <w:sz w:val="21"/>
          <w:szCs w:val="21"/>
        </w:rPr>
      </w:pPr>
      <w:r>
        <w:rPr>
          <w:rFonts w:hint="eastAsia" w:ascii="宋体" w:hAnsi="宋体" w:eastAsia="宋体" w:cs="宋体"/>
          <w:sz w:val="21"/>
          <w:szCs w:val="21"/>
        </w:rPr>
        <w:t>3、当甲方认定乙方人员不按合同履行其职责，或与第三人串通给甲方造成经济损失的，甲方有权要求更换人员，直至终止合同并要求乙方承担相应的赔偿责任。</w:t>
      </w:r>
    </w:p>
    <w:p w14:paraId="493241E1">
      <w:pPr>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第八条乙方的权利</w:t>
      </w:r>
    </w:p>
    <w:p w14:paraId="4E5F42FF">
      <w:pPr>
        <w:ind w:firstLine="420" w:firstLineChars="200"/>
        <w:rPr>
          <w:rFonts w:hint="eastAsia" w:ascii="宋体" w:hAnsi="宋体" w:eastAsia="宋体" w:cs="宋体"/>
          <w:sz w:val="21"/>
          <w:szCs w:val="21"/>
        </w:rPr>
      </w:pPr>
      <w:r>
        <w:rPr>
          <w:rFonts w:hint="eastAsia" w:ascii="宋体" w:hAnsi="宋体" w:eastAsia="宋体" w:cs="宋体"/>
          <w:sz w:val="21"/>
          <w:szCs w:val="21"/>
        </w:rPr>
        <w:t>1、乙方在本项目服务过程中，如甲方提供的资料不明确时可向甲方提出书面报告。</w:t>
      </w:r>
    </w:p>
    <w:p w14:paraId="1B686D31">
      <w:pPr>
        <w:ind w:firstLine="420" w:firstLineChars="200"/>
        <w:rPr>
          <w:rFonts w:hint="eastAsia" w:ascii="宋体" w:hAnsi="宋体" w:eastAsia="宋体" w:cs="宋体"/>
          <w:sz w:val="21"/>
          <w:szCs w:val="21"/>
        </w:rPr>
      </w:pPr>
      <w:r>
        <w:rPr>
          <w:rFonts w:hint="eastAsia" w:ascii="宋体" w:hAnsi="宋体" w:eastAsia="宋体" w:cs="宋体"/>
          <w:sz w:val="21"/>
          <w:szCs w:val="21"/>
        </w:rPr>
        <w:t>2、乙方在本项目服务过程中，有权对第三方提出与本咨询服务业务有关的问题进行核对或查问。</w:t>
      </w:r>
    </w:p>
    <w:p w14:paraId="22C38E6C">
      <w:pPr>
        <w:ind w:firstLine="420" w:firstLineChars="200"/>
        <w:rPr>
          <w:rFonts w:hint="eastAsia" w:ascii="宋体" w:hAnsi="宋体" w:eastAsia="宋体" w:cs="宋体"/>
          <w:sz w:val="21"/>
          <w:szCs w:val="21"/>
        </w:rPr>
      </w:pPr>
      <w:r>
        <w:rPr>
          <w:rFonts w:hint="eastAsia" w:ascii="宋体" w:hAnsi="宋体" w:eastAsia="宋体" w:cs="宋体"/>
          <w:sz w:val="21"/>
          <w:szCs w:val="21"/>
        </w:rPr>
        <w:t>3、乙方在本项目服务过程中，有到工程现场勘察的权利。</w:t>
      </w:r>
    </w:p>
    <w:p w14:paraId="1C6E1B10">
      <w:pPr>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第九条甲方的责任</w:t>
      </w:r>
    </w:p>
    <w:p w14:paraId="4E15377B">
      <w:pPr>
        <w:ind w:firstLine="420" w:firstLineChars="200"/>
        <w:rPr>
          <w:rFonts w:hint="eastAsia" w:ascii="宋体" w:hAnsi="宋体" w:eastAsia="宋体" w:cs="宋体"/>
          <w:sz w:val="21"/>
          <w:szCs w:val="21"/>
        </w:rPr>
      </w:pPr>
      <w:r>
        <w:rPr>
          <w:rFonts w:hint="eastAsia" w:ascii="宋体" w:hAnsi="宋体" w:eastAsia="宋体" w:cs="宋体"/>
          <w:sz w:val="21"/>
          <w:szCs w:val="21"/>
        </w:rPr>
        <w:t>1、应当履行本合同约定的义务，如有违反则应当承担违约责任，赔偿给乙方造成的损失。</w:t>
      </w:r>
    </w:p>
    <w:p w14:paraId="2B3FA75C">
      <w:pPr>
        <w:ind w:firstLine="420" w:firstLineChars="200"/>
        <w:rPr>
          <w:rFonts w:hint="eastAsia" w:ascii="宋体" w:hAnsi="宋体" w:eastAsia="宋体" w:cs="宋体"/>
          <w:sz w:val="21"/>
          <w:szCs w:val="21"/>
        </w:rPr>
      </w:pPr>
      <w:r>
        <w:rPr>
          <w:rFonts w:hint="eastAsia" w:ascii="宋体" w:hAnsi="宋体" w:eastAsia="宋体" w:cs="宋体"/>
          <w:sz w:val="21"/>
          <w:szCs w:val="21"/>
        </w:rPr>
        <w:t>2、甲方向乙方提出赔偿要求不能成立时，则应补偿由于该赔偿或其他要求所导致乙方的各种费用的支出。</w:t>
      </w:r>
    </w:p>
    <w:p w14:paraId="1FDBB191">
      <w:pPr>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第十条乙方的责任</w:t>
      </w:r>
    </w:p>
    <w:p w14:paraId="5207B43D">
      <w:pPr>
        <w:ind w:firstLine="420" w:firstLineChars="200"/>
        <w:rPr>
          <w:rFonts w:hint="eastAsia" w:ascii="宋体" w:hAnsi="宋体" w:eastAsia="宋体" w:cs="宋体"/>
          <w:sz w:val="21"/>
          <w:szCs w:val="21"/>
        </w:rPr>
      </w:pPr>
      <w:r>
        <w:rPr>
          <w:rFonts w:hint="eastAsia" w:ascii="宋体" w:hAnsi="宋体" w:eastAsia="宋体" w:cs="宋体"/>
          <w:sz w:val="21"/>
          <w:szCs w:val="21"/>
        </w:rPr>
        <w:t>1、乙方的责任期即本合同有效期。如因非乙方的责任造成进度的推迟或延误而超过约定的日期，双方应进一步约定相应延长合同有效期。</w:t>
      </w:r>
    </w:p>
    <w:p w14:paraId="0EFA9887">
      <w:pPr>
        <w:ind w:firstLine="420" w:firstLineChars="200"/>
        <w:rPr>
          <w:rFonts w:hint="eastAsia" w:ascii="宋体" w:hAnsi="宋体" w:eastAsia="宋体" w:cs="宋体"/>
          <w:sz w:val="21"/>
          <w:szCs w:val="21"/>
        </w:rPr>
      </w:pPr>
      <w:r>
        <w:rPr>
          <w:rFonts w:hint="eastAsia" w:ascii="宋体" w:hAnsi="宋体" w:eastAsia="宋体" w:cs="宋体"/>
          <w:sz w:val="21"/>
          <w:szCs w:val="21"/>
        </w:rPr>
        <w:t>2、乙方的责任期内，应当履行本合同中约定的义务，因乙方的单方过失造成的经济损失，应当向甲方进行赔偿。</w:t>
      </w:r>
    </w:p>
    <w:p w14:paraId="08B4D69D">
      <w:pPr>
        <w:ind w:firstLine="420" w:firstLineChars="200"/>
        <w:rPr>
          <w:rFonts w:hint="eastAsia" w:ascii="宋体" w:hAnsi="宋体" w:eastAsia="宋体" w:cs="宋体"/>
          <w:sz w:val="21"/>
          <w:szCs w:val="21"/>
        </w:rPr>
      </w:pPr>
      <w:r>
        <w:rPr>
          <w:rFonts w:hint="eastAsia" w:ascii="宋体" w:hAnsi="宋体" w:eastAsia="宋体" w:cs="宋体"/>
          <w:sz w:val="21"/>
          <w:szCs w:val="21"/>
        </w:rPr>
        <w:t>3、乙方对甲方或第三方所提出的问题不能及时核对或答复，导致合同不能全部或部分履行，乙方应承担责任。</w:t>
      </w:r>
    </w:p>
    <w:p w14:paraId="1463F4E7">
      <w:pPr>
        <w:ind w:firstLine="420" w:firstLineChars="200"/>
        <w:rPr>
          <w:rFonts w:hint="eastAsia" w:ascii="宋体" w:hAnsi="宋体" w:eastAsia="宋体" w:cs="宋体"/>
          <w:sz w:val="21"/>
          <w:szCs w:val="21"/>
        </w:rPr>
      </w:pPr>
      <w:r>
        <w:rPr>
          <w:rFonts w:hint="eastAsia" w:ascii="宋体" w:hAnsi="宋体" w:eastAsia="宋体" w:cs="宋体"/>
          <w:sz w:val="21"/>
          <w:szCs w:val="21"/>
        </w:rPr>
        <w:t>4、乙方向甲方提出赔偿要求不能成立时，则应补偿由于该赔偿或其他要求所导致甲方的各种费用的支出。</w:t>
      </w:r>
    </w:p>
    <w:p w14:paraId="2ED30C58">
      <w:pPr>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第十一条人员要求</w:t>
      </w:r>
    </w:p>
    <w:p w14:paraId="602B18EE">
      <w:pPr>
        <w:ind w:firstLine="420" w:firstLineChars="200"/>
        <w:rPr>
          <w:rFonts w:hint="eastAsia" w:ascii="宋体" w:hAnsi="宋体" w:eastAsia="宋体" w:cs="宋体"/>
          <w:sz w:val="21"/>
          <w:szCs w:val="21"/>
        </w:rPr>
      </w:pPr>
      <w:r>
        <w:rPr>
          <w:rFonts w:hint="eastAsia" w:ascii="宋体" w:hAnsi="宋体" w:eastAsia="宋体" w:cs="宋体"/>
          <w:sz w:val="21"/>
          <w:szCs w:val="21"/>
        </w:rPr>
        <w:t>1、参加本项目试验的人员必须具有国家和有关部门规定的相应资质。</w:t>
      </w:r>
    </w:p>
    <w:p w14:paraId="0B843285">
      <w:pPr>
        <w:ind w:firstLine="420" w:firstLineChars="200"/>
        <w:rPr>
          <w:rFonts w:hint="eastAsia" w:ascii="宋体" w:hAnsi="宋体" w:eastAsia="宋体" w:cs="宋体"/>
          <w:sz w:val="21"/>
          <w:szCs w:val="21"/>
        </w:rPr>
      </w:pPr>
      <w:r>
        <w:rPr>
          <w:rFonts w:hint="eastAsia" w:ascii="宋体" w:hAnsi="宋体" w:eastAsia="宋体" w:cs="宋体"/>
          <w:sz w:val="21"/>
          <w:szCs w:val="21"/>
        </w:rPr>
        <w:t>2、参加本项目的试验人员的配置必须与投标文件中的服务承诺书和试验服务组织实施方案一致。</w:t>
      </w:r>
    </w:p>
    <w:p w14:paraId="3A3B6B5C">
      <w:pPr>
        <w:ind w:firstLine="420" w:firstLineChars="200"/>
        <w:rPr>
          <w:rFonts w:hint="eastAsia" w:ascii="宋体" w:hAnsi="宋体" w:eastAsia="宋体" w:cs="宋体"/>
          <w:sz w:val="21"/>
          <w:szCs w:val="21"/>
        </w:rPr>
      </w:pPr>
      <w:r>
        <w:rPr>
          <w:rFonts w:hint="eastAsia" w:ascii="宋体" w:hAnsi="宋体" w:eastAsia="宋体" w:cs="宋体"/>
          <w:sz w:val="21"/>
          <w:szCs w:val="21"/>
        </w:rPr>
        <w:t>3、必须以直属试验人员参与本项目服务，不得使用挂靠队伍。</w:t>
      </w:r>
    </w:p>
    <w:p w14:paraId="5417DA25">
      <w:pPr>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第十二条乙方咨询服务工具要求</w:t>
      </w:r>
    </w:p>
    <w:p w14:paraId="1E83B360">
      <w:pPr>
        <w:ind w:firstLine="420" w:firstLineChars="200"/>
        <w:rPr>
          <w:rFonts w:hint="eastAsia" w:ascii="宋体" w:hAnsi="宋体" w:eastAsia="宋体" w:cs="宋体"/>
          <w:sz w:val="21"/>
          <w:szCs w:val="21"/>
        </w:rPr>
      </w:pPr>
      <w:r>
        <w:rPr>
          <w:rFonts w:hint="eastAsia" w:ascii="宋体" w:hAnsi="宋体" w:eastAsia="宋体" w:cs="宋体"/>
          <w:sz w:val="21"/>
          <w:szCs w:val="21"/>
        </w:rPr>
        <w:t>1、乙方应配备中标项目所需的足够数量的仪器、仪表以及工具等设备。用户不需向乙方提供施工工具和仪器、仪表。</w:t>
      </w:r>
    </w:p>
    <w:p w14:paraId="0A868B5D">
      <w:pPr>
        <w:ind w:firstLine="420" w:firstLineChars="200"/>
        <w:rPr>
          <w:rFonts w:hint="eastAsia" w:ascii="宋体" w:hAnsi="宋体" w:eastAsia="宋体" w:cs="宋体"/>
          <w:sz w:val="21"/>
          <w:szCs w:val="21"/>
        </w:rPr>
      </w:pPr>
      <w:r>
        <w:rPr>
          <w:rFonts w:hint="eastAsia" w:ascii="宋体" w:hAnsi="宋体" w:eastAsia="宋体" w:cs="宋体"/>
          <w:sz w:val="21"/>
          <w:szCs w:val="21"/>
        </w:rPr>
        <w:t>2、乙方在提供服务过程中应自备车辆。</w:t>
      </w:r>
    </w:p>
    <w:p w14:paraId="62ACA461">
      <w:pPr>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第十三条保密要求</w:t>
      </w:r>
    </w:p>
    <w:p w14:paraId="42BAA807">
      <w:pPr>
        <w:ind w:firstLine="420" w:firstLineChars="200"/>
        <w:rPr>
          <w:rFonts w:hint="eastAsia" w:ascii="宋体" w:hAnsi="宋体" w:eastAsia="宋体" w:cs="宋体"/>
          <w:sz w:val="21"/>
          <w:szCs w:val="21"/>
        </w:rPr>
      </w:pPr>
      <w:r>
        <w:rPr>
          <w:rFonts w:hint="eastAsia" w:ascii="宋体" w:hAnsi="宋体" w:eastAsia="宋体" w:cs="宋体"/>
          <w:sz w:val="21"/>
          <w:szCs w:val="21"/>
        </w:rPr>
        <w:t>1、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18B603AF">
      <w:pPr>
        <w:ind w:firstLine="420" w:firstLineChars="200"/>
        <w:rPr>
          <w:rFonts w:hint="eastAsia" w:ascii="宋体" w:hAnsi="宋体" w:eastAsia="宋体" w:cs="宋体"/>
          <w:sz w:val="21"/>
          <w:szCs w:val="21"/>
        </w:rPr>
      </w:pPr>
      <w:r>
        <w:rPr>
          <w:rFonts w:hint="eastAsia" w:ascii="宋体" w:hAnsi="宋体" w:eastAsia="宋体" w:cs="宋体"/>
          <w:sz w:val="21"/>
          <w:szCs w:val="21"/>
        </w:rPr>
        <w:t>2、乙方在履行合同过程中所获得或接触到的任何内部数据资料，未经甲方同意，不得向第三方透露。</w:t>
      </w:r>
    </w:p>
    <w:p w14:paraId="3EF48C3C">
      <w:pPr>
        <w:ind w:firstLine="420" w:firstLineChars="200"/>
        <w:rPr>
          <w:rFonts w:hint="eastAsia" w:ascii="宋体" w:hAnsi="宋体" w:eastAsia="宋体" w:cs="宋体"/>
          <w:sz w:val="21"/>
          <w:szCs w:val="21"/>
        </w:rPr>
      </w:pPr>
      <w:r>
        <w:rPr>
          <w:rFonts w:hint="eastAsia" w:ascii="宋体" w:hAnsi="宋体" w:eastAsia="宋体" w:cs="宋体"/>
          <w:sz w:val="21"/>
          <w:szCs w:val="21"/>
        </w:rPr>
        <w:t>3、乙方实施项目的一切程序都应符合国家安全、保密的有关规定和标准。</w:t>
      </w:r>
    </w:p>
    <w:p w14:paraId="09BD8D23">
      <w:pPr>
        <w:ind w:firstLine="420" w:firstLineChars="200"/>
        <w:rPr>
          <w:rFonts w:hint="eastAsia" w:ascii="宋体" w:hAnsi="宋体" w:eastAsia="宋体" w:cs="宋体"/>
          <w:sz w:val="21"/>
          <w:szCs w:val="21"/>
        </w:rPr>
      </w:pPr>
      <w:r>
        <w:rPr>
          <w:rFonts w:hint="eastAsia" w:ascii="宋体" w:hAnsi="宋体" w:eastAsia="宋体" w:cs="宋体"/>
          <w:sz w:val="21"/>
          <w:szCs w:val="21"/>
        </w:rPr>
        <w:t>4、乙方参加项目的有关人员均需同甲方签订保密协议。</w:t>
      </w:r>
    </w:p>
    <w:p w14:paraId="7D8BCB95">
      <w:pPr>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第十四条验收</w:t>
      </w:r>
    </w:p>
    <w:p w14:paraId="156F522F">
      <w:pPr>
        <w:ind w:firstLine="420" w:firstLineChars="200"/>
        <w:rPr>
          <w:rFonts w:hint="eastAsia" w:ascii="宋体" w:hAnsi="宋体" w:eastAsia="宋体" w:cs="宋体"/>
          <w:sz w:val="21"/>
          <w:szCs w:val="21"/>
        </w:rPr>
      </w:pPr>
      <w:r>
        <w:rPr>
          <w:rFonts w:hint="eastAsia" w:ascii="宋体" w:hAnsi="宋体" w:eastAsia="宋体" w:cs="宋体"/>
          <w:sz w:val="21"/>
          <w:szCs w:val="21"/>
        </w:rPr>
        <w:t>1、下列文件的验收分为</w:t>
      </w:r>
      <w:r>
        <w:rPr>
          <w:rFonts w:hint="eastAsia" w:ascii="宋体" w:hAnsi="宋体" w:eastAsia="宋体" w:cs="宋体"/>
          <w:sz w:val="21"/>
          <w:szCs w:val="21"/>
          <w:u w:val="single"/>
        </w:rPr>
        <w:t>三</w:t>
      </w:r>
      <w:r>
        <w:rPr>
          <w:rFonts w:hint="eastAsia" w:ascii="宋体" w:hAnsi="宋体" w:eastAsia="宋体" w:cs="宋体"/>
          <w:sz w:val="21"/>
          <w:szCs w:val="21"/>
        </w:rPr>
        <w:t>个阶段:</w:t>
      </w:r>
    </w:p>
    <w:p w14:paraId="12478EED">
      <w:pPr>
        <w:ind w:firstLine="420" w:firstLineChars="200"/>
        <w:rPr>
          <w:rFonts w:hint="eastAsia" w:ascii="宋体" w:hAnsi="宋体" w:eastAsia="宋体" w:cs="宋体"/>
          <w:sz w:val="21"/>
          <w:szCs w:val="21"/>
        </w:rPr>
      </w:pPr>
      <w:r>
        <w:rPr>
          <w:rFonts w:hint="eastAsia" w:ascii="宋体" w:hAnsi="宋体" w:eastAsia="宋体" w:cs="宋体"/>
          <w:sz w:val="21"/>
          <w:szCs w:val="21"/>
        </w:rPr>
        <w:t>2、其余文件和工作由用户组织有关技术人员根据国家和行业有关规范、规程、标准和用户需求直接验收。</w:t>
      </w:r>
    </w:p>
    <w:p w14:paraId="4584EF6B">
      <w:pPr>
        <w:ind w:firstLine="420" w:firstLineChars="200"/>
        <w:rPr>
          <w:rFonts w:hint="eastAsia" w:ascii="宋体" w:hAnsi="宋体" w:eastAsia="宋体" w:cs="宋体"/>
          <w:sz w:val="21"/>
          <w:szCs w:val="21"/>
        </w:rPr>
      </w:pPr>
      <w:r>
        <w:rPr>
          <w:rFonts w:hint="eastAsia" w:ascii="宋体" w:hAnsi="宋体" w:eastAsia="宋体" w:cs="宋体"/>
          <w:sz w:val="21"/>
          <w:szCs w:val="21"/>
        </w:rPr>
        <w:t>3、验收依据为招标文件、投标文件，国家和行业有关规范、规程和标准。</w:t>
      </w:r>
    </w:p>
    <w:p w14:paraId="7910CEAB">
      <w:pPr>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第十五条付款方式</w:t>
      </w:r>
    </w:p>
    <w:p w14:paraId="3BE4BED9">
      <w:pPr>
        <w:ind w:firstLine="420" w:firstLineChars="200"/>
        <w:rPr>
          <w:rFonts w:hint="eastAsia" w:ascii="宋体" w:hAnsi="宋体" w:eastAsia="宋体" w:cs="宋体"/>
          <w:sz w:val="21"/>
          <w:szCs w:val="21"/>
        </w:rPr>
      </w:pPr>
      <w:r>
        <w:rPr>
          <w:rFonts w:hint="eastAsia" w:ascii="宋体" w:hAnsi="宋体" w:eastAsia="宋体" w:cs="宋体"/>
          <w:sz w:val="21"/>
          <w:szCs w:val="21"/>
        </w:rPr>
        <w:t>1、合同签订后天内乙方向甲方开具合法有效的发票后，甲方于天内向乙方支付合同总价%的款项。</w:t>
      </w:r>
    </w:p>
    <w:p w14:paraId="369F68CA">
      <w:pPr>
        <w:ind w:firstLine="420" w:firstLineChars="200"/>
        <w:rPr>
          <w:rFonts w:hint="eastAsia" w:ascii="宋体" w:hAnsi="宋体" w:eastAsia="宋体" w:cs="宋体"/>
          <w:sz w:val="21"/>
          <w:szCs w:val="21"/>
        </w:rPr>
      </w:pPr>
      <w:r>
        <w:rPr>
          <w:rFonts w:hint="eastAsia" w:ascii="宋体" w:hAnsi="宋体" w:eastAsia="宋体" w:cs="宋体"/>
          <w:sz w:val="21"/>
          <w:szCs w:val="21"/>
        </w:rPr>
        <w:t>2、检测完成并提交评估报告后天内，乙方向甲方开具合法有效发票后天，甲方向乙方支付合同总价%的款项。</w:t>
      </w:r>
    </w:p>
    <w:p w14:paraId="1DBC34F2">
      <w:pPr>
        <w:ind w:firstLine="420" w:firstLineChars="200"/>
        <w:rPr>
          <w:rFonts w:hint="eastAsia" w:ascii="宋体" w:hAnsi="宋体" w:eastAsia="宋体" w:cs="宋体"/>
          <w:sz w:val="21"/>
          <w:szCs w:val="21"/>
        </w:rPr>
      </w:pPr>
      <w:r>
        <w:rPr>
          <w:rFonts w:hint="eastAsia" w:ascii="宋体" w:hAnsi="宋体" w:eastAsia="宋体" w:cs="宋体"/>
          <w:sz w:val="21"/>
          <w:szCs w:val="21"/>
        </w:rPr>
        <w:t>3、报告通过专家评审后，甲方向乙方支付合同总价%的款项。</w:t>
      </w:r>
    </w:p>
    <w:p w14:paraId="4C63C8C3">
      <w:pPr>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第十六条争议解决办法</w:t>
      </w:r>
    </w:p>
    <w:p w14:paraId="18AAB9DA">
      <w:pPr>
        <w:ind w:firstLine="420" w:firstLineChars="200"/>
        <w:rPr>
          <w:rFonts w:hint="eastAsia" w:ascii="宋体" w:hAnsi="宋体" w:eastAsia="宋体" w:cs="宋体"/>
          <w:sz w:val="21"/>
          <w:szCs w:val="21"/>
        </w:rPr>
      </w:pPr>
      <w:r>
        <w:rPr>
          <w:rFonts w:hint="eastAsia" w:ascii="宋体" w:hAnsi="宋体" w:eastAsia="宋体" w:cs="宋体"/>
          <w:sz w:val="21"/>
          <w:szCs w:val="21"/>
        </w:rPr>
        <w:t>执行本合同发生的争议，由甲乙双方协商解决，如协商不成的，应提交甲方所在地人民法院诉讼解决。</w:t>
      </w:r>
    </w:p>
    <w:p w14:paraId="6105205E">
      <w:pPr>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第十七条风险责任</w:t>
      </w:r>
    </w:p>
    <w:p w14:paraId="716FC396">
      <w:pPr>
        <w:ind w:firstLine="420" w:firstLineChars="200"/>
        <w:rPr>
          <w:rFonts w:hint="eastAsia" w:ascii="宋体" w:hAnsi="宋体" w:eastAsia="宋体" w:cs="宋体"/>
          <w:sz w:val="21"/>
          <w:szCs w:val="21"/>
        </w:rPr>
      </w:pPr>
      <w:r>
        <w:rPr>
          <w:rFonts w:hint="eastAsia" w:ascii="宋体" w:hAnsi="宋体" w:eastAsia="宋体" w:cs="宋体"/>
          <w:sz w:val="21"/>
          <w:szCs w:val="21"/>
        </w:rPr>
        <w:t>１、乙方应完全地按照招标文件的要求和乙方投标文件的承诺完成本项目，出于自身财务、技术、人力等原因导致项目失败的，应承担全部责任。</w:t>
      </w:r>
    </w:p>
    <w:p w14:paraId="67A53286">
      <w:pPr>
        <w:ind w:firstLine="420" w:firstLineChars="200"/>
        <w:rPr>
          <w:rFonts w:hint="eastAsia" w:ascii="宋体" w:hAnsi="宋体" w:eastAsia="宋体" w:cs="宋体"/>
          <w:sz w:val="21"/>
          <w:szCs w:val="21"/>
        </w:rPr>
      </w:pPr>
      <w:r>
        <w:rPr>
          <w:rFonts w:hint="eastAsia" w:ascii="宋体" w:hAnsi="宋体" w:eastAsia="宋体" w:cs="宋体"/>
          <w:sz w:val="21"/>
          <w:szCs w:val="21"/>
        </w:rPr>
        <w:t>2、乙方在实施荷载试验过程中应对自身的安全生产负责，若非因甲方原因发生的各种事故甲方不承担任何责任。</w:t>
      </w:r>
    </w:p>
    <w:p w14:paraId="496A6BF4">
      <w:pPr>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第十八条违约责任</w:t>
      </w:r>
    </w:p>
    <w:p w14:paraId="311204F7">
      <w:pPr>
        <w:pStyle w:val="19"/>
        <w:spacing w:line="240" w:lineRule="auto"/>
        <w:ind w:firstLine="480"/>
        <w:rPr>
          <w:rFonts w:hint="eastAsia" w:ascii="宋体" w:hAnsi="宋体" w:eastAsia="宋体" w:cs="宋体"/>
          <w:sz w:val="21"/>
          <w:szCs w:val="21"/>
        </w:rPr>
      </w:pPr>
      <w:r>
        <w:rPr>
          <w:rFonts w:hint="eastAsia" w:ascii="宋体" w:hAnsi="宋体" w:eastAsia="宋体" w:cs="宋体"/>
          <w:sz w:val="21"/>
          <w:szCs w:val="21"/>
        </w:rPr>
        <w:t>１、因乙方原因，未能按规定时间完成有关工作的，每延误一天，甲方可在支付合同余款中扣除合同价款千分之一。</w:t>
      </w:r>
    </w:p>
    <w:p w14:paraId="3F082387">
      <w:pPr>
        <w:ind w:firstLine="420" w:firstLineChars="200"/>
        <w:rPr>
          <w:rFonts w:hint="eastAsia" w:ascii="宋体" w:hAnsi="宋体" w:eastAsia="宋体" w:cs="宋体"/>
          <w:sz w:val="21"/>
          <w:szCs w:val="21"/>
        </w:rPr>
      </w:pPr>
      <w:r>
        <w:rPr>
          <w:rFonts w:hint="eastAsia" w:ascii="宋体" w:hAnsi="宋体" w:eastAsia="宋体" w:cs="宋体"/>
          <w:sz w:val="21"/>
          <w:szCs w:val="21"/>
        </w:rPr>
        <w:t>2、由于乙方原因造成试验成果质量低劣，不能满足大纲要求时，应继续完善试验工作，其费用由乙方承担。</w:t>
      </w:r>
    </w:p>
    <w:p w14:paraId="614A39B9">
      <w:pPr>
        <w:ind w:firstLine="420" w:firstLineChars="200"/>
        <w:rPr>
          <w:rFonts w:hint="eastAsia" w:ascii="宋体" w:hAnsi="宋体" w:eastAsia="宋体" w:cs="宋体"/>
          <w:sz w:val="21"/>
          <w:szCs w:val="21"/>
        </w:rPr>
      </w:pPr>
      <w:r>
        <w:rPr>
          <w:rFonts w:hint="eastAsia" w:ascii="宋体" w:hAnsi="宋体" w:eastAsia="宋体" w:cs="宋体"/>
          <w:sz w:val="21"/>
          <w:szCs w:val="21"/>
        </w:rPr>
        <w:t>3、乙方交付的成果经验收不合格，应于7日内无条件修改，费用由乙方自行承担，在甲方要求整改后再次验收不合格的，甲方有权解除合同、要求乙方返还甲方已支付的合同款项，并有权要求乙方按合同总额%支付违约金。。</w:t>
      </w:r>
    </w:p>
    <w:p w14:paraId="718C9E41">
      <w:pPr>
        <w:ind w:firstLine="420" w:firstLineChars="200"/>
        <w:rPr>
          <w:rFonts w:hint="eastAsia" w:ascii="宋体" w:hAnsi="宋体" w:eastAsia="宋体" w:cs="宋体"/>
          <w:sz w:val="21"/>
          <w:szCs w:val="21"/>
        </w:rPr>
      </w:pPr>
      <w:r>
        <w:rPr>
          <w:rFonts w:hint="eastAsia" w:ascii="宋体" w:hAnsi="宋体" w:eastAsia="宋体" w:cs="宋体"/>
          <w:sz w:val="21"/>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1C3799DE">
      <w:pPr>
        <w:ind w:firstLine="420" w:firstLineChars="200"/>
        <w:rPr>
          <w:rFonts w:hint="eastAsia" w:ascii="宋体" w:hAnsi="宋体" w:eastAsia="宋体" w:cs="宋体"/>
          <w:sz w:val="21"/>
          <w:szCs w:val="21"/>
        </w:rPr>
      </w:pPr>
      <w:r>
        <w:rPr>
          <w:rFonts w:hint="eastAsia" w:ascii="宋体" w:hAnsi="宋体" w:eastAsia="宋体" w:cs="宋体"/>
          <w:sz w:val="21"/>
          <w:szCs w:val="21"/>
        </w:rPr>
        <w:t>5、乙方或其工作人员违反本合同约定的保密义务，甲方有权要求乙方按合同总额%支付违约金；造成不良影响或对甲方造成损失的，甲方有权要求乙方消除影响，承担赔偿责任，并有权解除合同。</w:t>
      </w:r>
    </w:p>
    <w:p w14:paraId="22EC3BC8">
      <w:pPr>
        <w:ind w:firstLine="420" w:firstLineChars="200"/>
        <w:rPr>
          <w:rFonts w:hint="eastAsia" w:ascii="宋体" w:hAnsi="宋体" w:eastAsia="宋体" w:cs="宋体"/>
          <w:sz w:val="21"/>
          <w:szCs w:val="21"/>
        </w:rPr>
      </w:pPr>
      <w:r>
        <w:rPr>
          <w:rFonts w:hint="eastAsia" w:ascii="宋体" w:hAnsi="宋体" w:eastAsia="宋体" w:cs="宋体"/>
          <w:sz w:val="21"/>
          <w:szCs w:val="21"/>
        </w:rPr>
        <w:t>6、因乙方提供的服务成果受到侵权指控或者引发法律纠纷，影响甲方使用服务成果或者导致合同目的不能实现的，甲方有权要求乙方按合同总额%支付违约金，并有权解除合同。</w:t>
      </w:r>
    </w:p>
    <w:p w14:paraId="235651DD">
      <w:pPr>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第十九条其他</w:t>
      </w:r>
    </w:p>
    <w:p w14:paraId="03D50540">
      <w:pPr>
        <w:ind w:firstLine="420" w:firstLineChars="200"/>
        <w:rPr>
          <w:rFonts w:hint="eastAsia" w:ascii="宋体" w:hAnsi="宋体" w:eastAsia="宋体" w:cs="宋体"/>
          <w:sz w:val="21"/>
          <w:szCs w:val="21"/>
        </w:rPr>
      </w:pPr>
      <w:r>
        <w:rPr>
          <w:rFonts w:hint="eastAsia" w:ascii="宋体" w:hAnsi="宋体" w:eastAsia="宋体" w:cs="宋体"/>
          <w:sz w:val="21"/>
          <w:szCs w:val="21"/>
        </w:rPr>
        <w:t>1、本合同与招标文件、乙方投标文件如有抵触之处，以本合同条款为准。</w:t>
      </w:r>
    </w:p>
    <w:p w14:paraId="6FC5EC58">
      <w:pPr>
        <w:ind w:firstLine="420" w:firstLineChars="200"/>
        <w:rPr>
          <w:rFonts w:hint="eastAsia" w:ascii="宋体" w:hAnsi="宋体" w:eastAsia="宋体" w:cs="宋体"/>
          <w:sz w:val="21"/>
          <w:szCs w:val="21"/>
        </w:rPr>
      </w:pPr>
      <w:r>
        <w:rPr>
          <w:rFonts w:hint="eastAsia" w:ascii="宋体" w:hAnsi="宋体" w:eastAsia="宋体" w:cs="宋体"/>
          <w:sz w:val="21"/>
          <w:szCs w:val="21"/>
        </w:rPr>
        <w:t>2、下列文件均为本合同的组成部分：</w:t>
      </w:r>
    </w:p>
    <w:p w14:paraId="384B56EC">
      <w:pPr>
        <w:ind w:firstLine="420" w:firstLineChars="200"/>
        <w:rPr>
          <w:rFonts w:hint="eastAsia" w:ascii="宋体" w:hAnsi="宋体" w:eastAsia="宋体" w:cs="宋体"/>
          <w:sz w:val="21"/>
          <w:szCs w:val="21"/>
        </w:rPr>
      </w:pPr>
      <w:r>
        <w:rPr>
          <w:rFonts w:hint="eastAsia" w:ascii="宋体" w:hAnsi="宋体" w:eastAsia="宋体" w:cs="宋体"/>
          <w:sz w:val="21"/>
          <w:szCs w:val="21"/>
        </w:rPr>
        <w:t>（1）号招标文件、答疑及补充通知；</w:t>
      </w:r>
    </w:p>
    <w:p w14:paraId="170A8C87">
      <w:pPr>
        <w:ind w:firstLine="420" w:firstLineChars="200"/>
        <w:rPr>
          <w:rFonts w:hint="eastAsia" w:ascii="宋体" w:hAnsi="宋体" w:eastAsia="宋体" w:cs="宋体"/>
          <w:sz w:val="21"/>
          <w:szCs w:val="21"/>
        </w:rPr>
      </w:pPr>
      <w:r>
        <w:rPr>
          <w:rFonts w:hint="eastAsia" w:ascii="宋体" w:hAnsi="宋体" w:eastAsia="宋体" w:cs="宋体"/>
          <w:sz w:val="21"/>
          <w:szCs w:val="21"/>
        </w:rPr>
        <w:t>（2）投标文件；</w:t>
      </w:r>
    </w:p>
    <w:p w14:paraId="58AC16F4">
      <w:pPr>
        <w:ind w:firstLine="420" w:firstLineChars="200"/>
        <w:rPr>
          <w:rFonts w:hint="eastAsia" w:ascii="宋体" w:hAnsi="宋体" w:eastAsia="宋体" w:cs="宋体"/>
          <w:sz w:val="21"/>
          <w:szCs w:val="21"/>
        </w:rPr>
      </w:pPr>
      <w:r>
        <w:rPr>
          <w:rFonts w:hint="eastAsia" w:ascii="宋体" w:hAnsi="宋体" w:eastAsia="宋体" w:cs="宋体"/>
          <w:sz w:val="21"/>
          <w:szCs w:val="21"/>
        </w:rPr>
        <w:t>（3）本合同执行中共同签署的补充与修正文件。</w:t>
      </w:r>
    </w:p>
    <w:p w14:paraId="76DE9623">
      <w:pPr>
        <w:ind w:firstLine="420" w:firstLineChars="200"/>
        <w:rPr>
          <w:rFonts w:hint="eastAsia" w:ascii="宋体" w:hAnsi="宋体" w:eastAsia="宋体" w:cs="宋体"/>
          <w:sz w:val="21"/>
          <w:szCs w:val="21"/>
        </w:rPr>
      </w:pPr>
      <w:r>
        <w:rPr>
          <w:rFonts w:hint="eastAsia" w:ascii="宋体" w:hAnsi="宋体" w:eastAsia="宋体" w:cs="宋体"/>
          <w:sz w:val="21"/>
          <w:szCs w:val="21"/>
        </w:rPr>
        <w:t>本合同一式份，甲、乙方双方各执份，具有同等法律效力。本合同自双方法人代表签字（盖章）认可之日起生效。</w:t>
      </w:r>
    </w:p>
    <w:p w14:paraId="6D74A70E">
      <w:pPr>
        <w:ind w:firstLine="420" w:firstLineChars="200"/>
        <w:rPr>
          <w:rFonts w:hint="eastAsia" w:ascii="宋体" w:hAnsi="宋体" w:eastAsia="宋体" w:cs="宋体"/>
          <w:sz w:val="21"/>
          <w:szCs w:val="21"/>
        </w:rPr>
      </w:pPr>
      <w:r>
        <w:rPr>
          <w:rFonts w:hint="eastAsia" w:ascii="宋体" w:hAnsi="宋体" w:eastAsia="宋体" w:cs="宋体"/>
          <w:sz w:val="21"/>
          <w:szCs w:val="21"/>
        </w:rPr>
        <w:t>本合同未尽事宜，双方友好协商，达成解决方案，经双方签字后，可作为本合同的有效附件。</w:t>
      </w:r>
    </w:p>
    <w:p w14:paraId="444748AE">
      <w:pPr>
        <w:ind w:firstLine="420" w:firstLineChars="200"/>
        <w:rPr>
          <w:rFonts w:hint="eastAsia" w:ascii="宋体" w:hAnsi="宋体" w:eastAsia="宋体" w:cs="宋体"/>
          <w:sz w:val="21"/>
          <w:szCs w:val="21"/>
        </w:rPr>
      </w:pPr>
    </w:p>
    <w:p w14:paraId="42B1BC30">
      <w:pPr>
        <w:ind w:firstLine="420" w:firstLineChars="200"/>
        <w:rPr>
          <w:rFonts w:hint="eastAsia" w:ascii="宋体" w:hAnsi="宋体" w:eastAsia="宋体" w:cs="宋体"/>
          <w:sz w:val="21"/>
          <w:szCs w:val="21"/>
        </w:rPr>
      </w:pPr>
    </w:p>
    <w:p w14:paraId="4EFFC080">
      <w:pPr>
        <w:ind w:firstLine="560"/>
        <w:jc w:val="left"/>
        <w:rPr>
          <w:rFonts w:hint="eastAsia" w:ascii="宋体" w:hAnsi="宋体" w:eastAsia="宋体" w:cs="宋体"/>
          <w:sz w:val="21"/>
          <w:szCs w:val="21"/>
        </w:rPr>
      </w:pPr>
      <w:r>
        <w:rPr>
          <w:rFonts w:hint="eastAsia" w:ascii="宋体" w:hAnsi="宋体" w:eastAsia="宋体" w:cs="宋体"/>
          <w:sz w:val="21"/>
          <w:szCs w:val="21"/>
        </w:rPr>
        <w:t>甲方（采购人）：（盖章）</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乙方（供应商）：（盖章）</w:t>
      </w:r>
    </w:p>
    <w:p w14:paraId="0D8249A2">
      <w:pPr>
        <w:ind w:firstLine="560"/>
        <w:jc w:val="left"/>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法定代表人：</w:t>
      </w:r>
    </w:p>
    <w:p w14:paraId="7635A8DB">
      <w:pPr>
        <w:ind w:firstLine="560"/>
        <w:jc w:val="left"/>
        <w:rPr>
          <w:rFonts w:hint="eastAsia" w:ascii="宋体" w:hAnsi="宋体" w:eastAsia="宋体" w:cs="宋体"/>
          <w:sz w:val="21"/>
          <w:szCs w:val="21"/>
        </w:rPr>
      </w:pPr>
      <w:r>
        <w:rPr>
          <w:rFonts w:hint="eastAsia" w:ascii="宋体" w:hAnsi="宋体" w:eastAsia="宋体" w:cs="宋体"/>
          <w:sz w:val="21"/>
          <w:szCs w:val="21"/>
        </w:rPr>
        <w:t>委托代理人：</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委托代理人：</w:t>
      </w:r>
    </w:p>
    <w:p w14:paraId="6C60E306">
      <w:pPr>
        <w:ind w:firstLine="420" w:firstLineChars="200"/>
        <w:rPr>
          <w:rFonts w:hint="eastAsia" w:ascii="宋体" w:hAnsi="宋体" w:eastAsia="宋体" w:cs="宋体"/>
          <w:sz w:val="21"/>
          <w:szCs w:val="21"/>
        </w:rPr>
      </w:pPr>
      <w:r>
        <w:rPr>
          <w:rFonts w:hint="eastAsia" w:ascii="宋体" w:hAnsi="宋体" w:eastAsia="宋体" w:cs="宋体"/>
          <w:sz w:val="21"/>
          <w:szCs w:val="21"/>
        </w:rPr>
        <w:t>日期：年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日期：年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0FF0C5E8">
      <w:pPr>
        <w:pStyle w:val="32"/>
        <w:spacing w:line="460" w:lineRule="exact"/>
        <w:ind w:left="0" w:leftChars="0" w:firstLine="0" w:firstLineChars="0"/>
        <w:jc w:val="both"/>
        <w:rPr>
          <w:sz w:val="28"/>
          <w:szCs w:val="28"/>
        </w:rPr>
      </w:pPr>
      <w:r>
        <w:rPr>
          <w:rFonts w:hint="eastAsia"/>
          <w:sz w:val="28"/>
          <w:szCs w:val="28"/>
        </w:rPr>
        <w:t xml:space="preserve"> </w:t>
      </w:r>
    </w:p>
    <w:p w14:paraId="20452F64">
      <w:pPr>
        <w:pStyle w:val="6"/>
        <w:spacing w:before="120" w:beforeLines="50" w:after="120" w:afterLines="50"/>
        <w:ind w:left="562"/>
        <w:rPr>
          <w:sz w:val="28"/>
          <w:szCs w:val="28"/>
        </w:rPr>
      </w:pPr>
      <w:r>
        <w:rPr>
          <w:rFonts w:hint="eastAsia"/>
          <w:sz w:val="28"/>
          <w:szCs w:val="28"/>
        </w:rPr>
        <w:t>第二册  通用条款（公开招标）</w:t>
      </w:r>
    </w:p>
    <w:p w14:paraId="629E87F7">
      <w:pPr>
        <w:pStyle w:val="6"/>
        <w:numPr>
          <w:ilvl w:val="0"/>
          <w:numId w:val="12"/>
        </w:numPr>
        <w:spacing w:before="120" w:beforeLines="50" w:after="120" w:afterLines="50"/>
        <w:ind w:left="562" w:hanging="562"/>
        <w:rPr>
          <w:sz w:val="28"/>
          <w:szCs w:val="28"/>
        </w:rPr>
      </w:pPr>
      <w:bookmarkStart w:id="45" w:name="_Hlk72399513"/>
      <w:r>
        <w:rPr>
          <w:rFonts w:hint="eastAsia"/>
          <w:sz w:val="28"/>
          <w:szCs w:val="28"/>
        </w:rPr>
        <w:t>总则</w:t>
      </w:r>
    </w:p>
    <w:bookmarkEnd w:id="45"/>
    <w:p w14:paraId="1D84D830">
      <w:pPr>
        <w:rPr>
          <w:rFonts w:ascii="黑体" w:hAnsi="宋体" w:eastAsia="黑体"/>
          <w:sz w:val="24"/>
        </w:rPr>
      </w:pPr>
      <w:r>
        <w:rPr>
          <w:rFonts w:hint="eastAsia" w:ascii="黑体" w:hAnsi="宋体" w:eastAsia="黑体"/>
          <w:sz w:val="24"/>
        </w:rPr>
        <w:t>1. 通用条款说明</w:t>
      </w:r>
    </w:p>
    <w:p w14:paraId="372EDECC">
      <w:pPr>
        <w:ind w:firstLine="411" w:firstLineChars="196"/>
        <w:rPr>
          <w:rFonts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46" w:name="_Hlk72399729"/>
      <w:r>
        <w:rPr>
          <w:rFonts w:hint="eastAsia" w:ascii="宋体" w:hAnsi="宋体"/>
          <w:szCs w:val="21"/>
        </w:rPr>
        <w:t>如有需要，政府集中采购机构可以对通用条款的内容进行补充。</w:t>
      </w:r>
      <w:bookmarkEnd w:id="46"/>
    </w:p>
    <w:p w14:paraId="593B6178">
      <w:pPr>
        <w:ind w:firstLine="411" w:firstLineChars="196"/>
        <w:rPr>
          <w:rFonts w:ascii="宋体" w:hAnsi="宋体"/>
          <w:szCs w:val="21"/>
        </w:rPr>
      </w:pPr>
      <w:r>
        <w:rPr>
          <w:rFonts w:hint="eastAsia" w:ascii="宋体" w:hAnsi="宋体"/>
          <w:szCs w:val="21"/>
        </w:rPr>
        <w:t>1.2招标文件分为第一册“专用条款”和第二册“通用条款”。</w:t>
      </w:r>
    </w:p>
    <w:p w14:paraId="381766F0">
      <w:pPr>
        <w:ind w:firstLine="411" w:firstLineChars="196"/>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3B02346D">
      <w:pPr>
        <w:ind w:firstLine="411" w:firstLineChars="196"/>
        <w:rPr>
          <w:rFonts w:ascii="宋体" w:hAnsi="宋体"/>
          <w:szCs w:val="21"/>
        </w:rPr>
      </w:pPr>
      <w:r>
        <w:rPr>
          <w:rFonts w:hint="eastAsia" w:ascii="宋体" w:hAnsi="宋体"/>
          <w:szCs w:val="21"/>
        </w:rPr>
        <w:t>1.4“通用条款”是适用于政府采购公开招标项目的基础性条款，具有普遍性和通用性。</w:t>
      </w:r>
    </w:p>
    <w:p w14:paraId="4D623AB5">
      <w:pPr>
        <w:ind w:firstLine="411" w:firstLineChars="196"/>
        <w:rPr>
          <w:rFonts w:ascii="宋体" w:hAnsi="宋体"/>
          <w:szCs w:val="21"/>
        </w:rPr>
      </w:pPr>
      <w:r>
        <w:rPr>
          <w:rFonts w:hint="eastAsia" w:ascii="宋体" w:hAnsi="宋体"/>
          <w:szCs w:val="21"/>
        </w:rPr>
        <w:t>1.5 “专用条款”和“通用条款”表述不一致或有冲突时，以“专用条款”为准。</w:t>
      </w:r>
    </w:p>
    <w:p w14:paraId="656D676F">
      <w:pPr>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62809121">
      <w:pPr>
        <w:ind w:firstLine="411" w:firstLineChars="196"/>
        <w:rPr>
          <w:rFonts w:ascii="宋体" w:hAnsi="宋体"/>
          <w:szCs w:val="21"/>
        </w:rPr>
      </w:pPr>
      <w:r>
        <w:rPr>
          <w:rFonts w:hint="eastAsia" w:ascii="宋体" w:hAnsi="宋体"/>
          <w:szCs w:val="21"/>
        </w:rPr>
        <w:t>本项目</w:t>
      </w:r>
      <w:r>
        <w:rPr>
          <w:rFonts w:hint="eastAsia" w:ascii="宋体" w:hAnsi="宋体"/>
          <w:szCs w:val="21"/>
          <w:lang w:val="en-US" w:eastAsia="zh-CN"/>
        </w:rPr>
        <w:t>参照</w:t>
      </w:r>
      <w:r>
        <w:rPr>
          <w:rFonts w:hint="eastAsia" w:ascii="宋体" w:hAnsi="宋体"/>
          <w:szCs w:val="21"/>
        </w:rPr>
        <w:t>《深圳经济特区政府采购条例》、《深圳经济特区政府采购条例实施细则》及政府采购其他法律法规，通过公开招标方式确定中标供应商。</w:t>
      </w:r>
    </w:p>
    <w:p w14:paraId="43B02B19">
      <w:pPr>
        <w:rPr>
          <w:rFonts w:ascii="黑体" w:hAnsi="宋体" w:eastAsia="黑体"/>
          <w:sz w:val="24"/>
        </w:rPr>
      </w:pPr>
      <w:r>
        <w:rPr>
          <w:rFonts w:hint="eastAsia" w:ascii="黑体" w:hAnsi="宋体" w:eastAsia="黑体"/>
          <w:sz w:val="24"/>
        </w:rPr>
        <w:t>3．定义</w:t>
      </w:r>
    </w:p>
    <w:p w14:paraId="3687B44D">
      <w:pPr>
        <w:ind w:firstLine="420" w:firstLineChars="200"/>
        <w:rPr>
          <w:rFonts w:ascii="宋体" w:hAnsi="宋体"/>
          <w:szCs w:val="21"/>
        </w:rPr>
      </w:pPr>
      <w:r>
        <w:rPr>
          <w:rFonts w:ascii="宋体" w:hAnsi="宋体"/>
          <w:szCs w:val="21"/>
        </w:rPr>
        <w:t>招标文件中下列术语应解释为：</w:t>
      </w:r>
    </w:p>
    <w:p w14:paraId="69B291DA">
      <w:pPr>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14:paraId="27B1B5ED">
      <w:pPr>
        <w:ind w:firstLine="411" w:firstLineChars="196"/>
        <w:rPr>
          <w:rFonts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76B30652">
      <w:pPr>
        <w:ind w:firstLine="411" w:firstLineChars="196"/>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4AB41887">
      <w:pPr>
        <w:ind w:firstLine="411" w:firstLineChars="196"/>
        <w:rPr>
          <w:rFonts w:ascii="宋体" w:hAnsi="宋体"/>
          <w:szCs w:val="21"/>
        </w:rPr>
      </w:pPr>
      <w:r>
        <w:rPr>
          <w:rFonts w:hint="eastAsia" w:ascii="宋体" w:hAnsi="宋体"/>
          <w:szCs w:val="21"/>
        </w:rPr>
        <w:t>3.4“评审委员会”是</w:t>
      </w:r>
      <w:r>
        <w:rPr>
          <w:rFonts w:hint="eastAsia" w:ascii="宋体" w:hAnsi="宋体"/>
          <w:szCs w:val="21"/>
          <w:lang w:val="en-US" w:eastAsia="zh-CN"/>
        </w:rPr>
        <w:t>参照</w:t>
      </w:r>
      <w:r>
        <w:rPr>
          <w:rFonts w:hint="eastAsia" w:ascii="宋体" w:hAnsi="宋体"/>
          <w:szCs w:val="21"/>
        </w:rPr>
        <w:t>《深圳经济特区政府采购条例》、《深圳经济特区政府采购条例实施细则》等有关规定组建的专门负责本次招标其评审工作的临时性机构；</w:t>
      </w:r>
    </w:p>
    <w:p w14:paraId="32CC33AC">
      <w:pPr>
        <w:ind w:firstLine="411" w:firstLineChars="196"/>
        <w:rPr>
          <w:rFonts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2F9D7097">
      <w:pPr>
        <w:ind w:firstLine="411" w:firstLineChars="196"/>
        <w:rPr>
          <w:rFonts w:ascii="宋体" w:hAnsi="宋体"/>
          <w:szCs w:val="21"/>
        </w:rPr>
      </w:pPr>
      <w:r>
        <w:rPr>
          <w:rFonts w:hint="eastAsia" w:ascii="宋体" w:hAnsi="宋体"/>
          <w:szCs w:val="21"/>
        </w:rPr>
        <w:t>3.6“合同”指由本次招标所产生的合同或合约文件；</w:t>
      </w:r>
    </w:p>
    <w:p w14:paraId="5F5171EE">
      <w:pPr>
        <w:ind w:firstLine="411" w:firstLineChars="196"/>
        <w:rPr>
          <w:rFonts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w:t>
      </w:r>
      <w:r>
        <w:rPr>
          <w:rFonts w:hint="eastAsia" w:ascii="宋体" w:hAnsi="宋体"/>
          <w:b/>
          <w:bCs/>
          <w:color w:val="FF0000"/>
          <w:szCs w:val="21"/>
          <w:lang w:val="en-US" w:eastAsia="zh-CN"/>
        </w:rPr>
        <w:t>龙岗</w:t>
      </w:r>
      <w:r>
        <w:rPr>
          <w:rFonts w:hint="eastAsia" w:ascii="宋体" w:hAnsi="宋体"/>
          <w:b/>
          <w:bCs/>
          <w:color w:val="FF0000"/>
          <w:szCs w:val="21"/>
        </w:rPr>
        <w:t>分公司）</w:t>
      </w:r>
      <w:r>
        <w:rPr>
          <w:rFonts w:hint="eastAsia" w:ascii="宋体" w:hAnsi="宋体"/>
          <w:szCs w:val="21"/>
        </w:rPr>
        <w:t>网站提供的深圳市自行采购系统投标文件编制工具（以下简称：投标文件制作软件）制作并加密的投标文件,适用于网上投标；（投标文件制作软件可从“下载地址：https://www.szggzy.com/jyfw/details.html?contentId=2053275”下载）</w:t>
      </w:r>
    </w:p>
    <w:p w14:paraId="07A4BE67">
      <w:pPr>
        <w:ind w:firstLine="411" w:firstLineChars="196"/>
        <w:rPr>
          <w:rFonts w:ascii="宋体" w:hAnsi="宋体"/>
          <w:szCs w:val="21"/>
        </w:rPr>
      </w:pPr>
      <w:r>
        <w:rPr>
          <w:rFonts w:hint="eastAsia" w:ascii="宋体" w:hAnsi="宋体"/>
          <w:szCs w:val="21"/>
        </w:rPr>
        <w:t>3.8“网上投标”指通过</w:t>
      </w:r>
      <w:r>
        <w:rPr>
          <w:rFonts w:hint="eastAsia" w:ascii="宋体" w:hAnsi="宋体"/>
          <w:b/>
          <w:bCs/>
          <w:color w:val="FF0000"/>
          <w:szCs w:val="21"/>
        </w:rPr>
        <w:t>深圳公共资源交易中心（深圳交易集团有限公司</w:t>
      </w:r>
      <w:r>
        <w:rPr>
          <w:rFonts w:hint="eastAsia" w:ascii="宋体" w:hAnsi="宋体"/>
          <w:b/>
          <w:bCs/>
          <w:color w:val="FF0000"/>
          <w:szCs w:val="21"/>
          <w:lang w:val="en-US" w:eastAsia="zh-CN"/>
        </w:rPr>
        <w:t>龙岗</w:t>
      </w:r>
      <w:r>
        <w:rPr>
          <w:rFonts w:hint="eastAsia" w:ascii="宋体" w:hAnsi="宋体"/>
          <w:b/>
          <w:bCs/>
          <w:color w:val="FF0000"/>
          <w:szCs w:val="21"/>
        </w:rPr>
        <w:t>分公司）</w:t>
      </w:r>
      <w:r>
        <w:rPr>
          <w:rFonts w:hint="eastAsia" w:ascii="宋体" w:hAnsi="宋体"/>
          <w:szCs w:val="21"/>
        </w:rPr>
        <w:t>网站上传电子投标文件；</w:t>
      </w:r>
    </w:p>
    <w:p w14:paraId="5ECE1A8F">
      <w:pPr>
        <w:ind w:firstLine="411" w:firstLineChars="196"/>
        <w:rPr>
          <w:rFonts w:ascii="宋体" w:hAnsi="宋体"/>
          <w:szCs w:val="21"/>
        </w:rPr>
      </w:pPr>
      <w:r>
        <w:rPr>
          <w:rFonts w:hint="eastAsia" w:ascii="宋体" w:hAnsi="宋体"/>
          <w:szCs w:val="21"/>
        </w:rPr>
        <w:t>3.9招标文件中的标题或题名仅起引导作用，而不应视为对招标文件内容的理解和解释。</w:t>
      </w:r>
    </w:p>
    <w:p w14:paraId="2415745B">
      <w:pPr>
        <w:rPr>
          <w:rFonts w:ascii="黑体" w:hAnsi="宋体" w:eastAsia="黑体"/>
          <w:sz w:val="24"/>
        </w:rPr>
      </w:pPr>
      <w:r>
        <w:rPr>
          <w:rFonts w:hint="eastAsia" w:ascii="黑体" w:hAnsi="宋体" w:eastAsia="黑体"/>
          <w:sz w:val="24"/>
        </w:rPr>
        <w:t xml:space="preserve">4. </w:t>
      </w:r>
      <w:bookmarkStart w:id="47" w:name="_Hlk72398643"/>
      <w:r>
        <w:rPr>
          <w:rFonts w:hint="eastAsia" w:ascii="黑体" w:hAnsi="宋体" w:eastAsia="黑体"/>
          <w:sz w:val="24"/>
        </w:rPr>
        <w:t>政府采购供应商责任</w:t>
      </w:r>
    </w:p>
    <w:p w14:paraId="4A16FFA0">
      <w:pPr>
        <w:ind w:firstLine="411" w:firstLineChars="196"/>
        <w:rPr>
          <w:rFonts w:ascii="宋体" w:hAnsi="宋体"/>
          <w:szCs w:val="21"/>
        </w:rPr>
      </w:pPr>
      <w:r>
        <w:rPr>
          <w:rFonts w:hint="eastAsia" w:ascii="宋体" w:hAnsi="宋体"/>
          <w:szCs w:val="21"/>
        </w:rPr>
        <w:t>4.1欢迎诚信、有实力和有社会责任心的供应商参与政府采购事业。</w:t>
      </w:r>
    </w:p>
    <w:p w14:paraId="1F268ACA">
      <w:pPr>
        <w:ind w:firstLine="411" w:firstLineChars="196"/>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57A86D84">
      <w:pPr>
        <w:rPr>
          <w:rFonts w:ascii="黑体" w:hAnsi="宋体" w:eastAsia="黑体"/>
          <w:sz w:val="24"/>
        </w:rPr>
      </w:pPr>
      <w:r>
        <w:rPr>
          <w:rFonts w:hint="eastAsia" w:ascii="黑体" w:hAnsi="宋体" w:eastAsia="黑体"/>
          <w:sz w:val="24"/>
        </w:rPr>
        <w:t>5．投标人参加政府采购的条件</w:t>
      </w:r>
    </w:p>
    <w:p w14:paraId="765B513B">
      <w:pPr>
        <w:ind w:firstLine="411" w:firstLineChars="196"/>
        <w:jc w:val="left"/>
        <w:rPr>
          <w:rFonts w:hint="eastAsia" w:ascii="宋体" w:hAnsi="宋体"/>
          <w:szCs w:val="21"/>
          <w:lang w:val="en-US" w:eastAsia="zh-CN"/>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r>
        <w:rPr>
          <w:rFonts w:hint="eastAsia" w:ascii="宋体" w:hAnsi="宋体"/>
          <w:szCs w:val="21"/>
          <w:lang w:val="en-US" w:eastAsia="zh-CN"/>
        </w:rPr>
        <w:t>。</w:t>
      </w:r>
    </w:p>
    <w:p w14:paraId="1613F73F">
      <w:pPr>
        <w:ind w:firstLine="411" w:firstLineChars="196"/>
        <w:jc w:val="left"/>
        <w:rPr>
          <w:rFonts w:ascii="宋体" w:hAnsi="宋体"/>
          <w:szCs w:val="21"/>
        </w:rPr>
      </w:pPr>
      <w:r>
        <w:rPr>
          <w:rFonts w:hint="eastAsia" w:ascii="宋体" w:hAnsi="宋体"/>
          <w:szCs w:val="21"/>
        </w:rPr>
        <w:t>5.2投标人资格要求</w:t>
      </w:r>
    </w:p>
    <w:p w14:paraId="68A6926F">
      <w:pPr>
        <w:ind w:firstLine="411" w:firstLineChars="196"/>
        <w:rPr>
          <w:rFonts w:ascii="宋体" w:hAnsi="宋体"/>
          <w:szCs w:val="21"/>
        </w:rPr>
      </w:pPr>
      <w:r>
        <w:rPr>
          <w:rFonts w:hint="eastAsia" w:ascii="宋体" w:hAnsi="宋体"/>
          <w:szCs w:val="21"/>
        </w:rPr>
        <w:t>参加本项目的投标人应具备的资格条件详见本项目招标公告中“投标人资格要求”（即申请人的资格要求）的内容。</w:t>
      </w:r>
    </w:p>
    <w:p w14:paraId="2FAAB95E">
      <w:pPr>
        <w:ind w:firstLine="411" w:firstLineChars="196"/>
        <w:rPr>
          <w:rFonts w:ascii="宋体" w:hAnsi="宋体"/>
          <w:szCs w:val="21"/>
        </w:rPr>
      </w:pPr>
      <w:r>
        <w:rPr>
          <w:rFonts w:hint="eastAsia" w:ascii="宋体" w:hAnsi="宋体"/>
          <w:szCs w:val="21"/>
        </w:rPr>
        <w:t>5.3联合体投标</w:t>
      </w:r>
    </w:p>
    <w:p w14:paraId="1F8257BA">
      <w:pPr>
        <w:ind w:firstLine="411" w:firstLineChars="196"/>
        <w:rPr>
          <w:rFonts w:ascii="宋体" w:hAnsi="宋体"/>
          <w:szCs w:val="21"/>
        </w:rPr>
      </w:pPr>
      <w:r>
        <w:rPr>
          <w:rFonts w:hint="eastAsia" w:ascii="宋体" w:hAnsi="宋体"/>
          <w:szCs w:val="21"/>
        </w:rPr>
        <w:t>5.3.1　以下有关联合体投标的条款仅适用于允许投标人组成联合体投标的项目。</w:t>
      </w:r>
    </w:p>
    <w:p w14:paraId="2F1B8F6B">
      <w:pPr>
        <w:ind w:firstLine="411" w:firstLineChars="196"/>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4711C652">
      <w:pPr>
        <w:ind w:firstLine="411" w:firstLineChars="196"/>
        <w:rPr>
          <w:rFonts w:ascii="宋体" w:hAnsi="宋体"/>
        </w:rPr>
      </w:pPr>
      <w:r>
        <w:rPr>
          <w:rFonts w:hint="eastAsia" w:ascii="宋体" w:hAnsi="宋体"/>
        </w:rPr>
        <w:t>（1）投标联合体各方参加政府采购活动应当具备下列条件：</w:t>
      </w:r>
      <w:r>
        <w:rPr>
          <w:rFonts w:ascii="宋体" w:hAnsi="宋体"/>
        </w:rPr>
        <w:t xml:space="preserve"> </w:t>
      </w:r>
    </w:p>
    <w:p w14:paraId="10073AEC">
      <w:pPr>
        <w:ind w:left="420" w:leftChars="200" w:firstLine="411" w:firstLineChars="196"/>
        <w:rPr>
          <w:rFonts w:ascii="宋体" w:hAnsi="宋体"/>
        </w:rPr>
      </w:pPr>
      <w:r>
        <w:rPr>
          <w:rFonts w:hint="eastAsia" w:ascii="宋体" w:hAnsi="宋体"/>
        </w:rPr>
        <w:t>1、具有独立承担民事责任的能力；</w:t>
      </w:r>
      <w:r>
        <w:rPr>
          <w:rFonts w:ascii="宋体" w:hAnsi="宋体"/>
        </w:rPr>
        <w:t xml:space="preserve"> </w:t>
      </w:r>
    </w:p>
    <w:p w14:paraId="63122D24">
      <w:pPr>
        <w:ind w:left="420" w:firstLine="411" w:firstLineChars="196"/>
        <w:rPr>
          <w:rFonts w:ascii="宋体" w:hAnsi="宋体"/>
        </w:rPr>
      </w:pPr>
      <w:r>
        <w:rPr>
          <w:rFonts w:hint="eastAsia" w:ascii="宋体" w:hAnsi="宋体"/>
        </w:rPr>
        <w:t>2、有良好的商业信誉和健全的财务会计制度；</w:t>
      </w:r>
      <w:r>
        <w:rPr>
          <w:rFonts w:ascii="宋体" w:hAnsi="宋体"/>
        </w:rPr>
        <w:t xml:space="preserve"> </w:t>
      </w:r>
    </w:p>
    <w:p w14:paraId="1D4EA62F">
      <w:pPr>
        <w:ind w:left="420" w:leftChars="200" w:firstLine="411" w:firstLineChars="196"/>
        <w:rPr>
          <w:rFonts w:ascii="宋体" w:hAnsi="宋体"/>
        </w:rPr>
      </w:pPr>
      <w:r>
        <w:rPr>
          <w:rFonts w:hint="eastAsia" w:ascii="宋体" w:hAnsi="宋体"/>
        </w:rPr>
        <w:t>3、具有履行合同所必需的设备和专业技术能力；</w:t>
      </w:r>
      <w:r>
        <w:rPr>
          <w:rFonts w:ascii="宋体" w:hAnsi="宋体"/>
        </w:rPr>
        <w:t xml:space="preserve"> </w:t>
      </w:r>
    </w:p>
    <w:p w14:paraId="617135A5">
      <w:pPr>
        <w:ind w:left="420" w:leftChars="200" w:firstLine="411" w:firstLineChars="196"/>
        <w:rPr>
          <w:rFonts w:ascii="宋体" w:hAnsi="宋体"/>
        </w:rPr>
      </w:pPr>
      <w:r>
        <w:rPr>
          <w:rFonts w:hint="eastAsia" w:ascii="宋体" w:hAnsi="宋体"/>
        </w:rPr>
        <w:t>4、有依法缴纳税收和社会保障资金的良好记录；</w:t>
      </w:r>
      <w:r>
        <w:rPr>
          <w:rFonts w:ascii="宋体" w:hAnsi="宋体"/>
        </w:rPr>
        <w:t xml:space="preserve"> </w:t>
      </w:r>
    </w:p>
    <w:p w14:paraId="68A23026">
      <w:pPr>
        <w:ind w:left="420" w:leftChars="200" w:firstLine="411" w:firstLineChars="196"/>
        <w:rPr>
          <w:rFonts w:ascii="宋体" w:hAnsi="宋体"/>
        </w:rPr>
      </w:pPr>
      <w:r>
        <w:rPr>
          <w:rFonts w:hint="eastAsia" w:ascii="宋体" w:hAnsi="宋体"/>
        </w:rPr>
        <w:t>5、参加政府采购活动前三年内，在经营活动中没有重大违法记录；</w:t>
      </w:r>
      <w:r>
        <w:rPr>
          <w:rFonts w:ascii="宋体" w:hAnsi="宋体"/>
        </w:rPr>
        <w:t xml:space="preserve"> </w:t>
      </w:r>
    </w:p>
    <w:p w14:paraId="3FD25C61">
      <w:pPr>
        <w:ind w:left="420" w:leftChars="200" w:firstLine="411" w:firstLineChars="196"/>
        <w:rPr>
          <w:rFonts w:ascii="宋体" w:hAnsi="宋体"/>
        </w:rPr>
      </w:pPr>
      <w:r>
        <w:rPr>
          <w:rFonts w:hint="eastAsia" w:ascii="宋体" w:hAnsi="宋体"/>
        </w:rPr>
        <w:t>6、法律、行政法规规定的其他条件。</w:t>
      </w:r>
      <w:r>
        <w:rPr>
          <w:rFonts w:ascii="宋体" w:hAnsi="宋体"/>
        </w:rPr>
        <w:t xml:space="preserve"> </w:t>
      </w:r>
    </w:p>
    <w:p w14:paraId="2FF943DD">
      <w:pPr>
        <w:ind w:firstLine="411" w:firstLineChars="196"/>
        <w:rPr>
          <w:rFonts w:ascii="宋体" w:hAnsi="宋体"/>
        </w:rPr>
      </w:pPr>
      <w:r>
        <w:rPr>
          <w:rFonts w:hint="eastAsia" w:ascii="宋体" w:hAnsi="宋体"/>
        </w:rPr>
        <w:t>（2）在投标截止前，投标联合体各方均应注册成政府集中采购机构供应商；</w:t>
      </w:r>
    </w:p>
    <w:p w14:paraId="70610828">
      <w:pPr>
        <w:ind w:firstLine="411" w:firstLineChars="196"/>
        <w:rPr>
          <w:rFonts w:ascii="宋体" w:hAnsi="宋体"/>
        </w:rPr>
      </w:pPr>
      <w:r>
        <w:rPr>
          <w:rFonts w:hint="eastAsia" w:ascii="宋体" w:hAnsi="宋体"/>
        </w:rPr>
        <w:t>（3）联合体中有同类资质的供应商按照联合体分工承担相同工作的，应当按照资质等级较低的供应商确定资质等级；</w:t>
      </w:r>
    </w:p>
    <w:p w14:paraId="1C3933CF">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14:paraId="3491DE24">
      <w:pPr>
        <w:ind w:firstLine="411" w:firstLineChars="196"/>
        <w:rPr>
          <w:rFonts w:ascii="宋体" w:hAnsi="宋体"/>
        </w:rPr>
      </w:pPr>
      <w:r>
        <w:rPr>
          <w:rFonts w:hint="eastAsia" w:ascii="宋体" w:hAnsi="宋体"/>
        </w:rPr>
        <w:t>（5）投标人的投标文件及中标后签署的合同协议对联合体各方均具法律约束力；</w:t>
      </w:r>
    </w:p>
    <w:p w14:paraId="450F522A">
      <w:pPr>
        <w:ind w:firstLine="411" w:firstLineChars="196"/>
        <w:rPr>
          <w:rFonts w:ascii="宋体" w:hAnsi="宋体"/>
        </w:rPr>
      </w:pPr>
      <w:r>
        <w:rPr>
          <w:rFonts w:hint="eastAsia" w:ascii="宋体" w:hAnsi="宋体"/>
        </w:rPr>
        <w:t>（6）联合体各方应当签订联合体投标协议，明确约定各方拟承担的工作和责任，并将该协议随投标文件一并递交给政府集中采购机构；</w:t>
      </w:r>
    </w:p>
    <w:p w14:paraId="2EE87D0C">
      <w:pPr>
        <w:ind w:firstLine="411" w:firstLineChars="196"/>
        <w:rPr>
          <w:rFonts w:ascii="宋体" w:hAnsi="宋体"/>
        </w:rPr>
      </w:pPr>
      <w:r>
        <w:rPr>
          <w:rFonts w:hint="eastAsia" w:ascii="宋体" w:hAnsi="宋体"/>
        </w:rPr>
        <w:t>（7）联合体中标后，联合体各方应当共同与采购人签订合同，就中标项目向采购人承担连带责任；</w:t>
      </w:r>
    </w:p>
    <w:p w14:paraId="3B0E1062">
      <w:pPr>
        <w:ind w:firstLine="411" w:firstLineChars="196"/>
        <w:rPr>
          <w:rFonts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730A0113">
      <w:pPr>
        <w:ind w:firstLine="411" w:firstLineChars="196"/>
        <w:rPr>
          <w:rFonts w:ascii="宋体" w:hAnsi="宋体"/>
          <w:szCs w:val="21"/>
        </w:rPr>
      </w:pPr>
      <w:r>
        <w:rPr>
          <w:rFonts w:hint="eastAsia" w:ascii="宋体" w:hAnsi="宋体"/>
        </w:rPr>
        <w:t>（9）本通用条款中“投标人”一词亦指联合体各方，专用条款另有规定或说明的除外。</w:t>
      </w:r>
    </w:p>
    <w:p w14:paraId="0AD9343A">
      <w:pPr>
        <w:rPr>
          <w:rFonts w:ascii="黑体" w:hAnsi="宋体" w:eastAsia="黑体"/>
          <w:sz w:val="24"/>
        </w:rPr>
      </w:pPr>
      <w:r>
        <w:rPr>
          <w:rFonts w:hint="eastAsia" w:ascii="黑体" w:hAnsi="宋体" w:eastAsia="黑体"/>
          <w:sz w:val="24"/>
        </w:rPr>
        <w:t>6．政策导向</w:t>
      </w:r>
    </w:p>
    <w:p w14:paraId="51EEEB6F">
      <w:pPr>
        <w:ind w:firstLine="411" w:firstLineChars="196"/>
        <w:rPr>
          <w:rFonts w:ascii="宋体" w:hAnsi="宋体"/>
        </w:rPr>
      </w:pPr>
      <w:r>
        <w:rPr>
          <w:rFonts w:hint="eastAsia" w:ascii="宋体" w:hAnsi="宋体"/>
        </w:rPr>
        <w:t>6.1</w:t>
      </w:r>
      <w:r>
        <w:rPr>
          <w:rFonts w:ascii="宋体" w:hAnsi="宋体"/>
        </w:rPr>
        <w:t xml:space="preserve">  </w:t>
      </w:r>
      <w:r>
        <w:rPr>
          <w:rFonts w:hint="eastAsia" w:ascii="宋体" w:hAnsi="宋体"/>
        </w:rPr>
        <w:t>政府采购支持本国产品、支持中小企业、监狱企业和残疾人福利性单位发展，支持乡村产业振兴，支持创新、节能减排、绿色环保等。</w:t>
      </w:r>
    </w:p>
    <w:p w14:paraId="6C0AE8B5">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14:paraId="1DA7717E">
      <w:pPr>
        <w:ind w:firstLine="405"/>
        <w:rPr>
          <w:rFonts w:hint="default" w:eastAsia="宋体"/>
          <w:lang w:val="en-US" w:eastAsia="zh-CN"/>
        </w:rPr>
      </w:pPr>
      <w:r>
        <w:rPr>
          <w:rFonts w:hint="eastAsia" w:ascii="宋体" w:hAnsi="宋体"/>
          <w:lang w:val="en-US" w:eastAsia="zh-CN"/>
        </w:rPr>
        <w:t>6.3  本项目支持投标人性别平等的相关政策。</w:t>
      </w:r>
    </w:p>
    <w:p w14:paraId="5A068722">
      <w:pPr>
        <w:rPr>
          <w:rFonts w:ascii="黑体" w:hAnsi="宋体" w:eastAsia="黑体"/>
          <w:sz w:val="24"/>
        </w:rPr>
      </w:pPr>
      <w:r>
        <w:rPr>
          <w:rFonts w:hint="eastAsia" w:ascii="黑体" w:hAnsi="宋体" w:eastAsia="黑体"/>
          <w:sz w:val="24"/>
        </w:rPr>
        <w:t>7. 本项目若涉及采购货物，则合格的货物及相应服务应满足以下要求：</w:t>
      </w:r>
    </w:p>
    <w:p w14:paraId="24AC74C4">
      <w:pPr>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3DEAD9BE">
      <w:pPr>
        <w:ind w:firstLine="411" w:firstLineChars="196"/>
        <w:rPr>
          <w:rFonts w:ascii="宋体" w:hAnsi="宋体"/>
        </w:rPr>
      </w:pPr>
      <w:r>
        <w:rPr>
          <w:rFonts w:hint="eastAsia" w:ascii="宋体" w:hAnsi="宋体"/>
        </w:rPr>
        <w:t>7.2  国产的货物及其有关服务必须符合中华人民共和国的设计、制造生产标准及行业标准。招标公告有其他要求的，亦应符合其要求。</w:t>
      </w:r>
    </w:p>
    <w:p w14:paraId="15863BD5">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389DFF47">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48"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8"/>
    </w:p>
    <w:p w14:paraId="3878DB9A">
      <w:pPr>
        <w:ind w:firstLine="411" w:firstLineChars="196"/>
        <w:rPr>
          <w:rFonts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2366BB91">
      <w:pPr>
        <w:ind w:firstLine="411" w:firstLineChars="196"/>
        <w:rPr>
          <w:rFonts w:ascii="宋体" w:hAnsi="宋体"/>
        </w:rPr>
      </w:pPr>
      <w:r>
        <w:rPr>
          <w:rFonts w:hint="eastAsia" w:ascii="宋体" w:hAnsi="宋体"/>
        </w:rPr>
        <w:t>7.6  工期要求：投标人在投标时对其所投项目应提交交货进度、交货计划等，在合同规定的时间内完成项目实施工作。</w:t>
      </w:r>
    </w:p>
    <w:p w14:paraId="00685CEF">
      <w:pPr>
        <w:ind w:firstLine="411" w:firstLineChars="196"/>
        <w:rPr>
          <w:rFonts w:ascii="宋体" w:hAnsi="宋体"/>
        </w:rPr>
      </w:pPr>
      <w:r>
        <w:rPr>
          <w:rFonts w:hint="eastAsia" w:ascii="宋体" w:hAnsi="宋体"/>
        </w:rPr>
        <w:t>7.7  投标人必须承担的设备运输、安装调试、验收检测和提供设备操作说明书、图纸等其他相关及类似的义务。</w:t>
      </w:r>
    </w:p>
    <w:p w14:paraId="3070AB15">
      <w:pPr>
        <w:rPr>
          <w:rFonts w:ascii="黑体" w:hAnsi="宋体" w:eastAsia="黑体"/>
          <w:sz w:val="24"/>
        </w:rPr>
      </w:pPr>
      <w:r>
        <w:rPr>
          <w:rFonts w:hint="eastAsia" w:ascii="黑体" w:hAnsi="宋体" w:eastAsia="黑体"/>
          <w:sz w:val="24"/>
        </w:rPr>
        <w:t>8．投标费用</w:t>
      </w:r>
    </w:p>
    <w:p w14:paraId="0465808A">
      <w:pPr>
        <w:ind w:firstLine="411" w:firstLineChars="196"/>
        <w:rPr>
          <w:rFonts w:ascii="宋体" w:hAnsi="宋体"/>
          <w:szCs w:val="21"/>
        </w:rPr>
      </w:pPr>
      <w:r>
        <w:rPr>
          <w:rFonts w:hint="eastAsia" w:ascii="宋体" w:hAnsi="宋体"/>
          <w:szCs w:val="21"/>
        </w:rPr>
        <w:t>不论投标结果如何，投标人应承担其编制投标文件与递交投标文件所涉及的一切费用。</w:t>
      </w:r>
    </w:p>
    <w:p w14:paraId="66DB511F">
      <w:pPr>
        <w:rPr>
          <w:rFonts w:ascii="黑体" w:hAnsi="宋体" w:eastAsia="黑体"/>
          <w:sz w:val="24"/>
        </w:rPr>
      </w:pPr>
      <w:r>
        <w:rPr>
          <w:rFonts w:hint="eastAsia" w:ascii="黑体" w:hAnsi="宋体" w:eastAsia="黑体"/>
          <w:sz w:val="24"/>
        </w:rPr>
        <w:t>9．踏勘现场</w:t>
      </w:r>
    </w:p>
    <w:p w14:paraId="6A7EFD22">
      <w:pPr>
        <w:ind w:firstLine="411" w:firstLineChars="196"/>
        <w:rPr>
          <w:rFonts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3015C263">
      <w:pPr>
        <w:ind w:firstLine="411" w:firstLineChars="196"/>
        <w:rPr>
          <w:rFonts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14:paraId="041AEE13">
      <w:pPr>
        <w:ind w:firstLine="411" w:firstLineChars="196"/>
        <w:rPr>
          <w:rFonts w:ascii="宋体" w:hAnsi="宋体"/>
        </w:rPr>
      </w:pPr>
      <w:r>
        <w:rPr>
          <w:rFonts w:hint="eastAsia" w:ascii="宋体" w:hAnsi="宋体"/>
        </w:rPr>
        <w:t>9.3采购人应当通过政府集中采购机构向投标人提供有关现场的书面资料和数据。</w:t>
      </w:r>
    </w:p>
    <w:p w14:paraId="14EF783B">
      <w:pPr>
        <w:ind w:firstLine="411" w:firstLineChars="196"/>
        <w:rPr>
          <w:rFonts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14:paraId="48D5E7FB">
      <w:pPr>
        <w:ind w:firstLine="411" w:firstLineChars="196"/>
        <w:rPr>
          <w:rFonts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7348FF24">
      <w:pPr>
        <w:rPr>
          <w:rFonts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14:paraId="380B75A3">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62E8620C">
      <w:pPr>
        <w:ind w:firstLine="411" w:firstLineChars="196"/>
        <w:rPr>
          <w:rFonts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14:paraId="1FB5C33A">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47"/>
    <w:p w14:paraId="13C8A29D">
      <w:pPr>
        <w:ind w:firstLine="411" w:firstLineChars="196"/>
        <w:rPr>
          <w:rFonts w:ascii="宋体" w:hAnsi="宋体"/>
        </w:rPr>
      </w:pPr>
    </w:p>
    <w:p w14:paraId="45F24C71">
      <w:pPr>
        <w:pStyle w:val="6"/>
        <w:numPr>
          <w:ilvl w:val="0"/>
          <w:numId w:val="12"/>
        </w:numPr>
        <w:spacing w:before="120" w:beforeLines="50" w:after="120" w:afterLines="50"/>
        <w:ind w:left="562" w:hanging="562"/>
        <w:rPr>
          <w:sz w:val="28"/>
          <w:szCs w:val="28"/>
        </w:rPr>
      </w:pPr>
      <w:r>
        <w:rPr>
          <w:rFonts w:hint="eastAsia"/>
          <w:sz w:val="28"/>
          <w:szCs w:val="28"/>
        </w:rPr>
        <w:t>招标文件</w:t>
      </w:r>
    </w:p>
    <w:p w14:paraId="2FF1A704">
      <w:pPr>
        <w:rPr>
          <w:rFonts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49" w:name="_Hlk72399819"/>
      <w:r>
        <w:rPr>
          <w:rFonts w:hint="eastAsia" w:ascii="黑体" w:hAnsi="宋体" w:eastAsia="黑体"/>
          <w:sz w:val="24"/>
        </w:rPr>
        <w:t>招标文件的编制与组成</w:t>
      </w:r>
    </w:p>
    <w:p w14:paraId="721624A4">
      <w:pPr>
        <w:snapToGrid w:val="0"/>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136DDEB9">
      <w:pPr>
        <w:ind w:firstLine="411" w:firstLineChars="196"/>
        <w:rPr>
          <w:rFonts w:ascii="宋体" w:hAnsi="宋体"/>
          <w:szCs w:val="21"/>
        </w:rPr>
      </w:pPr>
      <w:r>
        <w:rPr>
          <w:rFonts w:hint="eastAsia" w:ascii="宋体" w:hAnsi="宋体"/>
          <w:szCs w:val="21"/>
        </w:rPr>
        <w:t>招标文件包括下列内容：</w:t>
      </w:r>
    </w:p>
    <w:p w14:paraId="06F30F65">
      <w:pPr>
        <w:ind w:left="420" w:leftChars="200" w:firstLine="413" w:firstLineChars="196"/>
        <w:rPr>
          <w:rFonts w:ascii="宋体" w:hAnsi="宋体"/>
          <w:b/>
          <w:szCs w:val="21"/>
        </w:rPr>
      </w:pPr>
      <w:r>
        <w:rPr>
          <w:rFonts w:hint="eastAsia" w:ascii="宋体" w:hAnsi="宋体"/>
          <w:b/>
          <w:szCs w:val="21"/>
        </w:rPr>
        <w:t>第一册  专用条款</w:t>
      </w:r>
    </w:p>
    <w:p w14:paraId="5369FBC3">
      <w:pPr>
        <w:ind w:left="1079" w:leftChars="514"/>
        <w:rPr>
          <w:rFonts w:ascii="宋体" w:hAnsi="宋体"/>
          <w:b/>
          <w:szCs w:val="21"/>
        </w:rPr>
      </w:pPr>
      <w:r>
        <w:rPr>
          <w:rFonts w:hint="eastAsia" w:ascii="宋体" w:hAnsi="宋体"/>
          <w:b/>
          <w:szCs w:val="21"/>
        </w:rPr>
        <w:t>关键信息</w:t>
      </w:r>
    </w:p>
    <w:p w14:paraId="10C7083E">
      <w:pPr>
        <w:ind w:left="630" w:leftChars="300" w:firstLine="411" w:firstLineChars="196"/>
        <w:rPr>
          <w:rFonts w:ascii="宋体" w:hAnsi="宋体"/>
          <w:szCs w:val="21"/>
        </w:rPr>
      </w:pPr>
      <w:r>
        <w:rPr>
          <w:rFonts w:hint="eastAsia" w:ascii="宋体" w:hAnsi="宋体"/>
          <w:szCs w:val="21"/>
        </w:rPr>
        <w:t>第一章  招标公告</w:t>
      </w:r>
    </w:p>
    <w:p w14:paraId="154F15A5">
      <w:pPr>
        <w:ind w:left="630" w:leftChars="300" w:firstLine="411" w:firstLineChars="196"/>
        <w:rPr>
          <w:rFonts w:ascii="宋体" w:hAnsi="宋体"/>
          <w:szCs w:val="21"/>
        </w:rPr>
      </w:pPr>
      <w:r>
        <w:rPr>
          <w:rFonts w:hint="eastAsia" w:ascii="宋体" w:hAnsi="宋体"/>
          <w:szCs w:val="21"/>
        </w:rPr>
        <w:t>第二章  对通用条款的补充内容及其他关键信息</w:t>
      </w:r>
    </w:p>
    <w:p w14:paraId="6AA03D7A">
      <w:pPr>
        <w:ind w:left="630" w:leftChars="300" w:firstLine="411" w:firstLineChars="196"/>
        <w:rPr>
          <w:rFonts w:ascii="宋体" w:hAnsi="宋体"/>
          <w:szCs w:val="21"/>
        </w:rPr>
      </w:pPr>
      <w:r>
        <w:rPr>
          <w:rFonts w:hint="eastAsia" w:ascii="宋体" w:hAnsi="宋体"/>
          <w:szCs w:val="21"/>
        </w:rPr>
        <w:t>第三章  用户需求书</w:t>
      </w:r>
    </w:p>
    <w:p w14:paraId="4EE59146">
      <w:pPr>
        <w:ind w:left="630" w:leftChars="300" w:firstLine="411" w:firstLineChars="196"/>
        <w:rPr>
          <w:rFonts w:ascii="宋体" w:hAnsi="宋体"/>
          <w:szCs w:val="21"/>
        </w:rPr>
      </w:pPr>
      <w:r>
        <w:rPr>
          <w:rFonts w:hint="eastAsia"/>
        </w:rPr>
        <w:t xml:space="preserve">第四章 </w:t>
      </w:r>
      <w:r>
        <w:t xml:space="preserve"> </w:t>
      </w:r>
      <w:r>
        <w:rPr>
          <w:rFonts w:hint="eastAsia"/>
        </w:rPr>
        <w:t>投标文件格式及附件</w:t>
      </w:r>
    </w:p>
    <w:p w14:paraId="67E305F1">
      <w:pPr>
        <w:ind w:left="630" w:leftChars="300" w:firstLine="411" w:firstLineChars="196"/>
        <w:rPr>
          <w:rFonts w:ascii="宋体" w:hAnsi="宋体"/>
          <w:szCs w:val="21"/>
        </w:rPr>
      </w:pPr>
      <w:r>
        <w:rPr>
          <w:rFonts w:hint="eastAsia" w:ascii="宋体" w:hAnsi="宋体"/>
          <w:szCs w:val="21"/>
        </w:rPr>
        <w:t>第五章  合同条款及格式</w:t>
      </w:r>
    </w:p>
    <w:p w14:paraId="430FAF0B">
      <w:pPr>
        <w:ind w:left="420" w:leftChars="200" w:firstLine="413" w:firstLineChars="196"/>
        <w:rPr>
          <w:rFonts w:ascii="宋体" w:hAnsi="宋体"/>
          <w:b/>
          <w:szCs w:val="21"/>
        </w:rPr>
      </w:pPr>
      <w:r>
        <w:rPr>
          <w:rFonts w:hint="eastAsia" w:ascii="宋体" w:hAnsi="宋体"/>
          <w:b/>
          <w:szCs w:val="21"/>
        </w:rPr>
        <w:t>第二册  通用条款</w:t>
      </w:r>
    </w:p>
    <w:p w14:paraId="2236A7B0">
      <w:pPr>
        <w:ind w:left="630" w:leftChars="300" w:firstLine="411" w:firstLineChars="196"/>
        <w:rPr>
          <w:rFonts w:ascii="宋体" w:hAnsi="宋体"/>
          <w:szCs w:val="21"/>
        </w:rPr>
      </w:pPr>
      <w:r>
        <w:rPr>
          <w:rFonts w:hint="eastAsia" w:ascii="宋体" w:hAnsi="宋体"/>
          <w:szCs w:val="21"/>
        </w:rPr>
        <w:t>第一章  总则</w:t>
      </w:r>
    </w:p>
    <w:p w14:paraId="0CB7EF65">
      <w:pPr>
        <w:ind w:left="630" w:leftChars="300" w:firstLine="411" w:firstLineChars="196"/>
        <w:rPr>
          <w:rFonts w:ascii="宋体" w:hAnsi="宋体"/>
          <w:szCs w:val="21"/>
        </w:rPr>
      </w:pPr>
      <w:r>
        <w:rPr>
          <w:rFonts w:hint="eastAsia" w:ascii="宋体" w:hAnsi="宋体"/>
          <w:szCs w:val="21"/>
        </w:rPr>
        <w:t>第二章  招标文件</w:t>
      </w:r>
    </w:p>
    <w:p w14:paraId="35625E7A">
      <w:pPr>
        <w:ind w:left="630" w:leftChars="300" w:firstLine="411" w:firstLineChars="196"/>
        <w:rPr>
          <w:rFonts w:ascii="宋体" w:hAnsi="宋体"/>
          <w:szCs w:val="21"/>
        </w:rPr>
      </w:pPr>
      <w:r>
        <w:rPr>
          <w:rFonts w:hint="eastAsia" w:ascii="宋体" w:hAnsi="宋体"/>
          <w:szCs w:val="21"/>
        </w:rPr>
        <w:t>第三章  投标文件的编制</w:t>
      </w:r>
    </w:p>
    <w:p w14:paraId="0B5B825F">
      <w:pPr>
        <w:ind w:left="630" w:leftChars="300" w:firstLine="411" w:firstLineChars="196"/>
        <w:rPr>
          <w:rFonts w:ascii="宋体" w:hAnsi="宋体"/>
          <w:szCs w:val="21"/>
        </w:rPr>
      </w:pPr>
      <w:r>
        <w:rPr>
          <w:rFonts w:hint="eastAsia" w:ascii="宋体" w:hAnsi="宋体"/>
          <w:szCs w:val="21"/>
        </w:rPr>
        <w:t>第四章  投标文件的递交</w:t>
      </w:r>
    </w:p>
    <w:p w14:paraId="266B1A85">
      <w:pPr>
        <w:ind w:left="630" w:leftChars="300" w:firstLine="411" w:firstLineChars="196"/>
        <w:rPr>
          <w:rFonts w:ascii="宋体" w:hAnsi="宋体"/>
          <w:szCs w:val="21"/>
        </w:rPr>
      </w:pPr>
      <w:r>
        <w:rPr>
          <w:rFonts w:hint="eastAsia" w:ascii="宋体" w:hAnsi="宋体"/>
          <w:szCs w:val="21"/>
        </w:rPr>
        <w:t>第五章  开标</w:t>
      </w:r>
    </w:p>
    <w:p w14:paraId="51A66C0C">
      <w:pPr>
        <w:ind w:left="630" w:leftChars="300" w:firstLine="411" w:firstLineChars="196"/>
        <w:rPr>
          <w:rFonts w:ascii="宋体" w:hAnsi="宋体"/>
          <w:szCs w:val="21"/>
        </w:rPr>
      </w:pPr>
      <w:r>
        <w:rPr>
          <w:rFonts w:hint="eastAsia" w:ascii="宋体" w:hAnsi="宋体"/>
          <w:szCs w:val="21"/>
        </w:rPr>
        <w:t>第六章  评审要求</w:t>
      </w:r>
    </w:p>
    <w:p w14:paraId="0B873E84">
      <w:pPr>
        <w:ind w:left="630" w:leftChars="300" w:firstLine="411" w:firstLineChars="196"/>
        <w:rPr>
          <w:rFonts w:ascii="宋体" w:hAnsi="宋体"/>
          <w:szCs w:val="21"/>
        </w:rPr>
      </w:pPr>
      <w:r>
        <w:rPr>
          <w:rFonts w:hint="eastAsia" w:ascii="宋体" w:hAnsi="宋体"/>
          <w:szCs w:val="21"/>
        </w:rPr>
        <w:t>第七章  评审程序及评审方法</w:t>
      </w:r>
    </w:p>
    <w:p w14:paraId="33B539E9">
      <w:pPr>
        <w:ind w:left="630" w:leftChars="300" w:firstLine="411" w:firstLineChars="196"/>
        <w:rPr>
          <w:rFonts w:ascii="宋体" w:hAnsi="宋体"/>
          <w:szCs w:val="21"/>
        </w:rPr>
      </w:pPr>
      <w:r>
        <w:rPr>
          <w:rFonts w:hint="eastAsia" w:ascii="宋体" w:hAnsi="宋体"/>
          <w:szCs w:val="21"/>
        </w:rPr>
        <w:t>第八章  定标及公示</w:t>
      </w:r>
    </w:p>
    <w:p w14:paraId="694BD4FA">
      <w:pPr>
        <w:ind w:left="630" w:leftChars="300" w:firstLine="411" w:firstLineChars="196"/>
        <w:rPr>
          <w:rFonts w:ascii="宋体" w:hAnsi="宋体"/>
          <w:szCs w:val="21"/>
        </w:rPr>
      </w:pPr>
      <w:r>
        <w:rPr>
          <w:rFonts w:hint="eastAsia" w:ascii="宋体" w:hAnsi="宋体"/>
          <w:szCs w:val="21"/>
        </w:rPr>
        <w:t>第九章  公开招标失败的后续处理</w:t>
      </w:r>
    </w:p>
    <w:p w14:paraId="23DF2814">
      <w:pPr>
        <w:ind w:left="630" w:leftChars="300" w:firstLine="411" w:firstLineChars="196"/>
        <w:rPr>
          <w:rFonts w:ascii="宋体" w:hAnsi="宋体"/>
          <w:szCs w:val="21"/>
        </w:rPr>
      </w:pPr>
      <w:r>
        <w:rPr>
          <w:rFonts w:hint="eastAsia" w:ascii="宋体" w:hAnsi="宋体"/>
          <w:szCs w:val="21"/>
        </w:rPr>
        <w:t>第十章  合同的授予与备案</w:t>
      </w:r>
    </w:p>
    <w:p w14:paraId="29138228">
      <w:pPr>
        <w:ind w:left="630" w:leftChars="300" w:firstLine="411" w:firstLineChars="196"/>
        <w:rPr>
          <w:rFonts w:ascii="宋体" w:hAnsi="宋体"/>
          <w:szCs w:val="21"/>
        </w:rPr>
      </w:pPr>
      <w:r>
        <w:rPr>
          <w:rFonts w:hint="eastAsia" w:ascii="宋体" w:hAnsi="宋体"/>
          <w:szCs w:val="21"/>
        </w:rPr>
        <w:t>第十一章  质疑处理</w:t>
      </w:r>
    </w:p>
    <w:p w14:paraId="35EE7764">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0DDD5F49">
      <w:pPr>
        <w:ind w:firstLine="411" w:firstLineChars="196"/>
        <w:rPr>
          <w:rFonts w:hint="eastAsia" w:ascii="宋体" w:hAnsi="宋体"/>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54A8AD94">
      <w:pPr>
        <w:ind w:firstLine="411" w:firstLineChars="196"/>
        <w:rPr>
          <w:rFonts w:hint="eastAsia" w:ascii="宋体" w:hAnsi="宋体"/>
          <w:szCs w:val="21"/>
        </w:rPr>
      </w:pPr>
      <w:r>
        <w:rPr>
          <w:rFonts w:hint="eastAsia" w:ascii="宋体" w:hAnsi="宋体"/>
          <w:szCs w:val="21"/>
          <w:lang w:val="en-US" w:eastAsia="zh-CN"/>
        </w:rPr>
        <w:t>11.4招标文件所称“原件备查”，是指在项目产生质疑、投诉等阶段，主管部门、采购人、代理机构、评审委员会等可以要求供应商提供原件进行核查。</w:t>
      </w:r>
    </w:p>
    <w:p w14:paraId="69EC08A4">
      <w:pPr>
        <w:rPr>
          <w:rFonts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14:paraId="79C13CE2">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06711283">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14:paraId="60CC8FEF">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635C7565">
      <w:pPr>
        <w:rPr>
          <w:rFonts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612998C0">
      <w:pPr>
        <w:ind w:firstLine="411" w:firstLineChars="196"/>
        <w:rPr>
          <w:rFonts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27B8C4A3">
      <w:pPr>
        <w:ind w:firstLine="411" w:firstLineChars="196"/>
        <w:rPr>
          <w:rFonts w:ascii="宋体" w:hAnsi="宋体"/>
          <w:szCs w:val="21"/>
        </w:rPr>
      </w:pPr>
      <w:r>
        <w:rPr>
          <w:rFonts w:ascii="宋体" w:hAnsi="宋体"/>
          <w:szCs w:val="21"/>
        </w:rPr>
        <w:t>1</w:t>
      </w:r>
      <w:r>
        <w:rPr>
          <w:rFonts w:hint="eastAsia" w:ascii="宋体" w:hAnsi="宋体"/>
          <w:szCs w:val="21"/>
        </w:rPr>
        <w:t>3.2招标文件的修改以书面形式（包括网站发布方式，如更正公告等）发送给所有投标人，招标文件的修改内容作为招标文件的组成部分，并具有约束力。</w:t>
      </w:r>
    </w:p>
    <w:p w14:paraId="5DA23351">
      <w:pPr>
        <w:ind w:firstLine="411" w:firstLineChars="196"/>
        <w:rPr>
          <w:rFonts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605A6E6A">
      <w:pPr>
        <w:ind w:firstLine="411" w:firstLineChars="196"/>
        <w:rPr>
          <w:rFonts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网站发布方式，如更正公告等）发送给所有投标人。为使投标人在编制投标文件时有充分时间对招标文件的修改部分进行研究，政府集中采购机构可以酌情延长递交投标文件的截止日期。</w:t>
      </w:r>
      <w:bookmarkEnd w:id="49"/>
    </w:p>
    <w:p w14:paraId="799E3D00">
      <w:pPr>
        <w:rPr>
          <w:rFonts w:ascii="宋体" w:hAnsi="宋体"/>
          <w:szCs w:val="21"/>
        </w:rPr>
      </w:pPr>
    </w:p>
    <w:p w14:paraId="322FFC9B">
      <w:pPr>
        <w:pStyle w:val="6"/>
        <w:numPr>
          <w:ilvl w:val="0"/>
          <w:numId w:val="12"/>
        </w:numPr>
        <w:spacing w:before="120" w:beforeLines="50" w:after="120" w:afterLines="50"/>
        <w:ind w:left="562" w:hanging="562"/>
        <w:rPr>
          <w:sz w:val="28"/>
          <w:szCs w:val="28"/>
        </w:rPr>
      </w:pPr>
      <w:r>
        <w:rPr>
          <w:rFonts w:hint="eastAsia"/>
          <w:sz w:val="28"/>
          <w:szCs w:val="28"/>
        </w:rPr>
        <w:t>投标文件的编制</w:t>
      </w:r>
    </w:p>
    <w:p w14:paraId="523AC4C3">
      <w:pPr>
        <w:rPr>
          <w:rFonts w:ascii="黑体" w:hAnsi="宋体" w:eastAsia="黑体"/>
          <w:sz w:val="24"/>
        </w:rPr>
      </w:pPr>
      <w:r>
        <w:rPr>
          <w:rFonts w:hint="eastAsia" w:ascii="黑体" w:hAnsi="宋体" w:eastAsia="黑体"/>
          <w:sz w:val="24"/>
        </w:rPr>
        <w:t>14．</w:t>
      </w:r>
      <w:bookmarkStart w:id="50" w:name="_Hlk72400236"/>
      <w:r>
        <w:rPr>
          <w:rFonts w:hint="eastAsia" w:ascii="黑体" w:hAnsi="宋体" w:eastAsia="黑体"/>
          <w:sz w:val="24"/>
        </w:rPr>
        <w:t>投标文件的语言及度量单位</w:t>
      </w:r>
    </w:p>
    <w:p w14:paraId="35D4AD68">
      <w:pPr>
        <w:ind w:firstLine="411" w:firstLineChars="196"/>
        <w:rPr>
          <w:rFonts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14:paraId="3DD69C68">
      <w:pPr>
        <w:ind w:firstLine="411" w:firstLineChars="196"/>
        <w:rPr>
          <w:rFonts w:ascii="宋体" w:hAnsi="宋体"/>
          <w:szCs w:val="21"/>
        </w:rPr>
      </w:pPr>
      <w:r>
        <w:rPr>
          <w:rFonts w:hint="eastAsia" w:ascii="宋体" w:hAnsi="宋体"/>
          <w:szCs w:val="21"/>
        </w:rPr>
        <w:t>14.2 除技术规范另有规定外，投标文件使用的度量单位，均采用中华人民共和国法定计量单位。</w:t>
      </w:r>
    </w:p>
    <w:bookmarkEnd w:id="50"/>
    <w:p w14:paraId="3B49B59D">
      <w:pPr>
        <w:rPr>
          <w:rFonts w:ascii="黑体" w:hAnsi="宋体" w:eastAsia="黑体"/>
          <w:sz w:val="24"/>
        </w:rPr>
      </w:pPr>
      <w:r>
        <w:rPr>
          <w:rFonts w:hint="eastAsia" w:ascii="黑体" w:hAnsi="宋体" w:eastAsia="黑体"/>
          <w:sz w:val="24"/>
        </w:rPr>
        <w:t>15．</w:t>
      </w:r>
      <w:bookmarkStart w:id="51" w:name="_Hlk72401567"/>
      <w:r>
        <w:rPr>
          <w:rFonts w:hint="eastAsia" w:ascii="黑体" w:hAnsi="宋体" w:eastAsia="黑体"/>
          <w:sz w:val="24"/>
        </w:rPr>
        <w:t>投标文件的组成</w:t>
      </w:r>
    </w:p>
    <w:p w14:paraId="36817EBA">
      <w:pPr>
        <w:ind w:firstLine="411" w:firstLineChars="196"/>
        <w:rPr>
          <w:rFonts w:ascii="宋体" w:hAnsi="宋体"/>
          <w:szCs w:val="21"/>
        </w:rPr>
      </w:pPr>
      <w:r>
        <w:rPr>
          <w:rFonts w:hint="eastAsia" w:ascii="宋体" w:hAnsi="宋体"/>
          <w:szCs w:val="21"/>
        </w:rPr>
        <w:t>具体内容在招标文件专用条款中进行规定。</w:t>
      </w:r>
    </w:p>
    <w:p w14:paraId="35EAE19D">
      <w:pPr>
        <w:rPr>
          <w:rFonts w:ascii="黑体" w:hAnsi="宋体" w:eastAsia="黑体"/>
          <w:sz w:val="24"/>
        </w:rPr>
      </w:pPr>
      <w:r>
        <w:rPr>
          <w:rFonts w:ascii="黑体" w:hAnsi="宋体" w:eastAsia="黑体"/>
          <w:sz w:val="24"/>
        </w:rPr>
        <w:t>16．投标文件格式</w:t>
      </w:r>
    </w:p>
    <w:p w14:paraId="055AFF6A">
      <w:pPr>
        <w:ind w:firstLine="411" w:firstLineChars="196"/>
        <w:rPr>
          <w:rFonts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7303DC65">
      <w:pPr>
        <w:rPr>
          <w:rFonts w:ascii="黑体" w:hAnsi="宋体" w:eastAsia="黑体"/>
          <w:sz w:val="24"/>
        </w:rPr>
      </w:pPr>
      <w:r>
        <w:rPr>
          <w:rFonts w:hint="eastAsia" w:ascii="黑体" w:hAnsi="宋体" w:eastAsia="黑体"/>
          <w:sz w:val="24"/>
        </w:rPr>
        <w:t>17．投标货币</w:t>
      </w:r>
    </w:p>
    <w:p w14:paraId="6EE5E8ED">
      <w:pPr>
        <w:ind w:firstLine="411" w:firstLineChars="196"/>
        <w:rPr>
          <w:rFonts w:ascii="宋体" w:hAnsi="宋体"/>
          <w:szCs w:val="21"/>
        </w:rPr>
      </w:pPr>
      <w:r>
        <w:rPr>
          <w:rFonts w:hint="eastAsia" w:ascii="宋体" w:hAnsi="宋体"/>
          <w:szCs w:val="21"/>
        </w:rPr>
        <w:t>本项目的投标报价应以人民币计。</w:t>
      </w:r>
    </w:p>
    <w:bookmarkEnd w:id="51"/>
    <w:p w14:paraId="1592B944">
      <w:pPr>
        <w:rPr>
          <w:rFonts w:ascii="黑体" w:hAnsi="宋体" w:eastAsia="黑体"/>
          <w:sz w:val="24"/>
        </w:rPr>
      </w:pPr>
      <w:r>
        <w:rPr>
          <w:rFonts w:hint="eastAsia" w:ascii="黑体" w:hAnsi="宋体" w:eastAsia="黑体"/>
          <w:sz w:val="24"/>
        </w:rPr>
        <w:t>18．</w:t>
      </w:r>
      <w:bookmarkStart w:id="52" w:name="_Hlk72401735"/>
      <w:r>
        <w:rPr>
          <w:rFonts w:hint="eastAsia" w:ascii="黑体" w:hAnsi="宋体" w:eastAsia="黑体"/>
          <w:sz w:val="24"/>
        </w:rPr>
        <w:t>证明投标文件投标技术方案的合格性和符合招标文件规定的文件要求</w:t>
      </w:r>
    </w:p>
    <w:p w14:paraId="145A4F6C">
      <w:pPr>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09099F76">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566AA610">
      <w:pPr>
        <w:ind w:firstLine="411" w:firstLineChars="196"/>
        <w:rPr>
          <w:rFonts w:ascii="宋体" w:hAnsi="宋体"/>
          <w:szCs w:val="21"/>
        </w:rPr>
      </w:pPr>
      <w:r>
        <w:rPr>
          <w:rFonts w:hint="eastAsia" w:ascii="宋体" w:hAnsi="宋体"/>
          <w:szCs w:val="21"/>
        </w:rPr>
        <w:t>18.2.1主要技术指标和性能的详细说明。</w:t>
      </w:r>
    </w:p>
    <w:p w14:paraId="38A6B4AC">
      <w:pPr>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4CDC5246">
      <w:pPr>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6ABE9973">
      <w:pPr>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6E9A1CC4">
      <w:pPr>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1CE67FE1">
      <w:pPr>
        <w:ind w:firstLine="411" w:firstLineChars="196"/>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20E95BAF">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42714921">
      <w:pPr>
        <w:ind w:firstLine="411" w:firstLineChars="196"/>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52"/>
    <w:p w14:paraId="4D7B64EB">
      <w:pPr>
        <w:rPr>
          <w:rFonts w:ascii="黑体" w:hAnsi="宋体" w:eastAsia="黑体"/>
          <w:sz w:val="24"/>
        </w:rPr>
      </w:pPr>
      <w:r>
        <w:rPr>
          <w:rFonts w:hint="eastAsia" w:ascii="黑体" w:hAnsi="宋体" w:eastAsia="黑体"/>
          <w:sz w:val="24"/>
        </w:rPr>
        <w:t>19．</w:t>
      </w:r>
      <w:bookmarkStart w:id="53" w:name="_Hlk72402034"/>
      <w:r>
        <w:rPr>
          <w:rFonts w:hint="eastAsia" w:ascii="黑体" w:hAnsi="宋体" w:eastAsia="黑体"/>
          <w:sz w:val="24"/>
        </w:rPr>
        <w:t>投标文件其他证明文件的要求</w:t>
      </w:r>
    </w:p>
    <w:p w14:paraId="1829246A">
      <w:pPr>
        <w:rPr>
          <w:rFonts w:ascii="宋体" w:hAnsi="宋体"/>
          <w:color w:val="FF0000"/>
          <w:szCs w:val="21"/>
        </w:rPr>
      </w:pPr>
      <w:r>
        <w:rPr>
          <w:rFonts w:hint="eastAsia" w:ascii="黑体" w:hAnsi="宋体" w:eastAsia="黑体"/>
          <w:sz w:val="24"/>
        </w:rPr>
        <w:t xml:space="preserve">    </w:t>
      </w: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54" w:name="_Hlk71407299"/>
      <w:r>
        <w:rPr>
          <w:rFonts w:hint="eastAsia" w:ascii="宋体" w:hAnsi="宋体"/>
          <w:szCs w:val="21"/>
        </w:rPr>
        <w:t>若投标人未按要求提供证明材料或提供的是部分证明材料或提供不清晰的扫描件（或照片）的，采购人</w:t>
      </w:r>
      <w:r>
        <w:rPr>
          <w:rFonts w:hint="eastAsia" w:ascii="宋体" w:hAnsi="宋体"/>
          <w:szCs w:val="21"/>
          <w:lang w:eastAsia="zh-CN"/>
        </w:rPr>
        <w:t>、</w:t>
      </w:r>
      <w:r>
        <w:rPr>
          <w:rFonts w:hint="eastAsia" w:ascii="宋体" w:hAnsi="宋体"/>
          <w:szCs w:val="21"/>
        </w:rPr>
        <w:t>代理机构</w:t>
      </w:r>
      <w:r>
        <w:rPr>
          <w:rFonts w:hint="eastAsia" w:ascii="宋体" w:hAnsi="宋体"/>
          <w:szCs w:val="21"/>
          <w:lang w:val="en-US" w:eastAsia="zh-CN"/>
        </w:rPr>
        <w:t>及</w:t>
      </w:r>
      <w:r>
        <w:rPr>
          <w:rFonts w:hint="eastAsia" w:ascii="宋体" w:hAnsi="宋体"/>
          <w:szCs w:val="21"/>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54"/>
    <w:p w14:paraId="27670FDC">
      <w:pPr>
        <w:ind w:firstLine="411" w:firstLineChars="196"/>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548B8F5E">
      <w:pPr>
        <w:rPr>
          <w:rFonts w:ascii="黑体" w:hAnsi="宋体" w:eastAsia="黑体"/>
          <w:sz w:val="24"/>
        </w:rPr>
      </w:pPr>
      <w:r>
        <w:rPr>
          <w:rFonts w:hint="eastAsia" w:ascii="黑体" w:hAnsi="宋体" w:eastAsia="黑体"/>
          <w:sz w:val="24"/>
        </w:rPr>
        <w:t>20．投标有效期</w:t>
      </w:r>
    </w:p>
    <w:bookmarkEnd w:id="53"/>
    <w:p w14:paraId="44DA6603">
      <w:pPr>
        <w:ind w:firstLine="411" w:firstLineChars="196"/>
        <w:rPr>
          <w:rFonts w:ascii="宋体" w:hAnsi="宋体"/>
          <w:szCs w:val="21"/>
        </w:rPr>
      </w:pPr>
      <w:bookmarkStart w:id="55"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217E2D85">
      <w:pPr>
        <w:ind w:firstLine="411" w:firstLineChars="196"/>
        <w:rPr>
          <w:rFonts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16843E85">
      <w:pPr>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55"/>
    <w:p w14:paraId="38D43BAC">
      <w:pPr>
        <w:rPr>
          <w:rFonts w:ascii="黑体" w:hAnsi="宋体" w:eastAsia="黑体"/>
          <w:sz w:val="24"/>
        </w:rPr>
      </w:pPr>
      <w:r>
        <w:rPr>
          <w:rFonts w:hint="eastAsia" w:ascii="黑体" w:hAnsi="宋体" w:eastAsia="黑体"/>
          <w:sz w:val="24"/>
        </w:rPr>
        <w:t>21．</w:t>
      </w:r>
      <w:bookmarkStart w:id="56" w:name="_Hlk72402325"/>
      <w:r>
        <w:rPr>
          <w:rFonts w:hint="eastAsia" w:ascii="黑体" w:hAnsi="宋体" w:eastAsia="黑体"/>
          <w:sz w:val="24"/>
        </w:rPr>
        <w:t xml:space="preserve">关于投标保证金 </w:t>
      </w:r>
    </w:p>
    <w:p w14:paraId="748D9BE0">
      <w:pPr>
        <w:rPr>
          <w:rFonts w:ascii="宋体" w:hAnsi="宋体"/>
          <w:szCs w:val="21"/>
        </w:rPr>
      </w:pPr>
      <w:r>
        <w:rPr>
          <w:rFonts w:hint="eastAsia" w:ascii="宋体" w:hAnsi="宋体"/>
          <w:szCs w:val="21"/>
        </w:rPr>
        <w:t xml:space="preserve">    21.1</w:t>
      </w:r>
      <w:r>
        <w:rPr>
          <w:rFonts w:hint="eastAsia"/>
        </w:rPr>
        <w:t>根据《深圳市财政局关于调整政府采购投标（响应）保证金管理政策的通知》（深财购〔2021〕51号）文的规定，本项目不收取投标保证金。</w:t>
      </w:r>
    </w:p>
    <w:p w14:paraId="6CDF9880">
      <w:pPr>
        <w:rPr>
          <w:rFonts w:ascii="黑体" w:hAnsi="宋体" w:eastAsia="黑体"/>
          <w:sz w:val="24"/>
        </w:rPr>
      </w:pPr>
      <w:r>
        <w:rPr>
          <w:rFonts w:hint="eastAsia" w:ascii="黑体" w:hAnsi="宋体" w:eastAsia="黑体"/>
          <w:sz w:val="24"/>
        </w:rPr>
        <w:t>22．投标人的替代方案</w:t>
      </w:r>
    </w:p>
    <w:p w14:paraId="37C368A2">
      <w:pPr>
        <w:ind w:firstLine="411" w:firstLineChars="196"/>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1BDA5CE4">
      <w:pPr>
        <w:ind w:firstLine="411" w:firstLineChars="196"/>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6"/>
    <w:p w14:paraId="38C80CA4">
      <w:pPr>
        <w:rPr>
          <w:rFonts w:ascii="黑体" w:hAnsi="宋体" w:eastAsia="黑体"/>
          <w:sz w:val="24"/>
        </w:rPr>
      </w:pPr>
      <w:r>
        <w:rPr>
          <w:rFonts w:hint="eastAsia" w:ascii="黑体" w:hAnsi="宋体" w:eastAsia="黑体"/>
          <w:sz w:val="24"/>
        </w:rPr>
        <w:t>23．</w:t>
      </w:r>
      <w:bookmarkStart w:id="57"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16570DEE">
      <w:pPr>
        <w:ind w:firstLine="411" w:firstLineChars="196"/>
        <w:rPr>
          <w:rFonts w:ascii="宋体" w:hAnsi="宋体" w:eastAsia="宋体" w:cs="Times New Roman"/>
        </w:rPr>
      </w:pPr>
      <w:r>
        <w:rPr>
          <w:rFonts w:hint="eastAsia" w:ascii="宋体" w:hAnsi="宋体" w:eastAsia="宋体" w:cs="Times New Roman"/>
        </w:rPr>
        <w:t>23.1投标人应准备所投项目的电子投标文件一份。此电子投标文件须由投标人根据政府集中采购机构提供的后缀名为.TYZB的电子招标文件，下载并使用相应的</w:t>
      </w:r>
      <w:r>
        <w:rPr>
          <w:rFonts w:hint="eastAsia" w:ascii="宋体" w:hAnsi="宋体"/>
          <w:szCs w:val="21"/>
        </w:rPr>
        <w:t>深圳市自行采购系统</w:t>
      </w:r>
      <w:r>
        <w:rPr>
          <w:rFonts w:hint="eastAsia" w:ascii="宋体" w:hAnsi="宋体" w:eastAsia="宋体" w:cs="Times New Roman"/>
        </w:rPr>
        <w:t>投标文件制作专用软件打开招标文件（.TYZB格式）【下载地址：https://www.szggzy.com/jyfw/list.html?id=jyfwzfcg】。</w:t>
      </w:r>
    </w:p>
    <w:p w14:paraId="37098EAF">
      <w:pPr>
        <w:ind w:firstLine="411" w:firstLineChars="196"/>
        <w:rPr>
          <w:rFonts w:ascii="宋体" w:hAnsi="宋体"/>
        </w:rPr>
      </w:pPr>
      <w:r>
        <w:rPr>
          <w:rFonts w:hint="eastAsia" w:ascii="宋体" w:hAnsi="宋体"/>
        </w:rPr>
        <w:t>23.2投标人在使用《投标书编制软件》编制投标书时须注意：</w:t>
      </w:r>
    </w:p>
    <w:p w14:paraId="6EBD6DEA">
      <w:pPr>
        <w:ind w:firstLine="411" w:firstLineChars="196"/>
        <w:rPr>
          <w:rFonts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14:paraId="16CAEDB7">
      <w:pPr>
        <w:ind w:firstLine="411" w:firstLineChars="196"/>
        <w:rPr>
          <w:rFonts w:ascii="宋体" w:hAnsi="宋体"/>
        </w:rPr>
      </w:pPr>
      <w:r>
        <w:rPr>
          <w:rFonts w:hint="eastAsia" w:ascii="宋体" w:hAnsi="宋体"/>
        </w:rPr>
        <w:t>23.2.2不能用非本公司的电子密钥加密本公司的投标文件，或者用其它公司的登录用户上传本公司的投标文件。</w:t>
      </w:r>
    </w:p>
    <w:p w14:paraId="77300C24">
      <w:pPr>
        <w:ind w:firstLine="411" w:firstLineChars="196"/>
        <w:rPr>
          <w:rFonts w:ascii="宋体" w:hAnsi="宋体"/>
        </w:rPr>
      </w:pPr>
      <w:r>
        <w:rPr>
          <w:rFonts w:hint="eastAsia" w:ascii="宋体" w:hAnsi="宋体"/>
        </w:rPr>
        <w:t>23.2.3要求用《投标书编制软件》编制投标书的包，不能用其它方式编制投标书。编制投标文件时，电脑须连通互联网。</w:t>
      </w:r>
    </w:p>
    <w:p w14:paraId="0D2CBF1F">
      <w:pPr>
        <w:ind w:firstLine="411" w:firstLineChars="196"/>
        <w:rPr>
          <w:rFonts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14:paraId="4728E36D">
      <w:pPr>
        <w:ind w:firstLine="411" w:firstLineChars="196"/>
        <w:rPr>
          <w:rFonts w:ascii="宋体" w:hAnsi="宋体"/>
          <w:b/>
        </w:rPr>
      </w:pPr>
      <w:r>
        <w:rPr>
          <w:rFonts w:hint="eastAsia" w:ascii="宋体" w:hAnsi="宋体"/>
        </w:rPr>
        <w:t>23.2.5</w:t>
      </w:r>
      <w:r>
        <w:rPr>
          <w:rFonts w:hint="eastAsia" w:ascii="宋体" w:hAnsi="宋体"/>
          <w:b/>
        </w:rPr>
        <w:t>“开标一览表”中的“投标报价”将作为价格分计算依据；其它信息仅是对投标文件相关内容的概括性表述，不作为评审依据。</w:t>
      </w:r>
    </w:p>
    <w:p w14:paraId="7458E049">
      <w:pPr>
        <w:ind w:firstLine="411" w:firstLineChars="196"/>
        <w:rPr>
          <w:rFonts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14:paraId="00B9129F">
      <w:pPr>
        <w:ind w:firstLine="411" w:firstLineChars="196"/>
        <w:rPr>
          <w:rFonts w:ascii="宋体" w:hAnsi="宋体"/>
        </w:rPr>
      </w:pPr>
      <w:r>
        <w:rPr>
          <w:rFonts w:hint="eastAsia" w:ascii="宋体" w:hAnsi="宋体"/>
        </w:rPr>
        <w:t>23.2.7投标文件编写完成后，</w:t>
      </w:r>
      <w:r>
        <w:rPr>
          <w:rFonts w:hint="eastAsia" w:ascii="宋体" w:hAnsi="宋体"/>
          <w:b/>
          <w:lang w:val="en-US" w:eastAsia="zh-CN"/>
        </w:rPr>
        <w:t>可选择</w:t>
      </w:r>
      <w:r>
        <w:rPr>
          <w:rFonts w:hint="eastAsia" w:ascii="宋体" w:hAnsi="宋体"/>
          <w:b/>
        </w:rPr>
        <w:t>用属于投标人的电子密钥</w:t>
      </w:r>
      <w:r>
        <w:rPr>
          <w:rFonts w:hint="eastAsia" w:ascii="宋体" w:hAnsi="宋体"/>
          <w:b/>
          <w:lang w:val="en-US" w:eastAsia="zh-CN"/>
        </w:rPr>
        <w:t>或电子营业执照</w:t>
      </w:r>
      <w:r>
        <w:rPr>
          <w:rFonts w:hint="eastAsia" w:ascii="宋体" w:hAnsi="宋体"/>
          <w:b/>
        </w:rPr>
        <w:t>进行加密。</w:t>
      </w:r>
    </w:p>
    <w:p w14:paraId="329385FB">
      <w:pPr>
        <w:ind w:firstLine="411" w:firstLineChars="196"/>
        <w:rPr>
          <w:rFonts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3A94B173">
      <w:pPr>
        <w:ind w:firstLine="411" w:firstLineChars="196"/>
        <w:rPr>
          <w:rFonts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14:paraId="716532F3">
      <w:pPr>
        <w:ind w:firstLine="411" w:firstLineChars="196"/>
        <w:rPr>
          <w:rFonts w:ascii="宋体" w:hAnsi="宋体"/>
        </w:rPr>
      </w:pPr>
      <w:r>
        <w:rPr>
          <w:rFonts w:hint="eastAsia" w:ascii="宋体" w:hAnsi="宋体"/>
        </w:rPr>
        <w:t>23.3电报、电话、传真形式的投标概不接受。</w:t>
      </w:r>
    </w:p>
    <w:p w14:paraId="7AF85AEC">
      <w:pPr>
        <w:ind w:firstLine="413" w:firstLineChars="196"/>
        <w:rPr>
          <w:rFonts w:ascii="宋体" w:hAnsi="宋体"/>
          <w:b/>
        </w:rPr>
      </w:pPr>
      <w:r>
        <w:rPr>
          <w:rFonts w:hint="eastAsia" w:ascii="宋体" w:hAnsi="宋体"/>
          <w:b/>
        </w:rPr>
        <w:t>23.4经投标人电子密钥</w:t>
      </w:r>
      <w:r>
        <w:rPr>
          <w:rFonts w:hint="eastAsia" w:ascii="宋体" w:hAnsi="宋体"/>
          <w:b/>
          <w:lang w:val="en-US" w:eastAsia="zh-CN"/>
        </w:rPr>
        <w:t>或电子营业执照</w:t>
      </w:r>
      <w:r>
        <w:rPr>
          <w:rFonts w:hint="eastAsia" w:ascii="宋体" w:hAnsi="宋体"/>
          <w:b/>
        </w:rPr>
        <w:t>加密的投标文件无须盖章或签字，</w:t>
      </w:r>
      <w:r>
        <w:rPr>
          <w:rFonts w:hint="eastAsia" w:ascii="宋体" w:hAnsi="宋体"/>
        </w:rPr>
        <w:t>专用条款另有要求的除外。</w:t>
      </w:r>
    </w:p>
    <w:p w14:paraId="1D3955E6">
      <w:pPr>
        <w:ind w:firstLine="413" w:firstLineChars="196"/>
        <w:rPr>
          <w:rFonts w:ascii="宋体" w:hAnsi="宋体"/>
        </w:rPr>
      </w:pPr>
      <w:r>
        <w:rPr>
          <w:rFonts w:hint="eastAsia" w:ascii="宋体" w:hAnsi="宋体"/>
          <w:b/>
        </w:rPr>
        <w:t>23.5</w:t>
      </w:r>
      <w:r>
        <w:rPr>
          <w:rFonts w:hint="eastAsia" w:ascii="宋体" w:hAnsi="宋体"/>
        </w:rPr>
        <w:t xml:space="preserve"> 各类资格（资质）文件提供扫描件，专用条款另有要求的除外。</w:t>
      </w:r>
      <w:bookmarkEnd w:id="57"/>
    </w:p>
    <w:p w14:paraId="20EE4674">
      <w:pPr>
        <w:ind w:firstLine="411" w:firstLineChars="196"/>
        <w:rPr>
          <w:rFonts w:ascii="宋体" w:hAnsi="宋体"/>
          <w:szCs w:val="21"/>
        </w:rPr>
      </w:pPr>
    </w:p>
    <w:p w14:paraId="7A4EDC4B">
      <w:pPr>
        <w:pStyle w:val="6"/>
        <w:numPr>
          <w:ilvl w:val="0"/>
          <w:numId w:val="12"/>
        </w:numPr>
        <w:spacing w:before="120" w:beforeLines="50" w:after="120" w:afterLines="50"/>
        <w:ind w:left="562" w:hanging="562"/>
        <w:rPr>
          <w:sz w:val="28"/>
          <w:szCs w:val="28"/>
        </w:rPr>
      </w:pPr>
      <w:r>
        <w:rPr>
          <w:rFonts w:hint="eastAsia"/>
          <w:sz w:val="28"/>
          <w:szCs w:val="28"/>
        </w:rPr>
        <w:t>投标文件的递交</w:t>
      </w:r>
    </w:p>
    <w:p w14:paraId="5A2D94C9">
      <w:pPr>
        <w:rPr>
          <w:rFonts w:ascii="黑体" w:hAnsi="宋体" w:eastAsia="黑体"/>
          <w:sz w:val="24"/>
        </w:rPr>
      </w:pPr>
      <w:bookmarkStart w:id="58" w:name="_Hlk72405459"/>
      <w:r>
        <w:rPr>
          <w:rFonts w:hint="eastAsia" w:ascii="黑体" w:hAnsi="宋体" w:eastAsia="黑体"/>
          <w:sz w:val="24"/>
        </w:rPr>
        <w:t>24．投标文件的保密</w:t>
      </w:r>
    </w:p>
    <w:p w14:paraId="400782A1">
      <w:pPr>
        <w:widowControl/>
        <w:spacing w:line="240" w:lineRule="auto"/>
        <w:ind w:firstLine="411" w:firstLineChars="196"/>
        <w:jc w:val="left"/>
        <w:rPr>
          <w:rFonts w:hint="eastAsia" w:ascii="Times New Roman" w:hAnsi="Times New Roman" w:eastAsia="宋体" w:cs="Times New Roman"/>
          <w:color w:val="FF0000"/>
          <w:lang w:eastAsia="zh-CN"/>
        </w:rPr>
      </w:pPr>
      <w:r>
        <w:rPr>
          <w:rFonts w:hint="eastAsia" w:ascii="宋体" w:hAnsi="宋体"/>
        </w:rPr>
        <w:t>24.1</w:t>
      </w:r>
      <w:r>
        <w:rPr>
          <w:rFonts w:hint="eastAsia" w:ascii="Times New Roman" w:hAnsi="Times New Roman" w:eastAsia="宋体" w:cs="Times New Roman"/>
          <w:color w:val="FF0000"/>
          <w:lang w:val="en-US" w:eastAsia="zh-CN"/>
        </w:rPr>
        <w:t>投标文件</w:t>
      </w:r>
      <w:r>
        <w:rPr>
          <w:rFonts w:hint="eastAsia" w:ascii="Times New Roman" w:hAnsi="Times New Roman" w:eastAsia="宋体" w:cs="Times New Roman"/>
          <w:color w:val="FF0000"/>
        </w:rPr>
        <w:t>生成后会选择是否加密投标文件，如不加密则直接点击生成文件即可，如需加密请插入CA锁，点击加密后生成文件，需输入CA锁密码即可加密成功</w:t>
      </w:r>
      <w:r>
        <w:rPr>
          <w:rFonts w:hint="eastAsia" w:ascii="Times New Roman" w:hAnsi="Times New Roman" w:eastAsia="宋体" w:cs="Times New Roman"/>
          <w:color w:val="FF0000"/>
          <w:lang w:eastAsia="zh-CN"/>
        </w:rPr>
        <w:t>。</w:t>
      </w:r>
    </w:p>
    <w:p w14:paraId="67DB7959">
      <w:pPr>
        <w:spacing w:line="360" w:lineRule="auto"/>
        <w:rPr>
          <w:rFonts w:ascii="Times New Roman" w:hAnsi="Times New Roman" w:eastAsia="宋体" w:cs="Times New Roman"/>
        </w:rPr>
      </w:pPr>
      <w:r>
        <w:rPr>
          <w:rFonts w:hint="eastAsia" w:ascii="Times New Roman" w:hAnsi="Times New Roman" w:eastAsia="宋体" w:cs="Times New Roman"/>
        </w:rPr>
        <w:drawing>
          <wp:inline distT="0" distB="0" distL="114300" distR="114300">
            <wp:extent cx="5266690" cy="2126615"/>
            <wp:effectExtent l="0" t="0" r="10160" b="6985"/>
            <wp:docPr id="14" name="图片 14" descr="企业微信截图_1699261725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企业微信截图_16992617251837"/>
                    <pic:cNvPicPr>
                      <a:picLocks noChangeAspect="1"/>
                    </pic:cNvPicPr>
                  </pic:nvPicPr>
                  <pic:blipFill>
                    <a:blip r:embed="rId10"/>
                    <a:stretch>
                      <a:fillRect/>
                    </a:stretch>
                  </pic:blipFill>
                  <pic:spPr>
                    <a:xfrm>
                      <a:off x="0" y="0"/>
                      <a:ext cx="5266690" cy="2126615"/>
                    </a:xfrm>
                    <a:prstGeom prst="rect">
                      <a:avLst/>
                    </a:prstGeom>
                  </pic:spPr>
                </pic:pic>
              </a:graphicData>
            </a:graphic>
          </wp:inline>
        </w:drawing>
      </w:r>
    </w:p>
    <w:p w14:paraId="70A2C1CF">
      <w:pPr>
        <w:widowControl w:val="0"/>
        <w:jc w:val="left"/>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加密后会提示文件生成成功！</w:t>
      </w:r>
    </w:p>
    <w:p w14:paraId="159C10B2">
      <w:pPr>
        <w:jc w:val="left"/>
        <w:rPr>
          <w:sz w:val="24"/>
        </w:rPr>
      </w:pPr>
      <w:r>
        <w:rPr>
          <w:rFonts w:hint="eastAsia" w:ascii="Times New Roman" w:hAnsi="Times New Roman" w:eastAsia="宋体" w:cs="Times New Roman"/>
          <w:color w:val="FF0000"/>
          <w:kern w:val="2"/>
          <w:sz w:val="21"/>
          <w:szCs w:val="24"/>
          <w:lang w:val="en-US" w:eastAsia="zh-CN" w:bidi="ar-SA"/>
        </w:rPr>
        <w:t>(注意：</w:t>
      </w:r>
      <w:r>
        <w:rPr>
          <w:rFonts w:hint="eastAsia" w:ascii="Times New Roman" w:hAnsi="Times New Roman" w:eastAsia="宋体" w:cs="Times New Roman"/>
          <w:kern w:val="2"/>
          <w:sz w:val="21"/>
          <w:szCs w:val="24"/>
          <w:lang w:val="en-US" w:eastAsia="zh-CN" w:bidi="ar-SA"/>
        </w:rPr>
        <w:t>加密的投标文件</w:t>
      </w:r>
      <w:r>
        <w:rPr>
          <w:rFonts w:hint="eastAsia" w:ascii="Times New Roman" w:hAnsi="Times New Roman" w:eastAsia="宋体" w:cs="Times New Roman"/>
          <w:color w:val="FF0000"/>
          <w:kern w:val="2"/>
          <w:sz w:val="21"/>
          <w:szCs w:val="24"/>
          <w:lang w:val="en-US" w:eastAsia="zh-CN" w:bidi="ar-SA"/>
        </w:rPr>
        <w:t>开标时须使用加密文件时使用的锁在项目规定时间内解密！</w:t>
      </w:r>
      <w:r>
        <w:rPr>
          <w:rFonts w:hint="eastAsia" w:ascii="Times New Roman" w:hAnsi="Times New Roman" w:eastAsia="宋体" w:cs="Times New Roman"/>
          <w:color w:val="FF0000"/>
        </w:rPr>
        <w:t>)</w:t>
      </w:r>
    </w:p>
    <w:p w14:paraId="301C7196">
      <w:pPr>
        <w:ind w:firstLine="0" w:firstLineChars="0"/>
        <w:rPr>
          <w:rFonts w:ascii="宋体" w:hAnsi="宋体"/>
          <w:b w:val="0"/>
        </w:rPr>
      </w:pPr>
      <w:r>
        <w:drawing>
          <wp:inline distT="0" distB="0" distL="114300" distR="114300">
            <wp:extent cx="5266690" cy="2185035"/>
            <wp:effectExtent l="0" t="0" r="10160" b="571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11"/>
                    <a:stretch>
                      <a:fillRect/>
                    </a:stretch>
                  </pic:blipFill>
                  <pic:spPr>
                    <a:xfrm>
                      <a:off x="0" y="0"/>
                      <a:ext cx="5266690" cy="2185035"/>
                    </a:xfrm>
                    <a:prstGeom prst="rect">
                      <a:avLst/>
                    </a:prstGeom>
                    <a:noFill/>
                    <a:ln>
                      <a:noFill/>
                    </a:ln>
                  </pic:spPr>
                </pic:pic>
              </a:graphicData>
            </a:graphic>
          </wp:inline>
        </w:drawing>
      </w:r>
    </w:p>
    <w:p w14:paraId="06F82A0B">
      <w:pPr>
        <w:rPr>
          <w:rFonts w:ascii="宋体" w:hAnsi="宋体"/>
          <w:b/>
        </w:rPr>
      </w:pPr>
      <w:r>
        <w:rPr>
          <w:rFonts w:hint="eastAsia" w:ascii="宋体" w:hAnsi="宋体"/>
          <w:b/>
        </w:rPr>
        <w:t>24.2若采购项目出现延期情况：</w:t>
      </w:r>
    </w:p>
    <w:p w14:paraId="1DE01A3C">
      <w:pPr>
        <w:ind w:firstLine="422" w:firstLineChars="200"/>
        <w:rPr>
          <w:rFonts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如果供下载的招标文件没有更新，投标人必须重新加密投标文件、重新上传投标文件（是否重新制作投标文件根据项目实际情况定）。否则，投标人自行承担投标文件无法解密导致投标无效的后果。</w:t>
      </w:r>
    </w:p>
    <w:p w14:paraId="3EEF70CC">
      <w:pPr>
        <w:rPr>
          <w:rFonts w:ascii="黑体" w:hAnsi="宋体" w:eastAsia="黑体"/>
          <w:sz w:val="24"/>
        </w:rPr>
      </w:pPr>
      <w:r>
        <w:rPr>
          <w:rFonts w:hint="eastAsia" w:ascii="黑体" w:hAnsi="宋体" w:eastAsia="黑体"/>
          <w:sz w:val="24"/>
        </w:rPr>
        <w:t>25．上传投标文件及投标截止日期</w:t>
      </w:r>
    </w:p>
    <w:p w14:paraId="134A64D2">
      <w:pPr>
        <w:keepNext w:val="0"/>
        <w:keepLines w:val="0"/>
        <w:pageBreakBefore w:val="0"/>
        <w:widowControl w:val="0"/>
        <w:kinsoku/>
        <w:wordWrap w:val="0"/>
        <w:overflowPunct/>
        <w:topLinePunct w:val="0"/>
        <w:autoSpaceDE/>
        <w:autoSpaceDN/>
        <w:bidi w:val="0"/>
        <w:adjustRightInd/>
        <w:snapToGrid/>
        <w:ind w:firstLine="411" w:firstLineChars="196"/>
        <w:textAlignment w:val="auto"/>
        <w:rPr>
          <w:rFonts w:hint="eastAsia" w:ascii="宋体" w:hAnsi="宋体" w:eastAsia="宋体"/>
          <w:lang w:eastAsia="zh-CN"/>
        </w:rPr>
      </w:pPr>
      <w:r>
        <w:rPr>
          <w:rFonts w:hint="eastAsia" w:ascii="宋体" w:hAnsi="宋体"/>
        </w:rPr>
        <w:t>25</w:t>
      </w:r>
      <w:r>
        <w:rPr>
          <w:rFonts w:ascii="宋体" w:hAnsi="宋体"/>
        </w:rPr>
        <w:t>.</w:t>
      </w:r>
      <w:r>
        <w:rPr>
          <w:rFonts w:hint="eastAsia" w:ascii="宋体" w:hAnsi="宋体"/>
        </w:rPr>
        <w:t>1实行网上投标，</w:t>
      </w:r>
      <w:r>
        <w:rPr>
          <w:rFonts w:hint="eastAsia"/>
        </w:rPr>
        <w:t>生成投标文件后供应商需要在投标文件递交截止时间之前递交投标文件，超过规定时间则无法递交</w:t>
      </w:r>
      <w:r>
        <w:rPr>
          <w:rFonts w:hint="eastAsia" w:ascii="宋体" w:hAnsi="宋体"/>
          <w:lang w:eastAsia="zh-CN"/>
        </w:rPr>
        <w:t>。</w:t>
      </w:r>
    </w:p>
    <w:p w14:paraId="60C3C434">
      <w:pPr>
        <w:ind w:firstLine="411" w:firstLineChars="196"/>
        <w:rPr>
          <w:rFonts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7C61E1F0">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14:paraId="0BAE9230">
      <w:pPr>
        <w:ind w:firstLine="411" w:firstLineChars="196"/>
        <w:rPr>
          <w:rFonts w:ascii="宋体" w:hAnsi="宋体"/>
        </w:rPr>
      </w:pPr>
    </w:p>
    <w:bookmarkEnd w:id="58"/>
    <w:p w14:paraId="3C94186A">
      <w:pPr>
        <w:rPr>
          <w:rFonts w:ascii="黑体" w:hAnsi="宋体" w:eastAsia="黑体"/>
          <w:sz w:val="24"/>
        </w:rPr>
      </w:pPr>
      <w:r>
        <w:rPr>
          <w:rFonts w:hint="eastAsia" w:ascii="黑体" w:hAnsi="宋体" w:eastAsia="黑体"/>
          <w:sz w:val="24"/>
        </w:rPr>
        <w:t>26. 样品、现场演示、方案讲解</w:t>
      </w:r>
    </w:p>
    <w:p w14:paraId="1743397D">
      <w:pPr>
        <w:ind w:firstLine="411" w:firstLineChars="196"/>
        <w:rPr>
          <w:rFonts w:ascii="宋体" w:hAnsi="宋体"/>
          <w:szCs w:val="21"/>
        </w:rPr>
      </w:pPr>
      <w:r>
        <w:rPr>
          <w:rFonts w:hint="eastAsia" w:ascii="宋体" w:hAnsi="宋体"/>
          <w:szCs w:val="21"/>
        </w:rPr>
        <w:t>26.1 样品、现场演示、方案讲解等事项在招标文件专用条款中进行规定。</w:t>
      </w:r>
    </w:p>
    <w:p w14:paraId="7BB86EE2">
      <w:pPr>
        <w:rPr>
          <w:rFonts w:ascii="黑体" w:hAnsi="宋体" w:eastAsia="黑体"/>
          <w:sz w:val="24"/>
        </w:rPr>
      </w:pPr>
      <w:bookmarkStart w:id="59"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71D19A1B">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14:paraId="5CB4722D">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4573F20C">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14:paraId="34ACB49E">
      <w:pPr>
        <w:ind w:firstLine="411" w:firstLineChars="196"/>
        <w:rPr>
          <w:rFonts w:ascii="宋体" w:hAnsi="宋体"/>
          <w:szCs w:val="21"/>
        </w:rPr>
      </w:pPr>
      <w:r>
        <w:rPr>
          <w:rFonts w:hint="eastAsia" w:ascii="宋体" w:hAnsi="宋体"/>
          <w:szCs w:val="21"/>
        </w:rPr>
        <w:t>27.4政府集中采购机构不退还投标文件，专用条款另有规定的除外。</w:t>
      </w:r>
    </w:p>
    <w:bookmarkEnd w:id="59"/>
    <w:p w14:paraId="358183CB">
      <w:pPr>
        <w:pStyle w:val="6"/>
        <w:numPr>
          <w:ilvl w:val="0"/>
          <w:numId w:val="12"/>
        </w:numPr>
        <w:spacing w:before="120" w:beforeLines="50" w:after="120" w:afterLines="50"/>
        <w:ind w:left="562" w:hanging="562"/>
        <w:rPr>
          <w:sz w:val="28"/>
          <w:szCs w:val="28"/>
        </w:rPr>
      </w:pPr>
      <w:r>
        <w:rPr>
          <w:rFonts w:hint="eastAsia"/>
          <w:sz w:val="28"/>
          <w:szCs w:val="28"/>
        </w:rPr>
        <w:t>开标</w:t>
      </w:r>
    </w:p>
    <w:p w14:paraId="1484570A">
      <w:pPr>
        <w:rPr>
          <w:rFonts w:ascii="黑体" w:hAnsi="宋体" w:eastAsia="黑体"/>
          <w:sz w:val="24"/>
        </w:rPr>
      </w:pPr>
      <w:r>
        <w:rPr>
          <w:rFonts w:hint="eastAsia" w:ascii="黑体" w:hAnsi="宋体" w:eastAsia="黑体"/>
          <w:sz w:val="24"/>
        </w:rPr>
        <w:t>28．开标</w:t>
      </w:r>
    </w:p>
    <w:p w14:paraId="6AB83E37">
      <w:pPr>
        <w:ind w:firstLine="359" w:firstLineChars="171"/>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w:t>
      </w:r>
      <w:r>
        <w:rPr>
          <w:rFonts w:hint="eastAsia"/>
        </w:rPr>
        <w:t>如投标文件为加密，则需插入CA锁点击解密，</w:t>
      </w:r>
      <w:r>
        <w:rPr>
          <w:rFonts w:hint="eastAsia" w:ascii="宋体" w:hAnsi="宋体"/>
          <w:szCs w:val="21"/>
        </w:rPr>
        <w:t>逾期未解密的作无效处理</w:t>
      </w:r>
      <w:r>
        <w:rPr>
          <w:rFonts w:hint="eastAsia" w:ascii="宋体" w:hAnsi="宋体"/>
          <w:szCs w:val="21"/>
          <w:lang w:eastAsia="zh-CN"/>
        </w:rPr>
        <w:t>，</w:t>
      </w:r>
      <w:r>
        <w:rPr>
          <w:rFonts w:hint="eastAsia"/>
        </w:rPr>
        <w:t>否则无需解密</w:t>
      </w:r>
      <w:r>
        <w:rPr>
          <w:rFonts w:hint="eastAsia" w:eastAsia="宋体"/>
          <w:lang w:eastAsia="zh-CN"/>
        </w:rPr>
        <w:t>。</w:t>
      </w:r>
    </w:p>
    <w:p w14:paraId="572BB5B5">
      <w:pPr>
        <w:ind w:firstLine="0" w:firstLineChars="0"/>
        <w:rPr>
          <w:rFonts w:hint="eastAsia" w:ascii="宋体" w:hAnsi="宋体"/>
          <w:szCs w:val="21"/>
        </w:rPr>
      </w:pPr>
      <w:r>
        <w:drawing>
          <wp:inline distT="0" distB="0" distL="114300" distR="114300">
            <wp:extent cx="5269230" cy="2591435"/>
            <wp:effectExtent l="0" t="0" r="7620" b="1841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12"/>
                    <a:stretch>
                      <a:fillRect/>
                    </a:stretch>
                  </pic:blipFill>
                  <pic:spPr>
                    <a:xfrm>
                      <a:off x="0" y="0"/>
                      <a:ext cx="5269230" cy="2591435"/>
                    </a:xfrm>
                    <a:prstGeom prst="rect">
                      <a:avLst/>
                    </a:prstGeom>
                    <a:noFill/>
                    <a:ln>
                      <a:noFill/>
                    </a:ln>
                  </pic:spPr>
                </pic:pic>
              </a:graphicData>
            </a:graphic>
          </wp:inline>
        </w:drawing>
      </w:r>
    </w:p>
    <w:p w14:paraId="3C66F86F">
      <w:pPr>
        <w:ind w:firstLine="315" w:firstLineChars="150"/>
        <w:rPr>
          <w:rFonts w:ascii="宋体" w:hAnsi="宋体"/>
          <w:szCs w:val="21"/>
        </w:rPr>
      </w:pPr>
      <w:r>
        <w:rPr>
          <w:rFonts w:hint="eastAsia" w:ascii="宋体" w:hAnsi="宋体"/>
          <w:szCs w:val="21"/>
        </w:rPr>
        <w:t>28.2政府集中采购机构将在满足开标条件后，对投标文件进行开标。</w:t>
      </w:r>
    </w:p>
    <w:p w14:paraId="32811E4C">
      <w:pPr>
        <w:ind w:firstLine="315" w:firstLineChars="150"/>
        <w:rPr>
          <w:rFonts w:ascii="宋体" w:hAnsi="宋体"/>
          <w:szCs w:val="21"/>
        </w:rPr>
      </w:pPr>
    </w:p>
    <w:p w14:paraId="0CF0AE32">
      <w:pPr>
        <w:pStyle w:val="6"/>
        <w:numPr>
          <w:ilvl w:val="0"/>
          <w:numId w:val="12"/>
        </w:numPr>
        <w:spacing w:before="120" w:beforeLines="50" w:after="120" w:afterLines="50"/>
        <w:ind w:left="562" w:hanging="562"/>
        <w:rPr>
          <w:sz w:val="28"/>
          <w:szCs w:val="28"/>
        </w:rPr>
      </w:pPr>
      <w:r>
        <w:rPr>
          <w:rFonts w:hint="eastAsia"/>
          <w:sz w:val="28"/>
          <w:szCs w:val="28"/>
        </w:rPr>
        <w:t>评审要求</w:t>
      </w:r>
    </w:p>
    <w:p w14:paraId="5B817F7B">
      <w:pPr>
        <w:rPr>
          <w:rFonts w:ascii="黑体" w:hAnsi="宋体" w:eastAsia="黑体"/>
          <w:sz w:val="24"/>
        </w:rPr>
      </w:pPr>
      <w:r>
        <w:rPr>
          <w:rFonts w:hint="eastAsia" w:ascii="黑体" w:hAnsi="宋体" w:eastAsia="黑体"/>
          <w:sz w:val="24"/>
        </w:rPr>
        <w:t>29．评审委员会组成</w:t>
      </w:r>
    </w:p>
    <w:p w14:paraId="5A30E76F">
      <w:pPr>
        <w:ind w:firstLine="411" w:firstLineChars="196"/>
        <w:rPr>
          <w:rFonts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14:paraId="0309898E">
      <w:pPr>
        <w:ind w:firstLine="411" w:firstLineChars="196"/>
        <w:rPr>
          <w:rFonts w:ascii="宋体" w:hAnsi="宋体"/>
        </w:rPr>
      </w:pPr>
      <w:bookmarkStart w:id="60" w:name="_Hlk72436580"/>
      <w:r>
        <w:rPr>
          <w:rFonts w:hint="eastAsia" w:ascii="宋体" w:hAnsi="宋体"/>
        </w:rPr>
        <w:t>评审委员会由采购人代表和评审专家组成。</w:t>
      </w:r>
      <w:bookmarkEnd w:id="60"/>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14:paraId="3B2969C3">
      <w:pPr>
        <w:ind w:firstLine="411" w:firstLineChars="196"/>
        <w:rPr>
          <w:rFonts w:ascii="宋体" w:hAnsi="宋体"/>
        </w:rPr>
      </w:pPr>
      <w:r>
        <w:rPr>
          <w:rFonts w:hint="eastAsia" w:ascii="宋体" w:hAnsi="宋体"/>
        </w:rPr>
        <w:t>29.2评审定标应当遵循公平、公正、科学、择优的原则。</w:t>
      </w:r>
    </w:p>
    <w:p w14:paraId="6D1027D6">
      <w:pPr>
        <w:ind w:firstLine="411" w:firstLineChars="196"/>
        <w:rPr>
          <w:rFonts w:ascii="宋体" w:hAnsi="宋体"/>
        </w:rPr>
      </w:pPr>
      <w:r>
        <w:rPr>
          <w:rFonts w:hint="eastAsia" w:ascii="宋体" w:hAnsi="宋体"/>
        </w:rPr>
        <w:t>29.3评审活动依法进行，任何单位和个人不得非法干预评标过程和结果。</w:t>
      </w:r>
    </w:p>
    <w:p w14:paraId="13F433C1">
      <w:pPr>
        <w:ind w:firstLine="411" w:firstLineChars="196"/>
        <w:rPr>
          <w:rFonts w:ascii="宋体" w:hAnsi="宋体"/>
        </w:rPr>
      </w:pPr>
      <w:r>
        <w:rPr>
          <w:rFonts w:hint="eastAsia" w:ascii="宋体" w:hAnsi="宋体"/>
        </w:rPr>
        <w:t>29.4评审过程中不允许违背评标程序或采用招标文件未载明的评标方法或评标因素进行评标。</w:t>
      </w:r>
    </w:p>
    <w:p w14:paraId="43A92F4D">
      <w:pPr>
        <w:ind w:firstLine="411" w:firstLineChars="196"/>
        <w:rPr>
          <w:rFonts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14:paraId="5E3FCFB0">
      <w:pPr>
        <w:rPr>
          <w:rFonts w:ascii="黑体" w:hAnsi="宋体" w:eastAsia="黑体"/>
          <w:sz w:val="24"/>
        </w:rPr>
      </w:pPr>
      <w:r>
        <w:rPr>
          <w:rFonts w:hint="eastAsia" w:ascii="黑体" w:hAnsi="宋体" w:eastAsia="黑体"/>
          <w:sz w:val="24"/>
        </w:rPr>
        <w:t>30．向评审委员会提供的资料</w:t>
      </w:r>
    </w:p>
    <w:p w14:paraId="213FAF9B">
      <w:pPr>
        <w:ind w:firstLine="411" w:firstLineChars="196"/>
        <w:rPr>
          <w:rFonts w:ascii="宋体" w:hAnsi="宋体"/>
        </w:rPr>
      </w:pPr>
      <w:r>
        <w:rPr>
          <w:rFonts w:hint="eastAsia" w:ascii="宋体" w:hAnsi="宋体"/>
        </w:rPr>
        <w:t>30.1公开发布的招标文件，包括图纸、服务清单、答疑文件等；</w:t>
      </w:r>
    </w:p>
    <w:p w14:paraId="7A8A7E0B">
      <w:pPr>
        <w:ind w:firstLine="411" w:firstLineChars="196"/>
        <w:rPr>
          <w:rFonts w:ascii="宋体" w:hAnsi="宋体"/>
        </w:rPr>
      </w:pPr>
      <w:r>
        <w:rPr>
          <w:rFonts w:hint="eastAsia" w:ascii="宋体" w:hAnsi="宋体"/>
        </w:rPr>
        <w:t>30.2其他评标必须的资料。</w:t>
      </w:r>
    </w:p>
    <w:p w14:paraId="74B23F27">
      <w:pPr>
        <w:ind w:firstLine="411" w:firstLineChars="196"/>
        <w:rPr>
          <w:rFonts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2826BDA8">
      <w:pPr>
        <w:ind w:firstLine="411" w:firstLineChars="196"/>
        <w:rPr>
          <w:rFonts w:ascii="宋体" w:hAnsi="宋体"/>
        </w:rPr>
      </w:pPr>
      <w:r>
        <w:rPr>
          <w:rFonts w:hint="eastAsia" w:ascii="宋体" w:hAnsi="宋体"/>
        </w:rPr>
        <w:t>（1）招标的目的；</w:t>
      </w:r>
    </w:p>
    <w:p w14:paraId="7D3A265B">
      <w:pPr>
        <w:ind w:firstLine="411" w:firstLineChars="196"/>
        <w:rPr>
          <w:rFonts w:ascii="宋体" w:hAnsi="宋体"/>
        </w:rPr>
      </w:pPr>
      <w:r>
        <w:rPr>
          <w:rFonts w:hint="eastAsia" w:ascii="宋体" w:hAnsi="宋体"/>
        </w:rPr>
        <w:t>（2）招标项目需求的范围和性质；</w:t>
      </w:r>
    </w:p>
    <w:p w14:paraId="002883F6">
      <w:pPr>
        <w:ind w:firstLine="411" w:firstLineChars="196"/>
        <w:rPr>
          <w:rFonts w:ascii="宋体" w:hAnsi="宋体"/>
        </w:rPr>
      </w:pPr>
      <w:r>
        <w:rPr>
          <w:rFonts w:hint="eastAsia" w:ascii="宋体" w:hAnsi="宋体"/>
        </w:rPr>
        <w:t>（3）招标文件规定的投标人的资格、财政预算限额、商务条款；</w:t>
      </w:r>
    </w:p>
    <w:p w14:paraId="1D80B04E">
      <w:pPr>
        <w:ind w:firstLine="411" w:firstLineChars="196"/>
        <w:rPr>
          <w:rFonts w:ascii="宋体" w:hAnsi="宋体"/>
        </w:rPr>
      </w:pPr>
      <w:r>
        <w:rPr>
          <w:rFonts w:hint="eastAsia" w:ascii="宋体" w:hAnsi="宋体"/>
        </w:rPr>
        <w:t>（4）招标文件规定的评标程序、评标方法和评标因素；</w:t>
      </w:r>
    </w:p>
    <w:p w14:paraId="18632E19">
      <w:pPr>
        <w:ind w:firstLine="411" w:firstLineChars="196"/>
        <w:rPr>
          <w:rFonts w:ascii="宋体" w:hAnsi="宋体"/>
        </w:rPr>
      </w:pPr>
      <w:r>
        <w:rPr>
          <w:rFonts w:hint="eastAsia" w:ascii="宋体" w:hAnsi="宋体"/>
        </w:rPr>
        <w:t>（5）招标文件所列示的资格性审查表及符合性审查表。</w:t>
      </w:r>
    </w:p>
    <w:p w14:paraId="53FE5CE2">
      <w:pPr>
        <w:rPr>
          <w:rFonts w:ascii="黑体" w:hAnsi="宋体" w:eastAsia="黑体"/>
          <w:sz w:val="24"/>
        </w:rPr>
      </w:pPr>
      <w:r>
        <w:rPr>
          <w:rFonts w:hint="eastAsia" w:ascii="黑体" w:hAnsi="宋体" w:eastAsia="黑体"/>
          <w:sz w:val="24"/>
        </w:rPr>
        <w:t>31．独立评审</w:t>
      </w:r>
    </w:p>
    <w:p w14:paraId="3A36B649">
      <w:pPr>
        <w:ind w:firstLine="411" w:firstLineChars="196"/>
        <w:rPr>
          <w:rFonts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14:paraId="0DEA1836">
      <w:pPr>
        <w:ind w:firstLine="411" w:firstLineChars="196"/>
        <w:rPr>
          <w:rFonts w:ascii="宋体" w:hAnsi="宋体"/>
          <w:bCs/>
          <w:szCs w:val="21"/>
        </w:rPr>
      </w:pPr>
    </w:p>
    <w:p w14:paraId="1497F5A2">
      <w:pPr>
        <w:pStyle w:val="6"/>
        <w:numPr>
          <w:ilvl w:val="0"/>
          <w:numId w:val="12"/>
        </w:numPr>
        <w:spacing w:before="120" w:beforeLines="50" w:after="120" w:afterLines="50"/>
        <w:ind w:left="562" w:hanging="562"/>
        <w:rPr>
          <w:sz w:val="28"/>
          <w:szCs w:val="28"/>
        </w:rPr>
      </w:pPr>
      <w:r>
        <w:rPr>
          <w:rFonts w:hint="eastAsia"/>
          <w:sz w:val="28"/>
          <w:szCs w:val="28"/>
        </w:rPr>
        <w:t>评审程序及评审方法</w:t>
      </w:r>
    </w:p>
    <w:p w14:paraId="7372495B">
      <w:pPr>
        <w:rPr>
          <w:rFonts w:ascii="黑体" w:hAnsi="宋体" w:eastAsia="黑体"/>
          <w:sz w:val="24"/>
        </w:rPr>
      </w:pPr>
      <w:r>
        <w:rPr>
          <w:rFonts w:hint="eastAsia" w:ascii="黑体" w:hAnsi="宋体" w:eastAsia="黑体"/>
          <w:sz w:val="24"/>
        </w:rPr>
        <w:t>32．投标文件初审</w:t>
      </w:r>
    </w:p>
    <w:p w14:paraId="2EDA77AF">
      <w:pPr>
        <w:ind w:firstLine="411" w:firstLineChars="196"/>
        <w:rPr>
          <w:rFonts w:ascii="宋体" w:hAnsi="宋体"/>
        </w:rPr>
      </w:pPr>
      <w:r>
        <w:rPr>
          <w:rFonts w:hint="eastAsia" w:ascii="宋体" w:hAnsi="宋体"/>
        </w:rPr>
        <w:t>32.1投标文件初审包括资格性审查和符合性审查。</w:t>
      </w:r>
    </w:p>
    <w:p w14:paraId="159B57CA">
      <w:pPr>
        <w:ind w:firstLine="411" w:firstLineChars="196"/>
        <w:rPr>
          <w:rFonts w:ascii="宋体" w:hAnsi="宋体"/>
        </w:rPr>
      </w:pPr>
      <w:r>
        <w:rPr>
          <w:rFonts w:hint="eastAsia" w:ascii="宋体" w:hAnsi="宋体"/>
        </w:rPr>
        <w:t>资格性审查：依据法律法规和招标文件的规定，对投标文件中的资格证明等进行审查，以确定投标供应商是否具备投标资格。</w:t>
      </w:r>
    </w:p>
    <w:p w14:paraId="05C9529D">
      <w:pPr>
        <w:ind w:firstLine="411" w:firstLineChars="196"/>
        <w:rPr>
          <w:rFonts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14:paraId="328B7CC6">
      <w:pPr>
        <w:ind w:firstLine="411" w:firstLineChars="196"/>
        <w:rPr>
          <w:rFonts w:ascii="宋体" w:hAnsi="宋体"/>
        </w:rPr>
      </w:pPr>
      <w:r>
        <w:rPr>
          <w:rFonts w:hint="eastAsia" w:ascii="宋体" w:hAnsi="宋体"/>
        </w:rPr>
        <w:t>32.2 投标文件初审内容请详见《资格性审查表》和《符合性审查表》部分。投标人若有一条审查不通过则按投标无效处理。</w:t>
      </w:r>
    </w:p>
    <w:p w14:paraId="2E5C10F7">
      <w:pPr>
        <w:ind w:firstLine="411" w:firstLineChars="196"/>
        <w:rPr>
          <w:rFonts w:ascii="宋体" w:hAnsi="宋体"/>
          <w:bCs/>
        </w:rPr>
      </w:pPr>
      <w:r>
        <w:rPr>
          <w:rFonts w:hint="eastAsia" w:ascii="宋体" w:hAnsi="宋体"/>
          <w:bCs/>
        </w:rPr>
        <w:t>32.3 投标文件初审中关于供应商家数的计算:</w:t>
      </w:r>
    </w:p>
    <w:p w14:paraId="76E40CE5">
      <w:pPr>
        <w:ind w:firstLine="411" w:firstLineChars="196"/>
        <w:rPr>
          <w:rFonts w:ascii="宋体" w:hAnsi="宋体"/>
          <w:bCs/>
        </w:rPr>
      </w:pPr>
      <w:r>
        <w:rPr>
          <w:rFonts w:hint="eastAsia" w:ascii="宋体" w:hAnsi="宋体"/>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C53437F">
      <w:pPr>
        <w:ind w:firstLine="411" w:firstLineChars="196"/>
        <w:rPr>
          <w:rFonts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14:paraId="28557C7F">
      <w:pPr>
        <w:ind w:firstLine="411" w:firstLineChars="196"/>
        <w:rPr>
          <w:rFonts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14:paraId="743EA649">
      <w:pPr>
        <w:ind w:firstLine="411" w:firstLineChars="196"/>
        <w:rPr>
          <w:rFonts w:ascii="宋体" w:hAnsi="宋体"/>
        </w:rPr>
      </w:pPr>
      <w:r>
        <w:rPr>
          <w:rFonts w:hint="eastAsia" w:ascii="宋体" w:hAnsi="宋体"/>
        </w:rPr>
        <w:t>32.4投标人投标文件作无效处理的情形，具体包括但不限于以下：</w:t>
      </w:r>
    </w:p>
    <w:p w14:paraId="543E880B">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2500B60F">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3E601D5C">
      <w:pPr>
        <w:ind w:firstLine="411" w:firstLineChars="196"/>
        <w:rPr>
          <w:rFonts w:ascii="宋体" w:hAnsi="宋体"/>
        </w:rPr>
      </w:pPr>
      <w:r>
        <w:rPr>
          <w:rFonts w:hint="eastAsia" w:ascii="宋体" w:hAnsi="宋体"/>
        </w:rPr>
        <w:t>32.4.3不同投标人的投标文件载明的项目管理成员或者联系人员为同一人；</w:t>
      </w:r>
    </w:p>
    <w:p w14:paraId="13DFDABA">
      <w:pPr>
        <w:ind w:firstLine="411" w:firstLineChars="196"/>
        <w:rPr>
          <w:rFonts w:ascii="宋体" w:hAnsi="宋体"/>
        </w:rPr>
      </w:pPr>
      <w:r>
        <w:rPr>
          <w:rFonts w:hint="eastAsia" w:ascii="宋体" w:hAnsi="宋体"/>
        </w:rPr>
        <w:t>32.4.4不同投标人的投标文件异常一致或者投标报价呈规律性差异；</w:t>
      </w:r>
    </w:p>
    <w:p w14:paraId="764BE659">
      <w:pPr>
        <w:ind w:firstLine="411" w:firstLineChars="196"/>
        <w:rPr>
          <w:rFonts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14:paraId="247AF127">
      <w:pPr>
        <w:ind w:firstLine="411" w:firstLineChars="196"/>
        <w:rPr>
          <w:rFonts w:ascii="宋体" w:hAnsi="宋体"/>
        </w:rPr>
      </w:pPr>
      <w:r>
        <w:rPr>
          <w:rFonts w:hint="eastAsia" w:ascii="宋体" w:hAnsi="宋体"/>
        </w:rPr>
        <w:t>32.4.6投标供应商之间相互约定给予未中标的供应商利益补偿；</w:t>
      </w:r>
    </w:p>
    <w:p w14:paraId="3D59DFC9">
      <w:pPr>
        <w:ind w:firstLine="411" w:firstLineChars="196"/>
        <w:rPr>
          <w:rFonts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14:paraId="19625FDE">
      <w:pPr>
        <w:ind w:firstLine="411" w:firstLineChars="196"/>
        <w:rPr>
          <w:rFonts w:ascii="宋体" w:hAnsi="宋体"/>
        </w:rPr>
      </w:pPr>
      <w:r>
        <w:rPr>
          <w:rFonts w:hint="eastAsia" w:ascii="宋体" w:hAnsi="宋体"/>
        </w:rPr>
        <w:t>32.4.8不同投标供应商的投标文件内容存在非正常一致；</w:t>
      </w:r>
    </w:p>
    <w:p w14:paraId="0039EC2A">
      <w:pPr>
        <w:ind w:firstLine="411" w:firstLineChars="196"/>
        <w:rPr>
          <w:rFonts w:ascii="宋体" w:hAnsi="宋体"/>
        </w:rPr>
      </w:pPr>
      <w:r>
        <w:rPr>
          <w:rFonts w:hint="eastAsia" w:ascii="宋体" w:hAnsi="宋体"/>
        </w:rPr>
        <w:t>32.4.9在同一单位工作人员为两家以上（含两家）供应商进行同一项投标活动；</w:t>
      </w:r>
    </w:p>
    <w:p w14:paraId="22A7F07F">
      <w:pPr>
        <w:ind w:firstLine="411" w:firstLineChars="196"/>
        <w:rPr>
          <w:rFonts w:ascii="宋体" w:hAnsi="宋体"/>
        </w:rPr>
      </w:pPr>
      <w:r>
        <w:rPr>
          <w:rFonts w:hint="eastAsia" w:ascii="宋体" w:hAnsi="宋体"/>
        </w:rPr>
        <w:t>32.4.10主管部门依照法律、法规认定的其他情形。</w:t>
      </w:r>
    </w:p>
    <w:p w14:paraId="4E41D705">
      <w:pPr>
        <w:rPr>
          <w:rFonts w:hint="eastAsia"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6FF83EE4">
      <w:pPr>
        <w:rPr>
          <w:rFonts w:ascii="黑体" w:hAnsi="宋体" w:eastAsia="黑体"/>
          <w:sz w:val="24"/>
        </w:rPr>
      </w:pPr>
      <w:r>
        <w:rPr>
          <w:rFonts w:hint="eastAsia" w:ascii="黑体" w:hAnsi="宋体" w:eastAsia="黑体"/>
          <w:sz w:val="24"/>
        </w:rPr>
        <w:t>33．澄清有关问题</w:t>
      </w:r>
    </w:p>
    <w:p w14:paraId="261CD78E">
      <w:pPr>
        <w:ind w:firstLine="411" w:firstLineChars="196"/>
        <w:rPr>
          <w:rFonts w:ascii="宋体" w:hAnsi="宋体"/>
        </w:rPr>
      </w:pPr>
      <w:bookmarkStart w:id="61"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61"/>
    </w:p>
    <w:p w14:paraId="67C31AB0">
      <w:pPr>
        <w:ind w:firstLine="411" w:firstLineChars="196"/>
        <w:rPr>
          <w:rFonts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186AB545">
      <w:pPr>
        <w:ind w:firstLine="411" w:firstLineChars="196"/>
        <w:rPr>
          <w:rFonts w:ascii="宋体" w:hAnsi="宋体"/>
        </w:rPr>
      </w:pPr>
      <w:r>
        <w:rPr>
          <w:rFonts w:ascii="宋体" w:hAnsi="宋体"/>
        </w:rPr>
        <w:t>33.3</w:t>
      </w:r>
      <w:r>
        <w:rPr>
          <w:rFonts w:hint="eastAsia" w:ascii="宋体" w:hAnsi="宋体"/>
        </w:rPr>
        <w:t>对于投标文件中含义不明确、同类问题表述不一致或者有明显文字和计算错误的内容，评审委员会应当以书面形式要求投标人作出必要的澄清、说明或者补正。</w:t>
      </w:r>
    </w:p>
    <w:p w14:paraId="0C047F75">
      <w:pPr>
        <w:ind w:firstLine="411" w:firstLineChars="196"/>
        <w:rPr>
          <w:rFonts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4E098827">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14:paraId="2E06D625">
      <w:pPr>
        <w:rPr>
          <w:rFonts w:ascii="黑体" w:hAnsi="宋体" w:eastAsia="黑体"/>
          <w:sz w:val="24"/>
        </w:rPr>
      </w:pPr>
      <w:bookmarkStart w:id="62" w:name="_Toc73521669"/>
      <w:bookmarkStart w:id="63" w:name="_Toc73517673"/>
      <w:bookmarkStart w:id="64" w:name="_Toc73518151"/>
      <w:bookmarkStart w:id="65" w:name="_Toc100052400"/>
      <w:bookmarkStart w:id="66" w:name="_Toc73521581"/>
      <w:r>
        <w:rPr>
          <w:rFonts w:hint="eastAsia" w:ascii="黑体" w:hAnsi="宋体" w:eastAsia="黑体"/>
          <w:sz w:val="24"/>
        </w:rPr>
        <w:t>34．错误的修正</w:t>
      </w:r>
      <w:bookmarkEnd w:id="62"/>
      <w:bookmarkEnd w:id="63"/>
      <w:bookmarkEnd w:id="64"/>
      <w:bookmarkEnd w:id="65"/>
      <w:bookmarkEnd w:id="66"/>
    </w:p>
    <w:p w14:paraId="405BC9A2">
      <w:pPr>
        <w:ind w:firstLine="411" w:firstLineChars="196"/>
        <w:rPr>
          <w:rFonts w:ascii="宋体" w:hAnsi="宋体"/>
          <w:szCs w:val="21"/>
        </w:rPr>
      </w:pPr>
      <w:r>
        <w:rPr>
          <w:rFonts w:hint="eastAsia" w:ascii="宋体" w:hAnsi="宋体"/>
          <w:szCs w:val="21"/>
        </w:rPr>
        <w:t>投标文件报价出现前后不一致的，除专用条款另有规定外，按照下列规定修正：</w:t>
      </w:r>
    </w:p>
    <w:p w14:paraId="0370362C">
      <w:pPr>
        <w:ind w:firstLine="411" w:firstLineChars="196"/>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14:paraId="38098B9B">
      <w:pPr>
        <w:ind w:firstLine="411" w:firstLineChars="196"/>
        <w:rPr>
          <w:rFonts w:ascii="宋体" w:hAnsi="宋体"/>
          <w:szCs w:val="21"/>
        </w:rPr>
      </w:pPr>
      <w:r>
        <w:rPr>
          <w:rFonts w:hint="eastAsia" w:ascii="宋体" w:hAnsi="宋体"/>
          <w:szCs w:val="21"/>
        </w:rPr>
        <w:t>34.2大写金额和小写金额不一致的，以大写金额为准；</w:t>
      </w:r>
    </w:p>
    <w:p w14:paraId="4DE46415">
      <w:pPr>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14:paraId="39DB5F26">
      <w:pPr>
        <w:ind w:firstLine="411" w:firstLineChars="196"/>
        <w:rPr>
          <w:rFonts w:ascii="宋体" w:hAnsi="宋体"/>
          <w:szCs w:val="21"/>
        </w:rPr>
      </w:pPr>
      <w:r>
        <w:rPr>
          <w:rFonts w:hint="eastAsia" w:ascii="宋体" w:hAnsi="宋体"/>
          <w:szCs w:val="21"/>
        </w:rPr>
        <w:t>34.4总价金额与按单价汇总金额不一致的，以单价金额计算结果为准。</w:t>
      </w:r>
    </w:p>
    <w:p w14:paraId="16CA2A42">
      <w:pPr>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7359C3A0">
      <w:pPr>
        <w:rPr>
          <w:rFonts w:ascii="黑体" w:hAnsi="宋体" w:eastAsia="黑体"/>
          <w:sz w:val="24"/>
        </w:rPr>
      </w:pPr>
      <w:r>
        <w:rPr>
          <w:rFonts w:hint="eastAsia" w:ascii="黑体" w:hAnsi="宋体" w:eastAsia="黑体"/>
          <w:sz w:val="24"/>
        </w:rPr>
        <w:t>35．投标文件的比较与评价</w:t>
      </w:r>
    </w:p>
    <w:p w14:paraId="49FFBE3F">
      <w:pPr>
        <w:ind w:firstLine="411" w:firstLineChars="196"/>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678E0083">
      <w:pPr>
        <w:ind w:firstLine="411" w:firstLineChars="196"/>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639FF0CF">
      <w:pPr>
        <w:rPr>
          <w:rFonts w:ascii="黑体" w:hAnsi="宋体" w:eastAsia="黑体"/>
          <w:sz w:val="24"/>
        </w:rPr>
      </w:pPr>
      <w:r>
        <w:rPr>
          <w:rFonts w:hint="eastAsia" w:ascii="黑体" w:hAnsi="宋体" w:eastAsia="黑体"/>
          <w:sz w:val="24"/>
        </w:rPr>
        <w:t>36. 实地考察或资料查验</w:t>
      </w:r>
    </w:p>
    <w:p w14:paraId="7530C42C">
      <w:pPr>
        <w:ind w:firstLine="411" w:firstLineChars="196"/>
        <w:rPr>
          <w:rFonts w:ascii="宋体" w:hAnsi="宋体"/>
          <w:szCs w:val="21"/>
        </w:rPr>
      </w:pPr>
      <w:r>
        <w:rPr>
          <w:rFonts w:hint="eastAsia" w:ascii="宋体" w:hAnsi="宋体"/>
          <w:szCs w:val="21"/>
        </w:rPr>
        <w:t>36.1</w:t>
      </w:r>
      <w:r>
        <w:rPr>
          <w:rFonts w:hint="eastAsia" w:ascii="宋体" w:hAnsi="宋体"/>
          <w:szCs w:val="21"/>
          <w:lang w:val="en-US" w:eastAsia="zh-CN"/>
        </w:rPr>
        <w:t>在评审期间，评审委员会根据招标文件规定（详见“一、对通用条款的补充内容”），有权对本项目的投标人开展实地考察，投标人需时刻做好接收实地考察的准备。</w:t>
      </w:r>
    </w:p>
    <w:p w14:paraId="439332F8">
      <w:pPr>
        <w:rPr>
          <w:rFonts w:ascii="黑体" w:hAnsi="宋体" w:eastAsia="黑体"/>
          <w:sz w:val="24"/>
        </w:rPr>
      </w:pPr>
      <w:r>
        <w:rPr>
          <w:rFonts w:hint="eastAsia" w:ascii="黑体" w:hAnsi="宋体" w:eastAsia="黑体"/>
          <w:sz w:val="24"/>
        </w:rPr>
        <w:t>37．评审方法</w:t>
      </w:r>
    </w:p>
    <w:p w14:paraId="7A411AC0">
      <w:pPr>
        <w:ind w:firstLine="413" w:firstLineChars="196"/>
        <w:rPr>
          <w:rFonts w:ascii="宋体" w:hAnsi="宋体"/>
          <w:b/>
          <w:bCs/>
          <w:szCs w:val="21"/>
        </w:rPr>
      </w:pPr>
      <w:r>
        <w:rPr>
          <w:rFonts w:hint="eastAsia" w:ascii="宋体" w:hAnsi="宋体"/>
          <w:b/>
          <w:bCs/>
          <w:szCs w:val="21"/>
        </w:rPr>
        <w:t>37.1.1最低价法</w:t>
      </w:r>
    </w:p>
    <w:p w14:paraId="5A338A89">
      <w:pPr>
        <w:ind w:firstLine="411" w:firstLineChars="196"/>
        <w:rPr>
          <w:rFonts w:hint="eastAsia" w:ascii="ˎ̥" w:hAnsi="ˎ̥"/>
          <w:lang w:eastAsia="zh-CN"/>
        </w:rPr>
      </w:pPr>
      <w:bookmarkStart w:id="67" w:name="_Hlk72438142"/>
      <w:r>
        <w:rPr>
          <w:rFonts w:ascii="ˎ̥" w:hAnsi="ˎ̥"/>
        </w:rPr>
        <w:t>最低价法，</w:t>
      </w:r>
      <w:r>
        <w:rPr>
          <w:rFonts w:hint="eastAsia" w:ascii="ˎ̥" w:hAnsi="ˎ̥"/>
        </w:rPr>
        <w:t>是指投标文件满足招标文件全部实质性要求，且投标报价最低的投标人为中标候选人的评标方法</w:t>
      </w:r>
      <w:r>
        <w:rPr>
          <w:rFonts w:hint="eastAsia" w:ascii="ˎ̥" w:hAnsi="ˎ̥"/>
          <w:lang w:eastAsia="zh-CN"/>
        </w:rPr>
        <w:t>。</w:t>
      </w:r>
    </w:p>
    <w:p w14:paraId="253241FD">
      <w:pPr>
        <w:ind w:firstLine="411" w:firstLineChars="196"/>
        <w:rPr>
          <w:rFonts w:hint="eastAsia" w:ascii="ˎ̥" w:hAnsi="ˎ̥" w:eastAsia="宋体"/>
          <w:lang w:eastAsia="zh-CN"/>
        </w:rPr>
      </w:pPr>
      <w:r>
        <w:rPr>
          <w:rFonts w:hint="eastAsia" w:ascii="ˎ̥" w:hAnsi="ˎ̥"/>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14:paraId="2857B444">
      <w:pPr>
        <w:ind w:firstLine="413" w:firstLineChars="196"/>
        <w:rPr>
          <w:rFonts w:ascii="宋体" w:hAnsi="宋体"/>
          <w:b/>
          <w:bCs/>
          <w:szCs w:val="21"/>
        </w:rPr>
      </w:pPr>
      <w:r>
        <w:rPr>
          <w:rFonts w:hint="eastAsia" w:ascii="宋体" w:hAnsi="宋体"/>
          <w:b/>
          <w:bCs/>
          <w:szCs w:val="21"/>
        </w:rPr>
        <w:t>37.1.2综合评分法</w:t>
      </w:r>
    </w:p>
    <w:p w14:paraId="1665F20F">
      <w:pPr>
        <w:ind w:firstLine="411" w:firstLineChars="196"/>
        <w:rPr>
          <w:rFonts w:hint="eastAsia" w:ascii="ˎ̥" w:hAnsi="ˎ̥"/>
          <w:lang w:eastAsia="zh-CN"/>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bookmarkEnd w:id="67"/>
      <w:r>
        <w:rPr>
          <w:rFonts w:hint="eastAsia" w:ascii="ˎ̥" w:hAnsi="ˎ̥"/>
          <w:lang w:eastAsia="zh-CN"/>
        </w:rPr>
        <w:t>。</w:t>
      </w:r>
    </w:p>
    <w:p w14:paraId="42749A52">
      <w:pPr>
        <w:ind w:firstLine="411" w:firstLineChars="196"/>
        <w:rPr>
          <w:rFonts w:hint="eastAsia" w:ascii="ˎ̥" w:hAnsi="ˎ̥"/>
          <w:lang w:eastAsia="zh-CN"/>
        </w:rPr>
      </w:pPr>
      <w:r>
        <w:rPr>
          <w:rFonts w:hint="eastAsia" w:ascii="ˎ̥" w:hAnsi="ˎ̥"/>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14:paraId="78FF2CDF">
      <w:pPr>
        <w:ind w:firstLine="413" w:firstLineChars="196"/>
        <w:rPr>
          <w:rFonts w:ascii="宋体" w:hAnsi="宋体"/>
          <w:b/>
          <w:bCs/>
          <w:szCs w:val="21"/>
        </w:rPr>
      </w:pPr>
      <w:r>
        <w:rPr>
          <w:rFonts w:hint="eastAsia" w:ascii="宋体" w:hAnsi="宋体"/>
          <w:b/>
          <w:bCs/>
          <w:szCs w:val="21"/>
        </w:rPr>
        <w:t>37.2本项目采用的评审方法见本项目招标文件第一册“专用条款”的相关内容。</w:t>
      </w:r>
    </w:p>
    <w:p w14:paraId="6F8752CD">
      <w:pPr>
        <w:ind w:firstLine="413" w:firstLineChars="196"/>
        <w:rPr>
          <w:rFonts w:ascii="宋体" w:hAnsi="宋体"/>
          <w:b/>
          <w:bCs/>
          <w:szCs w:val="21"/>
        </w:rPr>
      </w:pPr>
      <w:r>
        <w:rPr>
          <w:rFonts w:hint="eastAsia" w:ascii="宋体" w:hAnsi="宋体"/>
          <w:b/>
          <w:bCs/>
          <w:szCs w:val="21"/>
        </w:rPr>
        <w:t>37.3重新评审的情形</w:t>
      </w:r>
    </w:p>
    <w:p w14:paraId="70D6057C">
      <w:pPr>
        <w:ind w:firstLine="411" w:firstLineChars="196"/>
        <w:rPr>
          <w:rFonts w:ascii="宋体" w:hAnsi="宋体"/>
          <w:b/>
          <w:bCs/>
          <w:szCs w:val="21"/>
        </w:rPr>
      </w:pPr>
      <w:r>
        <w:rPr>
          <w:rFonts w:hint="eastAsia" w:ascii="宋体" w:hAnsi="宋体" w:cs="宋体"/>
          <w:kern w:val="0"/>
          <w:szCs w:val="21"/>
        </w:rPr>
        <w:t>评审结果汇总完成后，除下列情形外，任何人不得修改评审结果：</w:t>
      </w:r>
    </w:p>
    <w:p w14:paraId="1DC4FC3F">
      <w:pPr>
        <w:ind w:firstLine="411" w:firstLineChars="196"/>
        <w:rPr>
          <w:rFonts w:ascii="宋体" w:hAnsi="宋体" w:cs="宋体"/>
          <w:kern w:val="0"/>
          <w:szCs w:val="21"/>
        </w:rPr>
      </w:pPr>
      <w:r>
        <w:rPr>
          <w:rFonts w:hint="eastAsia" w:ascii="宋体" w:hAnsi="宋体" w:cs="宋体"/>
          <w:kern w:val="0"/>
          <w:szCs w:val="21"/>
        </w:rPr>
        <w:t>37.3.1分值汇总计算错误的；</w:t>
      </w:r>
    </w:p>
    <w:p w14:paraId="2AE28569">
      <w:pPr>
        <w:ind w:firstLine="411" w:firstLineChars="196"/>
        <w:rPr>
          <w:rFonts w:ascii="宋体" w:hAnsi="宋体" w:cs="宋体"/>
          <w:kern w:val="0"/>
          <w:szCs w:val="21"/>
        </w:rPr>
      </w:pPr>
      <w:r>
        <w:rPr>
          <w:rFonts w:hint="eastAsia" w:ascii="宋体" w:hAnsi="宋体" w:cs="宋体"/>
          <w:kern w:val="0"/>
          <w:szCs w:val="21"/>
        </w:rPr>
        <w:t>37.3.2分项评分超出评分标准范围的；</w:t>
      </w:r>
    </w:p>
    <w:p w14:paraId="03CDE9BA">
      <w:pPr>
        <w:ind w:firstLine="411" w:firstLineChars="196"/>
        <w:rPr>
          <w:rFonts w:ascii="宋体" w:hAnsi="宋体" w:cs="宋体"/>
          <w:kern w:val="0"/>
          <w:szCs w:val="21"/>
        </w:rPr>
      </w:pPr>
      <w:r>
        <w:rPr>
          <w:rFonts w:hint="eastAsia" w:ascii="宋体" w:hAnsi="宋体" w:cs="宋体"/>
          <w:kern w:val="0"/>
          <w:szCs w:val="21"/>
        </w:rPr>
        <w:t>37.3.3评审委员会成员对客观评审因素评分不一致的；</w:t>
      </w:r>
    </w:p>
    <w:p w14:paraId="05AAEC36">
      <w:pPr>
        <w:ind w:firstLine="411" w:firstLineChars="196"/>
        <w:rPr>
          <w:rFonts w:ascii="宋体" w:hAnsi="宋体" w:cs="宋体"/>
          <w:kern w:val="0"/>
          <w:szCs w:val="21"/>
        </w:rPr>
      </w:pPr>
      <w:r>
        <w:rPr>
          <w:rFonts w:hint="eastAsia" w:ascii="宋体" w:hAnsi="宋体" w:cs="宋体"/>
          <w:kern w:val="0"/>
          <w:szCs w:val="21"/>
        </w:rPr>
        <w:t>37.3.4经评审委员会认定评分畸高、畸低的。</w:t>
      </w:r>
    </w:p>
    <w:p w14:paraId="6E871CA2">
      <w:pPr>
        <w:ind w:firstLine="411" w:firstLineChars="196"/>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42D78D44">
      <w:pPr>
        <w:ind w:firstLine="411" w:firstLineChars="196"/>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0E7420FB">
      <w:pPr>
        <w:ind w:firstLine="413" w:firstLineChars="196"/>
        <w:rPr>
          <w:rFonts w:ascii="宋体" w:hAnsi="宋体"/>
          <w:b/>
          <w:bCs/>
          <w:szCs w:val="21"/>
        </w:rPr>
      </w:pPr>
      <w:r>
        <w:rPr>
          <w:rFonts w:hint="eastAsia" w:ascii="宋体" w:hAnsi="宋体"/>
          <w:b/>
          <w:bCs/>
          <w:szCs w:val="21"/>
        </w:rPr>
        <w:t>37.4重新组建评审委员会的情形</w:t>
      </w:r>
    </w:p>
    <w:p w14:paraId="77189DB9">
      <w:pPr>
        <w:ind w:firstLine="411" w:firstLineChars="196"/>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5B033EBF">
      <w:pPr>
        <w:ind w:firstLine="411" w:firstLineChars="196"/>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38A30A3B">
      <w:pPr>
        <w:ind w:firstLine="411" w:firstLineChars="196"/>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1A86DF32">
      <w:pPr>
        <w:ind w:firstLine="411" w:firstLineChars="196"/>
        <w:rPr>
          <w:rFonts w:ascii="宋体" w:hAnsi="宋体" w:cs="宋体"/>
          <w:kern w:val="0"/>
          <w:szCs w:val="21"/>
        </w:rPr>
      </w:pPr>
      <w:r>
        <w:rPr>
          <w:rFonts w:hint="eastAsia" w:ascii="宋体" w:hAnsi="宋体" w:cs="宋体"/>
          <w:kern w:val="0"/>
          <w:szCs w:val="21"/>
        </w:rPr>
        <w:t>37.4.3评审委员会及其成员独立评标受到非法干预的；</w:t>
      </w:r>
    </w:p>
    <w:p w14:paraId="2266AFC7">
      <w:pPr>
        <w:ind w:firstLine="411" w:firstLineChars="196"/>
        <w:rPr>
          <w:rFonts w:ascii="宋体" w:hAnsi="宋体" w:cs="宋体"/>
          <w:kern w:val="0"/>
          <w:szCs w:val="21"/>
        </w:rPr>
      </w:pPr>
      <w:r>
        <w:rPr>
          <w:rFonts w:hint="eastAsia" w:ascii="宋体" w:hAnsi="宋体" w:cs="宋体"/>
          <w:kern w:val="0"/>
          <w:szCs w:val="21"/>
        </w:rPr>
        <w:t>37.4.4有政府采购法实施条例第七十五条规定的违法行为的。</w:t>
      </w:r>
    </w:p>
    <w:p w14:paraId="6085CEC9">
      <w:pPr>
        <w:ind w:firstLine="411" w:firstLineChars="196"/>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479A214F">
      <w:pPr>
        <w:ind w:firstLine="411" w:firstLineChars="196"/>
        <w:rPr>
          <w:rFonts w:ascii="宋体" w:hAnsi="宋体"/>
          <w:szCs w:val="21"/>
        </w:rPr>
      </w:pPr>
    </w:p>
    <w:p w14:paraId="662F9656">
      <w:pPr>
        <w:pStyle w:val="6"/>
        <w:numPr>
          <w:ilvl w:val="0"/>
          <w:numId w:val="12"/>
        </w:numPr>
        <w:spacing w:before="120" w:beforeLines="50" w:after="120" w:afterLines="50"/>
        <w:ind w:left="562" w:hanging="562"/>
        <w:rPr>
          <w:sz w:val="28"/>
          <w:szCs w:val="28"/>
        </w:rPr>
      </w:pPr>
      <w:r>
        <w:rPr>
          <w:rFonts w:hint="eastAsia"/>
          <w:sz w:val="28"/>
          <w:szCs w:val="28"/>
        </w:rPr>
        <w:t>定标及公示</w:t>
      </w:r>
    </w:p>
    <w:p w14:paraId="52B2B794">
      <w:pPr>
        <w:rPr>
          <w:rFonts w:ascii="黑体" w:hAnsi="宋体" w:eastAsia="黑体"/>
          <w:sz w:val="24"/>
        </w:rPr>
      </w:pPr>
      <w:r>
        <w:rPr>
          <w:rFonts w:hint="eastAsia" w:ascii="黑体" w:hAnsi="宋体" w:eastAsia="黑体"/>
          <w:sz w:val="24"/>
        </w:rPr>
        <w:t>38．定标方法</w:t>
      </w:r>
    </w:p>
    <w:p w14:paraId="25AD8DE5">
      <w:pPr>
        <w:ind w:firstLine="411" w:firstLineChars="196"/>
        <w:rPr>
          <w:rFonts w:ascii="宋体" w:hAnsi="宋体"/>
          <w:szCs w:val="21"/>
        </w:rPr>
      </w:pPr>
      <w:bookmarkStart w:id="68" w:name="_Hlk73782795"/>
      <w:r>
        <w:rPr>
          <w:rFonts w:hint="eastAsia" w:ascii="宋体" w:hAnsi="宋体"/>
          <w:szCs w:val="21"/>
        </w:rPr>
        <w:t>38.1非评定分离项目定标方法</w:t>
      </w:r>
    </w:p>
    <w:p w14:paraId="3743EBC5">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3767D75A">
      <w:pPr>
        <w:ind w:firstLine="411" w:firstLineChars="196"/>
        <w:rPr>
          <w:rFonts w:ascii="ˎ̥" w:hAnsi="ˎ̥"/>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w:t>
      </w:r>
      <w:bookmarkStart w:id="69" w:name="_Hlk73821177"/>
      <w:r>
        <w:rPr>
          <w:rFonts w:hint="eastAsia" w:ascii="ˎ̥" w:hAnsi="ˎ̥"/>
        </w:rPr>
        <w:t>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bookmarkEnd w:id="69"/>
      <w:r>
        <w:rPr>
          <w:rFonts w:ascii="ˎ̥" w:hAnsi="ˎ̥"/>
        </w:rPr>
        <w:t>）。</w:t>
      </w:r>
    </w:p>
    <w:p w14:paraId="5105D2E2">
      <w:pPr>
        <w:ind w:firstLine="411" w:firstLineChars="196"/>
        <w:rPr>
          <w:rFonts w:ascii="ˎ̥" w:hAnsi="ˎ̥"/>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rPr>
        <w:t>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r>
        <w:rPr>
          <w:rFonts w:hint="eastAsia" w:ascii="ˎ̥" w:hAnsi="ˎ̥"/>
        </w:rPr>
        <w:t>出现</w:t>
      </w:r>
      <w:r>
        <w:rPr>
          <w:rFonts w:ascii="ˎ̥" w:hAnsi="ˎ̥"/>
        </w:rPr>
        <w:t>得分且投标报价相同的并列</w:t>
      </w:r>
      <w:r>
        <w:rPr>
          <w:rFonts w:hint="eastAsia" w:ascii="ˎ̥" w:hAnsi="ˎ̥"/>
        </w:rPr>
        <w:t>情况时，采取随机抽取的方式确定，具体操作办法及流程由评审委员会确定。</w:t>
      </w:r>
    </w:p>
    <w:p w14:paraId="5242A3E0">
      <w:pPr>
        <w:ind w:firstLine="411" w:firstLineChars="196"/>
        <w:rPr>
          <w:rFonts w:ascii="宋体" w:hAnsi="宋体"/>
          <w:szCs w:val="21"/>
        </w:rPr>
      </w:pPr>
      <w:r>
        <w:rPr>
          <w:rFonts w:hint="eastAsia" w:ascii="宋体" w:hAnsi="宋体"/>
          <w:szCs w:val="21"/>
        </w:rPr>
        <w:t>38.2评定分离项目定标方法</w:t>
      </w:r>
    </w:p>
    <w:p w14:paraId="733F02DE">
      <w:pPr>
        <w:ind w:firstLine="411" w:firstLineChars="196"/>
        <w:rPr>
          <w:rFonts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46FB992B">
      <w:pPr>
        <w:ind w:firstLine="411" w:firstLineChars="196"/>
      </w:pPr>
      <w:r>
        <w:rPr>
          <w:rFonts w:ascii="宋体" w:hAnsi="宋体"/>
          <w:szCs w:val="21"/>
        </w:rPr>
        <w:t xml:space="preserve">38.2.2 </w:t>
      </w:r>
      <w:bookmarkStart w:id="70"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14:paraId="0ED7B18E">
      <w:pPr>
        <w:ind w:firstLine="411" w:firstLineChars="196"/>
        <w:rPr>
          <w:rFonts w:ascii="宋体" w:hAnsi="宋体"/>
          <w:szCs w:val="21"/>
        </w:rPr>
      </w:pPr>
      <w:r>
        <w:rPr>
          <w:rFonts w:hint="eastAsia" w:ascii="宋体" w:hAnsi="宋体"/>
          <w:szCs w:val="21"/>
        </w:rPr>
        <w:t>38.2.3</w:t>
      </w:r>
      <w:bookmarkStart w:id="71"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70"/>
      <w:bookmarkEnd w:id="71"/>
    </w:p>
    <w:p w14:paraId="4973A60F">
      <w:pPr>
        <w:ind w:firstLine="411" w:firstLineChars="196"/>
        <w:rPr>
          <w:rFonts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政府集中采购机构。具体定标程序及相关要求以按照《深圳市财政局关于</w:t>
      </w:r>
      <w:r>
        <w:rPr>
          <w:rFonts w:hint="eastAsia" w:ascii="Times New Roman" w:eastAsia="宋体"/>
          <w:lang w:val="en-US" w:eastAsia="zh-CN"/>
        </w:rPr>
        <w:t>&lt;</w:t>
      </w:r>
      <w:r>
        <w:rPr>
          <w:rFonts w:hint="eastAsia"/>
        </w:rPr>
        <w:t>深圳市政府采购评标定标分离管理办法</w:t>
      </w:r>
      <w:r>
        <w:rPr>
          <w:rFonts w:hint="eastAsia" w:ascii="Times New Roman" w:eastAsia="宋体"/>
          <w:lang w:val="en-US" w:eastAsia="zh-CN"/>
        </w:rPr>
        <w:t>&gt;</w:t>
      </w:r>
      <w:r>
        <w:rPr>
          <w:rFonts w:hint="eastAsia"/>
        </w:rPr>
        <w:t>续期的通知》（深财规〔2023〕1号）执行。</w:t>
      </w:r>
    </w:p>
    <w:p w14:paraId="708236E8">
      <w:pPr>
        <w:ind w:firstLine="411" w:firstLineChars="196"/>
        <w:rPr>
          <w:rFonts w:ascii="宋体" w:hAnsi="宋体"/>
          <w:szCs w:val="21"/>
        </w:rPr>
      </w:pPr>
      <w:r>
        <w:rPr>
          <w:rFonts w:hint="eastAsia" w:ascii="宋体" w:hAnsi="宋体"/>
          <w:szCs w:val="21"/>
        </w:rPr>
        <w:t>说明：采购人及投标供应商应按照上述方法提前做好相关准备。</w:t>
      </w:r>
    </w:p>
    <w:p w14:paraId="585CBF88">
      <w:pPr>
        <w:ind w:firstLine="411" w:firstLineChars="196"/>
        <w:rPr>
          <w:rFonts w:ascii="宋体" w:hAnsi="宋体"/>
          <w:szCs w:val="21"/>
        </w:rPr>
      </w:pPr>
      <w:r>
        <w:rPr>
          <w:rFonts w:hint="eastAsia" w:ascii="宋体" w:hAnsi="宋体"/>
          <w:szCs w:val="21"/>
        </w:rPr>
        <w:t>38.3专用条款另有规定的，按专用条款相关要求定标。</w:t>
      </w:r>
      <w:bookmarkEnd w:id="68"/>
    </w:p>
    <w:p w14:paraId="21966D20">
      <w:pPr>
        <w:rPr>
          <w:rFonts w:ascii="黑体" w:hAnsi="宋体" w:eastAsia="黑体"/>
          <w:sz w:val="24"/>
        </w:rPr>
      </w:pPr>
      <w:r>
        <w:rPr>
          <w:rFonts w:hint="eastAsia" w:ascii="黑体" w:hAnsi="宋体" w:eastAsia="黑体"/>
          <w:sz w:val="24"/>
        </w:rPr>
        <w:t>39．编写评审报告</w:t>
      </w:r>
    </w:p>
    <w:p w14:paraId="1A83081C">
      <w:pPr>
        <w:ind w:firstLine="411" w:firstLineChars="196"/>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A99111D">
      <w:pPr>
        <w:rPr>
          <w:rFonts w:ascii="黑体" w:hAnsi="宋体" w:eastAsia="黑体"/>
          <w:sz w:val="24"/>
        </w:rPr>
      </w:pPr>
      <w:r>
        <w:rPr>
          <w:rFonts w:hint="eastAsia" w:ascii="黑体" w:hAnsi="宋体" w:eastAsia="黑体"/>
          <w:sz w:val="24"/>
        </w:rPr>
        <w:t>40．中标公告</w:t>
      </w:r>
    </w:p>
    <w:p w14:paraId="06649A62">
      <w:pPr>
        <w:ind w:firstLine="411" w:firstLineChars="196"/>
        <w:rPr>
          <w:rFonts w:ascii="宋体" w:hAnsi="宋体"/>
          <w:szCs w:val="21"/>
        </w:rPr>
      </w:pPr>
      <w:r>
        <w:rPr>
          <w:rFonts w:hint="eastAsia" w:ascii="宋体" w:hAnsi="宋体"/>
          <w:szCs w:val="21"/>
        </w:rPr>
        <w:t>40.1</w:t>
      </w:r>
      <w:bookmarkStart w:id="72"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szCs w:val="21"/>
        </w:rPr>
        <w:t>深圳公共资源交易网（https://szggzy.com/）</w:t>
      </w:r>
      <w:r>
        <w:rPr>
          <w:rFonts w:hint="eastAsia" w:ascii="宋体" w:hAnsi="宋体"/>
          <w:szCs w:val="21"/>
        </w:rPr>
        <w:t>上发布中标结果公告。供应商如对评审结果有异议，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 监督电话：0755-83948143。</w:t>
      </w:r>
      <w:r>
        <w:rPr>
          <w:rFonts w:hint="eastAsia" w:ascii="宋体" w:hAnsi="宋体"/>
          <w:szCs w:val="21"/>
        </w:rPr>
        <w:t>若在公示期内未提出质疑，则视为认同该评审结果。</w:t>
      </w:r>
      <w:bookmarkEnd w:id="72"/>
      <w:bookmarkStart w:id="73" w:name="_Hlk72438751"/>
    </w:p>
    <w:bookmarkEnd w:id="73"/>
    <w:p w14:paraId="5041E47A">
      <w:pPr>
        <w:ind w:firstLine="411" w:firstLineChars="196"/>
        <w:rPr>
          <w:rFonts w:ascii="宋体" w:hAnsi="宋体"/>
          <w:szCs w:val="21"/>
        </w:rPr>
      </w:pPr>
      <w:r>
        <w:rPr>
          <w:rFonts w:hint="eastAsia" w:ascii="宋体" w:hAnsi="宋体"/>
          <w:szCs w:val="21"/>
        </w:rPr>
        <w:t>40.2质疑、投诉供应商应保证质疑、投诉内容的真实性和可靠性，并承担相应的法律责任。</w:t>
      </w:r>
    </w:p>
    <w:p w14:paraId="5EE5ED76">
      <w:pPr>
        <w:rPr>
          <w:rFonts w:ascii="黑体" w:hAnsi="宋体" w:eastAsia="黑体"/>
          <w:sz w:val="24"/>
        </w:rPr>
      </w:pPr>
      <w:r>
        <w:rPr>
          <w:rFonts w:hint="eastAsia" w:ascii="黑体" w:hAnsi="宋体" w:eastAsia="黑体"/>
          <w:sz w:val="24"/>
        </w:rPr>
        <w:t>41．中标通知书</w:t>
      </w:r>
    </w:p>
    <w:p w14:paraId="4EF551B8">
      <w:pPr>
        <w:ind w:firstLine="411" w:firstLineChars="196"/>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74"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b/>
          <w:bCs/>
          <w:szCs w:val="21"/>
          <w:lang w:val="en-US" w:eastAsia="zh-CN"/>
        </w:rPr>
        <w:t>深圳市自行采购系统</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74"/>
    </w:p>
    <w:p w14:paraId="4C90DFCA">
      <w:pPr>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615A6AFB">
      <w:pPr>
        <w:ind w:firstLine="411" w:firstLineChars="196"/>
        <w:rPr>
          <w:rFonts w:ascii="宋体" w:hAnsi="宋体"/>
          <w:szCs w:val="21"/>
        </w:rPr>
      </w:pPr>
      <w:bookmarkStart w:id="75" w:name="_Hlk71407340"/>
      <w:r>
        <w:rPr>
          <w:rFonts w:hint="eastAsia" w:ascii="宋体" w:hAnsi="宋体"/>
          <w:szCs w:val="21"/>
        </w:rPr>
        <w:t>41.3因质疑投诉或其它原因导致项目结果变更或采购终止的，政府集中采购机构有权吊销中标通知书。</w:t>
      </w:r>
    </w:p>
    <w:bookmarkEnd w:id="75"/>
    <w:p w14:paraId="227E524D">
      <w:pPr>
        <w:ind w:firstLine="411" w:firstLineChars="196"/>
        <w:rPr>
          <w:rFonts w:ascii="宋体" w:hAnsi="宋体"/>
          <w:szCs w:val="21"/>
        </w:rPr>
      </w:pPr>
    </w:p>
    <w:p w14:paraId="0219C370">
      <w:pPr>
        <w:pStyle w:val="6"/>
        <w:numPr>
          <w:ilvl w:val="0"/>
          <w:numId w:val="12"/>
        </w:numPr>
        <w:spacing w:before="120" w:beforeLines="50" w:after="120" w:afterLines="50"/>
        <w:ind w:left="562" w:hanging="562"/>
        <w:rPr>
          <w:sz w:val="28"/>
          <w:szCs w:val="28"/>
        </w:rPr>
      </w:pPr>
      <w:r>
        <w:rPr>
          <w:rFonts w:hint="eastAsia"/>
          <w:sz w:val="28"/>
          <w:szCs w:val="28"/>
        </w:rPr>
        <w:t>公开招标失败的后续处理</w:t>
      </w:r>
    </w:p>
    <w:p w14:paraId="54CE046C">
      <w:pPr>
        <w:rPr>
          <w:rFonts w:ascii="黑体" w:hAnsi="宋体" w:eastAsia="黑体"/>
          <w:sz w:val="24"/>
        </w:rPr>
      </w:pPr>
      <w:r>
        <w:rPr>
          <w:rFonts w:hint="eastAsia" w:ascii="黑体" w:hAnsi="宋体" w:eastAsia="黑体"/>
          <w:sz w:val="24"/>
        </w:rPr>
        <w:t>42．公开招标失败的处理</w:t>
      </w:r>
    </w:p>
    <w:p w14:paraId="43E9E903">
      <w:pPr>
        <w:ind w:firstLine="411" w:firstLineChars="196"/>
        <w:rPr>
          <w:rFonts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14:paraId="31F16A9D">
      <w:pPr>
        <w:ind w:firstLine="411" w:firstLineChars="196"/>
        <w:rPr>
          <w:rFonts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1F12FBDA">
      <w:pPr>
        <w:ind w:firstLine="411" w:firstLineChars="196"/>
        <w:rPr>
          <w:rFonts w:ascii="宋体" w:hAnsi="宋体"/>
          <w:szCs w:val="21"/>
        </w:rPr>
      </w:pPr>
      <w:r>
        <w:rPr>
          <w:rFonts w:hint="eastAsia" w:ascii="宋体" w:hAnsi="宋体"/>
          <w:szCs w:val="21"/>
        </w:rPr>
        <w:t>42.3重新组织采购有以下两种组织形式：</w:t>
      </w:r>
    </w:p>
    <w:p w14:paraId="516BD64D">
      <w:pPr>
        <w:ind w:firstLine="411" w:firstLineChars="196"/>
        <w:rPr>
          <w:rFonts w:ascii="宋体" w:hAnsi="宋体"/>
        </w:rPr>
      </w:pPr>
      <w:r>
        <w:rPr>
          <w:rFonts w:hint="eastAsia" w:ascii="宋体" w:hAnsi="宋体"/>
        </w:rPr>
        <w:t>（1）由政府集中采购机构重新组织公开招标；</w:t>
      </w:r>
    </w:p>
    <w:p w14:paraId="46A14BBB">
      <w:pPr>
        <w:ind w:firstLine="411" w:firstLineChars="196"/>
        <w:rPr>
          <w:rFonts w:ascii="宋体" w:hAnsi="宋体"/>
        </w:rPr>
      </w:pPr>
      <w:r>
        <w:rPr>
          <w:rFonts w:hint="eastAsia" w:ascii="宋体" w:hAnsi="宋体"/>
        </w:rPr>
        <w:t>（2）根据实际情况需要向同级财政部门提出非公开招标方式申请，经同级财政部门批准，公开招标失败采购项目可转为竞争性谈判或单一来源谈判方式采购。</w:t>
      </w:r>
    </w:p>
    <w:p w14:paraId="1CE75B47">
      <w:pPr>
        <w:ind w:firstLine="411" w:firstLineChars="196"/>
        <w:rPr>
          <w:rFonts w:ascii="宋体" w:hAnsi="宋体"/>
        </w:rPr>
      </w:pPr>
      <w:r>
        <w:rPr>
          <w:rFonts w:hint="eastAsia" w:ascii="宋体" w:hAnsi="宋体"/>
        </w:rPr>
        <w:t>42.4公开招标失败的采购项目重新组织公开招标，由政府集中采购机构重新按公开招标流程组织采购活动。</w:t>
      </w:r>
    </w:p>
    <w:p w14:paraId="0D963537">
      <w:pPr>
        <w:rPr>
          <w:rFonts w:ascii="宋体" w:hAnsi="宋体"/>
        </w:rPr>
      </w:pPr>
      <w:r>
        <w:rPr>
          <w:rFonts w:hint="eastAsia" w:ascii="黑体" w:hAnsi="宋体" w:eastAsia="黑体"/>
          <w:sz w:val="24"/>
        </w:rPr>
        <w:t xml:space="preserve">    </w:t>
      </w:r>
      <w:r>
        <w:rPr>
          <w:rFonts w:hint="eastAsia" w:ascii="宋体" w:hAnsi="宋体"/>
        </w:rPr>
        <w:t>42.5公开招标失败的采购项目经同级财政部门批准转为竞争性谈判或单一来源谈判方式采购的，按规定要求组织政府采购工作。</w:t>
      </w:r>
    </w:p>
    <w:p w14:paraId="1175FDCD">
      <w:pPr>
        <w:rPr>
          <w:rFonts w:ascii="黑体" w:hAnsi="宋体" w:eastAsia="黑体"/>
          <w:sz w:val="24"/>
        </w:rPr>
      </w:pPr>
    </w:p>
    <w:p w14:paraId="2D86A323">
      <w:pPr>
        <w:pStyle w:val="6"/>
        <w:numPr>
          <w:ilvl w:val="0"/>
          <w:numId w:val="12"/>
        </w:numPr>
        <w:spacing w:before="120" w:beforeLines="50" w:after="120" w:afterLines="50"/>
        <w:ind w:left="562" w:hanging="562"/>
        <w:rPr>
          <w:sz w:val="28"/>
          <w:szCs w:val="28"/>
        </w:rPr>
      </w:pPr>
      <w:bookmarkStart w:id="76" w:name="_Hlk72439043"/>
      <w:r>
        <w:rPr>
          <w:rFonts w:hint="eastAsia"/>
          <w:sz w:val="28"/>
          <w:szCs w:val="28"/>
        </w:rPr>
        <w:t>合同的授予与备案</w:t>
      </w:r>
      <w:bookmarkEnd w:id="76"/>
    </w:p>
    <w:p w14:paraId="3175B39D">
      <w:pPr>
        <w:rPr>
          <w:rFonts w:ascii="黑体" w:hAnsi="宋体" w:eastAsia="黑体"/>
          <w:sz w:val="24"/>
        </w:rPr>
      </w:pPr>
      <w:bookmarkStart w:id="77" w:name="_Toc73517679"/>
      <w:bookmarkStart w:id="78" w:name="_Toc100052408"/>
      <w:bookmarkStart w:id="79" w:name="_Toc73521586"/>
      <w:bookmarkStart w:id="80" w:name="_Toc73518157"/>
      <w:bookmarkStart w:id="81" w:name="_Toc73521674"/>
      <w:bookmarkStart w:id="82" w:name="_Hlk72439088"/>
      <w:r>
        <w:rPr>
          <w:rFonts w:hint="eastAsia" w:ascii="黑体" w:hAnsi="宋体" w:eastAsia="黑体"/>
          <w:sz w:val="24"/>
        </w:rPr>
        <w:t>43．合同授予标准</w:t>
      </w:r>
      <w:bookmarkEnd w:id="77"/>
      <w:bookmarkEnd w:id="78"/>
      <w:bookmarkEnd w:id="79"/>
      <w:bookmarkEnd w:id="80"/>
      <w:bookmarkEnd w:id="81"/>
    </w:p>
    <w:p w14:paraId="6C734E14">
      <w:pPr>
        <w:ind w:firstLine="411" w:firstLineChars="196"/>
        <w:rPr>
          <w:rFonts w:ascii="宋体" w:hAnsi="宋体"/>
          <w:szCs w:val="21"/>
        </w:rPr>
      </w:pPr>
      <w:r>
        <w:rPr>
          <w:rFonts w:hint="eastAsia" w:ascii="宋体" w:hAnsi="宋体"/>
          <w:szCs w:val="21"/>
        </w:rPr>
        <w:t>本项目的合同将授予经本招标文件规定评审确定的中标供应商。</w:t>
      </w:r>
    </w:p>
    <w:p w14:paraId="6F3491A7">
      <w:pPr>
        <w:rPr>
          <w:rFonts w:ascii="黑体" w:hAnsi="宋体" w:eastAsia="黑体"/>
          <w:sz w:val="24"/>
        </w:rPr>
      </w:pPr>
      <w:bookmarkStart w:id="83" w:name="_Toc73518158"/>
      <w:bookmarkStart w:id="84" w:name="_Toc73517680"/>
      <w:bookmarkStart w:id="85" w:name="_Toc100052409"/>
      <w:bookmarkStart w:id="86" w:name="_Toc73521675"/>
      <w:bookmarkStart w:id="87" w:name="_Toc73521587"/>
      <w:r>
        <w:rPr>
          <w:rFonts w:hint="eastAsia" w:ascii="黑体" w:hAnsi="宋体" w:eastAsia="黑体"/>
          <w:sz w:val="24"/>
        </w:rPr>
        <w:t>44．</w:t>
      </w:r>
      <w:bookmarkEnd w:id="83"/>
      <w:bookmarkEnd w:id="84"/>
      <w:bookmarkEnd w:id="85"/>
      <w:bookmarkEnd w:id="86"/>
      <w:bookmarkEnd w:id="87"/>
      <w:r>
        <w:rPr>
          <w:rFonts w:hint="eastAsia" w:ascii="黑体" w:hAnsi="宋体" w:eastAsia="黑体"/>
          <w:sz w:val="24"/>
        </w:rPr>
        <w:t>接受和拒绝任何或所有投标的权力</w:t>
      </w:r>
    </w:p>
    <w:p w14:paraId="417FF44E">
      <w:pPr>
        <w:ind w:firstLine="411" w:firstLineChars="196"/>
        <w:rPr>
          <w:rFonts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5B99F162">
      <w:pPr>
        <w:rPr>
          <w:rFonts w:ascii="黑体" w:hAnsi="宋体" w:eastAsia="黑体"/>
          <w:sz w:val="24"/>
        </w:rPr>
      </w:pPr>
      <w:bookmarkStart w:id="88" w:name="_Toc73521677"/>
      <w:bookmarkStart w:id="89" w:name="_Toc73518160"/>
      <w:bookmarkStart w:id="90" w:name="_Toc73521589"/>
      <w:bookmarkStart w:id="91" w:name="_Toc73517682"/>
      <w:bookmarkStart w:id="92" w:name="_Toc100052410"/>
      <w:r>
        <w:rPr>
          <w:rFonts w:hint="eastAsia" w:ascii="黑体" w:hAnsi="宋体" w:eastAsia="黑体"/>
          <w:sz w:val="24"/>
        </w:rPr>
        <w:t>45．合同的签订</w:t>
      </w:r>
      <w:bookmarkEnd w:id="88"/>
      <w:bookmarkEnd w:id="89"/>
      <w:bookmarkEnd w:id="90"/>
      <w:bookmarkEnd w:id="91"/>
      <w:bookmarkEnd w:id="92"/>
    </w:p>
    <w:p w14:paraId="7B24B24F">
      <w:pPr>
        <w:ind w:firstLine="411" w:firstLineChars="196"/>
        <w:rPr>
          <w:rFonts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14:paraId="25E33CEA">
      <w:pPr>
        <w:ind w:firstLine="411" w:firstLineChars="196"/>
        <w:rPr>
          <w:rFonts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106D9D28">
      <w:pPr>
        <w:ind w:firstLine="411" w:firstLineChars="196"/>
        <w:rPr>
          <w:rFonts w:ascii="宋体" w:hAnsi="宋体"/>
          <w:szCs w:val="21"/>
        </w:rPr>
      </w:pPr>
      <w:r>
        <w:rPr>
          <w:rFonts w:hint="eastAsia" w:ascii="宋体" w:hAnsi="宋体"/>
          <w:szCs w:val="21"/>
        </w:rPr>
        <w:t>45.3中标人应当按照合同约定履行义务，完成中标项目，不得将中标项目转让（转包）给他人。</w:t>
      </w:r>
    </w:p>
    <w:p w14:paraId="37E52A5D">
      <w:pPr>
        <w:rPr>
          <w:rFonts w:ascii="黑体" w:hAnsi="宋体" w:eastAsia="黑体"/>
          <w:sz w:val="24"/>
        </w:rPr>
      </w:pPr>
      <w:bookmarkStart w:id="93" w:name="_Toc100052411"/>
      <w:bookmarkStart w:id="94" w:name="_Toc73517683"/>
      <w:bookmarkStart w:id="95" w:name="_Toc73521678"/>
      <w:bookmarkStart w:id="96" w:name="_Toc73518161"/>
      <w:bookmarkStart w:id="97" w:name="_Toc73521590"/>
      <w:r>
        <w:rPr>
          <w:rFonts w:hint="eastAsia" w:ascii="黑体" w:hAnsi="宋体" w:eastAsia="黑体"/>
          <w:sz w:val="24"/>
        </w:rPr>
        <w:t>46．履约担保</w:t>
      </w:r>
      <w:bookmarkEnd w:id="93"/>
      <w:bookmarkEnd w:id="94"/>
      <w:bookmarkEnd w:id="95"/>
      <w:bookmarkEnd w:id="96"/>
      <w:bookmarkEnd w:id="97"/>
    </w:p>
    <w:p w14:paraId="353D24F7">
      <w:pPr>
        <w:ind w:firstLine="411" w:firstLineChars="196"/>
        <w:rPr>
          <w:rFonts w:ascii="宋体" w:hAnsi="宋体"/>
          <w:szCs w:val="21"/>
        </w:rPr>
      </w:pPr>
      <w:r>
        <w:rPr>
          <w:rFonts w:hint="eastAsia" w:ascii="宋体" w:hAnsi="宋体"/>
          <w:szCs w:val="21"/>
        </w:rPr>
        <w:t>46.1在签订项目合同的同时，中标人应按“对通用条款的补充内容”中规定的金额向采购人提交履约担保；</w:t>
      </w:r>
    </w:p>
    <w:p w14:paraId="71C4C837">
      <w:pPr>
        <w:ind w:firstLine="411" w:firstLineChars="196"/>
        <w:rPr>
          <w:rFonts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16B31B49">
      <w:pPr>
        <w:rPr>
          <w:rFonts w:ascii="黑体" w:hAnsi="宋体" w:eastAsia="黑体"/>
          <w:sz w:val="24"/>
        </w:rPr>
      </w:pPr>
      <w:r>
        <w:rPr>
          <w:rFonts w:hint="eastAsia" w:ascii="黑体" w:hAnsi="宋体" w:eastAsia="黑体"/>
          <w:sz w:val="24"/>
        </w:rPr>
        <w:t>47. 合同备案</w:t>
      </w:r>
    </w:p>
    <w:p w14:paraId="7B75B732">
      <w:pPr>
        <w:ind w:firstLine="420" w:firstLineChars="200"/>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按</w:t>
      </w:r>
      <w:r>
        <w:rPr>
          <w:rFonts w:hint="eastAsia" w:ascii="宋体" w:hAnsi="宋体" w:cs="Times New Roman"/>
          <w:kern w:val="2"/>
          <w:sz w:val="21"/>
          <w:szCs w:val="21"/>
          <w:lang w:val="en-US" w:eastAsia="zh-CN"/>
        </w:rPr>
        <w:t>采购单位内控</w:t>
      </w:r>
      <w:r>
        <w:rPr>
          <w:rFonts w:hint="eastAsia" w:ascii="宋体" w:hAnsi="宋体" w:eastAsia="宋体" w:cs="Times New Roman"/>
          <w:kern w:val="2"/>
          <w:sz w:val="21"/>
          <w:szCs w:val="21"/>
          <w:lang w:val="en-US" w:eastAsia="zh-CN"/>
        </w:rPr>
        <w:t>规定备案。</w:t>
      </w:r>
    </w:p>
    <w:p w14:paraId="26B51FDC">
      <w:pPr>
        <w:rPr>
          <w:rFonts w:ascii="黑体" w:hAnsi="宋体" w:eastAsia="黑体"/>
          <w:sz w:val="24"/>
        </w:rPr>
      </w:pPr>
      <w:r>
        <w:rPr>
          <w:rFonts w:hint="eastAsia" w:ascii="黑体" w:hAnsi="宋体" w:eastAsia="黑体"/>
          <w:sz w:val="24"/>
        </w:rPr>
        <w:t>48. 合同变更</w:t>
      </w:r>
    </w:p>
    <w:p w14:paraId="259127E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rPr>
      </w:pPr>
      <w:r>
        <w:rPr>
          <w:rFonts w:hint="eastAsia" w:ascii="宋体" w:hAnsi="宋体"/>
          <w:szCs w:val="21"/>
        </w:rPr>
        <w:t>合同变更事宜</w:t>
      </w:r>
      <w:r>
        <w:rPr>
          <w:rFonts w:hint="eastAsia" w:ascii="宋体" w:hAnsi="宋体" w:eastAsia="宋体" w:cs="Times New Roman"/>
          <w:kern w:val="2"/>
          <w:sz w:val="21"/>
          <w:szCs w:val="21"/>
          <w:lang w:val="en-US" w:eastAsia="zh-CN"/>
        </w:rPr>
        <w:t>按</w:t>
      </w:r>
      <w:r>
        <w:rPr>
          <w:rFonts w:hint="eastAsia" w:ascii="宋体" w:hAnsi="宋体" w:cs="Times New Roman"/>
          <w:kern w:val="2"/>
          <w:sz w:val="21"/>
          <w:szCs w:val="21"/>
          <w:lang w:val="en-US" w:eastAsia="zh-CN"/>
        </w:rPr>
        <w:t>采购单位内控</w:t>
      </w:r>
      <w:r>
        <w:rPr>
          <w:rFonts w:hint="eastAsia" w:ascii="宋体" w:hAnsi="宋体" w:eastAsia="宋体" w:cs="Times New Roman"/>
          <w:kern w:val="2"/>
          <w:sz w:val="21"/>
          <w:szCs w:val="21"/>
          <w:lang w:val="en-US" w:eastAsia="zh-CN"/>
        </w:rPr>
        <w:t>规定</w:t>
      </w:r>
      <w:r>
        <w:rPr>
          <w:rFonts w:hint="eastAsia" w:ascii="宋体" w:hAnsi="宋体"/>
          <w:szCs w:val="21"/>
        </w:rPr>
        <w:t>执行。</w:t>
      </w:r>
    </w:p>
    <w:p w14:paraId="511245AD">
      <w:pPr>
        <w:rPr>
          <w:rFonts w:ascii="黑体" w:hAnsi="宋体" w:eastAsia="黑体"/>
          <w:sz w:val="24"/>
        </w:rPr>
      </w:pPr>
      <w:r>
        <w:rPr>
          <w:rFonts w:hint="eastAsia" w:ascii="黑体" w:hAnsi="宋体" w:eastAsia="黑体"/>
          <w:sz w:val="24"/>
        </w:rPr>
        <w:t>49. 项目验收</w:t>
      </w:r>
    </w:p>
    <w:p w14:paraId="4FBAD37C">
      <w:pPr>
        <w:widowControl/>
        <w:ind w:right="176" w:firstLine="420"/>
        <w:jc w:val="left"/>
        <w:rPr>
          <w:rFonts w:ascii="宋体" w:hAnsi="宋体"/>
        </w:rPr>
      </w:pPr>
      <w:r>
        <w:rPr>
          <w:rFonts w:hint="eastAsia" w:ascii="宋体" w:hAnsi="宋体"/>
        </w:rPr>
        <w:t>49.1采购人应当按照招标文件和合同规定的标准和方法，及时组织验收。</w:t>
      </w:r>
      <w:r>
        <w:rPr>
          <w:rFonts w:ascii="宋体" w:hAnsi="宋体"/>
        </w:rPr>
        <w:t xml:space="preserve"> </w:t>
      </w:r>
    </w:p>
    <w:p w14:paraId="32137DD5">
      <w:pPr>
        <w:rPr>
          <w:rFonts w:ascii="黑体" w:hAnsi="宋体" w:eastAsia="黑体"/>
          <w:sz w:val="24"/>
        </w:rPr>
      </w:pPr>
      <w:r>
        <w:rPr>
          <w:rFonts w:hint="eastAsia" w:ascii="黑体" w:hAnsi="宋体" w:eastAsia="黑体"/>
          <w:sz w:val="24"/>
        </w:rPr>
        <w:t>50. 宣传</w:t>
      </w:r>
    </w:p>
    <w:p w14:paraId="3E9570C4">
      <w:pPr>
        <w:ind w:left="210" w:leftChars="100" w:firstLine="411" w:firstLineChars="196"/>
        <w:rPr>
          <w:rFonts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0CE14DA5">
      <w:pPr>
        <w:ind w:left="210" w:leftChars="100" w:firstLine="411" w:firstLineChars="196"/>
        <w:rPr>
          <w:rFonts w:ascii="宋体" w:hAnsi="宋体"/>
        </w:rPr>
      </w:pPr>
      <w:r>
        <w:rPr>
          <w:rFonts w:ascii="宋体" w:hAnsi="宋体"/>
        </w:rPr>
        <w:t>a.名片、宣传册、广告标语等；</w:t>
      </w:r>
    </w:p>
    <w:p w14:paraId="0943B863">
      <w:pPr>
        <w:ind w:left="210" w:leftChars="100" w:firstLine="411" w:firstLineChars="196"/>
        <w:rPr>
          <w:rFonts w:ascii="宋体" w:hAnsi="宋体"/>
        </w:rPr>
      </w:pPr>
      <w:r>
        <w:rPr>
          <w:rFonts w:ascii="宋体" w:hAnsi="宋体"/>
        </w:rPr>
        <w:t>b.案例介绍、推广等；</w:t>
      </w:r>
    </w:p>
    <w:p w14:paraId="73A48CF0">
      <w:pPr>
        <w:ind w:left="210" w:leftChars="100" w:firstLine="411" w:firstLineChars="196"/>
        <w:rPr>
          <w:rFonts w:ascii="宋体" w:hAnsi="宋体"/>
        </w:rPr>
      </w:pPr>
      <w:r>
        <w:rPr>
          <w:rFonts w:hint="eastAsia" w:ascii="宋体" w:hAnsi="宋体"/>
        </w:rPr>
        <w:t>c.工作</w:t>
      </w:r>
      <w:r>
        <w:rPr>
          <w:rFonts w:ascii="宋体" w:hAnsi="宋体"/>
        </w:rPr>
        <w:t>人员向其他消费群体宣传。</w:t>
      </w:r>
    </w:p>
    <w:p w14:paraId="5F381D42">
      <w:pPr>
        <w:rPr>
          <w:rFonts w:ascii="黑体" w:hAnsi="宋体" w:eastAsia="黑体"/>
          <w:sz w:val="24"/>
        </w:rPr>
      </w:pPr>
      <w:r>
        <w:rPr>
          <w:rFonts w:hint="eastAsia" w:ascii="黑体" w:hAnsi="宋体" w:eastAsia="黑体"/>
          <w:sz w:val="24"/>
        </w:rPr>
        <w:t>51. 供应商违法责任</w:t>
      </w:r>
    </w:p>
    <w:p w14:paraId="759DB5B2">
      <w:pPr>
        <w:ind w:firstLine="411" w:firstLineChars="196"/>
        <w:rPr>
          <w:rFonts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13C13BF">
      <w:pPr>
        <w:ind w:firstLine="411" w:firstLineChars="196"/>
        <w:rPr>
          <w:rFonts w:ascii="宋体" w:hAnsi="宋体"/>
          <w:szCs w:val="21"/>
        </w:rPr>
      </w:pPr>
      <w:r>
        <w:rPr>
          <w:rFonts w:hint="eastAsia" w:ascii="宋体" w:hAnsi="宋体"/>
          <w:szCs w:val="21"/>
        </w:rPr>
        <w:t>（1）在采购活动中应当回避而未回避的；</w:t>
      </w:r>
    </w:p>
    <w:p w14:paraId="3E60974A">
      <w:pPr>
        <w:ind w:firstLine="411" w:firstLineChars="196"/>
        <w:rPr>
          <w:rFonts w:ascii="宋体" w:hAnsi="宋体"/>
          <w:szCs w:val="21"/>
        </w:rPr>
      </w:pPr>
      <w:r>
        <w:rPr>
          <w:rFonts w:hint="eastAsia" w:ascii="宋体" w:hAnsi="宋体"/>
          <w:szCs w:val="21"/>
        </w:rPr>
        <w:t>（2）未按本条例规定签订、履行采购合同，造成严重后果的；</w:t>
      </w:r>
    </w:p>
    <w:p w14:paraId="03F5AA78">
      <w:pPr>
        <w:ind w:firstLine="411" w:firstLineChars="196"/>
        <w:rPr>
          <w:rFonts w:ascii="宋体" w:hAnsi="宋体"/>
          <w:szCs w:val="21"/>
        </w:rPr>
      </w:pPr>
      <w:r>
        <w:rPr>
          <w:rFonts w:hint="eastAsia" w:ascii="宋体" w:hAnsi="宋体"/>
          <w:szCs w:val="21"/>
        </w:rPr>
        <w:t>（3）隐瞒真实情况，提供虚假资料的；</w:t>
      </w:r>
    </w:p>
    <w:p w14:paraId="07D13064">
      <w:pPr>
        <w:ind w:firstLine="411" w:firstLineChars="196"/>
        <w:rPr>
          <w:rFonts w:ascii="宋体" w:hAnsi="宋体"/>
          <w:szCs w:val="21"/>
        </w:rPr>
      </w:pPr>
      <w:r>
        <w:rPr>
          <w:rFonts w:hint="eastAsia" w:ascii="宋体" w:hAnsi="宋体"/>
          <w:szCs w:val="21"/>
        </w:rPr>
        <w:t>（4）以非法手段排斥其他供应商参与竞争的；</w:t>
      </w:r>
    </w:p>
    <w:p w14:paraId="144C9C94">
      <w:pPr>
        <w:ind w:firstLine="411" w:firstLineChars="196"/>
        <w:rPr>
          <w:rFonts w:ascii="宋体" w:hAnsi="宋体"/>
          <w:szCs w:val="21"/>
        </w:rPr>
      </w:pPr>
      <w:r>
        <w:rPr>
          <w:rFonts w:hint="eastAsia" w:ascii="宋体" w:hAnsi="宋体"/>
          <w:szCs w:val="21"/>
        </w:rPr>
        <w:t>（5）与其他采购参加人串通投标的；</w:t>
      </w:r>
    </w:p>
    <w:p w14:paraId="45E38AA2">
      <w:pPr>
        <w:ind w:firstLine="411" w:firstLineChars="196"/>
        <w:rPr>
          <w:rFonts w:ascii="宋体" w:hAnsi="宋体"/>
          <w:szCs w:val="21"/>
        </w:rPr>
      </w:pPr>
      <w:r>
        <w:rPr>
          <w:rFonts w:hint="eastAsia" w:ascii="宋体" w:hAnsi="宋体"/>
          <w:szCs w:val="21"/>
        </w:rPr>
        <w:t>（6）恶意投诉的；</w:t>
      </w:r>
    </w:p>
    <w:p w14:paraId="1887A672">
      <w:pPr>
        <w:ind w:firstLine="411" w:firstLineChars="196"/>
        <w:rPr>
          <w:rFonts w:ascii="宋体" w:hAnsi="宋体"/>
          <w:szCs w:val="21"/>
        </w:rPr>
      </w:pPr>
      <w:r>
        <w:rPr>
          <w:rFonts w:hint="eastAsia" w:ascii="宋体" w:hAnsi="宋体"/>
          <w:szCs w:val="21"/>
        </w:rPr>
        <w:t>（7）向采购项目相关人行贿或者提供其他不当利益的；</w:t>
      </w:r>
    </w:p>
    <w:p w14:paraId="2B99C611">
      <w:pPr>
        <w:ind w:firstLine="411" w:firstLineChars="196"/>
        <w:rPr>
          <w:rFonts w:ascii="宋体" w:hAnsi="宋体"/>
          <w:szCs w:val="21"/>
        </w:rPr>
      </w:pPr>
      <w:r>
        <w:rPr>
          <w:rFonts w:hint="eastAsia" w:ascii="宋体" w:hAnsi="宋体"/>
          <w:szCs w:val="21"/>
        </w:rPr>
        <w:t>（8）阻碍、抗拒主管部门监督检查的；</w:t>
      </w:r>
    </w:p>
    <w:p w14:paraId="0192375F">
      <w:pPr>
        <w:ind w:firstLine="411" w:firstLineChars="196"/>
        <w:rPr>
          <w:rFonts w:ascii="宋体" w:hAnsi="宋体"/>
          <w:szCs w:val="21"/>
        </w:rPr>
      </w:pPr>
      <w:r>
        <w:rPr>
          <w:rFonts w:hint="eastAsia" w:ascii="宋体" w:hAnsi="宋体"/>
          <w:szCs w:val="21"/>
        </w:rPr>
        <w:t>（9）其他违反本条例规定的行为。</w:t>
      </w:r>
    </w:p>
    <w:p w14:paraId="5AFEAB1F">
      <w:pPr>
        <w:ind w:firstLine="411" w:firstLineChars="196"/>
        <w:rPr>
          <w:rFonts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号）的要求，供应商在政府采购活动中出现《深圳经济特区政府采购条例实施细则》第八十条所列情形的，</w:t>
      </w:r>
      <w:bookmarkStart w:id="98" w:name="_Hlk72440769"/>
      <w:r>
        <w:rPr>
          <w:rFonts w:hint="eastAsia" w:ascii="宋体" w:hAnsi="宋体"/>
          <w:szCs w:val="21"/>
        </w:rPr>
        <w:t>政府集中采购机构或采购人不予退还其交纳的谈判保证金，情节严重的，并由主管部门</w:t>
      </w:r>
      <w:bookmarkEnd w:id="98"/>
      <w:r>
        <w:rPr>
          <w:rFonts w:hint="eastAsia" w:ascii="宋体" w:hAnsi="宋体"/>
          <w:szCs w:val="21"/>
        </w:rPr>
        <w:t>记入供应商诚信档案，予以通报：</w:t>
      </w:r>
    </w:p>
    <w:p w14:paraId="1A4FACE8">
      <w:pPr>
        <w:ind w:firstLine="411" w:firstLineChars="196"/>
        <w:rPr>
          <w:rFonts w:ascii="宋体" w:hAnsi="宋体"/>
          <w:szCs w:val="21"/>
        </w:rPr>
      </w:pPr>
      <w:r>
        <w:rPr>
          <w:rFonts w:hint="eastAsia" w:ascii="宋体" w:hAnsi="宋体"/>
          <w:szCs w:val="21"/>
        </w:rPr>
        <w:t>（1</w:t>
      </w:r>
      <w:r>
        <w:rPr>
          <w:rFonts w:ascii="宋体" w:hAnsi="宋体"/>
          <w:szCs w:val="21"/>
        </w:rPr>
        <w:t>）投标截止后，撤销投标的；</w:t>
      </w:r>
    </w:p>
    <w:p w14:paraId="759C6355">
      <w:pPr>
        <w:ind w:firstLine="411" w:firstLineChars="196"/>
        <w:rPr>
          <w:rFonts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5CDAEFAD">
      <w:pPr>
        <w:ind w:firstLine="411" w:firstLineChars="196"/>
        <w:rPr>
          <w:rFonts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14:paraId="025DD044">
      <w:pPr>
        <w:ind w:firstLine="411" w:firstLineChars="196"/>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82"/>
    <w:p w14:paraId="7025A7F4">
      <w:pPr>
        <w:pStyle w:val="6"/>
        <w:numPr>
          <w:ilvl w:val="0"/>
          <w:numId w:val="12"/>
        </w:numPr>
        <w:spacing w:before="120" w:beforeLines="50" w:after="120" w:afterLines="50"/>
        <w:ind w:left="562" w:hanging="562"/>
        <w:rPr>
          <w:sz w:val="28"/>
          <w:szCs w:val="28"/>
        </w:rPr>
      </w:pPr>
      <w:r>
        <w:rPr>
          <w:rFonts w:hint="eastAsia"/>
          <w:sz w:val="28"/>
          <w:szCs w:val="28"/>
        </w:rPr>
        <w:t>质疑处理</w:t>
      </w:r>
    </w:p>
    <w:p w14:paraId="3DF4E7CA">
      <w:pPr>
        <w:rPr>
          <w:rFonts w:ascii="黑体" w:hAnsi="宋体" w:eastAsia="黑体"/>
          <w:sz w:val="24"/>
        </w:rPr>
      </w:pPr>
      <w:bookmarkStart w:id="99" w:name="_Hlk72439706"/>
      <w:r>
        <w:rPr>
          <w:rFonts w:hint="eastAsia" w:ascii="黑体" w:hAnsi="宋体" w:eastAsia="黑体"/>
          <w:sz w:val="24"/>
        </w:rPr>
        <w:t>52.质疑提出与答复</w:t>
      </w:r>
    </w:p>
    <w:p w14:paraId="37776911">
      <w:pPr>
        <w:rPr>
          <w:rFonts w:ascii="宋体" w:hAnsi="宋体"/>
          <w:szCs w:val="21"/>
        </w:rPr>
      </w:pPr>
      <w:r>
        <w:rPr>
          <w:rFonts w:hint="eastAsia" w:ascii="宋体" w:hAnsi="宋体"/>
          <w:szCs w:val="21"/>
        </w:rPr>
        <w:t xml:space="preserve">    52.1提出质疑</w:t>
      </w:r>
    </w:p>
    <w:p w14:paraId="3620A400">
      <w:pPr>
        <w:rPr>
          <w:rFonts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40190851">
      <w:pPr>
        <w:rPr>
          <w:rFonts w:ascii="宋体" w:hAnsi="宋体"/>
          <w:szCs w:val="21"/>
        </w:rPr>
      </w:pPr>
      <w:r>
        <w:rPr>
          <w:rFonts w:hint="eastAsia" w:ascii="宋体" w:hAnsi="宋体"/>
          <w:szCs w:val="21"/>
        </w:rPr>
        <w:t xml:space="preserve">    52.2</w:t>
      </w:r>
      <w:r>
        <w:rPr>
          <w:rFonts w:ascii="宋体" w:hAnsi="宋体"/>
          <w:szCs w:val="21"/>
        </w:rPr>
        <w:t>法律依据</w:t>
      </w:r>
    </w:p>
    <w:p w14:paraId="332C8739">
      <w:pPr>
        <w:rPr>
          <w:rFonts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6B58F0B8">
      <w:pPr>
        <w:rPr>
          <w:rFonts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14:paraId="6C8C8227">
      <w:pPr>
        <w:rPr>
          <w:rFonts w:ascii="宋体" w:hAnsi="宋体"/>
          <w:szCs w:val="21"/>
        </w:rPr>
      </w:pPr>
      <w:r>
        <w:rPr>
          <w:rFonts w:hint="eastAsia" w:ascii="宋体" w:hAnsi="宋体"/>
          <w:szCs w:val="21"/>
        </w:rPr>
        <w:t xml:space="preserve">    52.3.1提出质疑的供应商应当是参与所质疑项目采购活动的供应商；</w:t>
      </w:r>
      <w:bookmarkStart w:id="100" w:name="_Hlk75374941"/>
      <w:r>
        <w:rPr>
          <w:rFonts w:hint="eastAsia" w:ascii="宋体" w:hAnsi="宋体"/>
          <w:szCs w:val="21"/>
        </w:rPr>
        <w:t>以联合体形式参与的，质疑应当由组成联合体的所有成员共同提出</w:t>
      </w:r>
      <w:bookmarkEnd w:id="100"/>
      <w:r>
        <w:rPr>
          <w:rFonts w:hint="eastAsia" w:ascii="宋体" w:hAnsi="宋体"/>
          <w:szCs w:val="21"/>
        </w:rPr>
        <w:t>；</w:t>
      </w:r>
    </w:p>
    <w:p w14:paraId="3651C2C1">
      <w:pPr>
        <w:rPr>
          <w:rFonts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38C1FA81">
      <w:pPr>
        <w:ind w:firstLine="420"/>
        <w:rPr>
          <w:rFonts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24B932A5">
      <w:pPr>
        <w:ind w:firstLine="420"/>
        <w:rPr>
          <w:rFonts w:ascii="宋体" w:hAnsi="宋体"/>
          <w:szCs w:val="21"/>
        </w:rPr>
      </w:pPr>
      <w:r>
        <w:rPr>
          <w:rFonts w:hint="eastAsia" w:ascii="宋体" w:hAnsi="宋体"/>
          <w:szCs w:val="21"/>
        </w:rPr>
        <w:t>（1）供应商的名称（或者姓名）、地址、邮编、邮箱、联系人及联系电话；</w:t>
      </w:r>
    </w:p>
    <w:p w14:paraId="56F2E00E">
      <w:pPr>
        <w:ind w:firstLine="420" w:firstLineChars="200"/>
        <w:rPr>
          <w:rFonts w:ascii="宋体" w:hAnsi="宋体"/>
          <w:szCs w:val="21"/>
        </w:rPr>
      </w:pPr>
      <w:r>
        <w:rPr>
          <w:rFonts w:hint="eastAsia" w:ascii="宋体" w:hAnsi="宋体"/>
          <w:szCs w:val="21"/>
        </w:rPr>
        <w:t>（2）质疑项目的名称、编号；</w:t>
      </w:r>
    </w:p>
    <w:p w14:paraId="765B9745">
      <w:pPr>
        <w:ind w:firstLine="420" w:firstLineChars="200"/>
        <w:rPr>
          <w:rFonts w:ascii="宋体" w:hAnsi="宋体"/>
          <w:szCs w:val="21"/>
        </w:rPr>
      </w:pPr>
      <w:r>
        <w:rPr>
          <w:rFonts w:hint="eastAsia" w:ascii="宋体" w:hAnsi="宋体"/>
          <w:szCs w:val="21"/>
        </w:rPr>
        <w:t>（3）具体、明确的质疑对象、质疑事项和质疑请求；</w:t>
      </w:r>
    </w:p>
    <w:p w14:paraId="64F33036">
      <w:pPr>
        <w:ind w:firstLine="420" w:firstLineChars="200"/>
        <w:rPr>
          <w:rFonts w:ascii="宋体" w:hAnsi="宋体"/>
          <w:szCs w:val="21"/>
        </w:rPr>
      </w:pPr>
      <w:r>
        <w:rPr>
          <w:rFonts w:hint="eastAsia" w:ascii="宋体" w:hAnsi="宋体"/>
          <w:szCs w:val="21"/>
        </w:rPr>
        <w:t>（4）因质疑事项而受损害的权益；</w:t>
      </w:r>
    </w:p>
    <w:p w14:paraId="55B6C61C">
      <w:pPr>
        <w:ind w:firstLine="420" w:firstLineChars="200"/>
        <w:rPr>
          <w:rFonts w:ascii="宋体" w:hAnsi="宋体"/>
          <w:szCs w:val="21"/>
        </w:rPr>
      </w:pPr>
      <w:r>
        <w:rPr>
          <w:rFonts w:hint="eastAsia" w:ascii="宋体" w:hAnsi="宋体"/>
          <w:szCs w:val="21"/>
        </w:rPr>
        <w:t>（5）事实依据；</w:t>
      </w:r>
    </w:p>
    <w:p w14:paraId="63F8CE2A">
      <w:pPr>
        <w:ind w:firstLine="420" w:firstLineChars="200"/>
        <w:rPr>
          <w:rFonts w:ascii="宋体" w:hAnsi="宋体"/>
          <w:szCs w:val="21"/>
        </w:rPr>
      </w:pPr>
      <w:r>
        <w:rPr>
          <w:rFonts w:hint="eastAsia" w:ascii="宋体" w:hAnsi="宋体"/>
          <w:szCs w:val="21"/>
        </w:rPr>
        <w:t>（6）必要的法律依据；</w:t>
      </w:r>
    </w:p>
    <w:p w14:paraId="548354E0">
      <w:pPr>
        <w:ind w:firstLine="420" w:firstLineChars="200"/>
        <w:rPr>
          <w:rFonts w:ascii="宋体" w:hAnsi="宋体"/>
          <w:szCs w:val="21"/>
        </w:rPr>
      </w:pPr>
      <w:r>
        <w:rPr>
          <w:rFonts w:hint="eastAsia" w:ascii="宋体" w:hAnsi="宋体"/>
          <w:szCs w:val="21"/>
        </w:rPr>
        <w:t>（7）提出质疑的日期。</w:t>
      </w:r>
    </w:p>
    <w:p w14:paraId="3D52A479">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294BDEB6">
      <w:pPr>
        <w:ind w:firstLine="420" w:firstLineChars="200"/>
        <w:rPr>
          <w:rFonts w:ascii="宋体" w:hAnsi="宋体"/>
          <w:szCs w:val="21"/>
        </w:rPr>
      </w:pPr>
      <w:r>
        <w:rPr>
          <w:rFonts w:hint="eastAsia" w:ascii="宋体" w:hAnsi="宋体"/>
          <w:szCs w:val="21"/>
        </w:rPr>
        <w:t>52.4提交</w:t>
      </w:r>
      <w:r>
        <w:rPr>
          <w:rFonts w:ascii="宋体" w:hAnsi="宋体"/>
          <w:szCs w:val="21"/>
        </w:rPr>
        <w:t>材料</w:t>
      </w:r>
    </w:p>
    <w:p w14:paraId="74960909">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9224A63">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7FE536D">
      <w:pPr>
        <w:ind w:firstLine="420" w:firstLineChars="200"/>
        <w:rPr>
          <w:rFonts w:ascii="宋体" w:hAnsi="宋体"/>
          <w:szCs w:val="21"/>
        </w:rPr>
      </w:pPr>
      <w:r>
        <w:rPr>
          <w:rFonts w:hint="eastAsia" w:ascii="宋体" w:hAnsi="宋体"/>
          <w:szCs w:val="21"/>
        </w:rPr>
        <w:t>52.5收文地点</w:t>
      </w:r>
    </w:p>
    <w:p w14:paraId="75A74505">
      <w:pPr>
        <w:ind w:firstLine="422" w:firstLineChars="200"/>
        <w:rPr>
          <w:rFonts w:ascii="宋体" w:hAnsi="宋体"/>
          <w:b/>
          <w:bCs/>
          <w:szCs w:val="21"/>
        </w:rPr>
      </w:pPr>
      <w:r>
        <w:rPr>
          <w:rFonts w:hint="eastAsia" w:ascii="宋体" w:hAnsi="宋体"/>
          <w:b/>
          <w:bCs/>
          <w:szCs w:val="21"/>
        </w:rPr>
        <w:t>地址：深圳公共资源交易中心（深圳交易集团有限公司</w:t>
      </w:r>
      <w:r>
        <w:rPr>
          <w:rFonts w:hint="eastAsia" w:ascii="宋体" w:hAnsi="宋体"/>
          <w:b/>
          <w:bCs/>
          <w:szCs w:val="21"/>
          <w:lang w:val="en-US" w:eastAsia="zh-CN"/>
        </w:rPr>
        <w:t>龙岗</w:t>
      </w:r>
      <w:r>
        <w:rPr>
          <w:rFonts w:hint="eastAsia" w:ascii="宋体" w:hAnsi="宋体"/>
          <w:b/>
          <w:bCs/>
          <w:szCs w:val="21"/>
        </w:rPr>
        <w:t>分公司）</w:t>
      </w:r>
      <w:r>
        <w:rPr>
          <w:rFonts w:hint="eastAsia" w:ascii="宋体" w:hAnsi="宋体"/>
          <w:b/>
          <w:bCs/>
          <w:szCs w:val="21"/>
          <w:lang w:eastAsia="zh-CN"/>
        </w:rPr>
        <w:t>。</w:t>
      </w:r>
      <w:r>
        <w:rPr>
          <w:rFonts w:hint="eastAsia" w:ascii="宋体" w:hAnsi="宋体" w:eastAsia="宋体" w:cs="Times New Roman"/>
          <w:b/>
          <w:bCs/>
          <w:szCs w:val="21"/>
        </w:rPr>
        <w:t>质疑咨询电话：0755-</w:t>
      </w:r>
      <w:r>
        <w:rPr>
          <w:rFonts w:hint="eastAsia" w:ascii="宋体" w:hAnsi="宋体" w:eastAsia="宋体" w:cs="Times New Roman"/>
          <w:b/>
          <w:bCs/>
          <w:szCs w:val="21"/>
          <w:lang w:val="en-US" w:eastAsia="zh-CN"/>
        </w:rPr>
        <w:t>28413245</w:t>
      </w:r>
      <w:r>
        <w:rPr>
          <w:rFonts w:hint="eastAsia" w:ascii="宋体" w:hAnsi="宋体"/>
          <w:b/>
          <w:bCs/>
          <w:szCs w:val="21"/>
        </w:rPr>
        <w:t>。</w:t>
      </w:r>
    </w:p>
    <w:p w14:paraId="66469A03">
      <w:pPr>
        <w:ind w:firstLine="420" w:firstLineChars="200"/>
        <w:rPr>
          <w:rFonts w:ascii="宋体" w:hAnsi="宋体"/>
          <w:szCs w:val="21"/>
        </w:rPr>
      </w:pPr>
      <w:r>
        <w:rPr>
          <w:rFonts w:hint="eastAsia" w:ascii="宋体" w:hAnsi="宋体"/>
          <w:szCs w:val="21"/>
        </w:rPr>
        <w:t>52.6收文办理</w:t>
      </w:r>
      <w:r>
        <w:rPr>
          <w:rFonts w:ascii="宋体" w:hAnsi="宋体"/>
          <w:szCs w:val="21"/>
        </w:rPr>
        <w:t>程序</w:t>
      </w:r>
    </w:p>
    <w:p w14:paraId="20FD4801">
      <w:pPr>
        <w:ind w:firstLine="420" w:firstLineChars="200"/>
        <w:rPr>
          <w:rFonts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448111CA">
      <w:pPr>
        <w:ind w:firstLine="420" w:firstLineChars="200"/>
        <w:rPr>
          <w:rFonts w:ascii="仿宋" w:hAnsi="仿宋" w:eastAsia="仿宋"/>
          <w:sz w:val="28"/>
          <w:szCs w:val="28"/>
        </w:rPr>
      </w:pPr>
      <w:r>
        <w:rPr>
          <w:rFonts w:hint="eastAsia" w:ascii="宋体" w:hAnsi="宋体"/>
          <w:szCs w:val="21"/>
        </w:rPr>
        <w:t>52.6.2供应商提交的质疑材料不符合质疑条件的，视情况处理：</w:t>
      </w:r>
    </w:p>
    <w:p w14:paraId="21906054">
      <w:pPr>
        <w:ind w:firstLine="420" w:firstLineChars="200"/>
        <w:rPr>
          <w:rFonts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4D066247">
      <w:pPr>
        <w:ind w:firstLine="420" w:firstLineChars="200"/>
        <w:rPr>
          <w:rFonts w:ascii="宋体" w:hAnsi="宋体"/>
          <w:szCs w:val="21"/>
        </w:rPr>
      </w:pPr>
      <w:r>
        <w:rPr>
          <w:rFonts w:hint="eastAsia" w:ascii="宋体" w:hAnsi="宋体"/>
          <w:szCs w:val="21"/>
        </w:rPr>
        <w:t>供应商提交的质疑存在下列情形之一的，不予受理：</w:t>
      </w:r>
    </w:p>
    <w:p w14:paraId="786EE733">
      <w:pPr>
        <w:ind w:firstLine="420" w:firstLineChars="200"/>
        <w:rPr>
          <w:rFonts w:ascii="宋体" w:hAnsi="宋体"/>
          <w:szCs w:val="21"/>
        </w:rPr>
      </w:pPr>
      <w:r>
        <w:rPr>
          <w:rFonts w:hint="eastAsia" w:ascii="宋体" w:hAnsi="宋体"/>
          <w:szCs w:val="21"/>
        </w:rPr>
        <w:t>（1）质疑主体不满足要求的；</w:t>
      </w:r>
    </w:p>
    <w:p w14:paraId="0AE881E7">
      <w:pPr>
        <w:ind w:firstLine="420" w:firstLineChars="200"/>
        <w:rPr>
          <w:rFonts w:ascii="宋体" w:hAnsi="宋体"/>
          <w:szCs w:val="21"/>
        </w:rPr>
      </w:pPr>
      <w:r>
        <w:rPr>
          <w:rFonts w:hint="eastAsia" w:ascii="宋体" w:hAnsi="宋体"/>
          <w:szCs w:val="21"/>
        </w:rPr>
        <w:t>（2）供应商自身权益未受到损害的；</w:t>
      </w:r>
    </w:p>
    <w:p w14:paraId="716C2A4D">
      <w:pPr>
        <w:ind w:firstLine="420" w:firstLineChars="200"/>
        <w:rPr>
          <w:rFonts w:ascii="宋体" w:hAnsi="宋体"/>
          <w:szCs w:val="21"/>
        </w:rPr>
      </w:pPr>
      <w:r>
        <w:rPr>
          <w:rFonts w:hint="eastAsia" w:ascii="宋体" w:hAnsi="宋体"/>
          <w:szCs w:val="21"/>
        </w:rPr>
        <w:t>（3）供应商未在法定质疑期限内提出质疑的；</w:t>
      </w:r>
    </w:p>
    <w:p w14:paraId="0ACAE387">
      <w:pPr>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1D6DEAA9">
      <w:pPr>
        <w:ind w:firstLine="420" w:firstLineChars="200"/>
        <w:rPr>
          <w:rFonts w:ascii="宋体" w:hAnsi="宋体"/>
          <w:szCs w:val="21"/>
        </w:rPr>
      </w:pPr>
      <w:r>
        <w:rPr>
          <w:rFonts w:hint="eastAsia" w:ascii="宋体" w:hAnsi="宋体"/>
          <w:szCs w:val="21"/>
        </w:rPr>
        <w:t>（5）其他不符合受理条件情形的。</w:t>
      </w:r>
    </w:p>
    <w:p w14:paraId="7E0494A1">
      <w:pPr>
        <w:ind w:firstLine="420" w:firstLineChars="200"/>
        <w:rPr>
          <w:rFonts w:ascii="宋体" w:hAnsi="宋体"/>
          <w:szCs w:val="21"/>
        </w:rPr>
      </w:pPr>
      <w:r>
        <w:rPr>
          <w:rFonts w:hint="eastAsia" w:ascii="宋体" w:hAnsi="宋体"/>
          <w:szCs w:val="21"/>
        </w:rPr>
        <w:t>质疑事项不予受理的，政府集中采购机构应当向供应商出具不符合质疑条件告知书。</w:t>
      </w:r>
    </w:p>
    <w:p w14:paraId="15E32BAC">
      <w:pPr>
        <w:rPr>
          <w:rFonts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14:paraId="02D681BE">
      <w:pPr>
        <w:rPr>
          <w:rFonts w:ascii="宋体" w:hAnsi="宋体"/>
          <w:szCs w:val="21"/>
        </w:rPr>
      </w:pPr>
      <w:r>
        <w:rPr>
          <w:rFonts w:hint="eastAsia" w:ascii="宋体" w:hAnsi="宋体"/>
          <w:szCs w:val="21"/>
        </w:rPr>
        <w:t xml:space="preserve">    自收文之日起七个工作日内。</w:t>
      </w:r>
    </w:p>
    <w:p w14:paraId="64427298">
      <w:pPr>
        <w:rPr>
          <w:rFonts w:ascii="宋体" w:hAnsi="宋体"/>
          <w:szCs w:val="21"/>
        </w:rPr>
      </w:pPr>
      <w:r>
        <w:rPr>
          <w:rFonts w:hint="eastAsia" w:ascii="宋体" w:hAnsi="宋体"/>
          <w:szCs w:val="21"/>
        </w:rPr>
        <w:t xml:space="preserve">    52.8投诉</w:t>
      </w:r>
    </w:p>
    <w:p w14:paraId="443B4AB3">
      <w:pPr>
        <w:rPr>
          <w:rFonts w:ascii="宋体" w:hAnsi="宋体"/>
          <w:szCs w:val="21"/>
        </w:rPr>
      </w:pPr>
      <w:r>
        <w:rPr>
          <w:rFonts w:hint="eastAsia" w:ascii="宋体" w:hAnsi="宋体"/>
          <w:szCs w:val="21"/>
        </w:rPr>
        <w:t xml:space="preserve">    对质疑答复不满意或者未在规定时间内答复的，提出质疑的供应商可以在答复期满后15日内向</w:t>
      </w:r>
      <w:r>
        <w:rPr>
          <w:rFonts w:hint="eastAsia" w:ascii="宋体" w:hAnsi="宋体"/>
          <w:szCs w:val="21"/>
          <w:lang w:val="en-US" w:eastAsia="zh-CN"/>
        </w:rPr>
        <w:t>采购人</w:t>
      </w:r>
      <w:r>
        <w:rPr>
          <w:rFonts w:hint="eastAsia" w:ascii="宋体" w:hAnsi="宋体"/>
          <w:szCs w:val="21"/>
        </w:rPr>
        <w:t>投诉。</w:t>
      </w:r>
    </w:p>
    <w:p w14:paraId="49760F1A">
      <w:pPr>
        <w:rPr>
          <w:rFonts w:ascii="黑体" w:hAnsi="宋体" w:eastAsia="黑体"/>
          <w:sz w:val="24"/>
        </w:rPr>
      </w:pPr>
      <w:r>
        <w:rPr>
          <w:rFonts w:hint="eastAsia" w:ascii="黑体" w:hAnsi="宋体" w:eastAsia="黑体"/>
          <w:sz w:val="24"/>
        </w:rPr>
        <w:t>53. 质疑后续处理</w:t>
      </w:r>
    </w:p>
    <w:p w14:paraId="160F465E">
      <w:pPr>
        <w:jc w:val="both"/>
        <w:rPr>
          <w:rFonts w:ascii="宋体" w:hAnsi="宋体"/>
          <w:szCs w:val="21"/>
        </w:rPr>
      </w:pPr>
      <w:r>
        <w:rPr>
          <w:rFonts w:hint="eastAsia" w:ascii="宋体" w:hAnsi="宋体"/>
          <w:szCs w:val="21"/>
        </w:rPr>
        <w:t xml:space="preserve">    53.1供应商质疑不成立，或者成立但未对中标、成交结果构成影响的，继续开展采购活动。</w:t>
      </w:r>
    </w:p>
    <w:p w14:paraId="578E9847">
      <w:pPr>
        <w:ind w:firstLine="420"/>
        <w:jc w:val="both"/>
        <w:rPr>
          <w:rFonts w:hint="eastAsia" w:ascii="宋体" w:hAnsi="宋体"/>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46BDE7C0">
      <w:pPr>
        <w:jc w:val="both"/>
      </w:pPr>
      <w:r>
        <w:t>---- END ----</w:t>
      </w:r>
      <w:bookmarkEnd w:id="99"/>
    </w:p>
    <w:p w14:paraId="0FB87E7F">
      <w:pPr>
        <w:ind w:firstLine="420" w:firstLineChars="200"/>
        <w:rPr>
          <w:rFonts w:ascii="宋体" w:hAnsi="宋体"/>
          <w:szCs w:val="21"/>
        </w:rPr>
      </w:pPr>
    </w:p>
    <w:sectPr>
      <w:footerReference r:id="rId8" w:type="default"/>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30204"/>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
    <w:altName w:val="微软雅黑"/>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宋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849C1">
    <w:pPr>
      <w:pStyle w:val="2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2CE3A3">
                          <w:pPr>
                            <w:pStyle w:val="2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C2CE3A3">
                    <w:pPr>
                      <w:pStyle w:val="2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03BAA">
    <w:pPr>
      <w:pStyle w:val="27"/>
      <w:framePr w:wrap="around" w:vAnchor="text" w:hAnchor="margin" w:xAlign="center" w:y="1"/>
      <w:rPr>
        <w:rStyle w:val="48"/>
      </w:rPr>
    </w:pPr>
    <w:r>
      <w:rPr>
        <w:rStyle w:val="48"/>
      </w:rPr>
      <w:fldChar w:fldCharType="begin"/>
    </w:r>
    <w:r>
      <w:rPr>
        <w:rStyle w:val="48"/>
      </w:rPr>
      <w:instrText xml:space="preserve">PAGE  </w:instrText>
    </w:r>
    <w:r>
      <w:rPr>
        <w:rStyle w:val="48"/>
      </w:rPr>
      <w:fldChar w:fldCharType="end"/>
    </w:r>
  </w:p>
  <w:p w14:paraId="22BD6313">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9D52B">
    <w:pPr>
      <w:pStyle w:val="2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E717B7">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2E717B7">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1BF7B">
    <w:pPr>
      <w:pStyle w:val="27"/>
      <w:tabs>
        <w:tab w:val="left" w:pos="426"/>
      </w:tabs>
      <w:rPr>
        <w:rStyle w:val="48"/>
      </w:rPr>
    </w:pPr>
    <w:r>
      <w:rPr>
        <w:rStyle w:val="48"/>
      </w:rPr>
      <w:fldChar w:fldCharType="begin"/>
    </w:r>
    <w:r>
      <w:rPr>
        <w:rStyle w:val="48"/>
      </w:rPr>
      <w:instrText xml:space="preserve">PAGE  </w:instrText>
    </w:r>
    <w:r>
      <w:rPr>
        <w:rStyle w:val="48"/>
      </w:rPr>
      <w:fldChar w:fldCharType="separate"/>
    </w:r>
    <w:r>
      <w:rPr>
        <w:rStyle w:val="48"/>
      </w:rPr>
      <w:t>65</w:t>
    </w:r>
    <w:r>
      <w:rPr>
        <w:rStyle w:val="48"/>
      </w:rPr>
      <w:fldChar w:fldCharType="end"/>
    </w:r>
  </w:p>
  <w:p w14:paraId="03DD6E7D">
    <w:pPr>
      <w:pStyle w:val="27"/>
      <w:tabs>
        <w:tab w:val="left" w:pos="42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FEBD7">
    <w:pPr>
      <w:pStyle w:val="27"/>
      <w:jc w:val="center"/>
      <w:rPr>
        <w:rFonts w:hint="eastAsia"/>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83B101">
                          <w:pPr>
                            <w:pStyle w:val="27"/>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583B101">
                    <w:pPr>
                      <w:pStyle w:val="27"/>
                    </w:pPr>
                    <w:r>
                      <w:fldChar w:fldCharType="begin"/>
                    </w:r>
                    <w:r>
                      <w:instrText xml:space="preserve"> PAGE  \* MERGEFORMAT </w:instrText>
                    </w:r>
                    <w:r>
                      <w:fldChar w:fldCharType="separate"/>
                    </w:r>
                    <w:r>
                      <w:t>48</w:t>
                    </w:r>
                    <w:r>
                      <w:fldChar w:fldCharType="end"/>
                    </w:r>
                  </w:p>
                </w:txbxContent>
              </v:textbox>
            </v:shape>
          </w:pict>
        </mc:Fallback>
      </mc:AlternateContent>
    </w:r>
  </w:p>
  <w:p w14:paraId="234EC8E8">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BFB19">
    <w:pPr>
      <w:pStyle w:val="28"/>
      <w:pBdr>
        <w:top w:val="none" w:color="auto" w:sz="0" w:space="0"/>
        <w:left w:val="none" w:color="auto" w:sz="0" w:space="0"/>
        <w:bottom w:val="none" w:color="auto" w:sz="0" w:space="1"/>
        <w:right w:val="none" w:color="auto" w:sz="0" w:space="0"/>
        <w:between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69CB7B"/>
    <w:multiLevelType w:val="singleLevel"/>
    <w:tmpl w:val="9269CB7B"/>
    <w:lvl w:ilvl="0" w:tentative="0">
      <w:start w:val="10"/>
      <w:numFmt w:val="chineseCounting"/>
      <w:suff w:val="nothing"/>
      <w:lvlText w:val="%1、"/>
      <w:lvlJc w:val="left"/>
      <w:rPr>
        <w:rFonts w:hint="eastAsia"/>
      </w:rPr>
    </w:lvl>
  </w:abstractNum>
  <w:abstractNum w:abstractNumId="1">
    <w:nsid w:val="AAA35A2F"/>
    <w:multiLevelType w:val="singleLevel"/>
    <w:tmpl w:val="AAA35A2F"/>
    <w:lvl w:ilvl="0" w:tentative="0">
      <w:start w:val="1"/>
      <w:numFmt w:val="decimal"/>
      <w:lvlText w:val="%1."/>
      <w:lvlJc w:val="left"/>
      <w:pPr>
        <w:tabs>
          <w:tab w:val="left" w:pos="312"/>
        </w:tabs>
      </w:pPr>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FFFFFF7C"/>
    <w:multiLevelType w:val="singleLevel"/>
    <w:tmpl w:val="FFFFFF7C"/>
    <w:lvl w:ilvl="0" w:tentative="0">
      <w:start w:val="1"/>
      <w:numFmt w:val="decimal"/>
      <w:pStyle w:val="59"/>
      <w:lvlText w:val="%1."/>
      <w:lvlJc w:val="left"/>
      <w:pPr>
        <w:tabs>
          <w:tab w:val="left" w:pos="2040"/>
        </w:tabs>
        <w:ind w:left="2040" w:leftChars="800" w:hanging="360" w:hangingChars="200"/>
      </w:pPr>
    </w:lvl>
  </w:abstractNum>
  <w:abstractNum w:abstractNumId="4">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5">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2503483"/>
    <w:multiLevelType w:val="multilevel"/>
    <w:tmpl w:val="12503483"/>
    <w:lvl w:ilvl="0" w:tentative="0">
      <w:start w:val="1"/>
      <w:numFmt w:val="bullet"/>
      <w:pStyle w:val="107"/>
      <w:lvlText w:val=""/>
      <w:lvlJc w:val="left"/>
      <w:pPr>
        <w:tabs>
          <w:tab w:val="left" w:pos="420"/>
        </w:tabs>
        <w:ind w:left="420" w:hanging="420"/>
      </w:pPr>
      <w:rPr>
        <w:rFonts w:hint="default" w:ascii="Wingdings" w:hAnsi="Wingdings"/>
      </w:rPr>
    </w:lvl>
    <w:lvl w:ilvl="1" w:tentative="0">
      <w:start w:val="1"/>
      <w:numFmt w:val="bullet"/>
      <w:pStyle w:val="106"/>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160D20D0"/>
    <w:multiLevelType w:val="multilevel"/>
    <w:tmpl w:val="160D20D0"/>
    <w:lvl w:ilvl="0" w:tentative="0">
      <w:start w:val="1"/>
      <w:numFmt w:val="bullet"/>
      <w:pStyle w:val="75"/>
      <w:lvlText w:val=""/>
      <w:lvlJc w:val="left"/>
      <w:pPr>
        <w:tabs>
          <w:tab w:val="left" w:pos="840"/>
        </w:tabs>
        <w:ind w:left="840" w:hanging="420"/>
      </w:pPr>
      <w:rPr>
        <w:rFonts w:hint="default" w:ascii="Wingdings" w:hAnsi="Wingdings"/>
      </w:rPr>
    </w:lvl>
    <w:lvl w:ilvl="1" w:tentative="0">
      <w:start w:val="1"/>
      <w:numFmt w:val="bullet"/>
      <w:pStyle w:val="76"/>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8">
    <w:nsid w:val="2F395B7B"/>
    <w:multiLevelType w:val="multilevel"/>
    <w:tmpl w:val="2F395B7B"/>
    <w:lvl w:ilvl="0" w:tentative="0">
      <w:start w:val="1"/>
      <w:numFmt w:val="bullet"/>
      <w:pStyle w:val="167"/>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9">
    <w:nsid w:val="4095915A"/>
    <w:multiLevelType w:val="singleLevel"/>
    <w:tmpl w:val="4095915A"/>
    <w:lvl w:ilvl="0" w:tentative="0">
      <w:start w:val="6"/>
      <w:numFmt w:val="chineseCounting"/>
      <w:suff w:val="nothing"/>
      <w:lvlText w:val="%1、"/>
      <w:lvlJc w:val="left"/>
      <w:rPr>
        <w:rFonts w:hint="eastAsia"/>
      </w:rPr>
    </w:lvl>
  </w:abstractNum>
  <w:abstractNum w:abstractNumId="10">
    <w:nsid w:val="726C71F1"/>
    <w:multiLevelType w:val="multilevel"/>
    <w:tmpl w:val="726C71F1"/>
    <w:lvl w:ilvl="0" w:tentative="0">
      <w:start w:val="1"/>
      <w:numFmt w:val="chineseCountingThousand"/>
      <w:pStyle w:val="200"/>
      <w:suff w:val="nothing"/>
      <w:lvlText w:val="%1、"/>
      <w:lvlJc w:val="left"/>
      <w:pPr>
        <w:ind w:left="0" w:firstLine="0"/>
      </w:pPr>
      <w:rPr>
        <w:rFonts w:hint="eastAsia"/>
        <w:b/>
        <w:lang w:val="en-US"/>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1">
    <w:nsid w:val="7AEF7716"/>
    <w:multiLevelType w:val="multilevel"/>
    <w:tmpl w:val="7AEF7716"/>
    <w:lvl w:ilvl="0" w:tentative="0">
      <w:start w:val="1"/>
      <w:numFmt w:val="chineseCountingThousand"/>
      <w:pStyle w:val="120"/>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7"/>
  </w:num>
  <w:num w:numId="4">
    <w:abstractNumId w:val="6"/>
  </w:num>
  <w:num w:numId="5">
    <w:abstractNumId w:val="11"/>
  </w:num>
  <w:num w:numId="6">
    <w:abstractNumId w:val="8"/>
  </w:num>
  <w:num w:numId="7">
    <w:abstractNumId w:val="10"/>
  </w:num>
  <w:num w:numId="8">
    <w:abstractNumId w:val="1"/>
  </w:num>
  <w:num w:numId="9">
    <w:abstractNumId w:val="9"/>
  </w:num>
  <w:num w:numId="10">
    <w:abstractNumId w:val="2"/>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0OWI4MDU3YTJhYzdmNGM4MWU3MmRkYjBiZmM3Mjg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300F"/>
    <w:rsid w:val="00013262"/>
    <w:rsid w:val="0001480D"/>
    <w:rsid w:val="00014A5C"/>
    <w:rsid w:val="00015388"/>
    <w:rsid w:val="00015BDD"/>
    <w:rsid w:val="00015C88"/>
    <w:rsid w:val="00016D97"/>
    <w:rsid w:val="0001716B"/>
    <w:rsid w:val="00017F81"/>
    <w:rsid w:val="00020691"/>
    <w:rsid w:val="000211EA"/>
    <w:rsid w:val="000234B2"/>
    <w:rsid w:val="00025AE4"/>
    <w:rsid w:val="0002684B"/>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CD1"/>
    <w:rsid w:val="00036A2B"/>
    <w:rsid w:val="000377D2"/>
    <w:rsid w:val="00040D3C"/>
    <w:rsid w:val="00040E5A"/>
    <w:rsid w:val="00042897"/>
    <w:rsid w:val="00042C84"/>
    <w:rsid w:val="00043739"/>
    <w:rsid w:val="00043A89"/>
    <w:rsid w:val="00045739"/>
    <w:rsid w:val="00046D30"/>
    <w:rsid w:val="000510B6"/>
    <w:rsid w:val="00051133"/>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335B"/>
    <w:rsid w:val="00063C25"/>
    <w:rsid w:val="00064231"/>
    <w:rsid w:val="00064892"/>
    <w:rsid w:val="00064C7A"/>
    <w:rsid w:val="00066026"/>
    <w:rsid w:val="000661FF"/>
    <w:rsid w:val="00066537"/>
    <w:rsid w:val="0006660A"/>
    <w:rsid w:val="0006670C"/>
    <w:rsid w:val="00067960"/>
    <w:rsid w:val="0007003A"/>
    <w:rsid w:val="00070210"/>
    <w:rsid w:val="000707BF"/>
    <w:rsid w:val="0007277D"/>
    <w:rsid w:val="000734CD"/>
    <w:rsid w:val="00074403"/>
    <w:rsid w:val="00074CF0"/>
    <w:rsid w:val="000750DC"/>
    <w:rsid w:val="0007583C"/>
    <w:rsid w:val="00076057"/>
    <w:rsid w:val="000770EC"/>
    <w:rsid w:val="00081E95"/>
    <w:rsid w:val="00082667"/>
    <w:rsid w:val="00082AD2"/>
    <w:rsid w:val="00083DC6"/>
    <w:rsid w:val="000840D4"/>
    <w:rsid w:val="00084857"/>
    <w:rsid w:val="00084F26"/>
    <w:rsid w:val="0008503C"/>
    <w:rsid w:val="000850AF"/>
    <w:rsid w:val="000852EB"/>
    <w:rsid w:val="00086539"/>
    <w:rsid w:val="000869D8"/>
    <w:rsid w:val="00086CA6"/>
    <w:rsid w:val="00090213"/>
    <w:rsid w:val="000903AC"/>
    <w:rsid w:val="00092FC7"/>
    <w:rsid w:val="00093133"/>
    <w:rsid w:val="0009395E"/>
    <w:rsid w:val="00094603"/>
    <w:rsid w:val="000954D5"/>
    <w:rsid w:val="00095723"/>
    <w:rsid w:val="0009618D"/>
    <w:rsid w:val="0009709B"/>
    <w:rsid w:val="000975E3"/>
    <w:rsid w:val="00097DDA"/>
    <w:rsid w:val="000A1DD1"/>
    <w:rsid w:val="000A21A5"/>
    <w:rsid w:val="000A3908"/>
    <w:rsid w:val="000A4C29"/>
    <w:rsid w:val="000A5EA4"/>
    <w:rsid w:val="000A6E2B"/>
    <w:rsid w:val="000A79D3"/>
    <w:rsid w:val="000B05E2"/>
    <w:rsid w:val="000B0C99"/>
    <w:rsid w:val="000B0F8B"/>
    <w:rsid w:val="000B2213"/>
    <w:rsid w:val="000B2568"/>
    <w:rsid w:val="000B41BB"/>
    <w:rsid w:val="000B5357"/>
    <w:rsid w:val="000B5853"/>
    <w:rsid w:val="000B597F"/>
    <w:rsid w:val="000B634D"/>
    <w:rsid w:val="000B7465"/>
    <w:rsid w:val="000C14CB"/>
    <w:rsid w:val="000C18BC"/>
    <w:rsid w:val="000C1EE4"/>
    <w:rsid w:val="000C1FF9"/>
    <w:rsid w:val="000C21C4"/>
    <w:rsid w:val="000C4151"/>
    <w:rsid w:val="000C4425"/>
    <w:rsid w:val="000C4B12"/>
    <w:rsid w:val="000C4FCB"/>
    <w:rsid w:val="000C5EA0"/>
    <w:rsid w:val="000C5FA7"/>
    <w:rsid w:val="000C7E71"/>
    <w:rsid w:val="000D16AA"/>
    <w:rsid w:val="000D1A7D"/>
    <w:rsid w:val="000D2309"/>
    <w:rsid w:val="000D2CCA"/>
    <w:rsid w:val="000D366B"/>
    <w:rsid w:val="000D38F9"/>
    <w:rsid w:val="000D5D6B"/>
    <w:rsid w:val="000D62C8"/>
    <w:rsid w:val="000D7A20"/>
    <w:rsid w:val="000E0BFC"/>
    <w:rsid w:val="000E161C"/>
    <w:rsid w:val="000E266E"/>
    <w:rsid w:val="000E2B61"/>
    <w:rsid w:val="000E470B"/>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425"/>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2FD3"/>
    <w:rsid w:val="00133A61"/>
    <w:rsid w:val="001341E8"/>
    <w:rsid w:val="001362BD"/>
    <w:rsid w:val="0013673A"/>
    <w:rsid w:val="00137F86"/>
    <w:rsid w:val="001410EB"/>
    <w:rsid w:val="00141B41"/>
    <w:rsid w:val="00143554"/>
    <w:rsid w:val="00143653"/>
    <w:rsid w:val="00143934"/>
    <w:rsid w:val="00143B3A"/>
    <w:rsid w:val="00143E43"/>
    <w:rsid w:val="00143FFC"/>
    <w:rsid w:val="001453B3"/>
    <w:rsid w:val="00146ABB"/>
    <w:rsid w:val="00147338"/>
    <w:rsid w:val="00147A48"/>
    <w:rsid w:val="00150143"/>
    <w:rsid w:val="001509AB"/>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96C"/>
    <w:rsid w:val="00191EA7"/>
    <w:rsid w:val="00192164"/>
    <w:rsid w:val="00193EB7"/>
    <w:rsid w:val="00194ACA"/>
    <w:rsid w:val="00194C98"/>
    <w:rsid w:val="00194FB7"/>
    <w:rsid w:val="00196B4E"/>
    <w:rsid w:val="001975A1"/>
    <w:rsid w:val="001A027A"/>
    <w:rsid w:val="001A08E4"/>
    <w:rsid w:val="001A0D2C"/>
    <w:rsid w:val="001A11D8"/>
    <w:rsid w:val="001A12B5"/>
    <w:rsid w:val="001A174B"/>
    <w:rsid w:val="001A1C72"/>
    <w:rsid w:val="001A2976"/>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4BB2"/>
    <w:rsid w:val="001B6FAD"/>
    <w:rsid w:val="001C04B2"/>
    <w:rsid w:val="001C1FDE"/>
    <w:rsid w:val="001C2063"/>
    <w:rsid w:val="001C21E1"/>
    <w:rsid w:val="001C3426"/>
    <w:rsid w:val="001C4768"/>
    <w:rsid w:val="001C5839"/>
    <w:rsid w:val="001C6431"/>
    <w:rsid w:val="001C6AF6"/>
    <w:rsid w:val="001C7129"/>
    <w:rsid w:val="001C77E1"/>
    <w:rsid w:val="001C7ADA"/>
    <w:rsid w:val="001D0FD3"/>
    <w:rsid w:val="001D121D"/>
    <w:rsid w:val="001D1C29"/>
    <w:rsid w:val="001D3543"/>
    <w:rsid w:val="001D35FD"/>
    <w:rsid w:val="001D3B85"/>
    <w:rsid w:val="001D3DF1"/>
    <w:rsid w:val="001D4151"/>
    <w:rsid w:val="001D4BB9"/>
    <w:rsid w:val="001D501B"/>
    <w:rsid w:val="001D58E5"/>
    <w:rsid w:val="001D5EAE"/>
    <w:rsid w:val="001E07AA"/>
    <w:rsid w:val="001E0FAB"/>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41B9"/>
    <w:rsid w:val="001F4BE8"/>
    <w:rsid w:val="001F4EB8"/>
    <w:rsid w:val="001F560A"/>
    <w:rsid w:val="001F6318"/>
    <w:rsid w:val="001F65B1"/>
    <w:rsid w:val="001F6B83"/>
    <w:rsid w:val="001F6F6A"/>
    <w:rsid w:val="001F7595"/>
    <w:rsid w:val="001F7FE7"/>
    <w:rsid w:val="002000B8"/>
    <w:rsid w:val="00200B4C"/>
    <w:rsid w:val="0020303B"/>
    <w:rsid w:val="00203267"/>
    <w:rsid w:val="00203897"/>
    <w:rsid w:val="0020391D"/>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67D"/>
    <w:rsid w:val="002166A1"/>
    <w:rsid w:val="002166A6"/>
    <w:rsid w:val="00216BB6"/>
    <w:rsid w:val="0022048B"/>
    <w:rsid w:val="0022175C"/>
    <w:rsid w:val="00221D76"/>
    <w:rsid w:val="00222261"/>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4711"/>
    <w:rsid w:val="00244AE4"/>
    <w:rsid w:val="00245EBE"/>
    <w:rsid w:val="00246C63"/>
    <w:rsid w:val="002472C1"/>
    <w:rsid w:val="002473F4"/>
    <w:rsid w:val="00250600"/>
    <w:rsid w:val="002506E1"/>
    <w:rsid w:val="00250F42"/>
    <w:rsid w:val="00252934"/>
    <w:rsid w:val="00252EBA"/>
    <w:rsid w:val="0025361A"/>
    <w:rsid w:val="002545EF"/>
    <w:rsid w:val="00254B44"/>
    <w:rsid w:val="00254E99"/>
    <w:rsid w:val="00255B9B"/>
    <w:rsid w:val="002562E9"/>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2AC"/>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B0660"/>
    <w:rsid w:val="002B1286"/>
    <w:rsid w:val="002B18D6"/>
    <w:rsid w:val="002B1B98"/>
    <w:rsid w:val="002B22D4"/>
    <w:rsid w:val="002B3259"/>
    <w:rsid w:val="002B3984"/>
    <w:rsid w:val="002B4595"/>
    <w:rsid w:val="002B45EE"/>
    <w:rsid w:val="002B4BF3"/>
    <w:rsid w:val="002B55C8"/>
    <w:rsid w:val="002B5E4B"/>
    <w:rsid w:val="002B660D"/>
    <w:rsid w:val="002B7969"/>
    <w:rsid w:val="002C0031"/>
    <w:rsid w:val="002C0485"/>
    <w:rsid w:val="002C0762"/>
    <w:rsid w:val="002C0C86"/>
    <w:rsid w:val="002C1397"/>
    <w:rsid w:val="002C257A"/>
    <w:rsid w:val="002C2BEC"/>
    <w:rsid w:val="002C30C0"/>
    <w:rsid w:val="002C4F4B"/>
    <w:rsid w:val="002C6EC0"/>
    <w:rsid w:val="002C7A58"/>
    <w:rsid w:val="002D0356"/>
    <w:rsid w:val="002D07C0"/>
    <w:rsid w:val="002D0F98"/>
    <w:rsid w:val="002D1DFB"/>
    <w:rsid w:val="002D45BF"/>
    <w:rsid w:val="002D4A85"/>
    <w:rsid w:val="002D4B65"/>
    <w:rsid w:val="002D6162"/>
    <w:rsid w:val="002D64DF"/>
    <w:rsid w:val="002D71EF"/>
    <w:rsid w:val="002E00F3"/>
    <w:rsid w:val="002E242E"/>
    <w:rsid w:val="002E255F"/>
    <w:rsid w:val="002E2CED"/>
    <w:rsid w:val="002E2FEC"/>
    <w:rsid w:val="002E38DB"/>
    <w:rsid w:val="002E4AB1"/>
    <w:rsid w:val="002E4F8A"/>
    <w:rsid w:val="002E505D"/>
    <w:rsid w:val="002E73B8"/>
    <w:rsid w:val="002F0823"/>
    <w:rsid w:val="002F0F0F"/>
    <w:rsid w:val="002F113B"/>
    <w:rsid w:val="002F2471"/>
    <w:rsid w:val="002F2B7A"/>
    <w:rsid w:val="002F3105"/>
    <w:rsid w:val="002F4864"/>
    <w:rsid w:val="002F5E6C"/>
    <w:rsid w:val="002F6DD7"/>
    <w:rsid w:val="002F72FF"/>
    <w:rsid w:val="002F7987"/>
    <w:rsid w:val="002F79D4"/>
    <w:rsid w:val="003005C9"/>
    <w:rsid w:val="00300BF3"/>
    <w:rsid w:val="0030143F"/>
    <w:rsid w:val="00301BCD"/>
    <w:rsid w:val="003024C7"/>
    <w:rsid w:val="00303636"/>
    <w:rsid w:val="00303ACF"/>
    <w:rsid w:val="0030463E"/>
    <w:rsid w:val="003047AB"/>
    <w:rsid w:val="00304ED6"/>
    <w:rsid w:val="0030661C"/>
    <w:rsid w:val="00306D5D"/>
    <w:rsid w:val="00306FF4"/>
    <w:rsid w:val="003074C6"/>
    <w:rsid w:val="00307A08"/>
    <w:rsid w:val="0031060A"/>
    <w:rsid w:val="00310EE1"/>
    <w:rsid w:val="003122B0"/>
    <w:rsid w:val="00312390"/>
    <w:rsid w:val="003138EB"/>
    <w:rsid w:val="003139DD"/>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18A6"/>
    <w:rsid w:val="00331D51"/>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494"/>
    <w:rsid w:val="00360C00"/>
    <w:rsid w:val="00360E7E"/>
    <w:rsid w:val="00361935"/>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FA4"/>
    <w:rsid w:val="003756C6"/>
    <w:rsid w:val="00375EFF"/>
    <w:rsid w:val="00376E35"/>
    <w:rsid w:val="003773E4"/>
    <w:rsid w:val="00377F6C"/>
    <w:rsid w:val="00380094"/>
    <w:rsid w:val="00380256"/>
    <w:rsid w:val="0038165D"/>
    <w:rsid w:val="00381812"/>
    <w:rsid w:val="00383071"/>
    <w:rsid w:val="00383BBC"/>
    <w:rsid w:val="0038418D"/>
    <w:rsid w:val="003849DF"/>
    <w:rsid w:val="00385444"/>
    <w:rsid w:val="00385717"/>
    <w:rsid w:val="00385C8D"/>
    <w:rsid w:val="00385F39"/>
    <w:rsid w:val="00386070"/>
    <w:rsid w:val="003900A5"/>
    <w:rsid w:val="00390941"/>
    <w:rsid w:val="003917AD"/>
    <w:rsid w:val="00391FAB"/>
    <w:rsid w:val="00392539"/>
    <w:rsid w:val="00392677"/>
    <w:rsid w:val="00393431"/>
    <w:rsid w:val="00393633"/>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298"/>
    <w:rsid w:val="003A3304"/>
    <w:rsid w:val="003A3551"/>
    <w:rsid w:val="003A38F0"/>
    <w:rsid w:val="003A443D"/>
    <w:rsid w:val="003A4708"/>
    <w:rsid w:val="003A4BAB"/>
    <w:rsid w:val="003A6A5A"/>
    <w:rsid w:val="003A72E9"/>
    <w:rsid w:val="003B06AD"/>
    <w:rsid w:val="003B06B9"/>
    <w:rsid w:val="003B0979"/>
    <w:rsid w:val="003B15E9"/>
    <w:rsid w:val="003B175A"/>
    <w:rsid w:val="003B3231"/>
    <w:rsid w:val="003B357A"/>
    <w:rsid w:val="003B4714"/>
    <w:rsid w:val="003B499C"/>
    <w:rsid w:val="003B4CCD"/>
    <w:rsid w:val="003B53D4"/>
    <w:rsid w:val="003B7298"/>
    <w:rsid w:val="003C0036"/>
    <w:rsid w:val="003C0FF8"/>
    <w:rsid w:val="003C43DA"/>
    <w:rsid w:val="003C4FD5"/>
    <w:rsid w:val="003C5585"/>
    <w:rsid w:val="003C57DD"/>
    <w:rsid w:val="003C582B"/>
    <w:rsid w:val="003C614D"/>
    <w:rsid w:val="003C77E9"/>
    <w:rsid w:val="003D152F"/>
    <w:rsid w:val="003D19EE"/>
    <w:rsid w:val="003D2333"/>
    <w:rsid w:val="003D2374"/>
    <w:rsid w:val="003D2B3A"/>
    <w:rsid w:val="003D3241"/>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7DE"/>
    <w:rsid w:val="003E4FFA"/>
    <w:rsid w:val="003E6E11"/>
    <w:rsid w:val="003E7BA8"/>
    <w:rsid w:val="003F0536"/>
    <w:rsid w:val="003F10D3"/>
    <w:rsid w:val="003F1548"/>
    <w:rsid w:val="003F2B3D"/>
    <w:rsid w:val="003F2EDF"/>
    <w:rsid w:val="003F3105"/>
    <w:rsid w:val="003F3BBA"/>
    <w:rsid w:val="003F3C44"/>
    <w:rsid w:val="003F4172"/>
    <w:rsid w:val="003F4249"/>
    <w:rsid w:val="003F4E3B"/>
    <w:rsid w:val="003F5086"/>
    <w:rsid w:val="003F5108"/>
    <w:rsid w:val="003F5D2C"/>
    <w:rsid w:val="003F64BC"/>
    <w:rsid w:val="003F6CAF"/>
    <w:rsid w:val="003F7679"/>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96"/>
    <w:rsid w:val="00411B37"/>
    <w:rsid w:val="004125ED"/>
    <w:rsid w:val="00412B4D"/>
    <w:rsid w:val="00413B39"/>
    <w:rsid w:val="00413D4D"/>
    <w:rsid w:val="0041450E"/>
    <w:rsid w:val="0041456E"/>
    <w:rsid w:val="00414BE5"/>
    <w:rsid w:val="0041524E"/>
    <w:rsid w:val="00415370"/>
    <w:rsid w:val="00415781"/>
    <w:rsid w:val="00416485"/>
    <w:rsid w:val="00416F40"/>
    <w:rsid w:val="00417769"/>
    <w:rsid w:val="00417F0D"/>
    <w:rsid w:val="00421795"/>
    <w:rsid w:val="00421EF2"/>
    <w:rsid w:val="00422668"/>
    <w:rsid w:val="004252CD"/>
    <w:rsid w:val="0042602D"/>
    <w:rsid w:val="00427004"/>
    <w:rsid w:val="00427208"/>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FA3"/>
    <w:rsid w:val="00446553"/>
    <w:rsid w:val="004466DA"/>
    <w:rsid w:val="00446A92"/>
    <w:rsid w:val="00446CEB"/>
    <w:rsid w:val="00447664"/>
    <w:rsid w:val="004501B4"/>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611B6"/>
    <w:rsid w:val="00461997"/>
    <w:rsid w:val="00463F8B"/>
    <w:rsid w:val="004649AD"/>
    <w:rsid w:val="004650E7"/>
    <w:rsid w:val="0046687B"/>
    <w:rsid w:val="004674FB"/>
    <w:rsid w:val="00470418"/>
    <w:rsid w:val="004704DA"/>
    <w:rsid w:val="004704EA"/>
    <w:rsid w:val="0047056A"/>
    <w:rsid w:val="0047071D"/>
    <w:rsid w:val="00471464"/>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78"/>
    <w:rsid w:val="004B1CAB"/>
    <w:rsid w:val="004B2FF9"/>
    <w:rsid w:val="004B3506"/>
    <w:rsid w:val="004B36ED"/>
    <w:rsid w:val="004B3D73"/>
    <w:rsid w:val="004B40DB"/>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1240"/>
    <w:rsid w:val="004D133B"/>
    <w:rsid w:val="004D49EE"/>
    <w:rsid w:val="004D4AE0"/>
    <w:rsid w:val="004D4C0B"/>
    <w:rsid w:val="004D512D"/>
    <w:rsid w:val="004D6042"/>
    <w:rsid w:val="004D62C0"/>
    <w:rsid w:val="004D69FC"/>
    <w:rsid w:val="004D77BD"/>
    <w:rsid w:val="004D77DE"/>
    <w:rsid w:val="004D7BF4"/>
    <w:rsid w:val="004D7C92"/>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405F"/>
    <w:rsid w:val="0051444F"/>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B19"/>
    <w:rsid w:val="005470DD"/>
    <w:rsid w:val="005476CE"/>
    <w:rsid w:val="0055035F"/>
    <w:rsid w:val="005507FD"/>
    <w:rsid w:val="005511C0"/>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1923"/>
    <w:rsid w:val="005622F8"/>
    <w:rsid w:val="0056310A"/>
    <w:rsid w:val="00563236"/>
    <w:rsid w:val="0056336F"/>
    <w:rsid w:val="005636C6"/>
    <w:rsid w:val="00565366"/>
    <w:rsid w:val="00565AF7"/>
    <w:rsid w:val="00570C34"/>
    <w:rsid w:val="00571020"/>
    <w:rsid w:val="0057189C"/>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9BF"/>
    <w:rsid w:val="00584058"/>
    <w:rsid w:val="005844A5"/>
    <w:rsid w:val="005846B4"/>
    <w:rsid w:val="005850E5"/>
    <w:rsid w:val="005851E0"/>
    <w:rsid w:val="00585571"/>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1482"/>
    <w:rsid w:val="005B152C"/>
    <w:rsid w:val="005B1C64"/>
    <w:rsid w:val="005B1DE8"/>
    <w:rsid w:val="005B2590"/>
    <w:rsid w:val="005B25BC"/>
    <w:rsid w:val="005B2807"/>
    <w:rsid w:val="005B3606"/>
    <w:rsid w:val="005B3BFF"/>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B55"/>
    <w:rsid w:val="005D160D"/>
    <w:rsid w:val="005D356C"/>
    <w:rsid w:val="005D4A04"/>
    <w:rsid w:val="005D4CF7"/>
    <w:rsid w:val="005D5347"/>
    <w:rsid w:val="005D5CC5"/>
    <w:rsid w:val="005D5FE6"/>
    <w:rsid w:val="005D61EA"/>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5573"/>
    <w:rsid w:val="005F5D1D"/>
    <w:rsid w:val="005F60C9"/>
    <w:rsid w:val="005F64C6"/>
    <w:rsid w:val="005F6F05"/>
    <w:rsid w:val="006008F1"/>
    <w:rsid w:val="00601714"/>
    <w:rsid w:val="00601735"/>
    <w:rsid w:val="00602BD2"/>
    <w:rsid w:val="00604980"/>
    <w:rsid w:val="00605BDB"/>
    <w:rsid w:val="0060614D"/>
    <w:rsid w:val="0061005A"/>
    <w:rsid w:val="006101C5"/>
    <w:rsid w:val="00610871"/>
    <w:rsid w:val="00610E48"/>
    <w:rsid w:val="0061160D"/>
    <w:rsid w:val="0061286C"/>
    <w:rsid w:val="00612E83"/>
    <w:rsid w:val="00613C47"/>
    <w:rsid w:val="00615086"/>
    <w:rsid w:val="00615B0A"/>
    <w:rsid w:val="00616201"/>
    <w:rsid w:val="00616225"/>
    <w:rsid w:val="00616917"/>
    <w:rsid w:val="0061705E"/>
    <w:rsid w:val="00617A8B"/>
    <w:rsid w:val="00621904"/>
    <w:rsid w:val="00622248"/>
    <w:rsid w:val="00622FEA"/>
    <w:rsid w:val="00623CDF"/>
    <w:rsid w:val="00623DB1"/>
    <w:rsid w:val="006245F3"/>
    <w:rsid w:val="00624DBE"/>
    <w:rsid w:val="00625450"/>
    <w:rsid w:val="0062624F"/>
    <w:rsid w:val="006319C1"/>
    <w:rsid w:val="006319CA"/>
    <w:rsid w:val="00632D91"/>
    <w:rsid w:val="00633B3E"/>
    <w:rsid w:val="00634B64"/>
    <w:rsid w:val="00634EC0"/>
    <w:rsid w:val="006351C3"/>
    <w:rsid w:val="0063627F"/>
    <w:rsid w:val="0063642A"/>
    <w:rsid w:val="006376C4"/>
    <w:rsid w:val="006403E7"/>
    <w:rsid w:val="00642D72"/>
    <w:rsid w:val="006443CB"/>
    <w:rsid w:val="006448B8"/>
    <w:rsid w:val="00644F80"/>
    <w:rsid w:val="00645874"/>
    <w:rsid w:val="006458E5"/>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2DFC"/>
    <w:rsid w:val="00672F5B"/>
    <w:rsid w:val="00673BD7"/>
    <w:rsid w:val="00673DEE"/>
    <w:rsid w:val="00674E69"/>
    <w:rsid w:val="00675A33"/>
    <w:rsid w:val="0067602A"/>
    <w:rsid w:val="006763ED"/>
    <w:rsid w:val="00676433"/>
    <w:rsid w:val="006767FD"/>
    <w:rsid w:val="0067720F"/>
    <w:rsid w:val="0067738E"/>
    <w:rsid w:val="00677F23"/>
    <w:rsid w:val="00680936"/>
    <w:rsid w:val="00680BBE"/>
    <w:rsid w:val="00680D8C"/>
    <w:rsid w:val="00680D99"/>
    <w:rsid w:val="006821B2"/>
    <w:rsid w:val="00682725"/>
    <w:rsid w:val="00682A1B"/>
    <w:rsid w:val="00682D73"/>
    <w:rsid w:val="00682ED3"/>
    <w:rsid w:val="006846E8"/>
    <w:rsid w:val="0068541E"/>
    <w:rsid w:val="00685E9D"/>
    <w:rsid w:val="00685EBD"/>
    <w:rsid w:val="0068605C"/>
    <w:rsid w:val="006861C3"/>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A01FB"/>
    <w:rsid w:val="006A07DF"/>
    <w:rsid w:val="006A1093"/>
    <w:rsid w:val="006A1D3D"/>
    <w:rsid w:val="006A2150"/>
    <w:rsid w:val="006A2216"/>
    <w:rsid w:val="006A241D"/>
    <w:rsid w:val="006A3288"/>
    <w:rsid w:val="006A43E6"/>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B97"/>
    <w:rsid w:val="006F1DE7"/>
    <w:rsid w:val="006F1EA3"/>
    <w:rsid w:val="006F2627"/>
    <w:rsid w:val="006F2BF8"/>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2B1B"/>
    <w:rsid w:val="00702ED6"/>
    <w:rsid w:val="007032B3"/>
    <w:rsid w:val="00704164"/>
    <w:rsid w:val="007044BF"/>
    <w:rsid w:val="00706A58"/>
    <w:rsid w:val="00707517"/>
    <w:rsid w:val="007078ED"/>
    <w:rsid w:val="00710187"/>
    <w:rsid w:val="007110E1"/>
    <w:rsid w:val="00711B18"/>
    <w:rsid w:val="00714394"/>
    <w:rsid w:val="00714ED6"/>
    <w:rsid w:val="007151B7"/>
    <w:rsid w:val="00715E8D"/>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34510"/>
    <w:rsid w:val="00734887"/>
    <w:rsid w:val="007365B6"/>
    <w:rsid w:val="007373C8"/>
    <w:rsid w:val="007401E2"/>
    <w:rsid w:val="00740205"/>
    <w:rsid w:val="00740D67"/>
    <w:rsid w:val="007411E5"/>
    <w:rsid w:val="00741605"/>
    <w:rsid w:val="00742AD3"/>
    <w:rsid w:val="00742F72"/>
    <w:rsid w:val="007436F2"/>
    <w:rsid w:val="0074436D"/>
    <w:rsid w:val="007446DA"/>
    <w:rsid w:val="007462C2"/>
    <w:rsid w:val="00746772"/>
    <w:rsid w:val="00746951"/>
    <w:rsid w:val="00746F65"/>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0C9"/>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79A"/>
    <w:rsid w:val="007871FE"/>
    <w:rsid w:val="007902AD"/>
    <w:rsid w:val="00790606"/>
    <w:rsid w:val="007908ED"/>
    <w:rsid w:val="00790F74"/>
    <w:rsid w:val="007912E8"/>
    <w:rsid w:val="00792288"/>
    <w:rsid w:val="00792447"/>
    <w:rsid w:val="007928C6"/>
    <w:rsid w:val="007929C0"/>
    <w:rsid w:val="00794F7C"/>
    <w:rsid w:val="007951F4"/>
    <w:rsid w:val="0079694C"/>
    <w:rsid w:val="00797AF9"/>
    <w:rsid w:val="00797FBD"/>
    <w:rsid w:val="007A0187"/>
    <w:rsid w:val="007A19AC"/>
    <w:rsid w:val="007A2640"/>
    <w:rsid w:val="007A268F"/>
    <w:rsid w:val="007A4A53"/>
    <w:rsid w:val="007A4C93"/>
    <w:rsid w:val="007A4E17"/>
    <w:rsid w:val="007A5AC6"/>
    <w:rsid w:val="007A6A01"/>
    <w:rsid w:val="007A7D0A"/>
    <w:rsid w:val="007A7F6D"/>
    <w:rsid w:val="007B0799"/>
    <w:rsid w:val="007B0FBD"/>
    <w:rsid w:val="007B1BAF"/>
    <w:rsid w:val="007B2393"/>
    <w:rsid w:val="007B2FE8"/>
    <w:rsid w:val="007B30DB"/>
    <w:rsid w:val="007B35F7"/>
    <w:rsid w:val="007B4DD5"/>
    <w:rsid w:val="007B4F72"/>
    <w:rsid w:val="007B5148"/>
    <w:rsid w:val="007B5A16"/>
    <w:rsid w:val="007B660D"/>
    <w:rsid w:val="007B7219"/>
    <w:rsid w:val="007C03FE"/>
    <w:rsid w:val="007C0E04"/>
    <w:rsid w:val="007C17D3"/>
    <w:rsid w:val="007C1E98"/>
    <w:rsid w:val="007C1FA2"/>
    <w:rsid w:val="007C2827"/>
    <w:rsid w:val="007C3A26"/>
    <w:rsid w:val="007C4032"/>
    <w:rsid w:val="007C4CE1"/>
    <w:rsid w:val="007C537A"/>
    <w:rsid w:val="007C57D1"/>
    <w:rsid w:val="007C6B3E"/>
    <w:rsid w:val="007C6F13"/>
    <w:rsid w:val="007C7130"/>
    <w:rsid w:val="007C74E5"/>
    <w:rsid w:val="007C7DAB"/>
    <w:rsid w:val="007C7F57"/>
    <w:rsid w:val="007D0348"/>
    <w:rsid w:val="007D0E43"/>
    <w:rsid w:val="007D13E7"/>
    <w:rsid w:val="007D153B"/>
    <w:rsid w:val="007D1E37"/>
    <w:rsid w:val="007D2256"/>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D90"/>
    <w:rsid w:val="007F3D9B"/>
    <w:rsid w:val="007F3F6F"/>
    <w:rsid w:val="007F48A9"/>
    <w:rsid w:val="007F4A1F"/>
    <w:rsid w:val="007F4E28"/>
    <w:rsid w:val="007F4E6E"/>
    <w:rsid w:val="007F4F82"/>
    <w:rsid w:val="007F6BB6"/>
    <w:rsid w:val="007F6D96"/>
    <w:rsid w:val="007F7CFA"/>
    <w:rsid w:val="00801D7A"/>
    <w:rsid w:val="008020F2"/>
    <w:rsid w:val="00802462"/>
    <w:rsid w:val="008036FC"/>
    <w:rsid w:val="00803F74"/>
    <w:rsid w:val="00804653"/>
    <w:rsid w:val="00804C48"/>
    <w:rsid w:val="0080505A"/>
    <w:rsid w:val="00805478"/>
    <w:rsid w:val="00806639"/>
    <w:rsid w:val="00806A84"/>
    <w:rsid w:val="008073A4"/>
    <w:rsid w:val="00807C6C"/>
    <w:rsid w:val="00807C7A"/>
    <w:rsid w:val="008115ED"/>
    <w:rsid w:val="00811A42"/>
    <w:rsid w:val="0081254B"/>
    <w:rsid w:val="008132BB"/>
    <w:rsid w:val="0081340B"/>
    <w:rsid w:val="00813788"/>
    <w:rsid w:val="00813F40"/>
    <w:rsid w:val="00814FED"/>
    <w:rsid w:val="00815822"/>
    <w:rsid w:val="00815B93"/>
    <w:rsid w:val="00815BA2"/>
    <w:rsid w:val="00816585"/>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F4C"/>
    <w:rsid w:val="00831573"/>
    <w:rsid w:val="00833C51"/>
    <w:rsid w:val="008349A6"/>
    <w:rsid w:val="00835271"/>
    <w:rsid w:val="00835679"/>
    <w:rsid w:val="008360DF"/>
    <w:rsid w:val="0083731C"/>
    <w:rsid w:val="008377DA"/>
    <w:rsid w:val="00837BD7"/>
    <w:rsid w:val="00840591"/>
    <w:rsid w:val="00841F21"/>
    <w:rsid w:val="00842991"/>
    <w:rsid w:val="008429B0"/>
    <w:rsid w:val="00843900"/>
    <w:rsid w:val="00844C5B"/>
    <w:rsid w:val="0084581F"/>
    <w:rsid w:val="00845898"/>
    <w:rsid w:val="00845A15"/>
    <w:rsid w:val="0084632F"/>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1C1"/>
    <w:rsid w:val="00876C1B"/>
    <w:rsid w:val="00876E70"/>
    <w:rsid w:val="008804E1"/>
    <w:rsid w:val="00880E30"/>
    <w:rsid w:val="008815B6"/>
    <w:rsid w:val="008818F6"/>
    <w:rsid w:val="00881D45"/>
    <w:rsid w:val="008829F8"/>
    <w:rsid w:val="0088398E"/>
    <w:rsid w:val="00885182"/>
    <w:rsid w:val="0088647E"/>
    <w:rsid w:val="00887E02"/>
    <w:rsid w:val="00890382"/>
    <w:rsid w:val="0089046A"/>
    <w:rsid w:val="00891106"/>
    <w:rsid w:val="00892833"/>
    <w:rsid w:val="00893479"/>
    <w:rsid w:val="0089375D"/>
    <w:rsid w:val="008943CB"/>
    <w:rsid w:val="008946B9"/>
    <w:rsid w:val="008960A2"/>
    <w:rsid w:val="008979BC"/>
    <w:rsid w:val="008A056E"/>
    <w:rsid w:val="008A0882"/>
    <w:rsid w:val="008A10C1"/>
    <w:rsid w:val="008A181A"/>
    <w:rsid w:val="008A1C47"/>
    <w:rsid w:val="008A2289"/>
    <w:rsid w:val="008A3766"/>
    <w:rsid w:val="008A4F66"/>
    <w:rsid w:val="008A5290"/>
    <w:rsid w:val="008A593A"/>
    <w:rsid w:val="008A6A60"/>
    <w:rsid w:val="008A6C5A"/>
    <w:rsid w:val="008A6CCA"/>
    <w:rsid w:val="008B1B85"/>
    <w:rsid w:val="008B1B8C"/>
    <w:rsid w:val="008B25B1"/>
    <w:rsid w:val="008B2C59"/>
    <w:rsid w:val="008B2DF3"/>
    <w:rsid w:val="008B353B"/>
    <w:rsid w:val="008B376A"/>
    <w:rsid w:val="008B444E"/>
    <w:rsid w:val="008B569F"/>
    <w:rsid w:val="008B7220"/>
    <w:rsid w:val="008C0669"/>
    <w:rsid w:val="008C08A5"/>
    <w:rsid w:val="008C1DD7"/>
    <w:rsid w:val="008C26FA"/>
    <w:rsid w:val="008C36BB"/>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2A60"/>
    <w:rsid w:val="008F310D"/>
    <w:rsid w:val="008F3888"/>
    <w:rsid w:val="008F3A90"/>
    <w:rsid w:val="008F3B22"/>
    <w:rsid w:val="008F43C7"/>
    <w:rsid w:val="008F4823"/>
    <w:rsid w:val="008F551B"/>
    <w:rsid w:val="008F606D"/>
    <w:rsid w:val="008F6597"/>
    <w:rsid w:val="008F7150"/>
    <w:rsid w:val="008F71CC"/>
    <w:rsid w:val="008F721C"/>
    <w:rsid w:val="008F757D"/>
    <w:rsid w:val="00900662"/>
    <w:rsid w:val="00901953"/>
    <w:rsid w:val="00901DF8"/>
    <w:rsid w:val="00902166"/>
    <w:rsid w:val="00902A0C"/>
    <w:rsid w:val="009040A1"/>
    <w:rsid w:val="009043AA"/>
    <w:rsid w:val="0090473B"/>
    <w:rsid w:val="0090487F"/>
    <w:rsid w:val="00905282"/>
    <w:rsid w:val="00905908"/>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33CE"/>
    <w:rsid w:val="00923C3F"/>
    <w:rsid w:val="00924853"/>
    <w:rsid w:val="009252E0"/>
    <w:rsid w:val="00925501"/>
    <w:rsid w:val="00926982"/>
    <w:rsid w:val="00926B5A"/>
    <w:rsid w:val="00926D4C"/>
    <w:rsid w:val="009270C4"/>
    <w:rsid w:val="00931743"/>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4BF0"/>
    <w:rsid w:val="00946136"/>
    <w:rsid w:val="00946CD9"/>
    <w:rsid w:val="00947046"/>
    <w:rsid w:val="00947A00"/>
    <w:rsid w:val="009505F4"/>
    <w:rsid w:val="00951216"/>
    <w:rsid w:val="0095279B"/>
    <w:rsid w:val="0095316C"/>
    <w:rsid w:val="00954282"/>
    <w:rsid w:val="00954427"/>
    <w:rsid w:val="009545B9"/>
    <w:rsid w:val="009564ED"/>
    <w:rsid w:val="00956CA2"/>
    <w:rsid w:val="00960385"/>
    <w:rsid w:val="0096079B"/>
    <w:rsid w:val="00960CA9"/>
    <w:rsid w:val="0096218D"/>
    <w:rsid w:val="00964509"/>
    <w:rsid w:val="00964525"/>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B5F"/>
    <w:rsid w:val="00995768"/>
    <w:rsid w:val="00996326"/>
    <w:rsid w:val="00996B7D"/>
    <w:rsid w:val="00996F95"/>
    <w:rsid w:val="00997745"/>
    <w:rsid w:val="00997EA5"/>
    <w:rsid w:val="009A07D5"/>
    <w:rsid w:val="009A1303"/>
    <w:rsid w:val="009A1BC9"/>
    <w:rsid w:val="009A1FE7"/>
    <w:rsid w:val="009A2967"/>
    <w:rsid w:val="009A36B7"/>
    <w:rsid w:val="009A3720"/>
    <w:rsid w:val="009A42CF"/>
    <w:rsid w:val="009A44E8"/>
    <w:rsid w:val="009A4A49"/>
    <w:rsid w:val="009A581E"/>
    <w:rsid w:val="009A679E"/>
    <w:rsid w:val="009B0460"/>
    <w:rsid w:val="009B13AF"/>
    <w:rsid w:val="009B1DA5"/>
    <w:rsid w:val="009B1E1D"/>
    <w:rsid w:val="009B2602"/>
    <w:rsid w:val="009B28FD"/>
    <w:rsid w:val="009B2AD6"/>
    <w:rsid w:val="009B3172"/>
    <w:rsid w:val="009B4575"/>
    <w:rsid w:val="009B461D"/>
    <w:rsid w:val="009B5594"/>
    <w:rsid w:val="009B59ED"/>
    <w:rsid w:val="009B6EE8"/>
    <w:rsid w:val="009B729E"/>
    <w:rsid w:val="009B7498"/>
    <w:rsid w:val="009C264B"/>
    <w:rsid w:val="009C34F1"/>
    <w:rsid w:val="009C381A"/>
    <w:rsid w:val="009C3B80"/>
    <w:rsid w:val="009C3D84"/>
    <w:rsid w:val="009C48C6"/>
    <w:rsid w:val="009C5D76"/>
    <w:rsid w:val="009C5DFB"/>
    <w:rsid w:val="009C5FDE"/>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4BB"/>
    <w:rsid w:val="009E0525"/>
    <w:rsid w:val="009E05A9"/>
    <w:rsid w:val="009E1370"/>
    <w:rsid w:val="009E20A6"/>
    <w:rsid w:val="009E233F"/>
    <w:rsid w:val="009E2F30"/>
    <w:rsid w:val="009E323A"/>
    <w:rsid w:val="009E328B"/>
    <w:rsid w:val="009E4130"/>
    <w:rsid w:val="009E6122"/>
    <w:rsid w:val="009E6DD0"/>
    <w:rsid w:val="009E6DEE"/>
    <w:rsid w:val="009E6E87"/>
    <w:rsid w:val="009E700C"/>
    <w:rsid w:val="009E7F79"/>
    <w:rsid w:val="009F082A"/>
    <w:rsid w:val="009F0BD9"/>
    <w:rsid w:val="009F12B4"/>
    <w:rsid w:val="009F33FA"/>
    <w:rsid w:val="009F347C"/>
    <w:rsid w:val="009F4D19"/>
    <w:rsid w:val="009F54D7"/>
    <w:rsid w:val="009F6619"/>
    <w:rsid w:val="009F68FF"/>
    <w:rsid w:val="009F6FEE"/>
    <w:rsid w:val="009F768E"/>
    <w:rsid w:val="009F7F88"/>
    <w:rsid w:val="00A00E77"/>
    <w:rsid w:val="00A01A4C"/>
    <w:rsid w:val="00A01C1F"/>
    <w:rsid w:val="00A01C98"/>
    <w:rsid w:val="00A04B6F"/>
    <w:rsid w:val="00A054CB"/>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757"/>
    <w:rsid w:val="00A639E0"/>
    <w:rsid w:val="00A63D89"/>
    <w:rsid w:val="00A64393"/>
    <w:rsid w:val="00A6526E"/>
    <w:rsid w:val="00A65DA4"/>
    <w:rsid w:val="00A66E04"/>
    <w:rsid w:val="00A67194"/>
    <w:rsid w:val="00A671B3"/>
    <w:rsid w:val="00A676F1"/>
    <w:rsid w:val="00A67968"/>
    <w:rsid w:val="00A7040E"/>
    <w:rsid w:val="00A70D5A"/>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A16"/>
    <w:rsid w:val="00A97B61"/>
    <w:rsid w:val="00A97C2E"/>
    <w:rsid w:val="00A97CE3"/>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71A"/>
    <w:rsid w:val="00AA5EB3"/>
    <w:rsid w:val="00AA5F1A"/>
    <w:rsid w:val="00AA6916"/>
    <w:rsid w:val="00AB022F"/>
    <w:rsid w:val="00AB110E"/>
    <w:rsid w:val="00AB11CF"/>
    <w:rsid w:val="00AB1287"/>
    <w:rsid w:val="00AB1CE8"/>
    <w:rsid w:val="00AB2470"/>
    <w:rsid w:val="00AB3FCD"/>
    <w:rsid w:val="00AB4506"/>
    <w:rsid w:val="00AB5190"/>
    <w:rsid w:val="00AB5513"/>
    <w:rsid w:val="00AB6DFC"/>
    <w:rsid w:val="00AB6E0F"/>
    <w:rsid w:val="00AB7354"/>
    <w:rsid w:val="00AB75DD"/>
    <w:rsid w:val="00AB7C46"/>
    <w:rsid w:val="00AC071C"/>
    <w:rsid w:val="00AC2076"/>
    <w:rsid w:val="00AC3637"/>
    <w:rsid w:val="00AC3D4F"/>
    <w:rsid w:val="00AC3DB7"/>
    <w:rsid w:val="00AC4699"/>
    <w:rsid w:val="00AC57CD"/>
    <w:rsid w:val="00AC59DF"/>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330"/>
    <w:rsid w:val="00AE27D6"/>
    <w:rsid w:val="00AE55BC"/>
    <w:rsid w:val="00AE5A99"/>
    <w:rsid w:val="00AE62E7"/>
    <w:rsid w:val="00AE686D"/>
    <w:rsid w:val="00AE6B27"/>
    <w:rsid w:val="00AE77AC"/>
    <w:rsid w:val="00AF0DC0"/>
    <w:rsid w:val="00AF0F96"/>
    <w:rsid w:val="00AF17E4"/>
    <w:rsid w:val="00AF21D7"/>
    <w:rsid w:val="00AF282C"/>
    <w:rsid w:val="00AF28EB"/>
    <w:rsid w:val="00AF31BA"/>
    <w:rsid w:val="00AF36B6"/>
    <w:rsid w:val="00AF4803"/>
    <w:rsid w:val="00AF4D10"/>
    <w:rsid w:val="00AF58CB"/>
    <w:rsid w:val="00AF7217"/>
    <w:rsid w:val="00AF726F"/>
    <w:rsid w:val="00AF783F"/>
    <w:rsid w:val="00B00506"/>
    <w:rsid w:val="00B00673"/>
    <w:rsid w:val="00B00ED5"/>
    <w:rsid w:val="00B02315"/>
    <w:rsid w:val="00B02BF0"/>
    <w:rsid w:val="00B034DD"/>
    <w:rsid w:val="00B03AB4"/>
    <w:rsid w:val="00B04C3C"/>
    <w:rsid w:val="00B05B91"/>
    <w:rsid w:val="00B06ED4"/>
    <w:rsid w:val="00B077CC"/>
    <w:rsid w:val="00B07A28"/>
    <w:rsid w:val="00B1123F"/>
    <w:rsid w:val="00B13397"/>
    <w:rsid w:val="00B1400D"/>
    <w:rsid w:val="00B144AA"/>
    <w:rsid w:val="00B147C9"/>
    <w:rsid w:val="00B15BB2"/>
    <w:rsid w:val="00B1666B"/>
    <w:rsid w:val="00B16EBE"/>
    <w:rsid w:val="00B20655"/>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6B6"/>
    <w:rsid w:val="00B42C20"/>
    <w:rsid w:val="00B43AD9"/>
    <w:rsid w:val="00B443D5"/>
    <w:rsid w:val="00B44482"/>
    <w:rsid w:val="00B45012"/>
    <w:rsid w:val="00B450D9"/>
    <w:rsid w:val="00B45D36"/>
    <w:rsid w:val="00B46FF2"/>
    <w:rsid w:val="00B539EB"/>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3D1E"/>
    <w:rsid w:val="00B74530"/>
    <w:rsid w:val="00B74E4D"/>
    <w:rsid w:val="00B75D3F"/>
    <w:rsid w:val="00B75D4C"/>
    <w:rsid w:val="00B76F2C"/>
    <w:rsid w:val="00B774EE"/>
    <w:rsid w:val="00B77723"/>
    <w:rsid w:val="00B77863"/>
    <w:rsid w:val="00B80008"/>
    <w:rsid w:val="00B801AC"/>
    <w:rsid w:val="00B809E2"/>
    <w:rsid w:val="00B815D3"/>
    <w:rsid w:val="00B8270D"/>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BE5"/>
    <w:rsid w:val="00B9556B"/>
    <w:rsid w:val="00B96069"/>
    <w:rsid w:val="00B968F3"/>
    <w:rsid w:val="00BA0A76"/>
    <w:rsid w:val="00BA11A9"/>
    <w:rsid w:val="00BA30C2"/>
    <w:rsid w:val="00BA31C6"/>
    <w:rsid w:val="00BA4B0A"/>
    <w:rsid w:val="00BA699B"/>
    <w:rsid w:val="00BA76AB"/>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6FE"/>
    <w:rsid w:val="00BC1221"/>
    <w:rsid w:val="00BC1765"/>
    <w:rsid w:val="00BC1FD6"/>
    <w:rsid w:val="00BC25D7"/>
    <w:rsid w:val="00BC320C"/>
    <w:rsid w:val="00BC43C2"/>
    <w:rsid w:val="00BC464D"/>
    <w:rsid w:val="00BC4883"/>
    <w:rsid w:val="00BC5454"/>
    <w:rsid w:val="00BC5F7F"/>
    <w:rsid w:val="00BC72BA"/>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A5B"/>
    <w:rsid w:val="00BE5B7C"/>
    <w:rsid w:val="00BE61C4"/>
    <w:rsid w:val="00BE72FD"/>
    <w:rsid w:val="00BE733C"/>
    <w:rsid w:val="00BE73D4"/>
    <w:rsid w:val="00BE791F"/>
    <w:rsid w:val="00BE7AF2"/>
    <w:rsid w:val="00BF1EF8"/>
    <w:rsid w:val="00BF25A9"/>
    <w:rsid w:val="00BF2DE5"/>
    <w:rsid w:val="00BF39B7"/>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92E"/>
    <w:rsid w:val="00C20F37"/>
    <w:rsid w:val="00C211AE"/>
    <w:rsid w:val="00C213FD"/>
    <w:rsid w:val="00C21C42"/>
    <w:rsid w:val="00C23520"/>
    <w:rsid w:val="00C23FE1"/>
    <w:rsid w:val="00C24AE3"/>
    <w:rsid w:val="00C25082"/>
    <w:rsid w:val="00C2570A"/>
    <w:rsid w:val="00C25B91"/>
    <w:rsid w:val="00C265D4"/>
    <w:rsid w:val="00C26DC6"/>
    <w:rsid w:val="00C27447"/>
    <w:rsid w:val="00C275FC"/>
    <w:rsid w:val="00C2772B"/>
    <w:rsid w:val="00C30615"/>
    <w:rsid w:val="00C30715"/>
    <w:rsid w:val="00C30D84"/>
    <w:rsid w:val="00C3131B"/>
    <w:rsid w:val="00C317A7"/>
    <w:rsid w:val="00C33383"/>
    <w:rsid w:val="00C33614"/>
    <w:rsid w:val="00C33AEC"/>
    <w:rsid w:val="00C35493"/>
    <w:rsid w:val="00C35C8E"/>
    <w:rsid w:val="00C361E9"/>
    <w:rsid w:val="00C3671E"/>
    <w:rsid w:val="00C36B1D"/>
    <w:rsid w:val="00C3742C"/>
    <w:rsid w:val="00C410D2"/>
    <w:rsid w:val="00C41363"/>
    <w:rsid w:val="00C42209"/>
    <w:rsid w:val="00C429D5"/>
    <w:rsid w:val="00C42A78"/>
    <w:rsid w:val="00C42DC9"/>
    <w:rsid w:val="00C437D6"/>
    <w:rsid w:val="00C45897"/>
    <w:rsid w:val="00C4601D"/>
    <w:rsid w:val="00C470F6"/>
    <w:rsid w:val="00C47B1C"/>
    <w:rsid w:val="00C504EF"/>
    <w:rsid w:val="00C509D2"/>
    <w:rsid w:val="00C51CCA"/>
    <w:rsid w:val="00C53131"/>
    <w:rsid w:val="00C54473"/>
    <w:rsid w:val="00C55945"/>
    <w:rsid w:val="00C55D94"/>
    <w:rsid w:val="00C55DCB"/>
    <w:rsid w:val="00C55FBB"/>
    <w:rsid w:val="00C57582"/>
    <w:rsid w:val="00C608EF"/>
    <w:rsid w:val="00C60E9C"/>
    <w:rsid w:val="00C612BB"/>
    <w:rsid w:val="00C612BF"/>
    <w:rsid w:val="00C61338"/>
    <w:rsid w:val="00C6207E"/>
    <w:rsid w:val="00C6324D"/>
    <w:rsid w:val="00C64773"/>
    <w:rsid w:val="00C64FAE"/>
    <w:rsid w:val="00C653CC"/>
    <w:rsid w:val="00C66344"/>
    <w:rsid w:val="00C66EDC"/>
    <w:rsid w:val="00C674F7"/>
    <w:rsid w:val="00C67D05"/>
    <w:rsid w:val="00C714EE"/>
    <w:rsid w:val="00C731E1"/>
    <w:rsid w:val="00C7335A"/>
    <w:rsid w:val="00C741A7"/>
    <w:rsid w:val="00C745D7"/>
    <w:rsid w:val="00C74F7C"/>
    <w:rsid w:val="00C75F87"/>
    <w:rsid w:val="00C7702A"/>
    <w:rsid w:val="00C773C8"/>
    <w:rsid w:val="00C806B8"/>
    <w:rsid w:val="00C80A25"/>
    <w:rsid w:val="00C80E5E"/>
    <w:rsid w:val="00C82930"/>
    <w:rsid w:val="00C82C9E"/>
    <w:rsid w:val="00C83945"/>
    <w:rsid w:val="00C841BF"/>
    <w:rsid w:val="00C84BF3"/>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EF2"/>
    <w:rsid w:val="00CD786B"/>
    <w:rsid w:val="00CD7B8B"/>
    <w:rsid w:val="00CE01F8"/>
    <w:rsid w:val="00CE08BB"/>
    <w:rsid w:val="00CE24B9"/>
    <w:rsid w:val="00CE2ADD"/>
    <w:rsid w:val="00CE2B04"/>
    <w:rsid w:val="00CE2C2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9E0"/>
    <w:rsid w:val="00D27131"/>
    <w:rsid w:val="00D31AD0"/>
    <w:rsid w:val="00D31B9E"/>
    <w:rsid w:val="00D31BBD"/>
    <w:rsid w:val="00D32658"/>
    <w:rsid w:val="00D34E83"/>
    <w:rsid w:val="00D35189"/>
    <w:rsid w:val="00D352D0"/>
    <w:rsid w:val="00D3701D"/>
    <w:rsid w:val="00D37354"/>
    <w:rsid w:val="00D404B1"/>
    <w:rsid w:val="00D40C33"/>
    <w:rsid w:val="00D4104F"/>
    <w:rsid w:val="00D4313E"/>
    <w:rsid w:val="00D43988"/>
    <w:rsid w:val="00D4707E"/>
    <w:rsid w:val="00D47238"/>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54F8"/>
    <w:rsid w:val="00D66697"/>
    <w:rsid w:val="00D676B3"/>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4E38"/>
    <w:rsid w:val="00D75449"/>
    <w:rsid w:val="00D770D5"/>
    <w:rsid w:val="00D809B7"/>
    <w:rsid w:val="00D812A9"/>
    <w:rsid w:val="00D813B0"/>
    <w:rsid w:val="00D8141C"/>
    <w:rsid w:val="00D81A57"/>
    <w:rsid w:val="00D82664"/>
    <w:rsid w:val="00D8269A"/>
    <w:rsid w:val="00D82962"/>
    <w:rsid w:val="00D82A4C"/>
    <w:rsid w:val="00D83A65"/>
    <w:rsid w:val="00D846CF"/>
    <w:rsid w:val="00D85683"/>
    <w:rsid w:val="00D86320"/>
    <w:rsid w:val="00D86D21"/>
    <w:rsid w:val="00D86D72"/>
    <w:rsid w:val="00D8772B"/>
    <w:rsid w:val="00D90114"/>
    <w:rsid w:val="00D90679"/>
    <w:rsid w:val="00D90F8A"/>
    <w:rsid w:val="00D91621"/>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87B"/>
    <w:rsid w:val="00D97BA1"/>
    <w:rsid w:val="00D97F28"/>
    <w:rsid w:val="00DA09FC"/>
    <w:rsid w:val="00DA28A7"/>
    <w:rsid w:val="00DA2BB0"/>
    <w:rsid w:val="00DA2BCC"/>
    <w:rsid w:val="00DA2FCA"/>
    <w:rsid w:val="00DA348E"/>
    <w:rsid w:val="00DA373A"/>
    <w:rsid w:val="00DA5162"/>
    <w:rsid w:val="00DA59D2"/>
    <w:rsid w:val="00DA5A9C"/>
    <w:rsid w:val="00DA5F60"/>
    <w:rsid w:val="00DA6E9D"/>
    <w:rsid w:val="00DA6FF3"/>
    <w:rsid w:val="00DB1595"/>
    <w:rsid w:val="00DB297D"/>
    <w:rsid w:val="00DB2B7E"/>
    <w:rsid w:val="00DB2BA7"/>
    <w:rsid w:val="00DB2F6C"/>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F57"/>
    <w:rsid w:val="00DD60E3"/>
    <w:rsid w:val="00DD7F9B"/>
    <w:rsid w:val="00DE3385"/>
    <w:rsid w:val="00DE3503"/>
    <w:rsid w:val="00DE3CA1"/>
    <w:rsid w:val="00DE4007"/>
    <w:rsid w:val="00DE4638"/>
    <w:rsid w:val="00DE4651"/>
    <w:rsid w:val="00DE534A"/>
    <w:rsid w:val="00DE55FD"/>
    <w:rsid w:val="00DE7265"/>
    <w:rsid w:val="00DE7525"/>
    <w:rsid w:val="00DF2247"/>
    <w:rsid w:val="00DF2353"/>
    <w:rsid w:val="00DF3AB2"/>
    <w:rsid w:val="00DF5784"/>
    <w:rsid w:val="00DF58B8"/>
    <w:rsid w:val="00DF5FF8"/>
    <w:rsid w:val="00DF6EE5"/>
    <w:rsid w:val="00E0077B"/>
    <w:rsid w:val="00E00898"/>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0BF"/>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F49"/>
    <w:rsid w:val="00E67F4F"/>
    <w:rsid w:val="00E721A9"/>
    <w:rsid w:val="00E72ABF"/>
    <w:rsid w:val="00E73549"/>
    <w:rsid w:val="00E74861"/>
    <w:rsid w:val="00E748DD"/>
    <w:rsid w:val="00E74EC9"/>
    <w:rsid w:val="00E750A5"/>
    <w:rsid w:val="00E75733"/>
    <w:rsid w:val="00E75A9D"/>
    <w:rsid w:val="00E76B19"/>
    <w:rsid w:val="00E80CF7"/>
    <w:rsid w:val="00E81B8E"/>
    <w:rsid w:val="00E81ED7"/>
    <w:rsid w:val="00E82FC0"/>
    <w:rsid w:val="00E8369B"/>
    <w:rsid w:val="00E8377F"/>
    <w:rsid w:val="00E83850"/>
    <w:rsid w:val="00E85244"/>
    <w:rsid w:val="00E86159"/>
    <w:rsid w:val="00E86741"/>
    <w:rsid w:val="00E87AE4"/>
    <w:rsid w:val="00E90C1F"/>
    <w:rsid w:val="00E9124A"/>
    <w:rsid w:val="00E91A8F"/>
    <w:rsid w:val="00E9222C"/>
    <w:rsid w:val="00E92AA5"/>
    <w:rsid w:val="00E9314A"/>
    <w:rsid w:val="00E9558B"/>
    <w:rsid w:val="00E95D1B"/>
    <w:rsid w:val="00E9735C"/>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AF"/>
    <w:rsid w:val="00EB57BD"/>
    <w:rsid w:val="00EB623E"/>
    <w:rsid w:val="00EB6502"/>
    <w:rsid w:val="00EB7D9C"/>
    <w:rsid w:val="00EC1076"/>
    <w:rsid w:val="00EC1406"/>
    <w:rsid w:val="00EC1526"/>
    <w:rsid w:val="00EC16C0"/>
    <w:rsid w:val="00EC23F3"/>
    <w:rsid w:val="00EC2677"/>
    <w:rsid w:val="00EC2AB5"/>
    <w:rsid w:val="00EC36F2"/>
    <w:rsid w:val="00EC46CC"/>
    <w:rsid w:val="00EC4856"/>
    <w:rsid w:val="00EC4B79"/>
    <w:rsid w:val="00EC4F33"/>
    <w:rsid w:val="00EC5115"/>
    <w:rsid w:val="00EC7E82"/>
    <w:rsid w:val="00EC7E91"/>
    <w:rsid w:val="00ED0B81"/>
    <w:rsid w:val="00ED166B"/>
    <w:rsid w:val="00ED1A64"/>
    <w:rsid w:val="00ED28DD"/>
    <w:rsid w:val="00ED2E31"/>
    <w:rsid w:val="00ED3133"/>
    <w:rsid w:val="00ED35A0"/>
    <w:rsid w:val="00ED43A6"/>
    <w:rsid w:val="00ED69B3"/>
    <w:rsid w:val="00ED6FB9"/>
    <w:rsid w:val="00ED7371"/>
    <w:rsid w:val="00ED7E2F"/>
    <w:rsid w:val="00ED7EA8"/>
    <w:rsid w:val="00EE02A3"/>
    <w:rsid w:val="00EE0650"/>
    <w:rsid w:val="00EE1313"/>
    <w:rsid w:val="00EE1F82"/>
    <w:rsid w:val="00EE2126"/>
    <w:rsid w:val="00EE3363"/>
    <w:rsid w:val="00EE4C7E"/>
    <w:rsid w:val="00EE556D"/>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7063"/>
    <w:rsid w:val="00F11635"/>
    <w:rsid w:val="00F12D86"/>
    <w:rsid w:val="00F131AA"/>
    <w:rsid w:val="00F131FD"/>
    <w:rsid w:val="00F1350B"/>
    <w:rsid w:val="00F13B05"/>
    <w:rsid w:val="00F13B5A"/>
    <w:rsid w:val="00F13EA5"/>
    <w:rsid w:val="00F13EED"/>
    <w:rsid w:val="00F14263"/>
    <w:rsid w:val="00F15AF2"/>
    <w:rsid w:val="00F1673D"/>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61D"/>
    <w:rsid w:val="00F77724"/>
    <w:rsid w:val="00F77839"/>
    <w:rsid w:val="00F77AF3"/>
    <w:rsid w:val="00F77CE6"/>
    <w:rsid w:val="00F77DD1"/>
    <w:rsid w:val="00F77E8E"/>
    <w:rsid w:val="00F8023F"/>
    <w:rsid w:val="00F82021"/>
    <w:rsid w:val="00F82080"/>
    <w:rsid w:val="00F82566"/>
    <w:rsid w:val="00F82A7B"/>
    <w:rsid w:val="00F8476C"/>
    <w:rsid w:val="00F850A1"/>
    <w:rsid w:val="00F855B8"/>
    <w:rsid w:val="00F85CBD"/>
    <w:rsid w:val="00F86B84"/>
    <w:rsid w:val="00F905B8"/>
    <w:rsid w:val="00F91164"/>
    <w:rsid w:val="00F91D47"/>
    <w:rsid w:val="00F92B0F"/>
    <w:rsid w:val="00F9354E"/>
    <w:rsid w:val="00F941FC"/>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6970"/>
    <w:rsid w:val="00FC072E"/>
    <w:rsid w:val="00FC3497"/>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31B5"/>
    <w:rsid w:val="00FD5688"/>
    <w:rsid w:val="00FD5725"/>
    <w:rsid w:val="00FD5E1C"/>
    <w:rsid w:val="00FD5F36"/>
    <w:rsid w:val="00FD7F6B"/>
    <w:rsid w:val="00FE0948"/>
    <w:rsid w:val="00FE0E33"/>
    <w:rsid w:val="00FE1880"/>
    <w:rsid w:val="00FE2B7B"/>
    <w:rsid w:val="00FE3256"/>
    <w:rsid w:val="00FE3B9B"/>
    <w:rsid w:val="00FE3F8E"/>
    <w:rsid w:val="00FE47ED"/>
    <w:rsid w:val="00FE5101"/>
    <w:rsid w:val="00FE61DC"/>
    <w:rsid w:val="00FE67D0"/>
    <w:rsid w:val="00FE689B"/>
    <w:rsid w:val="00FE79CE"/>
    <w:rsid w:val="00FF02D0"/>
    <w:rsid w:val="00FF081E"/>
    <w:rsid w:val="00FF1406"/>
    <w:rsid w:val="00FF145C"/>
    <w:rsid w:val="00FF26EE"/>
    <w:rsid w:val="00FF28EC"/>
    <w:rsid w:val="00FF47A3"/>
    <w:rsid w:val="00FF4B3F"/>
    <w:rsid w:val="00FF4B43"/>
    <w:rsid w:val="00FF574F"/>
    <w:rsid w:val="00FF6146"/>
    <w:rsid w:val="00FF7956"/>
    <w:rsid w:val="018F4DD0"/>
    <w:rsid w:val="01952310"/>
    <w:rsid w:val="02034A18"/>
    <w:rsid w:val="02D3479E"/>
    <w:rsid w:val="03613039"/>
    <w:rsid w:val="036202D4"/>
    <w:rsid w:val="03D07714"/>
    <w:rsid w:val="04966335"/>
    <w:rsid w:val="04B94B88"/>
    <w:rsid w:val="05144383"/>
    <w:rsid w:val="05262D76"/>
    <w:rsid w:val="056F462F"/>
    <w:rsid w:val="05A248D7"/>
    <w:rsid w:val="06027DE8"/>
    <w:rsid w:val="06270849"/>
    <w:rsid w:val="06361B7E"/>
    <w:rsid w:val="06552DE0"/>
    <w:rsid w:val="065E599B"/>
    <w:rsid w:val="067D4F9E"/>
    <w:rsid w:val="06AE3E0A"/>
    <w:rsid w:val="06B92D8C"/>
    <w:rsid w:val="06D71535"/>
    <w:rsid w:val="06E61A4D"/>
    <w:rsid w:val="07515FD1"/>
    <w:rsid w:val="07991A83"/>
    <w:rsid w:val="08BB1524"/>
    <w:rsid w:val="08C75370"/>
    <w:rsid w:val="08CA370B"/>
    <w:rsid w:val="08DD444E"/>
    <w:rsid w:val="09360D5D"/>
    <w:rsid w:val="09446CC3"/>
    <w:rsid w:val="09BF38D9"/>
    <w:rsid w:val="09F07824"/>
    <w:rsid w:val="0A0932C7"/>
    <w:rsid w:val="0A156718"/>
    <w:rsid w:val="0A443EA6"/>
    <w:rsid w:val="0A506477"/>
    <w:rsid w:val="0A8A4C86"/>
    <w:rsid w:val="0B3A3EBE"/>
    <w:rsid w:val="0BCA7F74"/>
    <w:rsid w:val="0C8D726E"/>
    <w:rsid w:val="0CE05750"/>
    <w:rsid w:val="0CF307C8"/>
    <w:rsid w:val="0D1077DD"/>
    <w:rsid w:val="0E972B7B"/>
    <w:rsid w:val="0EA162F1"/>
    <w:rsid w:val="0F4679B6"/>
    <w:rsid w:val="0F4F55B5"/>
    <w:rsid w:val="0F523385"/>
    <w:rsid w:val="0FB33E62"/>
    <w:rsid w:val="104D4694"/>
    <w:rsid w:val="10907D14"/>
    <w:rsid w:val="110658A6"/>
    <w:rsid w:val="11360C84"/>
    <w:rsid w:val="114A387E"/>
    <w:rsid w:val="115832F0"/>
    <w:rsid w:val="11A5684D"/>
    <w:rsid w:val="120E7E09"/>
    <w:rsid w:val="123D0D37"/>
    <w:rsid w:val="123D4E07"/>
    <w:rsid w:val="12562AA0"/>
    <w:rsid w:val="12745F08"/>
    <w:rsid w:val="133E02C4"/>
    <w:rsid w:val="13A12B06"/>
    <w:rsid w:val="1401053F"/>
    <w:rsid w:val="14115C0D"/>
    <w:rsid w:val="149018D3"/>
    <w:rsid w:val="14D54011"/>
    <w:rsid w:val="15353183"/>
    <w:rsid w:val="153A3EB4"/>
    <w:rsid w:val="156B7273"/>
    <w:rsid w:val="159B504D"/>
    <w:rsid w:val="167F40D4"/>
    <w:rsid w:val="16897AA8"/>
    <w:rsid w:val="169B65A7"/>
    <w:rsid w:val="16CB4F50"/>
    <w:rsid w:val="17853B61"/>
    <w:rsid w:val="17BB1EE3"/>
    <w:rsid w:val="17CB121D"/>
    <w:rsid w:val="17D64F6F"/>
    <w:rsid w:val="17FF2717"/>
    <w:rsid w:val="18291542"/>
    <w:rsid w:val="183A1C0C"/>
    <w:rsid w:val="1840435B"/>
    <w:rsid w:val="186B68E9"/>
    <w:rsid w:val="18D2191A"/>
    <w:rsid w:val="190653E0"/>
    <w:rsid w:val="191F0285"/>
    <w:rsid w:val="199E5A21"/>
    <w:rsid w:val="19CF5704"/>
    <w:rsid w:val="19E35721"/>
    <w:rsid w:val="1A297A4F"/>
    <w:rsid w:val="1A692947"/>
    <w:rsid w:val="1A7F5B09"/>
    <w:rsid w:val="1AED0A4F"/>
    <w:rsid w:val="1AF50249"/>
    <w:rsid w:val="1B942A09"/>
    <w:rsid w:val="1BB61013"/>
    <w:rsid w:val="1BBA7AA4"/>
    <w:rsid w:val="1BCE272A"/>
    <w:rsid w:val="1BDF7E16"/>
    <w:rsid w:val="1BFED106"/>
    <w:rsid w:val="1C1724FD"/>
    <w:rsid w:val="1C427076"/>
    <w:rsid w:val="1C4C11C0"/>
    <w:rsid w:val="1CA90EA4"/>
    <w:rsid w:val="1CDA105D"/>
    <w:rsid w:val="1CEC3A91"/>
    <w:rsid w:val="1CEE68B6"/>
    <w:rsid w:val="1D035455"/>
    <w:rsid w:val="1D2B1804"/>
    <w:rsid w:val="1D2D465B"/>
    <w:rsid w:val="1D7F015C"/>
    <w:rsid w:val="1DB6649A"/>
    <w:rsid w:val="1DBDFD64"/>
    <w:rsid w:val="1DCE3B9A"/>
    <w:rsid w:val="1DD63414"/>
    <w:rsid w:val="1DEC1BCF"/>
    <w:rsid w:val="1DFBEB65"/>
    <w:rsid w:val="1E3950C5"/>
    <w:rsid w:val="1E4808ED"/>
    <w:rsid w:val="1E575E29"/>
    <w:rsid w:val="1E636E30"/>
    <w:rsid w:val="1E903EA3"/>
    <w:rsid w:val="1EA4787A"/>
    <w:rsid w:val="1EFB0B17"/>
    <w:rsid w:val="20016901"/>
    <w:rsid w:val="20436F19"/>
    <w:rsid w:val="20913CBA"/>
    <w:rsid w:val="20DB5404"/>
    <w:rsid w:val="210118AD"/>
    <w:rsid w:val="21747CD2"/>
    <w:rsid w:val="21B07D5E"/>
    <w:rsid w:val="21E15A16"/>
    <w:rsid w:val="223F1E0D"/>
    <w:rsid w:val="22454F9C"/>
    <w:rsid w:val="23FA48D6"/>
    <w:rsid w:val="240648DD"/>
    <w:rsid w:val="249C4E4A"/>
    <w:rsid w:val="251636EC"/>
    <w:rsid w:val="251F7F55"/>
    <w:rsid w:val="25B12A01"/>
    <w:rsid w:val="25E1345C"/>
    <w:rsid w:val="25FF48A0"/>
    <w:rsid w:val="260B672B"/>
    <w:rsid w:val="263E61A1"/>
    <w:rsid w:val="26592ABD"/>
    <w:rsid w:val="266C2E7A"/>
    <w:rsid w:val="267FDB60"/>
    <w:rsid w:val="27034AD1"/>
    <w:rsid w:val="27D52B4D"/>
    <w:rsid w:val="27FD86FD"/>
    <w:rsid w:val="280C250B"/>
    <w:rsid w:val="28CF69C0"/>
    <w:rsid w:val="28DD6E23"/>
    <w:rsid w:val="295B4043"/>
    <w:rsid w:val="298822BF"/>
    <w:rsid w:val="29890DFD"/>
    <w:rsid w:val="29BD6C61"/>
    <w:rsid w:val="29CC7F7F"/>
    <w:rsid w:val="2A4F0167"/>
    <w:rsid w:val="2ADE7026"/>
    <w:rsid w:val="2B187FEF"/>
    <w:rsid w:val="2B1E480B"/>
    <w:rsid w:val="2B2F0431"/>
    <w:rsid w:val="2B2F4949"/>
    <w:rsid w:val="2BE10696"/>
    <w:rsid w:val="2BF66FEB"/>
    <w:rsid w:val="2CD72B23"/>
    <w:rsid w:val="2CDD21EA"/>
    <w:rsid w:val="2D467804"/>
    <w:rsid w:val="2D8206C8"/>
    <w:rsid w:val="2DDF2977"/>
    <w:rsid w:val="2DEF0182"/>
    <w:rsid w:val="2EB744D4"/>
    <w:rsid w:val="2EE4515F"/>
    <w:rsid w:val="2EE8585B"/>
    <w:rsid w:val="2EEC40A0"/>
    <w:rsid w:val="2EF732F9"/>
    <w:rsid w:val="2F6F2311"/>
    <w:rsid w:val="2FD74BE1"/>
    <w:rsid w:val="2FDC57EE"/>
    <w:rsid w:val="2FFFA222"/>
    <w:rsid w:val="307410C2"/>
    <w:rsid w:val="308D0856"/>
    <w:rsid w:val="30B71A2E"/>
    <w:rsid w:val="31121EF5"/>
    <w:rsid w:val="31A87524"/>
    <w:rsid w:val="31EF7704"/>
    <w:rsid w:val="321626E0"/>
    <w:rsid w:val="3218310A"/>
    <w:rsid w:val="327D420C"/>
    <w:rsid w:val="32C57C62"/>
    <w:rsid w:val="32FB0998"/>
    <w:rsid w:val="33305B83"/>
    <w:rsid w:val="33358A3D"/>
    <w:rsid w:val="338B6C3E"/>
    <w:rsid w:val="33A35962"/>
    <w:rsid w:val="33FADF32"/>
    <w:rsid w:val="342A7389"/>
    <w:rsid w:val="347933FD"/>
    <w:rsid w:val="35014AE2"/>
    <w:rsid w:val="354E03E2"/>
    <w:rsid w:val="35AF558A"/>
    <w:rsid w:val="35B00755"/>
    <w:rsid w:val="35BA43B1"/>
    <w:rsid w:val="361F0B44"/>
    <w:rsid w:val="36742B2D"/>
    <w:rsid w:val="371823B5"/>
    <w:rsid w:val="37883117"/>
    <w:rsid w:val="37BA9BF1"/>
    <w:rsid w:val="37C171E8"/>
    <w:rsid w:val="37C37093"/>
    <w:rsid w:val="38E01BC7"/>
    <w:rsid w:val="397F6DBC"/>
    <w:rsid w:val="399E3449"/>
    <w:rsid w:val="39E14173"/>
    <w:rsid w:val="3A080B60"/>
    <w:rsid w:val="3A447208"/>
    <w:rsid w:val="3A575643"/>
    <w:rsid w:val="3A660185"/>
    <w:rsid w:val="3ADB9AA4"/>
    <w:rsid w:val="3B1B2B15"/>
    <w:rsid w:val="3B4873B5"/>
    <w:rsid w:val="3BB371F1"/>
    <w:rsid w:val="3BDD4E74"/>
    <w:rsid w:val="3C242D3B"/>
    <w:rsid w:val="3C7E4EDD"/>
    <w:rsid w:val="3C906160"/>
    <w:rsid w:val="3CFC8339"/>
    <w:rsid w:val="3D3121DF"/>
    <w:rsid w:val="3D567E34"/>
    <w:rsid w:val="3DBB72F1"/>
    <w:rsid w:val="3DC17104"/>
    <w:rsid w:val="3E2D3B48"/>
    <w:rsid w:val="3E5F2B70"/>
    <w:rsid w:val="3E824310"/>
    <w:rsid w:val="3EB53DB8"/>
    <w:rsid w:val="3EFBC741"/>
    <w:rsid w:val="3F2415CF"/>
    <w:rsid w:val="3F2D59B0"/>
    <w:rsid w:val="3F7022EE"/>
    <w:rsid w:val="3F7F799C"/>
    <w:rsid w:val="3FDEB10F"/>
    <w:rsid w:val="405C2C22"/>
    <w:rsid w:val="408E5B37"/>
    <w:rsid w:val="409C2DE8"/>
    <w:rsid w:val="40B97C69"/>
    <w:rsid w:val="40BA0532"/>
    <w:rsid w:val="41103AB3"/>
    <w:rsid w:val="411A2A57"/>
    <w:rsid w:val="41230975"/>
    <w:rsid w:val="4185067D"/>
    <w:rsid w:val="41A2641C"/>
    <w:rsid w:val="41A90E7A"/>
    <w:rsid w:val="421E70C1"/>
    <w:rsid w:val="42404202"/>
    <w:rsid w:val="426828AB"/>
    <w:rsid w:val="4283791D"/>
    <w:rsid w:val="42A11473"/>
    <w:rsid w:val="42B4093E"/>
    <w:rsid w:val="42D24149"/>
    <w:rsid w:val="42E51F94"/>
    <w:rsid w:val="434B6E71"/>
    <w:rsid w:val="434C41B3"/>
    <w:rsid w:val="43D8313F"/>
    <w:rsid w:val="444C01E3"/>
    <w:rsid w:val="44502E5B"/>
    <w:rsid w:val="44C558EE"/>
    <w:rsid w:val="44FC9B39"/>
    <w:rsid w:val="45E17242"/>
    <w:rsid w:val="460103E6"/>
    <w:rsid w:val="460D70AE"/>
    <w:rsid w:val="46620477"/>
    <w:rsid w:val="46CF4FC2"/>
    <w:rsid w:val="46EC288D"/>
    <w:rsid w:val="46FD7735"/>
    <w:rsid w:val="47887431"/>
    <w:rsid w:val="478C3B3E"/>
    <w:rsid w:val="47A332D7"/>
    <w:rsid w:val="47B27231"/>
    <w:rsid w:val="47B6656B"/>
    <w:rsid w:val="48261D3C"/>
    <w:rsid w:val="48C170B3"/>
    <w:rsid w:val="49137521"/>
    <w:rsid w:val="49574862"/>
    <w:rsid w:val="49B756C9"/>
    <w:rsid w:val="49BA174B"/>
    <w:rsid w:val="4A02559A"/>
    <w:rsid w:val="4A5406A2"/>
    <w:rsid w:val="4AC519F6"/>
    <w:rsid w:val="4B110B90"/>
    <w:rsid w:val="4BA821A3"/>
    <w:rsid w:val="4BD87038"/>
    <w:rsid w:val="4CAD6D48"/>
    <w:rsid w:val="4D4B1098"/>
    <w:rsid w:val="4D624570"/>
    <w:rsid w:val="4DD0778F"/>
    <w:rsid w:val="4E444B87"/>
    <w:rsid w:val="4E7D6EC4"/>
    <w:rsid w:val="4ECE1A58"/>
    <w:rsid w:val="4FB83208"/>
    <w:rsid w:val="4FEED71F"/>
    <w:rsid w:val="4FEF918E"/>
    <w:rsid w:val="4FFF020E"/>
    <w:rsid w:val="50762CB8"/>
    <w:rsid w:val="5080549C"/>
    <w:rsid w:val="50EE4CEE"/>
    <w:rsid w:val="50FD07E1"/>
    <w:rsid w:val="51445B95"/>
    <w:rsid w:val="51667BDF"/>
    <w:rsid w:val="517D2A77"/>
    <w:rsid w:val="51AA0587"/>
    <w:rsid w:val="51F223CA"/>
    <w:rsid w:val="521850C1"/>
    <w:rsid w:val="52225AD1"/>
    <w:rsid w:val="53083749"/>
    <w:rsid w:val="5355411C"/>
    <w:rsid w:val="53590226"/>
    <w:rsid w:val="53804E5F"/>
    <w:rsid w:val="53AF1153"/>
    <w:rsid w:val="54803EF9"/>
    <w:rsid w:val="55223897"/>
    <w:rsid w:val="5539045E"/>
    <w:rsid w:val="55BB1922"/>
    <w:rsid w:val="55FD133D"/>
    <w:rsid w:val="561244DD"/>
    <w:rsid w:val="562B3B54"/>
    <w:rsid w:val="563A27AE"/>
    <w:rsid w:val="56406068"/>
    <w:rsid w:val="56562194"/>
    <w:rsid w:val="56A63FEE"/>
    <w:rsid w:val="56A78FEB"/>
    <w:rsid w:val="56D025AE"/>
    <w:rsid w:val="56F15429"/>
    <w:rsid w:val="56FFF7E2"/>
    <w:rsid w:val="573F362D"/>
    <w:rsid w:val="57EFED15"/>
    <w:rsid w:val="583006FD"/>
    <w:rsid w:val="58873140"/>
    <w:rsid w:val="58B205DA"/>
    <w:rsid w:val="58FF717A"/>
    <w:rsid w:val="59060509"/>
    <w:rsid w:val="59562254"/>
    <w:rsid w:val="5AB92201"/>
    <w:rsid w:val="5B4BD856"/>
    <w:rsid w:val="5B7F3DEE"/>
    <w:rsid w:val="5B847B74"/>
    <w:rsid w:val="5BF40AEC"/>
    <w:rsid w:val="5C4F70B1"/>
    <w:rsid w:val="5CC79C6D"/>
    <w:rsid w:val="5CED3FF9"/>
    <w:rsid w:val="5D283143"/>
    <w:rsid w:val="5D2F1D8F"/>
    <w:rsid w:val="5D4476FB"/>
    <w:rsid w:val="5D664962"/>
    <w:rsid w:val="5D6677C8"/>
    <w:rsid w:val="5DDD67BC"/>
    <w:rsid w:val="5DF23751"/>
    <w:rsid w:val="5DF7D207"/>
    <w:rsid w:val="5E8B3C4B"/>
    <w:rsid w:val="5ED8763C"/>
    <w:rsid w:val="5F206BE1"/>
    <w:rsid w:val="5F2DE342"/>
    <w:rsid w:val="5F2E5FE3"/>
    <w:rsid w:val="5F6CF4AE"/>
    <w:rsid w:val="5FC96642"/>
    <w:rsid w:val="5FEF0906"/>
    <w:rsid w:val="60032513"/>
    <w:rsid w:val="6015005F"/>
    <w:rsid w:val="601574AE"/>
    <w:rsid w:val="60233110"/>
    <w:rsid w:val="60257F58"/>
    <w:rsid w:val="605D1356"/>
    <w:rsid w:val="60B82A30"/>
    <w:rsid w:val="61072D49"/>
    <w:rsid w:val="61250170"/>
    <w:rsid w:val="614B2DC9"/>
    <w:rsid w:val="61A33DAB"/>
    <w:rsid w:val="62111B39"/>
    <w:rsid w:val="62B51FAD"/>
    <w:rsid w:val="62FCA80C"/>
    <w:rsid w:val="633F1920"/>
    <w:rsid w:val="634925E3"/>
    <w:rsid w:val="63907712"/>
    <w:rsid w:val="63FD5C43"/>
    <w:rsid w:val="64102832"/>
    <w:rsid w:val="64DC7342"/>
    <w:rsid w:val="654114CF"/>
    <w:rsid w:val="65735661"/>
    <w:rsid w:val="66091F80"/>
    <w:rsid w:val="665E5750"/>
    <w:rsid w:val="66B76B45"/>
    <w:rsid w:val="66F52B2E"/>
    <w:rsid w:val="67133F4A"/>
    <w:rsid w:val="678877B3"/>
    <w:rsid w:val="679A2E90"/>
    <w:rsid w:val="67A24B55"/>
    <w:rsid w:val="67E1648C"/>
    <w:rsid w:val="684352D5"/>
    <w:rsid w:val="688E3CF0"/>
    <w:rsid w:val="689B6EBF"/>
    <w:rsid w:val="68B66FE5"/>
    <w:rsid w:val="68C6019C"/>
    <w:rsid w:val="68D50FF4"/>
    <w:rsid w:val="68DA5D31"/>
    <w:rsid w:val="690C3919"/>
    <w:rsid w:val="693C3C47"/>
    <w:rsid w:val="69A9410F"/>
    <w:rsid w:val="69BF7B4E"/>
    <w:rsid w:val="69C61FB2"/>
    <w:rsid w:val="69CE0BCF"/>
    <w:rsid w:val="69DC6E6D"/>
    <w:rsid w:val="6A5E4662"/>
    <w:rsid w:val="6A7F636D"/>
    <w:rsid w:val="6ADD5A98"/>
    <w:rsid w:val="6B100175"/>
    <w:rsid w:val="6B6FD00C"/>
    <w:rsid w:val="6C390E1B"/>
    <w:rsid w:val="6C3EAD68"/>
    <w:rsid w:val="6D0E2679"/>
    <w:rsid w:val="6D3135B1"/>
    <w:rsid w:val="6D3A1E40"/>
    <w:rsid w:val="6D451295"/>
    <w:rsid w:val="6D4621DE"/>
    <w:rsid w:val="6DE55656"/>
    <w:rsid w:val="6E261BA7"/>
    <w:rsid w:val="6E3E2758"/>
    <w:rsid w:val="6E660432"/>
    <w:rsid w:val="6E681C31"/>
    <w:rsid w:val="6E867CCA"/>
    <w:rsid w:val="6E8D3E82"/>
    <w:rsid w:val="6EBC75E8"/>
    <w:rsid w:val="6ED7625C"/>
    <w:rsid w:val="6EFCBDAC"/>
    <w:rsid w:val="6EFEF18C"/>
    <w:rsid w:val="6F0436A0"/>
    <w:rsid w:val="6F135292"/>
    <w:rsid w:val="6F5B3FC8"/>
    <w:rsid w:val="6F75C84B"/>
    <w:rsid w:val="6F7ED869"/>
    <w:rsid w:val="6F7F2756"/>
    <w:rsid w:val="6FBFBEEA"/>
    <w:rsid w:val="6FC9F181"/>
    <w:rsid w:val="6FE61870"/>
    <w:rsid w:val="6FF42F8B"/>
    <w:rsid w:val="70090BB2"/>
    <w:rsid w:val="701F2FC3"/>
    <w:rsid w:val="70B12B86"/>
    <w:rsid w:val="70C53B3E"/>
    <w:rsid w:val="70F50EBA"/>
    <w:rsid w:val="71266569"/>
    <w:rsid w:val="717C6A58"/>
    <w:rsid w:val="71AED6E3"/>
    <w:rsid w:val="71C1726B"/>
    <w:rsid w:val="71D60130"/>
    <w:rsid w:val="728A68ED"/>
    <w:rsid w:val="72FD21E3"/>
    <w:rsid w:val="73555EBD"/>
    <w:rsid w:val="73FA5E27"/>
    <w:rsid w:val="741E4FC3"/>
    <w:rsid w:val="7447637A"/>
    <w:rsid w:val="749D5D6D"/>
    <w:rsid w:val="74C667AB"/>
    <w:rsid w:val="74C876B4"/>
    <w:rsid w:val="75655470"/>
    <w:rsid w:val="757440A2"/>
    <w:rsid w:val="75AA38AB"/>
    <w:rsid w:val="75EF6065"/>
    <w:rsid w:val="75F73A2A"/>
    <w:rsid w:val="75FC7405"/>
    <w:rsid w:val="768A25FA"/>
    <w:rsid w:val="769958F2"/>
    <w:rsid w:val="76A44ACE"/>
    <w:rsid w:val="76E96805"/>
    <w:rsid w:val="770266B0"/>
    <w:rsid w:val="7776DAAE"/>
    <w:rsid w:val="777B5F4F"/>
    <w:rsid w:val="77832208"/>
    <w:rsid w:val="77C718A7"/>
    <w:rsid w:val="77D7B054"/>
    <w:rsid w:val="77E577FB"/>
    <w:rsid w:val="77EBFC66"/>
    <w:rsid w:val="77ED304C"/>
    <w:rsid w:val="77FDAB6E"/>
    <w:rsid w:val="78234908"/>
    <w:rsid w:val="784576F8"/>
    <w:rsid w:val="78767A5E"/>
    <w:rsid w:val="78F06777"/>
    <w:rsid w:val="78FB7506"/>
    <w:rsid w:val="79197E78"/>
    <w:rsid w:val="793D0B51"/>
    <w:rsid w:val="793D367B"/>
    <w:rsid w:val="797F3D46"/>
    <w:rsid w:val="79BF884D"/>
    <w:rsid w:val="7A594BF1"/>
    <w:rsid w:val="7B394C6E"/>
    <w:rsid w:val="7B471C92"/>
    <w:rsid w:val="7BAA4093"/>
    <w:rsid w:val="7BBE5A1E"/>
    <w:rsid w:val="7BE6201D"/>
    <w:rsid w:val="7BF1C439"/>
    <w:rsid w:val="7BF825B4"/>
    <w:rsid w:val="7BFAC3AE"/>
    <w:rsid w:val="7BFDC6A5"/>
    <w:rsid w:val="7BFDF213"/>
    <w:rsid w:val="7C071366"/>
    <w:rsid w:val="7CAD6D69"/>
    <w:rsid w:val="7CC16371"/>
    <w:rsid w:val="7CFE3D1B"/>
    <w:rsid w:val="7D5847AC"/>
    <w:rsid w:val="7D9328DB"/>
    <w:rsid w:val="7DAF6285"/>
    <w:rsid w:val="7DCAF2F6"/>
    <w:rsid w:val="7DEB27D3"/>
    <w:rsid w:val="7DF1E761"/>
    <w:rsid w:val="7E453CC5"/>
    <w:rsid w:val="7E6B7442"/>
    <w:rsid w:val="7E76F263"/>
    <w:rsid w:val="7E7A93D7"/>
    <w:rsid w:val="7E816BC7"/>
    <w:rsid w:val="7EBD8423"/>
    <w:rsid w:val="7EF402AF"/>
    <w:rsid w:val="7EF927A8"/>
    <w:rsid w:val="7EFEA699"/>
    <w:rsid w:val="7F2257ED"/>
    <w:rsid w:val="7F2E3DC9"/>
    <w:rsid w:val="7F351F23"/>
    <w:rsid w:val="7F67CFA3"/>
    <w:rsid w:val="7F7DA834"/>
    <w:rsid w:val="7F7E679B"/>
    <w:rsid w:val="7FAF2BC6"/>
    <w:rsid w:val="7FAF35A2"/>
    <w:rsid w:val="7FBA870D"/>
    <w:rsid w:val="7FBF9663"/>
    <w:rsid w:val="7FC7AF38"/>
    <w:rsid w:val="7FDF1B98"/>
    <w:rsid w:val="7FF0375A"/>
    <w:rsid w:val="7FF3B5EB"/>
    <w:rsid w:val="7FF7AB92"/>
    <w:rsid w:val="7FF7D9C1"/>
    <w:rsid w:val="7FFB603E"/>
    <w:rsid w:val="7FFF0A43"/>
    <w:rsid w:val="7FFF21F6"/>
    <w:rsid w:val="7FFFED93"/>
    <w:rsid w:val="97B886A6"/>
    <w:rsid w:val="99FB050E"/>
    <w:rsid w:val="9BFFF0FA"/>
    <w:rsid w:val="9EBE662D"/>
    <w:rsid w:val="9FE6FE91"/>
    <w:rsid w:val="9FFFE5A7"/>
    <w:rsid w:val="A9A91D1A"/>
    <w:rsid w:val="AF27C3F6"/>
    <w:rsid w:val="B6DF82D0"/>
    <w:rsid w:val="B75DC3B9"/>
    <w:rsid w:val="B8BE47A9"/>
    <w:rsid w:val="BB959EC9"/>
    <w:rsid w:val="BCFFD2DE"/>
    <w:rsid w:val="BE3D54DC"/>
    <w:rsid w:val="BEFD8511"/>
    <w:rsid w:val="BF3ED411"/>
    <w:rsid w:val="BFEC0EBD"/>
    <w:rsid w:val="CD1D747B"/>
    <w:rsid w:val="D571595E"/>
    <w:rsid w:val="D6BB7B5F"/>
    <w:rsid w:val="D7D32AD8"/>
    <w:rsid w:val="DB5E4DE2"/>
    <w:rsid w:val="DB6D533A"/>
    <w:rsid w:val="DBBD4D57"/>
    <w:rsid w:val="DCBD5EDD"/>
    <w:rsid w:val="DF90D852"/>
    <w:rsid w:val="DFEAD0E9"/>
    <w:rsid w:val="DFFE4F03"/>
    <w:rsid w:val="E17E7AF3"/>
    <w:rsid w:val="E317CCB6"/>
    <w:rsid w:val="E7B3E6AC"/>
    <w:rsid w:val="E7D9F7A4"/>
    <w:rsid w:val="ECE30C19"/>
    <w:rsid w:val="EDFEE2A9"/>
    <w:rsid w:val="EEF7C81B"/>
    <w:rsid w:val="EFA4DE3B"/>
    <w:rsid w:val="EFDC13A6"/>
    <w:rsid w:val="F377F2EF"/>
    <w:rsid w:val="F395C226"/>
    <w:rsid w:val="F4EFAB8E"/>
    <w:rsid w:val="F75AFC25"/>
    <w:rsid w:val="F7B9F6D6"/>
    <w:rsid w:val="F7FB8819"/>
    <w:rsid w:val="F7FEA343"/>
    <w:rsid w:val="F9EFEC11"/>
    <w:rsid w:val="F9F5A0FD"/>
    <w:rsid w:val="F9FCF706"/>
    <w:rsid w:val="FB7FC171"/>
    <w:rsid w:val="FBFE3000"/>
    <w:rsid w:val="FC257EB7"/>
    <w:rsid w:val="FCEE66BA"/>
    <w:rsid w:val="FCFB2AC6"/>
    <w:rsid w:val="FD3F4AD0"/>
    <w:rsid w:val="FD5CDC53"/>
    <w:rsid w:val="FD776BB3"/>
    <w:rsid w:val="FDEC952D"/>
    <w:rsid w:val="FEEF2ACF"/>
    <w:rsid w:val="FEFF0DAD"/>
    <w:rsid w:val="FF6B54BE"/>
    <w:rsid w:val="FF7BA012"/>
    <w:rsid w:val="FFBB060F"/>
    <w:rsid w:val="FFCF680A"/>
    <w:rsid w:val="FFD74CAD"/>
    <w:rsid w:val="FFDF4C03"/>
    <w:rsid w:val="FFDFD909"/>
    <w:rsid w:val="FFEFCA22"/>
    <w:rsid w:val="FFFA0377"/>
    <w:rsid w:val="FFFA65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56"/>
    <w:qFormat/>
    <w:uiPriority w:val="0"/>
    <w:pPr>
      <w:spacing w:before="340" w:after="330" w:line="360" w:lineRule="auto"/>
      <w:jc w:val="center"/>
      <w:outlineLvl w:val="0"/>
    </w:pPr>
    <w:rPr>
      <w:rFonts w:eastAsia="黑体"/>
      <w:kern w:val="44"/>
      <w:szCs w:val="44"/>
    </w:rPr>
  </w:style>
  <w:style w:type="paragraph" w:styleId="6">
    <w:name w:val="heading 2"/>
    <w:basedOn w:val="4"/>
    <w:next w:val="5"/>
    <w:link w:val="71"/>
    <w:qFormat/>
    <w:uiPriority w:val="0"/>
    <w:pPr>
      <w:adjustRightInd w:val="0"/>
      <w:jc w:val="center"/>
      <w:textAlignment w:val="baseline"/>
      <w:outlineLvl w:val="1"/>
    </w:pPr>
    <w:rPr>
      <w:kern w:val="0"/>
      <w:sz w:val="24"/>
      <w:szCs w:val="20"/>
    </w:rPr>
  </w:style>
  <w:style w:type="paragraph" w:styleId="4">
    <w:name w:val="heading 3"/>
    <w:basedOn w:val="5"/>
    <w:next w:val="1"/>
    <w:link w:val="55"/>
    <w:qFormat/>
    <w:uiPriority w:val="9"/>
    <w:pPr>
      <w:spacing w:before="260" w:after="260" w:line="240" w:lineRule="auto"/>
      <w:outlineLvl w:val="2"/>
    </w:pPr>
    <w:rPr>
      <w:rFonts w:ascii="宋体" w:hAnsi="宋体" w:eastAsia="宋体"/>
      <w:szCs w:val="32"/>
    </w:rPr>
  </w:style>
  <w:style w:type="paragraph" w:styleId="5">
    <w:name w:val="heading 4"/>
    <w:basedOn w:val="1"/>
    <w:next w:val="1"/>
    <w:link w:val="53"/>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80"/>
    <w:qFormat/>
    <w:uiPriority w:val="0"/>
    <w:pPr>
      <w:keepNext/>
      <w:keepLines/>
      <w:spacing w:before="280" w:after="290" w:line="376" w:lineRule="auto"/>
      <w:outlineLvl w:val="4"/>
    </w:pPr>
    <w:rPr>
      <w:b/>
      <w:sz w:val="28"/>
      <w:szCs w:val="20"/>
    </w:rPr>
  </w:style>
  <w:style w:type="paragraph" w:styleId="9">
    <w:name w:val="heading 6"/>
    <w:basedOn w:val="1"/>
    <w:next w:val="8"/>
    <w:link w:val="83"/>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8"/>
    <w:link w:val="84"/>
    <w:qFormat/>
    <w:uiPriority w:val="0"/>
    <w:pPr>
      <w:keepNext/>
      <w:keepLines/>
      <w:spacing w:before="240" w:after="64" w:line="320" w:lineRule="auto"/>
      <w:outlineLvl w:val="6"/>
    </w:pPr>
    <w:rPr>
      <w:b/>
      <w:sz w:val="24"/>
      <w:szCs w:val="20"/>
    </w:rPr>
  </w:style>
  <w:style w:type="paragraph" w:styleId="11">
    <w:name w:val="heading 8"/>
    <w:basedOn w:val="1"/>
    <w:next w:val="8"/>
    <w:link w:val="85"/>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8"/>
    <w:link w:val="86"/>
    <w:qFormat/>
    <w:uiPriority w:val="0"/>
    <w:pPr>
      <w:keepNext/>
      <w:keepLines/>
      <w:spacing w:before="240" w:after="64" w:line="320" w:lineRule="auto"/>
      <w:outlineLvl w:val="8"/>
    </w:pPr>
    <w:rPr>
      <w:rFonts w:ascii="Arial" w:hAnsi="Arial" w:eastAsia="黑体"/>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92"/>
    <w:qFormat/>
    <w:uiPriority w:val="0"/>
    <w:pPr>
      <w:spacing w:line="360" w:lineRule="auto"/>
    </w:pPr>
    <w:rPr>
      <w:b/>
      <w:bCs/>
      <w:sz w:val="24"/>
    </w:rPr>
  </w:style>
  <w:style w:type="paragraph" w:styleId="8">
    <w:name w:val="Normal Indent"/>
    <w:basedOn w:val="1"/>
    <w:link w:val="57"/>
    <w:qFormat/>
    <w:uiPriority w:val="0"/>
    <w:pPr>
      <w:ind w:firstLine="420"/>
    </w:pPr>
    <w:rPr>
      <w:szCs w:val="20"/>
    </w:rPr>
  </w:style>
  <w:style w:type="paragraph" w:styleId="13">
    <w:name w:val="toc 7"/>
    <w:basedOn w:val="1"/>
    <w:next w:val="1"/>
    <w:semiHidden/>
    <w:qFormat/>
    <w:uiPriority w:val="0"/>
    <w:pPr>
      <w:ind w:left="1260"/>
      <w:jc w:val="left"/>
    </w:pPr>
    <w:rPr>
      <w:szCs w:val="21"/>
    </w:rPr>
  </w:style>
  <w:style w:type="paragraph" w:styleId="14">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5">
    <w:name w:val="List Bullet"/>
    <w:basedOn w:val="1"/>
    <w:qFormat/>
    <w:uiPriority w:val="0"/>
    <w:pPr>
      <w:numPr>
        <w:ilvl w:val="0"/>
        <w:numId w:val="1"/>
      </w:numPr>
    </w:pPr>
    <w:rPr>
      <w:szCs w:val="20"/>
    </w:rPr>
  </w:style>
  <w:style w:type="paragraph" w:styleId="16">
    <w:name w:val="Document Map"/>
    <w:basedOn w:val="1"/>
    <w:semiHidden/>
    <w:qFormat/>
    <w:uiPriority w:val="0"/>
    <w:pPr>
      <w:shd w:val="clear" w:color="auto" w:fill="000080"/>
    </w:pPr>
  </w:style>
  <w:style w:type="paragraph" w:styleId="17">
    <w:name w:val="annotation text"/>
    <w:basedOn w:val="1"/>
    <w:link w:val="184"/>
    <w:qFormat/>
    <w:uiPriority w:val="99"/>
    <w:pPr>
      <w:autoSpaceDE w:val="0"/>
      <w:autoSpaceDN w:val="0"/>
      <w:adjustRightInd w:val="0"/>
      <w:jc w:val="left"/>
      <w:textAlignment w:val="baseline"/>
    </w:pPr>
    <w:rPr>
      <w:rFonts w:ascii="宋体"/>
      <w:kern w:val="0"/>
      <w:sz w:val="34"/>
      <w:szCs w:val="20"/>
    </w:rPr>
  </w:style>
  <w:style w:type="paragraph" w:styleId="18">
    <w:name w:val="Body Text 3"/>
    <w:basedOn w:val="1"/>
    <w:link w:val="98"/>
    <w:qFormat/>
    <w:uiPriority w:val="0"/>
    <w:pPr>
      <w:spacing w:after="120"/>
    </w:pPr>
    <w:rPr>
      <w:sz w:val="16"/>
      <w:szCs w:val="16"/>
    </w:rPr>
  </w:style>
  <w:style w:type="paragraph" w:styleId="19">
    <w:name w:val="Body Text Indent"/>
    <w:basedOn w:val="1"/>
    <w:link w:val="79"/>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90"/>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link w:val="88"/>
    <w:qFormat/>
    <w:uiPriority w:val="0"/>
    <w:rPr>
      <w:rFonts w:ascii="宋体" w:hAnsi="Courier New"/>
      <w:sz w:val="32"/>
      <w:szCs w:val="20"/>
    </w:rPr>
  </w:style>
  <w:style w:type="paragraph" w:styleId="25">
    <w:name w:val="Body Text Indent 2"/>
    <w:basedOn w:val="1"/>
    <w:link w:val="93"/>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99"/>
    <w:semiHidden/>
    <w:qFormat/>
    <w:uiPriority w:val="99"/>
    <w:rPr>
      <w:sz w:val="18"/>
      <w:szCs w:val="18"/>
    </w:rPr>
  </w:style>
  <w:style w:type="paragraph" w:styleId="27">
    <w:name w:val="footer"/>
    <w:basedOn w:val="1"/>
    <w:link w:val="97"/>
    <w:qFormat/>
    <w:uiPriority w:val="0"/>
    <w:pPr>
      <w:tabs>
        <w:tab w:val="center" w:pos="4153"/>
        <w:tab w:val="right" w:pos="8306"/>
      </w:tabs>
      <w:snapToGrid w:val="0"/>
      <w:jc w:val="left"/>
    </w:pPr>
    <w:rPr>
      <w:sz w:val="18"/>
      <w:szCs w:val="18"/>
    </w:rPr>
  </w:style>
  <w:style w:type="paragraph" w:styleId="28">
    <w:name w:val="header"/>
    <w:basedOn w:val="1"/>
    <w:link w:val="94"/>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List 5"/>
    <w:basedOn w:val="1"/>
    <w:qFormat/>
    <w:uiPriority w:val="0"/>
    <w:pPr>
      <w:ind w:left="100" w:leftChars="800" w:hanging="200" w:hangingChars="200"/>
    </w:pPr>
  </w:style>
  <w:style w:type="paragraph" w:styleId="33">
    <w:name w:val="Body Text Indent 3"/>
    <w:basedOn w:val="1"/>
    <w:link w:val="95"/>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Body Text 2"/>
    <w:basedOn w:val="1"/>
    <w:link w:val="96"/>
    <w:qFormat/>
    <w:uiPriority w:val="0"/>
    <w:pPr>
      <w:spacing w:line="360" w:lineRule="auto"/>
    </w:pPr>
    <w:rPr>
      <w:sz w:val="24"/>
    </w:rPr>
  </w:style>
  <w:style w:type="paragraph" w:styleId="37">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link w:val="190"/>
    <w:qFormat/>
    <w:uiPriority w:val="99"/>
    <w:rPr>
      <w:sz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0">
    <w:name w:val="Title"/>
    <w:basedOn w:val="1"/>
    <w:link w:val="87"/>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7"/>
    <w:next w:val="17"/>
    <w:link w:val="185"/>
    <w:qFormat/>
    <w:uiPriority w:val="99"/>
    <w:pPr>
      <w:autoSpaceDE/>
      <w:autoSpaceDN/>
      <w:adjustRightInd/>
      <w:textAlignment w:val="auto"/>
    </w:pPr>
    <w:rPr>
      <w:rFonts w:ascii="Times New Roman"/>
      <w:b/>
      <w:bCs/>
      <w:kern w:val="2"/>
      <w:sz w:val="21"/>
      <w:szCs w:val="24"/>
    </w:rPr>
  </w:style>
  <w:style w:type="paragraph" w:styleId="42">
    <w:name w:val="Body Text First Indent"/>
    <w:basedOn w:val="2"/>
    <w:link w:val="130"/>
    <w:qFormat/>
    <w:uiPriority w:val="0"/>
    <w:pPr>
      <w:spacing w:after="120" w:line="240" w:lineRule="auto"/>
      <w:ind w:firstLine="420" w:firstLineChars="100"/>
    </w:pPr>
    <w:rPr>
      <w:sz w:val="21"/>
    </w:rPr>
  </w:style>
  <w:style w:type="paragraph" w:styleId="43">
    <w:name w:val="Body Text First Indent 2"/>
    <w:basedOn w:val="19"/>
    <w:qFormat/>
    <w:uiPriority w:val="99"/>
    <w:pPr>
      <w:spacing w:after="120" w:line="240" w:lineRule="auto"/>
      <w:ind w:left="420" w:leftChars="200"/>
    </w:pPr>
  </w:style>
  <w:style w:type="table" w:styleId="45">
    <w:name w:val="Table Grid"/>
    <w:basedOn w:val="4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Hyperlink"/>
    <w:qFormat/>
    <w:uiPriority w:val="0"/>
    <w:rPr>
      <w:color w:val="0000FF"/>
      <w:u w:val="single"/>
    </w:rPr>
  </w:style>
  <w:style w:type="character" w:styleId="51">
    <w:name w:val="annotation reference"/>
    <w:basedOn w:val="46"/>
    <w:qFormat/>
    <w:uiPriority w:val="99"/>
    <w:rPr>
      <w:sz w:val="21"/>
      <w:szCs w:val="21"/>
    </w:rPr>
  </w:style>
  <w:style w:type="paragraph" w:styleId="52">
    <w:name w:val="Quote"/>
    <w:basedOn w:val="1"/>
    <w:next w:val="1"/>
    <w:qFormat/>
    <w:uiPriority w:val="99"/>
    <w:rPr>
      <w:rFonts w:ascii="Calibri" w:hAnsi="Calibri" w:cs="Calibri"/>
      <w:i/>
      <w:iCs/>
      <w:color w:val="000000"/>
      <w:sz w:val="22"/>
      <w:szCs w:val="22"/>
    </w:rPr>
  </w:style>
  <w:style w:type="character" w:customStyle="1" w:styleId="53">
    <w:name w:val="标题 4 Char"/>
    <w:link w:val="5"/>
    <w:qFormat/>
    <w:uiPriority w:val="9"/>
    <w:rPr>
      <w:rFonts w:ascii="Arial" w:hAnsi="Arial" w:eastAsia="黑体"/>
      <w:b/>
      <w:bCs/>
      <w:kern w:val="2"/>
      <w:sz w:val="28"/>
      <w:szCs w:val="28"/>
      <w:lang w:val="en-US" w:eastAsia="zh-CN" w:bidi="ar-SA"/>
    </w:rPr>
  </w:style>
  <w:style w:type="paragraph" w:customStyle="1" w:styleId="54">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5">
    <w:name w:val="标题 3 Char1"/>
    <w:link w:val="4"/>
    <w:qFormat/>
    <w:uiPriority w:val="9"/>
    <w:rPr>
      <w:rFonts w:ascii="宋体" w:hAnsi="宋体" w:eastAsia="宋体"/>
      <w:b/>
      <w:bCs/>
      <w:kern w:val="2"/>
      <w:sz w:val="28"/>
      <w:szCs w:val="32"/>
      <w:lang w:val="en-US" w:eastAsia="zh-CN" w:bidi="ar-SA"/>
    </w:rPr>
  </w:style>
  <w:style w:type="character" w:customStyle="1" w:styleId="56">
    <w:name w:val="标题 1 Char"/>
    <w:link w:val="3"/>
    <w:qFormat/>
    <w:uiPriority w:val="0"/>
    <w:rPr>
      <w:rFonts w:ascii="宋体" w:hAnsi="宋体" w:eastAsia="黑体"/>
      <w:b/>
      <w:bCs/>
      <w:kern w:val="44"/>
      <w:sz w:val="28"/>
      <w:szCs w:val="44"/>
      <w:lang w:val="en-US" w:eastAsia="zh-CN" w:bidi="ar-SA"/>
    </w:rPr>
  </w:style>
  <w:style w:type="character" w:customStyle="1" w:styleId="57">
    <w:name w:val="正文缩进 Char"/>
    <w:link w:val="8"/>
    <w:qFormat/>
    <w:uiPriority w:val="0"/>
    <w:rPr>
      <w:rFonts w:eastAsia="宋体"/>
      <w:kern w:val="2"/>
      <w:sz w:val="21"/>
      <w:lang w:val="en-US" w:eastAsia="zh-CN" w:bidi="ar-SA"/>
    </w:rPr>
  </w:style>
  <w:style w:type="character" w:customStyle="1" w:styleId="58">
    <w:name w:val="标题 3 Char"/>
    <w:qFormat/>
    <w:uiPriority w:val="0"/>
    <w:rPr>
      <w:rFonts w:ascii="黑体" w:eastAsia="黑体"/>
      <w:bCs/>
      <w:sz w:val="30"/>
    </w:rPr>
  </w:style>
  <w:style w:type="paragraph" w:customStyle="1" w:styleId="59">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0">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1">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6">
    <w:name w:val="自定义正文"/>
    <w:basedOn w:val="1"/>
    <w:qFormat/>
    <w:uiPriority w:val="0"/>
    <w:pPr>
      <w:spacing w:afterLines="50"/>
      <w:ind w:left="600" w:leftChars="600"/>
    </w:pPr>
  </w:style>
  <w:style w:type="paragraph" w:customStyle="1" w:styleId="67">
    <w:name w:val="Char Char Char Char Char"/>
    <w:basedOn w:val="1"/>
    <w:qFormat/>
    <w:uiPriority w:val="0"/>
    <w:rPr>
      <w:rFonts w:ascii="Tahoma" w:hAnsi="Tahoma"/>
      <w:sz w:val="24"/>
      <w:szCs w:val="20"/>
    </w:rPr>
  </w:style>
  <w:style w:type="paragraph" w:customStyle="1" w:styleId="68">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9">
    <w:name w:val="Char Char"/>
    <w:basedOn w:val="1"/>
    <w:qFormat/>
    <w:uiPriority w:val="0"/>
    <w:rPr>
      <w:rFonts w:ascii="Tahoma" w:hAnsi="Tahoma"/>
      <w:sz w:val="24"/>
      <w:szCs w:val="20"/>
    </w:rPr>
  </w:style>
  <w:style w:type="paragraph" w:customStyle="1" w:styleId="70">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1">
    <w:name w:val="标题 2 Char"/>
    <w:link w:val="6"/>
    <w:qFormat/>
    <w:uiPriority w:val="0"/>
    <w:rPr>
      <w:rFonts w:ascii="宋体" w:hAnsi="宋体" w:eastAsia="宋体"/>
      <w:b/>
      <w:bCs/>
      <w:sz w:val="24"/>
      <w:lang w:val="en-US" w:eastAsia="zh-CN" w:bidi="ar-SA"/>
    </w:rPr>
  </w:style>
  <w:style w:type="paragraph" w:customStyle="1" w:styleId="7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3">
    <w:name w:val="List Paragraph"/>
    <w:basedOn w:val="1"/>
    <w:qFormat/>
    <w:uiPriority w:val="34"/>
    <w:pPr>
      <w:ind w:firstLine="420" w:firstLineChars="200"/>
    </w:pPr>
    <w:rPr>
      <w:rFonts w:ascii="Calibri" w:hAnsi="Calibri"/>
      <w:szCs w:val="22"/>
    </w:rPr>
  </w:style>
  <w:style w:type="paragraph" w:customStyle="1" w:styleId="74">
    <w:name w:val="USE 1"/>
    <w:basedOn w:val="1"/>
    <w:qFormat/>
    <w:uiPriority w:val="0"/>
    <w:pPr>
      <w:spacing w:line="200" w:lineRule="atLeast"/>
      <w:jc w:val="left"/>
    </w:pPr>
    <w:rPr>
      <w:rFonts w:ascii="宋体" w:hAnsi="宋体"/>
      <w:b/>
      <w:sz w:val="24"/>
      <w:szCs w:val="28"/>
    </w:rPr>
  </w:style>
  <w:style w:type="paragraph" w:customStyle="1" w:styleId="75">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6">
    <w:name w:val="正文文字缩进项目"/>
    <w:basedOn w:val="19"/>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7">
    <w:name w:val="样式 标题 2 + 段前: 13 磅 段后: 13 磅 行距: 单倍行距"/>
    <w:basedOn w:val="6"/>
    <w:qFormat/>
    <w:uiPriority w:val="0"/>
    <w:pPr>
      <w:adjustRightInd/>
      <w:spacing w:before="0" w:after="0"/>
      <w:jc w:val="both"/>
      <w:textAlignment w:val="auto"/>
    </w:pPr>
    <w:rPr>
      <w:rFonts w:ascii="Cambria" w:hAnsi="Cambria" w:cs="宋体"/>
      <w:kern w:val="2"/>
      <w:sz w:val="32"/>
    </w:rPr>
  </w:style>
  <w:style w:type="character" w:customStyle="1" w:styleId="78">
    <w:name w:val="H4 Char2"/>
    <w:qFormat/>
    <w:uiPriority w:val="0"/>
    <w:rPr>
      <w:rFonts w:ascii="Arial" w:hAnsi="Arial" w:eastAsia="黑体"/>
      <w:b/>
      <w:bCs/>
      <w:kern w:val="2"/>
      <w:sz w:val="28"/>
      <w:szCs w:val="28"/>
      <w:lang w:val="en-US" w:eastAsia="zh-CN" w:bidi="ar-SA"/>
    </w:rPr>
  </w:style>
  <w:style w:type="character" w:customStyle="1" w:styleId="79">
    <w:name w:val="正文文本缩进 Char"/>
    <w:link w:val="19"/>
    <w:qFormat/>
    <w:uiPriority w:val="0"/>
    <w:rPr>
      <w:rFonts w:eastAsia="宋体"/>
      <w:kern w:val="2"/>
      <w:sz w:val="21"/>
      <w:szCs w:val="24"/>
      <w:lang w:val="en-US" w:eastAsia="zh-CN" w:bidi="ar-SA"/>
    </w:rPr>
  </w:style>
  <w:style w:type="character" w:customStyle="1" w:styleId="80">
    <w:name w:val="标题 5 Char"/>
    <w:link w:val="7"/>
    <w:qFormat/>
    <w:uiPriority w:val="0"/>
    <w:rPr>
      <w:rFonts w:eastAsia="宋体"/>
      <w:b/>
      <w:kern w:val="2"/>
      <w:sz w:val="28"/>
      <w:lang w:val="en-US" w:eastAsia="zh-CN" w:bidi="ar-SA"/>
    </w:rPr>
  </w:style>
  <w:style w:type="character" w:customStyle="1" w:styleId="81">
    <w:name w:val="第*章 Char"/>
    <w:qFormat/>
    <w:uiPriority w:val="0"/>
    <w:rPr>
      <w:rFonts w:ascii="Arial" w:hAnsi="Arial" w:eastAsia="黑体"/>
      <w:b/>
      <w:bCs/>
      <w:kern w:val="2"/>
      <w:sz w:val="32"/>
      <w:szCs w:val="32"/>
    </w:rPr>
  </w:style>
  <w:style w:type="character" w:customStyle="1" w:styleId="82">
    <w:name w:val="章标题1 Char"/>
    <w:qFormat/>
    <w:uiPriority w:val="0"/>
    <w:rPr>
      <w:rFonts w:eastAsia="宋体"/>
      <w:b/>
      <w:bCs/>
      <w:kern w:val="2"/>
      <w:sz w:val="32"/>
      <w:szCs w:val="32"/>
      <w:lang w:val="en-US" w:eastAsia="zh-CN" w:bidi="ar-SA"/>
    </w:rPr>
  </w:style>
  <w:style w:type="character" w:customStyle="1" w:styleId="83">
    <w:name w:val="标题 6 Char"/>
    <w:link w:val="9"/>
    <w:qFormat/>
    <w:uiPriority w:val="0"/>
    <w:rPr>
      <w:rFonts w:ascii="Arial" w:hAnsi="Arial" w:eastAsia="黑体"/>
      <w:b/>
      <w:kern w:val="2"/>
      <w:sz w:val="24"/>
      <w:lang w:val="en-US" w:eastAsia="zh-CN" w:bidi="ar-SA"/>
    </w:rPr>
  </w:style>
  <w:style w:type="character" w:customStyle="1" w:styleId="84">
    <w:name w:val="标题 7 Char"/>
    <w:link w:val="10"/>
    <w:qFormat/>
    <w:uiPriority w:val="0"/>
    <w:rPr>
      <w:rFonts w:eastAsia="宋体"/>
      <w:b/>
      <w:kern w:val="2"/>
      <w:sz w:val="24"/>
      <w:lang w:val="en-US" w:eastAsia="zh-CN" w:bidi="ar-SA"/>
    </w:rPr>
  </w:style>
  <w:style w:type="character" w:customStyle="1" w:styleId="85">
    <w:name w:val="标题 8 Char"/>
    <w:link w:val="11"/>
    <w:qFormat/>
    <w:uiPriority w:val="0"/>
    <w:rPr>
      <w:rFonts w:ascii="Arial" w:hAnsi="Arial" w:eastAsia="黑体"/>
      <w:kern w:val="2"/>
      <w:sz w:val="24"/>
      <w:lang w:val="en-US" w:eastAsia="zh-CN" w:bidi="ar-SA"/>
    </w:rPr>
  </w:style>
  <w:style w:type="character" w:customStyle="1" w:styleId="86">
    <w:name w:val="标题 9 Char"/>
    <w:link w:val="12"/>
    <w:qFormat/>
    <w:uiPriority w:val="0"/>
    <w:rPr>
      <w:rFonts w:ascii="Arial" w:hAnsi="Arial" w:eastAsia="黑体"/>
      <w:kern w:val="2"/>
      <w:sz w:val="21"/>
      <w:lang w:val="en-US" w:eastAsia="zh-CN" w:bidi="ar-SA"/>
    </w:rPr>
  </w:style>
  <w:style w:type="character" w:customStyle="1" w:styleId="87">
    <w:name w:val="标题 Char"/>
    <w:link w:val="40"/>
    <w:qFormat/>
    <w:uiPriority w:val="0"/>
    <w:rPr>
      <w:rFonts w:ascii="Arial" w:hAnsi="Arial" w:eastAsia="隶书" w:cs="Arial"/>
      <w:b/>
      <w:bCs/>
      <w:kern w:val="2"/>
      <w:sz w:val="32"/>
      <w:szCs w:val="32"/>
      <w:lang w:val="en-US" w:eastAsia="zh-CN" w:bidi="ar-SA"/>
    </w:rPr>
  </w:style>
  <w:style w:type="character" w:customStyle="1" w:styleId="88">
    <w:name w:val="日期 Char"/>
    <w:link w:val="24"/>
    <w:qFormat/>
    <w:uiPriority w:val="0"/>
    <w:rPr>
      <w:rFonts w:ascii="宋体" w:hAnsi="Courier New" w:eastAsia="宋体"/>
      <w:kern w:val="2"/>
      <w:sz w:val="32"/>
      <w:lang w:val="en-US" w:eastAsia="zh-CN" w:bidi="ar-SA"/>
    </w:rPr>
  </w:style>
  <w:style w:type="character" w:customStyle="1" w:styleId="89">
    <w:name w:val="HTML 预设格式 Char"/>
    <w:link w:val="37"/>
    <w:qFormat/>
    <w:uiPriority w:val="0"/>
    <w:rPr>
      <w:rFonts w:ascii="Arial Unicode MS" w:hAnsi="Arial Unicode MS" w:eastAsia="Arial Unicode MS"/>
      <w:color w:val="000000"/>
      <w:lang w:val="en-US" w:eastAsia="zh-CN" w:bidi="ar-SA"/>
    </w:rPr>
  </w:style>
  <w:style w:type="character" w:customStyle="1" w:styleId="90">
    <w:name w:val="纯文本 Char"/>
    <w:link w:val="22"/>
    <w:qFormat/>
    <w:uiPriority w:val="0"/>
    <w:rPr>
      <w:rFonts w:ascii="宋体" w:hAnsi="Courier New" w:eastAsia="宋体"/>
      <w:kern w:val="2"/>
      <w:sz w:val="21"/>
      <w:lang w:val="en-US" w:eastAsia="zh-CN" w:bidi="ar-SA"/>
    </w:rPr>
  </w:style>
  <w:style w:type="character" w:customStyle="1" w:styleId="91">
    <w:name w:val="正文文字首行缩进 Char"/>
    <w:qFormat/>
    <w:uiPriority w:val="0"/>
    <w:rPr>
      <w:kern w:val="2"/>
      <w:sz w:val="21"/>
      <w:szCs w:val="24"/>
    </w:rPr>
  </w:style>
  <w:style w:type="character" w:customStyle="1" w:styleId="92">
    <w:name w:val="正文文本 Char"/>
    <w:link w:val="2"/>
    <w:qFormat/>
    <w:uiPriority w:val="0"/>
    <w:rPr>
      <w:rFonts w:eastAsia="宋体"/>
      <w:b/>
      <w:bCs/>
      <w:kern w:val="2"/>
      <w:sz w:val="24"/>
      <w:szCs w:val="24"/>
      <w:lang w:val="en-US" w:eastAsia="zh-CN" w:bidi="ar-SA"/>
    </w:rPr>
  </w:style>
  <w:style w:type="character" w:customStyle="1" w:styleId="93">
    <w:name w:val="正文文本缩进 2 Char"/>
    <w:link w:val="25"/>
    <w:qFormat/>
    <w:uiPriority w:val="0"/>
    <w:rPr>
      <w:rFonts w:ascii="宋体" w:hAnsi="宋体" w:eastAsia="宋体"/>
      <w:kern w:val="2"/>
      <w:sz w:val="21"/>
      <w:szCs w:val="24"/>
      <w:lang w:val="en-US" w:eastAsia="zh-CN" w:bidi="ar-SA"/>
    </w:rPr>
  </w:style>
  <w:style w:type="character" w:customStyle="1" w:styleId="94">
    <w:name w:val="页眉 Char"/>
    <w:link w:val="28"/>
    <w:qFormat/>
    <w:uiPriority w:val="99"/>
    <w:rPr>
      <w:rFonts w:eastAsia="宋体"/>
      <w:kern w:val="2"/>
      <w:sz w:val="18"/>
      <w:szCs w:val="18"/>
      <w:lang w:val="en-US" w:eastAsia="zh-CN" w:bidi="ar-SA"/>
    </w:rPr>
  </w:style>
  <w:style w:type="character" w:customStyle="1" w:styleId="95">
    <w:name w:val="正文文本缩进 3 Char"/>
    <w:link w:val="33"/>
    <w:qFormat/>
    <w:uiPriority w:val="0"/>
    <w:rPr>
      <w:rFonts w:ascii="宋体" w:eastAsia="宋体"/>
      <w:b/>
      <w:bCs/>
      <w:kern w:val="2"/>
      <w:sz w:val="24"/>
      <w:szCs w:val="24"/>
      <w:lang w:val="en-US" w:eastAsia="zh-CN" w:bidi="ar-SA"/>
    </w:rPr>
  </w:style>
  <w:style w:type="character" w:customStyle="1" w:styleId="96">
    <w:name w:val="正文文本 2 Char"/>
    <w:link w:val="36"/>
    <w:qFormat/>
    <w:uiPriority w:val="0"/>
    <w:rPr>
      <w:rFonts w:eastAsia="宋体"/>
      <w:kern w:val="2"/>
      <w:sz w:val="24"/>
      <w:szCs w:val="24"/>
      <w:lang w:val="en-US" w:eastAsia="zh-CN" w:bidi="ar-SA"/>
    </w:rPr>
  </w:style>
  <w:style w:type="character" w:customStyle="1" w:styleId="97">
    <w:name w:val="页脚 Char"/>
    <w:link w:val="27"/>
    <w:qFormat/>
    <w:uiPriority w:val="0"/>
    <w:rPr>
      <w:rFonts w:eastAsia="宋体"/>
      <w:kern w:val="2"/>
      <w:sz w:val="18"/>
      <w:szCs w:val="18"/>
      <w:lang w:val="en-US" w:eastAsia="zh-CN" w:bidi="ar-SA"/>
    </w:rPr>
  </w:style>
  <w:style w:type="character" w:customStyle="1" w:styleId="98">
    <w:name w:val="正文文本 3 Char"/>
    <w:link w:val="18"/>
    <w:qFormat/>
    <w:uiPriority w:val="0"/>
    <w:rPr>
      <w:rFonts w:eastAsia="宋体"/>
      <w:kern w:val="2"/>
      <w:sz w:val="16"/>
      <w:szCs w:val="16"/>
      <w:lang w:val="en-US" w:eastAsia="zh-CN" w:bidi="ar-SA"/>
    </w:rPr>
  </w:style>
  <w:style w:type="character" w:customStyle="1" w:styleId="99">
    <w:name w:val="批注框文本 Char"/>
    <w:link w:val="26"/>
    <w:semiHidden/>
    <w:qFormat/>
    <w:uiPriority w:val="99"/>
    <w:rPr>
      <w:rFonts w:eastAsia="宋体"/>
      <w:kern w:val="2"/>
      <w:sz w:val="18"/>
      <w:szCs w:val="18"/>
      <w:lang w:val="en-US" w:eastAsia="zh-CN" w:bidi="ar-SA"/>
    </w:rPr>
  </w:style>
  <w:style w:type="paragraph" w:customStyle="1" w:styleId="100">
    <w:name w:val="样式1"/>
    <w:basedOn w:val="40"/>
    <w:qFormat/>
    <w:uiPriority w:val="0"/>
    <w:pPr>
      <w:spacing w:before="120" w:after="120"/>
    </w:pPr>
    <w:rPr>
      <w:rFonts w:eastAsia="黑体"/>
      <w:b w:val="0"/>
      <w:sz w:val="30"/>
      <w:szCs w:val="21"/>
    </w:rPr>
  </w:style>
  <w:style w:type="paragraph" w:customStyle="1" w:styleId="101">
    <w:name w:val="样式2"/>
    <w:basedOn w:val="40"/>
    <w:next w:val="100"/>
    <w:qFormat/>
    <w:uiPriority w:val="0"/>
    <w:pPr>
      <w:spacing w:before="120" w:after="120"/>
    </w:pPr>
    <w:rPr>
      <w:rFonts w:eastAsia="黑体"/>
      <w:b w:val="0"/>
      <w:sz w:val="30"/>
      <w:szCs w:val="30"/>
    </w:rPr>
  </w:style>
  <w:style w:type="character" w:customStyle="1" w:styleId="102">
    <w:name w:val="标题 3 Char Char"/>
    <w:qFormat/>
    <w:uiPriority w:val="0"/>
    <w:rPr>
      <w:rFonts w:eastAsia="宋体"/>
      <w:b/>
      <w:bCs/>
      <w:kern w:val="2"/>
      <w:sz w:val="32"/>
      <w:szCs w:val="32"/>
      <w:lang w:val="en-US" w:eastAsia="zh-CN" w:bidi="ar-SA"/>
    </w:rPr>
  </w:style>
  <w:style w:type="paragraph" w:customStyle="1" w:styleId="103">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4">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5">
    <w:name w:val="--规划正文"/>
    <w:basedOn w:val="1"/>
    <w:qFormat/>
    <w:uiPriority w:val="0"/>
    <w:pPr>
      <w:spacing w:line="360" w:lineRule="auto"/>
      <w:ind w:firstLine="200" w:firstLineChars="200"/>
    </w:pPr>
    <w:rPr>
      <w:szCs w:val="20"/>
    </w:rPr>
  </w:style>
  <w:style w:type="paragraph" w:customStyle="1" w:styleId="106">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7">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8">
    <w:name w:val="样式4"/>
    <w:basedOn w:val="1"/>
    <w:qFormat/>
    <w:uiPriority w:val="0"/>
    <w:pPr>
      <w:tabs>
        <w:tab w:val="left" w:pos="842"/>
      </w:tabs>
      <w:spacing w:line="360" w:lineRule="auto"/>
      <w:ind w:left="842" w:hanging="420"/>
    </w:pPr>
    <w:rPr>
      <w:sz w:val="24"/>
    </w:rPr>
  </w:style>
  <w:style w:type="paragraph" w:customStyle="1" w:styleId="109">
    <w:name w:val="文字"/>
    <w:basedOn w:val="1"/>
    <w:qFormat/>
    <w:uiPriority w:val="0"/>
    <w:pPr>
      <w:tabs>
        <w:tab w:val="left" w:pos="8520"/>
      </w:tabs>
      <w:spacing w:line="312" w:lineRule="auto"/>
      <w:ind w:right="-210" w:firstLine="556"/>
    </w:pPr>
    <w:rPr>
      <w:rFonts w:ascii="宋体"/>
      <w:sz w:val="28"/>
      <w:szCs w:val="20"/>
    </w:rPr>
  </w:style>
  <w:style w:type="paragraph" w:customStyle="1" w:styleId="110">
    <w:name w:val="--规划-表格-居左"/>
    <w:basedOn w:val="105"/>
    <w:qFormat/>
    <w:uiPriority w:val="0"/>
    <w:pPr>
      <w:spacing w:line="240" w:lineRule="auto"/>
      <w:ind w:firstLine="0" w:firstLineChars="0"/>
    </w:pPr>
    <w:rPr>
      <w:sz w:val="20"/>
    </w:rPr>
  </w:style>
  <w:style w:type="paragraph" w:customStyle="1" w:styleId="111">
    <w:name w:val="--规划-表格-居中"/>
    <w:basedOn w:val="105"/>
    <w:qFormat/>
    <w:uiPriority w:val="0"/>
    <w:pPr>
      <w:spacing w:line="240" w:lineRule="auto"/>
      <w:ind w:firstLine="0" w:firstLineChars="0"/>
      <w:jc w:val="center"/>
    </w:pPr>
    <w:rPr>
      <w:sz w:val="20"/>
    </w:rPr>
  </w:style>
  <w:style w:type="paragraph" w:customStyle="1" w:styleId="112">
    <w:name w:val="--编号内缩进"/>
    <w:basedOn w:val="1"/>
    <w:qFormat/>
    <w:uiPriority w:val="0"/>
    <w:pPr>
      <w:spacing w:line="360" w:lineRule="auto"/>
      <w:ind w:left="420" w:firstLine="200" w:firstLineChars="200"/>
    </w:pPr>
    <w:rPr>
      <w:szCs w:val="21"/>
    </w:rPr>
  </w:style>
  <w:style w:type="paragraph" w:customStyle="1" w:styleId="113">
    <w:name w:val="--规划-题注"/>
    <w:basedOn w:val="1"/>
    <w:next w:val="105"/>
    <w:qFormat/>
    <w:uiPriority w:val="0"/>
    <w:pPr>
      <w:spacing w:line="360" w:lineRule="auto"/>
      <w:jc w:val="center"/>
    </w:pPr>
    <w:rPr>
      <w:rFonts w:eastAsia="黑体"/>
    </w:rPr>
  </w:style>
  <w:style w:type="paragraph" w:customStyle="1" w:styleId="114">
    <w:name w:val="--规划-图和表"/>
    <w:next w:val="105"/>
    <w:qFormat/>
    <w:uiPriority w:val="0"/>
    <w:pPr>
      <w:jc w:val="center"/>
    </w:pPr>
    <w:rPr>
      <w:rFonts w:ascii="Times New Roman" w:hAnsi="Times New Roman" w:eastAsia="宋体" w:cs="Times New Roman"/>
      <w:kern w:val="2"/>
      <w:sz w:val="21"/>
      <w:lang w:val="en-US" w:eastAsia="zh-CN" w:bidi="ar-SA"/>
    </w:rPr>
  </w:style>
  <w:style w:type="paragraph" w:customStyle="1" w:styleId="115">
    <w:name w:val="--规划-小标题"/>
    <w:basedOn w:val="1"/>
    <w:next w:val="105"/>
    <w:qFormat/>
    <w:uiPriority w:val="0"/>
    <w:pPr>
      <w:keepNext/>
      <w:keepLines/>
      <w:spacing w:line="360" w:lineRule="auto"/>
      <w:outlineLvl w:val="4"/>
    </w:pPr>
    <w:rPr>
      <w:rFonts w:eastAsia="黑体"/>
    </w:rPr>
  </w:style>
  <w:style w:type="paragraph" w:customStyle="1" w:styleId="116">
    <w:name w:val="--规划正文 Char"/>
    <w:basedOn w:val="1"/>
    <w:qFormat/>
    <w:uiPriority w:val="0"/>
    <w:pPr>
      <w:spacing w:line="360" w:lineRule="auto"/>
      <w:ind w:firstLine="200" w:firstLineChars="200"/>
    </w:pPr>
    <w:rPr>
      <w:sz w:val="24"/>
    </w:rPr>
  </w:style>
  <w:style w:type="paragraph" w:customStyle="1" w:styleId="117">
    <w:name w:val="缺省文本"/>
    <w:basedOn w:val="1"/>
    <w:qFormat/>
    <w:uiPriority w:val="0"/>
    <w:pPr>
      <w:autoSpaceDE w:val="0"/>
      <w:autoSpaceDN w:val="0"/>
      <w:adjustRightInd w:val="0"/>
      <w:jc w:val="left"/>
    </w:pPr>
    <w:rPr>
      <w:kern w:val="0"/>
    </w:rPr>
  </w:style>
  <w:style w:type="paragraph" w:customStyle="1" w:styleId="118">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9">
    <w:name w:val="--规划正文 Char Char"/>
    <w:qFormat/>
    <w:uiPriority w:val="0"/>
    <w:rPr>
      <w:rFonts w:eastAsia="宋体"/>
      <w:kern w:val="2"/>
      <w:sz w:val="24"/>
      <w:szCs w:val="24"/>
      <w:lang w:val="en-US" w:eastAsia="zh-CN" w:bidi="ar-SA"/>
    </w:rPr>
  </w:style>
  <w:style w:type="paragraph" w:customStyle="1" w:styleId="120">
    <w:name w:val="样式3"/>
    <w:basedOn w:val="3"/>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1">
    <w:name w:val="--规划正文 Char1"/>
    <w:qFormat/>
    <w:uiPriority w:val="0"/>
    <w:rPr>
      <w:rFonts w:eastAsia="宋体"/>
      <w:kern w:val="2"/>
      <w:sz w:val="21"/>
      <w:lang w:val="en-US" w:eastAsia="zh-CN" w:bidi="ar-SA"/>
    </w:rPr>
  </w:style>
  <w:style w:type="paragraph" w:customStyle="1" w:styleId="122">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3">
    <w:name w:val="列表项目"/>
    <w:basedOn w:val="1"/>
    <w:qFormat/>
    <w:uiPriority w:val="0"/>
    <w:pPr>
      <w:tabs>
        <w:tab w:val="left" w:pos="420"/>
        <w:tab w:val="left" w:pos="1080"/>
      </w:tabs>
      <w:spacing w:line="288" w:lineRule="auto"/>
      <w:ind w:left="1080" w:hanging="360"/>
    </w:pPr>
    <w:rPr>
      <w:sz w:val="24"/>
      <w:szCs w:val="20"/>
    </w:rPr>
  </w:style>
  <w:style w:type="character" w:customStyle="1" w:styleId="124">
    <w:name w:val="content1"/>
    <w:qFormat/>
    <w:uiPriority w:val="0"/>
    <w:rPr>
      <w:rFonts w:hint="default" w:ascii="??" w:hAnsi="??"/>
      <w:sz w:val="16"/>
      <w:szCs w:val="16"/>
      <w:u w:val="none"/>
    </w:rPr>
  </w:style>
  <w:style w:type="character" w:customStyle="1" w:styleId="125">
    <w:name w:val="unnamed4"/>
    <w:basedOn w:val="46"/>
    <w:qFormat/>
    <w:uiPriority w:val="0"/>
  </w:style>
  <w:style w:type="character" w:customStyle="1" w:styleId="126">
    <w:name w:val="font2"/>
    <w:basedOn w:val="46"/>
    <w:qFormat/>
    <w:uiPriority w:val="0"/>
  </w:style>
  <w:style w:type="character" w:customStyle="1" w:styleId="127">
    <w:name w:val="font41"/>
    <w:qFormat/>
    <w:uiPriority w:val="0"/>
    <w:rPr>
      <w:color w:val="000000"/>
      <w:spacing w:val="260"/>
      <w:sz w:val="18"/>
      <w:szCs w:val="18"/>
      <w:u w:val="none"/>
    </w:rPr>
  </w:style>
  <w:style w:type="paragraph" w:customStyle="1" w:styleId="128">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9">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0">
    <w:name w:val="正文首行缩进 Char"/>
    <w:link w:val="42"/>
    <w:qFormat/>
    <w:uiPriority w:val="0"/>
    <w:rPr>
      <w:rFonts w:eastAsia="宋体"/>
      <w:b/>
      <w:bCs/>
      <w:kern w:val="2"/>
      <w:sz w:val="21"/>
      <w:szCs w:val="24"/>
      <w:lang w:val="en-US" w:eastAsia="zh-CN" w:bidi="ar-SA"/>
    </w:rPr>
  </w:style>
  <w:style w:type="paragraph" w:customStyle="1" w:styleId="131">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2">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3">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4">
    <w:name w:val="mode"/>
    <w:basedOn w:val="46"/>
    <w:qFormat/>
    <w:uiPriority w:val="0"/>
  </w:style>
  <w:style w:type="paragraph" w:customStyle="1" w:styleId="135">
    <w:name w:val="9"/>
    <w:basedOn w:val="1"/>
    <w:next w:val="8"/>
    <w:qFormat/>
    <w:uiPriority w:val="0"/>
    <w:pPr>
      <w:autoSpaceDE w:val="0"/>
      <w:autoSpaceDN w:val="0"/>
      <w:adjustRightInd w:val="0"/>
      <w:ind w:firstLine="420"/>
      <w:jc w:val="left"/>
      <w:textAlignment w:val="baseline"/>
    </w:pPr>
    <w:rPr>
      <w:rFonts w:ascii="宋体"/>
      <w:kern w:val="0"/>
      <w:sz w:val="34"/>
      <w:szCs w:val="20"/>
    </w:rPr>
  </w:style>
  <w:style w:type="character" w:customStyle="1" w:styleId="136">
    <w:name w:val="unnamed3"/>
    <w:basedOn w:val="46"/>
    <w:qFormat/>
    <w:uiPriority w:val="0"/>
  </w:style>
  <w:style w:type="paragraph" w:customStyle="1" w:styleId="137">
    <w:name w:val="8"/>
    <w:basedOn w:val="1"/>
    <w:next w:val="19"/>
    <w:qFormat/>
    <w:uiPriority w:val="0"/>
    <w:pPr>
      <w:spacing w:after="120"/>
      <w:ind w:left="420" w:leftChars="200"/>
    </w:pPr>
  </w:style>
  <w:style w:type="paragraph" w:customStyle="1" w:styleId="138">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9">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0">
    <w:name w:val="5"/>
    <w:basedOn w:val="1"/>
    <w:qFormat/>
    <w:uiPriority w:val="0"/>
    <w:pPr>
      <w:autoSpaceDE w:val="0"/>
      <w:autoSpaceDN w:val="0"/>
      <w:adjustRightInd w:val="0"/>
      <w:jc w:val="left"/>
    </w:pPr>
    <w:rPr>
      <w:rFonts w:ascii="宋体"/>
      <w:b/>
      <w:bCs/>
      <w:kern w:val="0"/>
      <w:sz w:val="18"/>
      <w:szCs w:val="18"/>
    </w:rPr>
  </w:style>
  <w:style w:type="paragraph" w:customStyle="1" w:styleId="141">
    <w:name w:val="6"/>
    <w:basedOn w:val="140"/>
    <w:qFormat/>
    <w:uiPriority w:val="0"/>
    <w:pPr>
      <w:spacing w:line="270" w:lineRule="atLeast"/>
      <w:jc w:val="both"/>
    </w:pPr>
    <w:rPr>
      <w:b w:val="0"/>
      <w:bCs w:val="0"/>
    </w:rPr>
  </w:style>
  <w:style w:type="paragraph" w:customStyle="1" w:styleId="142">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3">
    <w:name w:val="姜文清定义的正文"/>
    <w:basedOn w:val="1"/>
    <w:qFormat/>
    <w:uiPriority w:val="0"/>
    <w:pPr>
      <w:spacing w:line="240" w:lineRule="atLeast"/>
      <w:ind w:firstLine="567"/>
    </w:pPr>
    <w:rPr>
      <w:szCs w:val="20"/>
    </w:rPr>
  </w:style>
  <w:style w:type="paragraph" w:customStyle="1" w:styleId="144">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5">
    <w:name w:val="CM2"/>
    <w:basedOn w:val="144"/>
    <w:next w:val="144"/>
    <w:qFormat/>
    <w:uiPriority w:val="0"/>
    <w:pPr>
      <w:spacing w:line="200" w:lineRule="atLeast"/>
    </w:pPr>
    <w:rPr>
      <w:rFonts w:ascii="Arial" w:hAnsi="Arial" w:eastAsia="宋体" w:cs="Times New Roman"/>
      <w:color w:val="auto"/>
    </w:rPr>
  </w:style>
  <w:style w:type="paragraph" w:customStyle="1" w:styleId="146">
    <w:name w:val="Normal Paragraph"/>
    <w:basedOn w:val="1"/>
    <w:qFormat/>
    <w:uiPriority w:val="0"/>
    <w:pPr>
      <w:widowControl/>
      <w:spacing w:before="120" w:line="360" w:lineRule="auto"/>
      <w:ind w:firstLine="425"/>
    </w:pPr>
    <w:rPr>
      <w:kern w:val="0"/>
      <w:sz w:val="24"/>
    </w:rPr>
  </w:style>
  <w:style w:type="character" w:customStyle="1" w:styleId="147">
    <w:name w:val="blue"/>
    <w:basedOn w:val="46"/>
    <w:qFormat/>
    <w:uiPriority w:val="0"/>
  </w:style>
  <w:style w:type="paragraph" w:customStyle="1" w:styleId="148">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9">
    <w:name w:val="font"/>
    <w:basedOn w:val="46"/>
    <w:qFormat/>
    <w:uiPriority w:val="0"/>
  </w:style>
  <w:style w:type="character" w:customStyle="1" w:styleId="150">
    <w:name w:val="font11"/>
    <w:qFormat/>
    <w:uiPriority w:val="0"/>
    <w:rPr>
      <w:rFonts w:hint="default" w:ascii="ˎ̥" w:hAnsi="ˎ̥"/>
    </w:rPr>
  </w:style>
  <w:style w:type="paragraph" w:customStyle="1" w:styleId="151">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2">
    <w:name w:val="proddescription"/>
    <w:basedOn w:val="46"/>
    <w:qFormat/>
    <w:uiPriority w:val="0"/>
  </w:style>
  <w:style w:type="character" w:customStyle="1" w:styleId="153">
    <w:name w:val="prodheadlines"/>
    <w:basedOn w:val="46"/>
    <w:qFormat/>
    <w:uiPriority w:val="0"/>
  </w:style>
  <w:style w:type="character" w:customStyle="1" w:styleId="154">
    <w:name w:val="text"/>
    <w:basedOn w:val="46"/>
    <w:qFormat/>
    <w:uiPriority w:val="0"/>
  </w:style>
  <w:style w:type="paragraph" w:customStyle="1" w:styleId="155">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6">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7">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8">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9">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0">
    <w:name w:val="段落正文"/>
    <w:basedOn w:val="22"/>
    <w:qFormat/>
    <w:uiPriority w:val="0"/>
    <w:pPr>
      <w:ind w:firstLine="560" w:firstLineChars="200"/>
    </w:pPr>
    <w:rPr>
      <w:sz w:val="28"/>
    </w:rPr>
  </w:style>
  <w:style w:type="character" w:customStyle="1" w:styleId="161">
    <w:name w:val="gray6"/>
    <w:basedOn w:val="46"/>
    <w:qFormat/>
    <w:uiPriority w:val="0"/>
  </w:style>
  <w:style w:type="character" w:customStyle="1" w:styleId="162">
    <w:name w:val="style9"/>
    <w:basedOn w:val="46"/>
    <w:qFormat/>
    <w:uiPriority w:val="0"/>
  </w:style>
  <w:style w:type="paragraph" w:customStyle="1" w:styleId="163">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4">
    <w:name w:val="grame"/>
    <w:basedOn w:val="46"/>
    <w:qFormat/>
    <w:uiPriority w:val="0"/>
  </w:style>
  <w:style w:type="paragraph" w:customStyle="1" w:styleId="165">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6">
    <w:name w:val="Char1"/>
    <w:basedOn w:val="1"/>
    <w:qFormat/>
    <w:uiPriority w:val="0"/>
    <w:pPr>
      <w:jc w:val="left"/>
    </w:pPr>
    <w:rPr>
      <w:rFonts w:ascii="Tahoma" w:hAnsi="Tahoma"/>
      <w:sz w:val="24"/>
      <w:szCs w:val="20"/>
    </w:rPr>
  </w:style>
  <w:style w:type="paragraph" w:customStyle="1" w:styleId="167">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8">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9">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0">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1">
    <w:name w:val="font6"/>
    <w:basedOn w:val="1"/>
    <w:qFormat/>
    <w:uiPriority w:val="0"/>
    <w:pPr>
      <w:widowControl/>
      <w:spacing w:before="100" w:beforeAutospacing="1" w:after="100" w:afterAutospacing="1"/>
      <w:jc w:val="left"/>
    </w:pPr>
    <w:rPr>
      <w:kern w:val="0"/>
      <w:sz w:val="24"/>
    </w:rPr>
  </w:style>
  <w:style w:type="paragraph" w:customStyle="1" w:styleId="1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4">
    <w:name w:val="表格字"/>
    <w:basedOn w:val="1"/>
    <w:qFormat/>
    <w:uiPriority w:val="0"/>
    <w:pPr>
      <w:adjustRightInd w:val="0"/>
      <w:jc w:val="center"/>
    </w:pPr>
    <w:rPr>
      <w:rFonts w:ascii="宋体"/>
      <w:sz w:val="24"/>
      <w:szCs w:val="20"/>
    </w:rPr>
  </w:style>
  <w:style w:type="character" w:customStyle="1" w:styleId="175">
    <w:name w:val="样式 小三 加粗"/>
    <w:qFormat/>
    <w:uiPriority w:val="0"/>
    <w:rPr>
      <w:rFonts w:eastAsia="宋体"/>
      <w:b/>
      <w:bCs/>
      <w:sz w:val="32"/>
    </w:rPr>
  </w:style>
  <w:style w:type="paragraph" w:customStyle="1" w:styleId="17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7">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8">
    <w:name w:val="Char Char Char"/>
    <w:basedOn w:val="1"/>
    <w:qFormat/>
    <w:uiPriority w:val="0"/>
    <w:rPr>
      <w:rFonts w:ascii="Tahoma" w:hAnsi="Tahoma"/>
      <w:sz w:val="24"/>
      <w:szCs w:val="20"/>
    </w:rPr>
  </w:style>
  <w:style w:type="paragraph" w:customStyle="1" w:styleId="179">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0">
    <w:name w:val="info4"/>
    <w:basedOn w:val="46"/>
    <w:qFormat/>
    <w:uiPriority w:val="0"/>
  </w:style>
  <w:style w:type="paragraph" w:customStyle="1" w:styleId="181">
    <w:name w:val="缩进正文"/>
    <w:basedOn w:val="1"/>
    <w:link w:val="182"/>
    <w:qFormat/>
    <w:uiPriority w:val="0"/>
    <w:pPr>
      <w:ind w:firstLine="560" w:firstLineChars="200"/>
    </w:pPr>
    <w:rPr>
      <w:rFonts w:eastAsia="仿宋_GB2312" w:cs="宋体"/>
      <w:sz w:val="28"/>
      <w:szCs w:val="20"/>
    </w:rPr>
  </w:style>
  <w:style w:type="character" w:customStyle="1" w:styleId="182">
    <w:name w:val="缩进正文 Char"/>
    <w:link w:val="181"/>
    <w:qFormat/>
    <w:uiPriority w:val="0"/>
    <w:rPr>
      <w:rFonts w:eastAsia="仿宋_GB2312" w:cs="宋体"/>
      <w:kern w:val="2"/>
      <w:sz w:val="28"/>
      <w:lang w:val="en-US" w:eastAsia="zh-CN" w:bidi="ar-SA"/>
    </w:rPr>
  </w:style>
  <w:style w:type="paragraph" w:customStyle="1" w:styleId="183">
    <w:name w:val="列出段落1"/>
    <w:basedOn w:val="1"/>
    <w:qFormat/>
    <w:uiPriority w:val="0"/>
    <w:pPr>
      <w:ind w:firstLine="420" w:firstLineChars="200"/>
    </w:pPr>
    <w:rPr>
      <w:rFonts w:ascii="Calibri" w:hAnsi="Calibri" w:cs="Calibri"/>
      <w:szCs w:val="21"/>
    </w:rPr>
  </w:style>
  <w:style w:type="character" w:customStyle="1" w:styleId="184">
    <w:name w:val="批注文字 Char"/>
    <w:basedOn w:val="46"/>
    <w:link w:val="17"/>
    <w:qFormat/>
    <w:uiPriority w:val="99"/>
    <w:rPr>
      <w:rFonts w:ascii="宋体"/>
      <w:sz w:val="34"/>
    </w:rPr>
  </w:style>
  <w:style w:type="character" w:customStyle="1" w:styleId="185">
    <w:name w:val="批注主题 Char"/>
    <w:basedOn w:val="184"/>
    <w:link w:val="41"/>
    <w:qFormat/>
    <w:uiPriority w:val="99"/>
    <w:rPr>
      <w:rFonts w:ascii="宋体"/>
      <w:sz w:val="34"/>
    </w:rPr>
  </w:style>
  <w:style w:type="paragraph" w:customStyle="1" w:styleId="186">
    <w:name w:val="评价"/>
    <w:basedOn w:val="1"/>
    <w:qFormat/>
    <w:uiPriority w:val="0"/>
    <w:pPr>
      <w:spacing w:afterLines="20"/>
      <w:ind w:firstLine="1446" w:firstLineChars="200"/>
    </w:pPr>
    <w:rPr>
      <w:rFonts w:ascii="Calibri" w:hAnsi="Calibri"/>
      <w:sz w:val="24"/>
    </w:rPr>
  </w:style>
  <w:style w:type="paragraph" w:customStyle="1" w:styleId="187">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8">
    <w:name w:val="alt-edited1"/>
    <w:qFormat/>
    <w:uiPriority w:val="0"/>
    <w:rPr>
      <w:color w:val="4D90F0"/>
    </w:rPr>
  </w:style>
  <w:style w:type="character" w:customStyle="1" w:styleId="189">
    <w:name w:val="body text Char1"/>
    <w:qFormat/>
    <w:uiPriority w:val="0"/>
    <w:rPr>
      <w:rFonts w:eastAsia="宋体"/>
      <w:kern w:val="2"/>
      <w:sz w:val="21"/>
      <w:lang w:val="en-US" w:eastAsia="zh-CN" w:bidi="ar-SA"/>
    </w:rPr>
  </w:style>
  <w:style w:type="character" w:customStyle="1" w:styleId="190">
    <w:name w:val="普通(网站) Char"/>
    <w:link w:val="38"/>
    <w:qFormat/>
    <w:uiPriority w:val="0"/>
    <w:rPr>
      <w:kern w:val="2"/>
      <w:sz w:val="24"/>
      <w:szCs w:val="24"/>
    </w:rPr>
  </w:style>
  <w:style w:type="character" w:customStyle="1" w:styleId="191">
    <w:name w:val="批注文字 Char1"/>
    <w:qFormat/>
    <w:uiPriority w:val="99"/>
    <w:rPr>
      <w:rFonts w:ascii="宋体"/>
      <w:sz w:val="34"/>
    </w:rPr>
  </w:style>
  <w:style w:type="character" w:customStyle="1" w:styleId="192">
    <w:name w:val="正文缩进 Char1"/>
    <w:qFormat/>
    <w:uiPriority w:val="0"/>
    <w:rPr>
      <w:rFonts w:eastAsia="宋体"/>
      <w:kern w:val="2"/>
      <w:sz w:val="21"/>
      <w:lang w:val="en-US" w:eastAsia="zh-CN" w:bidi="ar-SA"/>
    </w:rPr>
  </w:style>
  <w:style w:type="table" w:customStyle="1" w:styleId="193">
    <w:name w:val="网格型1"/>
    <w:basedOn w:val="44"/>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4">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95">
    <w:name w:val="null3"/>
    <w:qFormat/>
    <w:uiPriority w:val="0"/>
    <w:rPr>
      <w:rFonts w:hint="eastAsia" w:ascii="Calibri" w:hAnsi="Calibri" w:eastAsia="宋体" w:cs="Times New Roman"/>
      <w:lang w:val="en-US" w:eastAsia="zh-Hans"/>
    </w:rPr>
  </w:style>
  <w:style w:type="paragraph" w:styleId="196">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7">
    <w:name w:val="*正文"/>
    <w:basedOn w:val="1"/>
    <w:qFormat/>
    <w:uiPriority w:val="0"/>
    <w:pPr>
      <w:spacing w:line="360" w:lineRule="auto"/>
      <w:ind w:firstLine="200" w:firstLineChars="200"/>
    </w:pPr>
    <w:rPr>
      <w:rFonts w:ascii="仿宋_GB2312" w:hAnsi="Calibri"/>
      <w:szCs w:val="28"/>
      <w:lang w:val="zh-CN"/>
    </w:rPr>
  </w:style>
  <w:style w:type="paragraph" w:customStyle="1" w:styleId="198">
    <w:name w:val="_Style 2"/>
    <w:basedOn w:val="1"/>
    <w:qFormat/>
    <w:uiPriority w:val="34"/>
    <w:pPr>
      <w:ind w:firstLine="420" w:firstLineChars="200"/>
    </w:pPr>
  </w:style>
  <w:style w:type="paragraph" w:customStyle="1" w:styleId="199">
    <w:name w:val="正文1"/>
    <w:qFormat/>
    <w:uiPriority w:val="0"/>
    <w:rPr>
      <w:rFonts w:ascii="Times New Roman" w:hAnsi="Times New Roman" w:eastAsia="Times New Roman" w:cs="Times New Roman"/>
      <w:sz w:val="24"/>
      <w:szCs w:val="24"/>
      <w:lang w:val="en-US" w:eastAsia="zh-CN" w:bidi="ar-SA"/>
    </w:rPr>
  </w:style>
  <w:style w:type="paragraph" w:customStyle="1" w:styleId="200">
    <w:name w:val="Z3级左对齐标题"/>
    <w:basedOn w:val="1"/>
    <w:qFormat/>
    <w:uiPriority w:val="0"/>
    <w:pPr>
      <w:numPr>
        <w:ilvl w:val="0"/>
        <w:numId w:val="7"/>
      </w:numPr>
      <w:tabs>
        <w:tab w:val="left" w:pos="426"/>
      </w:tabs>
      <w:spacing w:before="280" w:after="290" w:line="377" w:lineRule="auto"/>
      <w:outlineLvl w:val="2"/>
    </w:pPr>
    <w:rPr>
      <w:b/>
      <w:sz w:val="24"/>
    </w:rPr>
  </w:style>
  <w:style w:type="paragraph" w:customStyle="1" w:styleId="201">
    <w:name w:val="0五号正文"/>
    <w:basedOn w:val="1"/>
    <w:qFormat/>
    <w:uiPriority w:val="0"/>
    <w:pPr>
      <w:widowControl w:val="0"/>
      <w:shd w:val="clear" w:color="auto" w:fill="auto"/>
      <w:spacing w:line="300" w:lineRule="auto"/>
      <w:ind w:firstLine="420" w:firstLineChars="200"/>
    </w:pPr>
    <w:rPr>
      <w:rFonts w:cs="Times New Roman"/>
      <w:kern w:val="2"/>
      <w:szCs w:val="21"/>
    </w:rPr>
  </w:style>
  <w:style w:type="paragraph" w:customStyle="1" w:styleId="202">
    <w:name w:val="0表格正文"/>
    <w:basedOn w:val="1"/>
    <w:qFormat/>
    <w:uiPriority w:val="0"/>
    <w:pPr>
      <w:spacing w:line="240" w:lineRule="auto"/>
      <w:jc w:val="left"/>
    </w:pPr>
    <w:rPr>
      <w:szCs w:val="21"/>
    </w:rPr>
  </w:style>
  <w:style w:type="paragraph" w:customStyle="1" w:styleId="203">
    <w:name w:val="Table Paragraph"/>
    <w:basedOn w:val="1"/>
    <w:qFormat/>
    <w:uiPriority w:val="1"/>
    <w:rPr>
      <w:rFonts w:ascii="仿宋" w:hAnsi="仿宋" w:eastAsia="仿宋" w:cs="仿宋"/>
      <w:lang w:val="zh-CN" w:bidi="zh-CN"/>
    </w:rPr>
  </w:style>
  <w:style w:type="paragraph" w:customStyle="1" w:styleId="204">
    <w:name w:val="Table Text"/>
    <w:basedOn w:val="1"/>
    <w:semiHidden/>
    <w:qFormat/>
    <w:uiPriority w:val="0"/>
    <w:rPr>
      <w:rFonts w:ascii="宋体" w:hAnsi="宋体" w:cs="宋体"/>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64</Pages>
  <Words>12507</Words>
  <Characters>13077</Characters>
  <Lines>332</Lines>
  <Paragraphs>93</Paragraphs>
  <TotalTime>118</TotalTime>
  <ScaleCrop>false</ScaleCrop>
  <LinksUpToDate>false</LinksUpToDate>
  <CharactersWithSpaces>13160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2021-04-27T00:29:00Z</dcterms:created>
  <dc:creator>thsware</dc:creator>
  <cp:lastModifiedBy>天雨</cp:lastModifiedBy>
  <cp:lastPrinted>2021-05-17T00:02:00Z</cp:lastPrinted>
  <dcterms:modified xsi:type="dcterms:W3CDTF">2025-07-24T06:53:12Z</dcterms:modified>
  <dc:title>招  标　文　件</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3EFE2268DAFE4289B0F64F50320BF004_13</vt:lpwstr>
  </property>
  <property fmtid="{D5CDD505-2E9C-101B-9397-08002B2CF9AE}" pid="4" name="KSOTemplateDocerSaveRecord">
    <vt:lpwstr>eyJoZGlkIjoiOTRiN2VjMDBkNzg1YmNjNjA3ZDQ2NTIwMmE1YzM3ZGEiLCJ1c2VySWQiOiI2OTUwNTY1MTgifQ==</vt:lpwstr>
  </property>
</Properties>
</file>