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10.0 -->
  <w:body>
    <w:p w14:paraId="3636DF9E">
      <w:pPr>
        <w:widowControl w:val="0"/>
        <w:spacing w:before="0" w:after="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版本号：</w:t>
      </w:r>
      <w:r>
        <w:rPr>
          <w:rFonts w:ascii="宋体" w:eastAsia="宋体" w:hAnsi="宋体" w:cs="宋体" w:hint="eastAsia"/>
          <w:b/>
          <w:bCs/>
          <w:kern w:val="2"/>
          <w:sz w:val="21"/>
          <w:szCs w:val="22"/>
          <w:lang w:eastAsia="zh-CN"/>
        </w:rPr>
        <w:t>202</w:t>
      </w:r>
      <w:r>
        <w:rPr>
          <w:rFonts w:ascii="宋体" w:eastAsia="宋体" w:hAnsi="宋体" w:cs="宋体" w:hint="eastAsia"/>
          <w:b/>
          <w:bCs/>
          <w:kern w:val="2"/>
          <w:sz w:val="21"/>
          <w:szCs w:val="22"/>
          <w:lang w:eastAsia="zh-CN"/>
        </w:rPr>
        <w:t>5</w:t>
      </w:r>
      <w:r>
        <w:rPr>
          <w:rFonts w:ascii="宋体" w:eastAsia="宋体" w:hAnsi="宋体" w:cs="宋体" w:hint="eastAsia"/>
          <w:b/>
          <w:bCs/>
          <w:kern w:val="2"/>
          <w:sz w:val="21"/>
          <w:szCs w:val="22"/>
          <w:lang w:eastAsia="zh-CN"/>
        </w:rPr>
        <w:t>年1</w:t>
      </w:r>
      <w:r>
        <w:rPr>
          <w:rFonts w:ascii="宋体" w:eastAsia="宋体" w:hAnsi="宋体" w:cs="宋体" w:hint="eastAsia"/>
          <w:b/>
          <w:bCs/>
          <w:kern w:val="2"/>
          <w:sz w:val="21"/>
          <w:szCs w:val="22"/>
          <w:lang w:eastAsia="zh-CN"/>
        </w:rPr>
        <w:t>2</w:t>
      </w:r>
      <w:r>
        <w:rPr>
          <w:rFonts w:ascii="宋体" w:eastAsia="宋体" w:hAnsi="宋体" w:cs="宋体" w:hint="eastAsia"/>
          <w:b/>
          <w:bCs/>
          <w:kern w:val="2"/>
          <w:sz w:val="21"/>
          <w:szCs w:val="22"/>
          <w:lang w:eastAsia="zh-CN"/>
        </w:rPr>
        <w:t>月版</w:t>
      </w:r>
    </w:p>
    <w:p w14:paraId="67315EC6">
      <w:pPr>
        <w:widowControl w:val="0"/>
        <w:jc w:val="left"/>
        <w:rPr>
          <w:rFonts w:ascii="宋体" w:eastAsia="宋体" w:hAnsi="宋体" w:cs="宋体" w:hint="eastAsia"/>
          <w:snapToGrid w:val="0"/>
          <w:sz w:val="21"/>
          <w:szCs w:val="21"/>
          <w:lang w:eastAsia="zh-CN"/>
        </w:rPr>
      </w:pPr>
    </w:p>
    <w:p w14:paraId="014C8777">
      <w:pPr>
        <w:widowControl w:val="0"/>
        <w:tabs>
          <w:tab w:val="left" w:pos="4080"/>
        </w:tabs>
        <w:jc w:val="left"/>
        <w:rPr>
          <w:rFonts w:ascii="宋体" w:eastAsia="宋体" w:hAnsi="宋体" w:cs="宋体" w:hint="eastAsia"/>
          <w:snapToGrid w:val="0"/>
          <w:sz w:val="21"/>
          <w:szCs w:val="21"/>
          <w:lang w:eastAsia="zh-CN"/>
        </w:rPr>
      </w:pPr>
    </w:p>
    <w:p w14:paraId="2E8706BD">
      <w:pPr>
        <w:widowControl w:val="0"/>
        <w:ind w:firstLine="5489" w:firstLineChars="2614"/>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标段编号：</w:t>
      </w:r>
      <w:r>
        <w:rPr>
          <w:rFonts w:ascii="宋体" w:eastAsia="宋体" w:hAnsi="宋体" w:cs="宋体" w:hint="eastAsia"/>
          <w:snapToGrid w:val="0"/>
          <w:kern w:val="2"/>
          <w:sz w:val="21"/>
          <w:szCs w:val="21"/>
          <w:u w:val="single"/>
          <w:lang w:eastAsia="zh-CN" w:bidi="ar"/>
        </w:rPr>
        <w:t xml:space="preserve"> 4403922026062300401Y001 </w:t>
      </w:r>
    </w:p>
    <w:p w14:paraId="62D8CF85">
      <w:pPr>
        <w:widowControl w:val="0"/>
        <w:jc w:val="left"/>
        <w:rPr>
          <w:rFonts w:ascii="宋体" w:eastAsia="宋体" w:hAnsi="宋体" w:cs="宋体" w:hint="eastAsia"/>
          <w:snapToGrid w:val="0"/>
          <w:sz w:val="21"/>
          <w:szCs w:val="21"/>
          <w:lang w:eastAsia="zh-CN"/>
        </w:rPr>
      </w:pPr>
    </w:p>
    <w:p w14:paraId="510E739A">
      <w:pPr>
        <w:widowControl w:val="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 xml:space="preserve"> </w:t>
      </w:r>
    </w:p>
    <w:p w14:paraId="49F69325">
      <w:pPr>
        <w:widowControl w:val="0"/>
        <w:jc w:val="left"/>
        <w:rPr>
          <w:rFonts w:ascii="宋体" w:eastAsia="宋体" w:hAnsi="宋体" w:cs="宋体" w:hint="eastAsia"/>
          <w:snapToGrid w:val="0"/>
          <w:sz w:val="21"/>
          <w:szCs w:val="21"/>
          <w:lang w:eastAsia="zh-CN"/>
        </w:rPr>
      </w:pPr>
    </w:p>
    <w:p w14:paraId="4ACBD474">
      <w:pPr>
        <w:widowControl w:val="0"/>
        <w:spacing w:line="360" w:lineRule="auto"/>
        <w:jc w:val="center"/>
        <w:rPr>
          <w:rFonts w:ascii="宋体" w:eastAsia="宋体" w:hAnsi="宋体" w:cs="宋体" w:hint="eastAsia"/>
          <w:snapToGrid w:val="0"/>
          <w:sz w:val="72"/>
          <w:szCs w:val="72"/>
          <w:lang w:eastAsia="zh-CN"/>
        </w:rPr>
      </w:pPr>
      <w:r>
        <w:rPr>
          <w:rFonts w:ascii="宋体" w:eastAsia="宋体" w:hAnsi="宋体" w:cs="宋体" w:hint="eastAsia"/>
          <w:snapToGrid w:val="0"/>
          <w:sz w:val="72"/>
          <w:szCs w:val="72"/>
          <w:lang w:eastAsia="zh-CN"/>
        </w:rPr>
        <w:t>深圳市建设工程</w:t>
      </w:r>
    </w:p>
    <w:p w14:paraId="6E71CEEF">
      <w:pPr>
        <w:widowControl w:val="0"/>
        <w:spacing w:line="360" w:lineRule="auto"/>
        <w:jc w:val="center"/>
        <w:rPr>
          <w:rFonts w:ascii="宋体" w:eastAsia="宋体" w:hAnsi="宋体" w:cs="宋体" w:hint="eastAsia"/>
          <w:snapToGrid w:val="0"/>
          <w:sz w:val="72"/>
          <w:szCs w:val="72"/>
          <w:lang w:eastAsia="zh-CN"/>
        </w:rPr>
      </w:pPr>
      <w:r>
        <w:rPr>
          <w:rFonts w:ascii="宋体" w:eastAsia="宋体" w:hAnsi="宋体" w:cs="宋体" w:hint="eastAsia"/>
          <w:snapToGrid w:val="0"/>
          <w:sz w:val="72"/>
          <w:szCs w:val="72"/>
          <w:lang w:eastAsia="zh-CN"/>
        </w:rPr>
        <w:t>其他类招标文件</w:t>
      </w:r>
    </w:p>
    <w:p w14:paraId="33346E88">
      <w:pPr>
        <w:widowControl w:val="0"/>
        <w:jc w:val="left"/>
        <w:rPr>
          <w:rFonts w:ascii="宋体" w:eastAsia="宋体" w:hAnsi="宋体" w:cs="宋体" w:hint="eastAsia"/>
          <w:snapToGrid w:val="0"/>
          <w:sz w:val="30"/>
          <w:szCs w:val="30"/>
          <w:lang w:eastAsia="zh-CN"/>
        </w:rPr>
      </w:pPr>
    </w:p>
    <w:p w14:paraId="74A9953B">
      <w:pPr>
        <w:widowControl w:val="0"/>
        <w:jc w:val="left"/>
        <w:rPr>
          <w:rFonts w:ascii="宋体" w:eastAsia="宋体" w:hAnsi="宋体" w:cs="宋体" w:hint="eastAsia"/>
          <w:b/>
          <w:snapToGrid w:val="0"/>
          <w:sz w:val="30"/>
          <w:szCs w:val="30"/>
          <w:lang w:eastAsia="zh-CN"/>
        </w:rPr>
      </w:pPr>
    </w:p>
    <w:p w14:paraId="6F6B09A2">
      <w:pPr>
        <w:widowControl w:val="0"/>
        <w:jc w:val="left"/>
        <w:rPr>
          <w:rFonts w:ascii="宋体" w:eastAsia="宋体" w:hAnsi="宋体" w:cs="宋体" w:hint="eastAsia"/>
          <w:b/>
          <w:snapToGrid w:val="0"/>
          <w:sz w:val="30"/>
          <w:szCs w:val="30"/>
          <w:lang w:eastAsia="zh-CN"/>
        </w:rPr>
      </w:pPr>
    </w:p>
    <w:p w14:paraId="07D743A2">
      <w:pPr>
        <w:widowControl w:val="0"/>
        <w:jc w:val="center"/>
        <w:rPr>
          <w:rFonts w:ascii="宋体" w:eastAsia="宋体" w:hAnsi="宋体" w:cs="宋体" w:hint="eastAsia"/>
          <w:b/>
          <w:bCs/>
          <w:snapToGrid w:val="0"/>
          <w:sz w:val="28"/>
          <w:szCs w:val="28"/>
          <w:lang w:eastAsia="zh-CN"/>
        </w:rPr>
      </w:pPr>
      <w:r>
        <w:rPr>
          <w:rFonts w:ascii="宋体" w:eastAsia="宋体" w:hAnsi="宋体" w:cs="宋体" w:hint="eastAsia"/>
          <w:b/>
          <w:bCs/>
          <w:snapToGrid w:val="0"/>
          <w:sz w:val="28"/>
          <w:szCs w:val="28"/>
          <w:lang w:eastAsia="zh-CN"/>
        </w:rPr>
        <w:t>〔示范文本〕</w:t>
      </w:r>
    </w:p>
    <w:p w14:paraId="1873113A">
      <w:pPr>
        <w:widowControl w:val="0"/>
        <w:jc w:val="left"/>
        <w:rPr>
          <w:rFonts w:ascii="宋体" w:eastAsia="宋体" w:hAnsi="宋体" w:cs="宋体" w:hint="eastAsia"/>
          <w:b/>
          <w:snapToGrid w:val="0"/>
          <w:sz w:val="30"/>
          <w:szCs w:val="30"/>
          <w:lang w:eastAsia="zh-CN"/>
        </w:rPr>
      </w:pPr>
    </w:p>
    <w:p w14:paraId="134C3B50">
      <w:pPr>
        <w:widowControl w:val="0"/>
        <w:adjustRightInd w:val="0"/>
        <w:snapToGrid w:val="0"/>
        <w:spacing w:line="360" w:lineRule="auto"/>
        <w:ind w:firstLine="840" w:firstLineChars="300"/>
        <w:jc w:val="left"/>
        <w:rPr>
          <w:rFonts w:ascii="宋体" w:eastAsia="宋体" w:hAnsi="宋体" w:cs="宋体" w:hint="eastAsia"/>
          <w:b/>
          <w:bCs/>
          <w:kern w:val="2"/>
          <w:sz w:val="28"/>
          <w:szCs w:val="22"/>
          <w:lang w:eastAsia="zh-CN"/>
        </w:rPr>
      </w:pPr>
    </w:p>
    <w:p w14:paraId="2000C103">
      <w:pPr>
        <w:widowControl w:val="0"/>
        <w:adjustRightInd w:val="0"/>
        <w:snapToGrid w:val="0"/>
        <w:spacing w:line="360" w:lineRule="auto"/>
        <w:ind w:left="3798" w:hanging="1400" w:leftChars="999" w:hangingChars="500"/>
        <w:jc w:val="left"/>
        <w:rPr>
          <w:rFonts w:ascii="宋体" w:eastAsia="宋体" w:hAnsi="宋体" w:cs="宋体" w:hint="eastAsia"/>
          <w:b/>
          <w:bCs/>
          <w:sz w:val="28"/>
          <w:szCs w:val="22"/>
          <w:lang w:eastAsia="zh-CN"/>
        </w:rPr>
      </w:pPr>
      <w:r>
        <w:rPr>
          <w:rFonts w:ascii="宋体" w:eastAsia="宋体" w:hAnsi="宋体" w:cs="宋体" w:hint="eastAsia"/>
          <w:b/>
          <w:bCs/>
          <w:sz w:val="28"/>
          <w:szCs w:val="22"/>
          <w:lang w:eastAsia="zh-CN"/>
        </w:rPr>
        <w:t>标段名称：</w:t>
      </w:r>
      <w:r>
        <w:rPr>
          <w:rFonts w:ascii="宋体" w:eastAsia="宋体" w:hAnsi="宋体" w:cs="宋体" w:hint="eastAsia"/>
          <w:b/>
          <w:bCs/>
          <w:color w:val="000000"/>
          <w:kern w:val="2"/>
          <w:sz w:val="29"/>
          <w:szCs w:val="29"/>
          <w:lang w:eastAsia="zh-CN"/>
        </w:rPr>
        <w:t>龙川县新城幸福学校建设工程全过程造价咨询</w:t>
      </w:r>
      <w:r>
        <w:rPr>
          <w:rFonts w:ascii="宋体" w:eastAsia="宋体" w:hAnsi="宋体" w:cs="宋体" w:hint="eastAsia"/>
          <w:kern w:val="2"/>
          <w:sz w:val="28"/>
          <w:szCs w:val="22"/>
          <w:u w:val="single"/>
          <w:lang w:eastAsia="zh-CN" w:bidi="ar"/>
        </w:rPr>
        <w:t xml:space="preserve">     </w:t>
      </w:r>
    </w:p>
    <w:p w14:paraId="2AC7979C">
      <w:pPr>
        <w:widowControl w:val="0"/>
        <w:adjustRightInd w:val="0"/>
        <w:snapToGrid w:val="0"/>
        <w:spacing w:line="360" w:lineRule="auto"/>
        <w:ind w:left="1260" w:firstLine="840" w:firstLineChars="300"/>
        <w:jc w:val="left"/>
        <w:rPr>
          <w:rFonts w:ascii="宋体" w:eastAsia="宋体" w:hAnsi="宋体" w:cs="宋体" w:hint="eastAsia"/>
          <w:b/>
          <w:bCs/>
          <w:sz w:val="28"/>
          <w:szCs w:val="22"/>
          <w:lang w:eastAsia="zh-CN"/>
        </w:rPr>
      </w:pPr>
      <w:r>
        <w:rPr>
          <w:rFonts w:ascii="宋体" w:eastAsia="宋体" w:hAnsi="宋体" w:cs="宋体" w:hint="eastAsia"/>
          <w:b/>
          <w:bCs/>
          <w:sz w:val="28"/>
          <w:szCs w:val="22"/>
          <w:lang w:eastAsia="zh-CN"/>
        </w:rPr>
        <w:t>招 标 人：</w:t>
      </w:r>
      <w:r>
        <w:rPr>
          <w:rFonts w:ascii="宋体" w:eastAsia="宋体" w:hAnsi="宋体" w:cs="宋体" w:hint="eastAsia"/>
          <w:kern w:val="2"/>
          <w:sz w:val="28"/>
          <w:szCs w:val="22"/>
          <w:lang w:eastAsia="zh-CN" w:bidi="ar"/>
        </w:rPr>
        <w:t xml:space="preserve"> </w:t>
      </w:r>
      <w:r>
        <w:rPr>
          <w:rFonts w:ascii="宋体" w:eastAsia="宋体" w:hAnsi="宋体" w:cs="宋体" w:hint="eastAsia"/>
          <w:b/>
          <w:bCs/>
          <w:color w:val="000000"/>
          <w:kern w:val="2"/>
          <w:sz w:val="29"/>
          <w:szCs w:val="29"/>
          <w:lang w:eastAsia="zh-CN"/>
        </w:rPr>
        <w:t>深圳市龙新开发建设有限公司</w:t>
      </w:r>
      <w:r>
        <w:rPr>
          <w:rFonts w:ascii="宋体" w:eastAsia="宋体" w:hAnsi="宋体" w:cs="宋体" w:hint="eastAsia"/>
          <w:kern w:val="2"/>
          <w:sz w:val="28"/>
          <w:szCs w:val="22"/>
          <w:lang w:eastAsia="zh-CN" w:bidi="ar"/>
        </w:rPr>
        <w:t xml:space="preserve">    </w:t>
      </w:r>
    </w:p>
    <w:p w14:paraId="4D76D83B">
      <w:pPr>
        <w:widowControl w:val="0"/>
        <w:adjustRightInd w:val="0"/>
        <w:snapToGrid w:val="0"/>
        <w:spacing w:line="360" w:lineRule="auto"/>
        <w:ind w:left="1260" w:firstLine="840" w:firstLineChars="300"/>
        <w:jc w:val="left"/>
        <w:rPr>
          <w:rFonts w:ascii="宋体" w:eastAsia="宋体" w:hAnsi="宋体" w:cs="宋体" w:hint="eastAsia"/>
          <w:b/>
          <w:bCs/>
          <w:sz w:val="28"/>
          <w:szCs w:val="22"/>
          <w:lang w:eastAsia="zh-CN"/>
        </w:rPr>
      </w:pPr>
      <w:r>
        <w:rPr>
          <w:rFonts w:ascii="宋体" w:eastAsia="宋体" w:hAnsi="宋体" w:cs="宋体" w:hint="eastAsia"/>
          <w:b/>
          <w:bCs/>
          <w:sz w:val="28"/>
          <w:szCs w:val="22"/>
          <w:lang w:eastAsia="zh-CN"/>
        </w:rPr>
        <w:t>法定代表人或其委托代理人：</w:t>
      </w:r>
      <w:r>
        <w:rPr>
          <w:rFonts w:ascii="宋体" w:eastAsia="宋体" w:hAnsi="宋体" w:cs="宋体" w:hint="eastAsia"/>
          <w:b/>
          <w:bCs/>
          <w:color w:val="000000"/>
          <w:kern w:val="2"/>
          <w:sz w:val="29"/>
          <w:szCs w:val="29"/>
          <w:lang w:eastAsia="zh-CN"/>
        </w:rPr>
        <w:t>史国友</w:t>
      </w:r>
    </w:p>
    <w:p w14:paraId="246978E1">
      <w:pPr>
        <w:widowControl w:val="0"/>
        <w:adjustRightInd w:val="0"/>
        <w:snapToGrid w:val="0"/>
        <w:spacing w:line="360" w:lineRule="auto"/>
        <w:ind w:left="4358" w:hanging="1960" w:leftChars="999" w:hangingChars="700"/>
        <w:jc w:val="left"/>
        <w:rPr>
          <w:rFonts w:ascii="宋体" w:eastAsia="宋体" w:hAnsi="宋体" w:cs="宋体" w:hint="eastAsia"/>
          <w:b/>
          <w:bCs/>
          <w:sz w:val="28"/>
          <w:szCs w:val="22"/>
          <w:lang w:eastAsia="zh-CN"/>
        </w:rPr>
      </w:pPr>
      <w:r>
        <w:rPr>
          <w:rFonts w:ascii="宋体" w:eastAsia="宋体" w:hAnsi="宋体" w:cs="宋体" w:hint="eastAsia"/>
          <w:b/>
          <w:bCs/>
          <w:sz w:val="28"/>
          <w:szCs w:val="22"/>
          <w:lang w:eastAsia="zh-CN"/>
        </w:rPr>
        <w:t>招标代理机构：</w:t>
      </w:r>
      <w:r>
        <w:rPr>
          <w:rFonts w:ascii="宋体" w:eastAsia="宋体" w:hAnsi="宋体" w:cs="宋体" w:hint="eastAsia"/>
          <w:b/>
          <w:bCs/>
          <w:color w:val="000000"/>
          <w:kern w:val="2"/>
          <w:sz w:val="29"/>
          <w:szCs w:val="29"/>
          <w:lang w:eastAsia="zh-CN"/>
        </w:rPr>
        <w:t>深圳市综合交通与市政工程设计研究总院有限公司</w:t>
      </w:r>
    </w:p>
    <w:p w14:paraId="63DC57DF">
      <w:pPr>
        <w:widowControl w:val="0"/>
        <w:adjustRightInd w:val="0"/>
        <w:snapToGrid w:val="0"/>
        <w:spacing w:line="360" w:lineRule="auto"/>
        <w:ind w:left="1260" w:firstLine="840" w:firstLineChars="300"/>
        <w:jc w:val="left"/>
        <w:rPr>
          <w:rFonts w:ascii="宋体" w:eastAsia="宋体" w:hAnsi="宋体" w:cs="宋体" w:hint="eastAsia"/>
          <w:b/>
          <w:bCs/>
          <w:sz w:val="28"/>
          <w:szCs w:val="22"/>
          <w:lang w:eastAsia="zh-CN"/>
        </w:rPr>
      </w:pPr>
      <w:r>
        <w:rPr>
          <w:rFonts w:ascii="宋体" w:eastAsia="宋体" w:hAnsi="宋体" w:cs="宋体" w:hint="eastAsia"/>
          <w:b/>
          <w:bCs/>
          <w:sz w:val="28"/>
          <w:szCs w:val="22"/>
          <w:lang w:eastAsia="zh-CN"/>
        </w:rPr>
        <w:t>法定代表人或其委托代理人：</w:t>
      </w:r>
      <w:r>
        <w:rPr>
          <w:rFonts w:ascii="宋体" w:eastAsia="宋体" w:hAnsi="宋体" w:cs="宋体" w:hint="eastAsia"/>
          <w:b/>
          <w:bCs/>
          <w:color w:val="000000"/>
          <w:kern w:val="2"/>
          <w:sz w:val="29"/>
          <w:szCs w:val="29"/>
          <w:lang w:eastAsia="zh-CN"/>
        </w:rPr>
        <w:t>杨曦</w:t>
      </w:r>
    </w:p>
    <w:p w14:paraId="24D0A0B5">
      <w:pPr>
        <w:widowControl w:val="0"/>
        <w:jc w:val="both"/>
        <w:rPr>
          <w:rFonts w:ascii="宋体" w:eastAsia="宋体" w:hAnsi="宋体" w:cs="宋体" w:hint="eastAsia"/>
          <w:snapToGrid w:val="0"/>
          <w:sz w:val="21"/>
          <w:szCs w:val="22"/>
          <w:lang w:eastAsia="zh-CN"/>
        </w:rPr>
      </w:pPr>
    </w:p>
    <w:p w14:paraId="48134C11">
      <w:pPr>
        <w:widowControl w:val="0"/>
        <w:tabs>
          <w:tab w:val="right" w:leader="dot" w:pos="9299"/>
        </w:tabs>
        <w:jc w:val="both"/>
        <w:rPr>
          <w:rFonts w:ascii="宋体" w:eastAsia="宋体" w:hAnsi="宋体" w:cs="宋体" w:hint="eastAsia"/>
          <w:b/>
          <w:snapToGrid w:val="0"/>
          <w:sz w:val="21"/>
          <w:szCs w:val="21"/>
          <w:lang w:eastAsia="zh-CN"/>
        </w:rPr>
        <w:sectPr>
          <w:footerReference w:type="default" r:id="rId5"/>
          <w:pgSz w:w="11907" w:h="16839"/>
          <w:pgMar w:top="1361" w:right="1304" w:bottom="1304" w:left="1304" w:header="1247" w:footer="737" w:gutter="0"/>
          <w:pgNumType w:fmt="decimal" w:start="1"/>
          <w:cols w:num="1" w:space="720"/>
          <w:docGrid w:linePitch="380" w:charSpace="-4301"/>
        </w:sectPr>
      </w:pPr>
    </w:p>
    <w:p w14:paraId="27D0BF04">
      <w:pPr>
        <w:widowControl w:val="0"/>
        <w:jc w:val="center"/>
        <w:rPr>
          <w:rFonts w:ascii="宋体" w:eastAsia="宋体" w:hAnsi="宋体" w:cs="宋体" w:hint="eastAsia"/>
          <w:b/>
          <w:bCs/>
          <w:kern w:val="2"/>
          <w:sz w:val="36"/>
          <w:szCs w:val="36"/>
          <w:lang w:eastAsia="zh-CN"/>
        </w:rPr>
      </w:pPr>
      <w:bookmarkStart w:id="0" w:name="_Toc26460"/>
      <w:bookmarkStart w:id="1" w:name="_Toc20260"/>
      <w:bookmarkStart w:id="2" w:name="_Toc13356"/>
      <w:bookmarkStart w:id="3" w:name="_Toc31678"/>
      <w:bookmarkStart w:id="4" w:name="_Toc10107"/>
      <w:bookmarkStart w:id="5" w:name="_Toc19810"/>
      <w:bookmarkStart w:id="6" w:name="_Toc14585"/>
      <w:bookmarkStart w:id="7" w:name="_Toc32065"/>
      <w:bookmarkStart w:id="8" w:name="_Toc31876"/>
      <w:bookmarkStart w:id="9" w:name="_Toc21277"/>
      <w:r>
        <w:rPr>
          <w:rFonts w:ascii="宋体" w:eastAsia="宋体" w:hAnsi="宋体" w:cs="宋体" w:hint="eastAsia"/>
          <w:b/>
          <w:bCs/>
          <w:kern w:val="2"/>
          <w:sz w:val="36"/>
          <w:szCs w:val="36"/>
          <w:lang w:eastAsia="zh-CN"/>
        </w:rPr>
        <w:t>目  录</w:t>
      </w:r>
    </w:p>
    <w:p w14:paraId="3413A285">
      <w:pPr>
        <w:widowControl w:val="0"/>
        <w:tabs>
          <w:tab w:val="right" w:leader="dot" w:pos="9299"/>
        </w:tabs>
        <w:spacing w:line="360" w:lineRule="auto"/>
        <w:jc w:val="both"/>
        <w:rPr>
          <w:rFonts w:ascii="宋体" w:eastAsia="宋体" w:hAnsi="宋体" w:cs="宋体" w:hint="eastAsia"/>
          <w:kern w:val="2"/>
          <w:lang w:eastAsia="zh-CN"/>
        </w:rPr>
      </w:pP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TOC \o "1-3" \h \u </w:instrText>
      </w:r>
      <w:r>
        <w:rPr>
          <w:rFonts w:ascii="宋体" w:eastAsia="宋体" w:hAnsi="宋体" w:cs="宋体" w:hint="eastAsia"/>
          <w:kern w:val="2"/>
          <w:lang w:eastAsia="zh-CN"/>
        </w:rPr>
        <w:fldChar w:fldCharType="separate"/>
      </w:r>
      <w:hyperlink w:anchor="_Toc3117" w:history="1">
        <w:r>
          <w:rPr>
            <w:rFonts w:ascii="宋体" w:eastAsia="宋体" w:hAnsi="宋体" w:cs="宋体" w:hint="eastAsia"/>
            <w:kern w:val="2"/>
            <w:lang w:eastAsia="zh-CN"/>
          </w:rPr>
          <w:t>第一章  使用说明</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_Toc3117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w:t>
        </w:r>
        <w:r>
          <w:rPr>
            <w:rFonts w:ascii="宋体" w:eastAsia="宋体" w:hAnsi="宋体" w:cs="宋体" w:hint="eastAsia"/>
            <w:kern w:val="2"/>
            <w:lang w:eastAsia="zh-CN"/>
          </w:rPr>
          <w:fldChar w:fldCharType="end"/>
        </w:r>
      </w:hyperlink>
    </w:p>
    <w:p w14:paraId="2DA14D31">
      <w:pPr>
        <w:widowControl w:val="0"/>
        <w:tabs>
          <w:tab w:val="right" w:leader="dot" w:pos="9299"/>
        </w:tabs>
        <w:spacing w:line="360" w:lineRule="auto"/>
        <w:jc w:val="both"/>
        <w:rPr>
          <w:rFonts w:ascii="宋体" w:eastAsia="宋体" w:hAnsi="宋体" w:cs="宋体" w:hint="eastAsia"/>
          <w:kern w:val="2"/>
          <w:lang w:eastAsia="zh-CN"/>
        </w:rPr>
      </w:pPr>
      <w:hyperlink w:anchor="_Toc7536" w:history="1">
        <w:r>
          <w:rPr>
            <w:rFonts w:ascii="宋体" w:eastAsia="宋体" w:hAnsi="宋体" w:cs="宋体" w:hint="eastAsia"/>
            <w:kern w:val="2"/>
            <w:lang w:eastAsia="zh-CN"/>
          </w:rPr>
          <w:t>第二章  投标须知</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_Toc7536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7</w:t>
        </w:r>
        <w:r>
          <w:rPr>
            <w:rFonts w:ascii="宋体" w:eastAsia="宋体" w:hAnsi="宋体" w:cs="宋体" w:hint="eastAsia"/>
            <w:kern w:val="2"/>
            <w:lang w:eastAsia="zh-CN"/>
          </w:rPr>
          <w:fldChar w:fldCharType="end"/>
        </w:r>
      </w:hyperlink>
    </w:p>
    <w:p w14:paraId="4307C26C">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24016" w:history="1">
        <w:r>
          <w:rPr>
            <w:rFonts w:ascii="宋体" w:eastAsia="宋体" w:hAnsi="宋体" w:cs="宋体" w:hint="eastAsia"/>
            <w:kern w:val="2"/>
            <w:lang w:eastAsia="zh-CN"/>
          </w:rPr>
          <w:t>一、投标须知前附表</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_Toc24016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7</w:t>
        </w:r>
        <w:r>
          <w:rPr>
            <w:rFonts w:ascii="宋体" w:eastAsia="宋体" w:hAnsi="宋体" w:cs="宋体" w:hint="eastAsia"/>
            <w:kern w:val="2"/>
            <w:lang w:eastAsia="zh-CN"/>
          </w:rPr>
          <w:fldChar w:fldCharType="end"/>
        </w:r>
      </w:hyperlink>
    </w:p>
    <w:p w14:paraId="77E266F6">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13927" w:history="1">
        <w:r>
          <w:rPr>
            <w:rFonts w:ascii="宋体" w:eastAsia="宋体" w:hAnsi="宋体" w:cs="宋体" w:hint="eastAsia"/>
            <w:snapToGrid w:val="0"/>
            <w:lang w:eastAsia="zh-CN"/>
          </w:rPr>
          <w:t>(一)招标工程情况介绍</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_Toc13927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12</w:t>
        </w:r>
        <w:r>
          <w:rPr>
            <w:rFonts w:ascii="宋体" w:eastAsia="宋体" w:hAnsi="宋体" w:cs="宋体" w:hint="eastAsia"/>
            <w:kern w:val="2"/>
            <w:lang w:eastAsia="zh-CN"/>
          </w:rPr>
          <w:fldChar w:fldCharType="end"/>
        </w:r>
      </w:hyperlink>
    </w:p>
    <w:p w14:paraId="4B1E8C9A">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15592" w:history="1">
        <w:r>
          <w:rPr>
            <w:rFonts w:ascii="宋体" w:eastAsia="宋体" w:hAnsi="宋体" w:cs="宋体" w:hint="eastAsia"/>
            <w:snapToGrid w:val="0"/>
            <w:lang w:eastAsia="zh-CN"/>
          </w:rPr>
          <w:t>二、投标文件否决性条款</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_Toc15592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13</w:t>
        </w:r>
        <w:r>
          <w:rPr>
            <w:rFonts w:ascii="宋体" w:eastAsia="宋体" w:hAnsi="宋体" w:cs="宋体" w:hint="eastAsia"/>
            <w:kern w:val="2"/>
            <w:lang w:eastAsia="zh-CN"/>
          </w:rPr>
          <w:fldChar w:fldCharType="end"/>
        </w:r>
      </w:hyperlink>
    </w:p>
    <w:p w14:paraId="63727201">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8259" w:history="1">
        <w:r>
          <w:rPr>
            <w:rFonts w:ascii="宋体" w:eastAsia="宋体" w:hAnsi="宋体" w:cs="宋体" w:hint="eastAsia"/>
            <w:kern w:val="2"/>
            <w:lang w:eastAsia="zh-CN"/>
          </w:rPr>
          <w:t>三、招投标须知正文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_Toc8259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16</w:t>
        </w:r>
        <w:r>
          <w:rPr>
            <w:rFonts w:ascii="宋体" w:eastAsia="宋体" w:hAnsi="宋体" w:cs="宋体" w:hint="eastAsia"/>
            <w:kern w:val="2"/>
            <w:lang w:eastAsia="zh-CN"/>
          </w:rPr>
          <w:fldChar w:fldCharType="end"/>
        </w:r>
      </w:hyperlink>
    </w:p>
    <w:p w14:paraId="3955848C">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23177" w:history="1">
        <w:r>
          <w:rPr>
            <w:rFonts w:ascii="宋体" w:eastAsia="宋体" w:hAnsi="宋体" w:cs="宋体" w:hint="eastAsia"/>
            <w:kern w:val="2"/>
            <w:lang w:eastAsia="zh-CN"/>
          </w:rPr>
          <w:t>（一）招标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_Toc23177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16</w:t>
        </w:r>
        <w:r>
          <w:rPr>
            <w:rFonts w:ascii="宋体" w:eastAsia="宋体" w:hAnsi="宋体" w:cs="宋体" w:hint="eastAsia"/>
            <w:kern w:val="2"/>
            <w:lang w:eastAsia="zh-CN"/>
          </w:rPr>
          <w:fldChar w:fldCharType="end"/>
        </w:r>
      </w:hyperlink>
    </w:p>
    <w:p w14:paraId="7D52D7F0">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25569" w:history="1">
        <w:r>
          <w:rPr>
            <w:rFonts w:ascii="宋体" w:eastAsia="宋体" w:hAnsi="宋体" w:cs="宋体" w:hint="eastAsia"/>
            <w:snapToGrid w:val="0"/>
            <w:lang w:eastAsia="zh-CN"/>
          </w:rPr>
          <w:t>（二）投标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_Toc25569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16</w:t>
        </w:r>
        <w:r>
          <w:rPr>
            <w:rFonts w:ascii="宋体" w:eastAsia="宋体" w:hAnsi="宋体" w:cs="宋体" w:hint="eastAsia"/>
            <w:kern w:val="2"/>
            <w:lang w:eastAsia="zh-CN"/>
          </w:rPr>
          <w:fldChar w:fldCharType="end"/>
        </w:r>
      </w:hyperlink>
    </w:p>
    <w:p w14:paraId="713991EB">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12238" w:history="1">
        <w:r>
          <w:rPr>
            <w:rFonts w:ascii="宋体" w:eastAsia="宋体" w:hAnsi="宋体" w:cs="宋体" w:hint="eastAsia"/>
            <w:snapToGrid w:val="0"/>
            <w:lang w:eastAsia="zh-CN"/>
          </w:rPr>
          <w:t>（三）资格后审</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_Toc12238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20</w:t>
        </w:r>
        <w:r>
          <w:rPr>
            <w:rFonts w:ascii="宋体" w:eastAsia="宋体" w:hAnsi="宋体" w:cs="宋体" w:hint="eastAsia"/>
            <w:kern w:val="2"/>
            <w:lang w:eastAsia="zh-CN"/>
          </w:rPr>
          <w:fldChar w:fldCharType="end"/>
        </w:r>
      </w:hyperlink>
    </w:p>
    <w:p w14:paraId="6B6481B2">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8924" w:history="1">
        <w:r>
          <w:rPr>
            <w:rFonts w:ascii="宋体" w:eastAsia="宋体" w:hAnsi="宋体" w:cs="宋体" w:hint="eastAsia"/>
            <w:kern w:val="2"/>
            <w:lang w:eastAsia="zh-CN"/>
          </w:rPr>
          <w:t>（四）开标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_Toc8924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21</w:t>
        </w:r>
        <w:r>
          <w:rPr>
            <w:rFonts w:ascii="宋体" w:eastAsia="宋体" w:hAnsi="宋体" w:cs="宋体" w:hint="eastAsia"/>
            <w:kern w:val="2"/>
            <w:lang w:eastAsia="zh-CN"/>
          </w:rPr>
          <w:fldChar w:fldCharType="end"/>
        </w:r>
      </w:hyperlink>
    </w:p>
    <w:p w14:paraId="1614FA15">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22821" w:history="1">
        <w:r>
          <w:rPr>
            <w:rFonts w:ascii="宋体" w:eastAsia="宋体" w:hAnsi="宋体" w:cs="宋体" w:hint="eastAsia"/>
            <w:kern w:val="2"/>
            <w:lang w:eastAsia="zh-CN"/>
          </w:rPr>
          <w:t>（五）评标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_Toc22821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22</w:t>
        </w:r>
        <w:r>
          <w:rPr>
            <w:rFonts w:ascii="宋体" w:eastAsia="宋体" w:hAnsi="宋体" w:cs="宋体" w:hint="eastAsia"/>
            <w:kern w:val="2"/>
            <w:lang w:eastAsia="zh-CN"/>
          </w:rPr>
          <w:fldChar w:fldCharType="end"/>
        </w:r>
      </w:hyperlink>
    </w:p>
    <w:p w14:paraId="5BAF0349">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3102" w:history="1">
        <w:r>
          <w:rPr>
            <w:rFonts w:ascii="宋体" w:eastAsia="宋体" w:hAnsi="宋体" w:cs="宋体" w:hint="eastAsia"/>
            <w:snapToGrid w:val="0"/>
            <w:lang w:eastAsia="zh-CN"/>
          </w:rPr>
          <w:t>（六）定标</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_Toc3102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26</w:t>
        </w:r>
        <w:r>
          <w:rPr>
            <w:rFonts w:ascii="宋体" w:eastAsia="宋体" w:hAnsi="宋体" w:cs="宋体" w:hint="eastAsia"/>
            <w:kern w:val="2"/>
            <w:lang w:eastAsia="zh-CN"/>
          </w:rPr>
          <w:fldChar w:fldCharType="end"/>
        </w:r>
      </w:hyperlink>
    </w:p>
    <w:p w14:paraId="40E6D173">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9506" w:history="1">
        <w:r>
          <w:rPr>
            <w:rFonts w:ascii="宋体" w:eastAsia="宋体" w:hAnsi="宋体" w:cs="宋体" w:hint="eastAsia"/>
            <w:snapToGrid w:val="0"/>
            <w:lang w:eastAsia="zh-CN"/>
          </w:rPr>
          <w:t>（七）中标通知书</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_Toc9506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31</w:t>
        </w:r>
        <w:r>
          <w:rPr>
            <w:rFonts w:ascii="宋体" w:eastAsia="宋体" w:hAnsi="宋体" w:cs="宋体" w:hint="eastAsia"/>
            <w:kern w:val="2"/>
            <w:lang w:eastAsia="zh-CN"/>
          </w:rPr>
          <w:fldChar w:fldCharType="end"/>
        </w:r>
      </w:hyperlink>
    </w:p>
    <w:p w14:paraId="25478EBA">
      <w:pPr>
        <w:widowControl w:val="0"/>
        <w:tabs>
          <w:tab w:val="right" w:leader="dot" w:pos="9299"/>
        </w:tabs>
        <w:spacing w:line="360" w:lineRule="auto"/>
        <w:ind w:left="960" w:leftChars="400"/>
        <w:jc w:val="both"/>
        <w:rPr>
          <w:rFonts w:ascii="宋体" w:eastAsia="宋体" w:hAnsi="宋体" w:cs="宋体" w:hint="eastAsia"/>
          <w:kern w:val="2"/>
          <w:lang w:eastAsia="zh-CN"/>
        </w:rPr>
      </w:pPr>
      <w:hyperlink w:anchor="_Toc27132" w:history="1">
        <w:r>
          <w:rPr>
            <w:rFonts w:ascii="宋体" w:eastAsia="宋体" w:hAnsi="宋体" w:cs="宋体" w:hint="eastAsia"/>
            <w:kern w:val="2"/>
            <w:lang w:eastAsia="zh-CN"/>
          </w:rPr>
          <w:t>（八）合同的授予</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_Toc27132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32</w:t>
        </w:r>
        <w:r>
          <w:rPr>
            <w:rFonts w:ascii="宋体" w:eastAsia="宋体" w:hAnsi="宋体" w:cs="宋体" w:hint="eastAsia"/>
            <w:kern w:val="2"/>
            <w:lang w:eastAsia="zh-CN"/>
          </w:rPr>
          <w:fldChar w:fldCharType="end"/>
        </w:r>
      </w:hyperlink>
    </w:p>
    <w:p w14:paraId="180B0E23">
      <w:pPr>
        <w:widowControl w:val="0"/>
        <w:tabs>
          <w:tab w:val="right" w:leader="dot" w:pos="9299"/>
        </w:tabs>
        <w:spacing w:line="360" w:lineRule="auto"/>
        <w:jc w:val="both"/>
        <w:rPr>
          <w:rFonts w:ascii="宋体" w:eastAsia="宋体" w:hAnsi="宋体" w:cs="宋体" w:hint="eastAsia"/>
          <w:kern w:val="2"/>
          <w:lang w:eastAsia="zh-CN"/>
        </w:rPr>
      </w:pPr>
      <w:hyperlink w:anchor="_Toc15018" w:history="1">
        <w:r>
          <w:rPr>
            <w:rFonts w:ascii="宋体" w:eastAsia="宋体" w:hAnsi="宋体" w:cs="宋体" w:hint="eastAsia"/>
            <w:kern w:val="2"/>
            <w:lang w:eastAsia="zh-CN"/>
          </w:rPr>
          <w:t>第三章  招标人对招标文件及合同范本的补充/修改</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_Toc15018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33</w:t>
        </w:r>
        <w:r>
          <w:rPr>
            <w:rFonts w:ascii="宋体" w:eastAsia="宋体" w:hAnsi="宋体" w:cs="宋体" w:hint="eastAsia"/>
            <w:kern w:val="2"/>
            <w:lang w:eastAsia="zh-CN"/>
          </w:rPr>
          <w:fldChar w:fldCharType="end"/>
        </w:r>
      </w:hyperlink>
    </w:p>
    <w:p w14:paraId="3D39E124">
      <w:pPr>
        <w:widowControl w:val="0"/>
        <w:tabs>
          <w:tab w:val="right" w:leader="dot" w:pos="9299"/>
        </w:tabs>
        <w:spacing w:line="360" w:lineRule="auto"/>
        <w:jc w:val="both"/>
        <w:rPr>
          <w:rFonts w:ascii="宋体" w:eastAsia="宋体" w:hAnsi="宋体" w:cs="宋体" w:hint="eastAsia"/>
          <w:kern w:val="2"/>
          <w:lang w:eastAsia="zh-CN"/>
        </w:rPr>
      </w:pPr>
      <w:hyperlink w:anchor="_Toc15902" w:history="1">
        <w:r>
          <w:rPr>
            <w:rFonts w:ascii="宋体" w:eastAsia="宋体" w:hAnsi="宋体" w:cs="宋体" w:hint="eastAsia"/>
            <w:snapToGrid w:val="0"/>
            <w:lang w:eastAsia="zh-CN"/>
          </w:rPr>
          <w:t>第四章  投标文件格式</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_Toc15902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38</w:t>
        </w:r>
        <w:r>
          <w:rPr>
            <w:rFonts w:ascii="宋体" w:eastAsia="宋体" w:hAnsi="宋体" w:cs="宋体" w:hint="eastAsia"/>
            <w:kern w:val="2"/>
            <w:lang w:eastAsia="zh-CN"/>
          </w:rPr>
          <w:fldChar w:fldCharType="end"/>
        </w:r>
      </w:hyperlink>
    </w:p>
    <w:p w14:paraId="220F71DE">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6581" w:history="1">
        <w:r>
          <w:rPr>
            <w:rFonts w:ascii="宋体" w:eastAsia="宋体" w:hAnsi="宋体" w:cs="宋体" w:hint="eastAsia"/>
            <w:snapToGrid w:val="0"/>
            <w:lang w:eastAsia="zh-CN"/>
          </w:rPr>
          <w:t>资格审查文件</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_Toc6581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38</w:t>
        </w:r>
        <w:r>
          <w:rPr>
            <w:rFonts w:ascii="宋体" w:eastAsia="宋体" w:hAnsi="宋体" w:cs="宋体" w:hint="eastAsia"/>
            <w:kern w:val="2"/>
            <w:lang w:eastAsia="zh-CN"/>
          </w:rPr>
          <w:fldChar w:fldCharType="end"/>
        </w:r>
      </w:hyperlink>
    </w:p>
    <w:p w14:paraId="7AB92F58">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16838" w:history="1">
        <w:r>
          <w:rPr>
            <w:rFonts w:ascii="宋体" w:eastAsia="宋体" w:hAnsi="宋体" w:cs="宋体" w:hint="eastAsia"/>
            <w:snapToGrid w:val="0"/>
            <w:lang w:eastAsia="zh-CN"/>
          </w:rPr>
          <w:t>技术标书</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_Toc16838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43</w:t>
        </w:r>
        <w:r>
          <w:rPr>
            <w:rFonts w:ascii="宋体" w:eastAsia="宋体" w:hAnsi="宋体" w:cs="宋体" w:hint="eastAsia"/>
            <w:kern w:val="2"/>
            <w:lang w:eastAsia="zh-CN"/>
          </w:rPr>
          <w:fldChar w:fldCharType="end"/>
        </w:r>
      </w:hyperlink>
    </w:p>
    <w:p w14:paraId="108E753D">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4866" w:history="1">
        <w:r>
          <w:rPr>
            <w:rFonts w:ascii="宋体" w:eastAsia="宋体" w:hAnsi="宋体" w:cs="宋体" w:hint="eastAsia"/>
            <w:snapToGrid w:val="0"/>
            <w:lang w:eastAsia="zh-CN"/>
          </w:rPr>
          <w:t>商务标书</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_Toc4866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45</w:t>
        </w:r>
        <w:r>
          <w:rPr>
            <w:rFonts w:ascii="宋体" w:eastAsia="宋体" w:hAnsi="宋体" w:cs="宋体" w:hint="eastAsia"/>
            <w:kern w:val="2"/>
            <w:lang w:eastAsia="zh-CN"/>
          </w:rPr>
          <w:fldChar w:fldCharType="end"/>
        </w:r>
      </w:hyperlink>
    </w:p>
    <w:p w14:paraId="749A5969">
      <w:pPr>
        <w:widowControl w:val="0"/>
        <w:tabs>
          <w:tab w:val="right" w:leader="dot" w:pos="9299"/>
        </w:tabs>
        <w:spacing w:line="360" w:lineRule="auto"/>
        <w:ind w:left="480" w:leftChars="200"/>
        <w:jc w:val="both"/>
        <w:rPr>
          <w:rFonts w:ascii="宋体" w:eastAsia="宋体" w:hAnsi="宋体" w:cs="宋体" w:hint="eastAsia"/>
          <w:kern w:val="2"/>
          <w:lang w:eastAsia="zh-CN"/>
        </w:rPr>
      </w:pPr>
      <w:hyperlink w:anchor="_Toc5427" w:history="1">
        <w:r>
          <w:rPr>
            <w:rFonts w:ascii="宋体" w:eastAsia="宋体" w:hAnsi="宋体" w:cs="宋体" w:hint="eastAsia"/>
            <w:kern w:val="2"/>
            <w:lang w:eastAsia="zh-CN"/>
          </w:rPr>
          <w:t>业绩文件</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_Toc5427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49</w:t>
        </w:r>
        <w:r>
          <w:rPr>
            <w:rFonts w:ascii="宋体" w:eastAsia="宋体" w:hAnsi="宋体" w:cs="宋体" w:hint="eastAsia"/>
            <w:kern w:val="2"/>
            <w:lang w:eastAsia="zh-CN"/>
          </w:rPr>
          <w:fldChar w:fldCharType="end"/>
        </w:r>
      </w:hyperlink>
    </w:p>
    <w:p w14:paraId="70DDBF45">
      <w:pPr>
        <w:widowControl w:val="0"/>
        <w:tabs>
          <w:tab w:val="right" w:leader="dot" w:pos="9299"/>
        </w:tabs>
        <w:spacing w:line="360" w:lineRule="auto"/>
        <w:jc w:val="both"/>
        <w:rPr>
          <w:rFonts w:ascii="宋体" w:eastAsia="宋体" w:hAnsi="宋体" w:cs="宋体" w:hint="eastAsia"/>
          <w:kern w:val="2"/>
          <w:lang w:eastAsia="zh-CN"/>
        </w:rPr>
      </w:pPr>
      <w:hyperlink w:anchor="_Toc30309" w:history="1">
        <w:r>
          <w:rPr>
            <w:rFonts w:ascii="宋体" w:eastAsia="宋体" w:hAnsi="宋体" w:cs="宋体" w:hint="eastAsia"/>
            <w:snapToGrid w:val="0"/>
            <w:lang w:eastAsia="zh-CN"/>
          </w:rPr>
          <w:t xml:space="preserve">第五章 </w:t>
        </w:r>
        <w:r>
          <w:rPr>
            <w:rFonts w:ascii="宋体" w:eastAsia="宋体" w:hAnsi="宋体" w:cs="宋体" w:hint="eastAsia"/>
            <w:kern w:val="2"/>
            <w:lang w:eastAsia="zh-CN"/>
          </w:rPr>
          <w:t>合同条款及格式</w:t>
        </w:r>
        <w:r>
          <w:rPr>
            <w:rFonts w:ascii="宋体" w:eastAsia="宋体" w:hAnsi="宋体" w:cs="宋体" w:hint="eastAsia"/>
            <w:kern w:val="2"/>
            <w:lang w:eastAsia="zh-CN"/>
          </w:rPr>
          <w:tab/>
        </w:r>
        <w:r>
          <w:rPr>
            <w:rFonts w:ascii="宋体" w:eastAsia="宋体" w:hAnsi="宋体" w:cs="宋体" w:hint="eastAsia"/>
            <w:kern w:val="2"/>
            <w:lang w:eastAsia="zh-CN"/>
          </w:rPr>
          <w:fldChar w:fldCharType="begin"/>
        </w:r>
        <w:r>
          <w:rPr>
            <w:rFonts w:ascii="宋体" w:eastAsia="宋体" w:hAnsi="宋体" w:cs="宋体" w:hint="eastAsia"/>
            <w:kern w:val="2"/>
            <w:lang w:eastAsia="zh-CN"/>
          </w:rPr>
          <w:instrText xml:space="preserve"> PAGEREF _Toc30309 </w:instrText>
        </w:r>
        <w:r>
          <w:rPr>
            <w:rFonts w:ascii="宋体" w:eastAsia="宋体" w:hAnsi="宋体" w:cs="宋体" w:hint="eastAsia"/>
            <w:kern w:val="2"/>
            <w:lang w:eastAsia="zh-CN"/>
          </w:rPr>
          <w:fldChar w:fldCharType="separate"/>
        </w:r>
        <w:r>
          <w:rPr>
            <w:rFonts w:ascii="宋体" w:eastAsia="宋体" w:hAnsi="宋体" w:cs="宋体" w:hint="eastAsia"/>
            <w:kern w:val="2"/>
            <w:lang w:eastAsia="zh-CN"/>
          </w:rPr>
          <w:t>51</w:t>
        </w:r>
        <w:r>
          <w:rPr>
            <w:rFonts w:ascii="宋体" w:eastAsia="宋体" w:hAnsi="宋体" w:cs="宋体" w:hint="eastAsia"/>
            <w:kern w:val="2"/>
            <w:lang w:eastAsia="zh-CN"/>
          </w:rPr>
          <w:fldChar w:fldCharType="end"/>
        </w:r>
      </w:hyperlink>
    </w:p>
    <w:p w14:paraId="052F348D">
      <w:pPr>
        <w:widowControl w:val="0"/>
        <w:tabs>
          <w:tab w:val="right" w:leader="dot" w:pos="9299"/>
        </w:tabs>
        <w:spacing w:line="360" w:lineRule="auto"/>
        <w:jc w:val="both"/>
        <w:rPr>
          <w:rFonts w:ascii="宋体" w:eastAsia="宋体" w:hAnsi="宋体" w:cs="宋体" w:hint="eastAsia"/>
          <w:kern w:val="2"/>
          <w:lang w:eastAsia="zh-CN"/>
        </w:rPr>
      </w:pPr>
    </w:p>
    <w:p w14:paraId="660B4D56">
      <w:pPr>
        <w:widowControl w:val="0"/>
        <w:jc w:val="both"/>
        <w:rPr>
          <w:rFonts w:ascii="宋体" w:eastAsia="宋体" w:hAnsi="宋体" w:cs="宋体" w:hint="eastAsia"/>
          <w:kern w:val="2"/>
          <w:sz w:val="21"/>
          <w:szCs w:val="22"/>
          <w:lang w:eastAsia="zh-CN"/>
        </w:rPr>
      </w:pPr>
      <w:r>
        <w:rPr>
          <w:rFonts w:ascii="宋体" w:eastAsia="宋体" w:hAnsi="宋体" w:cs="宋体" w:hint="eastAsia"/>
          <w:kern w:val="2"/>
          <w:sz w:val="21"/>
          <w:szCs w:val="22"/>
          <w:lang w:eastAsia="zh-CN"/>
        </w:rPr>
        <w:fldChar w:fldCharType="end"/>
      </w:r>
    </w:p>
    <w:p w14:paraId="2D0C7213">
      <w:pPr>
        <w:widowControl w:val="0"/>
        <w:jc w:val="center"/>
        <w:outlineLvl w:val="0"/>
        <w:rPr>
          <w:rFonts w:ascii="宋体" w:eastAsia="宋体" w:hAnsi="宋体" w:cs="宋体" w:hint="eastAsia"/>
          <w:bCs/>
          <w:sz w:val="32"/>
          <w:szCs w:val="32"/>
          <w:lang w:eastAsia="zh-CN"/>
        </w:rPr>
        <w:sectPr>
          <w:footerReference w:type="default" r:id="rId6"/>
          <w:pgSz w:w="11907" w:h="16839"/>
          <w:pgMar w:top="1361" w:right="1304" w:bottom="1304" w:left="1304" w:header="1247" w:footer="737" w:gutter="0"/>
          <w:pgNumType w:fmt="decimal"/>
          <w:cols w:num="1" w:space="720"/>
          <w:docGrid w:linePitch="380" w:charSpace="-4301"/>
        </w:sectPr>
      </w:pPr>
      <w:bookmarkStart w:id="10" w:name="_GoBack"/>
      <w:bookmarkEnd w:id="10"/>
      <w:bookmarkStart w:id="11" w:name="_Toc3117"/>
    </w:p>
    <w:p w14:paraId="39F594CD">
      <w:pPr>
        <w:widowControl w:val="0"/>
        <w:jc w:val="center"/>
        <w:outlineLvl w:val="0"/>
        <w:rPr>
          <w:rFonts w:ascii="宋体" w:eastAsia="宋体" w:hAnsi="宋体" w:cs="宋体" w:hint="eastAsia"/>
          <w:bCs/>
          <w:sz w:val="32"/>
          <w:szCs w:val="32"/>
          <w:lang w:eastAsia="zh-CN"/>
        </w:rPr>
      </w:pPr>
      <w:r>
        <w:rPr>
          <w:rFonts w:ascii="宋体" w:eastAsia="宋体" w:hAnsi="宋体" w:cs="宋体" w:hint="eastAsia"/>
          <w:bCs/>
          <w:sz w:val="32"/>
          <w:szCs w:val="32"/>
          <w:lang w:eastAsia="zh-CN"/>
        </w:rPr>
        <w:t>第一章  使用说明</w:t>
      </w:r>
      <w:bookmarkEnd w:id="0"/>
      <w:bookmarkEnd w:id="1"/>
      <w:bookmarkEnd w:id="2"/>
      <w:bookmarkEnd w:id="3"/>
      <w:bookmarkEnd w:id="4"/>
      <w:bookmarkEnd w:id="5"/>
      <w:bookmarkEnd w:id="6"/>
      <w:bookmarkEnd w:id="7"/>
      <w:bookmarkEnd w:id="8"/>
      <w:bookmarkEnd w:id="9"/>
      <w:bookmarkEnd w:id="11"/>
    </w:p>
    <w:p w14:paraId="0153AD77">
      <w:pPr>
        <w:widowControl w:val="0"/>
        <w:spacing w:line="360" w:lineRule="auto"/>
        <w:ind w:firstLine="420" w:firstLineChars="200"/>
        <w:jc w:val="left"/>
        <w:rPr>
          <w:rFonts w:ascii="宋体" w:eastAsia="宋体" w:hAnsi="宋体" w:cs="宋体" w:hint="eastAsia"/>
          <w:kern w:val="2"/>
          <w:sz w:val="21"/>
          <w:szCs w:val="21"/>
          <w:lang w:eastAsia="zh-CN"/>
        </w:rPr>
      </w:pPr>
    </w:p>
    <w:p w14:paraId="4878DD37">
      <w:pPr>
        <w:widowControl w:val="0"/>
        <w:numPr>
          <w:ilvl w:val="0"/>
          <w:numId w:val="1"/>
        </w:numPr>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为了规范工程建设项目其他类招标投标活动，</w:t>
      </w:r>
      <w:r>
        <w:rPr>
          <w:rFonts w:ascii="宋体" w:eastAsia="宋体" w:hAnsi="宋体" w:cs="宋体" w:hint="eastAsia"/>
          <w:sz w:val="21"/>
          <w:szCs w:val="21"/>
          <w:lang w:eastAsia="zh-CN"/>
        </w:rPr>
        <w:t>保障招标人和投标人的合法权益，根据国家及深圳市有关法律、法规、规章和规范性文件的规定，结合我市实际，遵循公开、公平、公正和诚实信用的原则，深圳市住房和建设局制定了</w:t>
      </w:r>
      <w:r>
        <w:rPr>
          <w:rFonts w:ascii="宋体" w:eastAsia="宋体" w:hAnsi="宋体" w:cs="宋体" w:hint="eastAsia"/>
          <w:kern w:val="2"/>
          <w:sz w:val="21"/>
          <w:szCs w:val="21"/>
          <w:lang w:eastAsia="zh-CN"/>
        </w:rPr>
        <w:t>《深圳市建设工程其他类招标文件示范文本》</w:t>
      </w:r>
      <w:r>
        <w:rPr>
          <w:rFonts w:ascii="宋体" w:eastAsia="宋体" w:hAnsi="宋体" w:cs="宋体" w:hint="eastAsia"/>
          <w:sz w:val="21"/>
          <w:szCs w:val="21"/>
          <w:lang w:eastAsia="zh-CN"/>
        </w:rPr>
        <w:t xml:space="preserve">（以下简称“本范本”）。            </w:t>
      </w:r>
      <w:r>
        <w:rPr>
          <w:rFonts w:ascii="宋体" w:eastAsia="宋体" w:hAnsi="宋体" w:cs="宋体" w:hint="eastAsia"/>
          <w:kern w:val="2"/>
          <w:sz w:val="21"/>
          <w:szCs w:val="21"/>
          <w:lang w:eastAsia="zh-CN"/>
        </w:rPr>
        <w:t xml:space="preserve"> </w:t>
      </w:r>
    </w:p>
    <w:p w14:paraId="109CC1A9">
      <w:pPr>
        <w:widowControl w:val="0"/>
        <w:numPr>
          <w:ilvl w:val="0"/>
          <w:numId w:val="1"/>
        </w:numPr>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本招标文件适用于采用电子招投标及计算机评标的深圳市工程其他类招标。</w:t>
      </w:r>
    </w:p>
    <w:p w14:paraId="3225CB5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三、本示范文本的主要编写依据：</w:t>
      </w:r>
    </w:p>
    <w:p w14:paraId="202A4B8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1．《中华人民共和国建筑法》；</w:t>
      </w:r>
    </w:p>
    <w:p w14:paraId="7EA8C181">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2．《中华人民共和国招标投标法》；</w:t>
      </w:r>
    </w:p>
    <w:p w14:paraId="712B8DCB">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3．《中华人民共和国民法典》；</w:t>
      </w:r>
    </w:p>
    <w:p w14:paraId="22BF8F4B">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4.《电子招标投标办法》；</w:t>
      </w:r>
    </w:p>
    <w:p w14:paraId="21E00F98">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5．《深圳经济特区建设工程施工招标投标条例》；</w:t>
      </w:r>
    </w:p>
    <w:p w14:paraId="594590FB">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6．《工程建设项目施工招标投标办法》；</w:t>
      </w:r>
    </w:p>
    <w:p w14:paraId="4D74A855">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7．《工程建设项目货物招标投标办法》（国家建设等7部委第27号令）；</w:t>
      </w:r>
    </w:p>
    <w:p w14:paraId="3BEC34E8">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8. 《关于创新完善体制机制推动招标投标市场规范健康发展的意见》(国办发〔2024〕21号）；</w:t>
      </w:r>
    </w:p>
    <w:p w14:paraId="48E7F6A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9.《招标人主体责任履行指引》（发改法规〔2025〕1358号）</w:t>
      </w:r>
    </w:p>
    <w:p w14:paraId="1D82B221">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10</w:t>
      </w:r>
      <w:r>
        <w:rPr>
          <w:rFonts w:ascii="宋体" w:eastAsia="宋体" w:hAnsi="宋体" w:cs="宋体" w:hint="eastAsia"/>
          <w:kern w:val="2"/>
          <w:sz w:val="21"/>
          <w:szCs w:val="21"/>
          <w:lang w:eastAsia="zh-CN"/>
        </w:rPr>
        <w:t>．《关于建设工程招标投标改革若干规定》（深府〔2015〕73号）；</w:t>
      </w:r>
    </w:p>
    <w:p w14:paraId="55E947F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《关于进一步规范建设工程招标投标活动的通知》</w:t>
      </w:r>
      <w:r>
        <w:rPr>
          <w:rFonts w:ascii="宋体" w:eastAsia="宋体" w:hAnsi="宋体" w:cs="宋体" w:hint="eastAsia"/>
          <w:kern w:val="2"/>
          <w:sz w:val="21"/>
          <w:szCs w:val="21"/>
          <w:lang w:eastAsia="zh-CN"/>
        </w:rPr>
        <w:t>(深府</w:t>
      </w:r>
      <w:r>
        <w:rPr>
          <w:rFonts w:ascii="宋体" w:eastAsia="宋体" w:hAnsi="宋体" w:cs="宋体" w:hint="eastAsia"/>
          <w:kern w:val="2"/>
          <w:sz w:val="21"/>
          <w:szCs w:val="21"/>
          <w:lang w:eastAsia="zh-CN"/>
        </w:rPr>
        <w:t>规</w:t>
      </w:r>
      <w:r>
        <w:rPr>
          <w:rFonts w:ascii="宋体" w:eastAsia="宋体" w:hAnsi="宋体" w:cs="宋体" w:hint="eastAsia"/>
          <w:kern w:val="2"/>
          <w:sz w:val="21"/>
          <w:szCs w:val="21"/>
          <w:lang w:eastAsia="zh-CN"/>
        </w:rPr>
        <w:t>〔20</w:t>
      </w:r>
      <w:r>
        <w:rPr>
          <w:rFonts w:ascii="宋体" w:eastAsia="宋体" w:hAnsi="宋体" w:cs="宋体" w:hint="eastAsia"/>
          <w:kern w:val="2"/>
          <w:sz w:val="21"/>
          <w:szCs w:val="21"/>
          <w:lang w:eastAsia="zh-CN"/>
        </w:rPr>
        <w:t>24</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8</w:t>
      </w:r>
      <w:r>
        <w:rPr>
          <w:rFonts w:ascii="宋体" w:eastAsia="宋体" w:hAnsi="宋体" w:cs="宋体" w:hint="eastAsia"/>
          <w:kern w:val="2"/>
          <w:sz w:val="21"/>
          <w:szCs w:val="21"/>
          <w:lang w:eastAsia="zh-CN"/>
        </w:rPr>
        <w:t>号)</w:t>
      </w:r>
      <w:r>
        <w:rPr>
          <w:rFonts w:ascii="宋体" w:eastAsia="宋体" w:hAnsi="宋体" w:cs="宋体" w:hint="eastAsia"/>
          <w:kern w:val="2"/>
          <w:sz w:val="21"/>
          <w:szCs w:val="21"/>
          <w:lang w:eastAsia="zh-CN"/>
        </w:rPr>
        <w:t>；</w:t>
      </w:r>
    </w:p>
    <w:p w14:paraId="50A6707A">
      <w:pPr>
        <w:widowControl w:val="0"/>
        <w:adjustRightInd/>
        <w:snapToGrid/>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12</w:t>
      </w:r>
      <w:r>
        <w:rPr>
          <w:rFonts w:ascii="宋体" w:eastAsia="宋体" w:hAnsi="宋体" w:cs="宋体" w:hint="eastAsia"/>
          <w:kern w:val="2"/>
          <w:sz w:val="21"/>
          <w:szCs w:val="21"/>
          <w:lang w:eastAsia="zh-CN"/>
        </w:rPr>
        <w:t>、其他有关工程建设的法律、法规、规章</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规范性文件</w:t>
      </w:r>
      <w:r>
        <w:rPr>
          <w:rFonts w:ascii="宋体" w:eastAsia="宋体" w:hAnsi="宋体" w:cs="宋体" w:hint="eastAsia"/>
          <w:kern w:val="2"/>
          <w:sz w:val="21"/>
          <w:szCs w:val="21"/>
          <w:lang w:eastAsia="zh-CN"/>
        </w:rPr>
        <w:t>和政策文件</w:t>
      </w:r>
      <w:r>
        <w:rPr>
          <w:rFonts w:ascii="宋体" w:eastAsia="宋体" w:hAnsi="宋体" w:cs="宋体" w:hint="eastAsia"/>
          <w:kern w:val="2"/>
          <w:sz w:val="21"/>
          <w:szCs w:val="21"/>
          <w:lang w:eastAsia="zh-CN"/>
        </w:rPr>
        <w:t>。</w:t>
      </w:r>
    </w:p>
    <w:p w14:paraId="508BF34C">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四、本工程招标投标活动在</w:t>
      </w:r>
      <w:r>
        <w:rPr>
          <w:rFonts w:ascii="宋体" w:eastAsia="宋体" w:hAnsi="宋体" w:cs="宋体" w:hint="eastAsia"/>
          <w:kern w:val="2"/>
          <w:sz w:val="21"/>
          <w:szCs w:val="21"/>
          <w:lang w:eastAsia="zh-CN"/>
        </w:rPr>
        <w:t>深圳交易集团有限公司（深圳公共资源交易中心）</w:t>
      </w:r>
      <w:r>
        <w:rPr>
          <w:rFonts w:ascii="宋体" w:eastAsia="宋体" w:hAnsi="宋体" w:cs="宋体" w:hint="eastAsia"/>
          <w:kern w:val="2"/>
          <w:sz w:val="21"/>
          <w:szCs w:val="21"/>
          <w:lang w:eastAsia="zh-CN"/>
        </w:rPr>
        <w:t>进行。</w:t>
      </w:r>
    </w:p>
    <w:p w14:paraId="7A5D2426">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五、该招标文件所指交易网为：深圳公共资源交易网（http://www.szggzy.com/）</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本招标文件所指交易平台的网址详见投标须知前附表。</w:t>
      </w:r>
    </w:p>
    <w:p w14:paraId="2745E44A">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六、招标人和投标人应事先办理企业数字证书或电子营业执照以及相关人员的数字证书（商务标书由非投标单位的造价工程师编制的，该造价工程师也应办理数字证书）。有关手续请查看交易网中的“</w:t>
      </w:r>
      <w:r>
        <w:rPr>
          <w:rFonts w:ascii="宋体" w:eastAsia="宋体" w:hAnsi="宋体" w:cs="宋体" w:hint="eastAsia"/>
          <w:kern w:val="2"/>
          <w:sz w:val="21"/>
          <w:szCs w:val="21"/>
          <w:lang w:eastAsia="zh-CN"/>
        </w:rPr>
        <w:t>建设工程</w:t>
      </w:r>
      <w:r>
        <w:rPr>
          <w:rFonts w:ascii="宋体" w:eastAsia="宋体" w:hAnsi="宋体" w:cs="宋体" w:hint="eastAsia"/>
          <w:kern w:val="2"/>
          <w:sz w:val="21"/>
          <w:szCs w:val="21"/>
          <w:lang w:eastAsia="zh-CN"/>
        </w:rPr>
        <w:t>数字证书办事指南”。使用电子营业执照的，须提前在国家市场监督管理总局“电子营业执照”微信小程序电子营业执照应用程序中下载本企业电子营业执照，</w:t>
      </w:r>
      <w:r>
        <w:rPr>
          <w:rFonts w:ascii="宋体" w:eastAsia="宋体" w:hAnsi="宋体" w:cs="宋体" w:hint="eastAsia"/>
          <w:kern w:val="2"/>
          <w:sz w:val="21"/>
          <w:szCs w:val="21"/>
          <w:lang w:eastAsia="zh-CN"/>
        </w:rPr>
        <w:t>有关手续请查看交易网“电子营业执照用户使用手册”。</w:t>
      </w:r>
    </w:p>
    <w:p w14:paraId="276E2A0E">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七、电子招标文件通过</w:t>
      </w:r>
      <w:r>
        <w:rPr>
          <w:rFonts w:ascii="宋体" w:eastAsia="宋体" w:hAnsi="宋体" w:cs="宋体" w:hint="eastAsia"/>
          <w:kern w:val="2"/>
          <w:sz w:val="21"/>
          <w:szCs w:val="21"/>
          <w:lang w:eastAsia="zh-CN"/>
        </w:rPr>
        <w:t>交易平台在线编制</w:t>
      </w:r>
      <w:r>
        <w:rPr>
          <w:rFonts w:ascii="宋体" w:eastAsia="宋体" w:hAnsi="宋体" w:cs="宋体" w:hint="eastAsia"/>
          <w:kern w:val="2"/>
          <w:sz w:val="21"/>
          <w:szCs w:val="21"/>
          <w:lang w:eastAsia="zh-CN"/>
        </w:rPr>
        <w:t>，电子投标文件编制工具在交易网的服务</w:t>
      </w:r>
      <w:r>
        <w:rPr>
          <w:rFonts w:ascii="宋体" w:eastAsia="宋体" w:hAnsi="宋体" w:cs="宋体" w:hint="eastAsia"/>
          <w:kern w:val="2"/>
          <w:sz w:val="21"/>
          <w:szCs w:val="21"/>
          <w:lang w:eastAsia="zh-CN"/>
        </w:rPr>
        <w:t>指南</w:t>
      </w:r>
      <w:r>
        <w:rPr>
          <w:rFonts w:ascii="宋体" w:eastAsia="宋体" w:hAnsi="宋体" w:cs="宋体" w:hint="eastAsia"/>
          <w:kern w:val="2"/>
          <w:sz w:val="21"/>
          <w:szCs w:val="21"/>
          <w:lang w:eastAsia="zh-CN"/>
        </w:rPr>
        <w:t>-建设工程-资料下载-工具下载（</w:t>
      </w:r>
      <w:r>
        <w:rPr>
          <w:rFonts w:ascii="宋体" w:eastAsia="宋体" w:hAnsi="宋体" w:cs="宋体" w:hint="eastAsia"/>
          <w:kern w:val="2"/>
          <w:sz w:val="21"/>
          <w:szCs w:val="21"/>
          <w:lang w:eastAsia="zh-CN"/>
        </w:rPr>
        <w:t>投标编制文件</w:t>
      </w:r>
      <w:r>
        <w:rPr>
          <w:rFonts w:ascii="宋体" w:eastAsia="宋体" w:hAnsi="宋体" w:cs="宋体" w:hint="eastAsia"/>
          <w:kern w:val="2"/>
          <w:sz w:val="21"/>
          <w:szCs w:val="21"/>
          <w:lang w:eastAsia="zh-CN"/>
        </w:rPr>
        <w:t>）页面获取。</w:t>
      </w:r>
    </w:p>
    <w:p w14:paraId="06B1DED9">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本项目的招标公告在深圳公共资源交易网(https://www.szggzy.com/)、广东省公共资源交易平台（https://ygp.gdzwfw.gov.cn/#/44/index）、广东省招标投标监管网(网址:http://zbtb.gd. gov.sn/)和中国招标投标公共服务平台(网址:http://www.cebpubservice.com/)发布。</w:t>
      </w:r>
    </w:p>
    <w:p w14:paraId="3EECF5AB">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八、有关招标问题的说明</w:t>
      </w:r>
    </w:p>
    <w:p w14:paraId="158F3E53">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招标文件中的所有空格招标人必须按实填写，无内容者或不采用者应填写“无”。对本招标文件示范文本进行补充、删除或修改的内容，应统一写入本招标文件的第三章。同时，应明确注明是对招标文件示范文本具体章节条款进行补充或修改。第三章内容与其他部分有冲突时，以第三章内容为准，但与相关法律、法规、政策相冲突的除外。</w:t>
      </w:r>
    </w:p>
    <w:p w14:paraId="45AE0A05">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2．招标文件的建设规模应描述整个建设项目的规模情况和使用功能。</w:t>
      </w:r>
    </w:p>
    <w:p w14:paraId="4DDDE400">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3．招标文件的招标范围，应详细说明本次招标工程的具体项目、结构类型等定量规模和项目特征。</w:t>
      </w:r>
    </w:p>
    <w:p w14:paraId="4A013F9C">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4．采用本示范文本以外的评标方法应经建设</w:t>
      </w:r>
      <w:r>
        <w:rPr>
          <w:rFonts w:ascii="宋体" w:eastAsia="宋体" w:hAnsi="宋体" w:cs="宋体" w:hint="eastAsia"/>
          <w:sz w:val="21"/>
          <w:szCs w:val="21"/>
          <w:lang w:eastAsia="zh-CN"/>
        </w:rPr>
        <w:t>、交通</w:t>
      </w:r>
      <w:r>
        <w:rPr>
          <w:rFonts w:ascii="宋体" w:eastAsia="宋体" w:hAnsi="宋体" w:cs="宋体" w:hint="eastAsia"/>
          <w:kern w:val="2"/>
          <w:sz w:val="21"/>
          <w:szCs w:val="21"/>
          <w:lang w:eastAsia="zh-CN"/>
        </w:rPr>
        <w:t>行政主管部门批准，并且必须在招标文件的评标方法中进行详细描述。</w:t>
      </w:r>
    </w:p>
    <w:p w14:paraId="7C280E82">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5.采用本示范文本以外的定标方法应经建设</w:t>
      </w:r>
      <w:r>
        <w:rPr>
          <w:rFonts w:ascii="宋体" w:eastAsia="宋体" w:hAnsi="宋体" w:cs="宋体" w:hint="eastAsia"/>
          <w:sz w:val="21"/>
          <w:szCs w:val="21"/>
          <w:lang w:eastAsia="zh-CN"/>
        </w:rPr>
        <w:t>、交通</w:t>
      </w:r>
      <w:r>
        <w:rPr>
          <w:rFonts w:ascii="宋体" w:eastAsia="宋体" w:hAnsi="宋体" w:cs="宋体" w:hint="eastAsia"/>
          <w:kern w:val="2"/>
          <w:sz w:val="21"/>
          <w:szCs w:val="21"/>
          <w:lang w:eastAsia="zh-CN"/>
        </w:rPr>
        <w:t>行政主管部门批准，并且必须在招标文件中进行详细描述。</w:t>
      </w:r>
    </w:p>
    <w:p w14:paraId="5E62320B">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6.招标人注意事项：</w:t>
      </w:r>
    </w:p>
    <w:p w14:paraId="7A8E8EF6">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6.1招标人提交的电子招标文件格式为</w:t>
      </w:r>
      <w:r>
        <w:rPr>
          <w:rFonts w:ascii="宋体" w:eastAsia="宋体" w:hAnsi="宋体" w:cs="宋体" w:hint="eastAsia"/>
          <w:snapToGrid w:val="0"/>
          <w:sz w:val="21"/>
          <w:szCs w:val="21"/>
          <w:lang w:eastAsia="zh-CN"/>
        </w:rPr>
        <w:t>*.</w:t>
      </w:r>
      <w:r>
        <w:rPr>
          <w:rFonts w:ascii="宋体" w:eastAsia="宋体" w:hAnsi="宋体" w:cs="宋体" w:hint="eastAsia"/>
          <w:kern w:val="2"/>
          <w:sz w:val="21"/>
          <w:szCs w:val="22"/>
          <w:lang w:eastAsia="zh-CN"/>
        </w:rPr>
        <w:t>QTZB</w:t>
      </w:r>
      <w:r>
        <w:rPr>
          <w:rFonts w:ascii="宋体" w:eastAsia="宋体" w:hAnsi="宋体" w:cs="宋体" w:hint="eastAsia"/>
          <w:snapToGrid w:val="0"/>
          <w:sz w:val="21"/>
          <w:szCs w:val="21"/>
          <w:lang w:eastAsia="zh-CN"/>
        </w:rPr>
        <w:t>或*.</w:t>
      </w:r>
      <w:r>
        <w:rPr>
          <w:rFonts w:ascii="宋体" w:eastAsia="宋体" w:hAnsi="宋体" w:cs="宋体" w:hint="eastAsia"/>
          <w:kern w:val="2"/>
          <w:sz w:val="21"/>
          <w:szCs w:val="22"/>
          <w:lang w:eastAsia="zh-CN"/>
        </w:rPr>
        <w:t>TYZB</w:t>
      </w:r>
      <w:r>
        <w:rPr>
          <w:rFonts w:ascii="宋体" w:eastAsia="宋体" w:hAnsi="宋体" w:cs="宋体" w:hint="eastAsia"/>
          <w:kern w:val="2"/>
          <w:sz w:val="21"/>
          <w:szCs w:val="21"/>
          <w:lang w:eastAsia="zh-CN"/>
        </w:rPr>
        <w:t>，且必须是</w:t>
      </w:r>
      <w:r>
        <w:rPr>
          <w:rFonts w:ascii="宋体" w:eastAsia="宋体" w:hAnsi="宋体" w:cs="宋体" w:hint="eastAsia"/>
          <w:kern w:val="2"/>
          <w:sz w:val="21"/>
          <w:szCs w:val="21"/>
          <w:lang w:eastAsia="zh-CN"/>
        </w:rPr>
        <w:t>交易平台编制</w:t>
      </w:r>
      <w:r>
        <w:rPr>
          <w:rFonts w:ascii="宋体" w:eastAsia="宋体" w:hAnsi="宋体" w:cs="宋体" w:hint="eastAsia"/>
          <w:kern w:val="2"/>
          <w:sz w:val="21"/>
          <w:szCs w:val="21"/>
          <w:lang w:eastAsia="zh-CN"/>
        </w:rPr>
        <w:t>生成的。</w:t>
      </w:r>
    </w:p>
    <w:p w14:paraId="1A1303F8">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6.2电子招标文件备案时，需通过交易平台上传提交电子招标文件。</w:t>
      </w:r>
    </w:p>
    <w:p w14:paraId="2D09F067">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 xml:space="preserve">6.3 </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公布在交易网</w:t>
      </w:r>
      <w:r>
        <w:rPr>
          <w:rFonts w:ascii="宋体" w:eastAsia="宋体" w:hAnsi="宋体" w:cs="宋体" w:hint="eastAsia"/>
          <w:kern w:val="2"/>
          <w:sz w:val="21"/>
          <w:szCs w:val="21"/>
          <w:lang w:eastAsia="zh-CN"/>
        </w:rPr>
        <w:t>的</w:t>
      </w:r>
      <w:r>
        <w:rPr>
          <w:rFonts w:ascii="宋体" w:eastAsia="宋体" w:hAnsi="宋体" w:cs="宋体" w:hint="eastAsia"/>
          <w:kern w:val="2"/>
          <w:sz w:val="21"/>
          <w:szCs w:val="21"/>
          <w:lang w:eastAsia="zh-CN"/>
        </w:rPr>
        <w:t>交易公告—建设工程—</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公示模块，“附件信息”所挂文件均为参考文件，如果“附件信息”所挂文件中有关数据与“</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公示”模块公示数据不一致的，以“</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公示”模块公示数据为准。如招标人需更改“</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公示”模块公示数据，则按照重新公示方式进行办理，并确保公示时间符合要求。</w:t>
      </w:r>
    </w:p>
    <w:p w14:paraId="43B5A1A1">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sz w:val="21"/>
          <w:szCs w:val="21"/>
          <w:lang w:eastAsia="zh-CN" w:bidi="ar"/>
        </w:rPr>
        <w:t>附件信息”所挂文件可以是JPG、Word、Excel等格式，由招标人自行选择。</w:t>
      </w:r>
    </w:p>
    <w:p w14:paraId="0EFD8F94">
      <w:pPr>
        <w:widowControl w:val="0"/>
        <w:numPr>
          <w:ilvl w:val="0"/>
          <w:numId w:val="2"/>
        </w:numPr>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有关投标问题的说明</w:t>
      </w:r>
    </w:p>
    <w:p w14:paraId="22840669">
      <w:pPr>
        <w:widowControl w:val="0"/>
        <w:wordWrap w:val="0"/>
        <w:adjustRightInd w:val="0"/>
        <w:snapToGrid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kern w:val="2"/>
          <w:sz w:val="21"/>
          <w:szCs w:val="21"/>
          <w:lang w:eastAsia="zh-CN"/>
        </w:rPr>
        <w:t>1.参加投标的单位（包含联合体投标的各成员）</w:t>
      </w:r>
      <w:r>
        <w:rPr>
          <w:rFonts w:ascii="宋体" w:eastAsia="宋体" w:hAnsi="宋体" w:cs="宋体" w:hint="eastAsia"/>
          <w:sz w:val="21"/>
          <w:szCs w:val="21"/>
          <w:lang w:eastAsia="zh-CN"/>
        </w:rPr>
        <w:t>须办理企业信息登记。勘察、设计、施工、监理、造价、检测等企业须在深圳市住房和建设局“企业与人员信息诚信申报平台”办理信息登记，</w:t>
      </w:r>
      <w:r>
        <w:rPr>
          <w:rFonts w:ascii="宋体" w:eastAsia="宋体" w:hAnsi="宋体" w:cs="宋体" w:hint="eastAsia"/>
          <w:kern w:val="2"/>
          <w:sz w:val="21"/>
          <w:szCs w:val="21"/>
          <w:lang w:eastAsia="zh-CN"/>
        </w:rPr>
        <w:t>其他企业在深圳交易集团有限公司（深圳公共资源交易中心）-统一用户中心办理企业信息登记（https://trade.szggzy.com/ggzy/center/#/login）。</w:t>
      </w:r>
    </w:p>
    <w:p w14:paraId="38EFA964">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2.投标人获取招标文件后，应仔细阅读招标文件及附件的全部内容，附件与招标文件具有同等效力。</w:t>
      </w:r>
    </w:p>
    <w:p w14:paraId="0F47EF6C">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3.投标人应在投标截止时间前，登录交易网免费查阅或下载招标文件、答疑及招标文件补充通知。</w:t>
      </w:r>
    </w:p>
    <w:p w14:paraId="104687DC">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4.投标人对招标文件有不同意见或不明之处，应在交易平台向招标人提出。</w:t>
      </w:r>
    </w:p>
    <w:p w14:paraId="28215BE8">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5.投标人应在遵循招标文件的各项规定和要求的前提下，编制投标文件。投标文件必须满足招标文件中的实质性要求和条件。投标文件若出现否决性条款的情形其投标将会被否决。</w:t>
      </w:r>
    </w:p>
    <w:p w14:paraId="7F09D85E">
      <w:pPr>
        <w:widowControl w:val="0"/>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6.投标人应严格按招标文件要求，在截标前使用投标人（或联合体主体）企业机构数字证书或电子营业执照，通过交易平台递交电子投标文件，上传成功后打印回执；为避免因网络堵塞、延迟、操作失误或其他不可抗力等因素影响投标文件传输，建议应预留充足时间上传投标文件。</w:t>
      </w:r>
      <w:r>
        <w:rPr>
          <w:rFonts w:ascii="宋体" w:eastAsia="宋体" w:hAnsi="宋体" w:cs="宋体" w:hint="eastAsia"/>
          <w:sz w:val="21"/>
          <w:szCs w:val="21"/>
          <w:lang w:eastAsia="zh-CN"/>
        </w:rPr>
        <w:t>投标人在递交投标文件时登记的投标员应为本单位在职人员</w:t>
      </w:r>
      <w:r>
        <w:rPr>
          <w:rFonts w:ascii="宋体" w:eastAsia="宋体" w:hAnsi="宋体" w:cs="宋体" w:hint="eastAsia"/>
          <w:sz w:val="21"/>
          <w:szCs w:val="21"/>
          <w:lang w:eastAsia="zh-CN"/>
        </w:rPr>
        <w:t>（</w:t>
      </w:r>
      <w:r>
        <w:rPr>
          <w:rFonts w:ascii="宋体" w:eastAsia="宋体" w:hAnsi="宋体" w:cs="宋体" w:hint="eastAsia"/>
          <w:sz w:val="21"/>
          <w:szCs w:val="21"/>
          <w:lang w:eastAsia="zh-CN"/>
        </w:rPr>
        <w:t>在该</w:t>
      </w:r>
      <w:r>
        <w:rPr>
          <w:rFonts w:ascii="宋体" w:eastAsia="宋体" w:hAnsi="宋体" w:cs="宋体" w:hint="eastAsia"/>
          <w:sz w:val="21"/>
          <w:szCs w:val="21"/>
          <w:lang w:eastAsia="zh-CN"/>
        </w:rPr>
        <w:t>单位工作且签订劳动合同,并</w:t>
      </w:r>
      <w:r>
        <w:rPr>
          <w:rFonts w:ascii="宋体" w:eastAsia="宋体" w:hAnsi="宋体" w:cs="宋体" w:hint="eastAsia"/>
          <w:sz w:val="21"/>
          <w:szCs w:val="21"/>
          <w:lang w:eastAsia="zh-CN"/>
        </w:rPr>
        <w:t>由该</w:t>
      </w:r>
      <w:r>
        <w:rPr>
          <w:rFonts w:ascii="宋体" w:eastAsia="宋体" w:hAnsi="宋体" w:cs="宋体" w:hint="eastAsia"/>
          <w:sz w:val="21"/>
          <w:szCs w:val="21"/>
          <w:lang w:eastAsia="zh-CN"/>
        </w:rPr>
        <w:t>单位</w:t>
      </w:r>
      <w:r>
        <w:rPr>
          <w:rFonts w:ascii="宋体" w:eastAsia="宋体" w:hAnsi="宋体" w:cs="宋体" w:hint="eastAsia"/>
          <w:sz w:val="21"/>
          <w:szCs w:val="21"/>
          <w:lang w:eastAsia="zh-CN"/>
        </w:rPr>
        <w:t>购买</w:t>
      </w:r>
      <w:r>
        <w:rPr>
          <w:rFonts w:ascii="宋体" w:eastAsia="宋体" w:hAnsi="宋体" w:cs="宋体" w:hint="eastAsia"/>
          <w:sz w:val="21"/>
          <w:szCs w:val="21"/>
          <w:lang w:eastAsia="zh-CN"/>
        </w:rPr>
        <w:t>社会保险</w:t>
      </w:r>
      <w:r>
        <w:rPr>
          <w:rFonts w:ascii="宋体" w:eastAsia="宋体" w:hAnsi="宋体" w:cs="宋体" w:hint="eastAsia"/>
          <w:sz w:val="21"/>
          <w:szCs w:val="21"/>
          <w:lang w:eastAsia="zh-CN"/>
        </w:rPr>
        <w:t>的人员</w:t>
      </w:r>
      <w:r>
        <w:rPr>
          <w:rFonts w:ascii="宋体" w:eastAsia="宋体" w:hAnsi="宋体" w:cs="宋体" w:hint="eastAsia"/>
          <w:sz w:val="21"/>
          <w:szCs w:val="21"/>
          <w:lang w:eastAsia="zh-CN"/>
        </w:rPr>
        <w:t>）</w:t>
      </w:r>
      <w:r>
        <w:rPr>
          <w:rFonts w:ascii="宋体" w:eastAsia="宋体" w:hAnsi="宋体" w:cs="宋体" w:hint="eastAsia"/>
          <w:sz w:val="21"/>
          <w:szCs w:val="21"/>
          <w:lang w:eastAsia="zh-CN"/>
        </w:rPr>
        <w:t>，投标人应对投标员身份信息的真实性、有效性负责。</w:t>
      </w:r>
    </w:p>
    <w:p w14:paraId="5BC9A10F">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7.交易</w:t>
      </w:r>
      <w:r>
        <w:rPr>
          <w:rFonts w:ascii="宋体" w:eastAsia="宋体" w:hAnsi="宋体" w:cs="宋体" w:hint="eastAsia"/>
          <w:kern w:val="2"/>
          <w:sz w:val="21"/>
          <w:szCs w:val="21"/>
          <w:lang w:eastAsia="zh-CN"/>
        </w:rPr>
        <w:t>网</w:t>
      </w:r>
      <w:r>
        <w:rPr>
          <w:rFonts w:ascii="宋体" w:eastAsia="宋体" w:hAnsi="宋体" w:cs="宋体" w:hint="eastAsia"/>
          <w:kern w:val="2"/>
          <w:sz w:val="21"/>
          <w:szCs w:val="21"/>
          <w:lang w:eastAsia="zh-CN"/>
        </w:rPr>
        <w:t>是投标人获取建设工程电子招标文件和电子送审</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文件的唯一合法渠道。投标人需随时关注交易网</w:t>
      </w:r>
      <w:r>
        <w:rPr>
          <w:rFonts w:ascii="宋体" w:eastAsia="宋体" w:hAnsi="宋体" w:cs="宋体" w:hint="eastAsia"/>
          <w:kern w:val="2"/>
          <w:sz w:val="21"/>
          <w:szCs w:val="21"/>
          <w:lang w:eastAsia="zh-CN"/>
        </w:rPr>
        <w:t>或交易平台</w:t>
      </w:r>
      <w:r>
        <w:rPr>
          <w:rFonts w:ascii="宋体" w:eastAsia="宋体" w:hAnsi="宋体" w:cs="宋体" w:hint="eastAsia"/>
          <w:kern w:val="2"/>
          <w:sz w:val="21"/>
          <w:szCs w:val="21"/>
          <w:lang w:eastAsia="zh-CN"/>
        </w:rPr>
        <w:t>，确认所投标的项目招标文件（</w:t>
      </w:r>
      <w:r>
        <w:rPr>
          <w:rFonts w:ascii="宋体" w:eastAsia="宋体" w:hAnsi="宋体" w:cs="宋体" w:hint="eastAsia"/>
          <w:snapToGrid w:val="0"/>
          <w:sz w:val="21"/>
          <w:szCs w:val="21"/>
          <w:lang w:eastAsia="zh-CN"/>
        </w:rPr>
        <w:t xml:space="preserve"> </w:t>
      </w:r>
      <w:r>
        <w:rPr>
          <w:rFonts w:ascii="宋体" w:eastAsia="宋体" w:hAnsi="宋体" w:cs="宋体" w:hint="eastAsia"/>
          <w:kern w:val="2"/>
          <w:sz w:val="21"/>
          <w:szCs w:val="22"/>
          <w:lang w:eastAsia="zh-CN"/>
        </w:rPr>
        <w:t>TYZB、QTZB</w:t>
      </w:r>
      <w:r>
        <w:rPr>
          <w:rFonts w:ascii="宋体" w:eastAsia="宋体" w:hAnsi="宋体" w:cs="宋体" w:hint="eastAsia"/>
          <w:kern w:val="2"/>
          <w:sz w:val="21"/>
          <w:szCs w:val="21"/>
          <w:lang w:eastAsia="zh-CN"/>
        </w:rPr>
        <w:t>）和电子送审</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文件是否更新。如果有更新，须下载最新的招标文件和电子送审</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文件用于制作电子投标文件，否则后果由投标人自行承担。</w:t>
      </w:r>
    </w:p>
    <w:p w14:paraId="68EC9534">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8.投标人应当遵守深圳交易集团有限公司（深圳公共资源交易中心）的相关规定，违反规定导致的不利后果，由投标人自行承担。</w:t>
      </w:r>
    </w:p>
    <w:p w14:paraId="345E63A6">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9.投标人须对投标资料的真实性负责。招标人有权将投标文件的部分或全部内容向外公示，若公示期间收到有关弄虚作假投诉的，招标人将提请建设、交通行政主管部门查处。一旦查实将严格按照法律法规作出处理。</w:t>
      </w:r>
    </w:p>
    <w:p w14:paraId="7B0D6098">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10.若投标人资质证书或安全生产许可证被暂扣或吊销，但仍参与投标的，招标人将取消其投标或中标资格、没收其投标保证金，建设行政主管部门或有关行政管理部门将按弄虚作假行为对其进行行政处罚。</w:t>
      </w:r>
    </w:p>
    <w:p w14:paraId="65BAA848">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11.投标人注意事项：</w:t>
      </w:r>
    </w:p>
    <w:p w14:paraId="3C3BAEB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11.1《电子文件编制工具》安装软件可在</w:t>
      </w:r>
      <w:r>
        <w:rPr>
          <w:rFonts w:ascii="宋体" w:eastAsia="宋体" w:hAnsi="宋体" w:cs="宋体" w:hint="eastAsia"/>
          <w:kern w:val="2"/>
          <w:sz w:val="21"/>
          <w:szCs w:val="21"/>
          <w:lang w:eastAsia="zh-CN"/>
        </w:rPr>
        <w:t>交易网的服务</w:t>
      </w:r>
      <w:r>
        <w:rPr>
          <w:rFonts w:ascii="宋体" w:eastAsia="宋体" w:hAnsi="宋体" w:cs="宋体" w:hint="eastAsia"/>
          <w:kern w:val="2"/>
          <w:sz w:val="21"/>
          <w:szCs w:val="21"/>
          <w:lang w:eastAsia="zh-CN"/>
        </w:rPr>
        <w:t>指南</w:t>
      </w:r>
      <w:r>
        <w:rPr>
          <w:rFonts w:ascii="宋体" w:eastAsia="宋体" w:hAnsi="宋体" w:cs="宋体" w:hint="eastAsia"/>
          <w:kern w:val="2"/>
          <w:sz w:val="21"/>
          <w:szCs w:val="21"/>
          <w:lang w:eastAsia="zh-CN"/>
        </w:rPr>
        <w:t>-建设工程-资料下载-工具下载（</w:t>
      </w:r>
      <w:r>
        <w:rPr>
          <w:rFonts w:ascii="宋体" w:eastAsia="宋体" w:hAnsi="宋体" w:cs="宋体" w:hint="eastAsia"/>
          <w:kern w:val="2"/>
          <w:sz w:val="21"/>
          <w:szCs w:val="21"/>
          <w:lang w:eastAsia="zh-CN"/>
        </w:rPr>
        <w:t>投标编制文件</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，请注意使用正确的版本，并及时更新。</w:t>
      </w:r>
    </w:p>
    <w:p w14:paraId="38F3760C">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11.2电子投标文件必须按招标文件要求有数字证书或电子营业执照签名方为合法的投标文件。未对电子文件进行数字证书或电子营业执照签名的以及对投标文件进行加密但在开标会规定的时间内没有进行解密的，开标会现场将作为不予受理的投标文件处理。</w:t>
      </w:r>
    </w:p>
    <w:p w14:paraId="4F840E1F">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在电子文件编制工具中，生成电子标书时，须将所签名的证书或电子营业执照的电子签名签署到相应的位置中。</w:t>
      </w:r>
    </w:p>
    <w:p w14:paraId="22D9203D">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11.3评标时以电子标书为准，因此在制作电子标书的时候，需要反复核对相关报价，每一个货物只允许有一个报价，任何有选择的报价将不予接受。如果递交的投标文件已加密但未在规定时间内成功解密，则视为此投标文件无法读取导入。</w:t>
      </w:r>
    </w:p>
    <w:p w14:paraId="109E9F47">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投标人可使用电子投标文件编制工具中的加密功能对网上传输的投标文件中各部分内容进行加密（可使用数字证书或电子营业执照进行加密）,其中：用于投标文件加密的数字证书必须是本单位的任意一个数字证书，包括机构数字证书、机构个人数字证书。用于投标文件加密的电子营业执照必须是由本单位法定代表人在市场监督管理总局的电子营业执照小程序中下载的真实有效的电子营业执照，且投标操作人员须法定代表人在授权并下载本单位电子营业执照后才可进行标书加密等相关操作。</w:t>
      </w:r>
    </w:p>
    <w:p w14:paraId="33C15D0D">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11.4在编制技术标投标文件时，如果需要粘贴图片，可使用JPG/PNG/BMP格式的文件，并且每张图片的分辨率应小于100dpi，</w:t>
      </w:r>
      <w:r>
        <w:rPr>
          <w:rFonts w:ascii="宋体" w:eastAsia="宋体" w:hAnsi="宋体" w:cs="宋体" w:hint="eastAsia"/>
          <w:kern w:val="2"/>
          <w:sz w:val="21"/>
          <w:szCs w:val="21"/>
          <w:lang w:eastAsia="zh-CN"/>
        </w:rPr>
        <w:t>最终的标书文件所占用的磁盘空间必须小于50</w:t>
      </w:r>
      <w:r>
        <w:rPr>
          <w:rFonts w:ascii="宋体" w:eastAsia="宋体" w:hAnsi="宋体" w:cs="宋体" w:hint="eastAsia"/>
          <w:kern w:val="2"/>
          <w:sz w:val="21"/>
          <w:szCs w:val="21"/>
          <w:lang w:eastAsia="zh-CN"/>
        </w:rPr>
        <w:t>0</w:t>
      </w:r>
      <w:r>
        <w:rPr>
          <w:rFonts w:ascii="宋体" w:eastAsia="宋体" w:hAnsi="宋体" w:cs="宋体" w:hint="eastAsia"/>
          <w:kern w:val="2"/>
          <w:sz w:val="21"/>
          <w:szCs w:val="21"/>
          <w:lang w:eastAsia="zh-CN"/>
        </w:rPr>
        <w:t>0M；资审文件占用的磁盘空间必须小于</w:t>
      </w:r>
      <w:r>
        <w:rPr>
          <w:rFonts w:ascii="宋体" w:eastAsia="宋体" w:hAnsi="宋体" w:cs="宋体" w:hint="eastAsia"/>
          <w:kern w:val="2"/>
          <w:sz w:val="21"/>
          <w:szCs w:val="21"/>
          <w:lang w:eastAsia="zh-CN"/>
        </w:rPr>
        <w:t>2</w:t>
      </w:r>
      <w:r>
        <w:rPr>
          <w:rFonts w:ascii="宋体" w:eastAsia="宋体" w:hAnsi="宋体" w:cs="宋体" w:hint="eastAsia"/>
          <w:kern w:val="2"/>
          <w:sz w:val="21"/>
          <w:szCs w:val="21"/>
          <w:lang w:eastAsia="zh-CN"/>
        </w:rPr>
        <w:t>00M。</w:t>
      </w:r>
    </w:p>
    <w:p w14:paraId="38E6FD41">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12.本工程采用</w:t>
      </w:r>
      <w:r>
        <w:rPr>
          <w:rFonts w:ascii="宋体" w:eastAsia="宋体" w:hAnsi="宋体" w:cs="宋体" w:hint="eastAsia"/>
          <w:kern w:val="2"/>
          <w:sz w:val="21"/>
          <w:szCs w:val="21"/>
          <w:lang w:eastAsia="zh-CN"/>
        </w:rPr>
        <w:t>交易平台</w:t>
      </w:r>
      <w:r>
        <w:rPr>
          <w:rFonts w:ascii="宋体" w:eastAsia="宋体" w:hAnsi="宋体" w:cs="宋体" w:hint="eastAsia"/>
          <w:sz w:val="21"/>
          <w:szCs w:val="21"/>
          <w:lang w:eastAsia="zh-CN"/>
        </w:rPr>
        <w:t>进行投标、开标及评标</w:t>
      </w:r>
      <w:r>
        <w:rPr>
          <w:rFonts w:ascii="宋体" w:eastAsia="宋体" w:hAnsi="宋体" w:cs="宋体" w:hint="eastAsia"/>
          <w:kern w:val="2"/>
          <w:sz w:val="21"/>
          <w:szCs w:val="21"/>
          <w:lang w:eastAsia="zh-CN"/>
        </w:rPr>
        <w:t>，请认真阅读本说明，若有疑问可通过载明的联系方式要求技术咨询。</w:t>
      </w:r>
    </w:p>
    <w:p w14:paraId="33EAA814">
      <w:pPr>
        <w:widowControl w:val="0"/>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十、关于</w:t>
      </w:r>
      <w:r>
        <w:rPr>
          <w:rFonts w:ascii="宋体" w:eastAsia="宋体" w:hAnsi="宋体" w:cs="宋体" w:hint="eastAsia"/>
          <w:kern w:val="2"/>
          <w:sz w:val="21"/>
          <w:szCs w:val="21"/>
          <w:lang w:eastAsia="zh-CN"/>
        </w:rPr>
        <w:t>交易平台</w:t>
      </w:r>
      <w:r>
        <w:rPr>
          <w:rFonts w:ascii="宋体" w:eastAsia="宋体" w:hAnsi="宋体" w:cs="宋体" w:hint="eastAsia"/>
          <w:kern w:val="2"/>
          <w:sz w:val="21"/>
          <w:szCs w:val="21"/>
          <w:lang w:eastAsia="zh-CN"/>
        </w:rPr>
        <w:t>咨询方式：</w:t>
      </w:r>
    </w:p>
    <w:p w14:paraId="3C62143C">
      <w:pPr>
        <w:widowControl w:val="0"/>
        <w:adjustRightInd w:val="0"/>
        <w:snapToGrid w:val="0"/>
        <w:spacing w:line="44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建设工程技术咨询电话:0755-36568999、0755-88653390</w:t>
      </w:r>
      <w:r>
        <w:rPr>
          <w:rFonts w:ascii="宋体" w:eastAsia="宋体" w:hAnsi="宋体" w:cs="宋体" w:hint="eastAsia"/>
          <w:kern w:val="2"/>
          <w:sz w:val="21"/>
          <w:szCs w:val="21"/>
          <w:lang w:eastAsia="zh-CN"/>
        </w:rPr>
        <w:t>。</w:t>
      </w:r>
    </w:p>
    <w:p w14:paraId="761E6845">
      <w:pPr>
        <w:widowControl w:val="0"/>
        <w:adjustRightInd w:val="0"/>
        <w:snapToGrid w:val="0"/>
        <w:spacing w:line="440" w:lineRule="exact"/>
        <w:ind w:firstLine="420" w:firstLineChars="200"/>
        <w:jc w:val="both"/>
        <w:rPr>
          <w:rFonts w:ascii="宋体" w:eastAsia="宋体" w:hAnsi="宋体" w:cs="宋体" w:hint="eastAsia"/>
          <w:kern w:val="2"/>
          <w:sz w:val="21"/>
          <w:szCs w:val="21"/>
          <w:lang w:eastAsia="zh-CN"/>
        </w:rPr>
      </w:pPr>
    </w:p>
    <w:tbl>
      <w:tblPr>
        <w:tblStyle w:val="TableNormal"/>
        <w:tblW w:w="5000" w:type="pct"/>
        <w:tblInd w:w="0" w:type="dxa"/>
        <w:tblLayout w:type="fixed"/>
        <w:tblCellMar>
          <w:top w:w="0" w:type="dxa"/>
          <w:left w:w="0" w:type="dxa"/>
          <w:bottom w:w="0" w:type="dxa"/>
          <w:right w:w="0" w:type="dxa"/>
        </w:tblCellMar>
      </w:tblPr>
      <w:tblGrid>
        <w:gridCol w:w="1072"/>
        <w:gridCol w:w="2589"/>
        <w:gridCol w:w="1327"/>
        <w:gridCol w:w="4531"/>
      </w:tblGrid>
      <w:tr w14:paraId="41779A09">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6520E0E9">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bookmarkStart w:id="12" w:name="_Toc30023"/>
            <w:bookmarkStart w:id="13" w:name="_Toc22605"/>
            <w:r>
              <w:rPr>
                <w:rFonts w:ascii="宋体" w:eastAsia="宋体" w:hAnsi="宋体" w:cs="宋体" w:hint="eastAsia"/>
                <w:color w:val="000000"/>
                <w:kern w:val="2"/>
                <w:sz w:val="21"/>
                <w:szCs w:val="21"/>
                <w:lang w:eastAsia="zh-CN"/>
              </w:rPr>
              <w:t>招 标 人：</w:t>
            </w:r>
          </w:p>
        </w:tc>
        <w:tc>
          <w:tcPr>
            <w:tcW w:w="3022" w:type="dxa"/>
            <w:noWrap/>
            <w:tcMar>
              <w:top w:w="0" w:type="dxa"/>
              <w:left w:w="110" w:type="dxa"/>
              <w:bottom w:w="0" w:type="dxa"/>
              <w:right w:w="110" w:type="dxa"/>
            </w:tcMar>
          </w:tcPr>
          <w:p w14:paraId="5532C082">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深圳市龙新开发建设有限公司</w:t>
            </w:r>
          </w:p>
        </w:tc>
        <w:tc>
          <w:tcPr>
            <w:tcW w:w="1527" w:type="dxa"/>
            <w:noWrap/>
            <w:tcMar>
              <w:top w:w="0" w:type="dxa"/>
              <w:left w:w="110" w:type="dxa"/>
              <w:bottom w:w="0" w:type="dxa"/>
              <w:right w:w="110" w:type="dxa"/>
            </w:tcMar>
          </w:tcPr>
          <w:p w14:paraId="5E564442">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招标代理机构：</w:t>
            </w:r>
          </w:p>
        </w:tc>
        <w:tc>
          <w:tcPr>
            <w:tcW w:w="5321" w:type="dxa"/>
            <w:noWrap/>
            <w:tcMar>
              <w:top w:w="0" w:type="dxa"/>
              <w:left w:w="110" w:type="dxa"/>
              <w:bottom w:w="0" w:type="dxa"/>
              <w:right w:w="110" w:type="dxa"/>
            </w:tcMar>
          </w:tcPr>
          <w:p w14:paraId="16579AEB">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深圳市综合交通与市政工程设计研究总院有限公司</w:t>
            </w:r>
          </w:p>
        </w:tc>
      </w:tr>
      <w:tr w14:paraId="038C1B55">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437913C0">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法定代表人或其委托代理人：</w:t>
            </w:r>
          </w:p>
        </w:tc>
        <w:tc>
          <w:tcPr>
            <w:tcW w:w="3022" w:type="dxa"/>
            <w:noWrap/>
            <w:tcMar>
              <w:top w:w="0" w:type="dxa"/>
              <w:left w:w="110" w:type="dxa"/>
              <w:bottom w:w="0" w:type="dxa"/>
              <w:right w:w="110" w:type="dxa"/>
            </w:tcMar>
            <w:vAlign w:val="center"/>
          </w:tcPr>
          <w:p w14:paraId="42543528">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史国友</w:t>
            </w:r>
          </w:p>
        </w:tc>
        <w:tc>
          <w:tcPr>
            <w:tcW w:w="1527" w:type="dxa"/>
            <w:noWrap/>
            <w:tcMar>
              <w:top w:w="0" w:type="dxa"/>
              <w:left w:w="110" w:type="dxa"/>
              <w:bottom w:w="0" w:type="dxa"/>
              <w:right w:w="110" w:type="dxa"/>
            </w:tcMar>
          </w:tcPr>
          <w:p w14:paraId="4FE7EBF9">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法定代表人或其委托代理人：</w:t>
            </w:r>
          </w:p>
        </w:tc>
        <w:tc>
          <w:tcPr>
            <w:tcW w:w="5321" w:type="dxa"/>
            <w:noWrap/>
            <w:tcMar>
              <w:top w:w="0" w:type="dxa"/>
              <w:left w:w="110" w:type="dxa"/>
              <w:bottom w:w="0" w:type="dxa"/>
              <w:right w:w="110" w:type="dxa"/>
            </w:tcMar>
            <w:vAlign w:val="center"/>
          </w:tcPr>
          <w:p w14:paraId="1D7FEA88">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杨曦</w:t>
            </w:r>
          </w:p>
        </w:tc>
      </w:tr>
      <w:tr w14:paraId="47F348F8">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78D1AF56">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联系地址：</w:t>
            </w:r>
          </w:p>
        </w:tc>
        <w:tc>
          <w:tcPr>
            <w:tcW w:w="3022" w:type="dxa"/>
            <w:noWrap/>
            <w:tcMar>
              <w:top w:w="0" w:type="dxa"/>
              <w:left w:w="110" w:type="dxa"/>
              <w:bottom w:w="0" w:type="dxa"/>
              <w:right w:w="110" w:type="dxa"/>
            </w:tcMar>
          </w:tcPr>
          <w:p w14:paraId="0448FB26">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河源市龙川县龙川西站交通枢纽楼4楼</w:t>
            </w:r>
          </w:p>
        </w:tc>
        <w:tc>
          <w:tcPr>
            <w:tcW w:w="1527" w:type="dxa"/>
            <w:noWrap/>
            <w:tcMar>
              <w:top w:w="0" w:type="dxa"/>
              <w:left w:w="110" w:type="dxa"/>
              <w:bottom w:w="0" w:type="dxa"/>
              <w:right w:w="110" w:type="dxa"/>
            </w:tcMar>
          </w:tcPr>
          <w:p w14:paraId="1A81FE38">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联系地址：</w:t>
            </w:r>
          </w:p>
        </w:tc>
        <w:tc>
          <w:tcPr>
            <w:tcW w:w="5321" w:type="dxa"/>
            <w:noWrap/>
            <w:tcMar>
              <w:top w:w="0" w:type="dxa"/>
              <w:left w:w="110" w:type="dxa"/>
              <w:bottom w:w="0" w:type="dxa"/>
              <w:right w:w="110" w:type="dxa"/>
            </w:tcMar>
          </w:tcPr>
          <w:p w14:paraId="55184E87">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深圳市龙华区民治街道北站社区龙华设计产业园</w:t>
            </w:r>
          </w:p>
          <w:p w14:paraId="2FD8D2F3">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总部大厦2栋</w:t>
            </w:r>
          </w:p>
        </w:tc>
      </w:tr>
      <w:tr w14:paraId="6CB4AC3F">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71B182ED">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联系电话：</w:t>
            </w:r>
          </w:p>
        </w:tc>
        <w:tc>
          <w:tcPr>
            <w:tcW w:w="3022" w:type="dxa"/>
            <w:noWrap/>
            <w:tcMar>
              <w:top w:w="0" w:type="dxa"/>
              <w:left w:w="110" w:type="dxa"/>
              <w:bottom w:w="0" w:type="dxa"/>
              <w:right w:w="110" w:type="dxa"/>
            </w:tcMar>
          </w:tcPr>
          <w:p w14:paraId="0FE83DDA">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13798503870（</w:t>
            </w:r>
            <w:r>
              <w:rPr>
                <w:rFonts w:ascii="宋体" w:eastAsia="宋体" w:hAnsi="宋体" w:cs="宋体" w:hint="eastAsia"/>
                <w:color w:val="000000"/>
                <w:kern w:val="2"/>
                <w:sz w:val="21"/>
                <w:szCs w:val="22"/>
                <w:lang w:eastAsia="zh-CN"/>
              </w:rPr>
              <w:t>罗</w:t>
            </w:r>
            <w:r>
              <w:rPr>
                <w:rFonts w:ascii="宋体" w:eastAsia="宋体" w:hAnsi="宋体" w:cs="宋体" w:hint="eastAsia"/>
                <w:color w:val="000000"/>
                <w:kern w:val="2"/>
                <w:sz w:val="21"/>
                <w:szCs w:val="22"/>
                <w:lang w:eastAsia="zh-CN"/>
              </w:rPr>
              <w:t>工）</w:t>
            </w:r>
          </w:p>
        </w:tc>
        <w:tc>
          <w:tcPr>
            <w:tcW w:w="1527" w:type="dxa"/>
            <w:noWrap/>
            <w:tcMar>
              <w:top w:w="0" w:type="dxa"/>
              <w:left w:w="110" w:type="dxa"/>
              <w:bottom w:w="0" w:type="dxa"/>
              <w:right w:w="110" w:type="dxa"/>
            </w:tcMar>
          </w:tcPr>
          <w:p w14:paraId="70E1111C">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联系电话：</w:t>
            </w:r>
          </w:p>
        </w:tc>
        <w:tc>
          <w:tcPr>
            <w:tcW w:w="5321" w:type="dxa"/>
            <w:noWrap/>
            <w:tcMar>
              <w:top w:w="0" w:type="dxa"/>
              <w:left w:w="110" w:type="dxa"/>
              <w:bottom w:w="0" w:type="dxa"/>
              <w:right w:w="110" w:type="dxa"/>
            </w:tcMar>
          </w:tcPr>
          <w:p w14:paraId="547DF4D4">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0755-25193573</w:t>
            </w:r>
            <w:r>
              <w:rPr>
                <w:rFonts w:ascii="宋体" w:eastAsia="宋体" w:hAnsi="宋体" w:cs="宋体" w:hint="eastAsia"/>
                <w:color w:val="000000"/>
                <w:kern w:val="2"/>
                <w:sz w:val="21"/>
                <w:szCs w:val="22"/>
                <w:lang w:eastAsia="zh-CN"/>
              </w:rPr>
              <w:t>（冷</w:t>
            </w:r>
            <w:r>
              <w:rPr>
                <w:rFonts w:ascii="宋体" w:eastAsia="宋体" w:hAnsi="宋体" w:cs="宋体" w:hint="eastAsia"/>
                <w:color w:val="000000"/>
                <w:kern w:val="2"/>
                <w:sz w:val="21"/>
                <w:szCs w:val="22"/>
                <w:lang w:eastAsia="zh-CN"/>
              </w:rPr>
              <w:t>水平/......）</w:t>
            </w:r>
          </w:p>
        </w:tc>
      </w:tr>
      <w:tr w14:paraId="008C83B9">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70014674">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传真电话：</w:t>
            </w:r>
          </w:p>
        </w:tc>
        <w:tc>
          <w:tcPr>
            <w:tcW w:w="3022" w:type="dxa"/>
            <w:noWrap/>
            <w:tcMar>
              <w:top w:w="0" w:type="dxa"/>
              <w:left w:w="110" w:type="dxa"/>
              <w:bottom w:w="0" w:type="dxa"/>
              <w:right w:w="110" w:type="dxa"/>
            </w:tcMar>
          </w:tcPr>
          <w:p w14:paraId="3DDB8A0B">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w:t>
            </w:r>
          </w:p>
        </w:tc>
        <w:tc>
          <w:tcPr>
            <w:tcW w:w="1527" w:type="dxa"/>
            <w:noWrap/>
            <w:tcMar>
              <w:top w:w="0" w:type="dxa"/>
              <w:left w:w="110" w:type="dxa"/>
              <w:bottom w:w="0" w:type="dxa"/>
              <w:right w:w="110" w:type="dxa"/>
            </w:tcMar>
          </w:tcPr>
          <w:p w14:paraId="11AEEAE5">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传真电话：</w:t>
            </w:r>
          </w:p>
        </w:tc>
        <w:tc>
          <w:tcPr>
            <w:tcW w:w="5321" w:type="dxa"/>
            <w:noWrap/>
            <w:tcMar>
              <w:top w:w="0" w:type="dxa"/>
              <w:left w:w="110" w:type="dxa"/>
              <w:bottom w:w="0" w:type="dxa"/>
              <w:right w:w="110" w:type="dxa"/>
            </w:tcMar>
          </w:tcPr>
          <w:p w14:paraId="2FA62B6A">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w:t>
            </w:r>
          </w:p>
        </w:tc>
      </w:tr>
      <w:tr w14:paraId="734C257E">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4FB8285D">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电子信箱：</w:t>
            </w:r>
          </w:p>
        </w:tc>
        <w:tc>
          <w:tcPr>
            <w:tcW w:w="3022" w:type="dxa"/>
            <w:noWrap/>
            <w:tcMar>
              <w:top w:w="0" w:type="dxa"/>
              <w:left w:w="110" w:type="dxa"/>
              <w:bottom w:w="0" w:type="dxa"/>
              <w:right w:w="110" w:type="dxa"/>
            </w:tcMar>
          </w:tcPr>
          <w:p w14:paraId="0CE04C62">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p>
        </w:tc>
        <w:tc>
          <w:tcPr>
            <w:tcW w:w="1527" w:type="dxa"/>
            <w:noWrap/>
            <w:tcMar>
              <w:top w:w="0" w:type="dxa"/>
              <w:left w:w="110" w:type="dxa"/>
              <w:bottom w:w="0" w:type="dxa"/>
              <w:right w:w="110" w:type="dxa"/>
            </w:tcMar>
          </w:tcPr>
          <w:p w14:paraId="6006720D">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电子信箱：</w:t>
            </w:r>
          </w:p>
        </w:tc>
        <w:tc>
          <w:tcPr>
            <w:tcW w:w="5321" w:type="dxa"/>
            <w:noWrap/>
            <w:tcMar>
              <w:top w:w="0" w:type="dxa"/>
              <w:left w:w="110" w:type="dxa"/>
              <w:bottom w:w="0" w:type="dxa"/>
              <w:right w:w="110" w:type="dxa"/>
            </w:tcMar>
          </w:tcPr>
          <w:p w14:paraId="4443CCED">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1679305091@qq.com</w:t>
            </w:r>
          </w:p>
        </w:tc>
      </w:tr>
      <w:tr w14:paraId="1B5D1982">
        <w:tblPrEx>
          <w:tblW w:w="5000" w:type="pct"/>
          <w:tblInd w:w="0" w:type="dxa"/>
          <w:tblLayout w:type="fixed"/>
          <w:tblCellMar>
            <w:top w:w="0" w:type="dxa"/>
            <w:left w:w="0" w:type="dxa"/>
            <w:bottom w:w="0" w:type="dxa"/>
            <w:right w:w="0" w:type="dxa"/>
          </w:tblCellMar>
        </w:tblPrEx>
        <w:trPr>
          <w:trHeight w:val="450"/>
        </w:trPr>
        <w:tc>
          <w:tcPr>
            <w:tcW w:w="1225" w:type="dxa"/>
            <w:noWrap/>
            <w:tcMar>
              <w:top w:w="0" w:type="dxa"/>
              <w:left w:w="110" w:type="dxa"/>
              <w:bottom w:w="0" w:type="dxa"/>
              <w:right w:w="110" w:type="dxa"/>
            </w:tcMar>
          </w:tcPr>
          <w:p w14:paraId="5D87F19D">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日  期：</w:t>
            </w:r>
          </w:p>
        </w:tc>
        <w:tc>
          <w:tcPr>
            <w:tcW w:w="3022" w:type="dxa"/>
            <w:noWrap/>
            <w:tcMar>
              <w:top w:w="0" w:type="dxa"/>
              <w:left w:w="110" w:type="dxa"/>
              <w:bottom w:w="0" w:type="dxa"/>
              <w:right w:w="110" w:type="dxa"/>
            </w:tcMar>
          </w:tcPr>
          <w:p w14:paraId="2E9AAF98">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w:t>
            </w:r>
          </w:p>
        </w:tc>
        <w:tc>
          <w:tcPr>
            <w:tcW w:w="1527" w:type="dxa"/>
            <w:noWrap/>
            <w:tcMar>
              <w:top w:w="0" w:type="dxa"/>
              <w:left w:w="110" w:type="dxa"/>
              <w:bottom w:w="0" w:type="dxa"/>
              <w:right w:w="110" w:type="dxa"/>
            </w:tcMar>
          </w:tcPr>
          <w:p w14:paraId="01CEEE37">
            <w:pPr>
              <w:keepNext w:val="0"/>
              <w:keepLines w:val="0"/>
              <w:widowControl/>
              <w:suppressLineNumbers w:val="0"/>
              <w:spacing w:before="0" w:beforeAutospacing="0" w:after="0" w:afterAutospacing="0" w:line="360" w:lineRule="auto"/>
              <w:ind w:left="0" w:right="0"/>
              <w:jc w:val="right"/>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日   期：</w:t>
            </w:r>
          </w:p>
        </w:tc>
        <w:tc>
          <w:tcPr>
            <w:tcW w:w="5321" w:type="dxa"/>
            <w:noWrap/>
            <w:tcMar>
              <w:top w:w="0" w:type="dxa"/>
              <w:left w:w="110" w:type="dxa"/>
              <w:bottom w:w="0" w:type="dxa"/>
              <w:right w:w="110" w:type="dxa"/>
            </w:tcMar>
          </w:tcPr>
          <w:p w14:paraId="1BFE43B6">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2"/>
                <w:lang w:eastAsia="zh-CN"/>
              </w:rPr>
            </w:pPr>
            <w:r>
              <w:rPr>
                <w:rFonts w:ascii="宋体" w:eastAsia="宋体" w:hAnsi="宋体" w:cs="宋体" w:hint="eastAsia"/>
                <w:color w:val="000000"/>
                <w:kern w:val="2"/>
                <w:sz w:val="21"/>
                <w:szCs w:val="22"/>
                <w:lang w:eastAsia="zh-CN"/>
              </w:rPr>
              <w:t>/</w:t>
            </w:r>
          </w:p>
        </w:tc>
      </w:tr>
    </w:tbl>
    <w:p w14:paraId="21FED582">
      <w:pPr>
        <w:widowControl/>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br w:type="page"/>
      </w:r>
    </w:p>
    <w:p w14:paraId="6517C1E9">
      <w:pPr>
        <w:widowControl w:val="0"/>
        <w:spacing w:line="360" w:lineRule="auto"/>
        <w:jc w:val="center"/>
        <w:outlineLvl w:val="0"/>
        <w:rPr>
          <w:rFonts w:ascii="宋体" w:eastAsia="宋体" w:hAnsi="宋体" w:cs="宋体" w:hint="eastAsia"/>
          <w:bCs/>
          <w:kern w:val="2"/>
          <w:sz w:val="32"/>
          <w:szCs w:val="32"/>
          <w:lang w:eastAsia="zh-CN"/>
        </w:rPr>
      </w:pPr>
      <w:bookmarkStart w:id="14" w:name="_Toc7536"/>
      <w:r>
        <w:rPr>
          <w:rFonts w:ascii="宋体" w:eastAsia="宋体" w:hAnsi="宋体" w:cs="宋体" w:hint="eastAsia"/>
          <w:bCs/>
          <w:kern w:val="2"/>
          <w:sz w:val="32"/>
          <w:szCs w:val="32"/>
          <w:lang w:eastAsia="zh-CN"/>
        </w:rPr>
        <w:t>第二章  投标须知</w:t>
      </w:r>
      <w:bookmarkEnd w:id="12"/>
      <w:bookmarkEnd w:id="13"/>
      <w:bookmarkEnd w:id="14"/>
    </w:p>
    <w:p w14:paraId="09D0AA39">
      <w:pPr>
        <w:widowControl w:val="0"/>
        <w:spacing w:line="360" w:lineRule="auto"/>
        <w:jc w:val="center"/>
        <w:outlineLvl w:val="1"/>
        <w:rPr>
          <w:rFonts w:ascii="宋体" w:eastAsia="宋体" w:hAnsi="宋体" w:cs="宋体" w:hint="eastAsia"/>
          <w:bCs/>
          <w:snapToGrid w:val="0"/>
          <w:sz w:val="32"/>
          <w:szCs w:val="32"/>
          <w:lang w:eastAsia="zh-CN"/>
        </w:rPr>
      </w:pPr>
      <w:bookmarkStart w:id="15" w:name="_Toc24016"/>
      <w:bookmarkStart w:id="16" w:name="_Toc24236"/>
      <w:r>
        <w:rPr>
          <w:rFonts w:ascii="宋体" w:eastAsia="宋体" w:hAnsi="宋体" w:cs="宋体" w:hint="eastAsia"/>
          <w:bCs/>
          <w:kern w:val="2"/>
          <w:sz w:val="32"/>
          <w:szCs w:val="32"/>
          <w:lang w:eastAsia="zh-CN"/>
        </w:rPr>
        <w:t>一、投标须知前附表</w:t>
      </w:r>
      <w:bookmarkEnd w:id="15"/>
      <w:bookmarkEnd w:id="16"/>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2"/>
        <w:gridCol w:w="2192"/>
        <w:gridCol w:w="6651"/>
      </w:tblGrid>
      <w:tr w14:paraId="69F62ED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10"/>
          <w:tblHeader/>
          <w:jc w:val="center"/>
        </w:trPr>
        <w:tc>
          <w:tcPr>
            <w:tcW w:w="673" w:type="dxa"/>
            <w:vAlign w:val="center"/>
          </w:tcPr>
          <w:p w14:paraId="53D49DA3">
            <w:pPr>
              <w:widowControl w:val="0"/>
              <w:spacing w:line="360" w:lineRule="auto"/>
              <w:jc w:val="both"/>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序号</w:t>
            </w:r>
          </w:p>
        </w:tc>
        <w:tc>
          <w:tcPr>
            <w:tcW w:w="2192" w:type="dxa"/>
            <w:vAlign w:val="center"/>
          </w:tcPr>
          <w:p w14:paraId="09B8779A">
            <w:pPr>
              <w:widowControl w:val="0"/>
              <w:spacing w:line="360" w:lineRule="auto"/>
              <w:jc w:val="center"/>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内  容</w:t>
            </w:r>
          </w:p>
        </w:tc>
        <w:tc>
          <w:tcPr>
            <w:tcW w:w="6652" w:type="dxa"/>
            <w:vAlign w:val="center"/>
          </w:tcPr>
          <w:p w14:paraId="53C33F3B">
            <w:pPr>
              <w:widowControl w:val="0"/>
              <w:spacing w:line="360" w:lineRule="auto"/>
              <w:jc w:val="center"/>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规  定</w:t>
            </w:r>
          </w:p>
        </w:tc>
      </w:tr>
      <w:tr w14:paraId="4F7568A0">
        <w:tblPrEx>
          <w:tblW w:w="5000" w:type="pct"/>
          <w:jc w:val="center"/>
          <w:tblLayout w:type="fixed"/>
          <w:tblCellMar>
            <w:top w:w="0" w:type="dxa"/>
            <w:left w:w="108" w:type="dxa"/>
            <w:bottom w:w="0" w:type="dxa"/>
            <w:right w:w="108" w:type="dxa"/>
          </w:tblCellMar>
        </w:tblPrEx>
        <w:trPr>
          <w:trHeight w:val="354"/>
          <w:jc w:val="center"/>
        </w:trPr>
        <w:tc>
          <w:tcPr>
            <w:tcW w:w="673" w:type="dxa"/>
            <w:vAlign w:val="center"/>
          </w:tcPr>
          <w:p w14:paraId="22AE3093">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w:t>
            </w:r>
          </w:p>
        </w:tc>
        <w:tc>
          <w:tcPr>
            <w:tcW w:w="2192" w:type="dxa"/>
            <w:vAlign w:val="center"/>
          </w:tcPr>
          <w:p w14:paraId="64010259">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标段名称</w:t>
            </w:r>
          </w:p>
        </w:tc>
        <w:tc>
          <w:tcPr>
            <w:tcW w:w="6652" w:type="dxa"/>
            <w:vAlign w:val="center"/>
          </w:tcPr>
          <w:p w14:paraId="251773FF">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napToGrid w:val="0"/>
                <w:kern w:val="2"/>
                <w:sz w:val="21"/>
                <w:szCs w:val="21"/>
                <w:u w:val="single"/>
                <w:lang w:eastAsia="zh-CN" w:bidi="ar"/>
              </w:rPr>
              <w:t>龙川县新城幸福学校建设工程全过程造价咨询</w:t>
            </w:r>
            <w:r>
              <w:rPr>
                <w:rFonts w:ascii="宋体" w:eastAsia="宋体" w:hAnsi="宋体" w:cs="宋体" w:hint="eastAsia"/>
                <w:snapToGrid w:val="0"/>
                <w:kern w:val="2"/>
                <w:sz w:val="21"/>
                <w:szCs w:val="21"/>
                <w:u w:val="single"/>
                <w:lang w:eastAsia="zh-CN" w:bidi="ar"/>
              </w:rPr>
              <w:t xml:space="preserve">    </w:t>
            </w:r>
          </w:p>
        </w:tc>
      </w:tr>
      <w:tr w14:paraId="2F061FD5">
        <w:tblPrEx>
          <w:tblW w:w="5000" w:type="pct"/>
          <w:jc w:val="center"/>
          <w:tblLayout w:type="fixed"/>
          <w:tblCellMar>
            <w:top w:w="0" w:type="dxa"/>
            <w:left w:w="108" w:type="dxa"/>
            <w:bottom w:w="0" w:type="dxa"/>
            <w:right w:w="108" w:type="dxa"/>
          </w:tblCellMar>
        </w:tblPrEx>
        <w:trPr>
          <w:trHeight w:val="345"/>
          <w:jc w:val="center"/>
        </w:trPr>
        <w:tc>
          <w:tcPr>
            <w:tcW w:w="673" w:type="dxa"/>
            <w:vAlign w:val="center"/>
          </w:tcPr>
          <w:p w14:paraId="7A759893">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w:t>
            </w:r>
          </w:p>
        </w:tc>
        <w:tc>
          <w:tcPr>
            <w:tcW w:w="2192" w:type="dxa"/>
            <w:vAlign w:val="center"/>
          </w:tcPr>
          <w:p w14:paraId="0B88FC20">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工程地点</w:t>
            </w:r>
          </w:p>
        </w:tc>
        <w:tc>
          <w:tcPr>
            <w:tcW w:w="6652" w:type="dxa"/>
            <w:vAlign w:val="center"/>
          </w:tcPr>
          <w:p w14:paraId="4818BCF8">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snapToGrid w:val="0"/>
                <w:kern w:val="2"/>
                <w:sz w:val="21"/>
                <w:szCs w:val="21"/>
                <w:u w:val="single"/>
                <w:lang w:eastAsia="zh-CN" w:bidi="ar"/>
              </w:rPr>
              <w:t xml:space="preserve">  广东省河源市龙川县    </w:t>
            </w:r>
          </w:p>
        </w:tc>
      </w:tr>
      <w:tr w14:paraId="3A3C2AEC">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04CA10FB">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3</w:t>
            </w:r>
          </w:p>
        </w:tc>
        <w:tc>
          <w:tcPr>
            <w:tcW w:w="2192" w:type="dxa"/>
            <w:vAlign w:val="center"/>
          </w:tcPr>
          <w:p w14:paraId="3D8E90C1">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是否场外工程</w:t>
            </w:r>
          </w:p>
        </w:tc>
        <w:tc>
          <w:tcPr>
            <w:tcW w:w="6652" w:type="dxa"/>
            <w:vAlign w:val="center"/>
          </w:tcPr>
          <w:p w14:paraId="6ED3887D">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 xml:space="preserve">是  </w:t>
            </w:r>
            <w:r>
              <w:rPr>
                <w:rFonts w:ascii="宋体" w:eastAsia="宋体" w:hAnsi="宋体" w:cs="宋体" w:hint="eastAsia"/>
                <w:sz w:val="21"/>
                <w:szCs w:val="21"/>
                <w:lang w:eastAsia="zh-CN"/>
              </w:rPr>
              <w:t>□</w:t>
            </w:r>
            <w:r>
              <w:rPr>
                <w:rFonts w:ascii="宋体" w:eastAsia="宋体" w:hAnsi="宋体" w:cs="宋体" w:hint="eastAsia"/>
                <w:sz w:val="21"/>
                <w:szCs w:val="21"/>
                <w:lang w:eastAsia="zh-CN"/>
              </w:rPr>
              <w:t>否</w:t>
            </w:r>
          </w:p>
          <w:p w14:paraId="59784BBB">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监督部门</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u w:val="single"/>
                <w:lang w:eastAsia="zh-CN"/>
              </w:rPr>
              <w:t>深圳交易集团有限公司</w:t>
            </w:r>
            <w:r>
              <w:rPr>
                <w:rFonts w:ascii="宋体" w:eastAsia="宋体" w:hAnsi="宋体" w:cs="宋体" w:hint="eastAsia"/>
                <w:sz w:val="21"/>
                <w:szCs w:val="21"/>
                <w:u w:val="single"/>
                <w:lang w:eastAsia="zh-CN"/>
              </w:rPr>
              <w:t xml:space="preserve">   </w:t>
            </w:r>
          </w:p>
        </w:tc>
      </w:tr>
      <w:tr w14:paraId="1881BAB5">
        <w:tblPrEx>
          <w:tblW w:w="5000" w:type="pct"/>
          <w:jc w:val="center"/>
          <w:tblLayout w:type="fixed"/>
          <w:tblCellMar>
            <w:top w:w="0" w:type="dxa"/>
            <w:left w:w="108" w:type="dxa"/>
            <w:bottom w:w="0" w:type="dxa"/>
            <w:right w:w="108" w:type="dxa"/>
          </w:tblCellMar>
        </w:tblPrEx>
        <w:trPr>
          <w:trHeight w:val="354"/>
          <w:jc w:val="center"/>
        </w:trPr>
        <w:tc>
          <w:tcPr>
            <w:tcW w:w="673" w:type="dxa"/>
            <w:vAlign w:val="center"/>
          </w:tcPr>
          <w:p w14:paraId="5DB37A53">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4</w:t>
            </w:r>
          </w:p>
        </w:tc>
        <w:tc>
          <w:tcPr>
            <w:tcW w:w="2192" w:type="dxa"/>
            <w:vAlign w:val="center"/>
          </w:tcPr>
          <w:p w14:paraId="718B7CC5">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总投资额</w:t>
            </w:r>
          </w:p>
        </w:tc>
        <w:tc>
          <w:tcPr>
            <w:tcW w:w="6652" w:type="dxa"/>
            <w:vAlign w:val="center"/>
          </w:tcPr>
          <w:p w14:paraId="2B9E61EA">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napToGrid w:val="0"/>
                <w:kern w:val="2"/>
                <w:sz w:val="21"/>
                <w:szCs w:val="21"/>
                <w:u w:val="single"/>
                <w:lang w:eastAsia="zh-CN" w:bidi="ar"/>
              </w:rPr>
              <w:t>约40050万元</w:t>
            </w:r>
            <w:r>
              <w:rPr>
                <w:rFonts w:ascii="宋体" w:eastAsia="宋体" w:hAnsi="宋体" w:cs="宋体" w:hint="eastAsia"/>
                <w:snapToGrid w:val="0"/>
                <w:kern w:val="2"/>
                <w:sz w:val="21"/>
                <w:szCs w:val="21"/>
                <w:u w:val="single"/>
                <w:lang w:eastAsia="zh-CN" w:bidi="ar"/>
              </w:rPr>
              <w:t xml:space="preserve">   </w:t>
            </w:r>
          </w:p>
        </w:tc>
      </w:tr>
      <w:tr w14:paraId="047C8E53">
        <w:tblPrEx>
          <w:tblW w:w="5000" w:type="pct"/>
          <w:jc w:val="center"/>
          <w:tblLayout w:type="fixed"/>
          <w:tblCellMar>
            <w:top w:w="0" w:type="dxa"/>
            <w:left w:w="108" w:type="dxa"/>
            <w:bottom w:w="0" w:type="dxa"/>
            <w:right w:w="108" w:type="dxa"/>
          </w:tblCellMar>
        </w:tblPrEx>
        <w:trPr>
          <w:trHeight w:val="277"/>
          <w:jc w:val="center"/>
        </w:trPr>
        <w:tc>
          <w:tcPr>
            <w:tcW w:w="673" w:type="dxa"/>
            <w:vAlign w:val="center"/>
          </w:tcPr>
          <w:p w14:paraId="68D4A6D0">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5</w:t>
            </w:r>
          </w:p>
        </w:tc>
        <w:tc>
          <w:tcPr>
            <w:tcW w:w="2192" w:type="dxa"/>
            <w:vAlign w:val="center"/>
          </w:tcPr>
          <w:p w14:paraId="21DC8E6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招标范围</w:t>
            </w:r>
          </w:p>
        </w:tc>
        <w:tc>
          <w:tcPr>
            <w:tcW w:w="6652" w:type="dxa"/>
            <w:vAlign w:val="center"/>
          </w:tcPr>
          <w:p w14:paraId="5645B11A">
            <w:pPr>
              <w:keepNext w:val="0"/>
              <w:keepLines w:val="0"/>
              <w:pageBreakBefore w:val="0"/>
              <w:widowControl/>
              <w:suppressLineNumbers w:val="0"/>
              <w:kinsoku w:val="0"/>
              <w:wordWrap/>
              <w:overflowPunct/>
              <w:topLinePunct w:val="0"/>
              <w:autoSpaceDE w:val="0"/>
              <w:autoSpaceDN w:val="0"/>
              <w:bidi w:val="0"/>
              <w:adjustRightInd w:val="0"/>
              <w:snapToGrid w:val="0"/>
              <w:spacing w:before="74" w:beforeAutospacing="0" w:after="0" w:afterAutospacing="0" w:line="360" w:lineRule="auto"/>
              <w:ind w:left="0" w:right="120" w:firstLine="0" w:firstLineChars="0"/>
              <w:jc w:val="left"/>
              <w:textAlignment w:val="baseline"/>
              <w:rPr>
                <w:rFonts w:ascii="宋体" w:eastAsia="宋体" w:hAnsi="宋体" w:cs="宋体" w:hint="eastAsia"/>
                <w:b/>
                <w:bCs/>
                <w:spacing w:val="-3"/>
                <w:kern w:val="2"/>
                <w:sz w:val="21"/>
                <w:szCs w:val="21"/>
                <w:lang w:eastAsia="zh-CN" w:bidi="ar"/>
              </w:rPr>
            </w:pPr>
            <w:r>
              <w:rPr>
                <w:rFonts w:ascii="宋体" w:eastAsia="宋体" w:hAnsi="宋体" w:cs="宋体" w:hint="eastAsia"/>
                <w:b/>
                <w:bCs/>
                <w:spacing w:val="-3"/>
                <w:kern w:val="2"/>
                <w:sz w:val="21"/>
                <w:szCs w:val="21"/>
                <w:lang w:eastAsia="zh-CN" w:bidi="ar"/>
              </w:rPr>
              <w:t xml:space="preserve"> </w:t>
            </w:r>
            <w:r>
              <w:rPr>
                <w:rFonts w:ascii="宋体" w:eastAsia="宋体" w:hAnsi="宋体" w:cs="宋体" w:hint="eastAsia"/>
                <w:b/>
                <w:bCs/>
                <w:spacing w:val="-3"/>
                <w:kern w:val="2"/>
                <w:sz w:val="21"/>
                <w:szCs w:val="21"/>
                <w:lang w:eastAsia="zh-CN" w:bidi="ar"/>
              </w:rPr>
              <w:t>（</w:t>
            </w:r>
            <w:r>
              <w:rPr>
                <w:rFonts w:ascii="宋体" w:eastAsia="宋体" w:hAnsi="宋体" w:cs="宋体" w:hint="eastAsia"/>
                <w:b/>
                <w:bCs/>
                <w:spacing w:val="-3"/>
                <w:kern w:val="2"/>
                <w:sz w:val="21"/>
                <w:szCs w:val="21"/>
                <w:lang w:eastAsia="zh-CN" w:bidi="ar"/>
              </w:rPr>
              <w:t>一</w:t>
            </w:r>
            <w:r>
              <w:rPr>
                <w:rFonts w:ascii="宋体" w:eastAsia="宋体" w:hAnsi="宋体" w:cs="宋体" w:hint="eastAsia"/>
                <w:b/>
                <w:bCs/>
                <w:spacing w:val="-3"/>
                <w:kern w:val="2"/>
                <w:sz w:val="21"/>
                <w:szCs w:val="21"/>
                <w:lang w:eastAsia="zh-CN" w:bidi="ar"/>
              </w:rPr>
              <w:t>）</w:t>
            </w:r>
            <w:r>
              <w:rPr>
                <w:rFonts w:ascii="宋体" w:eastAsia="宋体" w:hAnsi="宋体" w:cs="宋体" w:hint="eastAsia"/>
                <w:b/>
                <w:bCs/>
                <w:spacing w:val="-3"/>
                <w:kern w:val="2"/>
                <w:sz w:val="21"/>
                <w:szCs w:val="21"/>
                <w:lang w:eastAsia="zh-CN"/>
              </w:rPr>
              <w:t>项目基本情况</w:t>
            </w:r>
            <w:r>
              <w:rPr>
                <w:rFonts w:ascii="宋体" w:eastAsia="宋体" w:hAnsi="宋体" w:cs="宋体" w:hint="eastAsia"/>
                <w:b/>
                <w:bCs/>
                <w:spacing w:val="-3"/>
                <w:kern w:val="2"/>
                <w:sz w:val="21"/>
                <w:szCs w:val="21"/>
                <w:lang w:eastAsia="zh-CN"/>
              </w:rPr>
              <w:t>：</w:t>
            </w:r>
          </w:p>
          <w:p w14:paraId="4E1735D6">
            <w:pPr>
              <w:keepNext w:val="0"/>
              <w:keepLines w:val="0"/>
              <w:pageBreakBefore w:val="0"/>
              <w:widowControl/>
              <w:suppressLineNumbers w:val="0"/>
              <w:kinsoku w:val="0"/>
              <w:wordWrap/>
              <w:overflowPunct/>
              <w:topLinePunct w:val="0"/>
              <w:autoSpaceDE w:val="0"/>
              <w:autoSpaceDN w:val="0"/>
              <w:bidi w:val="0"/>
              <w:adjustRightInd w:val="0"/>
              <w:snapToGrid w:val="0"/>
              <w:spacing w:before="74" w:beforeAutospacing="0" w:after="0" w:afterAutospacing="0" w:line="360" w:lineRule="auto"/>
              <w:ind w:right="120"/>
              <w:jc w:val="left"/>
              <w:textAlignment w:val="baseline"/>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 xml:space="preserve"> 项目用地面积44244平方米，建设内容包括:新建教学及辅助用房、办公用房、生活服务用房、教师宿舍、初中学生宿舍、架空活动空间、架空车库、地下室、运动场地以及配套工程、配套设备设施等。新建总建筑面积63307.71平方米，其中必配校舍用房34197.07平方米，含教学及辅助用房26491.12平方米、办公用房4201.05平方米、生活服务用房3504.9平方米;选配校舍用房29110.64平方米，含教师宿舍2566.15平方米，初中学生宿舍7738.35平方米，架空活动空间13968.08平方米，非机动车架空车库898.9平方米，地下室3939.16平方米(含人防工程、停车库及设备用房)。运动场地含200米环形跑道1个、300环形跑道1个、篮球场6个、排球(兼羽毛球场)3个、器械+游戏区1处。配套工程涉及绿化、道路、管网、标识等。上述指标均为暂定，具体规划指标以政府部门审批为准。</w:t>
            </w:r>
          </w:p>
          <w:p w14:paraId="63686AAC">
            <w:pPr>
              <w:keepNext w:val="0"/>
              <w:keepLines w:val="0"/>
              <w:pageBreakBefore w:val="0"/>
              <w:widowControl/>
              <w:numPr>
                <w:ilvl w:val="0"/>
                <w:numId w:val="3"/>
              </w:numPr>
              <w:suppressLineNumbers w:val="0"/>
              <w:kinsoku w:val="0"/>
              <w:wordWrap/>
              <w:overflowPunct/>
              <w:topLinePunct w:val="0"/>
              <w:autoSpaceDE w:val="0"/>
              <w:autoSpaceDN w:val="0"/>
              <w:bidi w:val="0"/>
              <w:adjustRightInd w:val="0"/>
              <w:snapToGrid w:val="0"/>
              <w:spacing w:before="74" w:beforeAutospacing="0" w:after="0" w:afterAutospacing="0" w:line="360" w:lineRule="auto"/>
              <w:ind w:right="120"/>
              <w:jc w:val="left"/>
              <w:textAlignment w:val="baseline"/>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服务内容：</w:t>
            </w:r>
          </w:p>
          <w:p w14:paraId="555AC93D">
            <w:pPr>
              <w:keepNext w:val="0"/>
              <w:keepLines w:val="0"/>
              <w:pageBreakBefore w:val="0"/>
              <w:widowControl/>
              <w:suppressLineNumbers w:val="0"/>
              <w:kinsoku w:val="0"/>
              <w:wordWrap/>
              <w:overflowPunct/>
              <w:topLinePunct w:val="0"/>
              <w:autoSpaceDE w:val="0"/>
              <w:autoSpaceDN w:val="0"/>
              <w:bidi w:val="0"/>
              <w:adjustRightInd w:val="0"/>
              <w:snapToGrid w:val="0"/>
              <w:spacing w:before="74" w:beforeAutospacing="0" w:after="0" w:afterAutospacing="0" w:line="360" w:lineRule="auto"/>
              <w:ind w:right="120"/>
              <w:jc w:val="left"/>
              <w:textAlignment w:val="baseline"/>
              <w:rPr>
                <w:rFonts w:ascii="宋体" w:eastAsia="宋体" w:hAnsi="宋体" w:cs="宋体" w:hint="eastAsia"/>
                <w:snapToGrid w:val="0"/>
                <w:kern w:val="2"/>
                <w:sz w:val="21"/>
                <w:szCs w:val="21"/>
                <w:u w:val="single"/>
                <w:lang w:eastAsia="zh-CN" w:bidi="ar"/>
              </w:rPr>
            </w:pPr>
            <w:r>
              <w:rPr>
                <w:rFonts w:ascii="宋体" w:eastAsia="宋体" w:hAnsi="宋体" w:cs="宋体" w:hint="eastAsia"/>
                <w:snapToGrid w:val="0"/>
                <w:color w:val="0000FF"/>
                <w:sz w:val="21"/>
                <w:szCs w:val="21"/>
                <w:u w:val="single"/>
                <w:lang w:eastAsia="zh-CN" w:bidi="ar"/>
              </w:rPr>
              <w:t>本项目造价咨询服务包含（但不限于）概算阶段、预算阶段、施工阶段、结算阶段的造价咨询服务，以及招标人要求办理的与本工程造价咨询服务有关的一切事务，具体详见招标文件造价咨询合同。</w:t>
            </w:r>
          </w:p>
        </w:tc>
      </w:tr>
      <w:tr w14:paraId="27981723">
        <w:tblPrEx>
          <w:tblW w:w="5000" w:type="pct"/>
          <w:jc w:val="center"/>
          <w:tblLayout w:type="fixed"/>
          <w:tblCellMar>
            <w:top w:w="0" w:type="dxa"/>
            <w:left w:w="108" w:type="dxa"/>
            <w:bottom w:w="0" w:type="dxa"/>
            <w:right w:w="108" w:type="dxa"/>
          </w:tblCellMar>
        </w:tblPrEx>
        <w:trPr>
          <w:trHeight w:val="404"/>
          <w:jc w:val="center"/>
        </w:trPr>
        <w:tc>
          <w:tcPr>
            <w:tcW w:w="673" w:type="dxa"/>
            <w:vMerge w:val="restart"/>
            <w:vAlign w:val="center"/>
          </w:tcPr>
          <w:p w14:paraId="08A76D64">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6</w:t>
            </w:r>
          </w:p>
        </w:tc>
        <w:tc>
          <w:tcPr>
            <w:tcW w:w="2192" w:type="dxa"/>
            <w:vMerge w:val="restart"/>
            <w:vAlign w:val="center"/>
          </w:tcPr>
          <w:p w14:paraId="67C9663F">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资金来源</w:t>
            </w:r>
            <w:r>
              <w:rPr>
                <w:rFonts w:ascii="宋体" w:eastAsia="宋体" w:hAnsi="宋体" w:cs="宋体" w:hint="eastAsia"/>
                <w:sz w:val="21"/>
                <w:szCs w:val="21"/>
                <w:lang w:eastAsia="zh-CN"/>
              </w:rPr>
              <w:t>及支持中小企业发展措施</w:t>
            </w:r>
          </w:p>
        </w:tc>
        <w:tc>
          <w:tcPr>
            <w:tcW w:w="6652" w:type="dxa"/>
            <w:vAlign w:val="center"/>
          </w:tcPr>
          <w:p w14:paraId="322BA1A3">
            <w:pPr>
              <w:widowControl w:val="0"/>
              <w:adjustRightInd/>
              <w:snapToGrid/>
              <w:spacing w:line="240" w:lineRule="auto"/>
              <w:jc w:val="both"/>
              <w:rPr>
                <w:rFonts w:ascii="宋体" w:eastAsia="宋体" w:hAnsi="宋体" w:cs="宋体" w:hint="eastAsia"/>
                <w:bCs/>
                <w:sz w:val="21"/>
                <w:szCs w:val="21"/>
                <w:lang w:eastAsia="zh-CN"/>
              </w:rPr>
            </w:pPr>
            <w:r>
              <w:rPr>
                <w:rFonts w:ascii="宋体" w:eastAsia="宋体" w:hAnsi="宋体" w:cs="宋体" w:hint="eastAsia"/>
                <w:bCs/>
                <w:sz w:val="21"/>
                <w:szCs w:val="21"/>
                <w:lang w:eastAsia="zh-CN"/>
              </w:rPr>
              <w:t>资金来源：</w:t>
            </w:r>
            <w:r>
              <w:rPr>
                <w:rFonts w:ascii="宋体" w:eastAsia="宋体" w:hAnsi="宋体" w:cs="宋体" w:hint="eastAsia"/>
                <w:bCs/>
                <w:sz w:val="21"/>
                <w:szCs w:val="21"/>
                <w:lang w:eastAsia="zh-CN"/>
              </w:rPr>
              <w:t xml:space="preserve"> </w:t>
            </w:r>
            <w:r>
              <w:rPr>
                <w:rFonts w:ascii="宋体" w:eastAsia="宋体" w:hAnsi="宋体" w:cs="宋体" w:hint="eastAsia"/>
                <w:bCs/>
                <w:sz w:val="21"/>
                <w:szCs w:val="21"/>
                <w:lang w:eastAsia="zh-CN"/>
              </w:rPr>
              <w:t xml:space="preserve">     </w:t>
            </w:r>
            <w:r>
              <w:rPr>
                <w:rFonts w:ascii="宋体" w:eastAsia="宋体" w:hAnsi="宋体" w:cs="宋体" w:hint="eastAsia"/>
                <w:bCs/>
                <w:sz w:val="21"/>
                <w:szCs w:val="21"/>
                <w:lang w:eastAsia="zh-CN"/>
              </w:rPr>
              <w:t xml:space="preserve">     </w:t>
            </w:r>
          </w:p>
          <w:p w14:paraId="4D280121">
            <w:pPr>
              <w:widowControl w:val="0"/>
              <w:adjustRightInd/>
              <w:snapToGrid/>
              <w:spacing w:line="24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☑政府投资</w:t>
            </w:r>
            <w:r>
              <w:rPr>
                <w:rFonts w:ascii="宋体" w:eastAsia="宋体" w:hAnsi="宋体" w:cs="宋体" w:hint="eastAsia"/>
                <w:sz w:val="21"/>
                <w:szCs w:val="21"/>
                <w:lang w:eastAsia="zh-CN"/>
              </w:rPr>
              <w:t xml:space="preserve"> 占比</w:t>
            </w:r>
            <w:r>
              <w:rPr>
                <w:rFonts w:ascii="宋体" w:eastAsia="宋体" w:hAnsi="宋体" w:cs="宋体" w:hint="eastAsia"/>
                <w:sz w:val="21"/>
                <w:szCs w:val="21"/>
                <w:u w:val="single"/>
                <w:lang w:eastAsia="zh-CN"/>
              </w:rPr>
              <w:t xml:space="preserve"> 100  </w:t>
            </w:r>
            <w:r>
              <w:rPr>
                <w:rFonts w:ascii="宋体" w:eastAsia="宋体" w:hAnsi="宋体" w:cs="宋体" w:hint="eastAsia"/>
                <w:sz w:val="21"/>
                <w:szCs w:val="21"/>
                <w:lang w:eastAsia="zh-CN"/>
              </w:rPr>
              <w:t xml:space="preserve">% </w:t>
            </w:r>
          </w:p>
          <w:p w14:paraId="5B44D2F1">
            <w:pPr>
              <w:widowControl w:val="0"/>
              <w:adjustRightInd/>
              <w:snapToGrid/>
              <w:spacing w:line="24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□国有企业投资</w:t>
            </w:r>
            <w:r>
              <w:rPr>
                <w:rFonts w:ascii="宋体" w:eastAsia="宋体" w:hAnsi="宋体" w:cs="宋体" w:hint="eastAsia"/>
                <w:sz w:val="21"/>
                <w:szCs w:val="21"/>
                <w:lang w:eastAsia="zh-CN"/>
              </w:rPr>
              <w:t xml:space="preserve">  占比</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 xml:space="preserve">%  </w:t>
            </w:r>
          </w:p>
          <w:p w14:paraId="14F2C1D3">
            <w:pPr>
              <w:widowControl w:val="0"/>
              <w:adjustRightInd/>
              <w:snapToGrid/>
              <w:spacing w:line="24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□集体资金投资</w:t>
            </w:r>
            <w:r>
              <w:rPr>
                <w:rFonts w:ascii="宋体" w:eastAsia="宋体" w:hAnsi="宋体" w:cs="宋体" w:hint="eastAsia"/>
                <w:sz w:val="21"/>
                <w:szCs w:val="21"/>
                <w:lang w:eastAsia="zh-CN"/>
              </w:rPr>
              <w:t xml:space="preserve"> </w:t>
            </w:r>
            <w:r>
              <w:rPr>
                <w:rFonts w:ascii="宋体" w:eastAsia="宋体" w:hAnsi="宋体" w:cs="宋体" w:hint="eastAsia"/>
                <w:sz w:val="21"/>
                <w:szCs w:val="21"/>
                <w:lang w:eastAsia="zh-CN"/>
              </w:rPr>
              <w:t xml:space="preserve"> 占比</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 xml:space="preserve">% </w:t>
            </w:r>
          </w:p>
          <w:p w14:paraId="016141DC">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□其他</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 xml:space="preserve"> 占比</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 xml:space="preserve">% </w:t>
            </w:r>
          </w:p>
        </w:tc>
      </w:tr>
      <w:tr w14:paraId="31EE51FD">
        <w:tblPrEx>
          <w:tblW w:w="5000" w:type="pct"/>
          <w:jc w:val="center"/>
          <w:tblLayout w:type="fixed"/>
          <w:tblCellMar>
            <w:top w:w="0" w:type="dxa"/>
            <w:left w:w="108" w:type="dxa"/>
            <w:bottom w:w="0" w:type="dxa"/>
            <w:right w:w="108" w:type="dxa"/>
          </w:tblCellMar>
        </w:tblPrEx>
        <w:trPr>
          <w:trHeight w:val="404"/>
          <w:jc w:val="center"/>
        </w:trPr>
        <w:tc>
          <w:tcPr>
            <w:tcW w:w="673" w:type="dxa"/>
            <w:vMerge/>
            <w:vAlign w:val="center"/>
          </w:tcPr>
          <w:p w14:paraId="59A04775">
            <w:pPr>
              <w:widowControl w:val="0"/>
              <w:spacing w:line="360" w:lineRule="auto"/>
              <w:jc w:val="center"/>
              <w:rPr>
                <w:rFonts w:ascii="宋体" w:eastAsia="宋体" w:hAnsi="宋体" w:cs="宋体" w:hint="eastAsia"/>
                <w:snapToGrid w:val="0"/>
                <w:sz w:val="21"/>
                <w:szCs w:val="21"/>
                <w:lang w:eastAsia="zh-CN"/>
              </w:rPr>
            </w:pPr>
          </w:p>
        </w:tc>
        <w:tc>
          <w:tcPr>
            <w:tcW w:w="2192" w:type="dxa"/>
            <w:vMerge/>
            <w:vAlign w:val="center"/>
          </w:tcPr>
          <w:p w14:paraId="651864F7">
            <w:pPr>
              <w:widowControl w:val="0"/>
              <w:spacing w:line="360" w:lineRule="auto"/>
              <w:jc w:val="center"/>
              <w:rPr>
                <w:rFonts w:ascii="宋体" w:eastAsia="宋体" w:hAnsi="宋体" w:cs="宋体" w:hint="eastAsia"/>
                <w:snapToGrid w:val="0"/>
                <w:sz w:val="21"/>
                <w:szCs w:val="21"/>
                <w:lang w:eastAsia="zh-CN"/>
              </w:rPr>
            </w:pPr>
          </w:p>
        </w:tc>
        <w:tc>
          <w:tcPr>
            <w:tcW w:w="6652" w:type="dxa"/>
            <w:vAlign w:val="center"/>
          </w:tcPr>
          <w:p w14:paraId="6FA16B56">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是否采取下列支持中小企业发展措施：</w:t>
            </w:r>
            <w:r>
              <w:rPr>
                <w:rFonts w:ascii="宋体" w:eastAsia="宋体" w:hAnsi="宋体" w:cs="宋体" w:hint="eastAsia"/>
                <w:sz w:val="21"/>
                <w:szCs w:val="21"/>
                <w:lang w:eastAsia="zh-CN"/>
              </w:rPr>
              <w:t>□</w:t>
            </w:r>
            <w:r>
              <w:rPr>
                <w:rFonts w:ascii="宋体" w:eastAsia="宋体" w:hAnsi="宋体" w:cs="宋体" w:hint="eastAsia"/>
                <w:sz w:val="21"/>
                <w:szCs w:val="21"/>
                <w:lang w:eastAsia="zh-CN"/>
              </w:rPr>
              <w:t>是</w:t>
            </w:r>
            <w:r>
              <w:rPr>
                <w:rFonts w:ascii="宋体" w:eastAsia="宋体" w:hAnsi="宋体" w:cs="宋体" w:hint="eastAsia"/>
                <w:sz w:val="21"/>
                <w:szCs w:val="21"/>
                <w:lang w:eastAsia="zh-CN"/>
              </w:rPr>
              <w:t xml:space="preserve">   </w:t>
            </w:r>
            <w:r>
              <w:rPr>
                <w:rFonts w:ascii="宋体" w:eastAsia="宋体" w:hAnsi="宋体" w:cs="宋体" w:hint="eastAsia"/>
                <w:sz w:val="21"/>
                <w:szCs w:val="21"/>
                <w:lang w:eastAsia="zh-CN"/>
              </w:rPr>
              <w:t>☑否</w:t>
            </w:r>
          </w:p>
          <w:p w14:paraId="35FF6944">
            <w:pPr>
              <w:widowControl w:val="0"/>
              <w:adjustRightInd w:val="0"/>
              <w:snapToGrid w:val="0"/>
              <w:spacing w:line="360" w:lineRule="auto"/>
              <w:ind w:firstLine="0" w:firstLineChars="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同等条件下优先选择符合条件的中小企业中标。</w:t>
            </w:r>
          </w:p>
          <w:p w14:paraId="2EFD2E0C">
            <w:pPr>
              <w:widowControl w:val="0"/>
              <w:adjustRightInd w:val="0"/>
              <w:snapToGrid w:val="0"/>
              <w:spacing w:line="360" w:lineRule="auto"/>
              <w:ind w:firstLine="0" w:firstLineChars="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投标人为大型企业的，中标后需将合同金额的</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%依法分包给符合条件的中小企业。</w:t>
            </w:r>
          </w:p>
          <w:p w14:paraId="2745B6F2">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以联合体形式参加本次投标的，联合体中中小企业承担的合同份额需达到</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lang w:eastAsia="zh-CN"/>
              </w:rPr>
              <w:t>%以上。</w:t>
            </w:r>
          </w:p>
          <w:p w14:paraId="117D67C5">
            <w:pPr>
              <w:widowControl w:val="0"/>
              <w:adjustRightInd w:val="0"/>
              <w:snapToGrid w:val="0"/>
              <w:spacing w:line="360" w:lineRule="auto"/>
              <w:jc w:val="both"/>
              <w:rPr>
                <w:rFonts w:ascii="宋体" w:eastAsia="宋体" w:hAnsi="宋体" w:cs="宋体" w:hint="eastAsia"/>
                <w:kern w:val="2"/>
                <w:sz w:val="21"/>
                <w:szCs w:val="22"/>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其他措施</w:t>
            </w:r>
            <w:r>
              <w:rPr>
                <w:rFonts w:ascii="宋体" w:eastAsia="宋体" w:hAnsi="宋体" w:cs="宋体" w:hint="eastAsia"/>
                <w:sz w:val="21"/>
                <w:szCs w:val="21"/>
                <w:u w:val="single"/>
                <w:lang w:eastAsia="zh-CN"/>
              </w:rPr>
              <w:t xml:space="preserve">            </w:t>
            </w:r>
          </w:p>
          <w:p w14:paraId="5A0D4534">
            <w:pPr>
              <w:widowControl w:val="0"/>
              <w:adjustRightInd w:val="0"/>
              <w:snapToGrid w:val="0"/>
              <w:spacing w:line="360" w:lineRule="auto"/>
              <w:jc w:val="left"/>
              <w:rPr>
                <w:rFonts w:ascii="宋体" w:eastAsia="宋体" w:hAnsi="宋体" w:cs="宋体" w:hint="eastAsia"/>
                <w:snapToGrid w:val="0"/>
                <w:kern w:val="2"/>
                <w:sz w:val="21"/>
                <w:szCs w:val="21"/>
                <w:u w:val="single"/>
                <w:lang w:eastAsia="zh-CN" w:bidi="ar"/>
              </w:rPr>
            </w:pPr>
            <w:r>
              <w:rPr>
                <w:rFonts w:ascii="宋体" w:eastAsia="宋体" w:hAnsi="宋体" w:cs="宋体" w:hint="eastAsia"/>
                <w:sz w:val="21"/>
                <w:szCs w:val="21"/>
                <w:lang w:eastAsia="zh-CN"/>
              </w:rPr>
              <w:t>注：根据《深圳市住房和建设局关于在政府投资建设工程招标投标中落实支持中小企业发展政策的通知》（深建市场〔2024〕3号）的规定，依法必须进行招标且适宜由中小企业承接的</w:t>
            </w:r>
            <w:r>
              <w:rPr>
                <w:rFonts w:ascii="宋体" w:eastAsia="宋体" w:hAnsi="宋体" w:cs="宋体" w:hint="eastAsia"/>
                <w:b/>
                <w:bCs/>
                <w:sz w:val="21"/>
                <w:szCs w:val="21"/>
                <w:lang w:eastAsia="zh-CN"/>
              </w:rPr>
              <w:t>政府投资建设工程项目</w:t>
            </w:r>
            <w:r>
              <w:rPr>
                <w:rFonts w:ascii="宋体" w:eastAsia="宋体" w:hAnsi="宋体" w:cs="宋体" w:hint="eastAsia"/>
                <w:sz w:val="21"/>
                <w:szCs w:val="21"/>
                <w:lang w:eastAsia="zh-CN"/>
              </w:rPr>
              <w:t>，建设单位可以采取相应措施促进中小企业发展，并确保中小企业承接（含分包）部分的预算金额达到项目预算总额的40%</w:t>
            </w:r>
            <w:r>
              <w:rPr>
                <w:rFonts w:ascii="宋体" w:eastAsia="宋体" w:hAnsi="宋体" w:cs="宋体" w:hint="eastAsia"/>
                <w:sz w:val="21"/>
                <w:szCs w:val="21"/>
                <w:lang w:eastAsia="zh-CN"/>
              </w:rPr>
              <w:t>。</w:t>
            </w:r>
          </w:p>
        </w:tc>
      </w:tr>
      <w:tr w14:paraId="0F825A70">
        <w:tblPrEx>
          <w:tblW w:w="5000" w:type="pct"/>
          <w:jc w:val="center"/>
          <w:tblLayout w:type="fixed"/>
          <w:tblCellMar>
            <w:top w:w="0" w:type="dxa"/>
            <w:left w:w="108" w:type="dxa"/>
            <w:bottom w:w="0" w:type="dxa"/>
            <w:right w:w="108" w:type="dxa"/>
          </w:tblCellMar>
        </w:tblPrEx>
        <w:trPr>
          <w:trHeight w:val="260"/>
          <w:jc w:val="center"/>
        </w:trPr>
        <w:tc>
          <w:tcPr>
            <w:tcW w:w="673" w:type="dxa"/>
            <w:vMerge w:val="restart"/>
            <w:vAlign w:val="center"/>
          </w:tcPr>
          <w:p w14:paraId="5BF23E7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7</w:t>
            </w:r>
          </w:p>
        </w:tc>
        <w:tc>
          <w:tcPr>
            <w:tcW w:w="2192" w:type="dxa"/>
            <w:vMerge w:val="restart"/>
            <w:vAlign w:val="center"/>
          </w:tcPr>
          <w:p w14:paraId="241013C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投标人资格要求</w:t>
            </w:r>
          </w:p>
        </w:tc>
        <w:tc>
          <w:tcPr>
            <w:tcW w:w="6652" w:type="dxa"/>
            <w:vAlign w:val="center"/>
          </w:tcPr>
          <w:p w14:paraId="773FE20D">
            <w:pPr>
              <w:widowControl w:val="0"/>
              <w:spacing w:after="210" w:line="240" w:lineRule="auto"/>
              <w:jc w:val="left"/>
              <w:rPr>
                <w:rFonts w:ascii="宋体" w:eastAsia="宋体" w:hAnsi="宋体" w:cs="宋体" w:hint="eastAsia"/>
                <w:snapToGrid w:val="0"/>
                <w:sz w:val="21"/>
                <w:szCs w:val="21"/>
                <w:lang w:eastAsia="zh-CN"/>
              </w:rPr>
            </w:pPr>
            <w:r>
              <w:rPr>
                <w:rFonts w:ascii="宋体" w:eastAsia="宋体" w:hAnsi="宋体" w:cs="宋体" w:hint="eastAsia"/>
                <w:color w:val="000000"/>
                <w:kern w:val="2"/>
                <w:sz w:val="21"/>
                <w:szCs w:val="21"/>
                <w:lang w:eastAsia="zh-CN"/>
              </w:rPr>
              <w:t>投标人须为中华人民共和国境内注册成立的独立法人或合伙制企</w:t>
            </w:r>
            <w:r>
              <w:rPr>
                <w:rFonts w:ascii="宋体" w:eastAsia="宋体" w:hAnsi="宋体" w:cs="宋体" w:hint="eastAsia"/>
                <w:snapToGrid w:val="0"/>
                <w:kern w:val="2"/>
                <w:sz w:val="21"/>
                <w:szCs w:val="21"/>
                <w:u w:val="single"/>
                <w:lang w:eastAsia="zh-CN" w:bidi="ar"/>
              </w:rPr>
              <w:t>业或者其他组织</w:t>
            </w:r>
            <w:r>
              <w:rPr>
                <w:rFonts w:ascii="宋体" w:eastAsia="宋体" w:hAnsi="宋体" w:cs="宋体" w:hint="eastAsia"/>
                <w:snapToGrid w:val="0"/>
                <w:kern w:val="2"/>
                <w:sz w:val="21"/>
                <w:szCs w:val="21"/>
                <w:u w:val="single"/>
                <w:lang w:eastAsia="zh-CN" w:bidi="ar"/>
              </w:rPr>
              <w:t>。</w:t>
            </w:r>
          </w:p>
        </w:tc>
      </w:tr>
      <w:tr w14:paraId="0A38023C">
        <w:tblPrEx>
          <w:tblW w:w="5000" w:type="pct"/>
          <w:jc w:val="center"/>
          <w:tblLayout w:type="fixed"/>
          <w:tblCellMar>
            <w:top w:w="0" w:type="dxa"/>
            <w:left w:w="108" w:type="dxa"/>
            <w:bottom w:w="0" w:type="dxa"/>
            <w:right w:w="108" w:type="dxa"/>
          </w:tblCellMar>
        </w:tblPrEx>
        <w:trPr>
          <w:trHeight w:val="404"/>
          <w:jc w:val="center"/>
        </w:trPr>
        <w:tc>
          <w:tcPr>
            <w:tcW w:w="673" w:type="dxa"/>
            <w:vMerge/>
            <w:vAlign w:val="center"/>
          </w:tcPr>
          <w:p w14:paraId="1849D4E1">
            <w:pPr>
              <w:widowControl w:val="0"/>
              <w:spacing w:line="360" w:lineRule="auto"/>
              <w:jc w:val="center"/>
              <w:rPr>
                <w:rFonts w:ascii="宋体" w:eastAsia="宋体" w:hAnsi="宋体" w:cs="宋体" w:hint="eastAsia"/>
                <w:snapToGrid w:val="0"/>
                <w:sz w:val="21"/>
                <w:szCs w:val="21"/>
                <w:lang w:eastAsia="zh-CN"/>
              </w:rPr>
            </w:pPr>
          </w:p>
        </w:tc>
        <w:tc>
          <w:tcPr>
            <w:tcW w:w="2192" w:type="dxa"/>
            <w:vMerge/>
            <w:vAlign w:val="center"/>
          </w:tcPr>
          <w:p w14:paraId="1733DDA0">
            <w:pPr>
              <w:widowControl w:val="0"/>
              <w:spacing w:line="360" w:lineRule="auto"/>
              <w:jc w:val="center"/>
              <w:rPr>
                <w:rFonts w:ascii="宋体" w:eastAsia="宋体" w:hAnsi="宋体" w:cs="宋体" w:hint="eastAsia"/>
                <w:snapToGrid w:val="0"/>
                <w:sz w:val="21"/>
                <w:szCs w:val="21"/>
                <w:lang w:eastAsia="zh-CN"/>
              </w:rPr>
            </w:pPr>
          </w:p>
        </w:tc>
        <w:tc>
          <w:tcPr>
            <w:tcW w:w="6652" w:type="dxa"/>
            <w:vAlign w:val="center"/>
          </w:tcPr>
          <w:p w14:paraId="199AC104">
            <w:pPr>
              <w:widowControl w:val="0"/>
              <w:adjustRightInd w:val="0"/>
              <w:snapToGrid w:val="0"/>
              <w:spacing w:line="360" w:lineRule="auto"/>
              <w:jc w:val="left"/>
              <w:rPr>
                <w:rFonts w:ascii="宋体" w:eastAsia="宋体" w:hAnsi="宋体" w:cs="宋体" w:hint="eastAsia"/>
                <w:snapToGrid w:val="0"/>
                <w:kern w:val="2"/>
                <w:sz w:val="21"/>
                <w:szCs w:val="21"/>
                <w:u w:val="single"/>
                <w:lang w:eastAsia="zh-CN" w:bidi="ar"/>
              </w:rPr>
            </w:pPr>
            <w:r>
              <w:rPr>
                <w:rFonts w:ascii="宋体" w:eastAsia="宋体" w:hAnsi="宋体" w:cs="宋体" w:hint="eastAsia"/>
                <w:sz w:val="21"/>
                <w:szCs w:val="21"/>
                <w:lang w:eastAsia="zh-CN"/>
              </w:rPr>
              <w:t>利害关系单位投标：</w:t>
            </w:r>
            <w:r>
              <w:rPr>
                <w:rFonts w:ascii="宋体" w:eastAsia="宋体" w:hAnsi="宋体" w:cs="宋体" w:hint="eastAsia"/>
                <w:sz w:val="21"/>
                <w:szCs w:val="21"/>
                <w:lang w:eastAsia="zh-CN"/>
              </w:rPr>
              <w:t>☑</w:t>
            </w:r>
            <w:r>
              <w:rPr>
                <w:rFonts w:ascii="宋体" w:eastAsia="宋体" w:hAnsi="宋体" w:cs="宋体" w:hint="eastAsia"/>
                <w:sz w:val="21"/>
                <w:szCs w:val="21"/>
                <w:lang w:eastAsia="zh-CN"/>
              </w:rPr>
              <w:t xml:space="preserve">接受    </w:t>
            </w:r>
            <w:r>
              <w:rPr>
                <w:rFonts w:ascii="宋体" w:eastAsia="宋体" w:hAnsi="宋体" w:cs="宋体" w:hint="eastAsia"/>
                <w:sz w:val="21"/>
                <w:szCs w:val="21"/>
                <w:lang w:eastAsia="zh-CN"/>
              </w:rPr>
              <w:t>□</w:t>
            </w:r>
            <w:r>
              <w:rPr>
                <w:rFonts w:ascii="宋体" w:eastAsia="宋体" w:hAnsi="宋体" w:cs="宋体" w:hint="eastAsia"/>
                <w:sz w:val="21"/>
                <w:szCs w:val="21"/>
                <w:lang w:eastAsia="zh-CN"/>
              </w:rPr>
              <w:t>不接受</w:t>
            </w:r>
          </w:p>
        </w:tc>
      </w:tr>
      <w:tr w14:paraId="296606E5">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535C1B9B">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8</w:t>
            </w:r>
          </w:p>
        </w:tc>
        <w:tc>
          <w:tcPr>
            <w:tcW w:w="2192" w:type="dxa"/>
            <w:vAlign w:val="center"/>
          </w:tcPr>
          <w:p w14:paraId="5EC67CD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资格审查方式</w:t>
            </w:r>
          </w:p>
        </w:tc>
        <w:tc>
          <w:tcPr>
            <w:tcW w:w="6652" w:type="dxa"/>
            <w:vAlign w:val="center"/>
          </w:tcPr>
          <w:p w14:paraId="44D53D56">
            <w:pPr>
              <w:widowControl w:val="0"/>
              <w:spacing w:line="360" w:lineRule="auto"/>
              <w:jc w:val="left"/>
              <w:rPr>
                <w:rFonts w:ascii="宋体" w:eastAsia="宋体" w:hAnsi="宋体" w:cs="宋体" w:hint="eastAsia"/>
                <w:b/>
                <w:snapToGrid w:val="0"/>
                <w:sz w:val="21"/>
                <w:szCs w:val="21"/>
                <w:lang w:eastAsia="zh-CN"/>
              </w:rPr>
            </w:pPr>
            <w:r>
              <w:rPr>
                <w:rFonts w:ascii="宋体" w:eastAsia="宋体" w:hAnsi="宋体" w:cs="宋体" w:hint="eastAsia"/>
                <w:snapToGrid w:val="0"/>
                <w:sz w:val="21"/>
                <w:szCs w:val="21"/>
                <w:lang w:eastAsia="zh-CN"/>
              </w:rPr>
              <w:t>资格后审</w:t>
            </w:r>
          </w:p>
        </w:tc>
      </w:tr>
      <w:tr w14:paraId="220D98F1">
        <w:tblPrEx>
          <w:tblW w:w="5000" w:type="pct"/>
          <w:jc w:val="center"/>
          <w:tblLayout w:type="fixed"/>
          <w:tblCellMar>
            <w:top w:w="0" w:type="dxa"/>
            <w:left w:w="108" w:type="dxa"/>
            <w:bottom w:w="0" w:type="dxa"/>
            <w:right w:w="108" w:type="dxa"/>
          </w:tblCellMar>
        </w:tblPrEx>
        <w:trPr>
          <w:trHeight w:val="435"/>
          <w:jc w:val="center"/>
        </w:trPr>
        <w:tc>
          <w:tcPr>
            <w:tcW w:w="673" w:type="dxa"/>
            <w:vAlign w:val="center"/>
          </w:tcPr>
          <w:p w14:paraId="4868D354">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9</w:t>
            </w:r>
          </w:p>
        </w:tc>
        <w:tc>
          <w:tcPr>
            <w:tcW w:w="2192" w:type="dxa"/>
            <w:vAlign w:val="center"/>
          </w:tcPr>
          <w:p w14:paraId="6B8B96F1">
            <w:pPr>
              <w:widowControl w:val="0"/>
              <w:spacing w:line="360" w:lineRule="auto"/>
              <w:jc w:val="center"/>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是否接受</w:t>
            </w:r>
          </w:p>
          <w:p w14:paraId="7D3F3F55">
            <w:pPr>
              <w:widowControl w:val="0"/>
              <w:spacing w:line="360" w:lineRule="auto"/>
              <w:jc w:val="center"/>
              <w:rPr>
                <w:rFonts w:ascii="宋体" w:eastAsia="宋体" w:hAnsi="宋体" w:cs="宋体" w:hint="eastAsia"/>
                <w:sz w:val="21"/>
                <w:szCs w:val="21"/>
                <w:lang w:eastAsia="zh-CN"/>
              </w:rPr>
            </w:pPr>
            <w:r>
              <w:rPr>
                <w:rFonts w:ascii="宋体" w:eastAsia="宋体" w:hAnsi="宋体" w:cs="宋体" w:hint="eastAsia"/>
                <w:kern w:val="2"/>
                <w:sz w:val="21"/>
                <w:szCs w:val="21"/>
                <w:lang w:eastAsia="zh-CN"/>
              </w:rPr>
              <w:t>联合体投标</w:t>
            </w:r>
          </w:p>
        </w:tc>
        <w:tc>
          <w:tcPr>
            <w:tcW w:w="6652" w:type="dxa"/>
            <w:vAlign w:val="center"/>
          </w:tcPr>
          <w:p w14:paraId="4ECA7179">
            <w:pPr>
              <w:widowControl w:val="0"/>
              <w:spacing w:line="360" w:lineRule="auto"/>
              <w:jc w:val="both"/>
              <w:rPr>
                <w:rFonts w:ascii="宋体" w:eastAsia="宋体" w:hAnsi="宋体" w:cs="宋体" w:hint="eastAsia"/>
                <w:snapToGrid w:val="0"/>
                <w:sz w:val="21"/>
                <w:szCs w:val="21"/>
                <w:u w:val="single"/>
                <w:lang w:eastAsia="zh-CN"/>
              </w:rPr>
            </w:pPr>
            <w:r>
              <w:rPr>
                <w:rFonts w:ascii="宋体" w:eastAsia="宋体" w:hAnsi="宋体" w:cs="宋体" w:hint="eastAsia"/>
                <w:kern w:val="2"/>
                <w:sz w:val="21"/>
                <w:szCs w:val="21"/>
                <w:lang w:eastAsia="zh-CN" w:bidi="ar"/>
              </w:rPr>
              <w:t>□</w:t>
            </w:r>
            <w:r>
              <w:rPr>
                <w:rFonts w:ascii="宋体" w:eastAsia="宋体" w:hAnsi="宋体" w:cs="宋体" w:hint="eastAsia"/>
                <w:kern w:val="2"/>
                <w:sz w:val="21"/>
                <w:szCs w:val="21"/>
                <w:lang w:eastAsia="zh-CN"/>
              </w:rPr>
              <w:t xml:space="preserve">不接受   </w:t>
            </w:r>
            <w:r>
              <w:rPr>
                <w:rFonts w:ascii="宋体" w:eastAsia="宋体" w:hAnsi="宋体" w:cs="宋体" w:hint="eastAsia"/>
                <w:kern w:val="2"/>
                <w:sz w:val="21"/>
                <w:szCs w:val="21"/>
                <w:lang w:eastAsia="zh-CN" w:bidi="ar"/>
              </w:rPr>
              <w:t>☑</w:t>
            </w:r>
            <w:r>
              <w:rPr>
                <w:rFonts w:ascii="宋体" w:eastAsia="宋体" w:hAnsi="宋体" w:cs="宋体" w:hint="eastAsia"/>
                <w:kern w:val="2"/>
                <w:sz w:val="21"/>
                <w:szCs w:val="21"/>
                <w:lang w:eastAsia="zh-CN"/>
              </w:rPr>
              <w:t>接受</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本项目</w:t>
            </w:r>
            <w:r>
              <w:rPr>
                <w:rFonts w:ascii="宋体" w:eastAsia="宋体" w:hAnsi="宋体" w:cs="宋体" w:hint="eastAsia"/>
                <w:kern w:val="2"/>
                <w:sz w:val="21"/>
                <w:szCs w:val="21"/>
                <w:lang w:eastAsia="zh-CN"/>
              </w:rPr>
              <w:t>接受联合体投标，但联合体成员（含牵头单位）最多2名，投标人自行确定联合体牵头单位，已组成联合体的单位不能再单独参与投标，也不能再与其他单位组成联合体参加投标。</w:t>
            </w:r>
          </w:p>
        </w:tc>
      </w:tr>
      <w:tr w14:paraId="2C22970A">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4A64527B">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10</w:t>
            </w:r>
          </w:p>
        </w:tc>
        <w:tc>
          <w:tcPr>
            <w:tcW w:w="2192" w:type="dxa"/>
            <w:vAlign w:val="center"/>
          </w:tcPr>
          <w:p w14:paraId="5C84F23E">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项目负责人资格要求</w:t>
            </w:r>
          </w:p>
        </w:tc>
        <w:tc>
          <w:tcPr>
            <w:tcW w:w="6652" w:type="dxa"/>
            <w:vAlign w:val="center"/>
          </w:tcPr>
          <w:p w14:paraId="6568C6AC">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kern w:val="2"/>
                <w:sz w:val="21"/>
                <w:szCs w:val="21"/>
                <w:u w:val="single"/>
                <w:lang w:eastAsia="zh-CN" w:bidi="ar"/>
              </w:rPr>
              <w:t xml:space="preserve">  </w:t>
            </w:r>
            <w:r>
              <w:rPr>
                <w:rFonts w:ascii="宋体" w:eastAsia="宋体" w:hAnsi="宋体" w:cs="宋体" w:hint="eastAsia"/>
                <w:color w:val="000000"/>
                <w:kern w:val="2"/>
                <w:sz w:val="21"/>
                <w:szCs w:val="21"/>
                <w:u w:val="single"/>
                <w:lang w:eastAsia="zh-CN"/>
              </w:rPr>
              <w:t>项目负责人应当</w:t>
            </w:r>
            <w:r>
              <w:rPr>
                <w:rFonts w:eastAsia="宋体" w:cstheme="minorBidi"/>
                <w:color w:val="0000FF"/>
                <w:kern w:val="2"/>
                <w:sz w:val="21"/>
                <w:szCs w:val="21"/>
                <w:u w:val="single"/>
                <w:lang w:eastAsia="zh-CN"/>
              </w:rPr>
              <w:t>具备</w:t>
            </w:r>
            <w:r>
              <w:rPr>
                <w:rFonts w:eastAsia="宋体" w:cstheme="minorBidi" w:hint="eastAsia"/>
                <w:color w:val="0000FF"/>
                <w:kern w:val="2"/>
                <w:sz w:val="21"/>
                <w:szCs w:val="21"/>
                <w:u w:val="single"/>
                <w:lang w:eastAsia="zh-CN"/>
              </w:rPr>
              <w:t>住房和城乡建设部颁发的</w:t>
            </w:r>
            <w:r>
              <w:rPr>
                <w:rFonts w:eastAsia="宋体" w:cstheme="minorBidi"/>
                <w:color w:val="0000FF"/>
                <w:kern w:val="2"/>
                <w:sz w:val="21"/>
                <w:szCs w:val="21"/>
                <w:u w:val="single"/>
                <w:lang w:eastAsia="zh-CN"/>
              </w:rPr>
              <w:t>一级注册造价工程师</w:t>
            </w:r>
            <w:r>
              <w:rPr>
                <w:rFonts w:eastAsia="宋体" w:cstheme="minorBidi" w:hint="eastAsia"/>
                <w:color w:val="0000FF"/>
                <w:kern w:val="2"/>
                <w:sz w:val="21"/>
                <w:szCs w:val="21"/>
                <w:u w:val="single"/>
                <w:lang w:eastAsia="zh-CN"/>
              </w:rPr>
              <w:t>执业</w:t>
            </w:r>
            <w:r>
              <w:rPr>
                <w:rFonts w:eastAsia="宋体" w:cstheme="minorBidi"/>
                <w:color w:val="0000FF"/>
                <w:kern w:val="2"/>
                <w:sz w:val="21"/>
                <w:szCs w:val="21"/>
                <w:u w:val="single"/>
                <w:lang w:eastAsia="zh-CN"/>
              </w:rPr>
              <w:t>资格</w:t>
            </w:r>
            <w:r>
              <w:rPr>
                <w:rFonts w:eastAsia="宋体" w:cstheme="minorBidi" w:hint="eastAsia"/>
                <w:color w:val="0000FF"/>
                <w:kern w:val="2"/>
                <w:sz w:val="21"/>
                <w:szCs w:val="21"/>
                <w:u w:val="single"/>
                <w:lang w:eastAsia="zh-CN"/>
              </w:rPr>
              <w:t>；</w:t>
            </w:r>
            <w:r>
              <w:rPr>
                <w:rFonts w:eastAsia="宋体" w:cstheme="minorBidi" w:hint="eastAsia"/>
                <w:color w:val="0000FF"/>
                <w:kern w:val="2"/>
                <w:sz w:val="21"/>
                <w:szCs w:val="21"/>
                <w:u w:val="single"/>
                <w:lang w:eastAsia="zh-CN"/>
              </w:rPr>
              <w:t>以联合体方式投标的，</w:t>
            </w:r>
            <w:r>
              <w:rPr>
                <w:rFonts w:ascii="宋体" w:eastAsia="宋体" w:hAnsi="宋体" w:cs="宋体" w:hint="eastAsia"/>
                <w:color w:val="0000FF"/>
                <w:kern w:val="2"/>
                <w:sz w:val="21"/>
                <w:szCs w:val="21"/>
                <w:u w:val="single"/>
                <w:lang w:eastAsia="zh-CN"/>
              </w:rPr>
              <w:t>项目负责人</w:t>
            </w:r>
            <w:r>
              <w:rPr>
                <w:rFonts w:ascii="宋体" w:eastAsia="宋体" w:hAnsi="宋体" w:cs="宋体" w:hint="eastAsia"/>
                <w:color w:val="0000FF"/>
                <w:kern w:val="2"/>
                <w:sz w:val="21"/>
                <w:szCs w:val="21"/>
                <w:u w:val="single"/>
                <w:lang w:eastAsia="zh-CN"/>
              </w:rPr>
              <w:t>可由联合体任何一方拟派</w:t>
            </w:r>
            <w:r>
              <w:rPr>
                <w:rFonts w:ascii="宋体" w:eastAsia="宋体" w:hAnsi="宋体" w:cs="宋体" w:hint="eastAsia"/>
                <w:color w:val="0000FF"/>
                <w:kern w:val="2"/>
                <w:sz w:val="21"/>
                <w:szCs w:val="21"/>
                <w:u w:val="single"/>
                <w:lang w:eastAsia="zh-CN"/>
              </w:rPr>
              <w:t>。</w:t>
            </w:r>
            <w:r>
              <w:rPr>
                <w:rFonts w:ascii="宋体" w:eastAsia="宋体" w:hAnsi="宋体" w:cs="宋体" w:hint="eastAsia"/>
                <w:kern w:val="2"/>
                <w:sz w:val="21"/>
                <w:szCs w:val="21"/>
                <w:u w:val="single"/>
                <w:lang w:eastAsia="zh-CN" w:bidi="ar"/>
              </w:rPr>
              <w:t xml:space="preserve">    </w:t>
            </w:r>
          </w:p>
        </w:tc>
      </w:tr>
      <w:tr w14:paraId="64BAFBBA">
        <w:tblPrEx>
          <w:tblW w:w="5000" w:type="pct"/>
          <w:jc w:val="center"/>
          <w:tblLayout w:type="fixed"/>
          <w:tblCellMar>
            <w:top w:w="0" w:type="dxa"/>
            <w:left w:w="108" w:type="dxa"/>
            <w:bottom w:w="0" w:type="dxa"/>
            <w:right w:w="108" w:type="dxa"/>
          </w:tblCellMar>
        </w:tblPrEx>
        <w:trPr>
          <w:trHeight w:val="535"/>
          <w:jc w:val="center"/>
        </w:trPr>
        <w:tc>
          <w:tcPr>
            <w:tcW w:w="673" w:type="dxa"/>
            <w:vAlign w:val="center"/>
          </w:tcPr>
          <w:p w14:paraId="7D5094A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11</w:t>
            </w:r>
          </w:p>
        </w:tc>
        <w:tc>
          <w:tcPr>
            <w:tcW w:w="2192" w:type="dxa"/>
            <w:vAlign w:val="center"/>
          </w:tcPr>
          <w:p w14:paraId="234F5E7C">
            <w:pPr>
              <w:widowControl w:val="0"/>
              <w:adjustRightInd w:val="0"/>
              <w:snapToGrid w:val="0"/>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投标报价要求</w:t>
            </w:r>
          </w:p>
        </w:tc>
        <w:tc>
          <w:tcPr>
            <w:tcW w:w="6652" w:type="dxa"/>
            <w:vAlign w:val="center"/>
          </w:tcPr>
          <w:p w14:paraId="1294A054">
            <w:pPr>
              <w:widowControl w:val="0"/>
              <w:adjustRightInd w:val="0"/>
              <w:snapToGrid/>
              <w:spacing w:line="400" w:lineRule="exact"/>
              <w:ind w:firstLine="420" w:firstLineChars="200"/>
              <w:jc w:val="left"/>
              <w:rPr>
                <w:rFonts w:ascii="宋体" w:eastAsia="宋体" w:hAnsi="宋体" w:cs="宋体" w:hint="eastAsia"/>
                <w:color w:val="0000FF"/>
                <w:sz w:val="21"/>
                <w:szCs w:val="21"/>
                <w:u w:val="single"/>
                <w:lang w:eastAsia="zh-CN"/>
              </w:rPr>
            </w:pPr>
            <w:r>
              <w:rPr>
                <w:rFonts w:ascii="宋体" w:eastAsia="宋体" w:hAnsi="宋体" w:cs="宋体" w:hint="eastAsia"/>
                <w:kern w:val="2"/>
                <w:sz w:val="21"/>
                <w:szCs w:val="21"/>
                <w:lang w:eastAsia="zh-CN"/>
              </w:rPr>
              <w:t>最高投标限价</w:t>
            </w:r>
            <w:r>
              <w:rPr>
                <w:rFonts w:ascii="宋体" w:eastAsia="宋体" w:hAnsi="宋体" w:cs="宋体" w:hint="eastAsia"/>
                <w:sz w:val="21"/>
                <w:szCs w:val="21"/>
                <w:lang w:eastAsia="zh-CN"/>
              </w:rPr>
              <w:t>为：</w:t>
            </w:r>
            <w:r>
              <w:rPr>
                <w:rFonts w:ascii="宋体" w:eastAsia="宋体" w:hAnsi="宋体" w:cs="宋体" w:hint="eastAsia"/>
                <w:color w:val="0000FF"/>
                <w:kern w:val="2"/>
                <w:sz w:val="21"/>
                <w:szCs w:val="21"/>
                <w:u w:val="single"/>
                <w:lang w:eastAsia="zh-CN" w:bidi="ar"/>
              </w:rPr>
              <w:t xml:space="preserve"> </w:t>
            </w:r>
            <w:r>
              <w:rPr>
                <w:rFonts w:ascii="宋体" w:eastAsia="宋体" w:hAnsi="宋体" w:cs="宋体" w:hint="eastAsia"/>
                <w:color w:val="0000FF"/>
                <w:kern w:val="2"/>
                <w:sz w:val="21"/>
                <w:szCs w:val="21"/>
                <w:u w:val="single"/>
                <w:lang w:eastAsia="zh-CN"/>
              </w:rPr>
              <w:t xml:space="preserve"> 150.7792  </w:t>
            </w:r>
            <w:r>
              <w:rPr>
                <w:rFonts w:ascii="宋体" w:eastAsia="宋体" w:hAnsi="宋体" w:cs="宋体" w:hint="eastAsia"/>
                <w:color w:val="0000FF"/>
                <w:sz w:val="21"/>
                <w:szCs w:val="21"/>
                <w:u w:val="single"/>
                <w:lang w:eastAsia="zh-CN"/>
              </w:rPr>
              <w:t xml:space="preserve">万元 </w:t>
            </w:r>
          </w:p>
          <w:p w14:paraId="079BC026">
            <w:pPr>
              <w:widowControl w:val="0"/>
              <w:adjustRightInd w:val="0"/>
              <w:snapToGrid/>
              <w:spacing w:line="400" w:lineRule="exact"/>
              <w:ind w:firstLine="420" w:firstLineChars="200"/>
              <w:jc w:val="left"/>
              <w:rPr>
                <w:rFonts w:ascii="宋体" w:eastAsia="宋体" w:hAnsi="宋体" w:cs="宋体"/>
                <w:snapToGrid w:val="0"/>
                <w:sz w:val="21"/>
                <w:szCs w:val="21"/>
                <w:lang w:eastAsia="zh-CN"/>
              </w:rPr>
            </w:pPr>
            <w:r>
              <w:rPr>
                <w:rFonts w:ascii="宋体" w:eastAsia="宋体" w:hAnsi="宋体" w:cs="宋体" w:hint="eastAsia"/>
                <w:sz w:val="21"/>
                <w:szCs w:val="21"/>
                <w:lang w:eastAsia="zh-CN"/>
              </w:rPr>
              <w:t>投标报价的其他要求：</w:t>
            </w:r>
            <w:r>
              <w:rPr>
                <w:rFonts w:ascii="宋体" w:eastAsia="宋体" w:hAnsi="宋体" w:cs="宋体" w:hint="eastAsia"/>
                <w:sz w:val="21"/>
                <w:szCs w:val="21"/>
                <w:u w:val="single"/>
                <w:lang w:eastAsia="zh-CN"/>
              </w:rPr>
              <w:t xml:space="preserve">  / </w:t>
            </w:r>
          </w:p>
        </w:tc>
      </w:tr>
      <w:tr w14:paraId="529DFF7C">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1D125EA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12</w:t>
            </w:r>
          </w:p>
        </w:tc>
        <w:tc>
          <w:tcPr>
            <w:tcW w:w="2192" w:type="dxa"/>
            <w:vAlign w:val="center"/>
          </w:tcPr>
          <w:p w14:paraId="6A69BE85">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投标文件组成</w:t>
            </w:r>
          </w:p>
        </w:tc>
        <w:tc>
          <w:tcPr>
            <w:tcW w:w="6652" w:type="dxa"/>
            <w:vAlign w:val="center"/>
          </w:tcPr>
          <w:p w14:paraId="21BE42D3">
            <w:pPr>
              <w:widowControl w:val="0"/>
              <w:tabs>
                <w:tab w:val="left" w:pos="360"/>
              </w:tabs>
              <w:spacing w:line="360" w:lineRule="auto"/>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以电子文件形式通过“</w:t>
            </w:r>
            <w:r>
              <w:rPr>
                <w:rFonts w:ascii="宋体" w:eastAsia="宋体" w:hAnsi="宋体" w:cs="宋体" w:hint="eastAsia"/>
                <w:sz w:val="21"/>
                <w:szCs w:val="21"/>
                <w:lang w:eastAsia="zh-CN"/>
              </w:rPr>
              <w:t>电子招标投标交易平台</w:t>
            </w:r>
            <w:r>
              <w:rPr>
                <w:rFonts w:ascii="宋体" w:eastAsia="宋体" w:hAnsi="宋体" w:cs="宋体" w:hint="eastAsia"/>
                <w:kern w:val="2"/>
                <w:sz w:val="21"/>
                <w:szCs w:val="21"/>
                <w:lang w:eastAsia="zh-CN"/>
              </w:rPr>
              <w:t>”网上递交下列文件：</w:t>
            </w:r>
          </w:p>
          <w:p w14:paraId="22FEF1A3">
            <w:pPr>
              <w:widowControl w:val="0"/>
              <w:tabs>
                <w:tab w:val="left" w:pos="360"/>
              </w:tabs>
              <w:spacing w:line="360" w:lineRule="auto"/>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w:t>
            </w:r>
            <w:r>
              <w:rPr>
                <w:rFonts w:ascii="宋体" w:eastAsia="宋体" w:hAnsi="宋体" w:cs="宋体" w:hint="eastAsia"/>
                <w:kern w:val="2"/>
                <w:sz w:val="21"/>
                <w:szCs w:val="21"/>
                <w:lang w:eastAsia="zh-CN"/>
              </w:rPr>
              <w:t>资信</w:t>
            </w:r>
            <w:r>
              <w:rPr>
                <w:rFonts w:ascii="宋体" w:eastAsia="宋体" w:hAnsi="宋体" w:cs="宋体" w:hint="eastAsia"/>
                <w:kern w:val="2"/>
                <w:sz w:val="21"/>
                <w:szCs w:val="21"/>
                <w:lang w:eastAsia="zh-CN"/>
              </w:rPr>
              <w:t>标电子标书1份</w:t>
            </w:r>
          </w:p>
          <w:p w14:paraId="49E045E0">
            <w:pPr>
              <w:widowControl w:val="0"/>
              <w:tabs>
                <w:tab w:val="left" w:pos="360"/>
              </w:tabs>
              <w:spacing w:line="360" w:lineRule="auto"/>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2、商务标电子标书1份</w:t>
            </w:r>
          </w:p>
          <w:p w14:paraId="1429A124">
            <w:pPr>
              <w:widowControl w:val="0"/>
              <w:spacing w:line="240" w:lineRule="auto"/>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kern w:val="2"/>
                <w:sz w:val="21"/>
                <w:szCs w:val="21"/>
                <w:lang w:eastAsia="zh-CN" w:bidi="ar"/>
              </w:rPr>
              <w:t xml:space="preserve"> </w:t>
            </w:r>
            <w:r>
              <w:rPr>
                <w:rFonts w:ascii="宋体" w:eastAsia="宋体" w:hAnsi="宋体" w:cs="宋体" w:hint="eastAsia"/>
                <w:kern w:val="2"/>
                <w:sz w:val="21"/>
                <w:szCs w:val="21"/>
                <w:lang w:eastAsia="zh-CN"/>
              </w:rPr>
              <w:t>3、资格审查文件电子标书1份</w:t>
            </w:r>
          </w:p>
          <w:p w14:paraId="63FDB294">
            <w:pPr>
              <w:widowControl w:val="0"/>
              <w:tabs>
                <w:tab w:val="left" w:pos="360"/>
              </w:tabs>
              <w:spacing w:line="360" w:lineRule="auto"/>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kern w:val="2"/>
                <w:sz w:val="21"/>
                <w:szCs w:val="21"/>
                <w:lang w:eastAsia="zh-CN" w:bidi="ar"/>
              </w:rPr>
              <w:t xml:space="preserve"> </w:t>
            </w:r>
            <w:r>
              <w:rPr>
                <w:rFonts w:ascii="宋体" w:eastAsia="宋体" w:hAnsi="宋体" w:cs="宋体" w:hint="eastAsia"/>
                <w:kern w:val="2"/>
                <w:sz w:val="21"/>
                <w:szCs w:val="21"/>
                <w:lang w:eastAsia="zh-CN"/>
              </w:rPr>
              <w:t>4、业绩文件电子标书1份</w:t>
            </w:r>
          </w:p>
          <w:p w14:paraId="1BDC947A">
            <w:pPr>
              <w:widowControl w:val="0"/>
              <w:tabs>
                <w:tab w:val="left" w:pos="360"/>
              </w:tabs>
              <w:spacing w:line="360" w:lineRule="auto"/>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（业绩文件包含:</w:t>
            </w:r>
            <w:r>
              <w:rPr>
                <w:rFonts w:ascii="宋体" w:eastAsia="宋体" w:hAnsi="宋体" w:cs="宋体" w:hint="eastAsia"/>
                <w:kern w:val="2"/>
                <w:sz w:val="21"/>
                <w:szCs w:val="21"/>
                <w:lang w:eastAsia="zh-CN"/>
              </w:rPr>
              <w:fldChar w:fldCharType="begin"/>
            </w:r>
            <w:r>
              <w:rPr>
                <w:rFonts w:ascii="宋体" w:eastAsia="宋体" w:hAnsi="宋体" w:cs="宋体" w:hint="eastAsia"/>
                <w:kern w:val="2"/>
                <w:sz w:val="21"/>
                <w:szCs w:val="21"/>
                <w:lang w:eastAsia="zh-CN"/>
              </w:rPr>
              <w:instrText xml:space="preserve"> = 1 \* GB3 </w:instrText>
            </w:r>
            <w:r>
              <w:rPr>
                <w:rFonts w:ascii="宋体" w:eastAsia="宋体" w:hAnsi="宋体" w:cs="宋体" w:hint="eastAsia"/>
                <w:kern w:val="2"/>
                <w:sz w:val="21"/>
                <w:szCs w:val="21"/>
                <w:lang w:eastAsia="zh-CN"/>
              </w:rPr>
              <w:fldChar w:fldCharType="separate"/>
            </w:r>
            <w:r>
              <w:rPr>
                <w:rFonts w:ascii="宋体" w:eastAsia="宋体" w:hAnsi="宋体" w:cs="宋体" w:hint="eastAsia"/>
                <w:kern w:val="2"/>
                <w:sz w:val="21"/>
                <w:szCs w:val="21"/>
                <w:lang w:eastAsia="zh-CN"/>
              </w:rPr>
              <w:t>①</w:t>
            </w:r>
            <w:r>
              <w:rPr>
                <w:rFonts w:ascii="宋体" w:eastAsia="宋体" w:hAnsi="宋体" w:cs="宋体" w:hint="eastAsia"/>
                <w:kern w:val="2"/>
                <w:sz w:val="21"/>
                <w:szCs w:val="21"/>
                <w:lang w:eastAsia="zh-CN"/>
              </w:rPr>
              <w:fldChar w:fldCharType="end"/>
            </w:r>
            <w:r>
              <w:rPr>
                <w:rFonts w:ascii="宋体" w:eastAsia="宋体" w:hAnsi="宋体" w:cs="宋体" w:hint="eastAsia"/>
                <w:kern w:val="2"/>
                <w:sz w:val="21"/>
                <w:szCs w:val="21"/>
                <w:lang w:eastAsia="zh-CN"/>
              </w:rPr>
              <w:t xml:space="preserve">招标公告中业绩要求所需提供的证明文件(若有);  </w:t>
            </w:r>
            <w:r>
              <w:rPr>
                <w:rFonts w:ascii="宋体" w:eastAsia="宋体" w:hAnsi="宋体" w:cs="宋体" w:hint="eastAsia"/>
                <w:kern w:val="2"/>
                <w:sz w:val="21"/>
                <w:szCs w:val="21"/>
                <w:lang w:eastAsia="zh-CN"/>
              </w:rPr>
              <w:fldChar w:fldCharType="begin"/>
            </w:r>
            <w:r>
              <w:rPr>
                <w:rFonts w:ascii="宋体" w:eastAsia="宋体" w:hAnsi="宋体" w:cs="宋体" w:hint="eastAsia"/>
                <w:kern w:val="2"/>
                <w:sz w:val="21"/>
                <w:szCs w:val="21"/>
                <w:lang w:eastAsia="zh-CN"/>
              </w:rPr>
              <w:instrText xml:space="preserve"> = 2 \* GB3 </w:instrText>
            </w:r>
            <w:r>
              <w:rPr>
                <w:rFonts w:ascii="宋体" w:eastAsia="宋体" w:hAnsi="宋体" w:cs="宋体" w:hint="eastAsia"/>
                <w:kern w:val="2"/>
                <w:sz w:val="21"/>
                <w:szCs w:val="21"/>
                <w:lang w:eastAsia="zh-CN"/>
              </w:rPr>
              <w:fldChar w:fldCharType="separate"/>
            </w:r>
            <w:r>
              <w:rPr>
                <w:rFonts w:ascii="宋体" w:eastAsia="宋体" w:hAnsi="宋体" w:cs="宋体" w:hint="eastAsia"/>
                <w:kern w:val="2"/>
                <w:sz w:val="21"/>
                <w:szCs w:val="21"/>
                <w:lang w:eastAsia="zh-CN"/>
              </w:rPr>
              <w:t>②</w:t>
            </w:r>
            <w:r>
              <w:rPr>
                <w:rFonts w:ascii="宋体" w:eastAsia="宋体" w:hAnsi="宋体" w:cs="宋体" w:hint="eastAsia"/>
                <w:kern w:val="2"/>
                <w:sz w:val="21"/>
                <w:szCs w:val="21"/>
                <w:lang w:eastAsia="zh-CN"/>
              </w:rPr>
              <w:fldChar w:fldCharType="end"/>
            </w:r>
            <w:r>
              <w:rPr>
                <w:rFonts w:ascii="宋体" w:eastAsia="宋体" w:hAnsi="宋体" w:cs="宋体" w:hint="eastAsia"/>
                <w:kern w:val="2"/>
                <w:sz w:val="21"/>
                <w:szCs w:val="21"/>
                <w:lang w:eastAsia="zh-CN"/>
              </w:rPr>
              <w:t>招标文件中要求提供的所有业绩证明文件）</w:t>
            </w:r>
          </w:p>
          <w:p w14:paraId="02FFD10D">
            <w:pPr>
              <w:widowControl w:val="0"/>
              <w:tabs>
                <w:tab w:val="left" w:pos="360"/>
              </w:tabs>
              <w:spacing w:line="360" w:lineRule="auto"/>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注：</w:t>
            </w:r>
            <w:r>
              <w:rPr>
                <w:rFonts w:ascii="宋体" w:eastAsia="宋体" w:hAnsi="宋体" w:cs="宋体" w:hint="eastAsia"/>
                <w:sz w:val="21"/>
                <w:szCs w:val="21"/>
                <w:lang w:eastAsia="zh-CN"/>
              </w:rPr>
              <w:t>招标人将同类工程经验（业绩）作为投标资格条件</w:t>
            </w:r>
            <w:r>
              <w:rPr>
                <w:rFonts w:ascii="宋体" w:eastAsia="宋体" w:hAnsi="宋体" w:cs="宋体" w:hint="eastAsia"/>
                <w:sz w:val="21"/>
                <w:szCs w:val="21"/>
                <w:lang w:eastAsia="zh-CN"/>
              </w:rPr>
              <w:t>或者择优要素的，</w:t>
            </w:r>
            <w:r>
              <w:rPr>
                <w:rFonts w:ascii="宋体" w:eastAsia="宋体" w:hAnsi="宋体" w:cs="宋体" w:hint="eastAsia"/>
                <w:sz w:val="21"/>
                <w:szCs w:val="21"/>
                <w:lang w:eastAsia="zh-CN"/>
              </w:rPr>
              <w:t>投标人应</w:t>
            </w:r>
            <w:r>
              <w:rPr>
                <w:rFonts w:ascii="宋体" w:eastAsia="宋体" w:hAnsi="宋体" w:cs="宋体" w:hint="eastAsia"/>
                <w:sz w:val="21"/>
                <w:szCs w:val="21"/>
                <w:lang w:eastAsia="zh-CN"/>
              </w:rPr>
              <w:t>将</w:t>
            </w:r>
            <w:r>
              <w:rPr>
                <w:rFonts w:ascii="宋体" w:eastAsia="宋体" w:hAnsi="宋体" w:cs="宋体" w:hint="eastAsia"/>
                <w:sz w:val="21"/>
                <w:szCs w:val="21"/>
                <w:lang w:eastAsia="zh-CN"/>
              </w:rPr>
              <w:t>同类工程经验（业绩）</w:t>
            </w:r>
            <w:r>
              <w:rPr>
                <w:rFonts w:ascii="宋体" w:eastAsia="宋体" w:hAnsi="宋体" w:cs="宋体" w:hint="eastAsia"/>
                <w:sz w:val="21"/>
                <w:szCs w:val="21"/>
                <w:lang w:eastAsia="zh-CN"/>
              </w:rPr>
              <w:t>编入业绩文件中，</w:t>
            </w:r>
            <w:r>
              <w:rPr>
                <w:rFonts w:ascii="宋体" w:eastAsia="宋体" w:hAnsi="宋体" w:cs="宋体" w:hint="eastAsia"/>
                <w:sz w:val="21"/>
                <w:szCs w:val="21"/>
                <w:lang w:eastAsia="zh-CN"/>
              </w:rPr>
              <w:t>在</w:t>
            </w:r>
            <w:r>
              <w:rPr>
                <w:rFonts w:ascii="宋体" w:eastAsia="宋体" w:hAnsi="宋体" w:cs="宋体" w:hint="eastAsia"/>
                <w:sz w:val="21"/>
                <w:szCs w:val="21"/>
                <w:lang w:eastAsia="zh-CN"/>
              </w:rPr>
              <w:t>资格审查结束后</w:t>
            </w:r>
            <w:r>
              <w:rPr>
                <w:rFonts w:ascii="宋体" w:eastAsia="宋体" w:hAnsi="宋体" w:cs="宋体" w:hint="eastAsia"/>
                <w:sz w:val="21"/>
                <w:szCs w:val="21"/>
                <w:lang w:eastAsia="zh-CN"/>
              </w:rPr>
              <w:t>对外进行公示，</w:t>
            </w:r>
            <w:r>
              <w:rPr>
                <w:rFonts w:ascii="宋体" w:eastAsia="宋体" w:hAnsi="宋体" w:cs="宋体" w:hint="eastAsia"/>
                <w:sz w:val="21"/>
                <w:szCs w:val="21"/>
                <w:lang w:eastAsia="zh-CN"/>
              </w:rPr>
              <w:t>未按规定提交的，招标人应按该投标人无相应业绩处理。</w:t>
            </w:r>
          </w:p>
        </w:tc>
      </w:tr>
      <w:tr w14:paraId="310352AA">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7C8C4DE9">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w:t>
            </w:r>
          </w:p>
        </w:tc>
        <w:tc>
          <w:tcPr>
            <w:tcW w:w="2192" w:type="dxa"/>
            <w:vAlign w:val="center"/>
          </w:tcPr>
          <w:p w14:paraId="4D068FA7">
            <w:pPr>
              <w:widowControl w:val="0"/>
              <w:adjustRightInd w:val="0"/>
              <w:snapToGrid w:val="0"/>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踏勘现场</w:t>
            </w:r>
          </w:p>
        </w:tc>
        <w:tc>
          <w:tcPr>
            <w:tcW w:w="6652" w:type="dxa"/>
            <w:vAlign w:val="center"/>
          </w:tcPr>
          <w:p w14:paraId="5AC92BF1">
            <w:pPr>
              <w:widowControl w:val="0"/>
              <w:adjustRightInd w:val="0"/>
              <w:snapToGrid w:val="0"/>
              <w:spacing w:line="360" w:lineRule="auto"/>
              <w:jc w:val="both"/>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详细地点：</w:t>
            </w: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napToGrid w:val="0"/>
                <w:color w:val="0000FF"/>
                <w:kern w:val="2"/>
                <w:sz w:val="21"/>
                <w:szCs w:val="21"/>
                <w:u w:val="single"/>
                <w:lang w:eastAsia="zh-CN" w:bidi="ar"/>
              </w:rPr>
              <w:t>河源市龙川县城龙川新城。</w:t>
            </w:r>
            <w:r>
              <w:rPr>
                <w:rFonts w:ascii="宋体" w:eastAsia="宋体" w:hAnsi="宋体" w:cs="宋体" w:hint="eastAsia"/>
                <w:color w:val="0000FF"/>
                <w:kern w:val="2"/>
                <w:sz w:val="21"/>
                <w:szCs w:val="22"/>
                <w:u w:val="single"/>
                <w:lang w:eastAsia="zh-CN"/>
              </w:rPr>
              <w:t>招标人不组织踏勘，投标人自行踏勘，并承担踏勘所发生的所有责任。</w:t>
            </w:r>
            <w:r>
              <w:rPr>
                <w:rFonts w:ascii="宋体" w:eastAsia="宋体" w:hAnsi="宋体" w:cs="宋体" w:hint="eastAsia"/>
                <w:snapToGrid w:val="0"/>
                <w:kern w:val="2"/>
                <w:sz w:val="21"/>
                <w:szCs w:val="21"/>
                <w:u w:val="single"/>
                <w:lang w:eastAsia="zh-CN" w:bidi="ar"/>
              </w:rPr>
              <w:t xml:space="preserve">  </w:t>
            </w:r>
          </w:p>
        </w:tc>
      </w:tr>
      <w:tr w14:paraId="65C296B3">
        <w:tblPrEx>
          <w:tblW w:w="5000" w:type="pct"/>
          <w:jc w:val="center"/>
          <w:tblLayout w:type="fixed"/>
          <w:tblCellMar>
            <w:top w:w="0" w:type="dxa"/>
            <w:left w:w="108" w:type="dxa"/>
            <w:bottom w:w="0" w:type="dxa"/>
            <w:right w:w="108" w:type="dxa"/>
          </w:tblCellMar>
        </w:tblPrEx>
        <w:trPr>
          <w:trHeight w:val="90"/>
          <w:jc w:val="center"/>
        </w:trPr>
        <w:tc>
          <w:tcPr>
            <w:tcW w:w="673" w:type="dxa"/>
            <w:vMerge w:val="restart"/>
            <w:vAlign w:val="center"/>
          </w:tcPr>
          <w:p w14:paraId="5B38908A">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14</w:t>
            </w:r>
          </w:p>
        </w:tc>
        <w:tc>
          <w:tcPr>
            <w:tcW w:w="2192" w:type="dxa"/>
            <w:vMerge w:val="restart"/>
            <w:vAlign w:val="center"/>
          </w:tcPr>
          <w:p w14:paraId="09B73D3D">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投标担保</w:t>
            </w:r>
          </w:p>
        </w:tc>
        <w:tc>
          <w:tcPr>
            <w:tcW w:w="6652" w:type="dxa"/>
            <w:vAlign w:val="center"/>
          </w:tcPr>
          <w:p w14:paraId="313B9087">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□投标保证金额:</w:t>
            </w: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z w:val="21"/>
                <w:szCs w:val="21"/>
                <w:lang w:eastAsia="zh-CN"/>
              </w:rPr>
              <w:t>万元</w:t>
            </w:r>
          </w:p>
          <w:p w14:paraId="54B09E58">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无需提供投标担保</w:t>
            </w:r>
          </w:p>
          <w:p w14:paraId="54693539">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注：</w:t>
            </w:r>
            <w:r>
              <w:rPr>
                <w:rFonts w:ascii="宋体" w:eastAsia="宋体" w:hAnsi="宋体" w:cs="宋体" w:hint="eastAsia"/>
                <w:sz w:val="21"/>
                <w:szCs w:val="21"/>
                <w:lang w:eastAsia="zh-CN"/>
              </w:rPr>
              <w:t>根据《深圳市住房和建设局关于推行差异化缴纳投标保证金进一步降低招标投标交易成本的通知》（深建市场〔2023〕2号）的规定，</w:t>
            </w:r>
          </w:p>
          <w:p w14:paraId="3A306AED">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政府投资建设工程的设计等服务类项目原则上不再收取投标保证金，政府投资建设工程以外的其他依法必须招标建设工程项目，鼓励招标人免收投标保证金。</w:t>
            </w:r>
          </w:p>
        </w:tc>
      </w:tr>
      <w:tr w14:paraId="64C7522E">
        <w:tblPrEx>
          <w:tblW w:w="5000" w:type="pct"/>
          <w:jc w:val="center"/>
          <w:tblLayout w:type="fixed"/>
          <w:tblCellMar>
            <w:top w:w="0" w:type="dxa"/>
            <w:left w:w="108" w:type="dxa"/>
            <w:bottom w:w="0" w:type="dxa"/>
            <w:right w:w="108" w:type="dxa"/>
          </w:tblCellMar>
        </w:tblPrEx>
        <w:trPr>
          <w:trHeight w:val="2023"/>
          <w:jc w:val="center"/>
        </w:trPr>
        <w:tc>
          <w:tcPr>
            <w:tcW w:w="673" w:type="dxa"/>
            <w:vMerge/>
            <w:vAlign w:val="center"/>
          </w:tcPr>
          <w:p w14:paraId="41D91AE5">
            <w:pPr>
              <w:widowControl w:val="0"/>
              <w:spacing w:line="360" w:lineRule="auto"/>
              <w:jc w:val="center"/>
              <w:rPr>
                <w:rFonts w:ascii="宋体" w:eastAsia="宋体" w:hAnsi="宋体" w:cs="宋体" w:hint="eastAsia"/>
                <w:snapToGrid w:val="0"/>
                <w:sz w:val="21"/>
                <w:szCs w:val="21"/>
                <w:lang w:eastAsia="zh-CN"/>
              </w:rPr>
            </w:pPr>
          </w:p>
        </w:tc>
        <w:tc>
          <w:tcPr>
            <w:tcW w:w="2192" w:type="dxa"/>
            <w:vMerge/>
            <w:vAlign w:val="center"/>
          </w:tcPr>
          <w:p w14:paraId="3A02565C">
            <w:pPr>
              <w:widowControl w:val="0"/>
              <w:spacing w:line="360" w:lineRule="auto"/>
              <w:jc w:val="center"/>
              <w:rPr>
                <w:rFonts w:ascii="宋体" w:eastAsia="宋体" w:hAnsi="宋体" w:cs="宋体" w:hint="eastAsia"/>
                <w:snapToGrid w:val="0"/>
                <w:sz w:val="21"/>
                <w:szCs w:val="21"/>
                <w:lang w:eastAsia="zh-CN"/>
              </w:rPr>
            </w:pPr>
          </w:p>
        </w:tc>
        <w:tc>
          <w:tcPr>
            <w:tcW w:w="6652" w:type="dxa"/>
            <w:vAlign w:val="center"/>
          </w:tcPr>
          <w:p w14:paraId="37AA5E76">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担保形式：</w:t>
            </w:r>
          </w:p>
          <w:p w14:paraId="3054EE49">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1.银行保函（电子/纸质），由投标人基本账户开户银行所在网点或其上级银行机构出具</w:t>
            </w:r>
          </w:p>
          <w:p w14:paraId="54E0CF1F">
            <w:pPr>
              <w:widowControl w:val="0"/>
              <w:adjustRightInd w:val="0"/>
              <w:snapToGrid w:val="0"/>
              <w:spacing w:line="360" w:lineRule="auto"/>
              <w:jc w:val="both"/>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2.保证金（现金/支票），从投标人基本账户汇出</w:t>
            </w:r>
            <w:r>
              <w:rPr>
                <w:rFonts w:ascii="宋体" w:eastAsia="宋体" w:hAnsi="宋体" w:cs="宋体" w:hint="eastAsia"/>
                <w:sz w:val="21"/>
                <w:szCs w:val="21"/>
                <w:u w:val="single"/>
                <w:lang w:eastAsia="zh-CN"/>
              </w:rPr>
              <w:t xml:space="preserve">      </w:t>
            </w:r>
          </w:p>
          <w:p w14:paraId="74718B47">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3.保证保险（电子/纸质），保费通过投标人基本账户支付</w:t>
            </w:r>
          </w:p>
          <w:p w14:paraId="3BE22ED9">
            <w:pPr>
              <w:widowControl w:val="0"/>
              <w:adjustRightInd w:val="0"/>
              <w:snapToGrid w:val="0"/>
              <w:spacing w:line="360" w:lineRule="auto"/>
              <w:jc w:val="both"/>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4.其他</w:t>
            </w:r>
            <w:r>
              <w:rPr>
                <w:rFonts w:ascii="宋体" w:eastAsia="宋体" w:hAnsi="宋体" w:cs="宋体" w:hint="eastAsia"/>
                <w:sz w:val="21"/>
                <w:szCs w:val="21"/>
                <w:u w:val="single"/>
                <w:lang w:eastAsia="zh-CN"/>
              </w:rPr>
              <w:t xml:space="preserve">                 </w:t>
            </w:r>
          </w:p>
          <w:p w14:paraId="0EA7C7DC">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注：1.</w:t>
            </w:r>
            <w:r>
              <w:rPr>
                <w:rFonts w:ascii="宋体" w:eastAsia="宋体" w:hAnsi="宋体" w:cs="宋体" w:hint="eastAsia"/>
                <w:sz w:val="21"/>
                <w:szCs w:val="21"/>
                <w:lang w:eastAsia="zh-CN"/>
              </w:rPr>
              <w:t>招标人可自主选择是否允许其他方式，如担保公司保函，采用其他方式的应要求</w:t>
            </w:r>
            <w:r>
              <w:rPr>
                <w:rFonts w:ascii="宋体" w:eastAsia="宋体" w:hAnsi="宋体" w:cs="宋体" w:hint="eastAsia"/>
                <w:sz w:val="21"/>
                <w:szCs w:val="21"/>
                <w:lang w:eastAsia="zh-CN"/>
              </w:rPr>
              <w:t>保费通过投标人基本账户支付</w:t>
            </w:r>
            <w:r>
              <w:rPr>
                <w:rFonts w:ascii="宋体" w:eastAsia="宋体" w:hAnsi="宋体" w:cs="宋体" w:hint="eastAsia"/>
                <w:sz w:val="21"/>
                <w:szCs w:val="21"/>
                <w:lang w:eastAsia="zh-CN"/>
              </w:rPr>
              <w:t>。</w:t>
            </w:r>
          </w:p>
          <w:p w14:paraId="1CF02829">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2.鼓励投标人使用电子保函、保险。</w:t>
            </w:r>
          </w:p>
        </w:tc>
      </w:tr>
      <w:tr w14:paraId="55333BEF">
        <w:tblPrEx>
          <w:tblW w:w="5000" w:type="pct"/>
          <w:jc w:val="center"/>
          <w:tblLayout w:type="fixed"/>
          <w:tblCellMar>
            <w:top w:w="0" w:type="dxa"/>
            <w:left w:w="108" w:type="dxa"/>
            <w:bottom w:w="0" w:type="dxa"/>
            <w:right w:w="108" w:type="dxa"/>
          </w:tblCellMar>
        </w:tblPrEx>
        <w:trPr>
          <w:trHeight w:val="675"/>
          <w:jc w:val="center"/>
        </w:trPr>
        <w:tc>
          <w:tcPr>
            <w:tcW w:w="673" w:type="dxa"/>
            <w:vAlign w:val="center"/>
          </w:tcPr>
          <w:p w14:paraId="5FB8C5E0">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15</w:t>
            </w:r>
          </w:p>
        </w:tc>
        <w:tc>
          <w:tcPr>
            <w:tcW w:w="2192" w:type="dxa"/>
            <w:vAlign w:val="center"/>
          </w:tcPr>
          <w:p w14:paraId="224CFD4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公布</w:t>
            </w:r>
            <w:r>
              <w:rPr>
                <w:rFonts w:ascii="宋体" w:eastAsia="宋体" w:hAnsi="宋体" w:cs="宋体" w:hint="eastAsia"/>
                <w:kern w:val="2"/>
                <w:sz w:val="21"/>
                <w:szCs w:val="21"/>
                <w:lang w:eastAsia="zh-CN"/>
              </w:rPr>
              <w:t>最高投标限价</w:t>
            </w:r>
            <w:r>
              <w:rPr>
                <w:rFonts w:ascii="宋体" w:eastAsia="宋体" w:hAnsi="宋体" w:cs="宋体" w:hint="eastAsia"/>
                <w:sz w:val="21"/>
                <w:szCs w:val="21"/>
                <w:lang w:eastAsia="zh-CN"/>
              </w:rPr>
              <w:t>地址</w:t>
            </w:r>
          </w:p>
        </w:tc>
        <w:tc>
          <w:tcPr>
            <w:tcW w:w="6652" w:type="dxa"/>
            <w:vAlign w:val="center"/>
          </w:tcPr>
          <w:p w14:paraId="6E8DD3AD">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网址：深圳公共资源交易网</w:t>
            </w:r>
          </w:p>
        </w:tc>
      </w:tr>
      <w:tr w14:paraId="37573DEA">
        <w:tblPrEx>
          <w:tblW w:w="5000" w:type="pct"/>
          <w:jc w:val="center"/>
          <w:tblLayout w:type="fixed"/>
          <w:tblCellMar>
            <w:top w:w="0" w:type="dxa"/>
            <w:left w:w="108" w:type="dxa"/>
            <w:bottom w:w="0" w:type="dxa"/>
            <w:right w:w="108" w:type="dxa"/>
          </w:tblCellMar>
        </w:tblPrEx>
        <w:trPr>
          <w:trHeight w:val="915"/>
          <w:jc w:val="center"/>
        </w:trPr>
        <w:tc>
          <w:tcPr>
            <w:tcW w:w="673" w:type="dxa"/>
            <w:vAlign w:val="center"/>
          </w:tcPr>
          <w:p w14:paraId="643D30B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16</w:t>
            </w:r>
          </w:p>
        </w:tc>
        <w:tc>
          <w:tcPr>
            <w:tcW w:w="2192" w:type="dxa"/>
            <w:vAlign w:val="center"/>
          </w:tcPr>
          <w:p w14:paraId="1E5E97A8">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投标文件递交</w:t>
            </w:r>
          </w:p>
        </w:tc>
        <w:tc>
          <w:tcPr>
            <w:tcW w:w="6652" w:type="dxa"/>
            <w:vAlign w:val="center"/>
          </w:tcPr>
          <w:p w14:paraId="2B5CA36D">
            <w:pPr>
              <w:widowControl w:val="0"/>
              <w:adjustRightInd w:val="0"/>
              <w:snapToGrid w:val="0"/>
              <w:spacing w:line="360" w:lineRule="auto"/>
              <w:jc w:val="left"/>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截止时间：</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u w:val="single"/>
                <w:lang w:eastAsia="zh-CN"/>
              </w:rPr>
              <w:t>详见</w:t>
            </w:r>
            <w:r>
              <w:rPr>
                <w:rFonts w:ascii="宋体" w:eastAsia="宋体" w:hAnsi="宋体" w:cs="宋体" w:hint="eastAsia"/>
                <w:sz w:val="21"/>
                <w:szCs w:val="21"/>
                <w:u w:val="single"/>
                <w:lang w:eastAsia="zh-CN"/>
              </w:rPr>
              <w:t>深圳公共资源交易网</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u w:val="single"/>
                <w:lang w:eastAsia="zh-CN"/>
              </w:rPr>
              <w:t xml:space="preserve"> </w:t>
            </w:r>
          </w:p>
          <w:p w14:paraId="245E4830">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递交方式：</w:t>
            </w:r>
          </w:p>
          <w:p w14:paraId="2DEC3794">
            <w:pPr>
              <w:widowControl w:val="0"/>
              <w:adjustRightInd w:val="0"/>
              <w:snapToGrid w:val="0"/>
              <w:spacing w:line="360" w:lineRule="auto"/>
              <w:jc w:val="left"/>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电子招标投标交易平台，网址：</w:t>
            </w:r>
            <w:r>
              <w:rPr>
                <w:rFonts w:ascii="宋体" w:eastAsia="宋体" w:hAnsi="宋体" w:cs="宋体" w:hint="eastAsia"/>
                <w:sz w:val="21"/>
                <w:szCs w:val="21"/>
                <w:u w:val="single"/>
                <w:lang w:eastAsia="zh-CN"/>
              </w:rPr>
              <w:t xml:space="preserve"> </w:t>
            </w:r>
            <w:r>
              <w:rPr>
                <w:rFonts w:ascii="宋体" w:eastAsia="宋体" w:hAnsi="宋体" w:cs="宋体" w:hint="eastAsia"/>
                <w:kern w:val="2"/>
                <w:sz w:val="21"/>
                <w:szCs w:val="21"/>
                <w:u w:val="single"/>
                <w:lang w:eastAsia="zh-CN"/>
              </w:rPr>
              <w:t>http://www.szggzy.com/</w:t>
            </w:r>
            <w:r>
              <w:rPr>
                <w:rFonts w:ascii="宋体" w:eastAsia="宋体" w:hAnsi="宋体" w:cs="宋体" w:hint="eastAsia"/>
                <w:sz w:val="21"/>
                <w:szCs w:val="21"/>
                <w:u w:val="single"/>
                <w:lang w:eastAsia="zh-CN"/>
              </w:rPr>
              <w:t xml:space="preserve">           </w:t>
            </w:r>
          </w:p>
          <w:p w14:paraId="510F31A8">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w:t>
            </w:r>
            <w:r>
              <w:rPr>
                <w:rFonts w:ascii="宋体" w:eastAsia="宋体" w:hAnsi="宋体" w:cs="宋体" w:hint="eastAsia"/>
                <w:sz w:val="21"/>
                <w:szCs w:val="21"/>
                <w:lang w:eastAsia="zh-CN"/>
              </w:rPr>
              <w:t>其他：</w:t>
            </w:r>
            <w:r>
              <w:rPr>
                <w:rFonts w:ascii="宋体" w:eastAsia="宋体" w:hAnsi="宋体" w:cs="宋体" w:hint="eastAsia"/>
                <w:sz w:val="21"/>
                <w:szCs w:val="21"/>
                <w:u w:val="single"/>
                <w:lang w:eastAsia="zh-CN"/>
              </w:rPr>
              <w:t xml:space="preserve">             </w:t>
            </w:r>
          </w:p>
        </w:tc>
      </w:tr>
      <w:tr w14:paraId="17EA1883">
        <w:tblPrEx>
          <w:tblW w:w="5000" w:type="pct"/>
          <w:jc w:val="center"/>
          <w:tblLayout w:type="fixed"/>
          <w:tblCellMar>
            <w:top w:w="0" w:type="dxa"/>
            <w:left w:w="108" w:type="dxa"/>
            <w:bottom w:w="0" w:type="dxa"/>
            <w:right w:w="108" w:type="dxa"/>
          </w:tblCellMar>
        </w:tblPrEx>
        <w:trPr>
          <w:trHeight w:val="590"/>
          <w:jc w:val="center"/>
        </w:trPr>
        <w:tc>
          <w:tcPr>
            <w:tcW w:w="673" w:type="dxa"/>
            <w:vAlign w:val="center"/>
          </w:tcPr>
          <w:p w14:paraId="5AB094B6">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17</w:t>
            </w:r>
          </w:p>
        </w:tc>
        <w:tc>
          <w:tcPr>
            <w:tcW w:w="2192" w:type="dxa"/>
            <w:vAlign w:val="center"/>
          </w:tcPr>
          <w:p w14:paraId="6326EA89">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投标有效期</w:t>
            </w:r>
          </w:p>
        </w:tc>
        <w:tc>
          <w:tcPr>
            <w:tcW w:w="6652" w:type="dxa"/>
            <w:vAlign w:val="center"/>
          </w:tcPr>
          <w:p w14:paraId="5C6CAE2D">
            <w:pPr>
              <w:widowControl w:val="0"/>
              <w:spacing w:line="360" w:lineRule="auto"/>
              <w:jc w:val="both"/>
              <w:rPr>
                <w:rFonts w:ascii="宋体" w:eastAsia="宋体" w:hAnsi="宋体" w:cs="宋体" w:hint="eastAsia"/>
                <w:sz w:val="21"/>
                <w:szCs w:val="21"/>
                <w:lang w:eastAsia="zh-CN"/>
              </w:rPr>
            </w:pPr>
            <w:r>
              <w:rPr>
                <w:rFonts w:ascii="宋体" w:eastAsia="宋体" w:hAnsi="宋体" w:cs="宋体" w:hint="eastAsia"/>
                <w:kern w:val="2"/>
                <w:sz w:val="21"/>
                <w:szCs w:val="21"/>
                <w:u w:val="single"/>
                <w:lang w:eastAsia="zh-CN" w:bidi="ar"/>
              </w:rPr>
              <w:t xml:space="preserve">   </w:t>
            </w:r>
            <w:r>
              <w:rPr>
                <w:rFonts w:ascii="宋体" w:eastAsia="宋体" w:hAnsi="宋体" w:cs="宋体" w:hint="eastAsia"/>
                <w:kern w:val="2"/>
                <w:sz w:val="21"/>
                <w:szCs w:val="21"/>
                <w:u w:val="single"/>
                <w:lang w:eastAsia="zh-CN" w:bidi="ar"/>
              </w:rPr>
              <w:t>90</w:t>
            </w:r>
            <w:r>
              <w:rPr>
                <w:rFonts w:ascii="宋体" w:eastAsia="宋体" w:hAnsi="宋体" w:cs="宋体" w:hint="eastAsia"/>
                <w:kern w:val="2"/>
                <w:sz w:val="21"/>
                <w:szCs w:val="21"/>
                <w:u w:val="single"/>
                <w:lang w:eastAsia="zh-CN" w:bidi="ar"/>
              </w:rPr>
              <w:t xml:space="preserve">   </w:t>
            </w:r>
            <w:r>
              <w:rPr>
                <w:rFonts w:ascii="宋体" w:eastAsia="宋体" w:hAnsi="宋体" w:cs="宋体" w:hint="eastAsia"/>
                <w:kern w:val="2"/>
                <w:sz w:val="21"/>
                <w:szCs w:val="21"/>
                <w:lang w:eastAsia="zh-CN"/>
              </w:rPr>
              <w:t>日历天（从投标截止之日算起）</w:t>
            </w:r>
          </w:p>
        </w:tc>
      </w:tr>
      <w:tr w14:paraId="404B715F">
        <w:tblPrEx>
          <w:tblW w:w="5000" w:type="pct"/>
          <w:jc w:val="center"/>
          <w:tblLayout w:type="fixed"/>
          <w:tblCellMar>
            <w:top w:w="0" w:type="dxa"/>
            <w:left w:w="108" w:type="dxa"/>
            <w:bottom w:w="0" w:type="dxa"/>
            <w:right w:w="108" w:type="dxa"/>
          </w:tblCellMar>
        </w:tblPrEx>
        <w:trPr>
          <w:trHeight w:val="606"/>
          <w:jc w:val="center"/>
        </w:trPr>
        <w:tc>
          <w:tcPr>
            <w:tcW w:w="673" w:type="dxa"/>
            <w:vAlign w:val="center"/>
          </w:tcPr>
          <w:p w14:paraId="5270AC1A">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18</w:t>
            </w:r>
          </w:p>
        </w:tc>
        <w:tc>
          <w:tcPr>
            <w:tcW w:w="2192" w:type="dxa"/>
            <w:vAlign w:val="center"/>
          </w:tcPr>
          <w:p w14:paraId="4D94D702">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招标会议时间</w:t>
            </w:r>
          </w:p>
        </w:tc>
        <w:tc>
          <w:tcPr>
            <w:tcW w:w="6652" w:type="dxa"/>
            <w:vAlign w:val="center"/>
          </w:tcPr>
          <w:p w14:paraId="448852B3">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资审会、开标会、评标会、定标会议时间及地点，在交易网进行查询。</w:t>
            </w:r>
          </w:p>
        </w:tc>
      </w:tr>
      <w:tr w14:paraId="0A1571EC">
        <w:tblPrEx>
          <w:tblW w:w="5000" w:type="pct"/>
          <w:jc w:val="center"/>
          <w:tblLayout w:type="fixed"/>
          <w:tblCellMar>
            <w:top w:w="0" w:type="dxa"/>
            <w:left w:w="108" w:type="dxa"/>
            <w:bottom w:w="0" w:type="dxa"/>
            <w:right w:w="108" w:type="dxa"/>
          </w:tblCellMar>
        </w:tblPrEx>
        <w:trPr>
          <w:trHeight w:val="1755"/>
          <w:jc w:val="center"/>
        </w:trPr>
        <w:tc>
          <w:tcPr>
            <w:tcW w:w="673" w:type="dxa"/>
            <w:vMerge w:val="restart"/>
            <w:vAlign w:val="center"/>
          </w:tcPr>
          <w:p w14:paraId="6BE8AD66">
            <w:pPr>
              <w:widowControl w:val="0"/>
              <w:spacing w:line="360" w:lineRule="auto"/>
              <w:jc w:val="center"/>
              <w:rPr>
                <w:rFonts w:ascii="宋体" w:eastAsia="宋体" w:hAnsi="宋体" w:cs="宋体" w:hint="eastAsia"/>
                <w:snapToGrid w:val="0"/>
                <w:sz w:val="21"/>
                <w:szCs w:val="21"/>
                <w:lang w:eastAsia="zh-CN"/>
              </w:rPr>
            </w:pPr>
          </w:p>
          <w:p w14:paraId="60F3CABB">
            <w:pPr>
              <w:widowControl w:val="0"/>
              <w:spacing w:line="360" w:lineRule="auto"/>
              <w:jc w:val="center"/>
              <w:rPr>
                <w:rFonts w:ascii="宋体" w:eastAsia="宋体" w:hAnsi="宋体" w:cs="宋体" w:hint="eastAsia"/>
                <w:snapToGrid w:val="0"/>
                <w:sz w:val="21"/>
                <w:szCs w:val="21"/>
                <w:lang w:eastAsia="zh-CN"/>
              </w:rPr>
            </w:pPr>
          </w:p>
          <w:p w14:paraId="2258B6CD">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19</w:t>
            </w:r>
          </w:p>
        </w:tc>
        <w:tc>
          <w:tcPr>
            <w:tcW w:w="2192" w:type="dxa"/>
            <w:vMerge w:val="restart"/>
            <w:vAlign w:val="center"/>
          </w:tcPr>
          <w:p w14:paraId="476F7B58">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过多投标人淘汰</w:t>
            </w:r>
          </w:p>
          <w:p w14:paraId="245ADA47">
            <w:pPr>
              <w:widowControl w:val="0"/>
              <w:jc w:val="both"/>
              <w:rPr>
                <w:rFonts w:ascii="宋体" w:eastAsia="宋体" w:hAnsi="宋体" w:cs="宋体" w:hint="eastAsia"/>
                <w:kern w:val="2"/>
                <w:sz w:val="21"/>
                <w:szCs w:val="21"/>
                <w:lang w:eastAsia="zh-CN"/>
              </w:rPr>
            </w:pPr>
            <w:r>
              <w:rPr>
                <w:rFonts w:ascii="宋体" w:eastAsia="宋体" w:hAnsi="宋体" w:cs="宋体" w:hint="eastAsia"/>
                <w:sz w:val="21"/>
                <w:szCs w:val="21"/>
                <w:lang w:eastAsia="zh-CN"/>
              </w:rPr>
              <w:t>环节（资格审查合格的投标人＞20名）</w:t>
            </w:r>
          </w:p>
          <w:p w14:paraId="6F91C8E2">
            <w:pPr>
              <w:widowControl w:val="0"/>
              <w:spacing w:line="360" w:lineRule="auto"/>
              <w:jc w:val="both"/>
              <w:rPr>
                <w:rFonts w:ascii="宋体" w:eastAsia="宋体" w:hAnsi="宋体" w:cs="宋体" w:hint="eastAsia"/>
                <w:snapToGrid w:val="0"/>
                <w:sz w:val="21"/>
                <w:szCs w:val="21"/>
                <w:lang w:eastAsia="zh-CN"/>
              </w:rPr>
            </w:pPr>
          </w:p>
        </w:tc>
        <w:tc>
          <w:tcPr>
            <w:tcW w:w="6652" w:type="dxa"/>
            <w:vAlign w:val="center"/>
          </w:tcPr>
          <w:p w14:paraId="49B392D9">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资格审查合格的投标人＞20名时，经淘汰进入后续招标程序的投标人为15至20名，具体数量产生方式为：</w:t>
            </w:r>
          </w:p>
          <w:p w14:paraId="7996141F">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由计算机随机产生</w:t>
            </w:r>
          </w:p>
          <w:p w14:paraId="5B3296FD">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招标人自行确定：</w:t>
            </w:r>
            <w:r>
              <w:rPr>
                <w:rFonts w:ascii="宋体" w:eastAsia="宋体" w:hAnsi="宋体" w:cs="宋体" w:hint="eastAsia"/>
                <w:kern w:val="2"/>
                <w:sz w:val="21"/>
                <w:szCs w:val="21"/>
                <w:u w:val="single"/>
                <w:lang w:eastAsia="zh-CN" w:bidi="ar"/>
              </w:rPr>
              <w:t xml:space="preserve"> </w:t>
            </w:r>
            <w:r>
              <w:rPr>
                <w:rFonts w:ascii="宋体" w:eastAsia="宋体" w:hAnsi="宋体" w:cs="宋体" w:hint="eastAsia"/>
                <w:b/>
                <w:bCs/>
                <w:kern w:val="2"/>
                <w:sz w:val="21"/>
                <w:szCs w:val="21"/>
                <w:u w:val="single"/>
                <w:lang w:eastAsia="zh-CN" w:bidi="ar"/>
              </w:rPr>
              <w:t xml:space="preserve"> </w:t>
            </w:r>
            <w:r>
              <w:rPr>
                <w:rFonts w:ascii="宋体" w:eastAsia="宋体" w:hAnsi="宋体" w:cs="宋体" w:hint="eastAsia"/>
                <w:kern w:val="2"/>
                <w:sz w:val="21"/>
                <w:szCs w:val="21"/>
                <w:u w:val="single"/>
                <w:lang w:eastAsia="zh-CN" w:bidi="ar"/>
              </w:rPr>
              <w:t xml:space="preserve">  </w:t>
            </w:r>
          </w:p>
          <w:p w14:paraId="74A173E4">
            <w:pPr>
              <w:widowControl/>
              <w:adjustRightInd w:val="0"/>
              <w:snapToGrid w:val="0"/>
              <w:spacing w:line="360" w:lineRule="auto"/>
              <w:ind w:firstLine="0" w:firstLineChars="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过多投标人淘汰</w:t>
            </w:r>
            <w:r>
              <w:rPr>
                <w:rFonts w:ascii="宋体" w:eastAsia="宋体" w:hAnsi="宋体" w:cs="宋体" w:hint="eastAsia"/>
                <w:sz w:val="21"/>
                <w:szCs w:val="21"/>
                <w:lang w:eastAsia="zh-CN"/>
              </w:rPr>
              <w:t>方案</w:t>
            </w:r>
            <w:r>
              <w:rPr>
                <w:rFonts w:ascii="宋体" w:eastAsia="宋体" w:hAnsi="宋体" w:cs="宋体" w:hint="eastAsia"/>
                <w:sz w:val="21"/>
                <w:szCs w:val="21"/>
                <w:vertAlign w:val="superscript"/>
                <w:lang w:eastAsia="zh-CN"/>
              </w:rPr>
              <w:t>[</w:t>
            </w:r>
            <w:r>
              <w:rPr>
                <w:rFonts w:ascii="宋体" w:eastAsia="宋体" w:hAnsi="宋体" w:cs="宋体" w:hint="eastAsia"/>
                <w:sz w:val="21"/>
                <w:szCs w:val="21"/>
                <w:vertAlign w:val="superscript"/>
                <w:lang w:eastAsia="zh-CN"/>
              </w:rPr>
              <w:footnoteReference w:id="2"/>
            </w:r>
            <w:r>
              <w:rPr>
                <w:rFonts w:ascii="宋体" w:eastAsia="宋体" w:hAnsi="宋体" w:cs="宋体" w:hint="eastAsia"/>
                <w:sz w:val="21"/>
                <w:szCs w:val="21"/>
                <w:vertAlign w:val="superscript"/>
                <w:lang w:eastAsia="zh-CN"/>
              </w:rPr>
              <w:t>]</w:t>
            </w:r>
            <w:r>
              <w:rPr>
                <w:rFonts w:ascii="宋体" w:eastAsia="宋体" w:hAnsi="宋体" w:cs="宋体" w:hint="eastAsia"/>
                <w:sz w:val="21"/>
                <w:szCs w:val="21"/>
                <w:lang w:eastAsia="zh-CN"/>
              </w:rPr>
              <w:t>：</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u w:val="single"/>
                <w:lang w:eastAsia="zh-CN"/>
              </w:rPr>
              <w:t xml:space="preserve">本项目无入围淘汰程序，所有合格的投标人均进入定标程序。 </w:t>
            </w:r>
            <w:r>
              <w:rPr>
                <w:rFonts w:ascii="宋体" w:eastAsia="宋体" w:hAnsi="宋体" w:cs="宋体" w:hint="eastAsia"/>
                <w:sz w:val="21"/>
                <w:szCs w:val="21"/>
                <w:u w:val="single"/>
                <w:lang w:eastAsia="zh-CN"/>
              </w:rPr>
              <w:t xml:space="preserve">  </w:t>
            </w:r>
          </w:p>
          <w:p w14:paraId="60E11971">
            <w:pPr>
              <w:widowControl/>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注：1.招标人应结合项目实际，提前制定规则清晰、可操作性强的过多投标人淘汰方案，并在过多投标人淘汰方案中合规合理设置择优因素，明确各择优因素的优先程度。</w:t>
            </w:r>
          </w:p>
          <w:p w14:paraId="01C8C896">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2.择优因素的设置应以投标人能否高质量履约为导向，可以突出投标人</w:t>
            </w:r>
            <w:r>
              <w:rPr>
                <w:rFonts w:ascii="宋体" w:eastAsia="宋体" w:hAnsi="宋体" w:cs="宋体" w:hint="eastAsia"/>
                <w:kern w:val="2"/>
                <w:sz w:val="21"/>
                <w:szCs w:val="21"/>
                <w:lang w:eastAsia="zh-CN"/>
              </w:rPr>
              <w:t>拟派项目负责人及管理团队成员的资历、能力、信誉，企业资质、业绩、履约等，具体择优因素由招标人根据实际确定。</w:t>
            </w:r>
          </w:p>
        </w:tc>
      </w:tr>
      <w:tr w14:paraId="3E21E12A">
        <w:tblPrEx>
          <w:tblW w:w="5000" w:type="pct"/>
          <w:jc w:val="center"/>
          <w:tblLayout w:type="fixed"/>
          <w:tblCellMar>
            <w:top w:w="0" w:type="dxa"/>
            <w:left w:w="108" w:type="dxa"/>
            <w:bottom w:w="0" w:type="dxa"/>
            <w:right w:w="108" w:type="dxa"/>
          </w:tblCellMar>
        </w:tblPrEx>
        <w:trPr>
          <w:trHeight w:val="2103"/>
          <w:jc w:val="center"/>
        </w:trPr>
        <w:tc>
          <w:tcPr>
            <w:tcW w:w="673" w:type="dxa"/>
            <w:vMerge/>
            <w:vAlign w:val="center"/>
          </w:tcPr>
          <w:p w14:paraId="168D2B16">
            <w:pPr>
              <w:widowControl w:val="0"/>
              <w:spacing w:line="360" w:lineRule="auto"/>
              <w:jc w:val="center"/>
              <w:rPr>
                <w:rFonts w:ascii="宋体" w:eastAsia="宋体" w:hAnsi="宋体" w:cs="宋体" w:hint="eastAsia"/>
                <w:snapToGrid w:val="0"/>
                <w:sz w:val="21"/>
                <w:szCs w:val="21"/>
                <w:lang w:eastAsia="zh-CN"/>
              </w:rPr>
            </w:pPr>
          </w:p>
        </w:tc>
        <w:tc>
          <w:tcPr>
            <w:tcW w:w="2192" w:type="dxa"/>
            <w:vMerge/>
            <w:vAlign w:val="center"/>
          </w:tcPr>
          <w:p w14:paraId="14285F9E">
            <w:pPr>
              <w:widowControl w:val="0"/>
              <w:spacing w:line="360" w:lineRule="auto"/>
              <w:jc w:val="both"/>
              <w:rPr>
                <w:rFonts w:ascii="宋体" w:eastAsia="宋体" w:hAnsi="宋体" w:cs="宋体" w:hint="eastAsia"/>
                <w:snapToGrid w:val="0"/>
                <w:sz w:val="21"/>
                <w:szCs w:val="21"/>
                <w:lang w:eastAsia="zh-CN"/>
              </w:rPr>
            </w:pPr>
          </w:p>
        </w:tc>
        <w:tc>
          <w:tcPr>
            <w:tcW w:w="6652" w:type="dxa"/>
            <w:vAlign w:val="center"/>
          </w:tcPr>
          <w:p w14:paraId="1D6571C6">
            <w:pPr>
              <w:widowControl w:val="0"/>
              <w:adjustRightInd w:val="0"/>
              <w:snapToGrid w:val="0"/>
              <w:spacing w:line="360" w:lineRule="auto"/>
              <w:ind w:firstLine="420" w:firstLineChars="200"/>
              <w:jc w:val="left"/>
              <w:rPr>
                <w:rFonts w:ascii="宋体" w:eastAsia="宋体" w:hAnsi="宋体" w:cs="宋体" w:hint="eastAsia"/>
                <w:kern w:val="2"/>
                <w:sz w:val="21"/>
                <w:szCs w:val="22"/>
                <w:lang w:eastAsia="zh-CN"/>
              </w:rPr>
            </w:pPr>
            <w:r>
              <w:rPr>
                <w:rFonts w:ascii="宋体" w:eastAsia="宋体" w:hAnsi="宋体" w:cs="宋体" w:hint="eastAsia"/>
                <w:kern w:val="2"/>
                <w:sz w:val="21"/>
                <w:szCs w:val="22"/>
                <w:lang w:eastAsia="zh-CN"/>
              </w:rPr>
              <w:t>过多投标人淘汰方式：</w:t>
            </w:r>
          </w:p>
          <w:p w14:paraId="4ADA92E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 xml:space="preserve">直接票决           </w:t>
            </w: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 xml:space="preserve">逐轮票决       </w:t>
            </w:r>
          </w:p>
          <w:p w14:paraId="004F04BF">
            <w:pPr>
              <w:widowControl w:val="0"/>
              <w:adjustRightInd w:val="0"/>
              <w:snapToGrid w:val="0"/>
              <w:spacing w:line="360" w:lineRule="auto"/>
              <w:ind w:firstLine="420" w:firstLineChars="200"/>
              <w:jc w:val="both"/>
              <w:rPr>
                <w:rFonts w:ascii="宋体" w:eastAsia="宋体" w:hAnsi="宋体" w:cs="宋体" w:hint="eastAsia"/>
                <w:sz w:val="21"/>
                <w:szCs w:val="21"/>
                <w:shd w:val="clear" w:color="auto" w:fill="FFFFFF"/>
                <w:lang w:eastAsia="zh-CN"/>
              </w:rPr>
            </w:pPr>
            <w:r>
              <w:rPr>
                <w:rFonts w:ascii="宋体" w:eastAsia="宋体" w:hAnsi="宋体" w:cs="宋体" w:hint="eastAsia"/>
                <w:sz w:val="21"/>
                <w:szCs w:val="21"/>
                <w:shd w:val="clear" w:color="auto" w:fill="FFFFFF"/>
                <w:lang w:eastAsia="zh-CN"/>
              </w:rPr>
              <w:t>计算规则：</w:t>
            </w:r>
            <w:r>
              <w:rPr>
                <w:rFonts w:ascii="宋体" w:eastAsia="宋体" w:hAnsi="宋体" w:cs="宋体" w:hint="eastAsia"/>
                <w:sz w:val="21"/>
                <w:szCs w:val="21"/>
                <w:lang w:eastAsia="zh-CN"/>
              </w:rPr>
              <w:t>简单多数。当被淘汰最后一名有并列情况以至超过应淘汰投标人数时，对此并列的投标人采取</w:t>
            </w:r>
            <w:r>
              <w:rPr>
                <w:rFonts w:ascii="宋体" w:eastAsia="宋体" w:hAnsi="宋体" w:cs="宋体" w:hint="eastAsia"/>
                <w:sz w:val="21"/>
                <w:szCs w:val="21"/>
                <w:lang w:eastAsia="zh-CN"/>
              </w:rPr>
              <w:t>继续票决方式</w:t>
            </w:r>
            <w:r>
              <w:rPr>
                <w:rFonts w:ascii="宋体" w:eastAsia="宋体" w:hAnsi="宋体" w:cs="宋体" w:hint="eastAsia"/>
                <w:sz w:val="21"/>
                <w:szCs w:val="21"/>
                <w:lang w:eastAsia="zh-CN"/>
              </w:rPr>
              <w:t>确定</w:t>
            </w:r>
            <w:r>
              <w:rPr>
                <w:rFonts w:ascii="宋体" w:eastAsia="宋体" w:hAnsi="宋体" w:cs="宋体" w:hint="eastAsia"/>
                <w:sz w:val="21"/>
                <w:szCs w:val="21"/>
                <w:lang w:eastAsia="zh-CN"/>
              </w:rPr>
              <w:t>入围投标人</w:t>
            </w:r>
            <w:r>
              <w:rPr>
                <w:rFonts w:ascii="宋体" w:eastAsia="宋体" w:hAnsi="宋体" w:cs="宋体" w:hint="eastAsia"/>
                <w:sz w:val="21"/>
                <w:szCs w:val="21"/>
                <w:lang w:eastAsia="zh-CN"/>
              </w:rPr>
              <w:t>。</w:t>
            </w:r>
          </w:p>
        </w:tc>
      </w:tr>
      <w:tr w14:paraId="0AA2ED3C">
        <w:tblPrEx>
          <w:tblW w:w="5000" w:type="pct"/>
          <w:jc w:val="center"/>
          <w:tblLayout w:type="fixed"/>
          <w:tblCellMar>
            <w:top w:w="0" w:type="dxa"/>
            <w:left w:w="108" w:type="dxa"/>
            <w:bottom w:w="0" w:type="dxa"/>
            <w:right w:w="108" w:type="dxa"/>
          </w:tblCellMar>
        </w:tblPrEx>
        <w:trPr>
          <w:trHeight w:val="90"/>
          <w:jc w:val="center"/>
        </w:trPr>
        <w:tc>
          <w:tcPr>
            <w:tcW w:w="673" w:type="dxa"/>
            <w:vAlign w:val="center"/>
          </w:tcPr>
          <w:p w14:paraId="5EC92CB0">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20</w:t>
            </w:r>
          </w:p>
        </w:tc>
        <w:tc>
          <w:tcPr>
            <w:tcW w:w="2192" w:type="dxa"/>
            <w:vAlign w:val="center"/>
          </w:tcPr>
          <w:p w14:paraId="3D0576F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评标方法及标准</w:t>
            </w:r>
          </w:p>
        </w:tc>
        <w:tc>
          <w:tcPr>
            <w:tcW w:w="6652" w:type="dxa"/>
            <w:vAlign w:val="center"/>
          </w:tcPr>
          <w:p w14:paraId="00000D15">
            <w:pPr>
              <w:widowControl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napToGrid w:val="0"/>
                <w:sz w:val="21"/>
                <w:szCs w:val="21"/>
                <w:lang w:eastAsia="zh-CN"/>
              </w:rPr>
              <w:t>定性评审法</w:t>
            </w:r>
          </w:p>
          <w:p w14:paraId="7C83026F">
            <w:pPr>
              <w:widowControl w:val="0"/>
              <w:spacing w:line="360" w:lineRule="auto"/>
              <w:jc w:val="left"/>
              <w:rPr>
                <w:rFonts w:ascii="宋体" w:eastAsia="宋体" w:hAnsi="宋体" w:cs="宋体" w:hint="eastAsia"/>
                <w:snapToGrid w:val="0"/>
                <w:kern w:val="2"/>
                <w:sz w:val="21"/>
                <w:szCs w:val="21"/>
                <w:u w:val="single"/>
                <w:lang w:eastAsia="zh-CN" w:bidi="ar"/>
              </w:rPr>
            </w:pPr>
            <w:r>
              <w:rPr>
                <w:rFonts w:ascii="宋体" w:eastAsia="宋体" w:hAnsi="宋体" w:cs="宋体" w:hint="eastAsia"/>
                <w:kern w:val="2"/>
                <w:sz w:val="21"/>
                <w:szCs w:val="21"/>
                <w:lang w:eastAsia="zh-CN" w:bidi="ar"/>
              </w:rPr>
              <w:t>□</w:t>
            </w:r>
            <w:r>
              <w:rPr>
                <w:rFonts w:ascii="宋体" w:eastAsia="宋体" w:hAnsi="宋体" w:cs="宋体" w:hint="eastAsia"/>
                <w:snapToGrid w:val="0"/>
                <w:sz w:val="21"/>
                <w:szCs w:val="21"/>
                <w:lang w:eastAsia="zh-CN"/>
              </w:rPr>
              <w:t>经建设、交通行政主管部门批准的其他方法：</w:t>
            </w:r>
            <w:r>
              <w:rPr>
                <w:rFonts w:ascii="宋体" w:eastAsia="宋体" w:hAnsi="宋体" w:cs="宋体" w:hint="eastAsia"/>
                <w:snapToGrid w:val="0"/>
                <w:kern w:val="2"/>
                <w:sz w:val="21"/>
                <w:szCs w:val="21"/>
                <w:u w:val="single"/>
                <w:lang w:eastAsia="zh-CN" w:bidi="ar"/>
              </w:rPr>
              <w:t xml:space="preserve">      </w:t>
            </w:r>
          </w:p>
        </w:tc>
      </w:tr>
      <w:tr w14:paraId="3D7F306B">
        <w:tblPrEx>
          <w:tblW w:w="5000" w:type="pct"/>
          <w:jc w:val="center"/>
          <w:tblLayout w:type="fixed"/>
          <w:tblCellMar>
            <w:top w:w="0" w:type="dxa"/>
            <w:left w:w="108" w:type="dxa"/>
            <w:bottom w:w="0" w:type="dxa"/>
            <w:right w:w="108" w:type="dxa"/>
          </w:tblCellMar>
        </w:tblPrEx>
        <w:trPr>
          <w:trHeight w:val="999"/>
          <w:jc w:val="center"/>
        </w:trPr>
        <w:tc>
          <w:tcPr>
            <w:tcW w:w="673" w:type="dxa"/>
            <w:vAlign w:val="center"/>
          </w:tcPr>
          <w:p w14:paraId="56522B79">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21</w:t>
            </w:r>
          </w:p>
        </w:tc>
        <w:tc>
          <w:tcPr>
            <w:tcW w:w="2192" w:type="dxa"/>
            <w:vAlign w:val="center"/>
          </w:tcPr>
          <w:p w14:paraId="42C399C1">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专家推荐原则</w:t>
            </w:r>
          </w:p>
        </w:tc>
        <w:tc>
          <w:tcPr>
            <w:tcW w:w="6652" w:type="dxa"/>
            <w:vAlign w:val="center"/>
          </w:tcPr>
          <w:p w14:paraId="28B88BCB">
            <w:pPr>
              <w:widowControl w:val="0"/>
              <w:adjustRightInd w:val="0"/>
              <w:snapToGrid w:val="0"/>
              <w:spacing w:line="360" w:lineRule="auto"/>
              <w:jc w:val="left"/>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招标人应根据项目实际合理设置评审要素，对专家评标质量提出要求，并明确专家推荐原则</w:t>
            </w:r>
            <w:r>
              <w:rPr>
                <w:rFonts w:ascii="宋体" w:eastAsia="宋体" w:hAnsi="宋体" w:cs="宋体" w:hint="eastAsia"/>
                <w:sz w:val="21"/>
                <w:szCs w:val="21"/>
                <w:vertAlign w:val="superscript"/>
                <w:lang w:eastAsia="zh-CN"/>
              </w:rPr>
              <w:t>[</w:t>
            </w:r>
            <w:r>
              <w:rPr>
                <w:rFonts w:ascii="宋体" w:eastAsia="宋体" w:hAnsi="宋体" w:cs="宋体" w:hint="eastAsia"/>
                <w:sz w:val="21"/>
                <w:szCs w:val="21"/>
                <w:vertAlign w:val="superscript"/>
                <w:lang w:eastAsia="zh-CN"/>
              </w:rPr>
              <w:footnoteReference w:id="3"/>
            </w:r>
            <w:r>
              <w:rPr>
                <w:rFonts w:ascii="宋体" w:eastAsia="宋体" w:hAnsi="宋体" w:cs="宋体" w:hint="eastAsia"/>
                <w:sz w:val="21"/>
                <w:szCs w:val="21"/>
                <w:vertAlign w:val="superscript"/>
                <w:lang w:eastAsia="zh-CN"/>
              </w:rPr>
              <w:t>]</w:t>
            </w:r>
            <w:r>
              <w:rPr>
                <w:rFonts w:ascii="宋体" w:eastAsia="宋体" w:hAnsi="宋体" w:cs="宋体" w:hint="eastAsia"/>
                <w:sz w:val="21"/>
                <w:szCs w:val="21"/>
                <w:lang w:eastAsia="zh-CN"/>
              </w:rPr>
              <w:t>：</w:t>
            </w:r>
            <w:r>
              <w:rPr>
                <w:rFonts w:ascii="宋体" w:eastAsia="宋体" w:hAnsi="宋体" w:cs="宋体" w:hint="eastAsia"/>
                <w:sz w:val="21"/>
                <w:szCs w:val="21"/>
                <w:u w:val="single"/>
                <w:lang w:eastAsia="zh-CN"/>
              </w:rPr>
              <w:t xml:space="preserve">  </w:t>
            </w:r>
            <w:r>
              <w:rPr>
                <w:rFonts w:ascii="宋体" w:eastAsia="宋体" w:hAnsi="宋体" w:cs="宋体" w:hint="eastAsia"/>
                <w:sz w:val="21"/>
                <w:szCs w:val="21"/>
                <w:u w:val="single"/>
                <w:lang w:eastAsia="zh-CN"/>
              </w:rPr>
              <w:t>本项目</w:t>
            </w:r>
            <w:r>
              <w:rPr>
                <w:rFonts w:ascii="宋体" w:eastAsia="宋体" w:hAnsi="宋体" w:cs="宋体" w:hint="eastAsia"/>
                <w:sz w:val="21"/>
                <w:szCs w:val="21"/>
                <w:u w:val="single"/>
                <w:lang w:eastAsia="zh-CN"/>
              </w:rPr>
              <w:t>不</w:t>
            </w:r>
            <w:r>
              <w:rPr>
                <w:rFonts w:ascii="宋体" w:eastAsia="宋体" w:hAnsi="宋体" w:cs="宋体" w:hint="eastAsia"/>
                <w:sz w:val="21"/>
                <w:szCs w:val="21"/>
                <w:u w:val="single"/>
                <w:lang w:eastAsia="zh-CN"/>
              </w:rPr>
              <w:t>编制技术标文件，不组织交易中心评标专家评审</w:t>
            </w:r>
            <w:r>
              <w:rPr>
                <w:rFonts w:ascii="宋体" w:eastAsia="宋体" w:hAnsi="宋体" w:cs="宋体" w:hint="eastAsia"/>
                <w:sz w:val="21"/>
                <w:szCs w:val="21"/>
                <w:u w:val="single"/>
                <w:lang w:eastAsia="zh-CN"/>
              </w:rPr>
              <w:t xml:space="preserve">。           </w:t>
            </w:r>
          </w:p>
          <w:p w14:paraId="74085D4C">
            <w:pPr>
              <w:widowControl w:val="0"/>
              <w:adjustRightInd w:val="0"/>
              <w:snapToGrid w:val="0"/>
              <w:spacing w:line="360" w:lineRule="auto"/>
              <w:jc w:val="left"/>
              <w:rPr>
                <w:rFonts w:ascii="宋体" w:eastAsia="宋体" w:hAnsi="宋体" w:cs="宋体" w:hint="eastAsia"/>
                <w:sz w:val="21"/>
                <w:szCs w:val="21"/>
                <w:u w:val="single"/>
                <w:lang w:eastAsia="zh-CN" w:bidi="ar"/>
              </w:rPr>
            </w:pPr>
            <w:r>
              <w:rPr>
                <w:rFonts w:ascii="宋体" w:eastAsia="宋体" w:hAnsi="宋体" w:cs="宋体" w:hint="eastAsia"/>
                <w:sz w:val="21"/>
                <w:szCs w:val="21"/>
                <w:lang w:eastAsia="zh-CN"/>
              </w:rPr>
              <w:t>注</w:t>
            </w:r>
            <w:r>
              <w:rPr>
                <w:rFonts w:ascii="宋体" w:eastAsia="宋体" w:hAnsi="宋体" w:cs="宋体" w:hint="eastAsia"/>
                <w:sz w:val="21"/>
                <w:szCs w:val="21"/>
                <w:u w:val="single"/>
                <w:lang w:eastAsia="zh-CN"/>
              </w:rPr>
              <w:t>：招标人应根据项目实际，设置规则清晰、可操作性强的推荐中标候选人原则。</w:t>
            </w:r>
          </w:p>
        </w:tc>
      </w:tr>
      <w:tr w14:paraId="24785856">
        <w:tblPrEx>
          <w:tblW w:w="5000" w:type="pct"/>
          <w:jc w:val="center"/>
          <w:tblLayout w:type="fixed"/>
          <w:tblCellMar>
            <w:top w:w="0" w:type="dxa"/>
            <w:left w:w="108" w:type="dxa"/>
            <w:bottom w:w="0" w:type="dxa"/>
            <w:right w:w="108" w:type="dxa"/>
          </w:tblCellMar>
        </w:tblPrEx>
        <w:trPr>
          <w:trHeight w:val="661"/>
          <w:jc w:val="center"/>
        </w:trPr>
        <w:tc>
          <w:tcPr>
            <w:tcW w:w="673" w:type="dxa"/>
            <w:vAlign w:val="center"/>
          </w:tcPr>
          <w:p w14:paraId="31D1110F">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22</w:t>
            </w:r>
          </w:p>
        </w:tc>
        <w:tc>
          <w:tcPr>
            <w:tcW w:w="2192" w:type="dxa"/>
            <w:vAlign w:val="center"/>
          </w:tcPr>
          <w:p w14:paraId="1A0DC463">
            <w:pPr>
              <w:widowControl w:val="0"/>
              <w:adjustRightInd w:val="0"/>
              <w:snapToGrid w:val="0"/>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评标地点</w:t>
            </w:r>
          </w:p>
        </w:tc>
        <w:tc>
          <w:tcPr>
            <w:tcW w:w="6652" w:type="dxa"/>
            <w:vAlign w:val="center"/>
          </w:tcPr>
          <w:p w14:paraId="30091BD4">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交易场所评标</w:t>
            </w:r>
          </w:p>
          <w:p w14:paraId="629A660F">
            <w:pPr>
              <w:widowControl w:val="0"/>
              <w:adjustRightInd w:val="0"/>
              <w:snapToGrid w:val="0"/>
              <w:spacing w:line="360" w:lineRule="auto"/>
              <w:jc w:val="left"/>
              <w:rPr>
                <w:rFonts w:ascii="宋体" w:eastAsia="宋体" w:hAnsi="宋体" w:cs="宋体" w:hint="eastAsia"/>
                <w:snapToGrid w:val="0"/>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其他：</w:t>
            </w:r>
            <w:r>
              <w:rPr>
                <w:rFonts w:ascii="宋体" w:eastAsia="宋体" w:hAnsi="宋体" w:cs="宋体" w:hint="eastAsia"/>
                <w:kern w:val="2"/>
                <w:sz w:val="21"/>
                <w:szCs w:val="21"/>
                <w:u w:val="single"/>
                <w:lang w:eastAsia="zh-CN" w:bidi="ar"/>
              </w:rPr>
              <w:t xml:space="preserve">      </w:t>
            </w:r>
          </w:p>
        </w:tc>
      </w:tr>
      <w:tr w14:paraId="022CF72E">
        <w:tblPrEx>
          <w:tblW w:w="5000" w:type="pct"/>
          <w:jc w:val="center"/>
          <w:tblLayout w:type="fixed"/>
          <w:tblCellMar>
            <w:top w:w="0" w:type="dxa"/>
            <w:left w:w="108" w:type="dxa"/>
            <w:bottom w:w="0" w:type="dxa"/>
            <w:right w:w="108" w:type="dxa"/>
          </w:tblCellMar>
        </w:tblPrEx>
        <w:trPr>
          <w:trHeight w:val="666"/>
          <w:jc w:val="center"/>
        </w:trPr>
        <w:tc>
          <w:tcPr>
            <w:tcW w:w="673" w:type="dxa"/>
            <w:vAlign w:val="center"/>
          </w:tcPr>
          <w:p w14:paraId="3F13CEA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23</w:t>
            </w:r>
          </w:p>
        </w:tc>
        <w:tc>
          <w:tcPr>
            <w:tcW w:w="2192" w:type="dxa"/>
            <w:vAlign w:val="center"/>
          </w:tcPr>
          <w:p w14:paraId="4F211766">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评标委员会</w:t>
            </w:r>
          </w:p>
          <w:p w14:paraId="657F0FAD">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的人员组成</w:t>
            </w:r>
          </w:p>
        </w:tc>
        <w:tc>
          <w:tcPr>
            <w:tcW w:w="6652" w:type="dxa"/>
            <w:vAlign w:val="center"/>
          </w:tcPr>
          <w:p w14:paraId="4FB6348F">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u w:val="single"/>
                <w:lang w:eastAsia="zh-CN"/>
              </w:rPr>
              <w:t>本项目</w:t>
            </w:r>
            <w:r>
              <w:rPr>
                <w:rFonts w:ascii="宋体" w:eastAsia="宋体" w:hAnsi="宋体" w:cs="宋体" w:hint="eastAsia"/>
                <w:sz w:val="21"/>
                <w:szCs w:val="21"/>
                <w:u w:val="single"/>
                <w:lang w:eastAsia="zh-CN"/>
              </w:rPr>
              <w:t>不</w:t>
            </w:r>
            <w:r>
              <w:rPr>
                <w:rFonts w:ascii="宋体" w:eastAsia="宋体" w:hAnsi="宋体" w:cs="宋体" w:hint="eastAsia"/>
                <w:sz w:val="21"/>
                <w:szCs w:val="21"/>
                <w:u w:val="single"/>
                <w:lang w:eastAsia="zh-CN"/>
              </w:rPr>
              <w:t>编制技术标文件，不组织交易中心评标专家评审</w:t>
            </w:r>
            <w:r>
              <w:rPr>
                <w:rFonts w:ascii="宋体" w:eastAsia="宋体" w:hAnsi="宋体" w:cs="宋体" w:hint="eastAsia"/>
                <w:sz w:val="21"/>
                <w:szCs w:val="21"/>
                <w:u w:val="single"/>
                <w:lang w:eastAsia="zh-CN"/>
              </w:rPr>
              <w:t>。</w:t>
            </w:r>
          </w:p>
        </w:tc>
      </w:tr>
      <w:tr w14:paraId="53EEE190">
        <w:tblPrEx>
          <w:tblW w:w="5000" w:type="pct"/>
          <w:jc w:val="center"/>
          <w:tblLayout w:type="fixed"/>
          <w:tblCellMar>
            <w:top w:w="0" w:type="dxa"/>
            <w:left w:w="108" w:type="dxa"/>
            <w:bottom w:w="0" w:type="dxa"/>
            <w:right w:w="108" w:type="dxa"/>
          </w:tblCellMar>
        </w:tblPrEx>
        <w:trPr>
          <w:trHeight w:val="510"/>
          <w:jc w:val="center"/>
        </w:trPr>
        <w:tc>
          <w:tcPr>
            <w:tcW w:w="673" w:type="dxa"/>
            <w:vAlign w:val="center"/>
          </w:tcPr>
          <w:p w14:paraId="6DDAD83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24</w:t>
            </w:r>
          </w:p>
        </w:tc>
        <w:tc>
          <w:tcPr>
            <w:tcW w:w="2192" w:type="dxa"/>
            <w:vAlign w:val="center"/>
          </w:tcPr>
          <w:p w14:paraId="3BE4814B">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定标工作规则和项目定标方案</w:t>
            </w:r>
          </w:p>
        </w:tc>
        <w:tc>
          <w:tcPr>
            <w:tcW w:w="6652" w:type="dxa"/>
            <w:vAlign w:val="center"/>
          </w:tcPr>
          <w:p w14:paraId="4118BA47">
            <w:pPr>
              <w:widowControl w:val="0"/>
              <w:adjustRightInd w:val="0"/>
              <w:snapToGrid w:val="0"/>
              <w:spacing w:line="360" w:lineRule="auto"/>
              <w:jc w:val="left"/>
              <w:rPr>
                <w:rFonts w:ascii="宋体" w:eastAsia="宋体" w:hAnsi="宋体" w:cs="宋体" w:hint="eastAsia"/>
                <w:sz w:val="21"/>
                <w:szCs w:val="21"/>
                <w:u w:val="single"/>
                <w:lang w:eastAsia="zh-CN"/>
              </w:rPr>
            </w:pPr>
            <w:r>
              <w:rPr>
                <w:rFonts w:ascii="宋体" w:eastAsia="宋体" w:hAnsi="宋体" w:cs="宋体" w:hint="eastAsia"/>
                <w:sz w:val="21"/>
                <w:szCs w:val="21"/>
                <w:lang w:eastAsia="zh-CN"/>
              </w:rPr>
              <w:t>定标工作规则：</w:t>
            </w:r>
            <w:r>
              <w:rPr>
                <w:rFonts w:ascii="宋体" w:eastAsia="宋体" w:hAnsi="宋体" w:cs="宋体" w:hint="eastAsia"/>
                <w:sz w:val="21"/>
                <w:szCs w:val="21"/>
                <w:u w:val="single"/>
                <w:lang w:eastAsia="zh-CN"/>
              </w:rPr>
              <w:t xml:space="preserve">  </w:t>
            </w:r>
            <w:r>
              <w:rPr>
                <w:rFonts w:ascii="宋体" w:eastAsia="宋体" w:hAnsi="宋体" w:cs="宋体" w:hint="eastAsia"/>
                <w:color w:val="0000FF"/>
                <w:sz w:val="21"/>
                <w:szCs w:val="21"/>
                <w:u w:val="single"/>
                <w:lang w:eastAsia="zh-CN"/>
              </w:rPr>
              <w:t>详见招标文件第三章</w:t>
            </w:r>
            <w:r>
              <w:rPr>
                <w:rFonts w:ascii="宋体" w:eastAsia="宋体" w:hAnsi="宋体" w:cs="宋体" w:hint="eastAsia"/>
                <w:color w:val="000000"/>
                <w:kern w:val="2"/>
                <w:sz w:val="21"/>
                <w:szCs w:val="21"/>
                <w:u w:val="single" w:color="000000"/>
                <w:lang w:eastAsia="zh-CN"/>
              </w:rPr>
              <w:t>。</w:t>
            </w:r>
            <w:r>
              <w:rPr>
                <w:rFonts w:ascii="宋体" w:eastAsia="宋体" w:hAnsi="宋体" w:cs="宋体" w:hint="eastAsia"/>
                <w:sz w:val="21"/>
                <w:szCs w:val="21"/>
                <w:u w:val="single"/>
                <w:lang w:eastAsia="zh-CN"/>
              </w:rPr>
              <w:t xml:space="preserve">           </w:t>
            </w:r>
          </w:p>
          <w:p w14:paraId="4EE32BBC">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项目定标方案：在报招标人内设（上级）的纪检监察机构（或督察机构）备案的基础上，于招标公告备案时上传至备案系统加密保存</w:t>
            </w:r>
            <w:r>
              <w:rPr>
                <w:rFonts w:ascii="宋体" w:eastAsia="宋体" w:hAnsi="宋体" w:cs="宋体" w:hint="eastAsia"/>
                <w:sz w:val="21"/>
                <w:szCs w:val="21"/>
                <w:vertAlign w:val="superscript"/>
                <w:lang w:eastAsia="zh-CN"/>
              </w:rPr>
              <w:t>[</w:t>
            </w:r>
            <w:r>
              <w:rPr>
                <w:rFonts w:ascii="宋体" w:eastAsia="宋体" w:hAnsi="宋体" w:cs="宋体" w:hint="eastAsia"/>
                <w:sz w:val="21"/>
                <w:szCs w:val="21"/>
                <w:vertAlign w:val="superscript"/>
                <w:lang w:eastAsia="zh-CN"/>
              </w:rPr>
              <w:footnoteReference w:id="4"/>
            </w:r>
            <w:r>
              <w:rPr>
                <w:rFonts w:ascii="宋体" w:eastAsia="宋体" w:hAnsi="宋体" w:cs="宋体" w:hint="eastAsia"/>
                <w:sz w:val="21"/>
                <w:szCs w:val="21"/>
                <w:vertAlign w:val="superscript"/>
                <w:lang w:eastAsia="zh-CN"/>
              </w:rPr>
              <w:t>]</w:t>
            </w:r>
            <w:r>
              <w:rPr>
                <w:rFonts w:ascii="宋体" w:eastAsia="宋体" w:hAnsi="宋体" w:cs="宋体" w:hint="eastAsia"/>
                <w:sz w:val="21"/>
                <w:szCs w:val="21"/>
                <w:lang w:eastAsia="zh-CN"/>
              </w:rPr>
              <w:t>。</w:t>
            </w:r>
          </w:p>
          <w:p w14:paraId="412A17AA">
            <w:pPr>
              <w:widowControl w:val="0"/>
              <w:adjustRightInd w:val="0"/>
              <w:snapToGrid w:val="0"/>
              <w:spacing w:line="360" w:lineRule="auto"/>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注 ：1.招标人应事先制定定标工作规则，</w:t>
            </w:r>
            <w:r>
              <w:rPr>
                <w:rFonts w:ascii="宋体" w:eastAsia="宋体" w:hAnsi="宋体" w:cs="宋体" w:hint="eastAsia"/>
                <w:kern w:val="2"/>
                <w:sz w:val="21"/>
                <w:szCs w:val="21"/>
                <w:lang w:eastAsia="zh-CN"/>
              </w:rPr>
              <w:t>对不同类别项目择优竞价结合方式、择优因素、竞价方法予以明确</w:t>
            </w:r>
            <w:r>
              <w:rPr>
                <w:rFonts w:ascii="宋体" w:eastAsia="宋体" w:hAnsi="宋体" w:cs="宋体" w:hint="eastAsia"/>
                <w:kern w:val="2"/>
                <w:sz w:val="21"/>
                <w:szCs w:val="21"/>
                <w:lang w:eastAsia="zh-CN"/>
              </w:rPr>
              <w:t>。</w:t>
            </w:r>
          </w:p>
          <w:p w14:paraId="3DD98868">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2.</w:t>
            </w:r>
            <w:r>
              <w:rPr>
                <w:rFonts w:ascii="宋体" w:eastAsia="宋体" w:hAnsi="宋体" w:cs="宋体" w:hint="eastAsia"/>
                <w:sz w:val="21"/>
                <w:szCs w:val="21"/>
                <w:lang w:eastAsia="zh-CN"/>
              </w:rPr>
              <w:t>在招标公告发布前，招标人应结合定标工作规则和项目实际，制定</w:t>
            </w:r>
            <w:r>
              <w:rPr>
                <w:rFonts w:ascii="宋体" w:eastAsia="宋体" w:hAnsi="宋体" w:cs="宋体" w:hint="eastAsia"/>
                <w:sz w:val="21"/>
                <w:szCs w:val="21"/>
                <w:lang w:eastAsia="zh-CN"/>
              </w:rPr>
              <w:t>详细的</w:t>
            </w:r>
            <w:r>
              <w:rPr>
                <w:rFonts w:ascii="宋体" w:eastAsia="宋体" w:hAnsi="宋体" w:cs="宋体" w:hint="eastAsia"/>
                <w:sz w:val="21"/>
                <w:szCs w:val="21"/>
                <w:lang w:eastAsia="zh-CN"/>
              </w:rPr>
              <w:t>项目定标方案，细化择优要素、竞价因素，明确</w:t>
            </w:r>
            <w:r>
              <w:rPr>
                <w:rFonts w:ascii="宋体" w:eastAsia="宋体" w:hAnsi="宋体" w:cs="宋体" w:hint="eastAsia"/>
                <w:sz w:val="21"/>
                <w:szCs w:val="21"/>
                <w:lang w:eastAsia="zh-CN"/>
              </w:rPr>
              <w:t>定标委员会成员构成、</w:t>
            </w:r>
            <w:r>
              <w:rPr>
                <w:rFonts w:ascii="宋体" w:eastAsia="宋体" w:hAnsi="宋体" w:cs="宋体" w:hint="eastAsia"/>
                <w:sz w:val="21"/>
                <w:szCs w:val="21"/>
                <w:lang w:eastAsia="zh-CN"/>
              </w:rPr>
              <w:t>定标流程、投票规则等内容</w:t>
            </w:r>
            <w:r>
              <w:rPr>
                <w:rFonts w:ascii="宋体" w:eastAsia="宋体" w:hAnsi="宋体" w:cs="宋体" w:hint="eastAsia"/>
                <w:sz w:val="21"/>
                <w:szCs w:val="21"/>
                <w:lang w:eastAsia="zh-CN"/>
              </w:rPr>
              <w:t>，</w:t>
            </w:r>
            <w:r>
              <w:rPr>
                <w:rFonts w:ascii="宋体" w:eastAsia="宋体" w:hAnsi="宋体" w:cs="宋体" w:hint="eastAsia"/>
                <w:sz w:val="21"/>
                <w:szCs w:val="21"/>
                <w:lang w:eastAsia="zh-CN"/>
              </w:rPr>
              <w:t>鼓励招标人对择优要素及优先级别进行客观量化，提升定标质量效率</w:t>
            </w:r>
            <w:r>
              <w:rPr>
                <w:rFonts w:ascii="宋体" w:eastAsia="宋体" w:hAnsi="宋体" w:cs="宋体" w:hint="eastAsia"/>
                <w:sz w:val="21"/>
                <w:szCs w:val="21"/>
                <w:lang w:eastAsia="zh-CN"/>
              </w:rPr>
              <w:t>。</w:t>
            </w:r>
          </w:p>
        </w:tc>
      </w:tr>
      <w:tr w14:paraId="1F62318B">
        <w:tblPrEx>
          <w:tblW w:w="5000" w:type="pct"/>
          <w:jc w:val="center"/>
          <w:tblLayout w:type="fixed"/>
          <w:tblCellMar>
            <w:top w:w="0" w:type="dxa"/>
            <w:left w:w="108" w:type="dxa"/>
            <w:bottom w:w="0" w:type="dxa"/>
            <w:right w:w="108" w:type="dxa"/>
          </w:tblCellMar>
        </w:tblPrEx>
        <w:trPr>
          <w:trHeight w:val="923"/>
          <w:jc w:val="center"/>
        </w:trPr>
        <w:tc>
          <w:tcPr>
            <w:tcW w:w="673" w:type="dxa"/>
            <w:vMerge w:val="restart"/>
            <w:vAlign w:val="center"/>
          </w:tcPr>
          <w:p w14:paraId="34C87C9E">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25</w:t>
            </w:r>
          </w:p>
        </w:tc>
        <w:tc>
          <w:tcPr>
            <w:tcW w:w="2192" w:type="dxa"/>
            <w:vMerge w:val="restart"/>
            <w:vAlign w:val="center"/>
          </w:tcPr>
          <w:p w14:paraId="2EE994AF">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定标方法</w:t>
            </w:r>
          </w:p>
        </w:tc>
        <w:tc>
          <w:tcPr>
            <w:tcW w:w="6652" w:type="dxa"/>
            <w:vAlign w:val="center"/>
          </w:tcPr>
          <w:p w14:paraId="582E9A04">
            <w:pPr>
              <w:widowControl w:val="0"/>
              <w:adjustRightInd w:val="0"/>
              <w:snapToGrid w:val="0"/>
              <w:spacing w:line="360" w:lineRule="auto"/>
              <w:jc w:val="left"/>
              <w:rPr>
                <w:rFonts w:ascii="宋体" w:eastAsia="宋体" w:hAnsi="宋体" w:cs="宋体" w:hint="eastAsia"/>
                <w:sz w:val="21"/>
                <w:szCs w:val="21"/>
                <w:lang w:eastAsia="zh-CN"/>
              </w:rPr>
            </w:pPr>
            <w:bookmarkStart w:id="17" w:name="OLE_LINK21"/>
            <w:r>
              <w:rPr>
                <w:rFonts w:ascii="宋体" w:eastAsia="宋体" w:hAnsi="宋体" w:cs="宋体" w:hint="eastAsia"/>
                <w:sz w:val="21"/>
                <w:szCs w:val="21"/>
                <w:lang w:eastAsia="zh-CN"/>
              </w:rPr>
              <w:t>☑</w:t>
            </w:r>
            <w:r>
              <w:rPr>
                <w:rFonts w:ascii="宋体" w:eastAsia="宋体" w:hAnsi="宋体" w:cs="宋体" w:hint="eastAsia"/>
                <w:sz w:val="21"/>
                <w:szCs w:val="21"/>
                <w:lang w:eastAsia="zh-CN"/>
              </w:rPr>
              <w:t xml:space="preserve">直接票决定标法   </w:t>
            </w:r>
          </w:p>
          <w:p w14:paraId="0C2E5DC4">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票决方式：</w:t>
            </w:r>
          </w:p>
          <w:p w14:paraId="3EEFF9FE">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sz w:val="21"/>
                <w:szCs w:val="21"/>
                <w:lang w:eastAsia="zh-CN"/>
              </w:rPr>
              <w:t xml:space="preserve">简单多数     </w:t>
            </w:r>
            <w:r>
              <w:rPr>
                <w:rFonts w:ascii="宋体" w:eastAsia="宋体" w:hAnsi="宋体" w:cs="宋体" w:hint="eastAsia"/>
                <w:sz w:val="21"/>
                <w:szCs w:val="21"/>
                <w:lang w:eastAsia="zh-CN"/>
              </w:rPr>
              <w:t>☑</w:t>
            </w:r>
            <w:r>
              <w:rPr>
                <w:rFonts w:ascii="宋体" w:eastAsia="宋体" w:hAnsi="宋体" w:cs="宋体" w:hint="eastAsia"/>
                <w:sz w:val="21"/>
                <w:szCs w:val="21"/>
                <w:lang w:eastAsia="zh-CN"/>
              </w:rPr>
              <w:t>简单多数（且过半数）    □对比胜出</w:t>
            </w:r>
            <w:bookmarkEnd w:id="17"/>
          </w:p>
        </w:tc>
      </w:tr>
      <w:tr w14:paraId="5763B5BD">
        <w:tblPrEx>
          <w:tblW w:w="5000" w:type="pct"/>
          <w:jc w:val="center"/>
          <w:tblLayout w:type="fixed"/>
          <w:tblCellMar>
            <w:top w:w="0" w:type="dxa"/>
            <w:left w:w="108" w:type="dxa"/>
            <w:bottom w:w="0" w:type="dxa"/>
            <w:right w:w="108" w:type="dxa"/>
          </w:tblCellMar>
        </w:tblPrEx>
        <w:trPr>
          <w:trHeight w:val="923"/>
          <w:jc w:val="center"/>
        </w:trPr>
        <w:tc>
          <w:tcPr>
            <w:tcW w:w="673" w:type="dxa"/>
            <w:vMerge/>
            <w:vAlign w:val="center"/>
          </w:tcPr>
          <w:p w14:paraId="25DA3B08">
            <w:pPr>
              <w:widowControl w:val="0"/>
              <w:adjustRightInd w:val="0"/>
              <w:snapToGrid w:val="0"/>
              <w:spacing w:line="360" w:lineRule="auto"/>
              <w:jc w:val="left"/>
              <w:rPr>
                <w:rFonts w:ascii="宋体" w:eastAsia="宋体" w:hAnsi="宋体" w:cs="宋体" w:hint="eastAsia"/>
                <w:kern w:val="2"/>
                <w:sz w:val="21"/>
                <w:szCs w:val="22"/>
                <w:lang w:eastAsia="zh-CN"/>
              </w:rPr>
            </w:pPr>
          </w:p>
        </w:tc>
        <w:tc>
          <w:tcPr>
            <w:tcW w:w="2192" w:type="dxa"/>
            <w:vMerge/>
            <w:vAlign w:val="center"/>
          </w:tcPr>
          <w:p w14:paraId="19BEB990">
            <w:pPr>
              <w:widowControl w:val="0"/>
              <w:adjustRightInd w:val="0"/>
              <w:snapToGrid w:val="0"/>
              <w:spacing w:line="360" w:lineRule="auto"/>
              <w:jc w:val="left"/>
              <w:rPr>
                <w:rFonts w:ascii="宋体" w:eastAsia="宋体" w:hAnsi="宋体" w:cs="宋体" w:hint="eastAsia"/>
                <w:kern w:val="2"/>
                <w:sz w:val="21"/>
                <w:szCs w:val="22"/>
                <w:lang w:eastAsia="zh-CN"/>
              </w:rPr>
            </w:pPr>
          </w:p>
        </w:tc>
        <w:tc>
          <w:tcPr>
            <w:tcW w:w="6652" w:type="dxa"/>
            <w:vAlign w:val="center"/>
          </w:tcPr>
          <w:p w14:paraId="7CEFADED">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sz w:val="21"/>
                <w:szCs w:val="21"/>
                <w:lang w:eastAsia="zh-CN"/>
              </w:rPr>
              <w:t>逐轮票决定标法</w:t>
            </w:r>
          </w:p>
          <w:p w14:paraId="3D1D2090">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票决方式：</w:t>
            </w:r>
          </w:p>
          <w:p w14:paraId="04E38404">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□简单多数       □对比胜出        □先票决后淘汰</w:t>
            </w:r>
          </w:p>
        </w:tc>
      </w:tr>
      <w:tr w14:paraId="4930E653">
        <w:tblPrEx>
          <w:tblW w:w="5000" w:type="pct"/>
          <w:jc w:val="center"/>
          <w:tblLayout w:type="fixed"/>
          <w:tblCellMar>
            <w:top w:w="0" w:type="dxa"/>
            <w:left w:w="108" w:type="dxa"/>
            <w:bottom w:w="0" w:type="dxa"/>
            <w:right w:w="108" w:type="dxa"/>
          </w:tblCellMar>
        </w:tblPrEx>
        <w:trPr>
          <w:trHeight w:val="383"/>
          <w:jc w:val="center"/>
        </w:trPr>
        <w:tc>
          <w:tcPr>
            <w:tcW w:w="673" w:type="dxa"/>
            <w:vMerge/>
            <w:vAlign w:val="center"/>
          </w:tcPr>
          <w:p w14:paraId="2647875B">
            <w:pPr>
              <w:widowControl w:val="0"/>
              <w:adjustRightInd w:val="0"/>
              <w:snapToGrid w:val="0"/>
              <w:spacing w:line="360" w:lineRule="auto"/>
              <w:jc w:val="left"/>
              <w:rPr>
                <w:rFonts w:ascii="宋体" w:eastAsia="宋体" w:hAnsi="宋体" w:cs="宋体" w:hint="eastAsia"/>
                <w:sz w:val="21"/>
                <w:szCs w:val="21"/>
                <w:lang w:eastAsia="zh-CN"/>
              </w:rPr>
            </w:pPr>
          </w:p>
        </w:tc>
        <w:tc>
          <w:tcPr>
            <w:tcW w:w="2192" w:type="dxa"/>
            <w:vMerge/>
            <w:vAlign w:val="center"/>
          </w:tcPr>
          <w:p w14:paraId="7AF3BCB1">
            <w:pPr>
              <w:widowControl w:val="0"/>
              <w:adjustRightInd w:val="0"/>
              <w:snapToGrid w:val="0"/>
              <w:spacing w:line="360" w:lineRule="auto"/>
              <w:jc w:val="left"/>
              <w:rPr>
                <w:rFonts w:ascii="宋体" w:eastAsia="宋体" w:hAnsi="宋体" w:cs="宋体" w:hint="eastAsia"/>
                <w:sz w:val="21"/>
                <w:szCs w:val="21"/>
                <w:lang w:eastAsia="zh-CN"/>
              </w:rPr>
            </w:pPr>
          </w:p>
        </w:tc>
        <w:tc>
          <w:tcPr>
            <w:tcW w:w="6652" w:type="dxa"/>
            <w:vAlign w:val="center"/>
          </w:tcPr>
          <w:p w14:paraId="379BCAC8">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bidi="ar"/>
              </w:rPr>
              <w:t>□</w:t>
            </w:r>
            <w:r>
              <w:rPr>
                <w:rFonts w:ascii="宋体" w:eastAsia="宋体" w:hAnsi="宋体" w:cs="宋体" w:hint="eastAsia"/>
                <w:sz w:val="21"/>
                <w:szCs w:val="21"/>
                <w:lang w:eastAsia="zh-CN"/>
              </w:rPr>
              <w:t>集体议事定标法</w:t>
            </w:r>
          </w:p>
        </w:tc>
      </w:tr>
      <w:tr w14:paraId="2717F8FB">
        <w:tblPrEx>
          <w:tblW w:w="5000" w:type="pct"/>
          <w:jc w:val="center"/>
          <w:tblLayout w:type="fixed"/>
          <w:tblCellMar>
            <w:top w:w="0" w:type="dxa"/>
            <w:left w:w="108" w:type="dxa"/>
            <w:bottom w:w="0" w:type="dxa"/>
            <w:right w:w="108" w:type="dxa"/>
          </w:tblCellMar>
        </w:tblPrEx>
        <w:trPr>
          <w:trHeight w:val="513"/>
          <w:jc w:val="center"/>
        </w:trPr>
        <w:tc>
          <w:tcPr>
            <w:tcW w:w="673" w:type="dxa"/>
            <w:vMerge/>
            <w:vAlign w:val="center"/>
          </w:tcPr>
          <w:p w14:paraId="4F6ADE00">
            <w:pPr>
              <w:widowControl w:val="0"/>
              <w:adjustRightInd w:val="0"/>
              <w:snapToGrid w:val="0"/>
              <w:spacing w:line="360" w:lineRule="auto"/>
              <w:jc w:val="left"/>
              <w:rPr>
                <w:rFonts w:ascii="宋体" w:eastAsia="宋体" w:hAnsi="宋体" w:cs="宋体" w:hint="eastAsia"/>
                <w:sz w:val="21"/>
                <w:szCs w:val="21"/>
                <w:lang w:eastAsia="zh-CN"/>
              </w:rPr>
            </w:pPr>
          </w:p>
        </w:tc>
        <w:tc>
          <w:tcPr>
            <w:tcW w:w="2192" w:type="dxa"/>
            <w:vMerge/>
            <w:vAlign w:val="center"/>
          </w:tcPr>
          <w:p w14:paraId="299F4708">
            <w:pPr>
              <w:widowControl w:val="0"/>
              <w:adjustRightInd w:val="0"/>
              <w:snapToGrid w:val="0"/>
              <w:spacing w:line="360" w:lineRule="auto"/>
              <w:jc w:val="left"/>
              <w:rPr>
                <w:rFonts w:ascii="宋体" w:eastAsia="宋体" w:hAnsi="宋体" w:cs="宋体" w:hint="eastAsia"/>
                <w:sz w:val="21"/>
                <w:szCs w:val="21"/>
                <w:lang w:eastAsia="zh-CN"/>
              </w:rPr>
            </w:pPr>
          </w:p>
        </w:tc>
        <w:tc>
          <w:tcPr>
            <w:tcW w:w="6652" w:type="dxa"/>
            <w:vAlign w:val="center"/>
          </w:tcPr>
          <w:p w14:paraId="2DD5C50C">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bidi="ar"/>
              </w:rPr>
              <w:t>□</w:t>
            </w:r>
            <w:r>
              <w:rPr>
                <w:rFonts w:ascii="宋体" w:eastAsia="宋体" w:hAnsi="宋体" w:cs="宋体" w:hint="eastAsia"/>
                <w:sz w:val="21"/>
                <w:szCs w:val="21"/>
                <w:lang w:eastAsia="zh-CN"/>
              </w:rPr>
              <w:t>经建设、交通</w:t>
            </w:r>
            <w:r>
              <w:rPr>
                <w:rFonts w:ascii="宋体" w:eastAsia="宋体" w:hAnsi="宋体" w:cs="宋体" w:hint="eastAsia"/>
                <w:sz w:val="21"/>
                <w:szCs w:val="21"/>
                <w:lang w:eastAsia="zh-CN"/>
              </w:rPr>
              <w:t>行政</w:t>
            </w:r>
            <w:r>
              <w:rPr>
                <w:rFonts w:ascii="宋体" w:eastAsia="宋体" w:hAnsi="宋体" w:cs="宋体" w:hint="eastAsia"/>
                <w:sz w:val="21"/>
                <w:szCs w:val="21"/>
                <w:lang w:eastAsia="zh-CN"/>
              </w:rPr>
              <w:t>主管部门批准的其他方法其它方法：</w:t>
            </w:r>
            <w:r>
              <w:rPr>
                <w:rFonts w:ascii="宋体" w:eastAsia="宋体" w:hAnsi="宋体" w:cs="宋体" w:hint="eastAsia"/>
                <w:sz w:val="21"/>
                <w:szCs w:val="21"/>
                <w:u w:val="single"/>
                <w:lang w:eastAsia="zh-CN" w:bidi="ar"/>
              </w:rPr>
              <w:t xml:space="preserve">      </w:t>
            </w:r>
          </w:p>
        </w:tc>
      </w:tr>
      <w:tr w14:paraId="22866DEB">
        <w:tblPrEx>
          <w:tblW w:w="5000" w:type="pct"/>
          <w:jc w:val="center"/>
          <w:tblLayout w:type="fixed"/>
          <w:tblCellMar>
            <w:top w:w="0" w:type="dxa"/>
            <w:left w:w="108" w:type="dxa"/>
            <w:bottom w:w="0" w:type="dxa"/>
            <w:right w:w="108" w:type="dxa"/>
          </w:tblCellMar>
        </w:tblPrEx>
        <w:trPr>
          <w:trHeight w:val="1359"/>
          <w:jc w:val="center"/>
        </w:trPr>
        <w:tc>
          <w:tcPr>
            <w:tcW w:w="673" w:type="dxa"/>
            <w:vAlign w:val="center"/>
          </w:tcPr>
          <w:p w14:paraId="77485EC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26</w:t>
            </w:r>
          </w:p>
        </w:tc>
        <w:tc>
          <w:tcPr>
            <w:tcW w:w="2192" w:type="dxa"/>
            <w:vAlign w:val="center"/>
          </w:tcPr>
          <w:p w14:paraId="536D5139">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履约担保</w:t>
            </w:r>
          </w:p>
        </w:tc>
        <w:tc>
          <w:tcPr>
            <w:tcW w:w="6652" w:type="dxa"/>
            <w:vAlign w:val="center"/>
          </w:tcPr>
          <w:p w14:paraId="2D85F5DF">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金额：</w:t>
            </w:r>
            <w:r>
              <w:rPr>
                <w:rFonts w:ascii="宋体" w:eastAsia="宋体" w:hAnsi="宋体" w:cs="宋体" w:hint="eastAsia"/>
                <w:kern w:val="2"/>
                <w:sz w:val="21"/>
                <w:szCs w:val="21"/>
                <w:u w:val="single"/>
                <w:lang w:eastAsia="zh-CN" w:bidi="ar"/>
              </w:rPr>
              <w:t xml:space="preserve">   </w:t>
            </w:r>
            <w:r>
              <w:rPr>
                <w:rFonts w:ascii="宋体" w:eastAsia="宋体" w:hAnsi="宋体" w:cs="宋体" w:hint="eastAsia"/>
                <w:kern w:val="2"/>
                <w:sz w:val="21"/>
                <w:szCs w:val="21"/>
                <w:u w:val="single"/>
                <w:lang w:eastAsia="zh-CN" w:bidi="ar"/>
              </w:rPr>
              <w:t>/</w:t>
            </w:r>
            <w:r>
              <w:rPr>
                <w:rFonts w:ascii="宋体" w:eastAsia="宋体" w:hAnsi="宋体" w:cs="宋体" w:hint="eastAsia"/>
                <w:kern w:val="2"/>
                <w:sz w:val="21"/>
                <w:szCs w:val="21"/>
                <w:u w:val="single"/>
                <w:lang w:eastAsia="zh-CN" w:bidi="ar"/>
              </w:rPr>
              <w:t xml:space="preserve">   </w:t>
            </w:r>
          </w:p>
          <w:p w14:paraId="36EC43EE">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担保形式：</w:t>
            </w:r>
          </w:p>
          <w:p w14:paraId="7AA90D10">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 xml:space="preserve"> □银行保函 □保证保险 □专业工程担保公司担保</w:t>
            </w:r>
          </w:p>
        </w:tc>
      </w:tr>
      <w:tr w14:paraId="19CEB15F">
        <w:tblPrEx>
          <w:tblW w:w="5000" w:type="pct"/>
          <w:jc w:val="center"/>
          <w:tblLayout w:type="fixed"/>
          <w:tblCellMar>
            <w:top w:w="0" w:type="dxa"/>
            <w:left w:w="108" w:type="dxa"/>
            <w:bottom w:w="0" w:type="dxa"/>
            <w:right w:w="108" w:type="dxa"/>
          </w:tblCellMar>
        </w:tblPrEx>
        <w:trPr>
          <w:trHeight w:val="1383"/>
          <w:jc w:val="center"/>
        </w:trPr>
        <w:tc>
          <w:tcPr>
            <w:tcW w:w="673" w:type="dxa"/>
            <w:vAlign w:val="center"/>
          </w:tcPr>
          <w:p w14:paraId="7A785F76">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27</w:t>
            </w:r>
          </w:p>
        </w:tc>
        <w:tc>
          <w:tcPr>
            <w:tcW w:w="2192" w:type="dxa"/>
            <w:vAlign w:val="center"/>
          </w:tcPr>
          <w:p w14:paraId="4A5B7645">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支付担保</w:t>
            </w:r>
          </w:p>
        </w:tc>
        <w:tc>
          <w:tcPr>
            <w:tcW w:w="6652" w:type="dxa"/>
            <w:vAlign w:val="center"/>
          </w:tcPr>
          <w:p w14:paraId="02A2A35B">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金额：</w:t>
            </w:r>
            <w:r>
              <w:rPr>
                <w:rFonts w:ascii="宋体" w:eastAsia="宋体" w:hAnsi="宋体" w:cs="宋体" w:hint="eastAsia"/>
                <w:kern w:val="2"/>
                <w:sz w:val="21"/>
                <w:szCs w:val="21"/>
                <w:u w:val="single"/>
                <w:lang w:eastAsia="zh-CN" w:bidi="ar"/>
              </w:rPr>
              <w:t xml:space="preserve">  </w:t>
            </w:r>
            <w:r>
              <w:rPr>
                <w:rFonts w:ascii="宋体" w:eastAsia="宋体" w:hAnsi="宋体" w:cs="宋体" w:hint="eastAsia"/>
                <w:kern w:val="2"/>
                <w:sz w:val="21"/>
                <w:szCs w:val="21"/>
                <w:u w:val="single"/>
                <w:lang w:eastAsia="zh-CN" w:bidi="ar"/>
              </w:rPr>
              <w:t>/</w:t>
            </w:r>
            <w:r>
              <w:rPr>
                <w:rFonts w:ascii="宋体" w:eastAsia="宋体" w:hAnsi="宋体" w:cs="宋体" w:hint="eastAsia"/>
                <w:kern w:val="2"/>
                <w:sz w:val="21"/>
                <w:szCs w:val="21"/>
                <w:u w:val="single"/>
                <w:lang w:eastAsia="zh-CN" w:bidi="ar"/>
              </w:rPr>
              <w:t xml:space="preserve">    </w:t>
            </w:r>
          </w:p>
          <w:p w14:paraId="5AF4E877">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担保形式：</w:t>
            </w:r>
          </w:p>
          <w:p w14:paraId="16793536">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 xml:space="preserve"> □银行保函 □保证保险 □专业工程担保公司担保</w:t>
            </w:r>
          </w:p>
        </w:tc>
      </w:tr>
      <w:tr w14:paraId="1250EBC3">
        <w:tblPrEx>
          <w:tblW w:w="5000" w:type="pct"/>
          <w:jc w:val="center"/>
          <w:tblLayout w:type="fixed"/>
          <w:tblCellMar>
            <w:top w:w="0" w:type="dxa"/>
            <w:left w:w="108" w:type="dxa"/>
            <w:bottom w:w="0" w:type="dxa"/>
            <w:right w:w="108" w:type="dxa"/>
          </w:tblCellMar>
        </w:tblPrEx>
        <w:trPr>
          <w:trHeight w:val="1023"/>
          <w:jc w:val="center"/>
        </w:trPr>
        <w:tc>
          <w:tcPr>
            <w:tcW w:w="673" w:type="dxa"/>
            <w:vAlign w:val="center"/>
          </w:tcPr>
          <w:p w14:paraId="5EE74E97">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28</w:t>
            </w:r>
          </w:p>
        </w:tc>
        <w:tc>
          <w:tcPr>
            <w:tcW w:w="2192" w:type="dxa"/>
            <w:vAlign w:val="center"/>
          </w:tcPr>
          <w:p w14:paraId="011CA4BC">
            <w:pPr>
              <w:widowControl w:val="0"/>
              <w:spacing w:line="360" w:lineRule="auto"/>
              <w:jc w:val="center"/>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发出中标通知书及签订合同</w:t>
            </w:r>
          </w:p>
        </w:tc>
        <w:tc>
          <w:tcPr>
            <w:tcW w:w="6652" w:type="dxa"/>
            <w:vAlign w:val="center"/>
          </w:tcPr>
          <w:p w14:paraId="638DC3EB">
            <w:pPr>
              <w:widowControl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招标人和中标人应当自中标通知书发出之日起三十日内，按照招标文件和中标人的投标文件签订合同（因投诉暂停的除外）</w:t>
            </w:r>
          </w:p>
        </w:tc>
      </w:tr>
    </w:tbl>
    <w:p w14:paraId="2392F505">
      <w:pPr>
        <w:widowControl w:val="0"/>
        <w:jc w:val="both"/>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br w:type="page"/>
      </w:r>
    </w:p>
    <w:p w14:paraId="537E4B20">
      <w:pPr>
        <w:widowControl w:val="0"/>
        <w:spacing w:line="360" w:lineRule="auto"/>
        <w:jc w:val="center"/>
        <w:outlineLvl w:val="2"/>
        <w:rPr>
          <w:rFonts w:ascii="宋体" w:eastAsia="宋体" w:hAnsi="宋体" w:cs="宋体" w:hint="eastAsia"/>
          <w:bCs/>
          <w:snapToGrid w:val="0"/>
          <w:sz w:val="32"/>
          <w:szCs w:val="32"/>
          <w:lang w:eastAsia="zh-CN"/>
        </w:rPr>
      </w:pPr>
      <w:bookmarkStart w:id="18" w:name="_Toc13927"/>
      <w:r>
        <w:rPr>
          <w:rFonts w:ascii="宋体" w:eastAsia="宋体" w:hAnsi="宋体" w:cs="宋体" w:hint="eastAsia"/>
          <w:bCs/>
          <w:snapToGrid w:val="0"/>
          <w:sz w:val="32"/>
          <w:szCs w:val="32"/>
          <w:lang w:eastAsia="zh-CN"/>
        </w:rPr>
        <w:t>(一)招标工程情况介绍</w:t>
      </w:r>
      <w:bookmarkEnd w:id="18"/>
    </w:p>
    <w:p w14:paraId="6FD1358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（提示招标人：本章节为必填内容，招标人应当如实详细填写，并作为投标、评标的重要参考。如因招标人未填写或未如实填写本章节内容，造成的不利后果应由招标人承担。）</w:t>
      </w:r>
    </w:p>
    <w:p w14:paraId="3551E5A5">
      <w:pPr>
        <w:widowControl w:val="0"/>
        <w:spacing w:line="360" w:lineRule="auto"/>
        <w:ind w:firstLine="420" w:firstLineChars="200"/>
        <w:jc w:val="left"/>
        <w:rPr>
          <w:rFonts w:ascii="宋体" w:eastAsia="宋体" w:hAnsi="宋体" w:cs="宋体" w:hint="eastAsia"/>
          <w:b/>
          <w:bCs/>
          <w:spacing w:val="-3"/>
          <w:kern w:val="2"/>
          <w:lang w:eastAsia="zh-CN" w:bidi="ar"/>
        </w:rPr>
      </w:pPr>
      <w:r>
        <w:rPr>
          <w:rFonts w:ascii="宋体" w:eastAsia="宋体" w:hAnsi="宋体" w:cs="宋体" w:hint="eastAsia"/>
          <w:snapToGrid w:val="0"/>
          <w:sz w:val="21"/>
          <w:szCs w:val="21"/>
          <w:lang w:eastAsia="zh-CN"/>
        </w:rPr>
        <w:t>1.工程概况、工程规模</w:t>
      </w:r>
    </w:p>
    <w:p w14:paraId="765E1E68">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color w:val="0000FF"/>
          <w:sz w:val="21"/>
          <w:szCs w:val="21"/>
          <w:u w:val="single"/>
          <w:lang w:eastAsia="zh-CN" w:bidi="ar"/>
        </w:rPr>
        <w:t>项目用地面积44244平方米，建设内容包括:新建教学及辅助用房、办公用房、生活服务用房、教师宿舍、初中学生宿舍、架空活动空间、架空车库、地下室、运动场地以及配套工程、配套设备设施等。新建总建筑面积63307.71平方米，其中必配校舍用房34197.07平方米，含教学及辅助用房26491.12平方米、办公用房4201.05平方米、生活服务用房3504.9平方米;选配校舍用房29110.64平方米，含教师宿舍2566.15平方米，初中学生宿舍7738.35平方米，架空活动空间13968.08平方米，非机动车架空车库898.9平方米，地下室3939.16平方米(含人防工程、停车库及设备用房)。运动场地含200米环形跑道1个、300环形跑道1个、篮球场6个、排球(兼羽毛球场)3个、器械+游戏区1处。配套工程涉及绿化、道路、管网、标识等。上述指标均为暂定，具体规划指标以政府部门审批为准。</w:t>
      </w:r>
      <w:r>
        <w:rPr>
          <w:rFonts w:ascii="宋体" w:eastAsia="宋体" w:hAnsi="宋体" w:cs="宋体" w:hint="eastAsia"/>
          <w:snapToGrid w:val="0"/>
          <w:kern w:val="2"/>
          <w:sz w:val="21"/>
          <w:szCs w:val="21"/>
          <w:u w:val="single"/>
          <w:lang w:eastAsia="zh-CN" w:bidi="ar"/>
        </w:rPr>
        <w:t xml:space="preserve">   </w:t>
      </w:r>
    </w:p>
    <w:p w14:paraId="04AAEF06">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2.工程主要特点</w:t>
      </w:r>
    </w:p>
    <w:p w14:paraId="1204510F">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napToGrid w:val="0"/>
          <w:kern w:val="2"/>
          <w:sz w:val="21"/>
          <w:szCs w:val="21"/>
          <w:u w:val="single"/>
          <w:lang w:eastAsia="zh-CN" w:bidi="ar"/>
        </w:rPr>
        <w:t>/</w:t>
      </w:r>
      <w:r>
        <w:rPr>
          <w:rFonts w:ascii="宋体" w:eastAsia="宋体" w:hAnsi="宋体" w:cs="宋体" w:hint="eastAsia"/>
          <w:snapToGrid w:val="0"/>
          <w:kern w:val="2"/>
          <w:sz w:val="21"/>
          <w:szCs w:val="21"/>
          <w:u w:val="single"/>
          <w:lang w:eastAsia="zh-CN" w:bidi="ar"/>
        </w:rPr>
        <w:t xml:space="preserve">   </w:t>
      </w:r>
    </w:p>
    <w:p w14:paraId="04550CB5">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3.建议的评标要点</w:t>
      </w:r>
    </w:p>
    <w:p w14:paraId="353A91D8">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napToGrid w:val="0"/>
          <w:sz w:val="21"/>
          <w:szCs w:val="21"/>
          <w:u w:val="single"/>
          <w:lang w:eastAsia="zh-CN" w:bidi="ar"/>
        </w:rPr>
        <w:t xml:space="preserve">  </w:t>
      </w:r>
      <w:r>
        <w:rPr>
          <w:rFonts w:ascii="宋体" w:eastAsia="宋体" w:hAnsi="宋体" w:cs="宋体" w:hint="eastAsia"/>
          <w:snapToGrid w:val="0"/>
          <w:sz w:val="21"/>
          <w:szCs w:val="21"/>
          <w:u w:val="single"/>
          <w:lang w:eastAsia="zh-CN" w:bidi="ar"/>
        </w:rPr>
        <w:t>/</w:t>
      </w:r>
      <w:r>
        <w:rPr>
          <w:rFonts w:ascii="宋体" w:eastAsia="宋体" w:hAnsi="宋体" w:cs="宋体" w:hint="eastAsia"/>
          <w:snapToGrid w:val="0"/>
          <w:sz w:val="21"/>
          <w:szCs w:val="21"/>
          <w:u w:val="single"/>
          <w:lang w:eastAsia="zh-CN" w:bidi="ar"/>
        </w:rPr>
        <w:t xml:space="preserve">    </w:t>
      </w:r>
    </w:p>
    <w:p w14:paraId="53AED98B">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4.其它：</w:t>
      </w:r>
    </w:p>
    <w:p w14:paraId="34C39A95">
      <w:pPr>
        <w:widowControl w:val="0"/>
        <w:spacing w:line="360" w:lineRule="auto"/>
        <w:ind w:firstLine="420" w:firstLineChars="200"/>
        <w:jc w:val="left"/>
        <w:rPr>
          <w:rFonts w:ascii="宋体" w:eastAsia="宋体" w:hAnsi="宋体" w:cs="宋体" w:hint="eastAsia"/>
          <w:b/>
          <w:kern w:val="2"/>
          <w:sz w:val="32"/>
          <w:szCs w:val="22"/>
          <w:lang w:eastAsia="zh-CN"/>
        </w:rPr>
      </w:pPr>
      <w:r>
        <w:rPr>
          <w:rFonts w:ascii="宋体" w:eastAsia="宋体" w:hAnsi="宋体" w:cs="宋体" w:hint="eastAsia"/>
          <w:snapToGrid w:val="0"/>
          <w:sz w:val="21"/>
          <w:szCs w:val="21"/>
          <w:u w:val="single"/>
          <w:lang w:eastAsia="zh-CN" w:bidi="ar"/>
        </w:rPr>
        <w:t xml:space="preserve">   </w:t>
      </w:r>
      <w:r>
        <w:rPr>
          <w:rFonts w:ascii="宋体" w:eastAsia="宋体" w:hAnsi="宋体" w:cs="宋体" w:hint="eastAsia"/>
          <w:snapToGrid w:val="0"/>
          <w:sz w:val="21"/>
          <w:szCs w:val="21"/>
          <w:u w:val="single"/>
          <w:lang w:eastAsia="zh-CN" w:bidi="ar"/>
        </w:rPr>
        <w:t>/</w:t>
      </w:r>
      <w:r>
        <w:rPr>
          <w:rFonts w:ascii="宋体" w:eastAsia="宋体" w:hAnsi="宋体" w:cs="宋体" w:hint="eastAsia"/>
          <w:snapToGrid w:val="0"/>
          <w:sz w:val="21"/>
          <w:szCs w:val="21"/>
          <w:u w:val="single"/>
          <w:lang w:eastAsia="zh-CN" w:bidi="ar"/>
        </w:rPr>
        <w:t xml:space="preserve">   </w:t>
      </w:r>
    </w:p>
    <w:p w14:paraId="0F9DB878">
      <w:pPr>
        <w:widowControl w:val="0"/>
        <w:ind w:left="2100" w:firstLine="420"/>
        <w:jc w:val="both"/>
        <w:rPr>
          <w:rFonts w:ascii="宋体" w:eastAsia="宋体" w:hAnsi="宋体" w:cs="宋体" w:hint="eastAsia"/>
          <w:bCs/>
          <w:kern w:val="2"/>
          <w:sz w:val="32"/>
          <w:szCs w:val="22"/>
          <w:lang w:eastAsia="zh-CN"/>
        </w:rPr>
      </w:pPr>
      <w:r>
        <w:rPr>
          <w:rFonts w:ascii="宋体" w:eastAsia="宋体" w:hAnsi="宋体" w:cs="宋体" w:hint="eastAsia"/>
          <w:bCs/>
          <w:kern w:val="2"/>
          <w:sz w:val="32"/>
          <w:szCs w:val="22"/>
          <w:lang w:eastAsia="zh-CN"/>
        </w:rPr>
        <w:t>(二)招标投标分段限时投诉的规定</w:t>
      </w:r>
    </w:p>
    <w:p w14:paraId="66A948B5">
      <w:pPr>
        <w:widowControl w:val="0"/>
        <w:ind w:firstLine="420" w:firstLineChars="200"/>
        <w:jc w:val="both"/>
        <w:rPr>
          <w:rFonts w:ascii="宋体" w:eastAsia="宋体" w:hAnsi="宋体" w:cs="宋体" w:hint="eastAsia"/>
          <w:bCs/>
          <w:kern w:val="2"/>
          <w:sz w:val="21"/>
          <w:szCs w:val="21"/>
          <w:lang w:eastAsia="zh-CN"/>
        </w:rPr>
      </w:pPr>
    </w:p>
    <w:p w14:paraId="38BE5FF0">
      <w:pPr>
        <w:widowControl w:val="0"/>
        <w:spacing w:line="360" w:lineRule="auto"/>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深圳市工程建设项目招标投标实行招标人负责制。招标人应当依法处理异议，配合行政监督部门处理投诉。</w:t>
      </w:r>
      <w:r>
        <w:rPr>
          <w:rFonts w:ascii="宋体" w:eastAsia="宋体" w:hAnsi="宋体" w:cs="宋体" w:hint="eastAsia"/>
          <w:bCs/>
          <w:kern w:val="2"/>
          <w:sz w:val="21"/>
          <w:szCs w:val="21"/>
          <w:lang w:eastAsia="zh-CN"/>
        </w:rPr>
        <w:t>市（区）</w:t>
      </w:r>
      <w:r>
        <w:rPr>
          <w:rFonts w:ascii="宋体" w:eastAsia="宋体" w:hAnsi="宋体" w:cs="宋体" w:hint="eastAsia"/>
          <w:bCs/>
          <w:kern w:val="2"/>
          <w:sz w:val="21"/>
          <w:szCs w:val="21"/>
          <w:lang w:eastAsia="zh-CN"/>
        </w:rPr>
        <w:t>建设</w:t>
      </w:r>
      <w:r>
        <w:rPr>
          <w:rFonts w:ascii="宋体" w:eastAsia="宋体" w:hAnsi="宋体" w:cs="宋体" w:hint="eastAsia"/>
          <w:bCs/>
          <w:kern w:val="2"/>
          <w:sz w:val="21"/>
          <w:szCs w:val="21"/>
          <w:lang w:eastAsia="zh-CN"/>
        </w:rPr>
        <w:t>、</w:t>
      </w:r>
      <w:r>
        <w:rPr>
          <w:rFonts w:ascii="宋体" w:eastAsia="宋体" w:hAnsi="宋体" w:cs="宋体" w:hint="eastAsia"/>
          <w:bCs/>
          <w:kern w:val="2"/>
          <w:sz w:val="21"/>
          <w:szCs w:val="21"/>
          <w:lang w:eastAsia="zh-CN"/>
        </w:rPr>
        <w:t>交通</w:t>
      </w:r>
      <w:r>
        <w:rPr>
          <w:rFonts w:ascii="宋体" w:eastAsia="宋体" w:hAnsi="宋体" w:cs="宋体" w:hint="eastAsia"/>
          <w:bCs/>
          <w:kern w:val="2"/>
          <w:sz w:val="21"/>
          <w:szCs w:val="21"/>
          <w:lang w:eastAsia="zh-CN"/>
        </w:rPr>
        <w:t>行政主管部门按照职责分工和监管权限，受理和处理工程建设项目招标投标投诉，对工程建设项目招标投标的异议处理进行监督。</w:t>
      </w:r>
    </w:p>
    <w:p w14:paraId="44897649">
      <w:pPr>
        <w:widowControl w:val="0"/>
        <w:spacing w:line="360" w:lineRule="auto"/>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投标人或者其他利害关系人认为招标投标活动不符合法律、法规和规章规定的，可以依法向招标人提出异议，或者向有关行政监督部门投诉，但就《中华人民共和国招标投标法实施条例》第二十二条、第四十四条、第五十四条规定事项进行投诉的，应当依法先向招标人提出异议。异议和投诉分别按照“书面、限时、实名”的原则进行处理。招标投标活动异议和投诉的提出期限以及处理，具体见《关于建设工程招标投标改革的若干规定》（深府〔2015〕73号）、《深圳市工程建设项目招标投标活动异议和投诉处理办法》（深建规〔2025〕13号）的规定。</w:t>
      </w:r>
    </w:p>
    <w:p w14:paraId="3E9E15AC">
      <w:pPr>
        <w:widowControl w:val="0"/>
        <w:spacing w:line="360" w:lineRule="auto"/>
        <w:ind w:firstLine="420" w:firstLineChars="200"/>
        <w:jc w:val="both"/>
        <w:rPr>
          <w:rFonts w:ascii="宋体" w:eastAsia="宋体" w:hAnsi="宋体" w:cs="宋体" w:hint="eastAsia"/>
          <w:snapToGrid w:val="0"/>
          <w:sz w:val="21"/>
          <w:szCs w:val="22"/>
          <w:lang w:eastAsia="zh-CN"/>
        </w:rPr>
      </w:pPr>
      <w:r>
        <w:rPr>
          <w:rFonts w:ascii="宋体" w:eastAsia="宋体" w:hAnsi="宋体" w:cs="宋体" w:hint="eastAsia"/>
          <w:bCs/>
          <w:kern w:val="2"/>
          <w:sz w:val="21"/>
          <w:szCs w:val="21"/>
          <w:lang w:eastAsia="zh-CN"/>
        </w:rPr>
        <w:t>我市已建立全市统一的工程建设项目招标投标活动异议和投诉处理电子平台（https://zjj.sz.gov.cn/xxgk/ztzl/jsjd/），对相关异议或者投诉的受理，以及答复或者处理决定的告知和公开，均在电子平台上进行，异议和投诉处理的往来资料均在电子平台永久保存。招标投标当事人及其他利害关系人凭数字证书或电子营业执照直接登录电子平台提出异议或者投诉，跟踪处理进程，签收异议答复函和投诉处理决定书。 </w:t>
      </w:r>
      <w:r>
        <w:rPr>
          <w:rFonts w:ascii="宋体" w:eastAsia="宋体" w:hAnsi="宋体" w:cs="宋体" w:hint="eastAsia"/>
          <w:snapToGrid w:val="0"/>
          <w:sz w:val="21"/>
          <w:szCs w:val="22"/>
          <w:lang w:eastAsia="zh-CN"/>
        </w:rPr>
        <w:br w:type="page"/>
      </w:r>
    </w:p>
    <w:p w14:paraId="511EE47D">
      <w:pPr>
        <w:widowControl w:val="0"/>
        <w:spacing w:line="360" w:lineRule="auto"/>
        <w:jc w:val="center"/>
        <w:outlineLvl w:val="2"/>
        <w:rPr>
          <w:rFonts w:ascii="宋体" w:eastAsia="宋体" w:hAnsi="宋体" w:cs="宋体" w:hint="eastAsia"/>
          <w:bCs/>
          <w:snapToGrid w:val="0"/>
          <w:sz w:val="32"/>
          <w:szCs w:val="32"/>
          <w:lang w:eastAsia="zh-CN"/>
        </w:rPr>
      </w:pPr>
      <w:bookmarkStart w:id="19" w:name="_Toc10444"/>
      <w:bookmarkStart w:id="20" w:name="_Toc15592"/>
      <w:r>
        <w:rPr>
          <w:rFonts w:ascii="宋体" w:eastAsia="宋体" w:hAnsi="宋体" w:cs="宋体" w:hint="eastAsia"/>
          <w:bCs/>
          <w:snapToGrid w:val="0"/>
          <w:sz w:val="32"/>
          <w:szCs w:val="32"/>
          <w:lang w:eastAsia="zh-CN"/>
        </w:rPr>
        <w:t>二、投标文件否决性条款</w:t>
      </w:r>
      <w:bookmarkEnd w:id="19"/>
      <w:bookmarkEnd w:id="20"/>
    </w:p>
    <w:p w14:paraId="631E1CC4">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【提示招标人】</w:t>
      </w:r>
      <w:r>
        <w:rPr>
          <w:rFonts w:ascii="宋体" w:eastAsia="宋体" w:hAnsi="宋体" w:cs="宋体" w:hint="eastAsia"/>
          <w:bCs/>
          <w:sz w:val="21"/>
          <w:szCs w:val="21"/>
          <w:lang w:eastAsia="zh-CN"/>
        </w:rPr>
        <w:t>如招标文件的澄清、答疑、补充文件中增加否决性条款的，招标人应当重新编写本章节内容，将新增否决性条款列入本章节，并发布新的完整的《投标文件否决性条款》。否则，增加的否决性条款无效。</w:t>
      </w:r>
    </w:p>
    <w:p w14:paraId="27FBF3AB">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b/>
          <w:bCs/>
          <w:sz w:val="21"/>
          <w:szCs w:val="21"/>
          <w:lang w:eastAsia="zh-CN"/>
        </w:rPr>
        <w:t>【提示投标人和评标委员会】</w:t>
      </w:r>
      <w:r>
        <w:rPr>
          <w:rFonts w:ascii="宋体" w:eastAsia="宋体" w:hAnsi="宋体" w:cs="宋体" w:hint="eastAsia"/>
          <w:bCs/>
          <w:sz w:val="21"/>
          <w:szCs w:val="21"/>
          <w:lang w:eastAsia="zh-CN"/>
        </w:rPr>
        <w:t>本章节是本工程招标文件（含招标文件的澄清、补充文件等）中涉及的所有否决性条款，否决性条款包括：招标文件不予受理（开标阶段）、无效标（初步评审）、废标（详细评审）条款。除出现以下情形外，投标文件的其他任何情形均不得作否决处理。招标文件中有关否决性条款的阐述与本章节不一致的，以本章节内容为准。</w:t>
      </w:r>
    </w:p>
    <w:p w14:paraId="040305B6">
      <w:pPr>
        <w:widowControl w:val="0"/>
        <w:spacing w:line="360" w:lineRule="auto"/>
        <w:ind w:firstLine="420" w:firstLineChars="200"/>
        <w:jc w:val="left"/>
        <w:rPr>
          <w:rFonts w:ascii="宋体" w:eastAsia="宋体" w:hAnsi="宋体" w:cs="宋体" w:hint="eastAsia"/>
          <w:b/>
          <w:snapToGrid w:val="0"/>
          <w:sz w:val="21"/>
          <w:szCs w:val="21"/>
          <w:lang w:eastAsia="zh-CN"/>
        </w:rPr>
      </w:pPr>
    </w:p>
    <w:p w14:paraId="6DF2D8EB">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（一）开标阶段不予受理的情形：（由招标人或其委派人员负责判定）</w:t>
      </w:r>
    </w:p>
    <w:p w14:paraId="278CCE91">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1.逾期提交投标文件的；</w:t>
      </w:r>
    </w:p>
    <w:p w14:paraId="758C976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2.资格审查不合格的；</w:t>
      </w:r>
    </w:p>
    <w:p w14:paraId="51C5421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3.投标文件中各电子投标文件未加签有效数字证书或电子营业执照</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以及企业法定代表人数字证书</w:t>
      </w:r>
      <w:r>
        <w:rPr>
          <w:rFonts w:ascii="宋体" w:eastAsia="宋体" w:hAnsi="宋体" w:cs="宋体" w:hint="eastAsia"/>
          <w:sz w:val="21"/>
          <w:szCs w:val="21"/>
          <w:lang w:eastAsia="zh-CN"/>
        </w:rPr>
        <w:t>的；</w:t>
      </w:r>
    </w:p>
    <w:p w14:paraId="10CA7E0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4.投标文件的投标报价高于公布</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或者不符合投标须知前附表第11项投标报价有关要求</w:t>
      </w:r>
      <w:r>
        <w:rPr>
          <w:rFonts w:ascii="宋体" w:eastAsia="宋体" w:hAnsi="宋体" w:cs="宋体" w:hint="eastAsia"/>
          <w:kern w:val="2"/>
          <w:sz w:val="21"/>
          <w:szCs w:val="21"/>
          <w:lang w:eastAsia="zh-CN"/>
        </w:rPr>
        <w:t>的；</w:t>
      </w:r>
    </w:p>
    <w:p w14:paraId="2BEE65E1">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5.投标人提交的电子标书格式不符合招标文件要求或开标后交易平台无法读取导入的；</w:t>
      </w:r>
    </w:p>
    <w:p w14:paraId="5E22E26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6.组成联合体投标时，未提交联合体共同投标协议书的；</w:t>
      </w:r>
    </w:p>
    <w:p w14:paraId="029E05CF">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7.参加联合体的各成员再以自己的名义单独投标的，或同时参加两个或两个以上的联合体投标的；</w:t>
      </w:r>
    </w:p>
    <w:p w14:paraId="3F1469ED">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8.</w:t>
      </w:r>
      <w:r>
        <w:rPr>
          <w:rFonts w:ascii="宋体" w:eastAsia="宋体" w:hAnsi="宋体" w:cs="宋体" w:hint="eastAsia"/>
          <w:kern w:val="2"/>
          <w:sz w:val="21"/>
          <w:szCs w:val="21"/>
          <w:lang w:eastAsia="zh-CN"/>
        </w:rPr>
        <w:t>单位负责人为同一人或者存在控股、管理关系的不同单位</w:t>
      </w:r>
      <w:r>
        <w:rPr>
          <w:rFonts w:ascii="宋体" w:eastAsia="宋体" w:hAnsi="宋体" w:cs="宋体" w:hint="eastAsia"/>
          <w:sz w:val="21"/>
          <w:szCs w:val="21"/>
          <w:lang w:eastAsia="zh-CN"/>
        </w:rPr>
        <w:t>提交投标文件的，在资格审查阶段，当部分相关单位自愿退出后仍有两家或两家以上要求继续进入后续招投标环节的；</w:t>
      </w:r>
    </w:p>
    <w:p w14:paraId="6C9F37A8">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9.未按招标文件规定提交投标担保的；</w:t>
      </w:r>
    </w:p>
    <w:p w14:paraId="03420FC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10.投标人或相关人员具有下列情形之一的：</w:t>
      </w:r>
    </w:p>
    <w:p w14:paraId="7F5CE85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10.1近3年内（从招标公告发布之日起倒算）投标人或者其法定代表人有行贿犯罪记录的；</w:t>
      </w:r>
    </w:p>
    <w:p w14:paraId="6883590F">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10.2近1年内（从截标之日起倒算）因串通投标、转包、以他人名义投标或者违法分包等违法行为受到建设、交通或者财政部门行政处罚的；</w:t>
      </w:r>
    </w:p>
    <w:p w14:paraId="35D31E11">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10.3因违反工程质量、安全生产管理规定等原因被建设部门给予红色警示且在警示期内的；</w:t>
      </w:r>
    </w:p>
    <w:p w14:paraId="513BEC6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10.4拖欠工人工资被有关部门责令改正而未改正的；</w:t>
      </w:r>
    </w:p>
    <w:p w14:paraId="3468D8B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10.5依法应当拒绝投标的其他情形；</w:t>
      </w:r>
    </w:p>
    <w:p w14:paraId="5E589D88">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kern w:val="2"/>
          <w:sz w:val="21"/>
          <w:szCs w:val="21"/>
          <w:lang w:eastAsia="zh-CN" w:bidi="ar"/>
        </w:rPr>
        <w:t>□</w:t>
      </w:r>
      <w:r>
        <w:rPr>
          <w:rFonts w:ascii="宋体" w:eastAsia="宋体" w:hAnsi="宋体" w:cs="宋体" w:hint="eastAsia"/>
          <w:sz w:val="21"/>
          <w:szCs w:val="21"/>
          <w:lang w:eastAsia="zh-CN"/>
        </w:rPr>
        <w:t>本次招标下述10.6至10.9条款生效：</w:t>
      </w:r>
    </w:p>
    <w:p w14:paraId="2049D78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10.6被建设或者交通部门信用评价为红色且正处在信用评价结果公示期内的；</w:t>
      </w:r>
    </w:p>
    <w:p w14:paraId="7E37BE9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10.7近3年内（从截标之日起倒算）曾被本项目招标人履约评价为不合格的；</w:t>
      </w:r>
    </w:p>
    <w:p w14:paraId="32C0F42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10.8近2年内（从截标之日起倒算）曾有放弃中标资格、拒不签订合同、拒不提供履约担保情形的；</w:t>
      </w:r>
    </w:p>
    <w:p w14:paraId="26EE21C2">
      <w:pPr>
        <w:widowControl w:val="0"/>
        <w:adjustRightInd w:val="0"/>
        <w:snapToGrid w:val="0"/>
        <w:spacing w:line="360" w:lineRule="auto"/>
        <w:ind w:firstLine="420" w:firstLineChars="200"/>
        <w:jc w:val="both"/>
        <w:rPr>
          <w:rFonts w:ascii="宋体" w:eastAsia="宋体" w:hAnsi="宋体" w:cs="宋体" w:hint="eastAsia"/>
          <w:snapToGrid w:val="0"/>
          <w:sz w:val="21"/>
          <w:szCs w:val="21"/>
          <w:lang w:eastAsia="zh-CN"/>
        </w:rPr>
      </w:pPr>
      <w:r>
        <w:rPr>
          <w:rFonts w:ascii="宋体" w:eastAsia="宋体" w:hAnsi="宋体" w:cs="宋体" w:hint="eastAsia"/>
          <w:sz w:val="21"/>
          <w:szCs w:val="21"/>
          <w:lang w:eastAsia="zh-CN"/>
        </w:rPr>
        <w:t>10.9因违反工程质量、安全生产管理规定，或者因串通投标、转包、以他人名义投标或者违法分包等违法行为，正在接受建设、交通或者财政部门立案调查的。</w:t>
      </w:r>
    </w:p>
    <w:p w14:paraId="59EAC81D">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11、未按招标文件规定提交《投标函》的；</w:t>
      </w:r>
    </w:p>
    <w:p w14:paraId="02E6849F">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12、投标人名称或组织结构与投标报名或者资格预审时不一致且未提供有效证明的。</w:t>
      </w:r>
    </w:p>
    <w:p w14:paraId="3F3522FA">
      <w:pPr>
        <w:widowControl w:val="0"/>
        <w:spacing w:line="360" w:lineRule="auto"/>
        <w:ind w:firstLine="420" w:firstLineChars="20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（二）初步评审中有关无效标的情形（由评标委员会负责判定）</w:t>
      </w:r>
    </w:p>
    <w:p w14:paraId="371DFFB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w:t>
      </w:r>
      <w:r>
        <w:rPr>
          <w:rFonts w:ascii="宋体" w:eastAsia="宋体" w:hAnsi="宋体" w:cs="宋体" w:hint="eastAsia"/>
          <w:kern w:val="2"/>
          <w:sz w:val="21"/>
          <w:szCs w:val="21"/>
          <w:lang w:eastAsia="zh-CN"/>
        </w:rPr>
        <w:t>投标人的投标报价是可变动价格的，或包含了价格调整要求的，或投标报价中提供两个（含两个）以上的报价且未声明哪个有效的（招标文件规定提交备选投标方案的除外）</w:t>
      </w:r>
      <w:r>
        <w:rPr>
          <w:rFonts w:ascii="宋体" w:eastAsia="宋体" w:hAnsi="宋体" w:cs="宋体" w:hint="eastAsia"/>
          <w:sz w:val="21"/>
          <w:szCs w:val="21"/>
          <w:lang w:eastAsia="zh-CN"/>
        </w:rPr>
        <w:t>；</w:t>
      </w:r>
    </w:p>
    <w:p w14:paraId="091BB932">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w:t>
      </w:r>
      <w:r>
        <w:rPr>
          <w:rFonts w:ascii="宋体" w:eastAsia="宋体" w:hAnsi="宋体" w:cs="宋体" w:hint="eastAsia"/>
          <w:kern w:val="2"/>
          <w:sz w:val="21"/>
          <w:szCs w:val="21"/>
          <w:lang w:eastAsia="zh-CN"/>
        </w:rPr>
        <w:t>投标人资格条件不符合国家有关规定和招标文件要求的</w:t>
      </w:r>
      <w:r>
        <w:rPr>
          <w:rFonts w:ascii="宋体" w:eastAsia="宋体" w:hAnsi="宋体" w:cs="宋体" w:hint="eastAsia"/>
          <w:sz w:val="21"/>
          <w:szCs w:val="21"/>
          <w:lang w:eastAsia="zh-CN"/>
        </w:rPr>
        <w:t>；</w:t>
      </w:r>
    </w:p>
    <w:p w14:paraId="5BB9908B">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3.投标人以他人的名义投标或出现下列串通投标、弄虚作假投标嫌疑情形之一的：</w:t>
      </w:r>
    </w:p>
    <w:p w14:paraId="07DE63A4">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3.1不同投标人的投标文件内容存在非正常一致的；</w:t>
      </w:r>
    </w:p>
    <w:p w14:paraId="1240226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3.2不同投标人的投标文件错漏之处一致的；</w:t>
      </w:r>
    </w:p>
    <w:p w14:paraId="78B1E49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3.3不同投标人的投标报价或者报价组成异常一致或者呈规律性变化的；</w:t>
      </w:r>
    </w:p>
    <w:p w14:paraId="2D1764C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3.4不同投标人的投标文件由同一单位或者同一个人编制的；</w:t>
      </w:r>
    </w:p>
    <w:p w14:paraId="08826D92">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3.5不同投标人的投标文件载明的项目负责人与主要技术人员出现同一人的；</w:t>
      </w:r>
    </w:p>
    <w:p w14:paraId="52DF3CB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3.6不同投标人的投标文件相互混装的；</w:t>
      </w:r>
    </w:p>
    <w:p w14:paraId="2EC2084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3.7不同投标人的投标文件由同一台电脑编制的；</w:t>
      </w:r>
    </w:p>
    <w:p w14:paraId="4A7344FD">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3.8不同投标人聘请同一人为其投标提供技术或者经济咨询服务的，但招标工程本身要求采用专有技术的除外；</w:t>
      </w:r>
    </w:p>
    <w:p w14:paraId="1315F39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3.9投标人在投标文件商务标书上电子签名的造价工程师与其他投标人在投标文件商务标书上电子签名的造价工程师为同一人的；</w:t>
      </w:r>
    </w:p>
    <w:p w14:paraId="7777F9B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3.10评标委员会认定的其他串通投标情形。</w:t>
      </w:r>
    </w:p>
    <w:p w14:paraId="1510EE14">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4.《投标函》未按招标文件规定填写、漏填或内容填写错误的；</w:t>
      </w:r>
    </w:p>
    <w:p w14:paraId="3C82661D">
      <w:pPr>
        <w:widowControl w:val="0"/>
        <w:spacing w:line="360" w:lineRule="auto"/>
        <w:ind w:firstLine="420" w:firstLineChars="20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（三）详细评审中有关废标的情形（由评标委员会负责判定）</w:t>
      </w:r>
    </w:p>
    <w:p w14:paraId="6A5531B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1.投标文件不满足招标文件规定的任何一项实质性要求的</w:t>
      </w:r>
    </w:p>
    <w:p w14:paraId="27DFBF70">
      <w:pPr>
        <w:widowControl w:val="0"/>
        <w:spacing w:line="360" w:lineRule="auto"/>
        <w:ind w:firstLine="42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2.投标文件存在的重大偏差情形的，评标委员会应根据相应的投标文件否决性条款作废标处理。</w:t>
      </w:r>
    </w:p>
    <w:p w14:paraId="44FA654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3.投标文件对招标文件规定的非实质性要求的偏离，超出允许偏离的最大范围或最高项数的；</w:t>
      </w:r>
    </w:p>
    <w:p w14:paraId="68C647CE">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4.投标人以他人的名义投标或出现串通投标、弄虚作假投标情形的：</w:t>
      </w:r>
    </w:p>
    <w:p w14:paraId="24B422D0">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5.评标委员会根据招标文件的规定对投标文件的投标价格进行调整，投标人不接受调整方式的，或不接受调整后的价格的，或调整后价格超出</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或者不符合投标须知前附表第11项投标报价有关要求</w:t>
      </w:r>
      <w:r>
        <w:rPr>
          <w:rFonts w:ascii="宋体" w:eastAsia="宋体" w:hAnsi="宋体" w:cs="宋体" w:hint="eastAsia"/>
          <w:snapToGrid w:val="0"/>
          <w:sz w:val="21"/>
          <w:szCs w:val="21"/>
          <w:lang w:eastAsia="zh-CN"/>
        </w:rPr>
        <w:t>的；</w:t>
      </w:r>
    </w:p>
    <w:p w14:paraId="7350EC3B">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6.投标人拒不按照评标委员会要求对投标文件进行澄清、说明、补正的；</w:t>
      </w:r>
    </w:p>
    <w:p w14:paraId="5394882F">
      <w:pPr>
        <w:widowControl w:val="0"/>
        <w:spacing w:line="360" w:lineRule="auto"/>
        <w:ind w:firstLine="42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7.评标委员会认定的其他串通投标、弄虚作假情形。</w:t>
      </w:r>
    </w:p>
    <w:p w14:paraId="65827A30">
      <w:pPr>
        <w:widowControl w:val="0"/>
        <w:adjustRightInd w:val="0"/>
        <w:snapToGrid w:val="0"/>
        <w:spacing w:line="360" w:lineRule="auto"/>
        <w:ind w:firstLine="420" w:firstLineChars="200"/>
        <w:jc w:val="left"/>
        <w:rPr>
          <w:rFonts w:ascii="宋体" w:eastAsia="宋体" w:hAnsi="宋体" w:cs="宋体" w:hint="eastAsia"/>
          <w:snapToGrid w:val="0"/>
          <w:sz w:val="21"/>
          <w:szCs w:val="21"/>
          <w:u w:val="single"/>
          <w:lang w:eastAsia="zh-CN"/>
        </w:rPr>
      </w:pPr>
      <w:r>
        <w:rPr>
          <w:rFonts w:ascii="宋体" w:eastAsia="宋体" w:hAnsi="宋体" w:cs="宋体" w:hint="eastAsia"/>
          <w:kern w:val="2"/>
          <w:sz w:val="21"/>
          <w:szCs w:val="21"/>
          <w:u w:val="single"/>
          <w:lang w:eastAsia="zh-CN"/>
        </w:rPr>
        <w:t>8</w:t>
      </w:r>
      <w:r>
        <w:rPr>
          <w:rFonts w:ascii="宋体" w:eastAsia="宋体" w:hAnsi="宋体" w:cs="宋体" w:hint="eastAsia"/>
          <w:kern w:val="2"/>
          <w:sz w:val="21"/>
          <w:szCs w:val="21"/>
          <w:u w:val="single"/>
          <w:lang w:eastAsia="zh-CN"/>
        </w:rPr>
        <w:t>、</w:t>
      </w:r>
      <w:r>
        <w:rPr>
          <w:rFonts w:ascii="宋体" w:eastAsia="宋体" w:hAnsi="宋体" w:cs="宋体" w:hint="eastAsia"/>
          <w:kern w:val="2"/>
          <w:sz w:val="21"/>
          <w:szCs w:val="21"/>
          <w:u w:val="single"/>
          <w:lang w:eastAsia="zh-CN"/>
        </w:rPr>
        <w:t>投标人的</w:t>
      </w:r>
      <w:r>
        <w:rPr>
          <w:rFonts w:ascii="宋体" w:eastAsia="宋体" w:hAnsi="宋体" w:cs="宋体" w:hint="eastAsia"/>
          <w:kern w:val="2"/>
          <w:sz w:val="21"/>
          <w:szCs w:val="21"/>
          <w:u w:val="single"/>
          <w:lang w:eastAsia="zh-CN"/>
        </w:rPr>
        <w:t>投标报价低于成本</w:t>
      </w:r>
      <w:r>
        <w:rPr>
          <w:rFonts w:ascii="宋体" w:eastAsia="宋体" w:hAnsi="宋体" w:cs="宋体" w:hint="eastAsia"/>
          <w:kern w:val="2"/>
          <w:sz w:val="21"/>
          <w:szCs w:val="21"/>
          <w:u w:val="single"/>
          <w:lang w:eastAsia="zh-CN"/>
        </w:rPr>
        <w:t>的；</w:t>
      </w:r>
    </w:p>
    <w:p w14:paraId="03CEEC35">
      <w:pPr>
        <w:widowControl w:val="0"/>
        <w:spacing w:line="360" w:lineRule="auto"/>
        <w:ind w:firstLine="420"/>
        <w:jc w:val="left"/>
        <w:rPr>
          <w:rFonts w:ascii="宋体" w:eastAsia="宋体" w:hAnsi="宋体" w:cs="宋体" w:hint="eastAsia"/>
          <w:b/>
          <w:snapToGrid w:val="0"/>
          <w:sz w:val="21"/>
          <w:szCs w:val="21"/>
          <w:lang w:eastAsia="zh-CN"/>
        </w:rPr>
      </w:pPr>
      <w:r>
        <w:rPr>
          <w:rFonts w:ascii="宋体" w:eastAsia="宋体" w:hAnsi="宋体" w:cs="宋体" w:hint="eastAsia"/>
          <w:kern w:val="2"/>
          <w:sz w:val="21"/>
          <w:szCs w:val="21"/>
          <w:u w:val="single"/>
          <w:lang w:eastAsia="zh-CN"/>
        </w:rPr>
        <w:t>9、</w:t>
      </w:r>
      <w:r>
        <w:rPr>
          <w:rFonts w:ascii="宋体" w:eastAsia="宋体" w:hAnsi="宋体" w:cs="宋体" w:hint="eastAsia"/>
          <w:kern w:val="2"/>
          <w:sz w:val="21"/>
          <w:szCs w:val="21"/>
          <w:u w:val="single"/>
          <w:lang w:eastAsia="zh-CN"/>
        </w:rPr>
        <w:t>经评标委员会评审为不合格的</w:t>
      </w:r>
      <w:r>
        <w:rPr>
          <w:rFonts w:ascii="宋体" w:eastAsia="宋体" w:hAnsi="宋体" w:cs="宋体" w:hint="eastAsia"/>
          <w:kern w:val="2"/>
          <w:sz w:val="21"/>
          <w:szCs w:val="21"/>
          <w:u w:val="single"/>
          <w:lang w:eastAsia="zh-CN"/>
        </w:rPr>
        <w:t>其他情形。</w:t>
      </w:r>
    </w:p>
    <w:p w14:paraId="2AA76888">
      <w:pPr>
        <w:widowControl w:val="0"/>
        <w:spacing w:line="360" w:lineRule="auto"/>
        <w:ind w:firstLine="42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（招标人对上述内容有修改或补充的，以下述条款为准）</w:t>
      </w:r>
    </w:p>
    <w:p w14:paraId="0FA6A738">
      <w:pPr>
        <w:widowControl w:val="0"/>
        <w:spacing w:line="360" w:lineRule="auto"/>
        <w:ind w:firstLine="42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（四）</w:t>
      </w:r>
      <w:r>
        <w:rPr>
          <w:rFonts w:ascii="宋体" w:eastAsia="宋体" w:hAnsi="宋体" w:cs="宋体" w:hint="eastAsia"/>
          <w:b/>
          <w:sz w:val="21"/>
          <w:szCs w:val="21"/>
          <w:lang w:eastAsia="zh-CN"/>
        </w:rPr>
        <w:t>招标人补充的投标文件不予受理的情形</w:t>
      </w:r>
      <w:r>
        <w:rPr>
          <w:rFonts w:ascii="宋体" w:eastAsia="宋体" w:hAnsi="宋体" w:cs="宋体" w:hint="eastAsia"/>
          <w:b/>
          <w:snapToGrid w:val="0"/>
          <w:sz w:val="21"/>
          <w:szCs w:val="21"/>
          <w:lang w:eastAsia="zh-CN"/>
        </w:rPr>
        <w:t>：</w:t>
      </w:r>
    </w:p>
    <w:p w14:paraId="616639CD">
      <w:pPr>
        <w:widowControl w:val="0"/>
        <w:spacing w:line="360" w:lineRule="auto"/>
        <w:ind w:firstLine="420" w:firstLineChars="200"/>
        <w:jc w:val="left"/>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 xml:space="preserve">1.未按招标文件要求提供资格审查文件的。 </w:t>
      </w:r>
    </w:p>
    <w:p w14:paraId="3AD26609">
      <w:pPr>
        <w:widowControl w:val="0"/>
        <w:spacing w:line="360" w:lineRule="auto"/>
        <w:ind w:firstLine="420" w:firstLineChars="200"/>
        <w:jc w:val="left"/>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2.投标文件扫描件模糊不清的，或非因网上招标系统原因而无法打开审查的，或各类证书超出有效期且未提供有效续期手续的。</w:t>
      </w:r>
    </w:p>
    <w:p w14:paraId="3B61EA39">
      <w:pPr>
        <w:widowControl w:val="0"/>
        <w:spacing w:line="360" w:lineRule="auto"/>
        <w:ind w:firstLine="420" w:firstLineChars="200"/>
        <w:jc w:val="left"/>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3.《投标函》未按招标文件规定填写、漏填或内容填写错误的。</w:t>
      </w:r>
    </w:p>
    <w:p w14:paraId="3868CD45">
      <w:pPr>
        <w:widowControl w:val="0"/>
        <w:spacing w:line="360" w:lineRule="auto"/>
        <w:ind w:firstLine="420" w:firstLineChars="200"/>
        <w:jc w:val="left"/>
        <w:rPr>
          <w:rFonts w:ascii="宋体" w:eastAsia="宋体" w:hAnsi="宋体" w:cs="宋体" w:hint="eastAsia"/>
          <w:snapToGrid w:val="0"/>
          <w:color w:val="0000FF"/>
          <w:sz w:val="21"/>
          <w:szCs w:val="21"/>
          <w:u w:val="single"/>
          <w:lang w:eastAsia="zh-CN" w:bidi="ar"/>
        </w:rPr>
      </w:pPr>
      <w:r>
        <w:rPr>
          <w:rFonts w:ascii="宋体" w:eastAsia="宋体" w:hAnsi="宋体" w:cs="宋体" w:hint="eastAsia"/>
          <w:snapToGrid w:val="0"/>
          <w:color w:val="0000FF"/>
          <w:sz w:val="21"/>
          <w:szCs w:val="21"/>
          <w:u w:val="single"/>
          <w:lang w:eastAsia="zh-CN" w:bidi="ar"/>
        </w:rPr>
        <w:t>4.未按招标文件</w:t>
      </w:r>
      <w:r>
        <w:rPr>
          <w:rFonts w:ascii="宋体" w:eastAsia="宋体" w:hAnsi="宋体" w:cs="宋体" w:hint="eastAsia"/>
          <w:color w:val="0000FF"/>
          <w:kern w:val="2"/>
          <w:sz w:val="21"/>
          <w:szCs w:val="21"/>
          <w:u w:val="single"/>
          <w:lang w:eastAsia="zh-CN"/>
        </w:rPr>
        <w:t>投标须知前附表第11项投标报价有关</w:t>
      </w:r>
      <w:r>
        <w:rPr>
          <w:rFonts w:ascii="宋体" w:eastAsia="宋体" w:hAnsi="宋体" w:cs="宋体" w:hint="eastAsia"/>
          <w:snapToGrid w:val="0"/>
          <w:color w:val="0000FF"/>
          <w:sz w:val="21"/>
          <w:szCs w:val="21"/>
          <w:u w:val="single"/>
          <w:lang w:eastAsia="zh-CN" w:bidi="ar"/>
        </w:rPr>
        <w:t>要求进行投标报价。</w:t>
      </w:r>
    </w:p>
    <w:p w14:paraId="35D530F4">
      <w:pPr>
        <w:widowControl w:val="0"/>
        <w:spacing w:line="360" w:lineRule="auto"/>
        <w:ind w:firstLine="420" w:firstLineChars="200"/>
        <w:jc w:val="left"/>
        <w:rPr>
          <w:rFonts w:ascii="宋体" w:eastAsia="宋体" w:hAnsi="宋体" w:cs="宋体" w:hint="eastAsia"/>
          <w:snapToGrid w:val="0"/>
          <w:color w:val="0000FF"/>
          <w:sz w:val="21"/>
          <w:szCs w:val="21"/>
          <w:u w:val="single"/>
          <w:lang w:eastAsia="zh-CN"/>
        </w:rPr>
      </w:pPr>
      <w:r>
        <w:rPr>
          <w:rFonts w:ascii="宋体" w:eastAsia="宋体" w:hAnsi="宋体" w:cs="宋体" w:hint="eastAsia"/>
          <w:snapToGrid w:val="0"/>
          <w:color w:val="0000FF"/>
          <w:sz w:val="21"/>
          <w:szCs w:val="21"/>
          <w:u w:val="single"/>
          <w:lang w:eastAsia="zh-CN" w:bidi="ar"/>
        </w:rPr>
        <w:t xml:space="preserve">5.在资格审查过程中，如招标人要求核验原件或澄清资格审查文件的，未按招标人要求的时间（在接到通知后的2个工作日内）送达指定地点核验原件或提供澄清资格审查相关证明文件的。    </w:t>
      </w:r>
    </w:p>
    <w:p w14:paraId="3415924F">
      <w:pPr>
        <w:widowControl w:val="0"/>
        <w:spacing w:line="360" w:lineRule="auto"/>
        <w:ind w:firstLine="420" w:firstLineChars="200"/>
        <w:jc w:val="left"/>
        <w:rPr>
          <w:rFonts w:ascii="宋体" w:eastAsia="宋体" w:hAnsi="宋体" w:cs="宋体"/>
          <w:snapToGrid w:val="0"/>
          <w:sz w:val="21"/>
          <w:szCs w:val="21"/>
          <w:lang w:eastAsia="zh-CN"/>
        </w:rPr>
      </w:pPr>
      <w:r>
        <w:rPr>
          <w:rFonts w:ascii="宋体" w:eastAsia="宋体" w:hAnsi="宋体" w:cs="宋体" w:hint="eastAsia"/>
          <w:snapToGrid w:val="0"/>
          <w:color w:val="0000FF"/>
          <w:sz w:val="21"/>
          <w:szCs w:val="21"/>
          <w:u w:val="single"/>
          <w:lang w:eastAsia="zh-CN"/>
        </w:rPr>
        <w:t>6.</w:t>
      </w:r>
      <w:r>
        <w:rPr>
          <w:rFonts w:ascii="宋体" w:eastAsia="宋体" w:hAnsi="宋体" w:cs="宋体" w:hint="eastAsia"/>
          <w:snapToGrid w:val="0"/>
          <w:color w:val="0000FF"/>
          <w:sz w:val="21"/>
          <w:szCs w:val="21"/>
          <w:u w:val="single"/>
          <w:lang w:eastAsia="zh-CN" w:bidi="ar"/>
        </w:rPr>
        <w:t>网上开标时，投标人未在招标代表下达网上解密指令规定的时间内进行解密的</w:t>
      </w:r>
      <w:r>
        <w:rPr>
          <w:rFonts w:ascii="宋体" w:eastAsia="宋体" w:hAnsi="宋体" w:cs="宋体" w:hint="eastAsia"/>
          <w:snapToGrid w:val="0"/>
          <w:color w:val="0000FF"/>
          <w:sz w:val="21"/>
          <w:szCs w:val="21"/>
          <w:u w:val="single"/>
          <w:lang w:eastAsia="zh-CN" w:bidi="ar"/>
        </w:rPr>
        <w:t>。</w:t>
      </w:r>
    </w:p>
    <w:p w14:paraId="13C3CD09">
      <w:pPr>
        <w:widowControl w:val="0"/>
        <w:spacing w:line="360" w:lineRule="auto"/>
        <w:ind w:firstLine="420" w:firstLineChars="20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（五）</w:t>
      </w:r>
      <w:r>
        <w:rPr>
          <w:rFonts w:ascii="宋体" w:eastAsia="宋体" w:hAnsi="宋体" w:cs="宋体" w:hint="eastAsia"/>
          <w:b/>
          <w:sz w:val="21"/>
          <w:szCs w:val="21"/>
          <w:lang w:eastAsia="zh-CN"/>
        </w:rPr>
        <w:t>招标人补充的无效标情形</w:t>
      </w:r>
      <w:r>
        <w:rPr>
          <w:rFonts w:ascii="宋体" w:eastAsia="宋体" w:hAnsi="宋体" w:cs="宋体" w:hint="eastAsia"/>
          <w:b/>
          <w:snapToGrid w:val="0"/>
          <w:sz w:val="21"/>
          <w:szCs w:val="21"/>
          <w:lang w:eastAsia="zh-CN"/>
        </w:rPr>
        <w:t>：</w:t>
      </w:r>
    </w:p>
    <w:p w14:paraId="2910F268">
      <w:pPr>
        <w:widowControl w:val="0"/>
        <w:spacing w:line="360" w:lineRule="auto"/>
        <w:ind w:firstLine="420" w:firstLineChars="200"/>
        <w:jc w:val="left"/>
        <w:rPr>
          <w:rFonts w:ascii="宋体" w:eastAsia="宋体" w:hAnsi="宋体" w:cs="宋体" w:hint="eastAsia"/>
          <w:snapToGrid w:val="0"/>
          <w:sz w:val="21"/>
          <w:szCs w:val="21"/>
          <w:u w:val="single"/>
          <w:lang w:eastAsia="zh-CN"/>
        </w:rPr>
      </w:pPr>
      <w:r>
        <w:rPr>
          <w:rFonts w:ascii="宋体" w:eastAsia="宋体" w:hAnsi="宋体" w:cs="宋体" w:hint="eastAsia"/>
          <w:snapToGrid w:val="0"/>
          <w:sz w:val="21"/>
          <w:szCs w:val="21"/>
          <w:u w:val="single"/>
          <w:lang w:eastAsia="zh-CN" w:bidi="ar"/>
        </w:rPr>
        <w:t xml:space="preserve"> </w:t>
      </w:r>
      <w:r>
        <w:rPr>
          <w:rFonts w:ascii="宋体" w:eastAsia="宋体" w:hAnsi="宋体" w:cs="宋体" w:hint="eastAsia"/>
          <w:snapToGrid w:val="0"/>
          <w:sz w:val="21"/>
          <w:szCs w:val="21"/>
          <w:u w:val="single"/>
          <w:lang w:eastAsia="zh-CN" w:bidi="ar"/>
        </w:rPr>
        <w:t>无</w:t>
      </w:r>
      <w:r>
        <w:rPr>
          <w:rFonts w:ascii="宋体" w:eastAsia="宋体" w:hAnsi="宋体" w:cs="宋体" w:hint="eastAsia"/>
          <w:snapToGrid w:val="0"/>
          <w:sz w:val="21"/>
          <w:szCs w:val="21"/>
          <w:u w:val="single"/>
          <w:lang w:eastAsia="zh-CN" w:bidi="ar"/>
        </w:rPr>
        <w:t xml:space="preserve">  </w:t>
      </w:r>
    </w:p>
    <w:p w14:paraId="4EAB0C17">
      <w:pPr>
        <w:widowControl w:val="0"/>
        <w:spacing w:line="360" w:lineRule="auto"/>
        <w:ind w:firstLine="420" w:firstLineChars="200"/>
        <w:jc w:val="left"/>
        <w:rPr>
          <w:rFonts w:ascii="宋体" w:eastAsia="宋体" w:hAnsi="宋体" w:cs="宋体" w:hint="eastAsia"/>
          <w:snapToGrid w:val="0"/>
          <w:sz w:val="21"/>
          <w:szCs w:val="21"/>
          <w:lang w:eastAsia="zh-CN"/>
        </w:rPr>
      </w:pPr>
    </w:p>
    <w:p w14:paraId="14909126">
      <w:pPr>
        <w:widowControl w:val="0"/>
        <w:spacing w:line="360" w:lineRule="auto"/>
        <w:ind w:firstLine="420" w:firstLineChars="20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（六）</w:t>
      </w:r>
      <w:r>
        <w:rPr>
          <w:rFonts w:ascii="宋体" w:eastAsia="宋体" w:hAnsi="宋体" w:cs="宋体" w:hint="eastAsia"/>
          <w:b/>
          <w:sz w:val="21"/>
          <w:szCs w:val="21"/>
          <w:lang w:eastAsia="zh-CN"/>
        </w:rPr>
        <w:t>招标人补充的废标情形</w:t>
      </w:r>
      <w:r>
        <w:rPr>
          <w:rFonts w:ascii="宋体" w:eastAsia="宋体" w:hAnsi="宋体" w:cs="宋体" w:hint="eastAsia"/>
          <w:b/>
          <w:snapToGrid w:val="0"/>
          <w:sz w:val="21"/>
          <w:szCs w:val="21"/>
          <w:lang w:eastAsia="zh-CN"/>
        </w:rPr>
        <w:t>：</w:t>
      </w:r>
    </w:p>
    <w:p w14:paraId="669BEEA2">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kern w:val="2"/>
          <w:sz w:val="21"/>
          <w:szCs w:val="21"/>
          <w:u w:val="single"/>
          <w:lang w:eastAsia="zh-CN" w:bidi="ar"/>
        </w:rPr>
        <w:t xml:space="preserve"> </w:t>
      </w:r>
      <w:r>
        <w:rPr>
          <w:rFonts w:ascii="宋体" w:eastAsia="宋体" w:hAnsi="宋体" w:cs="宋体" w:hint="eastAsia"/>
          <w:snapToGrid w:val="0"/>
          <w:sz w:val="21"/>
          <w:szCs w:val="21"/>
          <w:u w:val="single"/>
          <w:lang w:eastAsia="zh-CN" w:bidi="ar"/>
        </w:rPr>
        <w:t>无</w:t>
      </w:r>
      <w:r>
        <w:rPr>
          <w:rFonts w:ascii="宋体" w:eastAsia="宋体" w:hAnsi="宋体" w:cs="宋体" w:hint="eastAsia"/>
          <w:snapToGrid w:val="0"/>
          <w:kern w:val="2"/>
          <w:sz w:val="21"/>
          <w:szCs w:val="21"/>
          <w:u w:val="single"/>
          <w:lang w:eastAsia="zh-CN" w:bidi="ar"/>
        </w:rPr>
        <w:t xml:space="preserve">   </w:t>
      </w:r>
    </w:p>
    <w:p w14:paraId="3C7AA3A4">
      <w:pPr>
        <w:widowControl w:val="0"/>
        <w:jc w:val="both"/>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br w:type="page"/>
      </w:r>
    </w:p>
    <w:p w14:paraId="14C01E3A">
      <w:pPr>
        <w:widowControl w:val="0"/>
        <w:spacing w:line="360" w:lineRule="auto"/>
        <w:jc w:val="center"/>
        <w:outlineLvl w:val="1"/>
        <w:rPr>
          <w:rFonts w:ascii="宋体" w:eastAsia="宋体" w:hAnsi="宋体" w:cs="宋体" w:hint="eastAsia"/>
          <w:bCs/>
          <w:kern w:val="2"/>
          <w:sz w:val="30"/>
          <w:szCs w:val="30"/>
          <w:lang w:eastAsia="zh-CN"/>
        </w:rPr>
      </w:pPr>
      <w:bookmarkStart w:id="21" w:name="_Toc8259"/>
      <w:bookmarkStart w:id="22" w:name="_Toc9304"/>
      <w:r>
        <w:rPr>
          <w:rFonts w:ascii="宋体" w:eastAsia="宋体" w:hAnsi="宋体" w:cs="宋体" w:hint="eastAsia"/>
          <w:bCs/>
          <w:kern w:val="2"/>
          <w:sz w:val="30"/>
          <w:szCs w:val="30"/>
          <w:lang w:eastAsia="zh-CN"/>
        </w:rPr>
        <w:t>三、招投标须知正文</w:t>
      </w:r>
      <w:bookmarkEnd w:id="21"/>
      <w:bookmarkEnd w:id="22"/>
    </w:p>
    <w:p w14:paraId="263690C5">
      <w:pPr>
        <w:widowControl w:val="0"/>
        <w:spacing w:line="360" w:lineRule="auto"/>
        <w:ind w:left="3360" w:firstLine="420"/>
        <w:jc w:val="both"/>
        <w:outlineLvl w:val="2"/>
        <w:rPr>
          <w:rFonts w:ascii="宋体" w:eastAsia="宋体" w:hAnsi="宋体" w:cs="宋体" w:hint="eastAsia"/>
          <w:bCs/>
          <w:kern w:val="2"/>
          <w:sz w:val="30"/>
          <w:szCs w:val="30"/>
          <w:lang w:eastAsia="zh-CN"/>
        </w:rPr>
      </w:pPr>
      <w:bookmarkStart w:id="23" w:name="_Toc23177"/>
      <w:bookmarkStart w:id="24" w:name="_Toc519"/>
      <w:r>
        <w:rPr>
          <w:rFonts w:ascii="宋体" w:eastAsia="宋体" w:hAnsi="宋体" w:cs="宋体" w:hint="eastAsia"/>
          <w:bCs/>
          <w:kern w:val="2"/>
          <w:sz w:val="30"/>
          <w:szCs w:val="30"/>
          <w:lang w:eastAsia="zh-CN"/>
        </w:rPr>
        <w:t>（一）招标</w:t>
      </w:r>
      <w:bookmarkEnd w:id="23"/>
      <w:bookmarkEnd w:id="24"/>
    </w:p>
    <w:p w14:paraId="1583D94D">
      <w:pPr>
        <w:widowControl w:val="0"/>
        <w:spacing w:line="360" w:lineRule="auto"/>
        <w:ind w:firstLine="42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1．项目概况</w:t>
      </w:r>
    </w:p>
    <w:p w14:paraId="7A9BE74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根据《中华人民共和国招标投标法》等有关法律、法规、规章和规范性文件的规定，本招标项目已具备招标条件，现进行招标。</w:t>
      </w:r>
    </w:p>
    <w:p w14:paraId="36EA575D">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1.1标段名称：见“投标须知前附表”。</w:t>
      </w:r>
    </w:p>
    <w:p w14:paraId="7FB5FBE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1.2工程地点：见“投标须知前附表”。</w:t>
      </w:r>
    </w:p>
    <w:p w14:paraId="0569D4F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1.3招标范围：见“投标须知前附表”。</w:t>
      </w:r>
    </w:p>
    <w:p w14:paraId="3E91A9B2">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1.4供货期要求：见“投标须知前附表”。</w:t>
      </w:r>
    </w:p>
    <w:p w14:paraId="54F5CE43">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1.5投标人资格要求：见“投标须知前附表”。</w:t>
      </w:r>
    </w:p>
    <w:p w14:paraId="5662CBAC">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2．资金来源和落实情况</w:t>
      </w:r>
    </w:p>
    <w:p w14:paraId="13B9D626">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2.1资金来源包括政府、国企、私企、集体、外资和其他资金。</w:t>
      </w:r>
    </w:p>
    <w:p w14:paraId="42977573">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2.2本招标项目已取得项目审批部门的批准，资金已落实，且能保证其顺利实施。</w:t>
      </w:r>
    </w:p>
    <w:p w14:paraId="2F993CE2">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3．踏勘现场</w:t>
      </w:r>
    </w:p>
    <w:p w14:paraId="32A669B2">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3.1招标人不集中组织投标现场踏勘，投标人需要了解现场情况的，可自行进行现场踏勘。踏勘现场所发生的费用由投标人自己承担。</w:t>
      </w:r>
    </w:p>
    <w:p w14:paraId="684EDA5E">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4．</w:t>
      </w:r>
      <w:r>
        <w:rPr>
          <w:rFonts w:ascii="宋体" w:eastAsia="宋体" w:hAnsi="宋体" w:cs="宋体" w:hint="eastAsia"/>
          <w:kern w:val="2"/>
          <w:sz w:val="21"/>
          <w:szCs w:val="21"/>
          <w:lang w:eastAsia="zh-CN"/>
        </w:rPr>
        <w:t>最高投标限价</w:t>
      </w:r>
      <w:r>
        <w:rPr>
          <w:rFonts w:ascii="宋体" w:eastAsia="宋体" w:hAnsi="宋体" w:cs="宋体" w:hint="eastAsia"/>
          <w:b/>
          <w:kern w:val="2"/>
          <w:sz w:val="21"/>
          <w:szCs w:val="21"/>
          <w:lang w:eastAsia="zh-CN"/>
        </w:rPr>
        <w:t>的公示</w:t>
      </w:r>
    </w:p>
    <w:p w14:paraId="5631C07A">
      <w:pPr>
        <w:widowControl w:val="0"/>
        <w:spacing w:line="360" w:lineRule="auto"/>
        <w:ind w:firstLine="420" w:firstLineChars="200"/>
        <w:jc w:val="left"/>
        <w:rPr>
          <w:rFonts w:ascii="宋体" w:eastAsia="宋体" w:hAnsi="宋体" w:cs="宋体" w:hint="eastAsia"/>
          <w:strike/>
          <w:kern w:val="2"/>
          <w:sz w:val="21"/>
          <w:szCs w:val="21"/>
          <w:lang w:eastAsia="zh-CN"/>
        </w:rPr>
      </w:pPr>
      <w:r>
        <w:rPr>
          <w:rFonts w:ascii="宋体" w:eastAsia="宋体" w:hAnsi="宋体" w:cs="宋体" w:hint="eastAsia"/>
          <w:kern w:val="2"/>
          <w:sz w:val="21"/>
          <w:szCs w:val="21"/>
          <w:lang w:eastAsia="zh-CN"/>
        </w:rPr>
        <w:t>4.1招标人将在投标截止时间前5日，公示</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。公示的时间、地点见“投标须知前附表”。</w:t>
      </w:r>
    </w:p>
    <w:p w14:paraId="2293F692">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5．招标文件的补充、修改或澄清</w:t>
      </w:r>
    </w:p>
    <w:p w14:paraId="3C3ADE5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5.1投标人对招标文件提出疑问，应在质疑期限前（截止时间见交易网）以不署名的形式在交易网提出。逾期不予受理。</w:t>
      </w:r>
    </w:p>
    <w:p w14:paraId="7FEACE8D">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5.2招标人对招标文件进行补充、修改或澄清，应在答疑期限（截止时间见交易网）前，报主管部门备案后，通过交易网向所有投标人公示。投标人应随时查看交易网中有关该项目招标文件的信息。否则，由此导致的不利后果由投标人自负。</w:t>
      </w:r>
    </w:p>
    <w:p w14:paraId="37C5A48F">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5.2.1招标文件的补充、修改和澄清文件，都是招标文件的组成部分。当招标文件与招标文件的补充、修改或澄清文件内容不一致时，以发出日期最近开标日期的文件为准。</w:t>
      </w:r>
    </w:p>
    <w:p w14:paraId="1F0AE00E">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5.2.2招标人为使投标人有充分时间对招标文件的修改、补充或澄清文件进行研究，可酌情延长投标截止时间。确定新的投标截止时间应在</w:t>
      </w:r>
      <w:r>
        <w:rPr>
          <w:rFonts w:ascii="宋体" w:eastAsia="宋体" w:hAnsi="宋体" w:cs="宋体" w:hint="eastAsia"/>
          <w:snapToGrid w:val="0"/>
          <w:sz w:val="21"/>
          <w:szCs w:val="21"/>
          <w:lang w:eastAsia="zh-CN"/>
        </w:rPr>
        <w:t>投标截止日期前5个日历天之前，</w:t>
      </w:r>
      <w:r>
        <w:rPr>
          <w:rFonts w:ascii="宋体" w:eastAsia="宋体" w:hAnsi="宋体" w:cs="宋体" w:hint="eastAsia"/>
          <w:kern w:val="2"/>
          <w:sz w:val="21"/>
          <w:szCs w:val="21"/>
          <w:lang w:eastAsia="zh-CN"/>
        </w:rPr>
        <w:t>以补充文件的形式告知所有的投标人。该补充文件的内容只限于对投标截止时间的修改。</w:t>
      </w:r>
    </w:p>
    <w:p w14:paraId="79399DEF">
      <w:pPr>
        <w:widowControl w:val="0"/>
        <w:spacing w:line="360" w:lineRule="auto"/>
        <w:jc w:val="center"/>
        <w:outlineLvl w:val="2"/>
        <w:rPr>
          <w:rFonts w:ascii="宋体" w:eastAsia="宋体" w:hAnsi="宋体" w:cs="宋体" w:hint="eastAsia"/>
          <w:bCs/>
          <w:snapToGrid w:val="0"/>
          <w:sz w:val="30"/>
          <w:szCs w:val="30"/>
          <w:lang w:eastAsia="zh-CN"/>
        </w:rPr>
      </w:pPr>
      <w:bookmarkStart w:id="25" w:name="_Toc25569"/>
      <w:bookmarkStart w:id="26" w:name="_Toc17918"/>
      <w:r>
        <w:rPr>
          <w:rFonts w:ascii="宋体" w:eastAsia="宋体" w:hAnsi="宋体" w:cs="宋体" w:hint="eastAsia"/>
          <w:bCs/>
          <w:snapToGrid w:val="0"/>
          <w:sz w:val="30"/>
          <w:szCs w:val="30"/>
          <w:lang w:eastAsia="zh-CN"/>
        </w:rPr>
        <w:t>（二）投标</w:t>
      </w:r>
      <w:bookmarkEnd w:id="25"/>
    </w:p>
    <w:p w14:paraId="60E8D174">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6.对招标文件的质疑</w:t>
      </w:r>
    </w:p>
    <w:p w14:paraId="3B60B26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6.1招标人不集中组织答疑，实行网上答疑。投标人若对招标文件有疑问，需要招标人予以澄清，应按法律法规规定时限以不署名的形式在交易网提出。</w:t>
      </w:r>
    </w:p>
    <w:p w14:paraId="48962DCD">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7.投标文件要求</w:t>
      </w:r>
    </w:p>
    <w:p w14:paraId="3C48FA4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7.1投标人获取招标文件后，应仔细检查招标文件的所有内容。投标人同时应认真审阅招标文件中所有的事项、条款、格式和标准要求等，如果投标人的投标文件没有按照招标文件要求提交全部资料或者投标文件没有对招标文件做出实质性响应，其风险应由投标人自行承担，并且根据有关条款规定，其投标有可能被拒绝。</w:t>
      </w:r>
    </w:p>
    <w:p w14:paraId="5059BB5A">
      <w:pPr>
        <w:widowControl w:val="0"/>
        <w:spacing w:line="360" w:lineRule="auto"/>
        <w:ind w:firstLine="42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8．投标费用</w:t>
      </w:r>
    </w:p>
    <w:p w14:paraId="2E5D5A72">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8.1投标人应自行承担所有准备及参加投标相关的费用。不论投标的结果如何，招标人均无承担的义务和责任。</w:t>
      </w:r>
    </w:p>
    <w:p w14:paraId="45AA875C">
      <w:pPr>
        <w:widowControl w:val="0"/>
        <w:spacing w:line="360" w:lineRule="auto"/>
        <w:ind w:firstLine="42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9．关于联合体投标</w:t>
      </w:r>
    </w:p>
    <w:p w14:paraId="01F4041A">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9.1由两个或两个以上法人</w:t>
      </w:r>
      <w:r>
        <w:rPr>
          <w:rFonts w:ascii="宋体" w:eastAsia="宋体" w:hAnsi="宋体" w:cs="宋体" w:hint="eastAsia"/>
          <w:kern w:val="2"/>
          <w:sz w:val="21"/>
          <w:szCs w:val="21"/>
          <w:lang w:eastAsia="zh-CN"/>
        </w:rPr>
        <w:t>或者其他组织</w:t>
      </w:r>
      <w:r>
        <w:rPr>
          <w:rFonts w:ascii="宋体" w:eastAsia="宋体" w:hAnsi="宋体" w:cs="宋体" w:hint="eastAsia"/>
          <w:sz w:val="21"/>
          <w:szCs w:val="21"/>
          <w:lang w:eastAsia="zh-CN"/>
        </w:rPr>
        <w:t>组成一个联合体以一个投标人的身份共同投标时，应符合招标项目资质及其他相关要求；</w:t>
      </w:r>
    </w:p>
    <w:p w14:paraId="2FFCDF6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9.2投标人的投标文件及中标后签署的合同协议书对联合体每一成员均具</w:t>
      </w:r>
      <w:r>
        <w:rPr>
          <w:rFonts w:ascii="宋体" w:eastAsia="宋体" w:hAnsi="宋体" w:cs="宋体" w:hint="eastAsia"/>
          <w:sz w:val="21"/>
          <w:szCs w:val="21"/>
          <w:lang w:eastAsia="zh-CN"/>
        </w:rPr>
        <w:t>有</w:t>
      </w:r>
      <w:r>
        <w:rPr>
          <w:rFonts w:ascii="宋体" w:eastAsia="宋体" w:hAnsi="宋体" w:cs="宋体" w:hint="eastAsia"/>
          <w:sz w:val="21"/>
          <w:szCs w:val="21"/>
          <w:lang w:eastAsia="zh-CN"/>
        </w:rPr>
        <w:t>法律约束力；</w:t>
      </w:r>
    </w:p>
    <w:p w14:paraId="70445C7D">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9.3联合体的各成员应当签订共同投标协议，明确约定各方拟承担的工作和责任，并将该共同投标协议随投标文件一并递交给招标人；</w:t>
      </w:r>
    </w:p>
    <w:p w14:paraId="4F06956F">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9.4联合体中标后，联合体各方应当共同与招标人签订合同，为履行合同向招标人承担连带责任；</w:t>
      </w:r>
    </w:p>
    <w:p w14:paraId="59E68F26">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9.5由联合体的各成员提交一份授权书，证明联合体代表资格，该授权书作为投标文件的组成部分一并提交给招标人；</w:t>
      </w:r>
    </w:p>
    <w:p w14:paraId="24C9A93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9.6联合体代表应被授权作为联合体所有成员的代表承担责任和接受指令，并负责整个合同的全面履行；</w:t>
      </w:r>
    </w:p>
    <w:p w14:paraId="118D4651">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9.7参加联合体的各成员不得再以自己的名义单独投标，也不得同时参加两个或两个以上的联合体投标。出现上述情况者，其投标和与其有关的联合体的投标均做无效标处理；</w:t>
      </w:r>
    </w:p>
    <w:p w14:paraId="7EE0E62E">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sz w:val="21"/>
          <w:szCs w:val="21"/>
          <w:lang w:eastAsia="zh-CN"/>
        </w:rPr>
        <w:t>9.8除非另有规定或说明，本须知(本款)中“投标人”一词亦指联合体各成员。</w:t>
      </w:r>
    </w:p>
    <w:bookmarkEnd w:id="26"/>
    <w:p w14:paraId="318E8AC7">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snapToGrid w:val="0"/>
          <w:sz w:val="21"/>
          <w:szCs w:val="21"/>
          <w:lang w:eastAsia="zh-CN"/>
        </w:rPr>
        <w:t>10.</w:t>
      </w:r>
      <w:r>
        <w:rPr>
          <w:rFonts w:ascii="宋体" w:eastAsia="宋体" w:hAnsi="宋体" w:cs="宋体" w:hint="eastAsia"/>
          <w:b/>
          <w:kern w:val="2"/>
          <w:sz w:val="21"/>
          <w:szCs w:val="21"/>
          <w:lang w:eastAsia="zh-CN"/>
        </w:rPr>
        <w:t>投标文件的语言及计量单位</w:t>
      </w:r>
    </w:p>
    <w:p w14:paraId="23EE944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10.1投标人与招标人之间与投标有关的所有往来文件和投标文件均应使用中文。投标人随投标文件提供的证明文件和资料可以为其它语言，但必须附中文译文，并且，为了解释投标文件，应以中文为准。</w:t>
      </w:r>
    </w:p>
    <w:p w14:paraId="46A2ECC5">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10.2除工程建设标准及技术要求另有规定外，投标文件使用的度量单位，均采用中华人民共和国法定计量单位。</w:t>
      </w:r>
    </w:p>
    <w:p w14:paraId="65E333B6">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11．投标文件的构成</w:t>
      </w:r>
    </w:p>
    <w:p w14:paraId="1E547359">
      <w:pPr>
        <w:widowControl w:val="0"/>
        <w:spacing w:line="360" w:lineRule="auto"/>
        <w:ind w:firstLine="42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11.1投标文件由资格审查文件、技术标（含资信标）、商务标、业绩文件组成。</w:t>
      </w:r>
    </w:p>
    <w:p w14:paraId="0C7FAA46">
      <w:pPr>
        <w:widowControl w:val="0"/>
        <w:spacing w:line="360" w:lineRule="auto"/>
        <w:ind w:firstLine="440"/>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11.2</w:t>
      </w:r>
      <w:r>
        <w:rPr>
          <w:rFonts w:ascii="宋体" w:eastAsia="宋体" w:hAnsi="宋体" w:cs="宋体" w:hint="eastAsia"/>
          <w:snapToGrid w:val="0"/>
          <w:sz w:val="21"/>
          <w:szCs w:val="21"/>
          <w:lang w:eastAsia="zh-CN"/>
        </w:rPr>
        <w:t>资格审查文件 ，</w:t>
      </w:r>
      <w:r>
        <w:rPr>
          <w:rFonts w:ascii="宋体" w:eastAsia="宋体" w:hAnsi="宋体" w:cs="宋体" w:hint="eastAsia"/>
          <w:sz w:val="21"/>
          <w:szCs w:val="21"/>
          <w:lang w:eastAsia="zh-CN"/>
        </w:rPr>
        <w:t>包含但不限于以下内容：</w:t>
      </w:r>
    </w:p>
    <w:p w14:paraId="4157F240">
      <w:pPr>
        <w:widowControl w:val="0"/>
        <w:spacing w:line="360" w:lineRule="auto"/>
        <w:ind w:left="420" w:firstLine="420"/>
        <w:jc w:val="left"/>
        <w:rPr>
          <w:rFonts w:ascii="宋体" w:eastAsia="宋体" w:hAnsi="宋体" w:cs="宋体" w:hint="eastAsia"/>
          <w:sz w:val="21"/>
          <w:szCs w:val="21"/>
          <w:lang w:eastAsia="zh-CN"/>
        </w:rPr>
      </w:pPr>
      <w:r>
        <w:rPr>
          <w:rFonts w:ascii="宋体" w:eastAsia="宋体" w:hAnsi="宋体" w:cs="宋体" w:hint="eastAsia"/>
          <w:kern w:val="2"/>
          <w:sz w:val="21"/>
          <w:szCs w:val="21"/>
          <w:u w:val="single"/>
          <w:lang w:eastAsia="zh-CN" w:bidi="ar"/>
        </w:rPr>
        <w:t>具体要求见第四章 投标文件格式 资格审查文件；</w:t>
      </w:r>
      <w:r>
        <w:rPr>
          <w:rFonts w:ascii="宋体" w:eastAsia="宋体" w:hAnsi="宋体" w:cs="宋体" w:hint="eastAsia"/>
          <w:kern w:val="2"/>
          <w:sz w:val="21"/>
          <w:szCs w:val="21"/>
          <w:u w:val="single"/>
          <w:lang w:eastAsia="zh-CN" w:bidi="ar"/>
        </w:rPr>
        <w:t xml:space="preserve">  </w:t>
      </w:r>
    </w:p>
    <w:p w14:paraId="4F61F3B5">
      <w:pPr>
        <w:widowControl w:val="0"/>
        <w:spacing w:line="360" w:lineRule="auto"/>
        <w:ind w:firstLine="42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11.3技术标书，包含但不限于以下内容：</w:t>
      </w:r>
    </w:p>
    <w:p w14:paraId="39B22919">
      <w:pPr>
        <w:widowControl w:val="0"/>
        <w:spacing w:line="360" w:lineRule="auto"/>
        <w:ind w:left="420" w:firstLine="420" w:firstLineChars="200"/>
        <w:jc w:val="left"/>
        <w:rPr>
          <w:rFonts w:ascii="宋体" w:eastAsia="宋体" w:hAnsi="宋体" w:cs="宋体" w:hint="eastAsia"/>
          <w:kern w:val="2"/>
          <w:sz w:val="21"/>
          <w:szCs w:val="21"/>
          <w:highlight w:val="yellow"/>
          <w:u w:val="single"/>
          <w:lang w:eastAsia="zh-CN"/>
        </w:rPr>
      </w:pPr>
      <w:r>
        <w:rPr>
          <w:rFonts w:ascii="宋体" w:eastAsia="宋体" w:hAnsi="宋体" w:cs="宋体" w:hint="eastAsia"/>
          <w:kern w:val="2"/>
          <w:sz w:val="21"/>
          <w:szCs w:val="22"/>
          <w:lang w:eastAsia="zh-CN" w:bidi="ar"/>
        </w:rPr>
        <w:t>☑</w:t>
      </w:r>
      <w:r>
        <w:rPr>
          <w:rFonts w:ascii="宋体" w:eastAsia="宋体" w:hAnsi="宋体" w:cs="宋体" w:hint="eastAsia"/>
          <w:snapToGrid w:val="0"/>
          <w:sz w:val="21"/>
          <w:szCs w:val="21"/>
          <w:lang w:eastAsia="zh-CN"/>
        </w:rPr>
        <w:t>技术标</w:t>
      </w:r>
      <w:r>
        <w:rPr>
          <w:rFonts w:ascii="宋体" w:eastAsia="宋体" w:hAnsi="宋体" w:cs="宋体" w:hint="eastAsia"/>
          <w:snapToGrid w:val="0"/>
          <w:sz w:val="21"/>
          <w:szCs w:val="21"/>
          <w:lang w:eastAsia="zh-CN"/>
        </w:rPr>
        <w:t>：</w:t>
      </w:r>
      <w:r>
        <w:rPr>
          <w:rFonts w:ascii="宋体" w:eastAsia="宋体" w:hAnsi="宋体" w:cs="宋体" w:hint="eastAsia"/>
          <w:snapToGrid w:val="0"/>
          <w:color w:val="0000FF"/>
          <w:sz w:val="21"/>
          <w:szCs w:val="21"/>
          <w:u w:val="single"/>
          <w:lang w:eastAsia="zh-CN"/>
        </w:rPr>
        <w:t>本项目不要求投标人编制技术标文件</w:t>
      </w:r>
      <w:r>
        <w:rPr>
          <w:rFonts w:ascii="宋体" w:eastAsia="宋体" w:hAnsi="宋体" w:cs="宋体" w:hint="eastAsia"/>
          <w:color w:val="0000FF"/>
          <w:kern w:val="2"/>
          <w:sz w:val="21"/>
          <w:szCs w:val="22"/>
          <w:u w:val="single"/>
          <w:lang w:eastAsia="zh-CN"/>
        </w:rPr>
        <w:t>。</w:t>
      </w:r>
    </w:p>
    <w:p w14:paraId="0CE78A00">
      <w:pPr>
        <w:widowControl w:val="0"/>
        <w:spacing w:line="360" w:lineRule="auto"/>
        <w:ind w:left="420" w:firstLine="420" w:firstLineChars="200"/>
        <w:jc w:val="left"/>
        <w:rPr>
          <w:rFonts w:ascii="宋体" w:eastAsia="宋体" w:hAnsi="宋体" w:cs="宋体" w:hint="eastAsia"/>
          <w:snapToGrid w:val="0"/>
          <w:sz w:val="21"/>
          <w:szCs w:val="21"/>
          <w:lang w:eastAsia="zh-CN"/>
        </w:rPr>
      </w:pPr>
    </w:p>
    <w:p w14:paraId="7BABB155">
      <w:pPr>
        <w:widowControl w:val="0"/>
        <w:spacing w:line="360" w:lineRule="auto"/>
        <w:ind w:left="420" w:firstLine="420" w:firstLineChars="200"/>
        <w:jc w:val="left"/>
        <w:rPr>
          <w:rFonts w:ascii="宋体" w:eastAsia="宋体" w:hAnsi="宋体" w:cs="宋体" w:hint="eastAsia"/>
          <w:sz w:val="21"/>
          <w:szCs w:val="21"/>
          <w:lang w:eastAsia="zh-CN"/>
        </w:rPr>
      </w:pPr>
      <w:r>
        <w:rPr>
          <w:rFonts w:ascii="宋体" w:eastAsia="宋体" w:hAnsi="宋体" w:cs="宋体" w:hint="eastAsia"/>
          <w:kern w:val="2"/>
          <w:sz w:val="21"/>
          <w:szCs w:val="22"/>
          <w:lang w:eastAsia="zh-CN" w:bidi="ar"/>
        </w:rPr>
        <w:t>☑</w:t>
      </w:r>
      <w:r>
        <w:rPr>
          <w:rFonts w:ascii="宋体" w:eastAsia="宋体" w:hAnsi="宋体" w:cs="宋体" w:hint="eastAsia"/>
          <w:snapToGrid w:val="0"/>
          <w:sz w:val="21"/>
          <w:szCs w:val="21"/>
          <w:lang w:eastAsia="zh-CN"/>
        </w:rPr>
        <w:t>资信标</w:t>
      </w:r>
      <w:r>
        <w:rPr>
          <w:rFonts w:ascii="宋体" w:eastAsia="宋体" w:hAnsi="宋体" w:cs="宋体" w:hint="eastAsia"/>
          <w:snapToGrid w:val="0"/>
          <w:sz w:val="21"/>
          <w:szCs w:val="21"/>
          <w:lang w:eastAsia="zh-CN"/>
        </w:rPr>
        <w:t>：</w:t>
      </w:r>
      <w:r>
        <w:rPr>
          <w:rFonts w:ascii="宋体" w:eastAsia="宋体" w:hAnsi="宋体" w:cs="宋体" w:hint="eastAsia"/>
          <w:snapToGrid w:val="0"/>
          <w:color w:val="0000FF"/>
          <w:sz w:val="21"/>
          <w:szCs w:val="21"/>
          <w:u w:val="single"/>
          <w:lang w:eastAsia="zh-CN"/>
        </w:rPr>
        <w:t>根据招标文件第二章《资信标要求一览表》</w:t>
      </w:r>
      <w:r>
        <w:rPr>
          <w:rFonts w:ascii="宋体" w:eastAsia="宋体" w:hAnsi="宋体" w:cs="宋体" w:hint="eastAsia"/>
          <w:color w:val="0000FF"/>
          <w:kern w:val="2"/>
          <w:sz w:val="21"/>
          <w:szCs w:val="21"/>
          <w:u w:val="single"/>
          <w:lang w:eastAsia="zh-CN" w:bidi="ar"/>
        </w:rPr>
        <w:t>编制。</w:t>
      </w:r>
    </w:p>
    <w:p w14:paraId="7EB544DC">
      <w:pPr>
        <w:widowControl w:val="0"/>
        <w:spacing w:line="360" w:lineRule="auto"/>
        <w:ind w:firstLine="44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11.4商务标书，包含但不限于以下内容：</w:t>
      </w:r>
    </w:p>
    <w:p w14:paraId="3F7394A4">
      <w:pPr>
        <w:widowControl w:val="0"/>
        <w:spacing w:line="360" w:lineRule="auto"/>
        <w:ind w:left="420"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1、投标函</w:t>
      </w:r>
      <w:r>
        <w:rPr>
          <w:rFonts w:ascii="宋体" w:eastAsia="宋体" w:hAnsi="宋体" w:cs="宋体" w:hint="eastAsia"/>
          <w:snapToGrid w:val="0"/>
          <w:sz w:val="21"/>
          <w:szCs w:val="21"/>
          <w:lang w:eastAsia="zh-CN"/>
        </w:rPr>
        <w:t>；</w:t>
      </w:r>
    </w:p>
    <w:p w14:paraId="29734321">
      <w:pPr>
        <w:widowControl w:val="0"/>
        <w:spacing w:line="360" w:lineRule="auto"/>
        <w:ind w:left="420" w:firstLine="420"/>
        <w:jc w:val="left"/>
        <w:rPr>
          <w:rFonts w:ascii="宋体" w:eastAsia="宋体" w:hAnsi="宋体" w:cs="宋体" w:hint="eastAsia"/>
          <w:sz w:val="21"/>
          <w:szCs w:val="21"/>
          <w:lang w:eastAsia="zh-CN"/>
        </w:rPr>
      </w:pPr>
      <w:r>
        <w:rPr>
          <w:rFonts w:ascii="宋体" w:eastAsia="宋体" w:hAnsi="宋体" w:cs="宋体" w:hint="eastAsia"/>
          <w:kern w:val="2"/>
          <w:sz w:val="21"/>
          <w:szCs w:val="22"/>
          <w:lang w:eastAsia="zh-CN" w:bidi="ar"/>
        </w:rPr>
        <w:t>2、</w:t>
      </w:r>
      <w:r>
        <w:rPr>
          <w:rFonts w:ascii="宋体" w:eastAsia="宋体" w:hAnsi="宋体" w:cs="宋体" w:hint="eastAsia"/>
          <w:snapToGrid w:val="0"/>
          <w:color w:val="0000FF"/>
          <w:sz w:val="21"/>
          <w:szCs w:val="21"/>
          <w:u w:val="single"/>
          <w:lang w:eastAsia="zh-CN"/>
        </w:rPr>
        <w:t>投标报价明细表</w:t>
      </w:r>
      <w:r>
        <w:rPr>
          <w:rFonts w:ascii="宋体" w:eastAsia="宋体" w:hAnsi="宋体" w:cs="宋体" w:hint="eastAsia"/>
          <w:color w:val="0000FF"/>
          <w:kern w:val="2"/>
          <w:sz w:val="21"/>
          <w:szCs w:val="21"/>
          <w:u w:val="single"/>
          <w:lang w:eastAsia="zh-CN" w:bidi="ar"/>
        </w:rPr>
        <w:t>。</w:t>
      </w:r>
      <w:r>
        <w:rPr>
          <w:rFonts w:ascii="宋体" w:eastAsia="宋体" w:hAnsi="宋体" w:cs="宋体" w:hint="eastAsia"/>
          <w:kern w:val="2"/>
          <w:sz w:val="21"/>
          <w:szCs w:val="21"/>
          <w:u w:val="single"/>
          <w:lang w:eastAsia="zh-CN" w:bidi="ar"/>
        </w:rPr>
        <w:t xml:space="preserve"> </w:t>
      </w:r>
    </w:p>
    <w:p w14:paraId="35DF5185">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11.5业绩文件，包含但不限于以下内容：</w:t>
      </w:r>
    </w:p>
    <w:p w14:paraId="5F79427C">
      <w:pPr>
        <w:widowControl w:val="0"/>
        <w:spacing w:line="360" w:lineRule="auto"/>
        <w:ind w:left="420" w:firstLine="420"/>
        <w:jc w:val="left"/>
        <w:rPr>
          <w:rFonts w:ascii="宋体" w:eastAsia="宋体" w:hAnsi="宋体" w:cs="宋体" w:hint="eastAsia"/>
          <w:sz w:val="21"/>
          <w:szCs w:val="21"/>
          <w:lang w:eastAsia="zh-CN"/>
        </w:rPr>
      </w:pPr>
      <w:r>
        <w:rPr>
          <w:rFonts w:ascii="宋体" w:eastAsia="宋体" w:hAnsi="宋体" w:cs="宋体" w:hint="eastAsia"/>
          <w:snapToGrid w:val="0"/>
          <w:color w:val="0000FF"/>
          <w:sz w:val="21"/>
          <w:szCs w:val="21"/>
          <w:u w:val="single"/>
          <w:lang w:eastAsia="zh-CN"/>
        </w:rPr>
        <w:t>根据招标文件第二章《资信标要求一览表》</w:t>
      </w:r>
      <w:r>
        <w:rPr>
          <w:rFonts w:ascii="宋体" w:eastAsia="宋体" w:hAnsi="宋体" w:cs="宋体" w:hint="eastAsia"/>
          <w:color w:val="0000FF"/>
          <w:kern w:val="2"/>
          <w:sz w:val="21"/>
          <w:szCs w:val="21"/>
          <w:u w:val="single"/>
          <w:lang w:eastAsia="zh-CN" w:bidi="ar"/>
        </w:rPr>
        <w:t>编制。</w:t>
      </w:r>
    </w:p>
    <w:p w14:paraId="5F4EB22C">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12．投标文件的格式和签署</w:t>
      </w:r>
    </w:p>
    <w:p w14:paraId="1750380D">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12.1</w:t>
      </w:r>
      <w:r>
        <w:rPr>
          <w:rFonts w:ascii="宋体" w:eastAsia="宋体" w:hAnsi="宋体" w:cs="宋体" w:hint="eastAsia"/>
          <w:kern w:val="2"/>
          <w:sz w:val="21"/>
          <w:szCs w:val="21"/>
          <w:lang w:eastAsia="zh-CN"/>
        </w:rPr>
        <w:t>投标人提交的投标文件应按本招标文件“投标文件格式”章节的顺序编排。本招标文件提供的投标文件格式可以按同样格式扩展。</w:t>
      </w:r>
    </w:p>
    <w:p w14:paraId="3DFEAB29">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12.2</w:t>
      </w:r>
      <w:r>
        <w:rPr>
          <w:rFonts w:ascii="宋体" w:eastAsia="宋体" w:hAnsi="宋体" w:cs="宋体" w:hint="eastAsia"/>
          <w:kern w:val="2"/>
          <w:sz w:val="21"/>
          <w:szCs w:val="21"/>
          <w:lang w:eastAsia="zh-CN"/>
        </w:rPr>
        <w:t>投标文件须按投标文件格式要求加签有效的投标人机构数字证书或电子营业执照、法定代表人个人数字证书</w:t>
      </w:r>
      <w:r>
        <w:rPr>
          <w:rFonts w:ascii="宋体" w:eastAsia="宋体" w:hAnsi="宋体" w:cs="宋体" w:hint="eastAsia"/>
          <w:snapToGrid w:val="0"/>
          <w:sz w:val="21"/>
          <w:szCs w:val="21"/>
          <w:lang w:eastAsia="zh-CN"/>
        </w:rPr>
        <w:t>。</w:t>
      </w:r>
    </w:p>
    <w:p w14:paraId="37E80398">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13．投标报价</w:t>
      </w:r>
    </w:p>
    <w:p w14:paraId="5B600D11">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13.1投标报价是投标人的投标文件中提出的各项支付费用的金额总和。投标人的投标报价应保证在投标有效期内有效，在合同执行期内是固定不变。</w:t>
      </w:r>
    </w:p>
    <w:p w14:paraId="0798CDEB">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13.2投标人的投标报价应是合同上所列的各项内容的全部。</w:t>
      </w:r>
    </w:p>
    <w:p w14:paraId="49AE4FBF">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13.2.1投标人若是提供了可变动价格或包含价格调整要求投标，其投标将会被拒绝。</w:t>
      </w:r>
    </w:p>
    <w:p w14:paraId="1EAA46B0">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13.2.2投标人若是提供了两个（含两个）以上报价，且未明确哪个是有效报价，其投标将会被拒绝（除允许提供备选方案的）。</w:t>
      </w:r>
    </w:p>
    <w:p w14:paraId="7FFFCAF1">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13.3投标报价的</w:t>
      </w:r>
      <w:r>
        <w:rPr>
          <w:rFonts w:ascii="宋体" w:eastAsia="宋体" w:hAnsi="宋体" w:cs="宋体" w:hint="eastAsia"/>
          <w:kern w:val="2"/>
          <w:sz w:val="21"/>
          <w:szCs w:val="21"/>
          <w:lang w:eastAsia="zh-CN"/>
        </w:rPr>
        <w:t>最高投标限价</w:t>
      </w:r>
      <w:r>
        <w:rPr>
          <w:rFonts w:ascii="宋体" w:eastAsia="宋体" w:hAnsi="宋体" w:cs="宋体" w:hint="eastAsia"/>
          <w:snapToGrid w:val="0"/>
          <w:sz w:val="21"/>
          <w:szCs w:val="21"/>
          <w:lang w:eastAsia="zh-CN"/>
        </w:rPr>
        <w:t>见“投标须知前附表”。</w:t>
      </w:r>
    </w:p>
    <w:p w14:paraId="184C521D">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13.4招标人不接受任何免费赠送的货物或服务。如有，将按缺漏项处理。</w:t>
      </w:r>
    </w:p>
    <w:p w14:paraId="407C797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13.5最低投标报价不得低于成本。</w:t>
      </w:r>
    </w:p>
    <w:p w14:paraId="218CFB8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13.6</w:t>
      </w:r>
      <w:r>
        <w:rPr>
          <w:rFonts w:ascii="宋体" w:eastAsia="宋体" w:hAnsi="宋体" w:cs="宋体" w:hint="eastAsia"/>
          <w:kern w:val="2"/>
          <w:sz w:val="21"/>
          <w:szCs w:val="21"/>
          <w:lang w:eastAsia="zh-CN"/>
        </w:rPr>
        <w:t>招标人对投标人的投标报价下浮比例有具体要求的，可在“第二章  投标须知 一、投标须知前附表 第1</w:t>
      </w:r>
      <w:r>
        <w:rPr>
          <w:rFonts w:ascii="宋体" w:eastAsia="宋体" w:hAnsi="宋体" w:cs="宋体" w:hint="eastAsia"/>
          <w:kern w:val="2"/>
          <w:sz w:val="21"/>
          <w:szCs w:val="21"/>
          <w:lang w:eastAsia="zh-CN"/>
        </w:rPr>
        <w:t>1</w:t>
      </w:r>
      <w:r>
        <w:rPr>
          <w:rFonts w:ascii="宋体" w:eastAsia="宋体" w:hAnsi="宋体" w:cs="宋体" w:hint="eastAsia"/>
          <w:kern w:val="2"/>
          <w:sz w:val="21"/>
          <w:szCs w:val="21"/>
          <w:lang w:eastAsia="zh-CN"/>
        </w:rPr>
        <w:t>项”投标报价其他要求中进行明确。</w:t>
      </w:r>
    </w:p>
    <w:p w14:paraId="1288A66E">
      <w:pPr>
        <w:widowControl w:val="0"/>
        <w:spacing w:line="360" w:lineRule="auto"/>
        <w:ind w:firstLine="420" w:firstLineChars="200"/>
        <w:jc w:val="left"/>
        <w:rPr>
          <w:rFonts w:ascii="宋体" w:eastAsia="宋体" w:hAnsi="宋体" w:cs="宋体" w:hint="eastAsia"/>
          <w:b/>
          <w:snapToGrid w:val="0"/>
          <w:sz w:val="21"/>
          <w:szCs w:val="21"/>
          <w:lang w:eastAsia="zh-CN"/>
        </w:rPr>
      </w:pPr>
      <w:r>
        <w:rPr>
          <w:rFonts w:ascii="宋体" w:eastAsia="宋体" w:hAnsi="宋体" w:cs="宋体" w:hint="eastAsia"/>
          <w:b/>
          <w:snapToGrid w:val="0"/>
          <w:sz w:val="21"/>
          <w:szCs w:val="21"/>
          <w:lang w:eastAsia="zh-CN"/>
        </w:rPr>
        <w:t>14.投标有效期</w:t>
      </w:r>
    </w:p>
    <w:p w14:paraId="0B8574FF">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14</w:t>
      </w:r>
      <w:r>
        <w:rPr>
          <w:rFonts w:ascii="宋体" w:eastAsia="宋体" w:hAnsi="宋体" w:cs="宋体" w:hint="eastAsia"/>
          <w:sz w:val="21"/>
          <w:szCs w:val="21"/>
          <w:lang w:eastAsia="zh-CN"/>
        </w:rPr>
        <w:t>.1投标有效期按法律法规规定期限内，所有投标文件均保持有效。</w:t>
      </w:r>
    </w:p>
    <w:p w14:paraId="10557687">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14</w:t>
      </w:r>
      <w:r>
        <w:rPr>
          <w:rFonts w:ascii="宋体" w:eastAsia="宋体" w:hAnsi="宋体" w:cs="宋体" w:hint="eastAsia"/>
          <w:sz w:val="21"/>
          <w:szCs w:val="21"/>
          <w:lang w:eastAsia="zh-CN"/>
        </w:rPr>
        <w:t>.2特殊的情况下，在原定投标有效期满之前，招标人可以根据需要以书面形式向投标人提出延长投标有效期的要求，对此要求投标人须以书面形式予以答复，投标人可以拒绝招标人这种要求，而不被没收投标保证金</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投标保函</w:t>
      </w:r>
      <w:r>
        <w:rPr>
          <w:rFonts w:ascii="宋体" w:eastAsia="宋体" w:hAnsi="宋体" w:cs="宋体" w:hint="eastAsia"/>
          <w:kern w:val="2"/>
          <w:sz w:val="21"/>
          <w:szCs w:val="21"/>
          <w:lang w:eastAsia="zh-CN"/>
        </w:rPr>
        <w:t>或保证保险</w:t>
      </w:r>
      <w:r>
        <w:rPr>
          <w:rFonts w:ascii="宋体" w:eastAsia="宋体" w:hAnsi="宋体" w:cs="宋体" w:hint="eastAsia"/>
          <w:sz w:val="21"/>
          <w:szCs w:val="21"/>
          <w:lang w:eastAsia="zh-CN"/>
        </w:rPr>
        <w:t>。同意延长投标有效期的投标人不能要求也不允许修改其投标文件，但需要相应延长投标担保的有效期，在延长的投标有效期内关于投标保证金</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投标保函</w:t>
      </w:r>
      <w:r>
        <w:rPr>
          <w:rFonts w:ascii="宋体" w:eastAsia="宋体" w:hAnsi="宋体" w:cs="宋体" w:hint="eastAsia"/>
          <w:kern w:val="2"/>
          <w:sz w:val="21"/>
          <w:szCs w:val="21"/>
          <w:lang w:eastAsia="zh-CN"/>
        </w:rPr>
        <w:t>或保证保险</w:t>
      </w:r>
      <w:r>
        <w:rPr>
          <w:rFonts w:ascii="宋体" w:eastAsia="宋体" w:hAnsi="宋体" w:cs="宋体" w:hint="eastAsia"/>
          <w:sz w:val="21"/>
          <w:szCs w:val="21"/>
          <w:lang w:eastAsia="zh-CN"/>
        </w:rPr>
        <w:t>的退还与没收的规定仍然适用。</w:t>
      </w:r>
    </w:p>
    <w:p w14:paraId="680D369A">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15．投标担保</w:t>
      </w:r>
    </w:p>
    <w:p w14:paraId="41F64609">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1投标人应在递交投标文件的同时提交一笔不少于法律法规规定数额的投标保证金（不得超过招标项目估算价的2%，最高不得超过50万元）、等同投标保证金的投标保函或保证保险，作为其投标的一部分。投标担保是为了避免招标人因投标人的行为而蒙受损失，招标人可根据本须知规定的条件没收投标保证金</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投标保函</w:t>
      </w:r>
      <w:r>
        <w:rPr>
          <w:rFonts w:ascii="宋体" w:eastAsia="宋体" w:hAnsi="宋体" w:cs="宋体" w:hint="eastAsia"/>
          <w:kern w:val="2"/>
          <w:sz w:val="21"/>
          <w:szCs w:val="21"/>
          <w:lang w:eastAsia="zh-CN"/>
        </w:rPr>
        <w:t>或保证保险</w:t>
      </w:r>
      <w:r>
        <w:rPr>
          <w:rFonts w:ascii="宋体" w:eastAsia="宋体" w:hAnsi="宋体" w:cs="宋体" w:hint="eastAsia"/>
          <w:kern w:val="2"/>
          <w:sz w:val="21"/>
          <w:szCs w:val="21"/>
          <w:lang w:eastAsia="zh-CN"/>
        </w:rPr>
        <w:t>。</w:t>
      </w:r>
    </w:p>
    <w:p w14:paraId="7456A2ED">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.2投标人应按前附表要求提交投标担保</w:t>
      </w:r>
      <w:r>
        <w:rPr>
          <w:rFonts w:ascii="宋体" w:eastAsia="宋体" w:hAnsi="宋体" w:cs="宋体" w:hint="eastAsia"/>
          <w:kern w:val="2"/>
          <w:sz w:val="21"/>
          <w:szCs w:val="21"/>
          <w:lang w:eastAsia="zh-CN"/>
        </w:rPr>
        <w:t>。</w:t>
      </w:r>
    </w:p>
    <w:p w14:paraId="6ACE996F">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若</w:t>
      </w:r>
      <w:r>
        <w:rPr>
          <w:rFonts w:ascii="宋体" w:eastAsia="宋体" w:hAnsi="宋体" w:cs="宋体" w:hint="eastAsia"/>
          <w:kern w:val="2"/>
          <w:sz w:val="21"/>
          <w:szCs w:val="21"/>
          <w:lang w:eastAsia="zh-CN"/>
        </w:rPr>
        <w:t>采用</w:t>
      </w:r>
      <w:r>
        <w:rPr>
          <w:rFonts w:ascii="宋体" w:eastAsia="宋体" w:hAnsi="宋体" w:cs="宋体" w:hint="eastAsia"/>
          <w:kern w:val="2"/>
          <w:sz w:val="21"/>
          <w:szCs w:val="21"/>
          <w:lang w:eastAsia="zh-CN"/>
        </w:rPr>
        <w:t>现金/支票的，须从投标人基本账户汇出，</w:t>
      </w:r>
      <w:r>
        <w:rPr>
          <w:rFonts w:ascii="宋体" w:eastAsia="宋体" w:hAnsi="宋体" w:cs="宋体" w:hint="eastAsia"/>
          <w:kern w:val="2"/>
          <w:sz w:val="21"/>
          <w:szCs w:val="21"/>
          <w:lang w:eastAsia="zh-CN"/>
        </w:rPr>
        <w:t>并且应将基本账户开户许可证或基本存款账户信息表复印件编入投标文件中。</w:t>
      </w:r>
    </w:p>
    <w:p w14:paraId="2FDC69CF">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若采用纸质银行保函的，投标人应将纸质银行保函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基本账户开户许可证或基本存款账户信息表复印件</w:t>
      </w:r>
      <w:r>
        <w:rPr>
          <w:rFonts w:ascii="宋体" w:eastAsia="宋体" w:hAnsi="宋体" w:cs="宋体" w:hint="eastAsia"/>
          <w:kern w:val="2"/>
          <w:sz w:val="21"/>
          <w:szCs w:val="21"/>
          <w:lang w:eastAsia="zh-CN"/>
        </w:rPr>
        <w:t>等文件</w:t>
      </w:r>
      <w:r>
        <w:rPr>
          <w:rFonts w:ascii="宋体" w:eastAsia="宋体" w:hAnsi="宋体" w:cs="宋体" w:hint="eastAsia"/>
          <w:kern w:val="2"/>
          <w:sz w:val="21"/>
          <w:szCs w:val="21"/>
          <w:lang w:eastAsia="zh-CN"/>
        </w:rPr>
        <w:t>以扫描件形式</w:t>
      </w:r>
      <w:r>
        <w:rPr>
          <w:rFonts w:ascii="宋体" w:eastAsia="宋体" w:hAnsi="宋体" w:cs="宋体" w:hint="eastAsia"/>
          <w:kern w:val="2"/>
          <w:sz w:val="21"/>
          <w:szCs w:val="21"/>
          <w:lang w:eastAsia="zh-CN"/>
        </w:rPr>
        <w:t>编入投标文件中</w:t>
      </w:r>
      <w:r>
        <w:rPr>
          <w:rFonts w:ascii="宋体" w:eastAsia="宋体" w:hAnsi="宋体" w:cs="宋体" w:hint="eastAsia"/>
          <w:kern w:val="2"/>
          <w:sz w:val="21"/>
          <w:szCs w:val="21"/>
          <w:lang w:eastAsia="zh-CN"/>
        </w:rPr>
        <w:t>，纸质银行保函原件在中标候选人确定后由招标人收取。若采用电子银行保函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电子银行保函通过</w:t>
      </w:r>
      <w:r>
        <w:rPr>
          <w:rFonts w:ascii="宋体" w:eastAsia="宋体" w:hAnsi="宋体" w:cs="宋体" w:hint="eastAsia"/>
          <w:sz w:val="21"/>
          <w:szCs w:val="21"/>
          <w:lang w:eastAsia="zh-CN"/>
        </w:rPr>
        <w:t>交易平台出具的</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无需提交基本账户开户许可证或基本存款账户信息表复印件，</w:t>
      </w:r>
      <w:r>
        <w:rPr>
          <w:rFonts w:ascii="宋体" w:eastAsia="宋体" w:hAnsi="宋体" w:cs="宋体" w:hint="eastAsia"/>
          <w:kern w:val="2"/>
          <w:sz w:val="21"/>
          <w:szCs w:val="21"/>
          <w:lang w:eastAsia="zh-CN"/>
        </w:rPr>
        <w:t>招标人在</w:t>
      </w:r>
      <w:r>
        <w:rPr>
          <w:rFonts w:ascii="宋体" w:eastAsia="宋体" w:hAnsi="宋体" w:cs="宋体" w:hint="eastAsia"/>
          <w:kern w:val="2"/>
          <w:sz w:val="21"/>
          <w:szCs w:val="21"/>
          <w:lang w:eastAsia="zh-CN"/>
        </w:rPr>
        <w:t>交易平台</w:t>
      </w:r>
      <w:r>
        <w:rPr>
          <w:rFonts w:ascii="宋体" w:eastAsia="宋体" w:hAnsi="宋体" w:cs="宋体" w:hint="eastAsia"/>
          <w:kern w:val="2"/>
          <w:sz w:val="21"/>
          <w:szCs w:val="21"/>
          <w:lang w:eastAsia="zh-CN"/>
        </w:rPr>
        <w:t>资格审查页面查看电子银行保函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电子银行保函通过其他</w:t>
      </w:r>
      <w:r>
        <w:rPr>
          <w:rFonts w:ascii="宋体" w:eastAsia="宋体" w:hAnsi="宋体" w:cs="宋体" w:hint="eastAsia"/>
          <w:sz w:val="21"/>
          <w:szCs w:val="21"/>
          <w:lang w:eastAsia="zh-CN"/>
        </w:rPr>
        <w:t>平台出具的，应参照前述纸质银行保函的要求，将相关材料编入投标文件中。</w:t>
      </w:r>
    </w:p>
    <w:p w14:paraId="4064AE9E">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若采用</w:t>
      </w:r>
      <w:r>
        <w:rPr>
          <w:rFonts w:ascii="宋体" w:eastAsia="宋体" w:hAnsi="宋体" w:cs="宋体" w:hint="eastAsia"/>
          <w:kern w:val="2"/>
          <w:sz w:val="21"/>
          <w:szCs w:val="21"/>
          <w:lang w:eastAsia="zh-CN"/>
        </w:rPr>
        <w:t>纸质</w:t>
      </w:r>
      <w:r>
        <w:rPr>
          <w:rFonts w:ascii="宋体" w:eastAsia="宋体" w:hAnsi="宋体" w:cs="宋体" w:hint="eastAsia"/>
          <w:kern w:val="2"/>
          <w:sz w:val="21"/>
          <w:szCs w:val="21"/>
          <w:lang w:eastAsia="zh-CN"/>
        </w:rPr>
        <w:t>保证保险的，投标人</w:t>
      </w:r>
      <w:r>
        <w:rPr>
          <w:rFonts w:ascii="宋体" w:eastAsia="宋体" w:hAnsi="宋体" w:cs="宋体" w:hint="eastAsia"/>
          <w:kern w:val="2"/>
          <w:sz w:val="21"/>
          <w:szCs w:val="21"/>
          <w:lang w:eastAsia="zh-CN"/>
        </w:rPr>
        <w:t>应将</w:t>
      </w:r>
      <w:r>
        <w:rPr>
          <w:rFonts w:ascii="宋体" w:eastAsia="宋体" w:hAnsi="宋体" w:cs="宋体" w:hint="eastAsia"/>
          <w:kern w:val="2"/>
          <w:sz w:val="21"/>
          <w:szCs w:val="21"/>
          <w:lang w:eastAsia="zh-CN"/>
        </w:rPr>
        <w:t>投标保证保险合同或保险单</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基本账户开户许可证或基本存款账户信息表复印件及保费转账凭证以扫描件形式编入投标文件中</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纸质</w:t>
      </w:r>
      <w:r>
        <w:rPr>
          <w:rFonts w:ascii="宋体" w:eastAsia="宋体" w:hAnsi="宋体" w:cs="宋体" w:hint="eastAsia"/>
          <w:kern w:val="2"/>
          <w:sz w:val="21"/>
          <w:szCs w:val="21"/>
          <w:lang w:eastAsia="zh-CN"/>
        </w:rPr>
        <w:t>保证保险</w:t>
      </w:r>
      <w:r>
        <w:rPr>
          <w:rFonts w:ascii="宋体" w:eastAsia="宋体" w:hAnsi="宋体" w:cs="宋体" w:hint="eastAsia"/>
          <w:kern w:val="2"/>
          <w:sz w:val="21"/>
          <w:szCs w:val="21"/>
          <w:lang w:eastAsia="zh-CN"/>
        </w:rPr>
        <w:t>原件在中标候选人确定后由招标人收取。保费必须通过投标人基本账户支付，账户名称应与投标单位名称一致，不得以分支机构等其他名义提交。采用电子保证保险</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电子保证保险通过</w:t>
      </w:r>
      <w:r>
        <w:rPr>
          <w:rFonts w:ascii="宋体" w:eastAsia="宋体" w:hAnsi="宋体" w:cs="宋体" w:hint="eastAsia"/>
          <w:sz w:val="21"/>
          <w:szCs w:val="21"/>
          <w:lang w:eastAsia="zh-CN"/>
        </w:rPr>
        <w:t>交易平台出具的</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无需提交基本账户开户许可证或基本存款账户信息表复印件，</w:t>
      </w:r>
      <w:r>
        <w:rPr>
          <w:rFonts w:ascii="宋体" w:eastAsia="宋体" w:hAnsi="宋体" w:cs="宋体" w:hint="eastAsia"/>
          <w:kern w:val="2"/>
          <w:sz w:val="21"/>
          <w:szCs w:val="21"/>
          <w:lang w:eastAsia="zh-CN"/>
        </w:rPr>
        <w:t>招标人在</w:t>
      </w:r>
      <w:r>
        <w:rPr>
          <w:rFonts w:ascii="宋体" w:eastAsia="宋体" w:hAnsi="宋体" w:cs="宋体" w:hint="eastAsia"/>
          <w:kern w:val="2"/>
          <w:sz w:val="21"/>
          <w:szCs w:val="21"/>
          <w:lang w:eastAsia="zh-CN"/>
        </w:rPr>
        <w:t>交易平台</w:t>
      </w:r>
      <w:r>
        <w:rPr>
          <w:rFonts w:ascii="宋体" w:eastAsia="宋体" w:hAnsi="宋体" w:cs="宋体" w:hint="eastAsia"/>
          <w:kern w:val="2"/>
          <w:sz w:val="21"/>
          <w:szCs w:val="21"/>
          <w:lang w:eastAsia="zh-CN"/>
        </w:rPr>
        <w:t>资格审查页面查看电子保证保险</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电子保证保险通过其他</w:t>
      </w:r>
      <w:r>
        <w:rPr>
          <w:rFonts w:ascii="宋体" w:eastAsia="宋体" w:hAnsi="宋体" w:cs="宋体" w:hint="eastAsia"/>
          <w:sz w:val="21"/>
          <w:szCs w:val="21"/>
          <w:lang w:eastAsia="zh-CN"/>
        </w:rPr>
        <w:t>平台出具的</w:t>
      </w:r>
      <w:r>
        <w:rPr>
          <w:rFonts w:ascii="宋体" w:eastAsia="宋体" w:hAnsi="宋体" w:cs="宋体" w:hint="eastAsia"/>
          <w:kern w:val="2"/>
          <w:sz w:val="21"/>
          <w:szCs w:val="21"/>
          <w:lang w:eastAsia="zh-CN"/>
        </w:rPr>
        <w:t>，</w:t>
      </w:r>
      <w:r>
        <w:rPr>
          <w:rFonts w:ascii="宋体" w:eastAsia="宋体" w:hAnsi="宋体" w:cs="宋体" w:hint="eastAsia"/>
          <w:sz w:val="21"/>
          <w:szCs w:val="21"/>
          <w:lang w:eastAsia="zh-CN"/>
        </w:rPr>
        <w:t>应参照前述纸质保证保险的要求，将相关材料编入投标文件中。</w:t>
      </w:r>
    </w:p>
    <w:p w14:paraId="45A8E76E">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若采用纸质担保公司保函的，</w:t>
      </w:r>
      <w:r>
        <w:rPr>
          <w:rFonts w:ascii="宋体" w:eastAsia="宋体" w:hAnsi="宋体" w:cs="宋体" w:hint="eastAsia"/>
          <w:kern w:val="2"/>
          <w:sz w:val="21"/>
          <w:szCs w:val="21"/>
          <w:lang w:eastAsia="zh-CN"/>
        </w:rPr>
        <w:t>投标人应将</w:t>
      </w:r>
      <w:r>
        <w:rPr>
          <w:rFonts w:ascii="宋体" w:eastAsia="宋体" w:hAnsi="宋体" w:cs="宋体" w:hint="eastAsia"/>
          <w:kern w:val="2"/>
          <w:sz w:val="21"/>
          <w:szCs w:val="21"/>
          <w:lang w:eastAsia="zh-CN"/>
        </w:rPr>
        <w:t>担保公司</w:t>
      </w:r>
      <w:r>
        <w:rPr>
          <w:rFonts w:ascii="宋体" w:eastAsia="宋体" w:hAnsi="宋体" w:cs="宋体" w:hint="eastAsia"/>
          <w:kern w:val="2"/>
          <w:sz w:val="21"/>
          <w:szCs w:val="21"/>
          <w:lang w:eastAsia="zh-CN"/>
        </w:rPr>
        <w:t>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基本账户开户许可证或基本存款账户信息表复印件及保费转账凭证</w:t>
      </w:r>
      <w:r>
        <w:rPr>
          <w:rFonts w:ascii="宋体" w:eastAsia="宋体" w:hAnsi="宋体" w:cs="宋体" w:hint="eastAsia"/>
          <w:kern w:val="2"/>
          <w:sz w:val="21"/>
          <w:szCs w:val="21"/>
          <w:lang w:eastAsia="zh-CN"/>
        </w:rPr>
        <w:t>等文件</w:t>
      </w:r>
      <w:r>
        <w:rPr>
          <w:rFonts w:ascii="宋体" w:eastAsia="宋体" w:hAnsi="宋体" w:cs="宋体" w:hint="eastAsia"/>
          <w:kern w:val="2"/>
          <w:sz w:val="21"/>
          <w:szCs w:val="21"/>
          <w:lang w:eastAsia="zh-CN"/>
        </w:rPr>
        <w:t>以扫描件形式</w:t>
      </w:r>
      <w:r>
        <w:rPr>
          <w:rFonts w:ascii="宋体" w:eastAsia="宋体" w:hAnsi="宋体" w:cs="宋体" w:hint="eastAsia"/>
          <w:kern w:val="2"/>
          <w:sz w:val="21"/>
          <w:szCs w:val="21"/>
          <w:lang w:eastAsia="zh-CN"/>
        </w:rPr>
        <w:t>编入投标文件中</w:t>
      </w:r>
      <w:r>
        <w:rPr>
          <w:rFonts w:ascii="宋体" w:eastAsia="宋体" w:hAnsi="宋体" w:cs="宋体" w:hint="eastAsia"/>
          <w:kern w:val="2"/>
          <w:sz w:val="21"/>
          <w:szCs w:val="21"/>
          <w:lang w:eastAsia="zh-CN"/>
        </w:rPr>
        <w:t>，纸质</w:t>
      </w:r>
      <w:r>
        <w:rPr>
          <w:rFonts w:ascii="宋体" w:eastAsia="宋体" w:hAnsi="宋体" w:cs="宋体" w:hint="eastAsia"/>
          <w:kern w:val="2"/>
          <w:sz w:val="21"/>
          <w:szCs w:val="21"/>
          <w:lang w:eastAsia="zh-CN"/>
        </w:rPr>
        <w:t>担保公司</w:t>
      </w:r>
      <w:r>
        <w:rPr>
          <w:rFonts w:ascii="宋体" w:eastAsia="宋体" w:hAnsi="宋体" w:cs="宋体" w:hint="eastAsia"/>
          <w:kern w:val="2"/>
          <w:sz w:val="21"/>
          <w:szCs w:val="21"/>
          <w:lang w:eastAsia="zh-CN"/>
        </w:rPr>
        <w:t>保函原件在中标候选人确定后由招标人收取。保费必须通过投标人基本账户支付，账户名称应与投标单位名称一致，不得以分支机构等其他名义提交</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采用电子</w:t>
      </w:r>
      <w:r>
        <w:rPr>
          <w:rFonts w:ascii="宋体" w:eastAsia="宋体" w:hAnsi="宋体" w:cs="宋体" w:hint="eastAsia"/>
          <w:kern w:val="2"/>
          <w:sz w:val="21"/>
          <w:szCs w:val="21"/>
          <w:lang w:eastAsia="zh-CN"/>
        </w:rPr>
        <w:t>担保公司保函，电子担保公司保函通过</w:t>
      </w:r>
      <w:r>
        <w:rPr>
          <w:rFonts w:ascii="宋体" w:eastAsia="宋体" w:hAnsi="宋体" w:cs="宋体" w:hint="eastAsia"/>
          <w:sz w:val="21"/>
          <w:szCs w:val="21"/>
          <w:lang w:eastAsia="zh-CN"/>
        </w:rPr>
        <w:t>交易平台出具的</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无需提交基本账户开户许可证或基本存款账户信息表复印件，</w:t>
      </w:r>
      <w:r>
        <w:rPr>
          <w:rFonts w:ascii="宋体" w:eastAsia="宋体" w:hAnsi="宋体" w:cs="宋体" w:hint="eastAsia"/>
          <w:kern w:val="2"/>
          <w:sz w:val="21"/>
          <w:szCs w:val="21"/>
          <w:lang w:eastAsia="zh-CN"/>
        </w:rPr>
        <w:t>招标人在</w:t>
      </w:r>
      <w:r>
        <w:rPr>
          <w:rFonts w:ascii="宋体" w:eastAsia="宋体" w:hAnsi="宋体" w:cs="宋体" w:hint="eastAsia"/>
          <w:kern w:val="2"/>
          <w:sz w:val="21"/>
          <w:szCs w:val="21"/>
          <w:lang w:eastAsia="zh-CN"/>
        </w:rPr>
        <w:t>交易平台</w:t>
      </w:r>
      <w:r>
        <w:rPr>
          <w:rFonts w:ascii="宋体" w:eastAsia="宋体" w:hAnsi="宋体" w:cs="宋体" w:hint="eastAsia"/>
          <w:kern w:val="2"/>
          <w:sz w:val="21"/>
          <w:szCs w:val="21"/>
          <w:lang w:eastAsia="zh-CN"/>
        </w:rPr>
        <w:t>资格审查页面查看电子</w:t>
      </w:r>
      <w:r>
        <w:rPr>
          <w:rFonts w:ascii="宋体" w:eastAsia="宋体" w:hAnsi="宋体" w:cs="宋体" w:hint="eastAsia"/>
          <w:kern w:val="2"/>
          <w:sz w:val="21"/>
          <w:szCs w:val="21"/>
          <w:lang w:eastAsia="zh-CN"/>
        </w:rPr>
        <w:t>担保公司保函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电子担保公司保函通过其他</w:t>
      </w:r>
      <w:r>
        <w:rPr>
          <w:rFonts w:ascii="宋体" w:eastAsia="宋体" w:hAnsi="宋体" w:cs="宋体" w:hint="eastAsia"/>
          <w:sz w:val="21"/>
          <w:szCs w:val="21"/>
          <w:lang w:eastAsia="zh-CN"/>
        </w:rPr>
        <w:t>平台出具的，应参照前述纸质担保公司保函的要求，将相关材料编入投标文件中。</w:t>
      </w:r>
    </w:p>
    <w:p w14:paraId="5D2669AA">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.3投标保函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保证保险</w:t>
      </w:r>
      <w:r>
        <w:rPr>
          <w:rFonts w:ascii="宋体" w:eastAsia="宋体" w:hAnsi="宋体" w:cs="宋体" w:hint="eastAsia"/>
          <w:kern w:val="2"/>
          <w:sz w:val="21"/>
          <w:szCs w:val="21"/>
          <w:lang w:eastAsia="zh-CN"/>
        </w:rPr>
        <w:t>的格式见第</w:t>
      </w:r>
      <w:r>
        <w:rPr>
          <w:rFonts w:ascii="宋体" w:eastAsia="宋体" w:hAnsi="宋体" w:cs="宋体" w:hint="eastAsia"/>
          <w:kern w:val="2"/>
          <w:sz w:val="21"/>
          <w:szCs w:val="21"/>
          <w:lang w:eastAsia="zh-CN"/>
        </w:rPr>
        <w:t>四</w:t>
      </w:r>
      <w:r>
        <w:rPr>
          <w:rFonts w:ascii="宋体" w:eastAsia="宋体" w:hAnsi="宋体" w:cs="宋体" w:hint="eastAsia"/>
          <w:kern w:val="2"/>
          <w:sz w:val="21"/>
          <w:szCs w:val="21"/>
          <w:lang w:eastAsia="zh-CN"/>
        </w:rPr>
        <w:t>章--投标文件格式。如果投标人不采用参考格式的投标保函，拟采用的投标保函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保证保险</w:t>
      </w:r>
      <w:r>
        <w:rPr>
          <w:rFonts w:ascii="宋体" w:eastAsia="宋体" w:hAnsi="宋体" w:cs="宋体" w:hint="eastAsia"/>
          <w:kern w:val="2"/>
          <w:sz w:val="21"/>
          <w:szCs w:val="21"/>
          <w:lang w:eastAsia="zh-CN"/>
        </w:rPr>
        <w:t>应符合参考格式中对实质性内容的要求，并且须经过招标人确认同意。投标保函</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保证保险</w:t>
      </w:r>
      <w:r>
        <w:rPr>
          <w:rFonts w:ascii="宋体" w:eastAsia="宋体" w:hAnsi="宋体" w:cs="宋体" w:hint="eastAsia"/>
          <w:kern w:val="2"/>
          <w:sz w:val="21"/>
          <w:szCs w:val="21"/>
          <w:lang w:eastAsia="zh-CN"/>
        </w:rPr>
        <w:t>应在投标有效期满后28天内继续有效。</w:t>
      </w:r>
    </w:p>
    <w:p w14:paraId="2E692EC8">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.4</w:t>
      </w:r>
      <w:r>
        <w:rPr>
          <w:rFonts w:ascii="宋体" w:eastAsia="宋体" w:hAnsi="宋体" w:cs="宋体" w:hint="eastAsia"/>
          <w:kern w:val="2"/>
          <w:sz w:val="21"/>
          <w:szCs w:val="21"/>
          <w:lang w:eastAsia="zh-CN"/>
        </w:rPr>
        <w:t xml:space="preserve"> </w:t>
      </w:r>
      <w:r>
        <w:rPr>
          <w:rFonts w:ascii="宋体" w:eastAsia="宋体" w:hAnsi="宋体" w:cs="宋体" w:hint="eastAsia"/>
          <w:kern w:val="2"/>
          <w:sz w:val="21"/>
          <w:szCs w:val="21"/>
          <w:lang w:eastAsia="zh-CN"/>
        </w:rPr>
        <w:t>对于未能按要求提交投标担保的，投标文件将按有关条款不予受理。</w:t>
      </w:r>
    </w:p>
    <w:p w14:paraId="3DFBA2E1">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5</w:t>
      </w:r>
      <w:r>
        <w:rPr>
          <w:rFonts w:ascii="宋体" w:eastAsia="宋体" w:hAnsi="宋体" w:cs="宋体" w:hint="eastAsia"/>
          <w:kern w:val="2"/>
          <w:sz w:val="21"/>
          <w:szCs w:val="21"/>
          <w:lang w:eastAsia="zh-CN"/>
        </w:rPr>
        <w:t>未中标的投标人的投标担保将按照招标人规定的投标有效期或经投标人同意的延长的投标有效期期满后7天内予以退还。</w:t>
      </w:r>
    </w:p>
    <w:p w14:paraId="45A82AD3">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6</w:t>
      </w:r>
      <w:r>
        <w:rPr>
          <w:rFonts w:ascii="宋体" w:eastAsia="宋体" w:hAnsi="宋体" w:cs="宋体" w:hint="eastAsia"/>
          <w:kern w:val="2"/>
          <w:sz w:val="21"/>
          <w:szCs w:val="21"/>
          <w:lang w:eastAsia="zh-CN"/>
        </w:rPr>
        <w:t>出现下列情形之一时，招标人应当在7天内退还投标人的投标担保：</w:t>
      </w:r>
    </w:p>
    <w:p w14:paraId="77DEA1B2">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6</w:t>
      </w:r>
      <w:r>
        <w:rPr>
          <w:rFonts w:ascii="宋体" w:eastAsia="宋体" w:hAnsi="宋体" w:cs="宋体" w:hint="eastAsia"/>
          <w:kern w:val="2"/>
          <w:sz w:val="21"/>
          <w:szCs w:val="21"/>
          <w:lang w:eastAsia="zh-CN"/>
        </w:rPr>
        <w:t>.1中标通知书发出，中标人签订了工程承包合同；</w:t>
      </w:r>
    </w:p>
    <w:p w14:paraId="69A2FFF8">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6</w:t>
      </w:r>
      <w:r>
        <w:rPr>
          <w:rFonts w:ascii="宋体" w:eastAsia="宋体" w:hAnsi="宋体" w:cs="宋体" w:hint="eastAsia"/>
          <w:kern w:val="2"/>
          <w:sz w:val="21"/>
          <w:szCs w:val="21"/>
          <w:lang w:eastAsia="zh-CN"/>
        </w:rPr>
        <w:t>.2招标过程中招标活动因正当理由被招标人宣布终止；</w:t>
      </w:r>
    </w:p>
    <w:p w14:paraId="50707B52">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6</w:t>
      </w:r>
      <w:r>
        <w:rPr>
          <w:rFonts w:ascii="宋体" w:eastAsia="宋体" w:hAnsi="宋体" w:cs="宋体" w:hint="eastAsia"/>
          <w:kern w:val="2"/>
          <w:sz w:val="21"/>
          <w:szCs w:val="21"/>
          <w:lang w:eastAsia="zh-CN"/>
        </w:rPr>
        <w:t>.3招标失败需重新组织招标；</w:t>
      </w:r>
    </w:p>
    <w:p w14:paraId="7EB122CF">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6</w:t>
      </w:r>
      <w:r>
        <w:rPr>
          <w:rFonts w:ascii="宋体" w:eastAsia="宋体" w:hAnsi="宋体" w:cs="宋体" w:hint="eastAsia"/>
          <w:kern w:val="2"/>
          <w:sz w:val="21"/>
          <w:szCs w:val="21"/>
          <w:lang w:eastAsia="zh-CN"/>
        </w:rPr>
        <w:t>.4投标有效期满而投标人不同意作出延长。</w:t>
      </w:r>
    </w:p>
    <w:p w14:paraId="09D55441">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 xml:space="preserve">7 </w:t>
      </w:r>
      <w:r>
        <w:rPr>
          <w:rFonts w:ascii="宋体" w:eastAsia="宋体" w:hAnsi="宋体" w:cs="宋体" w:hint="eastAsia"/>
          <w:kern w:val="2"/>
          <w:sz w:val="21"/>
          <w:szCs w:val="21"/>
          <w:lang w:eastAsia="zh-CN"/>
        </w:rPr>
        <w:t>投标人有下列任何情况发生时，投标担保将被没收。给招标人造成的损失超过投标担保金额的，投标人还应当对超过部分给予赔偿。</w:t>
      </w:r>
    </w:p>
    <w:p w14:paraId="649408DB">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7</w:t>
      </w:r>
      <w:r>
        <w:rPr>
          <w:rFonts w:ascii="宋体" w:eastAsia="宋体" w:hAnsi="宋体" w:cs="宋体" w:hint="eastAsia"/>
          <w:kern w:val="2"/>
          <w:sz w:val="21"/>
          <w:szCs w:val="21"/>
          <w:lang w:eastAsia="zh-CN"/>
        </w:rPr>
        <w:t>.1投标人有弄虚作假或串通投标等违法违规行为；</w:t>
      </w:r>
    </w:p>
    <w:p w14:paraId="064FD2C6">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7</w:t>
      </w:r>
      <w:r>
        <w:rPr>
          <w:rFonts w:ascii="宋体" w:eastAsia="宋体" w:hAnsi="宋体" w:cs="宋体" w:hint="eastAsia"/>
          <w:kern w:val="2"/>
          <w:sz w:val="21"/>
          <w:szCs w:val="21"/>
          <w:lang w:eastAsia="zh-CN"/>
        </w:rPr>
        <w:t>.2投标人在投标有效期内撤回其投标文件；</w:t>
      </w:r>
    </w:p>
    <w:p w14:paraId="35A7843A">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7</w:t>
      </w:r>
      <w:r>
        <w:rPr>
          <w:rFonts w:ascii="宋体" w:eastAsia="宋体" w:hAnsi="宋体" w:cs="宋体" w:hint="eastAsia"/>
          <w:kern w:val="2"/>
          <w:sz w:val="21"/>
          <w:szCs w:val="21"/>
          <w:lang w:eastAsia="zh-CN"/>
        </w:rPr>
        <w:t>.3中标人无正当理由不与招标人订立合同，在签订合同时向招标人提出附加条件，或者不按照招标文件要求提交履约保证金的；</w:t>
      </w:r>
    </w:p>
    <w:p w14:paraId="2E36820F">
      <w:pPr>
        <w:widowControl w:val="0"/>
        <w:adjustRightInd w:val="0"/>
        <w:snapToGrid w:val="0"/>
        <w:spacing w:line="360" w:lineRule="auto"/>
        <w:ind w:firstLine="420" w:firstLineChars="200"/>
        <w:jc w:val="left"/>
        <w:rPr>
          <w:rFonts w:ascii="宋体" w:eastAsia="宋体" w:hAnsi="宋体" w:cs="宋体" w:hint="eastAsia"/>
          <w:strike/>
          <w:kern w:val="2"/>
          <w:sz w:val="21"/>
          <w:szCs w:val="21"/>
          <w:lang w:eastAsia="zh-CN"/>
        </w:rPr>
      </w:pPr>
      <w:r>
        <w:rPr>
          <w:rFonts w:ascii="宋体" w:eastAsia="宋体" w:hAnsi="宋体" w:cs="宋体" w:hint="eastAsia"/>
          <w:kern w:val="2"/>
          <w:sz w:val="21"/>
          <w:szCs w:val="21"/>
          <w:lang w:eastAsia="zh-CN"/>
        </w:rPr>
        <w:t>15</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7</w:t>
      </w:r>
      <w:r>
        <w:rPr>
          <w:rFonts w:ascii="宋体" w:eastAsia="宋体" w:hAnsi="宋体" w:cs="宋体" w:hint="eastAsia"/>
          <w:kern w:val="2"/>
          <w:sz w:val="21"/>
          <w:szCs w:val="21"/>
          <w:lang w:eastAsia="zh-CN"/>
        </w:rPr>
        <w:t>.4投标人资质证书或安全生产许可证被暂扣或吊销，但仍参与投标的。</w:t>
      </w:r>
    </w:p>
    <w:p w14:paraId="2B9A723B">
      <w:pPr>
        <w:widowControl w:val="0"/>
        <w:topLinePunct/>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b/>
          <w:sz w:val="21"/>
          <w:szCs w:val="21"/>
          <w:lang w:eastAsia="zh-CN"/>
        </w:rPr>
        <w:t>16.投标文件的编制</w:t>
      </w:r>
    </w:p>
    <w:p w14:paraId="1E92EF8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16.1投标人应认真阅读招标文件的全部内容（包括招标文件的补充、修改及澄清文件），并严格履行招标文件的各项规定、要求。如果投标人不能履行招标文件的规定和要求，或者随投标文件提供的证明材料不能对招标文件的要求作出实质性响应，可能导致其投标被拒绝。</w:t>
      </w:r>
    </w:p>
    <w:p w14:paraId="3A7C2456">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16.2投标人应按照招标文件的要求编制投标文件。投标文件中所引用的顺序和编号应与招标文件一致，但可以增加说明或描述性文字。投标文件对招标文件未提出异议的条款，均被视为接受和同意。投标文件与招标文件的任何差异之处，均应在“资信要求响应表”、“合同要求响应表”和“技术性能响应表”中列出。</w:t>
      </w:r>
    </w:p>
    <w:p w14:paraId="5C7D8B6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16.3投标人应按招标文件要求提供资料，投标文件均使用中文文本；对不同文字文本的资料解释发生异议的，以中文文本为准。</w:t>
      </w:r>
    </w:p>
    <w:p w14:paraId="2870B4AB">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16.4除商务标以外，在其他标书内不得包含任何有关投标价格信息的（适用于二阶段开标的）。否则，其投标将会被拒绝。</w:t>
      </w:r>
    </w:p>
    <w:p w14:paraId="11241271">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17．投标文件的提交和截标时投标文件的数量要求</w:t>
      </w:r>
    </w:p>
    <w:p w14:paraId="6A2554A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17.1投标截止时间和地点。投标人应根据“投标须知前附表”的规定，在投标截止时间前将投标文件送达指定地点。</w:t>
      </w:r>
    </w:p>
    <w:p w14:paraId="42A3267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17.2截标时递交标书的投标人数量不足3名的，招标人将按法律法规的规定暂停开标和评标程序。如导致招标失败，招标人将不负担因此给投标人造成的损失。</w:t>
      </w:r>
    </w:p>
    <w:p w14:paraId="10EE0F82">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17.3联合体投标的工程，联合体主体单位应在投标时录入已进行企业信息登记的联合体其他成员单位。</w:t>
      </w:r>
    </w:p>
    <w:p w14:paraId="156C4245">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18.投标文件的修改或撤回</w:t>
      </w:r>
    </w:p>
    <w:p w14:paraId="2F3DF23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18.1投标人已提交投标文件，规定的投标截止时间还未到，投标人可对其投标文件修改或撤回。</w:t>
      </w:r>
    </w:p>
    <w:p w14:paraId="2D3C03A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18.2投标截止时间之后至投标文件有效期终止之前，投标人不得要求撤回其投标。在此期间撤回投标的，其投标担保将会被没收。</w:t>
      </w:r>
    </w:p>
    <w:p w14:paraId="2E294F8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18.3评标结束后，不论中标与否，投标人均不得收回投标文件。</w:t>
      </w:r>
    </w:p>
    <w:p w14:paraId="5B8584CD">
      <w:pPr>
        <w:widowControl w:val="0"/>
        <w:spacing w:line="360" w:lineRule="auto"/>
        <w:ind w:left="2520" w:firstLine="420"/>
        <w:jc w:val="both"/>
        <w:outlineLvl w:val="2"/>
        <w:rPr>
          <w:rFonts w:ascii="宋体" w:eastAsia="宋体" w:hAnsi="宋体" w:cs="宋体" w:hint="eastAsia"/>
          <w:bCs/>
          <w:snapToGrid w:val="0"/>
          <w:sz w:val="30"/>
          <w:szCs w:val="22"/>
          <w:lang w:eastAsia="zh-CN"/>
        </w:rPr>
      </w:pPr>
      <w:bookmarkStart w:id="27" w:name="_Toc31344"/>
      <w:bookmarkStart w:id="28" w:name="_Toc12238"/>
      <w:r>
        <w:rPr>
          <w:rFonts w:ascii="宋体" w:eastAsia="宋体" w:hAnsi="宋体" w:cs="宋体" w:hint="eastAsia"/>
          <w:bCs/>
          <w:snapToGrid w:val="0"/>
          <w:sz w:val="30"/>
          <w:szCs w:val="22"/>
          <w:lang w:eastAsia="zh-CN"/>
        </w:rPr>
        <w:t>（三）资格后审</w:t>
      </w:r>
      <w:bookmarkEnd w:id="27"/>
      <w:bookmarkEnd w:id="28"/>
    </w:p>
    <w:p w14:paraId="06F3C784">
      <w:pPr>
        <w:widowControl w:val="0"/>
        <w:spacing w:line="360" w:lineRule="auto"/>
        <w:ind w:firstLine="420" w:firstLineChars="200"/>
        <w:jc w:val="left"/>
        <w:rPr>
          <w:rFonts w:ascii="宋体" w:eastAsia="宋体" w:hAnsi="宋体" w:cs="宋体" w:hint="eastAsia"/>
          <w:b/>
          <w:kern w:val="2"/>
          <w:sz w:val="21"/>
          <w:szCs w:val="21"/>
          <w:lang w:eastAsia="zh-CN"/>
        </w:rPr>
      </w:pPr>
      <w:bookmarkStart w:id="29" w:name="_Toc17109"/>
      <w:r>
        <w:rPr>
          <w:rFonts w:ascii="宋体" w:eastAsia="宋体" w:hAnsi="宋体" w:cs="宋体" w:hint="eastAsia"/>
          <w:b/>
          <w:kern w:val="2"/>
          <w:sz w:val="21"/>
          <w:szCs w:val="21"/>
          <w:lang w:eastAsia="zh-CN"/>
        </w:rPr>
        <w:t>19.</w:t>
      </w:r>
      <w:r>
        <w:rPr>
          <w:rFonts w:ascii="宋体" w:eastAsia="宋体" w:hAnsi="宋体" w:cs="宋体" w:hint="eastAsia"/>
          <w:b/>
          <w:bCs/>
          <w:sz w:val="21"/>
          <w:szCs w:val="21"/>
          <w:lang w:eastAsia="zh-CN"/>
        </w:rPr>
        <w:t>资格后审</w:t>
      </w:r>
      <w:r>
        <w:rPr>
          <w:rFonts w:ascii="宋体" w:eastAsia="宋体" w:hAnsi="宋体" w:cs="宋体" w:hint="eastAsia"/>
          <w:b/>
          <w:kern w:val="2"/>
          <w:sz w:val="21"/>
          <w:szCs w:val="21"/>
          <w:lang w:eastAsia="zh-CN"/>
        </w:rPr>
        <w:t>：</w:t>
      </w:r>
    </w:p>
    <w:p w14:paraId="53D47AE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19.1</w:t>
      </w:r>
      <w:r>
        <w:rPr>
          <w:rFonts w:ascii="宋体" w:eastAsia="宋体" w:hAnsi="宋体" w:cs="宋体" w:hint="eastAsia"/>
          <w:sz w:val="21"/>
          <w:szCs w:val="21"/>
          <w:lang w:eastAsia="zh-CN"/>
        </w:rPr>
        <w:t>资格审查由招标人组成的资格后审委员会负责，在截标后招标人</w:t>
      </w:r>
      <w:r>
        <w:rPr>
          <w:rFonts w:ascii="宋体" w:eastAsia="宋体" w:hAnsi="宋体" w:cs="宋体" w:hint="eastAsia"/>
          <w:sz w:val="21"/>
          <w:szCs w:val="21"/>
          <w:lang w:eastAsia="zh-CN"/>
        </w:rPr>
        <w:t>登录</w:t>
      </w:r>
      <w:r>
        <w:rPr>
          <w:rFonts w:ascii="宋体" w:eastAsia="宋体" w:hAnsi="宋体" w:cs="宋体" w:hint="eastAsia"/>
          <w:sz w:val="21"/>
          <w:szCs w:val="21"/>
          <w:lang w:eastAsia="zh-CN"/>
        </w:rPr>
        <w:t>交易网</w:t>
      </w:r>
      <w:r>
        <w:rPr>
          <w:rFonts w:ascii="宋体" w:eastAsia="宋体" w:hAnsi="宋体" w:cs="宋体" w:hint="eastAsia"/>
          <w:sz w:val="21"/>
          <w:szCs w:val="21"/>
          <w:lang w:eastAsia="zh-CN"/>
        </w:rPr>
        <w:t>对各投标人资格进行审查。</w:t>
      </w:r>
    </w:p>
    <w:p w14:paraId="608D2A42">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19.2资格后审委员会由3名以上单数的招标人代表组成，招标代理人员参与资格审查的，其人员不得超过总人数的1/3。</w:t>
      </w:r>
    </w:p>
    <w:p w14:paraId="3C58D86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19.3资格后审委员严格对照招标公告中要求的投标人资格条件，逐个审查投标人递交的资格审查文件，审核判断投标人是否满足该资格条件。</w:t>
      </w:r>
    </w:p>
    <w:p w14:paraId="0B967B22">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19.4审查过程中如出现疑问，资格后审委员可要求投标人进行澄清说明，并根据招标公告设置的条件要求进行判断；如出现投标人资格不符合招标公告设置条件的，应当向投标人说明情况，并允许投标人答辩，记录有关情况。</w:t>
      </w:r>
    </w:p>
    <w:p w14:paraId="1151B3F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19.5拟进行资格后审澄清、答辩的代表由招标人核对身份。</w:t>
      </w:r>
    </w:p>
    <w:p w14:paraId="7D6FEF4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19.6资格后审委员会要求投标人进行澄清、答辩，但投标人在招标人规定时间内未派出人员及时作出澄清、答辩的，资格后审委员会将可能作出不利于投标人的判定。</w:t>
      </w:r>
    </w:p>
    <w:p w14:paraId="4A9A2DA4">
      <w:pPr>
        <w:widowControl w:val="0"/>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19.7全部投标人的资格审查材料审查完毕后，资格后审委员会出具资格审查报告，并按规定将审查结果进行公示，同时由系统直接将所有投标人的</w:t>
      </w:r>
      <w:r>
        <w:rPr>
          <w:rFonts w:ascii="宋体" w:eastAsia="宋体" w:hAnsi="宋体" w:cs="宋体" w:hint="eastAsia"/>
          <w:kern w:val="2"/>
          <w:sz w:val="21"/>
          <w:szCs w:val="21"/>
          <w:lang w:eastAsia="zh-CN"/>
        </w:rPr>
        <w:t>业绩文件</w:t>
      </w:r>
      <w:r>
        <w:rPr>
          <w:rFonts w:ascii="宋体" w:eastAsia="宋体" w:hAnsi="宋体" w:cs="宋体" w:hint="eastAsia"/>
          <w:kern w:val="2"/>
          <w:sz w:val="21"/>
          <w:szCs w:val="21"/>
          <w:lang w:eastAsia="zh-CN"/>
        </w:rPr>
        <w:t>内容公示。资格审查合格投标人少于3家的，不再进行后续招标投标程序。资格审查结果应当在交易网公示不少于3个工作日。</w:t>
      </w:r>
    </w:p>
    <w:p w14:paraId="4B0DF1B2">
      <w:pPr>
        <w:widowControl w:val="0"/>
        <w:spacing w:line="360" w:lineRule="auto"/>
        <w:ind w:left="3362" w:firstLine="420"/>
        <w:jc w:val="both"/>
        <w:rPr>
          <w:rFonts w:ascii="宋体" w:eastAsia="宋体" w:hAnsi="宋体" w:cs="宋体" w:hint="eastAsia"/>
          <w:b/>
          <w:snapToGrid w:val="0"/>
          <w:sz w:val="30"/>
          <w:szCs w:val="22"/>
          <w:lang w:eastAsia="zh-CN"/>
        </w:rPr>
      </w:pPr>
    </w:p>
    <w:bookmarkEnd w:id="29"/>
    <w:p w14:paraId="48764DF5">
      <w:pPr>
        <w:widowControl w:val="0"/>
        <w:spacing w:line="360" w:lineRule="auto"/>
        <w:jc w:val="center"/>
        <w:outlineLvl w:val="2"/>
        <w:rPr>
          <w:rFonts w:ascii="宋体" w:eastAsia="宋体" w:hAnsi="宋体" w:cs="宋体" w:hint="eastAsia"/>
          <w:bCs/>
          <w:kern w:val="2"/>
          <w:sz w:val="30"/>
          <w:szCs w:val="22"/>
          <w:lang w:eastAsia="zh-CN"/>
        </w:rPr>
      </w:pPr>
      <w:bookmarkStart w:id="30" w:name="_Toc25063"/>
      <w:bookmarkStart w:id="31" w:name="_Toc8924"/>
      <w:bookmarkStart w:id="32" w:name="_Toc4913"/>
      <w:bookmarkStart w:id="33" w:name="_Toc4019"/>
      <w:bookmarkStart w:id="34" w:name="_Toc30071"/>
      <w:bookmarkStart w:id="35" w:name="_Toc1338"/>
      <w:bookmarkStart w:id="36" w:name="_Toc29818"/>
      <w:bookmarkStart w:id="37" w:name="_Toc21176"/>
      <w:bookmarkStart w:id="38" w:name="_Toc8901"/>
      <w:bookmarkStart w:id="39" w:name="_Toc30062"/>
      <w:bookmarkStart w:id="40" w:name="_Toc4250"/>
      <w:bookmarkStart w:id="41" w:name="_Toc28470"/>
      <w:r>
        <w:rPr>
          <w:rFonts w:ascii="宋体" w:eastAsia="宋体" w:hAnsi="宋体" w:cs="宋体" w:hint="eastAsia"/>
          <w:bCs/>
          <w:kern w:val="2"/>
          <w:sz w:val="30"/>
          <w:szCs w:val="22"/>
          <w:lang w:eastAsia="zh-CN"/>
        </w:rPr>
        <w:t>（四）开标</w:t>
      </w:r>
      <w:bookmarkEnd w:id="30"/>
      <w:bookmarkEnd w:id="31"/>
      <w:bookmarkEnd w:id="32"/>
      <w:bookmarkEnd w:id="33"/>
      <w:bookmarkEnd w:id="34"/>
      <w:bookmarkEnd w:id="35"/>
      <w:bookmarkEnd w:id="36"/>
      <w:bookmarkEnd w:id="37"/>
      <w:bookmarkEnd w:id="38"/>
      <w:bookmarkEnd w:id="39"/>
      <w:bookmarkEnd w:id="40"/>
    </w:p>
    <w:p w14:paraId="4E3E9EAC">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20.开标</w:t>
      </w:r>
    </w:p>
    <w:p w14:paraId="344F565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20.1开标会议由招标人在交易网进行，投标人现场参加开标会的必须是法定代表人或投标员，并必须遵守办理程序及人员身份的相关规定。</w:t>
      </w:r>
    </w:p>
    <w:p w14:paraId="4673E99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20.2资格后审不合格的投标人的投标文件将不再进入下一步开标程序。</w:t>
      </w:r>
    </w:p>
    <w:p w14:paraId="7C43045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20.3开标时，招标人需按开标程序分步对电子投标文件各部分进行导入；如电子投标文件已加密的，也必须按开标程序分步对电子投标文件各部分进行解密。</w:t>
      </w:r>
    </w:p>
    <w:p w14:paraId="7EE3D1A4">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20.4按招标文件规定宣布为不予受理情形的投标文件，不予送交评标委员会评审。</w:t>
      </w:r>
    </w:p>
    <w:p w14:paraId="61ED316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20.5招标人应对开标过程进行记录，以存档备查。</w:t>
      </w:r>
    </w:p>
    <w:p w14:paraId="3D22651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20.6对于开标后合格的投标人数量超过20名的，招标人可以按规定将进入评标环节的投标人数量淘汰至15至20名。</w:t>
      </w:r>
    </w:p>
    <w:p w14:paraId="76ABBA1D">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kern w:val="2"/>
          <w:sz w:val="21"/>
          <w:szCs w:val="21"/>
          <w:lang w:eastAsia="zh-CN"/>
        </w:rPr>
        <w:t>招标人应结合项目实际，提前制定规则清晰、可操作性强的过多投标人淘汰方案，纳入招标文件并予以公开。</w:t>
      </w:r>
      <w:r>
        <w:rPr>
          <w:rFonts w:ascii="宋体" w:eastAsia="宋体" w:hAnsi="宋体" w:cs="宋体" w:hint="eastAsia"/>
          <w:kern w:val="2"/>
          <w:sz w:val="21"/>
          <w:szCs w:val="21"/>
          <w:lang w:eastAsia="zh-CN"/>
        </w:rPr>
        <w:t>根据《中共深圳市委办公厅 深圳市人民政府办公厅印发&lt;关于促进民营经济做大做优做强的若干措施&gt;的通知》，招标人对资格审查合格的投标人应当采取国有和民营分类的方式进行入围淘汰，原则上民营企业入围数量占比不低于三分之一，参与投标的民营企业数量不足或者经评审无法满足招标要求的情形除外。</w:t>
      </w:r>
    </w:p>
    <w:p w14:paraId="29386B35">
      <w:pPr>
        <w:widowControl w:val="0"/>
        <w:adjustRightInd w:val="0"/>
        <w:snapToGrid w:val="0"/>
        <w:spacing w:line="360" w:lineRule="auto"/>
        <w:ind w:firstLine="420" w:firstLineChars="200"/>
        <w:jc w:val="both"/>
        <w:rPr>
          <w:rFonts w:ascii="宋体" w:eastAsia="宋体" w:hAnsi="宋体" w:cs="宋体" w:hint="eastAsia"/>
          <w:strike/>
          <w:sz w:val="21"/>
          <w:szCs w:val="21"/>
          <w:lang w:eastAsia="zh-CN"/>
        </w:rPr>
      </w:pPr>
      <w:r>
        <w:rPr>
          <w:rFonts w:ascii="宋体" w:eastAsia="宋体" w:hAnsi="宋体" w:cs="宋体" w:hint="eastAsia"/>
          <w:sz w:val="21"/>
          <w:szCs w:val="21"/>
          <w:lang w:eastAsia="zh-CN"/>
        </w:rPr>
        <w:t>20.7招标人在过多投标人淘汰环节应当采用票决法进行择优</w:t>
      </w:r>
      <w:r>
        <w:rPr>
          <w:rFonts w:ascii="宋体" w:eastAsia="宋体" w:hAnsi="宋体" w:cs="宋体" w:hint="eastAsia"/>
          <w:sz w:val="21"/>
          <w:szCs w:val="21"/>
          <w:lang w:eastAsia="zh-CN"/>
        </w:rPr>
        <w:t>，</w:t>
      </w:r>
      <w:r>
        <w:rPr>
          <w:rFonts w:ascii="宋体" w:eastAsia="宋体" w:hAnsi="宋体" w:cs="宋体" w:hint="eastAsia"/>
          <w:kern w:val="2"/>
          <w:sz w:val="21"/>
          <w:szCs w:val="21"/>
          <w:lang w:eastAsia="zh-CN"/>
        </w:rPr>
        <w:t>并在</w:t>
      </w:r>
      <w:r>
        <w:rPr>
          <w:rFonts w:ascii="宋体" w:eastAsia="宋体" w:hAnsi="宋体" w:cs="宋体" w:hint="eastAsia"/>
          <w:kern w:val="2"/>
          <w:sz w:val="21"/>
          <w:szCs w:val="21"/>
          <w:lang w:eastAsia="zh-CN"/>
        </w:rPr>
        <w:t>过多投标人淘汰方案中合规合理设置择优因素，明确各择优因素的优先程度。</w:t>
      </w:r>
      <w:r>
        <w:rPr>
          <w:rFonts w:ascii="宋体" w:eastAsia="宋体" w:hAnsi="宋体" w:cs="宋体" w:hint="eastAsia"/>
          <w:kern w:val="2"/>
          <w:sz w:val="21"/>
          <w:szCs w:val="21"/>
          <w:lang w:eastAsia="zh-CN"/>
        </w:rPr>
        <w:t>择优因素综合考虑拟派项目</w:t>
      </w:r>
      <w:r>
        <w:rPr>
          <w:rFonts w:ascii="宋体" w:eastAsia="宋体" w:hAnsi="宋体" w:cs="宋体" w:hint="eastAsia"/>
          <w:kern w:val="2"/>
          <w:sz w:val="21"/>
          <w:szCs w:val="21"/>
          <w:lang w:eastAsia="zh-CN"/>
        </w:rPr>
        <w:t>负责人</w:t>
      </w:r>
      <w:r>
        <w:rPr>
          <w:rFonts w:ascii="宋体" w:eastAsia="宋体" w:hAnsi="宋体" w:cs="宋体" w:hint="eastAsia"/>
          <w:kern w:val="2"/>
          <w:sz w:val="21"/>
          <w:szCs w:val="21"/>
          <w:lang w:eastAsia="zh-CN"/>
        </w:rPr>
        <w:t>及管理团队成员的资历、能力、信誉，企业资质、业绩、履约以及投标报价等情况。严禁将注册地址、所有制性质、特定行政区域或者特定行业的业绩或奖项、设立本地分支机构、本地缴纳税收社保等作为择优因素。</w:t>
      </w:r>
      <w:r>
        <w:rPr>
          <w:rFonts w:ascii="宋体" w:eastAsia="宋体" w:hAnsi="宋体" w:cs="宋体" w:hint="eastAsia"/>
          <w:sz w:val="21"/>
          <w:szCs w:val="21"/>
          <w:lang w:eastAsia="zh-CN"/>
        </w:rPr>
        <w:t>招标人可以根据项目实际情况增加择优因素，也可以综合考虑择优因素或按择优因素的重要性，对投标人进行逐级淘汰。</w:t>
      </w:r>
    </w:p>
    <w:p w14:paraId="4A0D6FAA">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20.8招标人应对开标过程进行记录，以存档备查。开标及入围结果应当在交易网进行公示。</w:t>
      </w:r>
    </w:p>
    <w:p w14:paraId="7B73818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20.9招标人在</w:t>
      </w:r>
      <w:r>
        <w:rPr>
          <w:rFonts w:ascii="宋体" w:eastAsia="宋体" w:hAnsi="宋体" w:cs="宋体" w:hint="eastAsia"/>
          <w:kern w:val="2"/>
          <w:sz w:val="21"/>
          <w:szCs w:val="21"/>
          <w:lang w:eastAsia="zh-CN"/>
        </w:rPr>
        <w:t>深圳交易集团有限公司（深圳公共资源交易中心）</w:t>
      </w:r>
      <w:r>
        <w:rPr>
          <w:rFonts w:ascii="宋体" w:eastAsia="宋体" w:hAnsi="宋体" w:cs="宋体" w:hint="eastAsia"/>
          <w:sz w:val="21"/>
          <w:szCs w:val="21"/>
          <w:lang w:eastAsia="zh-CN"/>
        </w:rPr>
        <w:t>现场组织的开标会应遵循《会议管理规定》及《开标会程序》的相关规定。</w:t>
      </w:r>
    </w:p>
    <w:p w14:paraId="36487D11">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21.投标文件不予受理的情形（详见投标文件否决性条款第一条）。</w:t>
      </w:r>
    </w:p>
    <w:bookmarkEnd w:id="41"/>
    <w:p w14:paraId="564C476C">
      <w:pPr>
        <w:widowControl w:val="0"/>
        <w:spacing w:line="360" w:lineRule="auto"/>
        <w:jc w:val="center"/>
        <w:outlineLvl w:val="2"/>
        <w:rPr>
          <w:rFonts w:ascii="宋体" w:eastAsia="宋体" w:hAnsi="宋体" w:cs="宋体" w:hint="eastAsia"/>
          <w:bCs/>
          <w:kern w:val="2"/>
          <w:sz w:val="30"/>
          <w:szCs w:val="22"/>
          <w:lang w:eastAsia="zh-CN"/>
        </w:rPr>
      </w:pPr>
      <w:bookmarkStart w:id="42" w:name="_Toc21214"/>
      <w:bookmarkStart w:id="43" w:name="_Toc22821"/>
      <w:r>
        <w:rPr>
          <w:rFonts w:ascii="宋体" w:eastAsia="宋体" w:hAnsi="宋体" w:cs="宋体" w:hint="eastAsia"/>
          <w:bCs/>
          <w:kern w:val="2"/>
          <w:sz w:val="30"/>
          <w:szCs w:val="22"/>
          <w:lang w:eastAsia="zh-CN"/>
        </w:rPr>
        <w:t>（五）评标</w:t>
      </w:r>
      <w:bookmarkEnd w:id="42"/>
      <w:bookmarkEnd w:id="43"/>
    </w:p>
    <w:p w14:paraId="5B27BC0A">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评标委员会应当根据“投标须知前附表”规定的评标方法，对投标文件进行评审和比较，招标文件中没有规定的标准和方法不得作为评标的依据。</w:t>
      </w:r>
      <w:r>
        <w:rPr>
          <w:rFonts w:ascii="宋体" w:eastAsia="宋体" w:hAnsi="宋体" w:cs="宋体" w:hint="eastAsia"/>
          <w:kern w:val="2"/>
          <w:sz w:val="21"/>
          <w:szCs w:val="21"/>
          <w:lang w:eastAsia="zh-CN"/>
        </w:rPr>
        <w:t>对招标文件规定的评标</w:t>
      </w:r>
      <w:r>
        <w:rPr>
          <w:rFonts w:ascii="宋体" w:eastAsia="宋体" w:hAnsi="宋体" w:cs="宋体" w:hint="eastAsia"/>
          <w:kern w:val="2"/>
          <w:sz w:val="21"/>
          <w:szCs w:val="21"/>
          <w:lang w:eastAsia="zh-CN"/>
        </w:rPr>
        <w:t>标准和方法</w:t>
      </w:r>
      <w:r>
        <w:rPr>
          <w:rFonts w:ascii="宋体" w:eastAsia="宋体" w:hAnsi="宋体" w:cs="宋体" w:hint="eastAsia"/>
          <w:kern w:val="2"/>
          <w:sz w:val="21"/>
          <w:szCs w:val="21"/>
          <w:lang w:eastAsia="zh-CN"/>
        </w:rPr>
        <w:t>等内容存在异议的，应提请招标人澄清说明，并在评标报告中记录有关情况。招标人应委派熟悉项目情况的工作人员跟进评标工作，并负责对招标文件有关内容进行解释。</w:t>
      </w:r>
    </w:p>
    <w:p w14:paraId="29249378">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 xml:space="preserve">22.评标委员会组建及职责 </w:t>
      </w:r>
    </w:p>
    <w:p w14:paraId="2541F28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22.1评标委员会组建方式：由招标人依法组建，负责评标活动。</w:t>
      </w:r>
      <w:r>
        <w:rPr>
          <w:rFonts w:ascii="宋体" w:eastAsia="宋体" w:hAnsi="宋体" w:cs="宋体" w:hint="eastAsia"/>
          <w:snapToGrid w:val="0"/>
          <w:sz w:val="21"/>
          <w:szCs w:val="18"/>
          <w:lang w:eastAsia="zh-CN"/>
        </w:rPr>
        <w:t>评标委员会的专家成员由招标人从评标专家库内按照专业随机抽取，评标委员会成员数量为5人以上单数，招标人可以委派一名代表。</w:t>
      </w:r>
    </w:p>
    <w:p w14:paraId="6CFF6B2C">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 xml:space="preserve"> 招标人代表应熟悉项目情况、掌握招标投标法律法规、能够熟练运用电子评标工具人员，且不得与投标人存在利害关系。</w:t>
      </w:r>
    </w:p>
    <w:p w14:paraId="75FEB965">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22.2</w:t>
      </w:r>
      <w:r>
        <w:rPr>
          <w:rFonts w:ascii="宋体" w:eastAsia="宋体" w:hAnsi="宋体" w:cs="宋体" w:hint="eastAsia"/>
          <w:kern w:val="2"/>
          <w:sz w:val="21"/>
          <w:szCs w:val="21"/>
          <w:lang w:eastAsia="zh-CN"/>
        </w:rPr>
        <w:t>评标委员会职责：评标委员会应根据招标文件规定的评标方法和标准，遵循公开、公正、公平、科学、择优的原则，对投标文件进行评审。评标委员会根据招标文件规定向招标人推荐合格投标人或中标候选人。</w:t>
      </w:r>
    </w:p>
    <w:p w14:paraId="1D81AF0C">
      <w:pPr>
        <w:widowControl w:val="0"/>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22.3</w:t>
      </w:r>
      <w:r>
        <w:rPr>
          <w:rFonts w:ascii="宋体" w:eastAsia="宋体" w:hAnsi="宋体" w:cs="宋体" w:hint="eastAsia"/>
          <w:kern w:val="2"/>
          <w:sz w:val="21"/>
          <w:szCs w:val="21"/>
          <w:lang w:eastAsia="zh-CN"/>
        </w:rPr>
        <w:t>评标委员会成员应认真、公正、诚实、廉洁、勤勉地履行专家职责，按时参加评标，严格遵守评标纪律，并对评标结果终身负责。</w:t>
      </w:r>
    </w:p>
    <w:p w14:paraId="64F63DE7">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 招标人代表应认真做好评标准备，仔细研读招标文件，充分掌握评标标准和推荐原则、可能低于成本或者影响履约的异常低价投标的识别处理要求、否决投标的情形和判定方式等。招标人代表在评标过程中，应当履行下列职责：</w:t>
      </w:r>
    </w:p>
    <w:p w14:paraId="66E73C84">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22.4.1公正独立地对投标文件进行评审和比较；</w:t>
      </w:r>
    </w:p>
    <w:p w14:paraId="39D2D1DA">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22.4.2发现评标专家存在发表倾向性意见、进行诱导性发言、不按招标文件规定的评标标准和方法评标等违规行为的，要予以提醒、劝阻，做好记录并向评标专家库组建单位和有关行政监督部门报告；</w:t>
      </w:r>
    </w:p>
    <w:p w14:paraId="71AAE617">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22.4.3发现投标人报价异常的，应当提议评标委员会进行研究，要求该投标人作出说明并提供相关证明材料；投标人不能合理说明、证明的，应当提出否决该投标的评标意见；</w:t>
      </w:r>
    </w:p>
    <w:p w14:paraId="4B59EDE3">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22.4.4发现投标人存在业绩造假、资质伪造、围标串标或者其他违法嫌疑的，要提议评标委员会按照法律法规和招标文件规定进行处理；达到招标文件规定的否决投标标准的，应当提出否决该投标的评标意见；</w:t>
      </w:r>
    </w:p>
    <w:p w14:paraId="0E80197A">
      <w:pPr>
        <w:widowControl w:val="0"/>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22.4.5其他招标人代表应当履行的职责。</w:t>
      </w:r>
    </w:p>
    <w:p w14:paraId="2B6111B8">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23.投标文件的初步评审</w:t>
      </w:r>
    </w:p>
    <w:p w14:paraId="11E5A1C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23.1计算机评标系统对投标文件进行自动清标分析，然后由评标委员会进行投标文件的初步评审。</w:t>
      </w:r>
    </w:p>
    <w:p w14:paraId="11836699">
      <w:pPr>
        <w:widowControl w:val="0"/>
        <w:adjustRightInd w:val="0"/>
        <w:snapToGrid w:val="0"/>
        <w:spacing w:line="360" w:lineRule="auto"/>
        <w:ind w:firstLine="420" w:firstLineChars="200"/>
        <w:jc w:val="both"/>
        <w:rPr>
          <w:rFonts w:ascii="宋体" w:eastAsia="宋体" w:hAnsi="宋体" w:cs="宋体" w:hint="eastAsia"/>
          <w:bCs/>
          <w:sz w:val="21"/>
          <w:szCs w:val="21"/>
          <w:lang w:eastAsia="zh-CN"/>
        </w:rPr>
      </w:pPr>
      <w:r>
        <w:rPr>
          <w:rFonts w:ascii="宋体" w:eastAsia="宋体" w:hAnsi="宋体" w:cs="宋体" w:hint="eastAsia"/>
          <w:sz w:val="21"/>
          <w:szCs w:val="21"/>
          <w:lang w:eastAsia="zh-CN"/>
        </w:rPr>
        <w:t>23.2投标文件初步评审</w:t>
      </w:r>
      <w:r>
        <w:rPr>
          <w:rFonts w:ascii="宋体" w:eastAsia="宋体" w:hAnsi="宋体" w:cs="宋体" w:hint="eastAsia"/>
          <w:bCs/>
          <w:sz w:val="21"/>
          <w:szCs w:val="21"/>
          <w:lang w:eastAsia="zh-CN"/>
        </w:rPr>
        <w:t>不合格的</w:t>
      </w:r>
      <w:r>
        <w:rPr>
          <w:rFonts w:ascii="宋体" w:eastAsia="宋体" w:hAnsi="宋体" w:cs="宋体" w:hint="eastAsia"/>
          <w:sz w:val="21"/>
          <w:szCs w:val="21"/>
          <w:lang w:eastAsia="zh-CN"/>
        </w:rPr>
        <w:t>，应参照投标文件否决性条款作无效标处理。</w:t>
      </w:r>
    </w:p>
    <w:p w14:paraId="270290D4">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24.投标文件的详细评审</w:t>
      </w:r>
    </w:p>
    <w:p w14:paraId="3E74394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评标委员会根据招标文件规定的评标方法和标准，对各投标人的投标文件分别进行详细评审。</w:t>
      </w:r>
    </w:p>
    <w:p w14:paraId="27AF597C">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25.投标文件的重大偏差</w:t>
      </w:r>
    </w:p>
    <w:p w14:paraId="0F5C7FAF">
      <w:pPr>
        <w:widowControl w:val="0"/>
        <w:spacing w:line="360" w:lineRule="auto"/>
        <w:ind w:firstLine="420"/>
        <w:jc w:val="left"/>
        <w:rPr>
          <w:rFonts w:ascii="宋体" w:eastAsia="宋体" w:hAnsi="宋体" w:cs="宋体" w:hint="eastAsia"/>
          <w:strike/>
          <w:kern w:val="2"/>
          <w:sz w:val="21"/>
          <w:szCs w:val="21"/>
          <w:lang w:eastAsia="zh-CN"/>
        </w:rPr>
      </w:pPr>
      <w:r>
        <w:rPr>
          <w:rFonts w:ascii="宋体" w:eastAsia="宋体" w:hAnsi="宋体" w:cs="宋体" w:hint="eastAsia"/>
          <w:sz w:val="21"/>
          <w:szCs w:val="21"/>
          <w:lang w:eastAsia="zh-CN"/>
        </w:rPr>
        <w:t>投标文件存在的重大偏差情形的，评标委员会应根据相应的投标文件否决性条款作废标处理。</w:t>
      </w:r>
    </w:p>
    <w:p w14:paraId="3622FA13">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b/>
          <w:bCs/>
          <w:sz w:val="21"/>
          <w:szCs w:val="21"/>
          <w:lang w:eastAsia="zh-CN"/>
        </w:rPr>
        <w:t>26.投标文件的细微偏差</w:t>
      </w:r>
    </w:p>
    <w:p w14:paraId="2E2BD553">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细微偏差是指投标文件在实质上响应招标文件要求，提供了不完整的技术信息和数据等情况，细微偏差不影响投标文件的有效性。在评审过程中，评标委员会可以要求投标人就投标文件中含义不明确的内容进行说明并提供相关材料，投标人拒不补正的，在详细评审时可以对细微偏离按照不利于该投标人的原则进行调整，且投标人不得因此提出任何异议。</w:t>
      </w:r>
    </w:p>
    <w:p w14:paraId="79BE5967">
      <w:pPr>
        <w:widowControl w:val="0"/>
        <w:adjustRightInd w:val="0"/>
        <w:snapToGrid w:val="0"/>
        <w:spacing w:line="360" w:lineRule="auto"/>
        <w:ind w:left="480" w:left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27.投标文件的澄清答辩</w:t>
      </w:r>
    </w:p>
    <w:p w14:paraId="787708C6">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27.1为有助于投标文件的审查、评价和比较，评标委员会可以要求投标人对投标文件含义不明确的内容作必要的澄清或说明，投标人应当进行澄清或说明，但不得超出投标文件的范围或改变投标报价和其他实质性内容。澄清答辩可采用评标区录音电话或现场两种方式进行。</w:t>
      </w:r>
    </w:p>
    <w:p w14:paraId="67DB702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27.2采用评标区录音电话方式澄清答辩的答辩人，仅限该项目递交投标文件时确定的投标员，投标员的联系方式以截标信息为准。采用现场方式澄清答辩的答辩人应为该单位的授权委托人，授权委托人须本人携带有效的身份证明文件（包含身份证原件、法定代表人证明书、法人授权委托书等）。澄清答辩人员的身份由招标人核验。</w:t>
      </w:r>
    </w:p>
    <w:p w14:paraId="7387738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27.3评标委员会要求投标人进行答辩，但投标人在评标委员会规定的时间（不少于30分钟）内未派出代表及时作出答辩的，评标委员会将根据招标文件规定作出不利于投标人的判定，投标人不得因此提出任何异议。</w:t>
      </w:r>
    </w:p>
    <w:p w14:paraId="2C30A298">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28.无效标和废标的处理</w:t>
      </w:r>
    </w:p>
    <w:p w14:paraId="6CECDA5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28.1除法律、法规、规章、规范性文件规定以及本招标文件否决性条款单列的无效标或者废标情形外，评标委员会不得对投标文件作无效标或者废标处理。评标委员会对投标文件应坚持谨慎确定无效标和废标的原则。</w:t>
      </w:r>
    </w:p>
    <w:p w14:paraId="5D9A50F6">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28.2评标委员会在作出任何一项无效标和废标决定前，都应当严格遵循以下程序：</w:t>
      </w:r>
    </w:p>
    <w:p w14:paraId="576A010A">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28.2.1向当事投标人作相应的澄清；</w:t>
      </w:r>
    </w:p>
    <w:p w14:paraId="0082E64A">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28.2.2当事投标人应当在通知规定时间内，向评标委员会作出澄清和解释。未按时作出澄清和解释的，评标委员会可对相应投标文件按最不利情形认定;</w:t>
      </w:r>
    </w:p>
    <w:p w14:paraId="2545891B">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28.2.3在充分讨论的基础上集体表决；</w:t>
      </w:r>
    </w:p>
    <w:p w14:paraId="02264712">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28.2.4若表决通过无效标或废标决定，应在评标报告中详细载明无效标或废标的理由、依据、答辩的情况和集体表决的情况（同意无效标或废标和不同意无效标或废标的评标委员会成员均应当注明）。</w:t>
      </w:r>
    </w:p>
    <w:p w14:paraId="074EF1E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28.2.5评标委员会在否决所有投标文件前，应当向招标人核实有关情况，听取招标人意见。</w:t>
      </w:r>
    </w:p>
    <w:p w14:paraId="2DE5AEF0">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29.</w:t>
      </w:r>
      <w:r>
        <w:rPr>
          <w:rFonts w:ascii="宋体" w:eastAsia="宋体" w:hAnsi="宋体" w:cs="宋体" w:hint="eastAsia"/>
          <w:b/>
          <w:bCs/>
          <w:sz w:val="21"/>
          <w:szCs w:val="21"/>
          <w:lang w:eastAsia="zh-CN"/>
        </w:rPr>
        <w:t>中标候选</w:t>
      </w:r>
      <w:r>
        <w:rPr>
          <w:rFonts w:ascii="宋体" w:eastAsia="宋体" w:hAnsi="宋体" w:cs="宋体" w:hint="eastAsia"/>
          <w:b/>
          <w:bCs/>
          <w:sz w:val="21"/>
          <w:szCs w:val="21"/>
          <w:lang w:eastAsia="zh-CN"/>
        </w:rPr>
        <w:t>人的推荐</w:t>
      </w:r>
    </w:p>
    <w:p w14:paraId="13DECD28">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29.1评标委员会实行少数服从多数的原则，评标结果经评标委员会全体成员过半数通过有效。</w:t>
      </w:r>
    </w:p>
    <w:p w14:paraId="72469D3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29.2</w:t>
      </w:r>
      <w:r>
        <w:rPr>
          <w:rFonts w:ascii="宋体" w:eastAsia="宋体" w:hAnsi="宋体" w:cs="宋体" w:hint="eastAsia"/>
          <w:sz w:val="21"/>
          <w:szCs w:val="21"/>
          <w:lang w:eastAsia="zh-CN"/>
        </w:rPr>
        <w:t>评标委员会经过对投标文件进行评审和比较后</w:t>
      </w:r>
      <w:r>
        <w:rPr>
          <w:rFonts w:ascii="宋体" w:eastAsia="宋体" w:hAnsi="宋体" w:cs="宋体" w:hint="eastAsia"/>
          <w:sz w:val="21"/>
          <w:szCs w:val="21"/>
          <w:lang w:eastAsia="zh-CN"/>
        </w:rPr>
        <w:t>，</w:t>
      </w:r>
      <w:r>
        <w:rPr>
          <w:rFonts w:ascii="宋体" w:eastAsia="宋体" w:hAnsi="宋体" w:cs="宋体" w:hint="eastAsia"/>
          <w:kern w:val="2"/>
          <w:sz w:val="21"/>
          <w:szCs w:val="21"/>
          <w:lang w:eastAsia="zh-CN"/>
        </w:rPr>
        <w:t>评审合格投标人数量超过5</w:t>
      </w:r>
      <w:r>
        <w:rPr>
          <w:rFonts w:ascii="宋体" w:eastAsia="宋体" w:hAnsi="宋体" w:cs="宋体" w:hint="eastAsia"/>
          <w:kern w:val="2"/>
          <w:sz w:val="21"/>
          <w:szCs w:val="21"/>
          <w:lang w:eastAsia="zh-CN"/>
        </w:rPr>
        <w:t>名的</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评标委员会应根据招标文件确定的规则，结合评审意见，</w:t>
      </w:r>
      <w:r>
        <w:rPr>
          <w:rFonts w:ascii="宋体" w:eastAsia="宋体" w:hAnsi="宋体" w:cs="宋体" w:hint="eastAsia"/>
          <w:kern w:val="2"/>
          <w:sz w:val="21"/>
          <w:szCs w:val="21"/>
          <w:lang w:eastAsia="zh-CN"/>
        </w:rPr>
        <w:t>在合格投标人中</w:t>
      </w:r>
      <w:r>
        <w:rPr>
          <w:rFonts w:ascii="宋体" w:eastAsia="宋体" w:hAnsi="宋体" w:cs="宋体" w:hint="eastAsia"/>
          <w:kern w:val="2"/>
          <w:sz w:val="21"/>
          <w:szCs w:val="21"/>
          <w:lang w:eastAsia="zh-CN"/>
        </w:rPr>
        <w:t>择优推荐</w:t>
      </w:r>
      <w:r>
        <w:rPr>
          <w:rFonts w:ascii="宋体" w:eastAsia="宋体" w:hAnsi="宋体" w:cs="宋体" w:hint="eastAsia"/>
          <w:kern w:val="2"/>
          <w:sz w:val="21"/>
          <w:szCs w:val="21"/>
          <w:lang w:eastAsia="zh-CN"/>
        </w:rPr>
        <w:t>50%的投标人作为</w:t>
      </w:r>
      <w:r>
        <w:rPr>
          <w:rFonts w:ascii="宋体" w:eastAsia="宋体" w:hAnsi="宋体" w:cs="宋体" w:hint="eastAsia"/>
          <w:kern w:val="2"/>
          <w:sz w:val="21"/>
          <w:szCs w:val="21"/>
          <w:lang w:eastAsia="zh-CN"/>
        </w:rPr>
        <w:t>中标</w:t>
      </w:r>
      <w:r>
        <w:rPr>
          <w:rFonts w:ascii="宋体" w:eastAsia="宋体" w:hAnsi="宋体" w:cs="宋体" w:hint="eastAsia"/>
          <w:kern w:val="2"/>
          <w:sz w:val="21"/>
          <w:szCs w:val="21"/>
          <w:lang w:eastAsia="zh-CN"/>
        </w:rPr>
        <w:t>候选人（采用四舍五入取整），并详细说明推荐理由。</w:t>
      </w:r>
      <w:r>
        <w:rPr>
          <w:rFonts w:ascii="宋体" w:eastAsia="宋体" w:hAnsi="宋体" w:cs="宋体" w:hint="eastAsia"/>
          <w:kern w:val="2"/>
          <w:sz w:val="21"/>
          <w:szCs w:val="21"/>
          <w:lang w:eastAsia="zh-CN"/>
        </w:rPr>
        <w:t>评审合格投标人数量</w:t>
      </w:r>
      <w:r>
        <w:rPr>
          <w:rFonts w:ascii="宋体" w:eastAsia="宋体" w:hAnsi="宋体" w:cs="宋体" w:hint="eastAsia"/>
          <w:kern w:val="2"/>
          <w:sz w:val="21"/>
          <w:szCs w:val="21"/>
          <w:lang w:eastAsia="zh-CN"/>
        </w:rPr>
        <w:t>为3-</w:t>
      </w:r>
      <w:r>
        <w:rPr>
          <w:rFonts w:ascii="宋体" w:eastAsia="宋体" w:hAnsi="宋体" w:cs="宋体" w:hint="eastAsia"/>
          <w:kern w:val="2"/>
          <w:sz w:val="21"/>
          <w:szCs w:val="21"/>
          <w:lang w:eastAsia="zh-CN"/>
        </w:rPr>
        <w:t>5</w:t>
      </w:r>
      <w:r>
        <w:rPr>
          <w:rFonts w:ascii="宋体" w:eastAsia="宋体" w:hAnsi="宋体" w:cs="宋体" w:hint="eastAsia"/>
          <w:kern w:val="2"/>
          <w:sz w:val="21"/>
          <w:szCs w:val="21"/>
          <w:lang w:eastAsia="zh-CN"/>
        </w:rPr>
        <w:t>名的，所有合格投标人均为中标候选人</w:t>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vertAlign w:val="superscript"/>
          <w:lang w:eastAsia="zh-CN"/>
        </w:rPr>
        <w:footnoteReference w:id="5"/>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lang w:eastAsia="zh-CN"/>
        </w:rPr>
        <w:t>。</w:t>
      </w:r>
    </w:p>
    <w:p w14:paraId="74F2137E">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29.3评标委员会作出无效标或者废标处理后，合格投标人数量不足3名的，招标人应当宣布本次招标失败，重新招标。</w:t>
      </w:r>
    </w:p>
    <w:p w14:paraId="0D31BC61">
      <w:pPr>
        <w:widowControl w:val="0"/>
        <w:adjustRightInd w:val="0"/>
        <w:snapToGrid w:val="0"/>
        <w:spacing w:line="360" w:lineRule="auto"/>
        <w:ind w:firstLine="48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采用批量招标方式的，评标委员会作出无效标或者废标处理后，合格投标人数量不足拟定中标人数量加上2名的，招标人不得再采用批量招标方式。</w:t>
      </w:r>
    </w:p>
    <w:p w14:paraId="6810887C">
      <w:pPr>
        <w:widowControl w:val="0"/>
        <w:adjustRightInd w:val="0"/>
        <w:snapToGrid w:val="0"/>
        <w:spacing w:line="360" w:lineRule="auto"/>
        <w:ind w:firstLine="48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重新招标的项目，评标委员会作出无效标或者废标处理后合格投标人数量仍不足3名的，评标委员会应当将对合格投标人的评审意见提交招标人，招标人可以按照原招标文件的定标程序和方法从合格投标人中确定中标人，或者将上述情况在</w:t>
      </w:r>
      <w:r>
        <w:rPr>
          <w:rFonts w:ascii="宋体" w:eastAsia="宋体" w:hAnsi="宋体" w:cs="宋体" w:hint="eastAsia"/>
          <w:sz w:val="21"/>
          <w:szCs w:val="22"/>
          <w:lang w:eastAsia="zh-CN"/>
        </w:rPr>
        <w:t>交易网公示</w:t>
      </w:r>
      <w:r>
        <w:rPr>
          <w:rFonts w:ascii="宋体" w:eastAsia="宋体" w:hAnsi="宋体" w:cs="宋体" w:hint="eastAsia"/>
          <w:sz w:val="21"/>
          <w:szCs w:val="21"/>
          <w:lang w:eastAsia="zh-CN"/>
        </w:rPr>
        <w:t>3个工作日后直接发包。</w:t>
      </w:r>
    </w:p>
    <w:p w14:paraId="5CFE52A5">
      <w:pPr>
        <w:widowControl w:val="0"/>
        <w:adjustRightInd w:val="0"/>
        <w:snapToGrid w:val="0"/>
        <w:spacing w:line="360" w:lineRule="auto"/>
        <w:ind w:firstLine="48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29.4评标过程中，若评标委员会认为本次招标缺乏竞争性，可以不推荐投标人，由招标人重新组织招标。</w:t>
      </w:r>
    </w:p>
    <w:p w14:paraId="14C490EF">
      <w:pPr>
        <w:widowControl w:val="0"/>
        <w:adjustRightInd w:val="0"/>
        <w:snapToGrid w:val="0"/>
        <w:spacing w:line="360" w:lineRule="auto"/>
        <w:ind w:firstLine="48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29.5如招投标过程中出现严重异常情况，经</w:t>
      </w:r>
      <w:r>
        <w:rPr>
          <w:rFonts w:ascii="宋体" w:eastAsia="宋体" w:hAnsi="宋体" w:cs="宋体" w:hint="eastAsia"/>
          <w:sz w:val="21"/>
          <w:szCs w:val="21"/>
          <w:lang w:eastAsia="zh-CN"/>
        </w:rPr>
        <w:t>行政</w:t>
      </w:r>
      <w:r>
        <w:rPr>
          <w:rFonts w:ascii="宋体" w:eastAsia="宋体" w:hAnsi="宋体" w:cs="宋体" w:hint="eastAsia"/>
          <w:sz w:val="21"/>
          <w:szCs w:val="21"/>
          <w:lang w:eastAsia="zh-CN"/>
        </w:rPr>
        <w:t>主管部门批准，招标人可以不接受本次招标结果，应当重新招标。</w:t>
      </w:r>
    </w:p>
    <w:p w14:paraId="4E15BE15">
      <w:pPr>
        <w:widowControl w:val="0"/>
        <w:adjustRightInd w:val="0"/>
        <w:snapToGrid w:val="0"/>
        <w:spacing w:line="360" w:lineRule="auto"/>
        <w:ind w:firstLine="412" w:firstLineChars="196"/>
        <w:jc w:val="both"/>
        <w:rPr>
          <w:rFonts w:ascii="宋体" w:eastAsia="宋体" w:hAnsi="宋体" w:cs="宋体" w:hint="eastAsia"/>
          <w:sz w:val="21"/>
          <w:szCs w:val="21"/>
          <w:lang w:eastAsia="zh-CN"/>
        </w:rPr>
      </w:pPr>
      <w:r>
        <w:rPr>
          <w:rFonts w:ascii="宋体" w:eastAsia="宋体" w:hAnsi="宋体" w:cs="宋体" w:hint="eastAsia"/>
          <w:b/>
          <w:bCs/>
          <w:sz w:val="21"/>
          <w:szCs w:val="21"/>
          <w:lang w:eastAsia="zh-CN"/>
        </w:rPr>
        <w:t>30.评标报告</w:t>
      </w:r>
    </w:p>
    <w:p w14:paraId="7DB7B2A9">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30.1评标委员会收集并汇总全体评委评审意见后，由评标委员会主任委员填写《评标报告》。</w:t>
      </w:r>
      <w:r>
        <w:rPr>
          <w:rFonts w:ascii="宋体" w:eastAsia="宋体" w:hAnsi="宋体" w:cs="宋体" w:hint="eastAsia"/>
          <w:kern w:val="2"/>
          <w:sz w:val="21"/>
          <w:szCs w:val="21"/>
          <w:lang w:eastAsia="zh-CN"/>
        </w:rPr>
        <w:t>评标委员会应在评标报告中指出各投标文件的优点和存在的缺陷、签订合同前应注意和澄清的事项。评标过程中发现投标人报价存在异常低价的，应要求投标人作必要的澄清说明，提供相关材料，并在评标报告中提示该投标人在合同履行、工程质量安全等方面存在的风险。投标人不能合理说明或者不能提供相关证明材料的，由评标委员会认定该投标人以低于成本报价竞标，应当否决其投标。</w:t>
      </w:r>
    </w:p>
    <w:p w14:paraId="552C4B0F">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30.2评标报告应由评标委员会全体成员签字。</w:t>
      </w:r>
      <w:r>
        <w:rPr>
          <w:rFonts w:ascii="宋体" w:eastAsia="宋体" w:hAnsi="宋体" w:cs="宋体" w:hint="eastAsia"/>
          <w:kern w:val="2"/>
          <w:sz w:val="21"/>
          <w:szCs w:val="21"/>
          <w:lang w:eastAsia="zh-CN"/>
        </w:rPr>
        <w:t>评标委员会成员对评审意见和中标候选人名单存在分歧意见的，可采用书面方式阐述其不同意见和理由</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并</w:t>
      </w:r>
      <w:r>
        <w:rPr>
          <w:rFonts w:ascii="宋体" w:eastAsia="宋体" w:hAnsi="宋体" w:cs="宋体" w:hint="eastAsia"/>
          <w:kern w:val="2"/>
          <w:sz w:val="21"/>
          <w:szCs w:val="21"/>
          <w:lang w:eastAsia="zh-CN"/>
        </w:rPr>
        <w:t>在评标报告中客观记录</w:t>
      </w:r>
      <w:r>
        <w:rPr>
          <w:rFonts w:ascii="宋体" w:eastAsia="宋体" w:hAnsi="宋体" w:cs="宋体" w:hint="eastAsia"/>
          <w:strike/>
          <w:kern w:val="2"/>
          <w:sz w:val="21"/>
          <w:szCs w:val="21"/>
          <w:lang w:eastAsia="zh-CN"/>
        </w:rPr>
        <w:t>。</w:t>
      </w:r>
      <w:r>
        <w:rPr>
          <w:rFonts w:ascii="宋体" w:eastAsia="宋体" w:hAnsi="宋体" w:cs="宋体" w:hint="eastAsia"/>
          <w:sz w:val="21"/>
          <w:szCs w:val="21"/>
          <w:lang w:eastAsia="zh-CN"/>
        </w:rPr>
        <w:t>评标委员会成员拒绝签字的，视为同意评标结论。评标委员会应对此做出书面记录。</w:t>
      </w:r>
    </w:p>
    <w:p w14:paraId="75251625">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30.3对发现的涉嫌违法、违规行为，应当在评标报告中做出详细说明，做好取证工作，并及时告知行政主管部门。</w:t>
      </w:r>
    </w:p>
    <w:p w14:paraId="3EE7CFD2">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30.4评标委员会向招标人提交评标报告后即解散。评标过程中使用的文件、资料等，都不得带离评标室。</w:t>
      </w:r>
    </w:p>
    <w:p w14:paraId="36186FA3">
      <w:pPr>
        <w:widowControl w:val="0"/>
        <w:adjustRightInd w:val="0"/>
        <w:snapToGrid w:val="0"/>
        <w:spacing w:line="360" w:lineRule="auto"/>
        <w:ind w:firstLine="412" w:firstLineChars="196"/>
        <w:jc w:val="both"/>
        <w:rPr>
          <w:rFonts w:ascii="宋体" w:eastAsia="宋体" w:hAnsi="宋体" w:cs="宋体" w:hint="eastAsia"/>
          <w:b/>
          <w:sz w:val="21"/>
          <w:szCs w:val="22"/>
          <w:lang w:eastAsia="zh-CN"/>
        </w:rPr>
      </w:pPr>
      <w:r>
        <w:rPr>
          <w:rFonts w:ascii="宋体" w:eastAsia="宋体" w:hAnsi="宋体" w:cs="宋体" w:hint="eastAsia"/>
          <w:b/>
          <w:sz w:val="21"/>
          <w:szCs w:val="22"/>
          <w:lang w:eastAsia="zh-CN"/>
        </w:rPr>
        <w:t>31.评标结果公示</w:t>
      </w:r>
    </w:p>
    <w:p w14:paraId="66C6A25C">
      <w:pPr>
        <w:widowControl w:val="0"/>
        <w:adjustRightInd w:val="0"/>
        <w:snapToGrid w:val="0"/>
        <w:spacing w:line="360" w:lineRule="auto"/>
        <w:ind w:firstLine="420" w:firstLineChars="200"/>
        <w:jc w:val="left"/>
        <w:rPr>
          <w:rFonts w:ascii="宋体" w:eastAsia="宋体" w:hAnsi="宋体" w:cs="宋体" w:hint="eastAsia"/>
          <w:b/>
          <w:sz w:val="21"/>
          <w:szCs w:val="22"/>
          <w:lang w:eastAsia="zh-CN"/>
        </w:rPr>
      </w:pPr>
      <w:r>
        <w:rPr>
          <w:rFonts w:ascii="宋体" w:eastAsia="宋体" w:hAnsi="宋体" w:cs="宋体" w:hint="eastAsia"/>
          <w:sz w:val="21"/>
          <w:szCs w:val="21"/>
          <w:lang w:eastAsia="zh-CN"/>
        </w:rPr>
        <w:t>招标人应当将评标报告（含合格投标人名单）</w:t>
      </w:r>
      <w:r>
        <w:rPr>
          <w:rFonts w:ascii="宋体" w:eastAsia="宋体" w:hAnsi="宋体" w:cs="宋体" w:hint="eastAsia"/>
          <w:kern w:val="2"/>
          <w:sz w:val="21"/>
          <w:szCs w:val="21"/>
          <w:lang w:eastAsia="zh-CN"/>
        </w:rPr>
        <w:t>及资信标内容</w:t>
      </w:r>
      <w:r>
        <w:rPr>
          <w:rFonts w:ascii="宋体" w:eastAsia="宋体" w:hAnsi="宋体" w:cs="宋体" w:hint="eastAsia"/>
          <w:sz w:val="21"/>
          <w:szCs w:val="21"/>
          <w:lang w:eastAsia="zh-CN"/>
        </w:rPr>
        <w:t>在</w:t>
      </w:r>
      <w:r>
        <w:rPr>
          <w:rFonts w:ascii="宋体" w:eastAsia="宋体" w:hAnsi="宋体" w:cs="宋体" w:hint="eastAsia"/>
          <w:sz w:val="21"/>
          <w:szCs w:val="22"/>
          <w:lang w:eastAsia="zh-CN"/>
        </w:rPr>
        <w:t>交易网</w:t>
      </w:r>
      <w:r>
        <w:rPr>
          <w:rFonts w:ascii="宋体" w:eastAsia="宋体" w:hAnsi="宋体" w:cs="宋体" w:hint="eastAsia"/>
          <w:sz w:val="21"/>
          <w:szCs w:val="21"/>
          <w:lang w:eastAsia="zh-CN"/>
        </w:rPr>
        <w:t>公示3个工作日。</w:t>
      </w:r>
    </w:p>
    <w:p w14:paraId="441C8369">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32.其它规定</w:t>
      </w:r>
    </w:p>
    <w:p w14:paraId="020D3722">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32.1若投标人的投标行为出现违反《深圳市建筑市场严重违法行为特别处理规定》等政策文件列明的各种情形的，招标人及评标委员会将提请</w:t>
      </w:r>
      <w:r>
        <w:rPr>
          <w:rFonts w:ascii="宋体" w:eastAsia="宋体" w:hAnsi="宋体" w:cs="宋体" w:hint="eastAsia"/>
          <w:sz w:val="21"/>
          <w:szCs w:val="21"/>
          <w:lang w:eastAsia="zh-CN"/>
        </w:rPr>
        <w:t>行政</w:t>
      </w:r>
      <w:r>
        <w:rPr>
          <w:rFonts w:ascii="宋体" w:eastAsia="宋体" w:hAnsi="宋体" w:cs="宋体" w:hint="eastAsia"/>
          <w:sz w:val="21"/>
          <w:szCs w:val="21"/>
          <w:lang w:eastAsia="zh-CN"/>
        </w:rPr>
        <w:t>主管部门对相应投标人作不良记录。</w:t>
      </w:r>
    </w:p>
    <w:p w14:paraId="2C9DE3FC">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32.2评标过程中，若评标委员依据招标文件的规定要求招标人重新招标，招标人不承担因招标失败给投标人造成的损失。</w:t>
      </w:r>
    </w:p>
    <w:p w14:paraId="2935A99F">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32.3 投标报价的调整方法</w:t>
      </w:r>
    </w:p>
    <w:p w14:paraId="3CD0F29B">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32.3.1投标人的投标报价中如出现算术错误，将按以下方法进行调整：</w:t>
      </w:r>
    </w:p>
    <w:p w14:paraId="1FF7A72D">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32.3.1.1投标文件中大写金额与小写金额不一致的，以大写金额为准；</w:t>
      </w:r>
    </w:p>
    <w:p w14:paraId="2F70231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32.3.1.2总价金额与按单价计算的总金额不一致的，以单价计算的总金额为准。除非评标委员会认为单价有明显的小数点错误，此时应以合价金额为准，调整单价；</w:t>
      </w:r>
    </w:p>
    <w:p w14:paraId="65CD7F1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32.3.2投标人的投标报价如果出现缺项、漏项中列明项目的数量情况的，评标委员会应根据具体评标方法和评审标准，按照不利于该投标人的原则进行调整，且投标人不得因此提出任何异议。</w:t>
      </w:r>
    </w:p>
    <w:p w14:paraId="4675700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32.3.3按照本节第1条、第2条规定的调整方法确定的调整后报价，须取得投标人同意并确认。如果投标人拒不接受调整方法以及调整后的报价的，其投标将被拒绝。</w:t>
      </w:r>
    </w:p>
    <w:p w14:paraId="2C347E2F">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32.3.4如果出现多报数量情况的，评标委员会应根据具体评标方法和评审标准，按照不利于该投标人的原则进行调整，且投标人不得因此提出任何异议。</w:t>
      </w:r>
    </w:p>
    <w:p w14:paraId="4CD8659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32.3.5中标人的投标报价是按照本节第1条、第2条、第3条规定的进行了调整的，其中标价按就低不就高的原则确定。如果投标人拒不接受的，其投标将被拒绝。</w:t>
      </w:r>
    </w:p>
    <w:p w14:paraId="6B6FE2C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32.3.5.1投标人的投标报价的总价小于调整后的报价，中标价即为投标人的投标报价的总价；投标报价的总价大于调整后的报价，中标价即为调整后的报价。</w:t>
      </w:r>
    </w:p>
    <w:p w14:paraId="395C77DF">
      <w:pPr>
        <w:widowControl w:val="0"/>
        <w:adjustRightInd w:val="0"/>
        <w:snapToGrid w:val="0"/>
        <w:spacing w:line="360" w:lineRule="auto"/>
        <w:ind w:firstLine="420" w:firstLineChars="200"/>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33.评标表格</w:t>
      </w:r>
    </w:p>
    <w:p w14:paraId="27763FAC">
      <w:pPr>
        <w:widowControl w:val="0"/>
        <w:spacing w:line="360" w:lineRule="auto"/>
        <w:ind w:firstLine="420" w:firstLineChars="200"/>
        <w:jc w:val="left"/>
        <w:rPr>
          <w:rFonts w:ascii="宋体" w:eastAsia="宋体" w:hAnsi="宋体" w:cs="宋体" w:hint="eastAsia"/>
          <w:kern w:val="2"/>
          <w:sz w:val="21"/>
          <w:szCs w:val="21"/>
          <w:lang w:eastAsia="zh-CN"/>
        </w:rPr>
      </w:pPr>
    </w:p>
    <w:p w14:paraId="4A1816F2">
      <w:pPr>
        <w:widowControl w:val="0"/>
        <w:adjustRightInd w:val="0"/>
        <w:snapToGrid w:val="0"/>
        <w:spacing w:line="360" w:lineRule="auto"/>
        <w:jc w:val="center"/>
        <w:rPr>
          <w:rFonts w:ascii="宋体" w:eastAsia="宋体" w:hAnsi="宋体" w:cs="宋体" w:hint="eastAsia"/>
          <w:b/>
          <w:sz w:val="28"/>
          <w:szCs w:val="28"/>
          <w:lang w:eastAsia="zh-CN"/>
        </w:rPr>
      </w:pPr>
      <w:r>
        <w:rPr>
          <w:rFonts w:ascii="宋体" w:eastAsia="宋体" w:hAnsi="宋体" w:cs="宋体" w:hint="eastAsia"/>
          <w:b/>
          <w:sz w:val="28"/>
          <w:szCs w:val="28"/>
          <w:lang w:eastAsia="zh-CN"/>
        </w:rPr>
        <w:t>商务标定性评审表</w:t>
      </w:r>
    </w:p>
    <w:p w14:paraId="4F2F0637">
      <w:pPr>
        <w:widowControl w:val="0"/>
        <w:adjustRightInd w:val="0"/>
        <w:snapToGrid w:val="0"/>
        <w:spacing w:line="360" w:lineRule="auto"/>
        <w:jc w:val="both"/>
        <w:rPr>
          <w:rFonts w:ascii="宋体" w:eastAsia="宋体" w:hAnsi="宋体" w:cs="宋体" w:hint="eastAsia"/>
          <w:b/>
          <w:sz w:val="21"/>
          <w:szCs w:val="21"/>
          <w:lang w:eastAsia="zh-CN"/>
        </w:rPr>
      </w:pPr>
      <w:r>
        <w:rPr>
          <w:rFonts w:ascii="宋体" w:eastAsia="宋体" w:hAnsi="宋体" w:cs="宋体" w:hint="eastAsia"/>
          <w:sz w:val="21"/>
          <w:szCs w:val="21"/>
          <w:lang w:eastAsia="zh-CN"/>
        </w:rPr>
        <w:t>标段名称：                                               投标单位：</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3"/>
        <w:gridCol w:w="1688"/>
        <w:gridCol w:w="3385"/>
        <w:gridCol w:w="1436"/>
        <w:gridCol w:w="2333"/>
      </w:tblGrid>
      <w:tr w14:paraId="2195187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10"/>
          <w:jc w:val="center"/>
        </w:trPr>
        <w:tc>
          <w:tcPr>
            <w:tcW w:w="619" w:type="dxa"/>
            <w:vAlign w:val="center"/>
          </w:tcPr>
          <w:p w14:paraId="61427DD5">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序号</w:t>
            </w:r>
          </w:p>
        </w:tc>
        <w:tc>
          <w:tcPr>
            <w:tcW w:w="1555" w:type="dxa"/>
            <w:vAlign w:val="center"/>
          </w:tcPr>
          <w:p w14:paraId="0BE47BA3">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评审项目</w:t>
            </w:r>
          </w:p>
        </w:tc>
        <w:tc>
          <w:tcPr>
            <w:tcW w:w="3118" w:type="dxa"/>
            <w:vAlign w:val="center"/>
          </w:tcPr>
          <w:p w14:paraId="313D625D">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评审内容</w:t>
            </w:r>
          </w:p>
        </w:tc>
        <w:tc>
          <w:tcPr>
            <w:tcW w:w="1323" w:type="dxa"/>
            <w:vAlign w:val="center"/>
          </w:tcPr>
          <w:p w14:paraId="01B46ECA">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优点</w:t>
            </w:r>
          </w:p>
        </w:tc>
        <w:tc>
          <w:tcPr>
            <w:tcW w:w="2149" w:type="dxa"/>
            <w:vAlign w:val="center"/>
          </w:tcPr>
          <w:p w14:paraId="10886EC0">
            <w:pPr>
              <w:widowControl w:val="0"/>
              <w:adjustRightInd w:val="0"/>
              <w:snapToGrid w:val="0"/>
              <w:jc w:val="center"/>
              <w:rPr>
                <w:rFonts w:ascii="宋体" w:eastAsia="宋体" w:hAnsi="宋体" w:cs="宋体" w:hint="eastAsia"/>
                <w:sz w:val="21"/>
                <w:szCs w:val="21"/>
                <w:lang w:eastAsia="zh-CN"/>
              </w:rPr>
            </w:pPr>
            <w:r>
              <w:rPr>
                <w:rFonts w:ascii="宋体" w:eastAsia="宋体" w:hAnsi="宋体" w:cs="宋体" w:hint="eastAsia"/>
                <w:sz w:val="21"/>
                <w:szCs w:val="21"/>
                <w:lang w:eastAsia="zh-CN"/>
              </w:rPr>
              <w:t>存在缺陷或签订合同前应注意和澄清事项</w:t>
            </w:r>
          </w:p>
        </w:tc>
      </w:tr>
      <w:tr w14:paraId="17ACDA7C">
        <w:tblPrEx>
          <w:tblW w:w="5000" w:type="pct"/>
          <w:jc w:val="center"/>
          <w:tblLayout w:type="fixed"/>
          <w:tblCellMar>
            <w:top w:w="0" w:type="dxa"/>
            <w:left w:w="108" w:type="dxa"/>
            <w:bottom w:w="0" w:type="dxa"/>
            <w:right w:w="108" w:type="dxa"/>
          </w:tblCellMar>
        </w:tblPrEx>
        <w:trPr>
          <w:trHeight w:val="510"/>
          <w:jc w:val="center"/>
        </w:trPr>
        <w:tc>
          <w:tcPr>
            <w:tcW w:w="619" w:type="dxa"/>
            <w:vAlign w:val="center"/>
          </w:tcPr>
          <w:p w14:paraId="78E9E489">
            <w:pPr>
              <w:widowControl w:val="0"/>
              <w:adjustRightInd w:val="0"/>
              <w:snapToGrid w:val="0"/>
              <w:spacing w:line="360" w:lineRule="auto"/>
              <w:jc w:val="center"/>
              <w:rPr>
                <w:rFonts w:ascii="宋体" w:eastAsia="宋体" w:hAnsi="宋体" w:cs="宋体" w:hint="eastAsia"/>
                <w:sz w:val="21"/>
                <w:szCs w:val="21"/>
                <w:lang w:eastAsia="zh-CN"/>
              </w:rPr>
            </w:pPr>
            <w:bookmarkStart w:id="44" w:name="商务标定性评审表" w:colFirst="0" w:colLast="0"/>
          </w:p>
        </w:tc>
        <w:tc>
          <w:tcPr>
            <w:tcW w:w="1555" w:type="dxa"/>
            <w:vAlign w:val="center"/>
          </w:tcPr>
          <w:p w14:paraId="7D95FDD5">
            <w:pPr>
              <w:widowControl w:val="0"/>
              <w:adjustRightInd w:val="0"/>
              <w:snapToGrid w:val="0"/>
              <w:spacing w:before="60" w:beforeLines="25" w:after="60" w:afterLines="25" w:line="300" w:lineRule="auto"/>
              <w:jc w:val="both"/>
              <w:rPr>
                <w:rFonts w:ascii="宋体" w:eastAsia="宋体" w:hAnsi="宋体" w:cs="宋体" w:hint="eastAsia"/>
                <w:sz w:val="21"/>
                <w:szCs w:val="21"/>
                <w:lang w:eastAsia="zh-CN"/>
              </w:rPr>
            </w:pPr>
          </w:p>
        </w:tc>
        <w:tc>
          <w:tcPr>
            <w:tcW w:w="3118" w:type="dxa"/>
            <w:vAlign w:val="center"/>
          </w:tcPr>
          <w:p w14:paraId="6A164730">
            <w:pPr>
              <w:widowControl w:val="0"/>
              <w:adjustRightInd w:val="0"/>
              <w:snapToGrid w:val="0"/>
              <w:spacing w:before="60" w:beforeLines="25" w:after="60" w:afterLines="25" w:line="300" w:lineRule="auto"/>
              <w:jc w:val="both"/>
              <w:rPr>
                <w:rFonts w:ascii="宋体" w:eastAsia="宋体" w:hAnsi="宋体" w:cs="宋体" w:hint="eastAsia"/>
                <w:sz w:val="21"/>
                <w:szCs w:val="21"/>
                <w:lang w:eastAsia="zh-CN"/>
              </w:rPr>
            </w:pPr>
          </w:p>
        </w:tc>
        <w:tc>
          <w:tcPr>
            <w:tcW w:w="1323" w:type="dxa"/>
            <w:vAlign w:val="center"/>
          </w:tcPr>
          <w:p w14:paraId="56672A02">
            <w:pPr>
              <w:widowControl w:val="0"/>
              <w:adjustRightInd w:val="0"/>
              <w:snapToGrid w:val="0"/>
              <w:spacing w:line="360" w:lineRule="auto"/>
              <w:jc w:val="left"/>
              <w:rPr>
                <w:rFonts w:ascii="宋体" w:eastAsia="宋体" w:hAnsi="宋体" w:cs="宋体" w:hint="eastAsia"/>
                <w:sz w:val="21"/>
                <w:szCs w:val="21"/>
                <w:lang w:eastAsia="zh-CN"/>
              </w:rPr>
            </w:pPr>
          </w:p>
        </w:tc>
        <w:tc>
          <w:tcPr>
            <w:tcW w:w="2149" w:type="dxa"/>
            <w:vAlign w:val="center"/>
          </w:tcPr>
          <w:p w14:paraId="3194272E">
            <w:pPr>
              <w:widowControl w:val="0"/>
              <w:adjustRightInd w:val="0"/>
              <w:snapToGrid w:val="0"/>
              <w:spacing w:line="360" w:lineRule="auto"/>
              <w:jc w:val="center"/>
              <w:rPr>
                <w:rFonts w:ascii="宋体" w:eastAsia="宋体" w:hAnsi="宋体" w:cs="宋体" w:hint="eastAsia"/>
                <w:sz w:val="21"/>
                <w:szCs w:val="21"/>
                <w:lang w:eastAsia="zh-CN"/>
              </w:rPr>
            </w:pPr>
          </w:p>
        </w:tc>
      </w:tr>
      <w:bookmarkEnd w:id="44"/>
      <w:tr w14:paraId="7307FDC4">
        <w:tblPrEx>
          <w:tblW w:w="5000" w:type="pct"/>
          <w:jc w:val="center"/>
          <w:tblLayout w:type="fixed"/>
          <w:tblCellMar>
            <w:top w:w="0" w:type="dxa"/>
            <w:left w:w="108" w:type="dxa"/>
            <w:bottom w:w="0" w:type="dxa"/>
            <w:right w:w="108" w:type="dxa"/>
          </w:tblCellMar>
        </w:tblPrEx>
        <w:trPr>
          <w:trHeight w:val="510"/>
          <w:jc w:val="center"/>
        </w:trPr>
        <w:tc>
          <w:tcPr>
            <w:tcW w:w="8764" w:type="dxa"/>
            <w:gridSpan w:val="5"/>
            <w:vAlign w:val="center"/>
          </w:tcPr>
          <w:p w14:paraId="4064BFE6">
            <w:pPr>
              <w:widowControl w:val="0"/>
              <w:adjustRightInd w:val="0"/>
              <w:snapToGrid w:val="0"/>
              <w:spacing w:line="360" w:lineRule="auto"/>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综合评价等级：□合格    □不合格</w:t>
            </w:r>
          </w:p>
        </w:tc>
      </w:tr>
    </w:tbl>
    <w:p w14:paraId="61E749B8">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评标专家：                                  评标日期：    年  月  日</w:t>
      </w:r>
    </w:p>
    <w:p w14:paraId="023B8EE6">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备注：</w:t>
      </w:r>
    </w:p>
    <w:p w14:paraId="400DA979">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1、本表适用于专家独立评审使用；</w:t>
      </w:r>
    </w:p>
    <w:p w14:paraId="0F9C734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w:t>
      </w:r>
      <w:r>
        <w:rPr>
          <w:rFonts w:ascii="宋体" w:eastAsia="宋体" w:hAnsi="宋体" w:cs="宋体" w:hint="eastAsia"/>
          <w:kern w:val="2"/>
          <w:sz w:val="21"/>
          <w:szCs w:val="21"/>
          <w:lang w:eastAsia="zh-CN"/>
        </w:rPr>
        <w:t>评标专家应</w:t>
      </w:r>
      <w:r>
        <w:rPr>
          <w:rFonts w:ascii="宋体" w:eastAsia="宋体" w:hAnsi="宋体" w:cs="宋体" w:hint="eastAsia"/>
          <w:kern w:val="2"/>
          <w:sz w:val="21"/>
          <w:szCs w:val="21"/>
          <w:lang w:eastAsia="zh-CN"/>
        </w:rPr>
        <w:t>对可能低于成本或者影响履约的异常低价投标进行分析研判，依法否决严重影响履约的低价投标。</w:t>
      </w:r>
    </w:p>
    <w:p w14:paraId="10710DF0">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3、综合评价等级仅分为合格或不合格两个等级，不合格仅限于符合招标文件废标、无效标情形以及投标文件违反国家强制性条文标准的情形。</w:t>
      </w:r>
    </w:p>
    <w:p w14:paraId="072543D7">
      <w:pPr>
        <w:widowControl w:val="0"/>
        <w:spacing w:line="360" w:lineRule="auto"/>
        <w:ind w:firstLine="420" w:firstLineChars="200"/>
        <w:jc w:val="left"/>
        <w:rPr>
          <w:rFonts w:ascii="宋体" w:eastAsia="宋体" w:hAnsi="宋体" w:cs="宋体" w:hint="eastAsia"/>
          <w:strike/>
          <w:kern w:val="2"/>
          <w:sz w:val="21"/>
          <w:szCs w:val="21"/>
          <w:lang w:eastAsia="zh-CN"/>
        </w:rPr>
      </w:pPr>
    </w:p>
    <w:p w14:paraId="323DBFE2">
      <w:pPr>
        <w:widowControl w:val="0"/>
        <w:adjustRightInd w:val="0"/>
        <w:snapToGrid w:val="0"/>
        <w:spacing w:line="360" w:lineRule="auto"/>
        <w:jc w:val="center"/>
        <w:rPr>
          <w:rFonts w:ascii="宋体" w:eastAsia="宋体" w:hAnsi="宋体" w:cs="宋体" w:hint="eastAsia"/>
          <w:b/>
          <w:sz w:val="28"/>
          <w:szCs w:val="28"/>
          <w:lang w:eastAsia="zh-CN"/>
        </w:rPr>
      </w:pPr>
      <w:r>
        <w:rPr>
          <w:rFonts w:ascii="宋体" w:eastAsia="宋体" w:hAnsi="宋体" w:cs="宋体" w:hint="eastAsia"/>
          <w:b/>
          <w:sz w:val="28"/>
          <w:szCs w:val="28"/>
          <w:lang w:eastAsia="zh-CN"/>
        </w:rPr>
        <w:t>技术标定性评审表</w:t>
      </w:r>
    </w:p>
    <w:p w14:paraId="236767F7">
      <w:pPr>
        <w:widowControl w:val="0"/>
        <w:adjustRightInd w:val="0"/>
        <w:snapToGrid w:val="0"/>
        <w:spacing w:line="360" w:lineRule="auto"/>
        <w:jc w:val="both"/>
        <w:rPr>
          <w:rFonts w:ascii="宋体" w:eastAsia="宋体" w:hAnsi="宋体" w:cs="宋体" w:hint="eastAsia"/>
          <w:b/>
          <w:sz w:val="21"/>
          <w:szCs w:val="21"/>
          <w:lang w:eastAsia="zh-CN"/>
        </w:rPr>
      </w:pPr>
      <w:r>
        <w:rPr>
          <w:rFonts w:ascii="宋体" w:eastAsia="宋体" w:hAnsi="宋体" w:cs="宋体" w:hint="eastAsia"/>
          <w:sz w:val="21"/>
          <w:szCs w:val="21"/>
          <w:lang w:eastAsia="zh-CN"/>
        </w:rPr>
        <w:t>标段名称：                                               投标单位：</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2"/>
        <w:gridCol w:w="1688"/>
        <w:gridCol w:w="4253"/>
        <w:gridCol w:w="1231"/>
        <w:gridCol w:w="1671"/>
      </w:tblGrid>
      <w:tr w14:paraId="3F5BA7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10"/>
          <w:jc w:val="center"/>
        </w:trPr>
        <w:tc>
          <w:tcPr>
            <w:tcW w:w="619" w:type="dxa"/>
            <w:noWrap w:val="0"/>
            <w:vAlign w:val="center"/>
          </w:tcPr>
          <w:p w14:paraId="2C39EC4F">
            <w:pPr>
              <w:widowControl w:val="0"/>
              <w:adjustRightInd w:val="0"/>
              <w:snapToGrid w:val="0"/>
              <w:jc w:val="center"/>
              <w:rPr>
                <w:rFonts w:eastAsia="宋体"/>
                <w:sz w:val="21"/>
                <w:szCs w:val="21"/>
                <w:lang w:eastAsia="zh-CN"/>
              </w:rPr>
            </w:pPr>
            <w:r>
              <w:rPr>
                <w:rFonts w:eastAsia="宋体" w:cstheme="minorBidi"/>
                <w:sz w:val="21"/>
                <w:szCs w:val="21"/>
                <w:lang w:eastAsia="zh-CN"/>
              </w:rPr>
              <w:t>序号</w:t>
            </w:r>
          </w:p>
        </w:tc>
        <w:tc>
          <w:tcPr>
            <w:tcW w:w="1555" w:type="dxa"/>
            <w:noWrap w:val="0"/>
            <w:vAlign w:val="center"/>
          </w:tcPr>
          <w:p w14:paraId="027A49E1">
            <w:pPr>
              <w:widowControl w:val="0"/>
              <w:adjustRightInd w:val="0"/>
              <w:snapToGrid w:val="0"/>
              <w:jc w:val="center"/>
              <w:rPr>
                <w:rFonts w:eastAsia="宋体"/>
                <w:sz w:val="21"/>
                <w:szCs w:val="21"/>
                <w:lang w:eastAsia="zh-CN"/>
              </w:rPr>
            </w:pPr>
            <w:r>
              <w:rPr>
                <w:rFonts w:eastAsia="宋体" w:cstheme="minorBidi"/>
                <w:sz w:val="21"/>
                <w:szCs w:val="21"/>
                <w:lang w:eastAsia="zh-CN"/>
              </w:rPr>
              <w:t>评审项目</w:t>
            </w:r>
          </w:p>
        </w:tc>
        <w:tc>
          <w:tcPr>
            <w:tcW w:w="3917" w:type="dxa"/>
            <w:noWrap w:val="0"/>
            <w:vAlign w:val="center"/>
          </w:tcPr>
          <w:p w14:paraId="1E4A0C2F">
            <w:pPr>
              <w:widowControl w:val="0"/>
              <w:adjustRightInd w:val="0"/>
              <w:snapToGrid w:val="0"/>
              <w:jc w:val="center"/>
              <w:rPr>
                <w:rFonts w:eastAsia="宋体"/>
                <w:sz w:val="21"/>
                <w:szCs w:val="21"/>
                <w:lang w:eastAsia="zh-CN"/>
              </w:rPr>
            </w:pPr>
            <w:r>
              <w:rPr>
                <w:rFonts w:eastAsia="宋体" w:cstheme="minorBidi"/>
                <w:sz w:val="21"/>
                <w:szCs w:val="21"/>
                <w:lang w:eastAsia="zh-CN"/>
              </w:rPr>
              <w:t>评审内容</w:t>
            </w:r>
          </w:p>
        </w:tc>
        <w:tc>
          <w:tcPr>
            <w:tcW w:w="1134" w:type="dxa"/>
            <w:noWrap w:val="0"/>
            <w:vAlign w:val="center"/>
          </w:tcPr>
          <w:p w14:paraId="65777965">
            <w:pPr>
              <w:widowControl w:val="0"/>
              <w:adjustRightInd w:val="0"/>
              <w:snapToGrid w:val="0"/>
              <w:jc w:val="center"/>
              <w:rPr>
                <w:rFonts w:eastAsia="宋体"/>
                <w:sz w:val="21"/>
                <w:szCs w:val="21"/>
                <w:lang w:eastAsia="zh-CN"/>
              </w:rPr>
            </w:pPr>
            <w:r>
              <w:rPr>
                <w:rFonts w:eastAsia="宋体" w:cstheme="minorBidi"/>
                <w:sz w:val="21"/>
                <w:szCs w:val="21"/>
                <w:lang w:eastAsia="zh-CN"/>
              </w:rPr>
              <w:t>优点</w:t>
            </w:r>
          </w:p>
        </w:tc>
        <w:tc>
          <w:tcPr>
            <w:tcW w:w="1539" w:type="dxa"/>
            <w:noWrap w:val="0"/>
            <w:vAlign w:val="center"/>
          </w:tcPr>
          <w:p w14:paraId="6A300204">
            <w:pPr>
              <w:widowControl w:val="0"/>
              <w:adjustRightInd w:val="0"/>
              <w:snapToGrid w:val="0"/>
              <w:jc w:val="center"/>
              <w:rPr>
                <w:rFonts w:eastAsia="宋体"/>
                <w:sz w:val="21"/>
                <w:szCs w:val="21"/>
                <w:lang w:eastAsia="zh-CN"/>
              </w:rPr>
            </w:pPr>
            <w:r>
              <w:rPr>
                <w:rFonts w:eastAsia="宋体" w:cstheme="minorBidi"/>
                <w:sz w:val="21"/>
                <w:szCs w:val="21"/>
                <w:lang w:eastAsia="zh-CN"/>
              </w:rPr>
              <w:t>存在缺陷或签订合同前应注意和澄清事项</w:t>
            </w:r>
          </w:p>
        </w:tc>
      </w:tr>
      <w:tr w14:paraId="5428DA0F">
        <w:tblPrEx>
          <w:tblW w:w="5000" w:type="pct"/>
          <w:jc w:val="center"/>
          <w:tblLayout w:type="fixed"/>
          <w:tblCellMar>
            <w:top w:w="0" w:type="dxa"/>
            <w:left w:w="108" w:type="dxa"/>
            <w:bottom w:w="0" w:type="dxa"/>
            <w:right w:w="108" w:type="dxa"/>
          </w:tblCellMar>
        </w:tblPrEx>
        <w:trPr>
          <w:trHeight w:val="934"/>
          <w:jc w:val="center"/>
        </w:trPr>
        <w:tc>
          <w:tcPr>
            <w:tcW w:w="619" w:type="dxa"/>
            <w:noWrap w:val="0"/>
            <w:vAlign w:val="center"/>
          </w:tcPr>
          <w:p w14:paraId="7C9CCA78">
            <w:pPr>
              <w:widowControl w:val="0"/>
              <w:adjustRightInd w:val="0"/>
              <w:snapToGrid w:val="0"/>
              <w:spacing w:line="360" w:lineRule="auto"/>
              <w:jc w:val="center"/>
              <w:rPr>
                <w:rFonts w:ascii="宋体" w:eastAsia="宋体" w:hAnsi="宋体" w:cs="宋体" w:hint="eastAsia"/>
                <w:color w:val="0000FF"/>
                <w:sz w:val="21"/>
                <w:szCs w:val="21"/>
                <w:lang w:eastAsia="zh-CN"/>
              </w:rPr>
            </w:pPr>
            <w:bookmarkStart w:id="45" w:name="_Hlk193886277"/>
            <w:bookmarkStart w:id="46" w:name="OLE_LINK46" w:colFirst="1" w:colLast="66"/>
            <w:bookmarkStart w:id="47" w:name="OLE_LINK45" w:colFirst="1" w:colLast="66"/>
            <w:bookmarkStart w:id="48" w:name="技术标定性评审表" w:colFirst="0" w:colLast="0"/>
            <w:r>
              <w:rPr>
                <w:rFonts w:ascii="宋体" w:eastAsia="宋体" w:hAnsi="宋体" w:cs="宋体" w:hint="eastAsia"/>
                <w:color w:val="0000FF"/>
                <w:kern w:val="2"/>
                <w:sz w:val="21"/>
                <w:szCs w:val="22"/>
                <w:lang w:eastAsia="zh-CN"/>
              </w:rPr>
              <w:t>1</w:t>
            </w:r>
          </w:p>
        </w:tc>
        <w:tc>
          <w:tcPr>
            <w:tcW w:w="1555" w:type="dxa"/>
            <w:noWrap w:val="0"/>
            <w:vAlign w:val="center"/>
          </w:tcPr>
          <w:p w14:paraId="4078C37B">
            <w:pPr>
              <w:widowControl w:val="0"/>
              <w:adjustRightInd w:val="0"/>
              <w:snapToGrid w:val="0"/>
              <w:spacing w:line="360" w:lineRule="auto"/>
              <w:jc w:val="left"/>
              <w:rPr>
                <w:rFonts w:ascii="宋体" w:eastAsia="宋体" w:hAnsi="宋体" w:cs="宋体" w:hint="eastAsia"/>
                <w:color w:val="0000FF"/>
                <w:sz w:val="21"/>
                <w:szCs w:val="21"/>
                <w:lang w:eastAsia="zh-CN"/>
              </w:rPr>
            </w:pPr>
            <w:r>
              <w:rPr>
                <w:rFonts w:ascii="宋体" w:eastAsia="宋体" w:hAnsi="宋体" w:cs="宋体" w:hint="eastAsia"/>
                <w:color w:val="0000FF"/>
                <w:sz w:val="21"/>
                <w:szCs w:val="21"/>
                <w:lang w:eastAsia="zh-CN"/>
              </w:rPr>
              <w:t>无</w:t>
            </w:r>
          </w:p>
        </w:tc>
        <w:tc>
          <w:tcPr>
            <w:tcW w:w="3917" w:type="dxa"/>
            <w:noWrap w:val="0"/>
            <w:vAlign w:val="center"/>
          </w:tcPr>
          <w:p w14:paraId="53106312">
            <w:pPr>
              <w:widowControl w:val="0"/>
              <w:adjustRightInd w:val="0"/>
              <w:snapToGrid w:val="0"/>
              <w:spacing w:line="360" w:lineRule="auto"/>
              <w:jc w:val="left"/>
              <w:rPr>
                <w:rFonts w:ascii="宋体" w:eastAsia="宋体" w:hAnsi="宋体" w:cs="宋体" w:hint="eastAsia"/>
                <w:color w:val="0000FF"/>
                <w:sz w:val="21"/>
                <w:szCs w:val="21"/>
                <w:lang w:eastAsia="zh-CN"/>
              </w:rPr>
            </w:pPr>
            <w:r>
              <w:rPr>
                <w:rFonts w:ascii="宋体" w:eastAsia="宋体" w:hAnsi="宋体" w:cs="宋体" w:hint="eastAsia"/>
                <w:color w:val="0000FF"/>
                <w:sz w:val="21"/>
                <w:szCs w:val="21"/>
                <w:lang w:eastAsia="zh-CN"/>
              </w:rPr>
              <w:t>本项目不编制技术标文件，不组织交易中心评标专家评审</w:t>
            </w:r>
          </w:p>
        </w:tc>
        <w:tc>
          <w:tcPr>
            <w:tcW w:w="1134" w:type="dxa"/>
            <w:noWrap w:val="0"/>
            <w:vAlign w:val="center"/>
          </w:tcPr>
          <w:p w14:paraId="6389DFE4">
            <w:pPr>
              <w:widowControl w:val="0"/>
              <w:adjustRightInd w:val="0"/>
              <w:snapToGrid w:val="0"/>
              <w:spacing w:line="360" w:lineRule="auto"/>
              <w:jc w:val="left"/>
              <w:rPr>
                <w:rFonts w:eastAsia="宋体"/>
                <w:sz w:val="21"/>
                <w:szCs w:val="21"/>
                <w:lang w:eastAsia="zh-CN"/>
              </w:rPr>
            </w:pPr>
          </w:p>
        </w:tc>
        <w:tc>
          <w:tcPr>
            <w:tcW w:w="1539" w:type="dxa"/>
            <w:noWrap w:val="0"/>
            <w:vAlign w:val="center"/>
          </w:tcPr>
          <w:p w14:paraId="601C0DD3">
            <w:pPr>
              <w:widowControl w:val="0"/>
              <w:adjustRightInd w:val="0"/>
              <w:snapToGrid w:val="0"/>
              <w:spacing w:line="360" w:lineRule="auto"/>
              <w:jc w:val="center"/>
              <w:rPr>
                <w:rFonts w:eastAsia="宋体"/>
                <w:sz w:val="21"/>
                <w:szCs w:val="21"/>
                <w:lang w:eastAsia="zh-CN"/>
              </w:rPr>
            </w:pPr>
          </w:p>
        </w:tc>
      </w:tr>
      <w:bookmarkEnd w:id="45"/>
      <w:bookmarkEnd w:id="46"/>
      <w:bookmarkEnd w:id="47"/>
      <w:bookmarkEnd w:id="48"/>
      <w:tr w14:paraId="51D67969">
        <w:tblPrEx>
          <w:tblW w:w="5000" w:type="pct"/>
          <w:jc w:val="center"/>
          <w:tblLayout w:type="fixed"/>
          <w:tblCellMar>
            <w:top w:w="0" w:type="dxa"/>
            <w:left w:w="108" w:type="dxa"/>
            <w:bottom w:w="0" w:type="dxa"/>
            <w:right w:w="108" w:type="dxa"/>
          </w:tblCellMar>
        </w:tblPrEx>
        <w:trPr>
          <w:trHeight w:val="510"/>
          <w:jc w:val="center"/>
        </w:trPr>
        <w:tc>
          <w:tcPr>
            <w:tcW w:w="8764" w:type="dxa"/>
            <w:gridSpan w:val="5"/>
            <w:noWrap w:val="0"/>
            <w:vAlign w:val="center"/>
          </w:tcPr>
          <w:p w14:paraId="354181B5">
            <w:pPr>
              <w:widowControl w:val="0"/>
              <w:adjustRightInd w:val="0"/>
              <w:snapToGrid w:val="0"/>
              <w:spacing w:line="360" w:lineRule="auto"/>
              <w:jc w:val="left"/>
              <w:rPr>
                <w:rFonts w:eastAsia="宋体"/>
                <w:sz w:val="20"/>
                <w:szCs w:val="21"/>
                <w:lang w:eastAsia="zh-CN"/>
              </w:rPr>
            </w:pPr>
            <w:r>
              <w:rPr>
                <w:rFonts w:eastAsia="宋体" w:cstheme="minorBidi"/>
                <w:sz w:val="20"/>
                <w:szCs w:val="21"/>
                <w:lang w:eastAsia="zh-CN"/>
              </w:rPr>
              <w:t>综合评价等级：□合格    □不合格</w:t>
            </w:r>
          </w:p>
        </w:tc>
      </w:tr>
    </w:tbl>
    <w:p w14:paraId="1A835466">
      <w:pPr>
        <w:widowControl w:val="0"/>
        <w:adjustRightInd w:val="0"/>
        <w:snapToGrid w:val="0"/>
        <w:spacing w:line="360" w:lineRule="auto"/>
        <w:jc w:val="both"/>
        <w:rPr>
          <w:rFonts w:ascii="宋体" w:eastAsia="宋体" w:hAnsi="宋体" w:cs="宋体" w:hint="eastAsia"/>
          <w:sz w:val="21"/>
          <w:szCs w:val="21"/>
          <w:lang w:eastAsia="zh-CN"/>
        </w:rPr>
      </w:pPr>
    </w:p>
    <w:p w14:paraId="262FA509">
      <w:pPr>
        <w:widowControl w:val="0"/>
        <w:adjustRightInd w:val="0"/>
        <w:snapToGrid w:val="0"/>
        <w:spacing w:line="360" w:lineRule="auto"/>
        <w:jc w:val="both"/>
        <w:rPr>
          <w:rFonts w:ascii="宋体" w:eastAsia="宋体" w:hAnsi="宋体" w:cs="宋体" w:hint="eastAsia"/>
          <w:sz w:val="21"/>
          <w:szCs w:val="21"/>
          <w:lang w:eastAsia="zh-CN"/>
        </w:rPr>
      </w:pPr>
    </w:p>
    <w:p w14:paraId="07707496">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评标专家：                                  评标日期：    年  月  日</w:t>
      </w:r>
    </w:p>
    <w:p w14:paraId="1C2E6BED">
      <w:pPr>
        <w:widowControl w:val="0"/>
        <w:adjustRightInd w:val="0"/>
        <w:snapToGrid w:val="0"/>
        <w:spacing w:line="360" w:lineRule="auto"/>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备注：</w:t>
      </w:r>
    </w:p>
    <w:p w14:paraId="45896FB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1、本表适用于专家独立评审使用；</w:t>
      </w:r>
    </w:p>
    <w:p w14:paraId="23716E65">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2、</w:t>
      </w:r>
      <w:r>
        <w:rPr>
          <w:rFonts w:ascii="宋体" w:eastAsia="宋体" w:hAnsi="宋体" w:cs="宋体" w:hint="eastAsia"/>
          <w:kern w:val="2"/>
          <w:sz w:val="21"/>
          <w:szCs w:val="21"/>
          <w:lang w:eastAsia="zh-CN"/>
        </w:rPr>
        <w:t>评标专家应严格</w:t>
      </w:r>
      <w:r>
        <w:rPr>
          <w:rFonts w:ascii="宋体" w:eastAsia="宋体" w:hAnsi="宋体" w:cs="宋体" w:hint="eastAsia"/>
          <w:kern w:val="2"/>
          <w:sz w:val="21"/>
          <w:szCs w:val="21"/>
          <w:lang w:eastAsia="zh-CN"/>
        </w:rPr>
        <w:t>对照招标文件的评审标准，对各评标要素逐条进行评审</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评审合格的，应指出投标人</w:t>
      </w:r>
      <w:r>
        <w:rPr>
          <w:rFonts w:ascii="宋体" w:eastAsia="宋体" w:hAnsi="宋体" w:cs="宋体" w:hint="eastAsia"/>
          <w:kern w:val="2"/>
          <w:sz w:val="21"/>
          <w:szCs w:val="21"/>
          <w:lang w:eastAsia="zh-CN"/>
        </w:rPr>
        <w:t>各评审</w:t>
      </w:r>
      <w:r>
        <w:rPr>
          <w:rFonts w:ascii="宋体" w:eastAsia="宋体" w:hAnsi="宋体" w:cs="宋体" w:hint="eastAsia"/>
          <w:kern w:val="2"/>
          <w:sz w:val="21"/>
          <w:szCs w:val="21"/>
          <w:lang w:eastAsia="zh-CN"/>
        </w:rPr>
        <w:t>要素</w:t>
      </w:r>
      <w:r>
        <w:rPr>
          <w:rFonts w:ascii="宋体" w:eastAsia="宋体" w:hAnsi="宋体" w:cs="宋体" w:hint="eastAsia"/>
          <w:kern w:val="2"/>
          <w:sz w:val="21"/>
          <w:szCs w:val="21"/>
          <w:lang w:eastAsia="zh-CN"/>
        </w:rPr>
        <w:t>的优点、存在缺陷或签订合同前应注意和澄清事项</w:t>
      </w:r>
      <w:r>
        <w:rPr>
          <w:rFonts w:ascii="宋体" w:eastAsia="宋体" w:hAnsi="宋体" w:cs="宋体" w:hint="eastAsia"/>
          <w:kern w:val="2"/>
          <w:sz w:val="21"/>
          <w:szCs w:val="21"/>
          <w:lang w:eastAsia="zh-CN"/>
        </w:rPr>
        <w:t>的具体内容，</w:t>
      </w:r>
      <w:r>
        <w:rPr>
          <w:rFonts w:ascii="宋体" w:eastAsia="宋体" w:hAnsi="宋体" w:cs="宋体" w:hint="eastAsia"/>
          <w:kern w:val="2"/>
          <w:sz w:val="21"/>
          <w:szCs w:val="21"/>
          <w:lang w:eastAsia="zh-CN"/>
        </w:rPr>
        <w:t>不得</w:t>
      </w:r>
      <w:r>
        <w:rPr>
          <w:rFonts w:ascii="宋体" w:eastAsia="宋体" w:hAnsi="宋体" w:cs="宋体" w:hint="eastAsia"/>
          <w:kern w:val="2"/>
          <w:sz w:val="21"/>
          <w:szCs w:val="21"/>
          <w:lang w:eastAsia="zh-CN"/>
        </w:rPr>
        <w:t>以</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技术</w:t>
      </w:r>
      <w:r>
        <w:rPr>
          <w:rFonts w:ascii="宋体" w:eastAsia="宋体" w:hAnsi="宋体" w:cs="宋体" w:hint="eastAsia"/>
          <w:kern w:val="2"/>
          <w:sz w:val="21"/>
          <w:szCs w:val="21"/>
          <w:lang w:eastAsia="zh-CN"/>
        </w:rPr>
        <w:t>可行</w:t>
      </w:r>
      <w:r>
        <w:rPr>
          <w:rFonts w:ascii="宋体" w:eastAsia="宋体" w:hAnsi="宋体" w:cs="宋体" w:hint="eastAsia"/>
          <w:kern w:val="2"/>
          <w:sz w:val="21"/>
          <w:szCs w:val="21"/>
          <w:lang w:eastAsia="zh-CN"/>
        </w:rPr>
        <w:t>/技术</w:t>
      </w:r>
      <w:r>
        <w:rPr>
          <w:rFonts w:ascii="宋体" w:eastAsia="宋体" w:hAnsi="宋体" w:cs="宋体" w:hint="eastAsia"/>
          <w:kern w:val="2"/>
          <w:sz w:val="21"/>
          <w:szCs w:val="21"/>
          <w:lang w:eastAsia="zh-CN"/>
        </w:rPr>
        <w:t>不可行、</w:t>
      </w:r>
      <w:r>
        <w:rPr>
          <w:rFonts w:ascii="宋体" w:eastAsia="宋体" w:hAnsi="宋体" w:cs="宋体" w:hint="eastAsia"/>
          <w:kern w:val="2"/>
          <w:sz w:val="21"/>
          <w:szCs w:val="21"/>
          <w:lang w:eastAsia="zh-CN"/>
        </w:rPr>
        <w:t>符合要求/不符合要求、针对性强/针对性不强，</w:t>
      </w:r>
      <w:r>
        <w:rPr>
          <w:rFonts w:ascii="宋体" w:eastAsia="宋体" w:hAnsi="宋体" w:cs="宋体" w:hint="eastAsia"/>
          <w:kern w:val="2"/>
          <w:sz w:val="21"/>
          <w:szCs w:val="21"/>
          <w:lang w:eastAsia="zh-CN"/>
        </w:rPr>
        <w:t>优、良、中、差”</w:t>
      </w:r>
      <w:r>
        <w:rPr>
          <w:rFonts w:ascii="宋体" w:eastAsia="宋体" w:hAnsi="宋体" w:cs="宋体" w:hint="eastAsia"/>
          <w:kern w:val="2"/>
          <w:sz w:val="21"/>
          <w:szCs w:val="21"/>
          <w:lang w:eastAsia="zh-CN"/>
        </w:rPr>
        <w:t>等评价性意见替代前述具体内容；</w:t>
      </w:r>
    </w:p>
    <w:p w14:paraId="6D4CCBA3">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3、综合评价等级仅分为合格或不合格两个等级，不合格仅限于符合招标文件废标、无效标情形以及投标文件违反国家强制性条文标准的情形。</w:t>
      </w:r>
    </w:p>
    <w:p w14:paraId="7453D2AF">
      <w:pPr>
        <w:widowControl w:val="0"/>
        <w:spacing w:line="360" w:lineRule="auto"/>
        <w:ind w:firstLine="420" w:firstLineChars="200"/>
        <w:jc w:val="left"/>
        <w:rPr>
          <w:rFonts w:ascii="宋体" w:eastAsia="宋体" w:hAnsi="宋体" w:cs="宋体" w:hint="eastAsia"/>
          <w:kern w:val="2"/>
          <w:sz w:val="21"/>
          <w:szCs w:val="21"/>
          <w:lang w:eastAsia="zh-CN"/>
        </w:rPr>
      </w:pPr>
    </w:p>
    <w:p w14:paraId="217A08BE">
      <w:pPr>
        <w:widowControl w:val="0"/>
        <w:spacing w:line="360" w:lineRule="auto"/>
        <w:ind w:left="2940" w:firstLine="420"/>
        <w:jc w:val="both"/>
        <w:outlineLvl w:val="2"/>
        <w:rPr>
          <w:rFonts w:ascii="宋体" w:eastAsia="宋体" w:hAnsi="宋体" w:cs="宋体" w:hint="eastAsia"/>
          <w:bCs/>
          <w:snapToGrid w:val="0"/>
          <w:sz w:val="30"/>
          <w:szCs w:val="22"/>
          <w:lang w:eastAsia="zh-CN"/>
        </w:rPr>
      </w:pPr>
      <w:bookmarkStart w:id="49" w:name="_Toc3102"/>
      <w:bookmarkStart w:id="50" w:name="_Toc1812"/>
      <w:r>
        <w:rPr>
          <w:rFonts w:ascii="宋体" w:eastAsia="宋体" w:hAnsi="宋体" w:cs="宋体" w:hint="eastAsia"/>
          <w:bCs/>
          <w:snapToGrid w:val="0"/>
          <w:sz w:val="30"/>
          <w:szCs w:val="22"/>
          <w:lang w:eastAsia="zh-CN"/>
        </w:rPr>
        <w:t>（六）定标</w:t>
      </w:r>
      <w:bookmarkEnd w:id="49"/>
      <w:bookmarkEnd w:id="50"/>
    </w:p>
    <w:p w14:paraId="4832E3F5">
      <w:pPr>
        <w:widowControl w:val="0"/>
        <w:adjustRightInd w:val="0"/>
        <w:snapToGrid w:val="0"/>
        <w:spacing w:line="360" w:lineRule="auto"/>
        <w:ind w:firstLine="420" w:firstLineChars="200"/>
        <w:jc w:val="left"/>
        <w:rPr>
          <w:rFonts w:ascii="宋体" w:eastAsia="宋体" w:hAnsi="宋体" w:cs="宋体" w:hint="eastAsia"/>
          <w:b/>
          <w:sz w:val="21"/>
          <w:szCs w:val="21"/>
          <w:lang w:eastAsia="zh-CN"/>
        </w:rPr>
      </w:pPr>
      <w:r>
        <w:rPr>
          <w:rFonts w:ascii="宋体" w:eastAsia="宋体" w:hAnsi="宋体" w:cs="宋体" w:hint="eastAsia"/>
          <w:b/>
          <w:sz w:val="21"/>
          <w:szCs w:val="21"/>
          <w:lang w:eastAsia="zh-CN"/>
        </w:rPr>
        <w:t>34.清标</w:t>
      </w:r>
    </w:p>
    <w:p w14:paraId="23B8928A">
      <w:pPr>
        <w:widowControl w:val="0"/>
        <w:adjustRightInd w:val="0"/>
        <w:snapToGrid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sz w:val="21"/>
          <w:szCs w:val="21"/>
          <w:lang w:eastAsia="zh-CN"/>
        </w:rPr>
        <w:t>34.1 在开展定标前，招标人可以自行或委托专业机构</w:t>
      </w:r>
      <w:r>
        <w:rPr>
          <w:rFonts w:ascii="宋体" w:eastAsia="宋体" w:hAnsi="宋体" w:cs="宋体" w:hint="eastAsia"/>
          <w:kern w:val="2"/>
          <w:sz w:val="21"/>
          <w:szCs w:val="21"/>
          <w:lang w:eastAsia="zh-CN"/>
        </w:rPr>
        <w:t>（含邀请专家）方式</w:t>
      </w:r>
      <w:r>
        <w:rPr>
          <w:rFonts w:ascii="宋体" w:eastAsia="宋体" w:hAnsi="宋体" w:cs="宋体" w:hint="eastAsia"/>
          <w:sz w:val="21"/>
          <w:szCs w:val="21"/>
          <w:lang w:eastAsia="zh-CN"/>
        </w:rPr>
        <w:t>开展清标工作，</w:t>
      </w:r>
      <w:r>
        <w:rPr>
          <w:rFonts w:ascii="宋体" w:eastAsia="宋体" w:hAnsi="宋体" w:cs="宋体" w:hint="eastAsia"/>
          <w:kern w:val="2"/>
          <w:sz w:val="21"/>
          <w:szCs w:val="21"/>
          <w:lang w:eastAsia="zh-CN"/>
        </w:rPr>
        <w:t>清标人员数量为5人以上单数。</w:t>
      </w:r>
    </w:p>
    <w:p w14:paraId="319DF075">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 xml:space="preserve">34.2 </w:t>
      </w:r>
      <w:r>
        <w:rPr>
          <w:rFonts w:ascii="宋体" w:eastAsia="宋体" w:hAnsi="宋体" w:cs="宋体" w:hint="eastAsia"/>
          <w:kern w:val="2"/>
          <w:sz w:val="21"/>
          <w:szCs w:val="21"/>
          <w:lang w:eastAsia="zh-CN"/>
        </w:rPr>
        <w:t>清标要素由招标人根据项目实际设置，</w:t>
      </w:r>
      <w:r>
        <w:rPr>
          <w:rFonts w:ascii="宋体" w:eastAsia="宋体" w:hAnsi="宋体" w:cs="宋体" w:hint="eastAsia"/>
          <w:sz w:val="21"/>
          <w:szCs w:val="21"/>
          <w:lang w:eastAsia="zh-CN"/>
        </w:rPr>
        <w:t>清标工作包括对</w:t>
      </w:r>
      <w:r>
        <w:rPr>
          <w:rFonts w:ascii="宋体" w:eastAsia="宋体" w:hAnsi="宋体" w:cs="宋体" w:hint="eastAsia"/>
          <w:kern w:val="2"/>
          <w:sz w:val="21"/>
          <w:szCs w:val="21"/>
          <w:lang w:eastAsia="zh-CN"/>
        </w:rPr>
        <w:t>评标专家的评审意见进行复核</w:t>
      </w:r>
      <w:r>
        <w:rPr>
          <w:rFonts w:ascii="宋体" w:eastAsia="宋体" w:hAnsi="宋体" w:cs="宋体" w:hint="eastAsia"/>
          <w:sz w:val="21"/>
          <w:szCs w:val="21"/>
          <w:lang w:eastAsia="zh-CN"/>
        </w:rPr>
        <w:t>、投标人及拟派项目负责人进行考察、质询，对投标文件或方案进行澄清与复核，对项目后期可能遇到的风险和问题进行评估等</w:t>
      </w:r>
      <w:r>
        <w:rPr>
          <w:rFonts w:ascii="宋体" w:eastAsia="宋体" w:hAnsi="宋体" w:cs="宋体" w:hint="eastAsia"/>
          <w:kern w:val="2"/>
          <w:sz w:val="21"/>
          <w:szCs w:val="21"/>
          <w:lang w:eastAsia="zh-CN"/>
        </w:rPr>
        <w:t>。</w:t>
      </w:r>
    </w:p>
    <w:p w14:paraId="0CBC828E">
      <w:pPr>
        <w:widowControl w:val="0"/>
        <w:adjustRightInd w:val="0"/>
        <w:snapToGrid w:val="0"/>
        <w:spacing w:line="360" w:lineRule="auto"/>
        <w:ind w:firstLine="420" w:firstLineChars="200"/>
        <w:jc w:val="left"/>
        <w:rPr>
          <w:rFonts w:ascii="宋体" w:eastAsia="宋体" w:hAnsi="宋体" w:cs="宋体" w:hint="eastAsia"/>
          <w:b/>
          <w:sz w:val="21"/>
          <w:szCs w:val="21"/>
          <w:lang w:eastAsia="zh-CN"/>
        </w:rPr>
      </w:pPr>
      <w:r>
        <w:rPr>
          <w:rFonts w:ascii="宋体" w:eastAsia="宋体" w:hAnsi="宋体" w:cs="宋体" w:hint="eastAsia"/>
          <w:sz w:val="21"/>
          <w:szCs w:val="21"/>
          <w:lang w:eastAsia="zh-CN"/>
        </w:rPr>
        <w:t>34.3 清标工作完成后，招标人应当形成清标报告，并在定标前将清标报告等相关资料上传至交易平台，</w:t>
      </w:r>
      <w:r>
        <w:rPr>
          <w:rFonts w:ascii="宋体" w:eastAsia="宋体" w:hAnsi="宋体" w:cs="宋体" w:hint="eastAsia"/>
          <w:kern w:val="2"/>
          <w:sz w:val="21"/>
          <w:szCs w:val="21"/>
          <w:lang w:eastAsia="zh-CN"/>
        </w:rPr>
        <w:t>作为定标委员会定标的重要参考依据</w:t>
      </w:r>
      <w:r>
        <w:rPr>
          <w:rFonts w:ascii="宋体" w:eastAsia="宋体" w:hAnsi="宋体" w:cs="宋体" w:hint="eastAsia"/>
          <w:sz w:val="21"/>
          <w:szCs w:val="21"/>
          <w:lang w:eastAsia="zh-CN"/>
        </w:rPr>
        <w:t>。清标报告内容应当客观、公正、真实、有效。</w:t>
      </w:r>
    </w:p>
    <w:p w14:paraId="03555775">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b/>
          <w:snapToGrid w:val="0"/>
          <w:sz w:val="21"/>
          <w:szCs w:val="21"/>
          <w:lang w:eastAsia="zh-CN"/>
        </w:rPr>
        <w:t>35.定标方法</w:t>
      </w:r>
    </w:p>
    <w:p w14:paraId="6CF0927B">
      <w:pPr>
        <w:widowControl w:val="0"/>
        <w:adjustRightInd w:val="0"/>
        <w:snapToGrid w:val="0"/>
        <w:spacing w:line="360" w:lineRule="auto"/>
        <w:ind w:firstLine="420" w:firstLineChars="200"/>
        <w:jc w:val="both"/>
        <w:rPr>
          <w:rFonts w:ascii="宋体" w:eastAsia="宋体" w:hAnsi="宋体" w:cs="宋体" w:hint="eastAsia"/>
          <w:bCs/>
          <w:sz w:val="21"/>
          <w:szCs w:val="21"/>
          <w:lang w:eastAsia="zh-CN"/>
        </w:rPr>
      </w:pPr>
      <w:r>
        <w:rPr>
          <w:rFonts w:ascii="宋体" w:eastAsia="宋体" w:hAnsi="宋体" w:cs="宋体" w:hint="eastAsia"/>
          <w:sz w:val="21"/>
          <w:szCs w:val="21"/>
          <w:lang w:eastAsia="zh-CN"/>
        </w:rPr>
        <w:t>招标人在定标过程中，应当坚持择优与竞价相结合，择优为主。限制采用直接抽签方式进行定标。</w:t>
      </w:r>
      <w:r>
        <w:rPr>
          <w:rFonts w:ascii="宋体" w:eastAsia="宋体" w:hAnsi="宋体" w:cs="宋体" w:hint="eastAsia"/>
          <w:bCs/>
          <w:sz w:val="21"/>
          <w:szCs w:val="21"/>
          <w:lang w:eastAsia="zh-CN"/>
        </w:rPr>
        <w:t>招标人应采用下列方法在评标委员会推荐的合格投标人中确定中标人：</w:t>
      </w:r>
    </w:p>
    <w:p w14:paraId="5BAE4D66">
      <w:pPr>
        <w:widowControl w:val="0"/>
        <w:spacing w:line="360" w:lineRule="auto"/>
        <w:ind w:firstLine="420" w:firstLineChars="200"/>
        <w:jc w:val="left"/>
        <w:rPr>
          <w:rFonts w:ascii="宋体" w:eastAsia="宋体" w:hAnsi="宋体" w:cs="宋体" w:hint="eastAsia"/>
          <w:b/>
          <w:snapToGrid w:val="0"/>
          <w:sz w:val="21"/>
          <w:szCs w:val="21"/>
          <w:lang w:eastAsia="zh-CN"/>
        </w:rPr>
      </w:pPr>
      <w:bookmarkStart w:id="51" w:name="票决定标法"/>
      <w:r>
        <w:rPr>
          <w:rFonts w:ascii="宋体" w:eastAsia="宋体" w:hAnsi="宋体" w:cs="宋体" w:hint="eastAsia"/>
          <w:b/>
          <w:snapToGrid w:val="0"/>
          <w:sz w:val="21"/>
          <w:szCs w:val="21"/>
          <w:lang w:eastAsia="zh-CN"/>
        </w:rPr>
        <w:t>35.1</w:t>
      </w:r>
      <w:r>
        <w:rPr>
          <w:rFonts w:ascii="宋体" w:eastAsia="宋体" w:hAnsi="宋体" w:cs="宋体" w:hint="eastAsia"/>
          <w:b/>
          <w:sz w:val="21"/>
          <w:szCs w:val="21"/>
          <w:lang w:eastAsia="zh-CN"/>
        </w:rPr>
        <w:t>直接</w:t>
      </w:r>
      <w:r>
        <w:rPr>
          <w:rFonts w:ascii="宋体" w:eastAsia="宋体" w:hAnsi="宋体" w:cs="宋体" w:hint="eastAsia"/>
          <w:b/>
          <w:snapToGrid w:val="0"/>
          <w:sz w:val="21"/>
          <w:szCs w:val="21"/>
          <w:lang w:eastAsia="zh-CN"/>
        </w:rPr>
        <w:t>票决定标法</w:t>
      </w:r>
    </w:p>
    <w:p w14:paraId="7C2485D4">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招标人组建定标委员会，定标委员会成员对所有进入定标程序的投标人根据前附表确定的方式进行投票，根据得票数确定中标人。</w:t>
      </w:r>
    </w:p>
    <w:p w14:paraId="1CC53400">
      <w:pPr>
        <w:widowControl w:val="0"/>
        <w:adjustRightInd w:val="0"/>
        <w:snapToGrid w:val="0"/>
        <w:spacing w:line="360" w:lineRule="auto"/>
        <w:ind w:firstLine="412" w:firstLineChars="196"/>
        <w:jc w:val="both"/>
        <w:rPr>
          <w:rFonts w:ascii="宋体" w:eastAsia="宋体" w:hAnsi="宋体" w:cs="宋体" w:hint="eastAsia"/>
          <w:b/>
          <w:bCs/>
          <w:sz w:val="21"/>
          <w:szCs w:val="22"/>
          <w:lang w:eastAsia="zh-CN"/>
        </w:rPr>
      </w:pPr>
      <w:r>
        <w:rPr>
          <w:rFonts w:ascii="宋体" w:eastAsia="宋体" w:hAnsi="宋体" w:cs="宋体" w:hint="eastAsia"/>
          <w:b/>
          <w:sz w:val="21"/>
          <w:szCs w:val="21"/>
          <w:lang w:eastAsia="zh-CN"/>
        </w:rPr>
        <w:t>（1）</w:t>
      </w:r>
      <w:r>
        <w:rPr>
          <w:rFonts w:ascii="宋体" w:eastAsia="宋体" w:hAnsi="宋体" w:cs="宋体" w:hint="eastAsia"/>
          <w:b/>
          <w:bCs/>
          <w:sz w:val="21"/>
          <w:szCs w:val="22"/>
          <w:lang w:eastAsia="zh-CN"/>
        </w:rPr>
        <w:t>票决方式：</w:t>
      </w:r>
    </w:p>
    <w:p w14:paraId="7EC0EAC8">
      <w:pPr>
        <w:widowControl w:val="0"/>
        <w:adjustRightInd w:val="0"/>
        <w:snapToGrid w:val="0"/>
        <w:spacing w:line="360" w:lineRule="auto"/>
        <w:ind w:firstLine="412" w:firstLineChars="196"/>
        <w:jc w:val="both"/>
        <w:rPr>
          <w:rFonts w:ascii="宋体" w:eastAsia="宋体" w:hAnsi="宋体" w:cs="宋体" w:hint="eastAsia"/>
          <w:b/>
          <w:bCs/>
          <w:sz w:val="21"/>
          <w:szCs w:val="22"/>
          <w:lang w:eastAsia="zh-CN"/>
        </w:rPr>
      </w:pPr>
      <w:r>
        <w:rPr>
          <w:rFonts w:ascii="宋体" w:eastAsia="宋体" w:hAnsi="宋体" w:cs="宋体" w:hint="eastAsia"/>
          <w:b/>
          <w:bCs/>
          <w:sz w:val="21"/>
          <w:szCs w:val="22"/>
          <w:lang w:eastAsia="zh-CN"/>
        </w:rPr>
        <w:t>①简单多数法</w:t>
      </w:r>
    </w:p>
    <w:p w14:paraId="697D27F4">
      <w:pPr>
        <w:widowControl w:val="0"/>
        <w:adjustRightInd w:val="0"/>
        <w:snapToGrid w:val="0"/>
        <w:spacing w:line="360" w:lineRule="auto"/>
        <w:ind w:firstLine="412" w:firstLineChars="196"/>
        <w:jc w:val="both"/>
        <w:rPr>
          <w:rFonts w:ascii="宋体" w:eastAsia="宋体" w:hAnsi="宋体" w:cs="宋体" w:hint="eastAsia"/>
          <w:sz w:val="21"/>
          <w:szCs w:val="22"/>
          <w:lang w:eastAsia="zh-CN"/>
        </w:rPr>
      </w:pPr>
      <w:r>
        <w:rPr>
          <w:rFonts w:ascii="宋体" w:eastAsia="宋体" w:hAnsi="宋体" w:cs="宋体" w:hint="eastAsia"/>
          <w:sz w:val="21"/>
          <w:szCs w:val="22"/>
          <w:lang w:eastAsia="zh-CN"/>
        </w:rPr>
        <w:t>a.投票规则：定标委员会成员按照招标文件规定的推荐人数，在各自的选票上填写相同数量的投标人名称或序号。</w:t>
      </w:r>
    </w:p>
    <w:p w14:paraId="5E068FB0">
      <w:pPr>
        <w:widowControl w:val="0"/>
        <w:adjustRightInd w:val="0"/>
        <w:snapToGrid w:val="0"/>
        <w:spacing w:line="360" w:lineRule="auto"/>
        <w:ind w:firstLine="412" w:firstLineChars="196"/>
        <w:jc w:val="both"/>
        <w:rPr>
          <w:rFonts w:ascii="宋体" w:eastAsia="宋体" w:hAnsi="宋体" w:cs="宋体" w:hint="eastAsia"/>
          <w:sz w:val="21"/>
          <w:szCs w:val="22"/>
          <w:lang w:eastAsia="zh-CN"/>
        </w:rPr>
      </w:pPr>
      <w:r>
        <w:rPr>
          <w:rFonts w:ascii="宋体" w:eastAsia="宋体" w:hAnsi="宋体" w:cs="宋体" w:hint="eastAsia"/>
          <w:sz w:val="21"/>
          <w:szCs w:val="22"/>
          <w:lang w:eastAsia="zh-CN"/>
        </w:rPr>
        <w:t>b.计算规则：根据得票数的多少进行排名，推荐得票数最多的为中标人。投票结果中排序出现并列情形的，在不影响票决家数总数的情况下不须再次投票，投票结果中并列排序影响到结果时，以继续票决的方式进行确定。</w:t>
      </w:r>
    </w:p>
    <w:p w14:paraId="14AE54B3">
      <w:pPr>
        <w:widowControl w:val="0"/>
        <w:adjustRightInd w:val="0"/>
        <w:snapToGrid w:val="0"/>
        <w:spacing w:line="360" w:lineRule="auto"/>
        <w:ind w:firstLine="412" w:firstLineChars="196"/>
        <w:jc w:val="both"/>
        <w:rPr>
          <w:rFonts w:ascii="宋体" w:eastAsia="宋体" w:hAnsi="宋体" w:cs="宋体" w:hint="eastAsia"/>
          <w:b/>
          <w:bCs/>
          <w:sz w:val="21"/>
          <w:szCs w:val="22"/>
          <w:lang w:eastAsia="zh-CN"/>
        </w:rPr>
      </w:pPr>
      <w:r>
        <w:rPr>
          <w:rFonts w:ascii="宋体" w:eastAsia="宋体" w:hAnsi="宋体" w:cs="宋体" w:hint="eastAsia"/>
          <w:b/>
          <w:bCs/>
          <w:sz w:val="21"/>
          <w:szCs w:val="22"/>
          <w:lang w:eastAsia="zh-CN"/>
        </w:rPr>
        <w:t>②简单多数法（且过半数）</w:t>
      </w:r>
    </w:p>
    <w:p w14:paraId="0B41CF43">
      <w:pPr>
        <w:widowControl w:val="0"/>
        <w:adjustRightInd w:val="0"/>
        <w:snapToGrid w:val="0"/>
        <w:spacing w:line="360" w:lineRule="auto"/>
        <w:ind w:firstLine="412" w:firstLineChars="196"/>
        <w:jc w:val="both"/>
        <w:rPr>
          <w:rFonts w:ascii="宋体" w:eastAsia="宋体" w:hAnsi="宋体" w:cs="宋体" w:hint="eastAsia"/>
          <w:sz w:val="21"/>
          <w:szCs w:val="22"/>
          <w:lang w:eastAsia="zh-CN"/>
        </w:rPr>
      </w:pPr>
      <w:r>
        <w:rPr>
          <w:rFonts w:ascii="宋体" w:eastAsia="宋体" w:hAnsi="宋体" w:cs="宋体" w:hint="eastAsia"/>
          <w:sz w:val="21"/>
          <w:szCs w:val="22"/>
          <w:lang w:eastAsia="zh-CN"/>
        </w:rPr>
        <w:t>a.投票规则：定标委员会在进入投票范围的投标人中，以每人投票支持一个投标人的方式，得票最多且过半数的投标人为中标人。</w:t>
      </w:r>
    </w:p>
    <w:p w14:paraId="1A8897D3">
      <w:pPr>
        <w:widowControl w:val="0"/>
        <w:adjustRightInd w:val="0"/>
        <w:snapToGrid w:val="0"/>
        <w:spacing w:line="360" w:lineRule="auto"/>
        <w:ind w:firstLine="412" w:firstLineChars="196"/>
        <w:jc w:val="both"/>
        <w:rPr>
          <w:rFonts w:ascii="宋体" w:eastAsia="宋体" w:hAnsi="宋体" w:cs="宋体" w:hint="eastAsia"/>
          <w:sz w:val="21"/>
          <w:szCs w:val="22"/>
          <w:lang w:eastAsia="zh-CN"/>
        </w:rPr>
      </w:pPr>
      <w:r>
        <w:rPr>
          <w:rFonts w:ascii="宋体" w:eastAsia="宋体" w:hAnsi="宋体" w:cs="宋体" w:hint="eastAsia"/>
          <w:sz w:val="21"/>
          <w:szCs w:val="22"/>
          <w:lang w:eastAsia="zh-CN"/>
        </w:rPr>
        <w:t>b.计算规则：当没有投标人得票超过半数时，选择得票较多的2个投标人（按上一轮得票多少的顺序选择，在选择第2个投标人时出现同票的投标人时，所有同票投标人一并纳入下一轮的投票范围）作为二次投票的范围，直至出现得票过半数的投标人为止。</w:t>
      </w:r>
    </w:p>
    <w:p w14:paraId="74C43F49">
      <w:pPr>
        <w:widowControl w:val="0"/>
        <w:adjustRightInd w:val="0"/>
        <w:snapToGrid w:val="0"/>
        <w:spacing w:line="360" w:lineRule="auto"/>
        <w:ind w:firstLine="412" w:firstLineChars="196"/>
        <w:jc w:val="both"/>
        <w:rPr>
          <w:rFonts w:ascii="宋体" w:eastAsia="宋体" w:hAnsi="宋体" w:cs="宋体" w:hint="eastAsia"/>
          <w:b/>
          <w:bCs/>
          <w:sz w:val="21"/>
          <w:szCs w:val="22"/>
          <w:lang w:eastAsia="zh-CN"/>
        </w:rPr>
      </w:pPr>
      <w:r>
        <w:rPr>
          <w:rFonts w:ascii="宋体" w:eastAsia="宋体" w:hAnsi="宋体" w:cs="宋体" w:hint="eastAsia"/>
          <w:b/>
          <w:bCs/>
          <w:sz w:val="21"/>
          <w:szCs w:val="22"/>
          <w:lang w:eastAsia="zh-CN"/>
        </w:rPr>
        <w:t>③对比胜出法</w:t>
      </w:r>
    </w:p>
    <w:p w14:paraId="2C6EAE42">
      <w:pPr>
        <w:widowControl w:val="0"/>
        <w:adjustRightInd w:val="0"/>
        <w:snapToGrid w:val="0"/>
        <w:spacing w:line="360" w:lineRule="auto"/>
        <w:ind w:firstLine="412" w:firstLineChars="196"/>
        <w:jc w:val="both"/>
        <w:rPr>
          <w:rFonts w:ascii="宋体" w:eastAsia="宋体" w:hAnsi="宋体" w:cs="宋体" w:hint="eastAsia"/>
          <w:sz w:val="21"/>
          <w:szCs w:val="22"/>
          <w:lang w:eastAsia="zh-CN"/>
        </w:rPr>
      </w:pPr>
      <w:r>
        <w:rPr>
          <w:rFonts w:ascii="宋体" w:eastAsia="宋体" w:hAnsi="宋体" w:cs="宋体" w:hint="eastAsia"/>
          <w:sz w:val="21"/>
          <w:szCs w:val="22"/>
          <w:lang w:eastAsia="zh-CN"/>
        </w:rPr>
        <w:t>a.投票规则：每一张选票，都是所有进入定标程序的投标人的一个排列，该排列明确了先后顺序，即第一名、第二名，...，排列最后的为最后一名。</w:t>
      </w:r>
    </w:p>
    <w:p w14:paraId="513D3E22">
      <w:pPr>
        <w:widowControl w:val="0"/>
        <w:adjustRightInd w:val="0"/>
        <w:snapToGrid w:val="0"/>
        <w:spacing w:line="360" w:lineRule="auto"/>
        <w:ind w:firstLine="412" w:firstLineChars="196"/>
        <w:jc w:val="left"/>
        <w:rPr>
          <w:rFonts w:ascii="宋体" w:eastAsia="宋体" w:hAnsi="宋体" w:cs="宋体" w:hint="eastAsia"/>
          <w:sz w:val="21"/>
          <w:szCs w:val="21"/>
          <w:lang w:eastAsia="zh-CN"/>
        </w:rPr>
      </w:pPr>
      <w:r>
        <w:rPr>
          <w:rFonts w:ascii="宋体" w:eastAsia="宋体" w:hAnsi="宋体" w:cs="宋体" w:hint="eastAsia"/>
          <w:sz w:val="21"/>
          <w:szCs w:val="22"/>
          <w:lang w:eastAsia="zh-CN"/>
        </w:rPr>
        <w:t>b.计算规则：比较每个进入定标程序的投标人在一对一比较中的取胜次数，取胜次数最多的投标人胜出。假设两个投标人是A和B，那么把所有的选票分为两类：第一类是把A排在B前面的，第二类是把B排在A前面的。如果第一类的选票的数量多，那么为A胜，B负，记A取胜一次；如果第二类的选票的数量多，那么为A负，B胜，记B取胜一次。</w:t>
      </w:r>
    </w:p>
    <w:p w14:paraId="09F240CF">
      <w:pPr>
        <w:widowControl w:val="0"/>
        <w:adjustRightInd w:val="0"/>
        <w:snapToGrid w:val="0"/>
        <w:spacing w:line="360" w:lineRule="auto"/>
        <w:ind w:firstLine="412" w:firstLineChars="196"/>
        <w:jc w:val="both"/>
        <w:rPr>
          <w:rFonts w:ascii="宋体" w:eastAsia="宋体" w:hAnsi="宋体" w:cs="宋体" w:hint="eastAsia"/>
          <w:b/>
          <w:sz w:val="21"/>
          <w:szCs w:val="21"/>
          <w:lang w:eastAsia="zh-CN"/>
        </w:rPr>
      </w:pPr>
      <w:r>
        <w:rPr>
          <w:rFonts w:ascii="宋体" w:eastAsia="宋体" w:hAnsi="宋体" w:cs="宋体" w:hint="eastAsia"/>
          <w:b/>
          <w:snapToGrid w:val="0"/>
          <w:sz w:val="21"/>
          <w:szCs w:val="21"/>
          <w:lang w:eastAsia="zh-CN"/>
        </w:rPr>
        <w:t>35.2</w:t>
      </w:r>
      <w:r>
        <w:rPr>
          <w:rFonts w:ascii="宋体" w:eastAsia="宋体" w:hAnsi="宋体" w:cs="宋体" w:hint="eastAsia"/>
          <w:b/>
          <w:sz w:val="21"/>
          <w:szCs w:val="21"/>
          <w:lang w:eastAsia="zh-CN"/>
        </w:rPr>
        <w:t>逐轮票决定标法</w:t>
      </w:r>
    </w:p>
    <w:p w14:paraId="127413C8">
      <w:pPr>
        <w:widowControl w:val="0"/>
        <w:adjustRightInd w:val="0"/>
        <w:snapToGrid w:val="0"/>
        <w:spacing w:line="360" w:lineRule="auto"/>
        <w:ind w:firstLine="412" w:firstLineChars="196"/>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招标人组建定标委员会，定标委员会成员对所有进入定标程序的投标人根据前附表确定的方式进行逐轮投票，每轮以得票数确定进入下一轮投票的投标人直至确定中标人。</w:t>
      </w:r>
    </w:p>
    <w:p w14:paraId="3F3B65C6">
      <w:pPr>
        <w:widowControl w:val="0"/>
        <w:adjustRightInd w:val="0"/>
        <w:snapToGrid w:val="0"/>
        <w:spacing w:line="360" w:lineRule="auto"/>
        <w:ind w:firstLine="412" w:firstLineChars="196"/>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（1）票决方式：</w:t>
      </w:r>
    </w:p>
    <w:p w14:paraId="537DBA14">
      <w:pPr>
        <w:widowControl w:val="0"/>
        <w:adjustRightInd w:val="0"/>
        <w:snapToGrid w:val="0"/>
        <w:spacing w:line="360" w:lineRule="auto"/>
        <w:ind w:firstLine="412" w:firstLineChars="196"/>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①简单多数法</w:t>
      </w:r>
    </w:p>
    <w:p w14:paraId="0ECC749D">
      <w:pPr>
        <w:widowControl w:val="0"/>
        <w:adjustRightInd w:val="0"/>
        <w:snapToGrid w:val="0"/>
        <w:spacing w:line="360" w:lineRule="auto"/>
        <w:ind w:firstLine="412" w:firstLineChars="196"/>
        <w:jc w:val="both"/>
        <w:rPr>
          <w:rFonts w:ascii="宋体" w:eastAsia="宋体" w:hAnsi="宋体" w:cs="宋体" w:hint="eastAsia"/>
          <w:sz w:val="21"/>
          <w:szCs w:val="21"/>
          <w:lang w:eastAsia="zh-CN"/>
        </w:rPr>
      </w:pPr>
      <w:r>
        <w:rPr>
          <w:rFonts w:ascii="宋体" w:eastAsia="宋体" w:hAnsi="宋体" w:cs="宋体" w:hint="eastAsia"/>
          <w:color w:val="auto"/>
          <w:sz w:val="21"/>
          <w:highlight w:val="none"/>
        </w:rPr>
        <mc:AlternateContent>
          <mc:Choice Requires="wpi">
            <w:drawing>
              <wp:anchor distT="0" distB="0" distL="114300" distR="114300" simplePos="0" relativeHeight="251658240" behindDoc="0" locked="0" layoutInCell="1" allowOverlap="1">
                <wp:simplePos x="0" y="0"/>
                <wp:positionH relativeFrom="column">
                  <wp:posOffset>3155950</wp:posOffset>
                </wp:positionH>
                <wp:positionV relativeFrom="paragraph">
                  <wp:posOffset>299085</wp:posOffset>
                </wp:positionV>
                <wp:extent cx="635" cy="635"/>
                <wp:effectExtent l="8890" t="8890" r="20955" b="13335"/>
                <wp:wrapNone/>
                <wp:docPr id="1" name="墨迹 1"/>
                <wp:cNvGraphicFramePr/>
                <a:graphic xmlns:a="http://schemas.openxmlformats.org/drawingml/2006/main">
                  <a:graphicData uri="http://schemas.microsoft.com/office/word/2010/wordprocessingInk">
                    <w14:contentPart xmlns:r="http://schemas.openxmlformats.org/officeDocument/2006/relationships" xmlns:w14="http://schemas.microsoft.com/office/word/2010/wordml" bwMode="clr" r:id="rId7">
                      <w14:nvContentPartPr>
                        <w14:cNvContentPartPr/>
                      </w14:nvContentPartPr>
                      <w14:xfrm>
                        <a:off x="3983990" y="3497580"/>
                        <a:ext cx="635" cy="635"/>
                      </w14:xfrm>
                    </w14:contentPart>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o:spid="_x0000_s1025" type="#_x0000_t75" style="width:0.05pt;height:0.05pt;margin-top:23.55pt;margin-left:248.5pt;mso-height-relative:page;mso-width-relative:page;position:absolute;z-index:251659264" coordsize="21600,21600">
                <v:imagedata r:id="rId8" o:title=""/>
              </v:shape>
            </w:pict>
          </mc:Fallback>
        </mc:AlternateContent>
      </w:r>
      <w:r>
        <w:rPr>
          <w:rFonts w:ascii="宋体" w:eastAsia="宋体" w:hAnsi="宋体" w:cs="宋体" w:hint="eastAsia"/>
          <w:sz w:val="21"/>
          <w:szCs w:val="21"/>
          <w:lang w:eastAsia="zh-CN"/>
        </w:rPr>
        <w:t>a.投票规则：定标委员会成员按照招标文件规定的推荐人数，在各自的选票上填写相同数量的投标人名称或序号。</w:t>
      </w:r>
    </w:p>
    <w:p w14:paraId="63F02EEF">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b.计算规则：根据得票数的多少进行排名，推荐得票数最多的为中标人。投票结果中排序出现并列情形的，在不影响票决家数总数的情况下不须再次投票，投票结果中并列排序影响到结果时，以继续票决的方式进行确定。</w:t>
      </w:r>
    </w:p>
    <w:p w14:paraId="5648477D">
      <w:pPr>
        <w:widowControl w:val="0"/>
        <w:adjustRightInd w:val="0"/>
        <w:snapToGrid w:val="0"/>
        <w:spacing w:line="360" w:lineRule="auto"/>
        <w:ind w:firstLine="412" w:firstLineChars="196"/>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②对比胜出法</w:t>
      </w:r>
    </w:p>
    <w:p w14:paraId="16AEE205">
      <w:pPr>
        <w:widowControl w:val="0"/>
        <w:adjustRightInd w:val="0"/>
        <w:snapToGrid w:val="0"/>
        <w:spacing w:line="360" w:lineRule="auto"/>
        <w:ind w:firstLine="412" w:firstLineChars="196"/>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a.投票规则：每一张选票，都是所有进入定标程序的投标人的一个排列，该排列明确了先后顺序，即第一名、第二名，...，排列最后的为最后一名。</w:t>
      </w:r>
    </w:p>
    <w:p w14:paraId="26CD8D16">
      <w:pPr>
        <w:widowControl w:val="0"/>
        <w:adjustRightInd w:val="0"/>
        <w:snapToGrid w:val="0"/>
        <w:spacing w:line="360" w:lineRule="auto"/>
        <w:ind w:firstLine="412" w:firstLineChars="196"/>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b.计算规则：比较每个进入定标程序的投标人在一对一比较中的取胜次数，取胜次数最多的投标人胜出。假设两个投标人是A和B，那么把所有的选票分为两类：第一类是把A排在B前面的，第二类是把B排在A前面的。如果第一类的选票的数量多，那么为A胜，B负，记A取胜一次；如果第二类的选票的数量多，那么为A负，B胜，记B取胜一次。</w:t>
      </w:r>
    </w:p>
    <w:p w14:paraId="1886658E">
      <w:pPr>
        <w:widowControl w:val="0"/>
        <w:adjustRightInd w:val="0"/>
        <w:snapToGrid w:val="0"/>
        <w:spacing w:line="360" w:lineRule="auto"/>
        <w:ind w:firstLine="412" w:firstLineChars="196"/>
        <w:jc w:val="both"/>
        <w:rPr>
          <w:rFonts w:ascii="宋体" w:eastAsia="宋体" w:hAnsi="宋体" w:cs="宋体" w:hint="eastAsia"/>
          <w:b/>
          <w:bCs/>
          <w:sz w:val="21"/>
          <w:szCs w:val="22"/>
          <w:lang w:eastAsia="zh-CN"/>
        </w:rPr>
      </w:pPr>
      <w:r>
        <w:rPr>
          <w:rFonts w:ascii="宋体" w:eastAsia="宋体" w:hAnsi="宋体" w:cs="宋体" w:hint="eastAsia"/>
          <w:b/>
          <w:bCs/>
          <w:sz w:val="21"/>
          <w:szCs w:val="22"/>
          <w:lang w:eastAsia="zh-CN"/>
        </w:rPr>
        <w:t>③</w:t>
      </w:r>
      <w:r>
        <w:rPr>
          <w:rFonts w:ascii="宋体" w:eastAsia="宋体" w:hAnsi="宋体" w:cs="宋体" w:hint="eastAsia"/>
          <w:b/>
          <w:bCs/>
          <w:sz w:val="21"/>
          <w:szCs w:val="21"/>
          <w:lang w:eastAsia="zh-CN"/>
        </w:rPr>
        <w:t>先票决后淘汰</w:t>
      </w:r>
    </w:p>
    <w:p w14:paraId="14D1CC94">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sz w:val="21"/>
          <w:szCs w:val="22"/>
          <w:lang w:eastAsia="zh-CN"/>
        </w:rPr>
        <w:t>a.</w:t>
      </w:r>
      <w:r>
        <w:rPr>
          <w:rFonts w:ascii="宋体" w:eastAsia="宋体" w:hAnsi="宋体" w:cs="宋体" w:hint="eastAsia"/>
          <w:sz w:val="21"/>
          <w:szCs w:val="21"/>
          <w:lang w:eastAsia="zh-CN"/>
        </w:rPr>
        <w:t>票决规则：</w:t>
      </w:r>
      <w:r>
        <w:rPr>
          <w:rFonts w:ascii="宋体" w:eastAsia="宋体" w:hAnsi="宋体" w:cs="宋体" w:hint="eastAsia"/>
          <w:kern w:val="2"/>
          <w:sz w:val="21"/>
          <w:szCs w:val="21"/>
          <w:lang w:eastAsia="zh-CN"/>
        </w:rPr>
        <w:t>招标人组建的定标委员会在进入投票范围的投标人中，以每人投票支持3个投标人的方式，得票最多的3个投标人进入下一轮的淘汰投票。在确定第3个投标人时如果出现同票的，则得票相同的投标人一并进入下一轮的淘汰投票。</w:t>
      </w:r>
    </w:p>
    <w:p w14:paraId="4C5600CE">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sz w:val="21"/>
          <w:szCs w:val="22"/>
          <w:lang w:eastAsia="zh-CN"/>
        </w:rPr>
        <w:t>b.</w:t>
      </w:r>
      <w:r>
        <w:rPr>
          <w:rFonts w:ascii="宋体" w:eastAsia="宋体" w:hAnsi="宋体" w:cs="宋体" w:hint="eastAsia"/>
          <w:sz w:val="21"/>
          <w:szCs w:val="21"/>
          <w:lang w:eastAsia="zh-CN"/>
        </w:rPr>
        <w:t>淘汰规则：</w:t>
      </w:r>
      <w:r>
        <w:rPr>
          <w:rFonts w:ascii="宋体" w:eastAsia="宋体" w:hAnsi="宋体" w:cs="宋体" w:hint="eastAsia"/>
          <w:kern w:val="2"/>
          <w:sz w:val="21"/>
          <w:szCs w:val="21"/>
          <w:lang w:eastAsia="zh-CN"/>
        </w:rPr>
        <w:t>原则上每轮淘汰1名投标人。各轮投票时，每人投1个淘汰单位，该轮得票最多的投标人被淘汰。得票最多的投标人不止1个时，一并加以淘汰，但必须确保第一次淘汰之后剩余的投标人不少于2名，否则在得票最多的几个投标人中按前述规则进行二次淘汰，剩余的投标人进入下一轮淘汰投票。</w:t>
      </w:r>
    </w:p>
    <w:p w14:paraId="11D674A3">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kern w:val="2"/>
          <w:sz w:val="21"/>
          <w:szCs w:val="21"/>
          <w:lang w:eastAsia="zh-CN"/>
        </w:rPr>
        <w:t>根据前述规则，直至剩余1名投标人为中标人。</w:t>
      </w:r>
    </w:p>
    <w:bookmarkEnd w:id="51"/>
    <w:p w14:paraId="2BAB96A0">
      <w:pPr>
        <w:widowControl w:val="0"/>
        <w:spacing w:line="360" w:lineRule="auto"/>
        <w:ind w:firstLine="424" w:firstLineChars="202"/>
        <w:jc w:val="both"/>
        <w:rPr>
          <w:rFonts w:ascii="宋体" w:eastAsia="宋体" w:hAnsi="宋体" w:cs="宋体" w:hint="eastAsia"/>
          <w:b/>
          <w:kern w:val="2"/>
          <w:sz w:val="21"/>
          <w:szCs w:val="21"/>
          <w:lang w:eastAsia="zh-CN"/>
        </w:rPr>
      </w:pPr>
      <w:bookmarkStart w:id="52" w:name="集体议事法"/>
      <w:r>
        <w:rPr>
          <w:rFonts w:ascii="宋体" w:eastAsia="宋体" w:hAnsi="宋体" w:cs="宋体" w:hint="eastAsia"/>
          <w:b/>
          <w:kern w:val="2"/>
          <w:sz w:val="21"/>
          <w:szCs w:val="21"/>
          <w:lang w:eastAsia="zh-CN"/>
        </w:rPr>
        <w:t>35.</w:t>
      </w:r>
      <w:r>
        <w:rPr>
          <w:rFonts w:ascii="宋体" w:eastAsia="宋体" w:hAnsi="宋体" w:cs="宋体" w:hint="eastAsia"/>
          <w:b/>
          <w:kern w:val="2"/>
          <w:sz w:val="21"/>
          <w:szCs w:val="21"/>
          <w:lang w:eastAsia="zh-CN"/>
        </w:rPr>
        <w:t>3</w:t>
      </w:r>
      <w:r>
        <w:rPr>
          <w:rFonts w:ascii="宋体" w:eastAsia="宋体" w:hAnsi="宋体" w:cs="宋体" w:hint="eastAsia"/>
          <w:b/>
          <w:kern w:val="2"/>
          <w:sz w:val="21"/>
          <w:szCs w:val="21"/>
          <w:lang w:eastAsia="zh-CN"/>
        </w:rPr>
        <w:t>集体议事定标法</w:t>
      </w:r>
    </w:p>
    <w:p w14:paraId="4B651E0D">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由招标人组建定标委员会进行集体商议，定标委员会成员各自发表意见，由定标委员会组长最终确定中标人。所有参加会议的定标委员会成员的意见应当作书面记录，并由定标委员会成员签字确认。采用集体议事法定标的，定标委员会组长应当由招标人法定代表人或者主要负责人担任。</w:t>
      </w:r>
    </w:p>
    <w:bookmarkEnd w:id="52"/>
    <w:p w14:paraId="6F02015E">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snapToGrid w:val="0"/>
          <w:sz w:val="21"/>
          <w:szCs w:val="21"/>
          <w:lang w:eastAsia="zh-CN"/>
        </w:rPr>
        <w:t>36.定标程序</w:t>
      </w:r>
    </w:p>
    <w:p w14:paraId="4AC1F387">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kern w:val="2"/>
          <w:sz w:val="21"/>
          <w:szCs w:val="21"/>
          <w:lang w:eastAsia="zh-CN"/>
        </w:rPr>
        <w:t>36.1</w:t>
      </w:r>
      <w:r>
        <w:rPr>
          <w:rFonts w:ascii="宋体" w:eastAsia="宋体" w:hAnsi="宋体" w:cs="宋体" w:hint="eastAsia"/>
          <w:sz w:val="21"/>
          <w:szCs w:val="21"/>
          <w:lang w:eastAsia="zh-CN"/>
        </w:rPr>
        <w:t>招标人应当事先制定定标工作规则，对不同类别项目择优竞价结合方式、竞价方法、择优要素予以明确，并报招标人内设（或上级）的纪检监察机构（或督查机构）备案。</w:t>
      </w:r>
    </w:p>
    <w:p w14:paraId="361B527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2"/>
          <w:lang w:eastAsia="zh-CN"/>
        </w:rPr>
        <w:t>36.2</w:t>
      </w:r>
      <w:r>
        <w:rPr>
          <w:rFonts w:ascii="宋体" w:eastAsia="宋体" w:hAnsi="宋体" w:cs="宋体" w:hint="eastAsia"/>
          <w:sz w:val="21"/>
          <w:szCs w:val="21"/>
          <w:lang w:eastAsia="zh-CN"/>
        </w:rPr>
        <w:t>在招标公告发布前，招标人应结合定标工作规则和项目实际，制定</w:t>
      </w:r>
      <w:r>
        <w:rPr>
          <w:rFonts w:ascii="宋体" w:eastAsia="宋体" w:hAnsi="宋体" w:cs="宋体" w:hint="eastAsia"/>
          <w:sz w:val="21"/>
          <w:szCs w:val="21"/>
          <w:lang w:eastAsia="zh-CN"/>
        </w:rPr>
        <w:t>详细的</w:t>
      </w:r>
      <w:r>
        <w:rPr>
          <w:rFonts w:ascii="宋体" w:eastAsia="宋体" w:hAnsi="宋体" w:cs="宋体" w:hint="eastAsia"/>
          <w:sz w:val="21"/>
          <w:szCs w:val="21"/>
          <w:lang w:eastAsia="zh-CN"/>
        </w:rPr>
        <w:t>项目定标方案，细化择优要素、竞价因素，明确定标</w:t>
      </w:r>
      <w:r>
        <w:rPr>
          <w:rFonts w:ascii="宋体" w:eastAsia="宋体" w:hAnsi="宋体" w:cs="宋体" w:hint="eastAsia"/>
          <w:sz w:val="21"/>
          <w:szCs w:val="21"/>
          <w:lang w:eastAsia="zh-CN"/>
        </w:rPr>
        <w:t>委员会成员构成、</w:t>
      </w:r>
      <w:r>
        <w:rPr>
          <w:rFonts w:ascii="宋体" w:eastAsia="宋体" w:hAnsi="宋体" w:cs="宋体" w:hint="eastAsia"/>
          <w:sz w:val="21"/>
          <w:szCs w:val="21"/>
          <w:lang w:eastAsia="zh-CN"/>
        </w:rPr>
        <w:t>定标流程、投票规则等内容</w:t>
      </w:r>
      <w:r>
        <w:rPr>
          <w:rFonts w:ascii="宋体" w:eastAsia="宋体" w:hAnsi="宋体" w:cs="宋体" w:hint="eastAsia"/>
          <w:sz w:val="21"/>
          <w:szCs w:val="21"/>
          <w:lang w:eastAsia="zh-CN"/>
        </w:rPr>
        <w:t>，</w:t>
      </w:r>
      <w:r>
        <w:rPr>
          <w:rFonts w:ascii="宋体" w:eastAsia="宋体" w:hAnsi="宋体" w:cs="宋体" w:hint="eastAsia"/>
          <w:sz w:val="21"/>
          <w:szCs w:val="21"/>
          <w:lang w:eastAsia="zh-CN"/>
        </w:rPr>
        <w:t>鼓励招标人对择优要素及优先级别进行客观量化，提升定标质量效率。招标人在将项目定标方案报内设（上级）的纪检监察机构（或督察机构）备案的基础上，应于招标公告备案时将项目定标方案上传至备案系统加密保存。招标公告对外发布后不得更改项目定标方案，确需更改的应当重新发布招标公告。定标时必须严格遵守定标工作规则和项目定标方案，不得临时改变规则。</w:t>
      </w:r>
    </w:p>
    <w:p w14:paraId="0392883A">
      <w:pPr>
        <w:widowControl w:val="0"/>
        <w:adjustRightInd w:val="0"/>
        <w:snapToGrid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实行市场化代建的项目，相关招标文件及具体定标方案应报建设单位审核确认，由建设单位与招标人（代建单位）共同盖章后留存备查。建设单位应同步将项目定标方案报内设（上级）的纪检监察机构（或督查机构）备案</w:t>
      </w:r>
      <w:r>
        <w:rPr>
          <w:rFonts w:ascii="宋体" w:eastAsia="宋体" w:hAnsi="宋体" w:cs="宋体" w:hint="eastAsia"/>
          <w:sz w:val="21"/>
          <w:szCs w:val="21"/>
          <w:vertAlign w:val="superscript"/>
          <w:lang w:eastAsia="zh-CN"/>
        </w:rPr>
        <w:t>[</w:t>
      </w:r>
      <w:r>
        <w:rPr>
          <w:rFonts w:ascii="宋体" w:eastAsia="宋体" w:hAnsi="宋体" w:cs="宋体" w:hint="eastAsia"/>
          <w:sz w:val="21"/>
          <w:szCs w:val="21"/>
          <w:vertAlign w:val="superscript"/>
          <w:lang w:eastAsia="zh-CN"/>
        </w:rPr>
        <w:footnoteReference w:id="6"/>
      </w:r>
      <w:r>
        <w:rPr>
          <w:rFonts w:ascii="宋体" w:eastAsia="宋体" w:hAnsi="宋体" w:cs="宋体" w:hint="eastAsia"/>
          <w:sz w:val="21"/>
          <w:szCs w:val="21"/>
          <w:vertAlign w:val="superscript"/>
          <w:lang w:eastAsia="zh-CN"/>
        </w:rPr>
        <w:t>]</w:t>
      </w:r>
      <w:r>
        <w:rPr>
          <w:rFonts w:ascii="宋体" w:eastAsia="宋体" w:hAnsi="宋体" w:cs="宋体" w:hint="eastAsia"/>
          <w:sz w:val="21"/>
          <w:szCs w:val="21"/>
          <w:lang w:eastAsia="zh-CN"/>
        </w:rPr>
        <w:t>。</w:t>
      </w:r>
    </w:p>
    <w:p w14:paraId="525BAFAB">
      <w:pPr>
        <w:widowControl w:val="0"/>
        <w:adjustRightInd w:val="0"/>
        <w:snapToGrid w:val="0"/>
        <w:spacing w:line="360" w:lineRule="auto"/>
        <w:ind w:firstLine="420" w:firstLineChars="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36.4定标环节的择优因素主要考虑企业资质、科技创新能力、项目管理人员经验与水平、同类工程经验（业绩）及履约评价、企业及其人员的廉政记录、信用等因素。同等条件下，招标人可以优先考虑投标人合同稳定性、质量安全保障性、劳资纠纷可控度等因素。鼓励招标人将</w:t>
      </w:r>
      <w:r>
        <w:rPr>
          <w:rFonts w:ascii="宋体" w:eastAsia="宋体" w:hAnsi="宋体" w:cs="宋体" w:hint="eastAsia"/>
          <w:kern w:val="2"/>
          <w:sz w:val="21"/>
          <w:szCs w:val="21"/>
          <w:lang w:eastAsia="zh-CN"/>
        </w:rPr>
        <w:t>投标人</w:t>
      </w:r>
      <w:r>
        <w:rPr>
          <w:rFonts w:ascii="宋体" w:eastAsia="宋体" w:hAnsi="宋体" w:cs="宋体" w:hint="eastAsia"/>
          <w:kern w:val="2"/>
          <w:sz w:val="21"/>
          <w:szCs w:val="21"/>
          <w:lang w:eastAsia="zh-CN"/>
        </w:rPr>
        <w:t>参与“百千万工程”</w:t>
      </w:r>
      <w:r>
        <w:rPr>
          <w:rFonts w:ascii="宋体" w:eastAsia="宋体" w:hAnsi="宋体" w:cs="宋体" w:hint="eastAsia"/>
          <w:kern w:val="2"/>
          <w:sz w:val="21"/>
          <w:szCs w:val="21"/>
          <w:lang w:eastAsia="zh-CN"/>
        </w:rPr>
        <w:t>的</w:t>
      </w:r>
      <w:r>
        <w:rPr>
          <w:rFonts w:ascii="宋体" w:eastAsia="宋体" w:hAnsi="宋体" w:cs="宋体" w:hint="eastAsia"/>
          <w:kern w:val="2"/>
          <w:sz w:val="21"/>
          <w:szCs w:val="21"/>
          <w:lang w:eastAsia="zh-CN"/>
        </w:rPr>
        <w:t>相关业绩、奖项等</w:t>
      </w:r>
      <w:r>
        <w:rPr>
          <w:rFonts w:ascii="宋体" w:eastAsia="宋体" w:hAnsi="宋体" w:cs="宋体" w:hint="eastAsia"/>
          <w:kern w:val="2"/>
          <w:sz w:val="21"/>
          <w:szCs w:val="21"/>
          <w:lang w:eastAsia="zh-CN"/>
        </w:rPr>
        <w:t>情况</w:t>
      </w:r>
      <w:r>
        <w:rPr>
          <w:rFonts w:ascii="宋体" w:eastAsia="宋体" w:hAnsi="宋体" w:cs="宋体" w:hint="eastAsia"/>
          <w:kern w:val="2"/>
          <w:sz w:val="21"/>
          <w:szCs w:val="21"/>
          <w:lang w:eastAsia="zh-CN"/>
        </w:rPr>
        <w:t>作为定标择优因素</w:t>
      </w:r>
      <w:r>
        <w:rPr>
          <w:rFonts w:ascii="宋体" w:eastAsia="宋体" w:hAnsi="宋体" w:cs="宋体" w:hint="eastAsia"/>
          <w:sz w:val="21"/>
          <w:szCs w:val="21"/>
          <w:lang w:eastAsia="zh-CN"/>
        </w:rPr>
        <w:t>。</w:t>
      </w:r>
    </w:p>
    <w:p w14:paraId="317C525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招标人可以根据项目实际情况增加择优素，也可以综合考虑择优因素或按择优因素的重要性，对投标人进行逐级淘汰。</w:t>
      </w:r>
    </w:p>
    <w:p w14:paraId="0678DFA4">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36.5</w:t>
      </w:r>
      <w:r>
        <w:rPr>
          <w:rFonts w:ascii="宋体" w:eastAsia="宋体" w:hAnsi="宋体" w:cs="宋体" w:hint="eastAsia"/>
          <w:kern w:val="2"/>
          <w:sz w:val="21"/>
          <w:szCs w:val="21"/>
          <w:lang w:eastAsia="zh-CN"/>
        </w:rPr>
        <w:t>招标人应在评标委员会推荐的中标候选人中确定中标人。招标人应认真审查评标委员会提交的评标报告，发现评标委员会</w:t>
      </w:r>
      <w:r>
        <w:rPr>
          <w:rFonts w:ascii="宋体" w:eastAsia="宋体" w:hAnsi="宋体" w:cs="宋体" w:hint="eastAsia"/>
          <w:kern w:val="2"/>
          <w:sz w:val="21"/>
          <w:szCs w:val="21"/>
          <w:lang w:eastAsia="zh-CN"/>
        </w:rPr>
        <w:t>存在下列异常情形的，</w:t>
      </w:r>
      <w:r>
        <w:rPr>
          <w:rFonts w:ascii="宋体" w:eastAsia="宋体" w:hAnsi="宋体" w:cs="宋体" w:hint="eastAsia"/>
          <w:kern w:val="2"/>
          <w:sz w:val="21"/>
          <w:szCs w:val="21"/>
          <w:lang w:eastAsia="zh-CN"/>
        </w:rPr>
        <w:t>经招标投标行政监督部门批准后由评标委员会复核纠正</w:t>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vertAlign w:val="superscript"/>
          <w:lang w:eastAsia="zh-CN"/>
        </w:rPr>
        <w:footnoteReference w:id="7"/>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lang w:eastAsia="zh-CN"/>
        </w:rPr>
        <w:t>。</w:t>
      </w:r>
    </w:p>
    <w:p w14:paraId="01498E97">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36.5.1</w:t>
      </w:r>
      <w:r>
        <w:rPr>
          <w:rFonts w:ascii="宋体" w:eastAsia="宋体" w:hAnsi="宋体" w:cs="宋体" w:hint="eastAsia"/>
          <w:kern w:val="2"/>
          <w:sz w:val="21"/>
          <w:szCs w:val="21"/>
          <w:lang w:eastAsia="zh-CN"/>
        </w:rPr>
        <w:t>未按招标文件规定进行评审、推荐中标候选人</w:t>
      </w:r>
      <w:r>
        <w:rPr>
          <w:rFonts w:ascii="宋体" w:eastAsia="宋体" w:hAnsi="宋体" w:cs="宋体" w:hint="eastAsia"/>
          <w:kern w:val="2"/>
          <w:sz w:val="21"/>
          <w:szCs w:val="21"/>
          <w:lang w:eastAsia="zh-CN"/>
        </w:rPr>
        <w:t>；</w:t>
      </w:r>
    </w:p>
    <w:p w14:paraId="62EA4D1C">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 xml:space="preserve">36.5.2 </w:t>
      </w:r>
      <w:r>
        <w:rPr>
          <w:rFonts w:ascii="宋体" w:eastAsia="宋体" w:hAnsi="宋体" w:cs="宋体" w:hint="eastAsia"/>
          <w:kern w:val="2"/>
          <w:sz w:val="21"/>
          <w:szCs w:val="21"/>
          <w:lang w:eastAsia="zh-CN"/>
        </w:rPr>
        <w:t>未对可能低于成本或者影响履约的异常低价投标和严重不平衡报价进行分析研判；</w:t>
      </w:r>
    </w:p>
    <w:p w14:paraId="6FD105DB">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36.5.3</w:t>
      </w:r>
      <w:r>
        <w:rPr>
          <w:rFonts w:ascii="宋体" w:eastAsia="宋体" w:hAnsi="宋体" w:cs="宋体" w:hint="eastAsia"/>
          <w:kern w:val="2"/>
          <w:sz w:val="21"/>
          <w:szCs w:val="21"/>
          <w:lang w:eastAsia="zh-CN"/>
        </w:rPr>
        <w:t>未依法通知投标人进行澄清、说明；</w:t>
      </w:r>
    </w:p>
    <w:p w14:paraId="7E697069">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36.5.4评标委员会对应当否决的投标未予否决，或者存在随意否决投标的情况；</w:t>
      </w:r>
    </w:p>
    <w:p w14:paraId="65E4AADE">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36.5.5</w:t>
      </w:r>
      <w:r>
        <w:rPr>
          <w:rFonts w:ascii="宋体" w:eastAsia="宋体" w:hAnsi="宋体" w:cs="宋体" w:hint="eastAsia"/>
          <w:kern w:val="2"/>
          <w:sz w:val="21"/>
          <w:szCs w:val="21"/>
          <w:lang w:eastAsia="zh-CN"/>
        </w:rPr>
        <w:t>其他评标委员会不客观不公正履行评标职责的情形。</w:t>
      </w:r>
    </w:p>
    <w:p w14:paraId="248D9792">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 xml:space="preserve">6 </w:t>
      </w:r>
      <w:r>
        <w:rPr>
          <w:rFonts w:ascii="宋体" w:eastAsia="宋体" w:hAnsi="宋体" w:cs="宋体" w:hint="eastAsia"/>
          <w:kern w:val="2"/>
          <w:sz w:val="21"/>
          <w:szCs w:val="21"/>
          <w:lang w:eastAsia="zh-CN"/>
        </w:rPr>
        <w:t>定标委员会由招标人的法定代表人或者主要负责人组建</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成员数量为7人以上单数</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定标委员会</w:t>
      </w:r>
      <w:r>
        <w:rPr>
          <w:rFonts w:ascii="宋体" w:eastAsia="宋体" w:hAnsi="宋体" w:cs="宋体" w:hint="eastAsia"/>
          <w:kern w:val="2"/>
          <w:sz w:val="21"/>
          <w:szCs w:val="21"/>
          <w:lang w:eastAsia="zh-CN"/>
        </w:rPr>
        <w:t>可以按以下方式组建，具有组建方式由招标人在项目定标方案中予以明确</w:t>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vertAlign w:val="superscript"/>
          <w:lang w:eastAsia="zh-CN"/>
        </w:rPr>
        <w:footnoteReference w:id="8"/>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lang w:eastAsia="zh-CN"/>
        </w:rPr>
        <w:t>：</w:t>
      </w:r>
    </w:p>
    <w:p w14:paraId="01B421E7">
      <w:pPr>
        <w:widowControl w:val="0"/>
        <w:adjustRightInd w:val="0"/>
        <w:snapToGrid w:val="0"/>
        <w:spacing w:line="360" w:lineRule="auto"/>
        <w:ind w:firstLine="412" w:firstLineChars="196"/>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1</w:t>
      </w:r>
      <w:r>
        <w:rPr>
          <w:rFonts w:ascii="宋体" w:eastAsia="宋体" w:hAnsi="宋体" w:cs="宋体" w:hint="eastAsia"/>
          <w:kern w:val="2"/>
          <w:sz w:val="21"/>
          <w:szCs w:val="21"/>
          <w:lang w:eastAsia="zh-CN"/>
        </w:rPr>
        <w:t>）招标人的法定代表人或者主要负责人可以从本单位直接指定部分定标委员会成员，但总数不得超过定标委员会成员总数的三分之一。</w:t>
      </w:r>
      <w:r>
        <w:rPr>
          <w:rFonts w:ascii="宋体" w:eastAsia="宋体" w:hAnsi="宋体" w:cs="宋体" w:hint="eastAsia"/>
          <w:kern w:val="2"/>
          <w:sz w:val="21"/>
          <w:szCs w:val="21"/>
          <w:lang w:eastAsia="zh-CN"/>
        </w:rPr>
        <w:t>实行市场化代建的建设工程项目，建设单位应选派人员参与代建项目的定标，建设单位选派人数和招标人（代建单位）直接指定定标委员会成员的数量，合计不得超过定标委员会总人数的三分之一。</w:t>
      </w:r>
    </w:p>
    <w:p w14:paraId="0FA72917">
      <w:pPr>
        <w:widowControl w:val="0"/>
        <w:adjustRightInd w:val="0"/>
        <w:snapToGrid w:val="0"/>
        <w:spacing w:line="360" w:lineRule="auto"/>
        <w:ind w:firstLine="412" w:firstLineChars="196"/>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2</w:t>
      </w:r>
      <w:r>
        <w:rPr>
          <w:rFonts w:ascii="宋体" w:eastAsia="宋体" w:hAnsi="宋体" w:cs="宋体" w:hint="eastAsia"/>
          <w:kern w:val="2"/>
          <w:sz w:val="21"/>
          <w:szCs w:val="21"/>
          <w:lang w:eastAsia="zh-CN"/>
        </w:rPr>
        <w:t>）招标人可以从建设工程评标专家库内随机抽取专家参与定标；对于技术复杂、专业性强或者有特殊要求的建设工程项目，招标人可以直接邀请相应领域的专家参与定标。从建设工程评标专家库抽取专家及直接邀请专家数量合计不得超过定标委员会</w:t>
      </w:r>
      <w:r>
        <w:rPr>
          <w:rFonts w:ascii="宋体" w:eastAsia="宋体" w:hAnsi="宋体" w:cs="宋体" w:hint="eastAsia"/>
          <w:kern w:val="2"/>
          <w:sz w:val="21"/>
          <w:szCs w:val="21"/>
          <w:lang w:eastAsia="zh-CN"/>
        </w:rPr>
        <w:t>成员</w:t>
      </w:r>
      <w:r>
        <w:rPr>
          <w:rFonts w:ascii="宋体" w:eastAsia="宋体" w:hAnsi="宋体" w:cs="宋体" w:hint="eastAsia"/>
          <w:kern w:val="2"/>
          <w:sz w:val="21"/>
          <w:szCs w:val="21"/>
          <w:lang w:eastAsia="zh-CN"/>
        </w:rPr>
        <w:t>总数的二分之一。</w:t>
      </w:r>
    </w:p>
    <w:p w14:paraId="4998A65E">
      <w:pPr>
        <w:widowControl w:val="0"/>
        <w:adjustRightInd w:val="0"/>
        <w:snapToGrid w:val="0"/>
        <w:spacing w:line="360" w:lineRule="auto"/>
        <w:ind w:firstLine="412" w:firstLineChars="196"/>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3</w:t>
      </w:r>
      <w:r>
        <w:rPr>
          <w:rFonts w:ascii="宋体" w:eastAsia="宋体" w:hAnsi="宋体" w:cs="宋体" w:hint="eastAsia"/>
          <w:kern w:val="2"/>
          <w:sz w:val="21"/>
          <w:szCs w:val="21"/>
          <w:lang w:eastAsia="zh-CN"/>
        </w:rPr>
        <w:t>）除上述成员外，其他定标委员会成员从2倍以上</w:t>
      </w:r>
      <w:r>
        <w:rPr>
          <w:rFonts w:ascii="宋体" w:eastAsia="宋体" w:hAnsi="宋体" w:cs="宋体" w:hint="eastAsia"/>
          <w:kern w:val="2"/>
          <w:sz w:val="21"/>
          <w:szCs w:val="21"/>
          <w:lang w:eastAsia="zh-CN"/>
        </w:rPr>
        <w:t>的定标</w:t>
      </w:r>
      <w:r>
        <w:rPr>
          <w:rFonts w:ascii="宋体" w:eastAsia="宋体" w:hAnsi="宋体" w:cs="宋体" w:hint="eastAsia"/>
          <w:kern w:val="2"/>
          <w:sz w:val="21"/>
          <w:szCs w:val="21"/>
          <w:lang w:eastAsia="zh-CN"/>
        </w:rPr>
        <w:t>备选人员名单中随机抽取确定。</w:t>
      </w:r>
      <w:r>
        <w:rPr>
          <w:rFonts w:ascii="宋体" w:eastAsia="宋体" w:hAnsi="宋体" w:cs="宋体" w:hint="eastAsia"/>
          <w:kern w:val="2"/>
          <w:sz w:val="21"/>
          <w:szCs w:val="21"/>
          <w:lang w:eastAsia="zh-CN"/>
        </w:rPr>
        <w:t>定标备选人员</w:t>
      </w:r>
      <w:r>
        <w:rPr>
          <w:rFonts w:ascii="宋体" w:eastAsia="宋体" w:hAnsi="宋体" w:cs="宋体" w:hint="eastAsia"/>
          <w:kern w:val="2"/>
          <w:sz w:val="21"/>
          <w:szCs w:val="21"/>
          <w:lang w:eastAsia="zh-CN"/>
        </w:rPr>
        <w:t>从招标人、项目业主或者使用单位的领导班子成员、经营管理人员中产生</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确有需要的，财政性资金投资工程的招标人可以从本系统上下级主管部门或者系统外相关部门工作人员中确定成员；非财政性国有资金投资工程的招标人可以从与其有利益关系的母公司、子公司人员中确定成员。</w:t>
      </w:r>
    </w:p>
    <w:p w14:paraId="68C8656D">
      <w:pPr>
        <w:widowControl w:val="0"/>
        <w:adjustRightInd w:val="0"/>
        <w:snapToGrid w:val="0"/>
        <w:spacing w:line="360" w:lineRule="auto"/>
        <w:ind w:firstLine="412" w:firstLineChars="196"/>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36.7</w:t>
      </w:r>
      <w:r>
        <w:rPr>
          <w:rFonts w:ascii="宋体" w:eastAsia="宋体" w:hAnsi="宋体" w:cs="宋体" w:hint="eastAsia"/>
          <w:kern w:val="2"/>
          <w:sz w:val="21"/>
          <w:szCs w:val="21"/>
          <w:lang w:eastAsia="zh-CN"/>
        </w:rPr>
        <w:t>定标委员会应当在定标会上推荐定标组长，招标人的法定代表人或者主要负责人参加定标委员会的，由其直接担任定标委员会组长。招标人</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建设单位</w:t>
      </w:r>
      <w:r>
        <w:rPr>
          <w:rFonts w:ascii="宋体" w:eastAsia="宋体" w:hAnsi="宋体" w:cs="宋体" w:hint="eastAsia"/>
          <w:kern w:val="2"/>
          <w:sz w:val="21"/>
          <w:szCs w:val="21"/>
          <w:lang w:eastAsia="zh-CN"/>
        </w:rPr>
        <w:t>）</w:t>
      </w:r>
      <w:r>
        <w:rPr>
          <w:rFonts w:ascii="宋体" w:eastAsia="宋体" w:hAnsi="宋体" w:cs="宋体" w:hint="eastAsia"/>
          <w:kern w:val="2"/>
          <w:sz w:val="21"/>
          <w:szCs w:val="21"/>
          <w:lang w:eastAsia="zh-CN"/>
        </w:rPr>
        <w:t>应同时组建</w:t>
      </w:r>
      <w:r>
        <w:rPr>
          <w:rFonts w:ascii="宋体" w:eastAsia="宋体" w:hAnsi="宋体" w:cs="宋体" w:hint="eastAsia"/>
          <w:kern w:val="2"/>
          <w:sz w:val="21"/>
          <w:szCs w:val="21"/>
          <w:lang w:eastAsia="zh-CN"/>
        </w:rPr>
        <w:t>定标</w:t>
      </w:r>
      <w:r>
        <w:rPr>
          <w:rFonts w:ascii="宋体" w:eastAsia="宋体" w:hAnsi="宋体" w:cs="宋体" w:hint="eastAsia"/>
          <w:kern w:val="2"/>
          <w:sz w:val="21"/>
          <w:szCs w:val="21"/>
          <w:lang w:eastAsia="zh-CN"/>
        </w:rPr>
        <w:t>监督小组，对定标委员会的组建以及定标进行见证监督，实行全过程记录和可追溯管理。</w:t>
      </w:r>
      <w:r>
        <w:rPr>
          <w:rFonts w:ascii="宋体" w:eastAsia="宋体" w:hAnsi="宋体" w:cs="宋体" w:hint="eastAsia"/>
          <w:kern w:val="2"/>
          <w:sz w:val="21"/>
          <w:szCs w:val="21"/>
          <w:lang w:eastAsia="zh-CN"/>
        </w:rPr>
        <w:t>实行</w:t>
      </w:r>
      <w:r>
        <w:rPr>
          <w:rFonts w:ascii="宋体" w:eastAsia="宋体" w:hAnsi="宋体" w:cs="宋体" w:hint="eastAsia"/>
          <w:kern w:val="2"/>
          <w:sz w:val="21"/>
          <w:szCs w:val="21"/>
          <w:lang w:eastAsia="zh-CN"/>
        </w:rPr>
        <w:t>市场化代建的建设工程项目，定标监督小组</w:t>
      </w:r>
      <w:r>
        <w:rPr>
          <w:rFonts w:ascii="宋体" w:eastAsia="宋体" w:hAnsi="宋体" w:cs="宋体" w:hint="eastAsia"/>
          <w:kern w:val="2"/>
          <w:sz w:val="21"/>
          <w:szCs w:val="21"/>
          <w:lang w:eastAsia="zh-CN"/>
        </w:rPr>
        <w:t>由建设单位组建</w:t>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vertAlign w:val="superscript"/>
          <w:lang w:eastAsia="zh-CN"/>
        </w:rPr>
        <w:footnoteReference w:id="9"/>
      </w:r>
      <w:r>
        <w:rPr>
          <w:rFonts w:ascii="宋体" w:eastAsia="宋体" w:hAnsi="宋体" w:cs="宋体" w:hint="eastAsia"/>
          <w:kern w:val="2"/>
          <w:sz w:val="21"/>
          <w:szCs w:val="21"/>
          <w:vertAlign w:val="superscript"/>
          <w:lang w:eastAsia="zh-CN"/>
        </w:rPr>
        <w:t>]</w:t>
      </w:r>
      <w:r>
        <w:rPr>
          <w:rFonts w:ascii="宋体" w:eastAsia="宋体" w:hAnsi="宋体" w:cs="宋体" w:hint="eastAsia"/>
          <w:kern w:val="2"/>
          <w:sz w:val="21"/>
          <w:szCs w:val="21"/>
          <w:lang w:eastAsia="zh-CN"/>
        </w:rPr>
        <w:t>。</w:t>
      </w:r>
    </w:p>
    <w:p w14:paraId="2FA7E00E">
      <w:pPr>
        <w:widowControl w:val="0"/>
        <w:adjustRightInd w:val="0"/>
        <w:snapToGrid w:val="0"/>
        <w:spacing w:line="360" w:lineRule="auto"/>
        <w:ind w:firstLine="412" w:firstLineChars="196"/>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36.7招标人应当自评标结束后10个工作日内进入深圳交易集团有限公司（深圳公共资源交易中心）进行定标。不能按时定标的，应当通过交易网公示延期原因和最终定标时间。</w:t>
      </w:r>
    </w:p>
    <w:p w14:paraId="51AC658D">
      <w:pPr>
        <w:widowControl w:val="0"/>
        <w:spacing w:line="360" w:lineRule="auto"/>
        <w:ind w:firstLine="420" w:firstLineChars="200"/>
        <w:jc w:val="left"/>
        <w:rPr>
          <w:rFonts w:ascii="宋体" w:eastAsia="宋体" w:hAnsi="宋体" w:cs="宋体" w:hint="eastAsia"/>
          <w:sz w:val="21"/>
          <w:szCs w:val="21"/>
          <w:lang w:eastAsia="zh-CN"/>
        </w:rPr>
      </w:pPr>
      <w:r>
        <w:rPr>
          <w:rFonts w:ascii="宋体" w:eastAsia="宋体" w:hAnsi="宋体" w:cs="宋体" w:hint="eastAsia"/>
          <w:sz w:val="21"/>
          <w:szCs w:val="21"/>
          <w:lang w:eastAsia="zh-CN"/>
        </w:rPr>
        <w:t>36.8定标委员会成员在定标系统中提交选票（须说明推荐理由），并打印选票签名确认，定标过程公开、公平、公正。定标委员会按有关规定及招标文件约定的定标方法确定中标人。</w:t>
      </w:r>
    </w:p>
    <w:p w14:paraId="1BC5B78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36.9招标人应在定标结束后将定标记录、定标报告交由深圳交易集团有限公司（深圳公共资源交易中心）归档并同时公示定标结果和中标结果。定标记录应包括定标委员会会议过程、正式成员名单</w:t>
      </w:r>
      <w:r>
        <w:rPr>
          <w:rFonts w:ascii="宋体" w:eastAsia="宋体" w:hAnsi="宋体" w:cs="宋体" w:hint="eastAsia"/>
          <w:kern w:val="2"/>
          <w:sz w:val="21"/>
          <w:szCs w:val="21"/>
          <w:lang w:eastAsia="zh-CN"/>
        </w:rPr>
        <w:t>、监督小组名单</w:t>
      </w:r>
      <w:r>
        <w:rPr>
          <w:rFonts w:ascii="宋体" w:eastAsia="宋体" w:hAnsi="宋体" w:cs="宋体" w:hint="eastAsia"/>
          <w:kern w:val="2"/>
          <w:sz w:val="21"/>
          <w:szCs w:val="21"/>
          <w:lang w:eastAsia="zh-CN"/>
        </w:rPr>
        <w:t>。定标报告应包括定标委员会的产生过程、定标程序及定标结果等内容。招标人提交中标信息确认时，应认真核对中标公示信息，无误后再签名确认。</w:t>
      </w:r>
    </w:p>
    <w:p w14:paraId="1FAA04B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36.10招标人应当向定标委员会提供定标方案、清标报告作为定标辅助材料。定标结束后，定标方案、清标报告及定标委员投票结果等定标过程资料应当留存备查。</w:t>
      </w:r>
    </w:p>
    <w:p w14:paraId="16D6FE21">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37.定标其它规定</w:t>
      </w:r>
    </w:p>
    <w:p w14:paraId="342FFBBD">
      <w:pPr>
        <w:widowControl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b/>
          <w:bCs/>
          <w:kern w:val="2"/>
          <w:sz w:val="21"/>
          <w:szCs w:val="21"/>
          <w:lang w:eastAsia="zh-CN"/>
        </w:rPr>
        <w:t>定标后有下列情形之一的，招标人可以</w:t>
      </w:r>
      <w:r>
        <w:rPr>
          <w:rFonts w:ascii="宋体" w:eastAsia="宋体" w:hAnsi="宋体" w:cs="宋体" w:hint="eastAsia"/>
          <w:b/>
          <w:bCs/>
          <w:kern w:val="2"/>
          <w:sz w:val="21"/>
          <w:szCs w:val="21"/>
          <w:lang w:eastAsia="zh-CN"/>
        </w:rPr>
        <w:t>从</w:t>
      </w:r>
      <w:r>
        <w:rPr>
          <w:rFonts w:ascii="宋体" w:eastAsia="宋体" w:hAnsi="宋体" w:cs="宋体" w:hint="eastAsia"/>
          <w:b/>
          <w:bCs/>
          <w:kern w:val="2"/>
          <w:sz w:val="21"/>
          <w:szCs w:val="21"/>
          <w:lang w:eastAsia="zh-CN"/>
        </w:rPr>
        <w:t>其他</w:t>
      </w:r>
      <w:r>
        <w:rPr>
          <w:rFonts w:ascii="宋体" w:eastAsia="宋体" w:hAnsi="宋体" w:cs="宋体" w:hint="eastAsia"/>
          <w:b/>
          <w:bCs/>
          <w:kern w:val="2"/>
          <w:sz w:val="21"/>
          <w:szCs w:val="21"/>
          <w:lang w:eastAsia="zh-CN"/>
        </w:rPr>
        <w:t>中标候选</w:t>
      </w:r>
      <w:r>
        <w:rPr>
          <w:rFonts w:ascii="宋体" w:eastAsia="宋体" w:hAnsi="宋体" w:cs="宋体" w:hint="eastAsia"/>
          <w:b/>
          <w:bCs/>
          <w:kern w:val="2"/>
          <w:sz w:val="21"/>
          <w:szCs w:val="21"/>
          <w:lang w:eastAsia="zh-CN"/>
        </w:rPr>
        <w:t>人中采用原招标文件规定的定标方法，由原定标委员会确定中标人。</w:t>
      </w:r>
      <w:r>
        <w:rPr>
          <w:rFonts w:ascii="宋体" w:eastAsia="宋体" w:hAnsi="宋体" w:cs="宋体" w:hint="eastAsia"/>
          <w:b/>
          <w:bCs/>
          <w:kern w:val="2"/>
          <w:sz w:val="21"/>
          <w:szCs w:val="21"/>
          <w:lang w:eastAsia="zh-CN"/>
        </w:rPr>
        <w:t>原定标委员会成员不能出席的，可按原定标委员会的确定方式补足定标委员会成员。</w:t>
      </w:r>
    </w:p>
    <w:p w14:paraId="5C621761">
      <w:pPr>
        <w:widowControl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37</w:t>
      </w:r>
      <w:r>
        <w:rPr>
          <w:rFonts w:ascii="宋体" w:eastAsia="宋体" w:hAnsi="宋体" w:cs="宋体" w:hint="eastAsia"/>
          <w:kern w:val="2"/>
          <w:sz w:val="21"/>
          <w:szCs w:val="21"/>
          <w:lang w:eastAsia="zh-CN"/>
        </w:rPr>
        <w:t>.1中标人放弃中标资格或者拒不签订合同的；</w:t>
      </w:r>
    </w:p>
    <w:p w14:paraId="33BD310A">
      <w:pPr>
        <w:widowControl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37</w:t>
      </w:r>
      <w:r>
        <w:rPr>
          <w:rFonts w:ascii="宋体" w:eastAsia="宋体" w:hAnsi="宋体" w:cs="宋体" w:hint="eastAsia"/>
          <w:kern w:val="2"/>
          <w:sz w:val="21"/>
          <w:szCs w:val="21"/>
          <w:lang w:eastAsia="zh-CN"/>
        </w:rPr>
        <w:t>.2中标人不按照招标文件要求提交履约担保的；</w:t>
      </w:r>
    </w:p>
    <w:p w14:paraId="5A4F6EF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37</w:t>
      </w:r>
      <w:r>
        <w:rPr>
          <w:rFonts w:ascii="宋体" w:eastAsia="宋体" w:hAnsi="宋体" w:cs="宋体" w:hint="eastAsia"/>
          <w:kern w:val="2"/>
          <w:sz w:val="21"/>
          <w:szCs w:val="21"/>
          <w:lang w:eastAsia="zh-CN"/>
        </w:rPr>
        <w:t>.3被查实存在影响中标结果违法行为的。</w:t>
      </w:r>
    </w:p>
    <w:p w14:paraId="36FB4E40">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38.资信标表格</w:t>
      </w:r>
    </w:p>
    <w:p w14:paraId="7887E3C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38.1招标人可以结合项目实际要求投标人提供资信标作为定标参考因素之一。</w:t>
      </w:r>
    </w:p>
    <w:p w14:paraId="552F6D76">
      <w:pPr>
        <w:widowControl w:val="0"/>
        <w:adjustRightInd w:val="0"/>
        <w:snapToGrid w:val="0"/>
        <w:spacing w:line="360" w:lineRule="auto"/>
        <w:jc w:val="center"/>
        <w:rPr>
          <w:rFonts w:ascii="宋体" w:eastAsia="宋体" w:hAnsi="宋体" w:cs="宋体" w:hint="eastAsia"/>
          <w:b/>
          <w:sz w:val="28"/>
          <w:szCs w:val="28"/>
          <w:lang w:eastAsia="zh-CN"/>
        </w:rPr>
      </w:pPr>
      <w:r>
        <w:rPr>
          <w:rFonts w:ascii="宋体" w:eastAsia="宋体" w:hAnsi="宋体" w:cs="宋体" w:hint="eastAsia"/>
          <w:b/>
          <w:sz w:val="28"/>
          <w:szCs w:val="28"/>
          <w:lang w:eastAsia="zh-CN"/>
        </w:rPr>
        <w:t>资信标要求一览表（如有）</w:t>
      </w:r>
    </w:p>
    <w:tbl>
      <w:tblPr>
        <w:tblStyle w:val="TableNorm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
      <w:tblGrid>
        <w:gridCol w:w="1111"/>
        <w:gridCol w:w="2512"/>
        <w:gridCol w:w="5892"/>
      </w:tblGrid>
      <w:tr w14:paraId="41600028">
        <w:tblPrEx>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1"/>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2226A23">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序号</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3A1BD99A">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资信要素名称</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61D7CCBE">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有关要求或说明</w:t>
            </w:r>
          </w:p>
        </w:tc>
      </w:tr>
      <w:tr w14:paraId="7CE38E5A">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10F10CB2">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eastAsia="zh-CN"/>
              </w:rPr>
              <w:t>1</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142A3C4E">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企业基本信息</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6F0CE5A5">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提供企业营业执照</w:t>
            </w:r>
            <w:r>
              <w:rPr>
                <w:rFonts w:ascii="宋体" w:eastAsia="宋体" w:hAnsi="宋体" w:cs="宋体" w:hint="eastAsia"/>
                <w:color w:val="0000FF"/>
                <w:kern w:val="2"/>
                <w:sz w:val="21"/>
                <w:lang w:eastAsia="zh-CN"/>
              </w:rPr>
              <w:t>扫描件</w:t>
            </w:r>
            <w:r>
              <w:rPr>
                <w:rFonts w:ascii="宋体" w:eastAsia="宋体" w:hAnsi="宋体" w:cs="宋体" w:hint="eastAsia"/>
                <w:color w:val="0000FF"/>
                <w:kern w:val="2"/>
                <w:sz w:val="21"/>
                <w:lang w:val="zh-CN" w:eastAsia="zh-CN"/>
              </w:rPr>
              <w:t>和《投标人基本情况一览表》；</w:t>
            </w:r>
            <w:r>
              <w:rPr>
                <w:rFonts w:ascii="宋体" w:eastAsia="宋体" w:hAnsi="宋体" w:cs="宋体" w:hint="eastAsia"/>
                <w:color w:val="0000FF"/>
                <w:kern w:val="2"/>
                <w:sz w:val="21"/>
                <w:lang w:eastAsia="zh-CN"/>
              </w:rPr>
              <w:t>联合体投标的，联合体双方都要提供</w:t>
            </w:r>
            <w:r>
              <w:rPr>
                <w:rFonts w:ascii="宋体" w:eastAsia="宋体" w:hAnsi="宋体" w:cs="宋体" w:hint="eastAsia"/>
                <w:color w:val="0000FF"/>
                <w:kern w:val="2"/>
                <w:sz w:val="21"/>
                <w:lang w:val="zh-CN" w:eastAsia="zh-CN"/>
              </w:rPr>
              <w:t>。</w:t>
            </w:r>
          </w:p>
        </w:tc>
      </w:tr>
      <w:tr w14:paraId="49AED9FC">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3FA95BF5">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eastAsia="zh-CN"/>
              </w:rPr>
              <w:t>2</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5E4AD7F9">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投标人承接的最具代表性的同类工程造价咨询业绩</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7C9482A0">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val="zh-CN" w:eastAsia="zh-CN"/>
              </w:rPr>
            </w:pPr>
            <w:bookmarkStart w:id="53" w:name="OLE_LINK10"/>
            <w:r>
              <w:rPr>
                <w:rFonts w:ascii="宋体" w:eastAsia="宋体" w:hAnsi="宋体" w:cs="宋体" w:hint="eastAsia"/>
                <w:color w:val="0000FF"/>
                <w:kern w:val="2"/>
                <w:sz w:val="21"/>
                <w:lang w:val="zh-CN" w:eastAsia="zh-CN"/>
              </w:rPr>
              <w:t>投标人提供近5年（从招标公告发布之日起倒推，</w:t>
            </w:r>
            <w:r>
              <w:rPr>
                <w:rFonts w:ascii="宋体" w:eastAsia="宋体" w:hAnsi="宋体" w:cs="宋体" w:hint="eastAsia"/>
                <w:color w:val="0000FF"/>
                <w:kern w:val="2"/>
                <w:sz w:val="21"/>
                <w:lang w:eastAsia="zh-CN"/>
              </w:rPr>
              <w:t>以合同签订时间为准</w:t>
            </w:r>
            <w:r>
              <w:rPr>
                <w:rFonts w:ascii="宋体" w:eastAsia="宋体" w:hAnsi="宋体" w:cs="宋体" w:hint="eastAsia"/>
                <w:color w:val="0000FF"/>
                <w:kern w:val="2"/>
                <w:sz w:val="21"/>
                <w:lang w:val="zh-CN" w:eastAsia="zh-CN"/>
              </w:rPr>
              <w:t>）承接的主要建设内容为房屋建筑工程</w:t>
            </w:r>
            <w:r>
              <w:rPr>
                <w:rFonts w:ascii="宋体" w:eastAsia="宋体" w:hAnsi="宋体" w:cs="宋体" w:hint="eastAsia"/>
                <w:color w:val="0000FF"/>
                <w:kern w:val="2"/>
                <w:sz w:val="21"/>
                <w:lang w:eastAsia="zh-CN"/>
              </w:rPr>
              <w:t>的</w:t>
            </w:r>
            <w:r>
              <w:rPr>
                <w:rFonts w:ascii="宋体" w:eastAsia="宋体" w:hAnsi="宋体" w:cs="宋体" w:hint="eastAsia"/>
                <w:color w:val="0000FF"/>
                <w:kern w:val="2"/>
                <w:sz w:val="21"/>
                <w:lang w:val="zh-CN" w:eastAsia="zh-CN"/>
              </w:rPr>
              <w:t>造价咨询业绩，</w:t>
            </w:r>
            <w:r>
              <w:rPr>
                <w:rFonts w:ascii="宋体" w:eastAsia="宋体" w:hAnsi="宋体" w:cs="宋体" w:hint="eastAsia"/>
                <w:b/>
                <w:bCs/>
                <w:color w:val="0000FF"/>
                <w:kern w:val="2"/>
                <w:sz w:val="21"/>
                <w:lang w:eastAsia="zh-CN"/>
              </w:rPr>
              <w:t>不认可协审业绩</w:t>
            </w:r>
            <w:r>
              <w:rPr>
                <w:rFonts w:ascii="宋体" w:eastAsia="宋体" w:hAnsi="宋体" w:cs="宋体" w:hint="eastAsia"/>
                <w:color w:val="0000FF"/>
                <w:kern w:val="2"/>
                <w:sz w:val="21"/>
                <w:lang w:val="zh-CN" w:eastAsia="zh-CN"/>
              </w:rPr>
              <w:t>（不超过</w:t>
            </w:r>
            <w:r>
              <w:rPr>
                <w:rFonts w:ascii="宋体" w:eastAsia="宋体" w:hAnsi="宋体" w:cs="宋体" w:hint="eastAsia"/>
                <w:color w:val="0000FF"/>
                <w:kern w:val="2"/>
                <w:sz w:val="21"/>
                <w:lang w:eastAsia="zh-CN"/>
              </w:rPr>
              <w:t>5</w:t>
            </w:r>
            <w:r>
              <w:rPr>
                <w:rFonts w:ascii="宋体" w:eastAsia="宋体" w:hAnsi="宋体" w:cs="宋体" w:hint="eastAsia"/>
                <w:color w:val="0000FF"/>
                <w:kern w:val="2"/>
                <w:sz w:val="21"/>
                <w:lang w:val="zh-CN" w:eastAsia="zh-CN"/>
              </w:rPr>
              <w:t>项，提供业绩数量大于</w:t>
            </w:r>
            <w:r>
              <w:rPr>
                <w:rFonts w:ascii="宋体" w:eastAsia="宋体" w:hAnsi="宋体" w:cs="宋体" w:hint="eastAsia"/>
                <w:color w:val="0000FF"/>
                <w:kern w:val="2"/>
                <w:sz w:val="21"/>
                <w:lang w:eastAsia="zh-CN"/>
              </w:rPr>
              <w:t>5</w:t>
            </w:r>
            <w:r>
              <w:rPr>
                <w:rFonts w:ascii="宋体" w:eastAsia="宋体" w:hAnsi="宋体" w:cs="宋体" w:hint="eastAsia"/>
                <w:color w:val="0000FF"/>
                <w:kern w:val="2"/>
                <w:sz w:val="21"/>
                <w:lang w:val="zh-CN" w:eastAsia="zh-CN"/>
              </w:rPr>
              <w:t>项的，招标人只对投标人提供的业绩证明资料前</w:t>
            </w:r>
            <w:r>
              <w:rPr>
                <w:rFonts w:ascii="宋体" w:eastAsia="宋体" w:hAnsi="宋体" w:cs="宋体" w:hint="eastAsia"/>
                <w:color w:val="0000FF"/>
                <w:kern w:val="2"/>
                <w:sz w:val="21"/>
                <w:lang w:eastAsia="zh-CN"/>
              </w:rPr>
              <w:t>5</w:t>
            </w:r>
            <w:r>
              <w:rPr>
                <w:rFonts w:ascii="宋体" w:eastAsia="宋体" w:hAnsi="宋体" w:cs="宋体" w:hint="eastAsia"/>
                <w:color w:val="0000FF"/>
                <w:kern w:val="2"/>
                <w:sz w:val="21"/>
                <w:lang w:val="zh-CN" w:eastAsia="zh-CN"/>
              </w:rPr>
              <w:t>项进行复核和统计）。</w:t>
            </w:r>
          </w:p>
          <w:p w14:paraId="0A45350C">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val="zh-CN" w:eastAsia="zh-CN"/>
              </w:rPr>
            </w:pPr>
            <w:r>
              <w:rPr>
                <w:rFonts w:ascii="宋体" w:eastAsia="宋体" w:hAnsi="宋体" w:cs="宋体" w:hint="eastAsia"/>
                <w:color w:val="0000FF"/>
                <w:kern w:val="2"/>
                <w:sz w:val="21"/>
                <w:lang w:val="zh-CN" w:eastAsia="zh-CN"/>
              </w:rPr>
              <w:t>证明资料为：（</w:t>
            </w:r>
            <w:r>
              <w:rPr>
                <w:rFonts w:ascii="宋体" w:eastAsia="宋体" w:hAnsi="宋体" w:cs="宋体" w:hint="eastAsia"/>
                <w:color w:val="0000FF"/>
                <w:kern w:val="2"/>
                <w:sz w:val="21"/>
                <w:lang w:eastAsia="zh-CN"/>
              </w:rPr>
              <w:t>1</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同时提供</w:t>
            </w:r>
            <w:r>
              <w:rPr>
                <w:rFonts w:ascii="宋体" w:eastAsia="宋体" w:hAnsi="宋体" w:cs="宋体" w:hint="eastAsia"/>
                <w:color w:val="0000FF"/>
                <w:kern w:val="2"/>
                <w:sz w:val="21"/>
                <w:lang w:val="zh-CN" w:eastAsia="zh-CN"/>
              </w:rPr>
              <w:t>合同</w:t>
            </w:r>
            <w:r>
              <w:rPr>
                <w:rFonts w:ascii="宋体" w:eastAsia="宋体" w:hAnsi="宋体" w:cs="宋体" w:hint="eastAsia"/>
                <w:color w:val="0000FF"/>
                <w:kern w:val="2"/>
                <w:sz w:val="21"/>
                <w:lang w:eastAsia="zh-CN"/>
              </w:rPr>
              <w:t>关键页</w:t>
            </w:r>
            <w:r>
              <w:rPr>
                <w:rFonts w:ascii="宋体" w:eastAsia="宋体" w:hAnsi="宋体" w:cs="宋体" w:hint="eastAsia"/>
                <w:color w:val="0000FF"/>
                <w:kern w:val="2"/>
                <w:sz w:val="21"/>
                <w:lang w:val="zh-CN" w:eastAsia="zh-CN"/>
              </w:rPr>
              <w:t>扫描件（应含项目名称、合同金额、合同内容、合同签订时间、双方盖章，所提供的合同未体现上述主要内容的，招标人将可能作出不利于投标人的判定）、</w:t>
            </w:r>
            <w:r>
              <w:rPr>
                <w:rFonts w:ascii="宋体" w:eastAsia="宋体" w:hAnsi="宋体" w:cs="宋体" w:hint="eastAsia"/>
                <w:color w:val="0000FF"/>
                <w:kern w:val="2"/>
                <w:sz w:val="21"/>
                <w:lang w:eastAsia="zh-CN"/>
              </w:rPr>
              <w:t>造价成果文件扫描件（</w:t>
            </w:r>
            <w:r>
              <w:rPr>
                <w:rFonts w:ascii="宋体" w:eastAsia="宋体" w:hAnsi="宋体" w:cs="宋体" w:hint="eastAsia"/>
                <w:color w:val="0000FF"/>
                <w:kern w:val="2"/>
                <w:sz w:val="21"/>
                <w:lang w:val="zh-CN" w:eastAsia="zh-CN"/>
              </w:rPr>
              <w:t>应包含项目名称、</w:t>
            </w:r>
            <w:r>
              <w:rPr>
                <w:rFonts w:ascii="宋体" w:eastAsia="宋体" w:hAnsi="宋体" w:cs="宋体" w:hint="eastAsia"/>
                <w:color w:val="0000FF"/>
                <w:kern w:val="2"/>
                <w:sz w:val="21"/>
                <w:lang w:eastAsia="zh-CN"/>
              </w:rPr>
              <w:t>建设单位名称</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造价成果金额</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造价单位盖章</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造价工程师注册</w:t>
            </w:r>
            <w:r>
              <w:rPr>
                <w:rFonts w:ascii="宋体" w:eastAsia="宋体" w:hAnsi="宋体" w:cs="宋体" w:hint="eastAsia"/>
                <w:color w:val="0000FF"/>
                <w:kern w:val="2"/>
                <w:sz w:val="21"/>
                <w:lang w:val="zh-CN" w:eastAsia="zh-CN"/>
              </w:rPr>
              <w:t>章、</w:t>
            </w:r>
            <w:r>
              <w:rPr>
                <w:rFonts w:ascii="宋体" w:eastAsia="宋体" w:hAnsi="宋体" w:cs="宋体" w:hint="eastAsia"/>
                <w:color w:val="0000FF"/>
                <w:kern w:val="2"/>
                <w:sz w:val="21"/>
                <w:lang w:eastAsia="zh-CN"/>
              </w:rPr>
              <w:t>日期等关键信息）</w:t>
            </w:r>
            <w:r>
              <w:rPr>
                <w:rFonts w:ascii="宋体" w:eastAsia="宋体" w:hAnsi="宋体" w:cs="宋体" w:hint="eastAsia"/>
                <w:color w:val="0000FF"/>
                <w:kern w:val="2"/>
                <w:sz w:val="21"/>
                <w:lang w:val="zh-CN" w:eastAsia="zh-CN"/>
              </w:rPr>
              <w:t>。</w:t>
            </w:r>
          </w:p>
          <w:p w14:paraId="6D2D7299">
            <w:pPr>
              <w:widowControl w:val="0"/>
              <w:numPr>
                <w:ilvl w:val="0"/>
                <w:numId w:val="0"/>
              </w:numPr>
              <w:spacing w:after="120"/>
              <w:ind w:left="0" w:firstLine="0" w:leftChars="0" w:firstLineChars="0"/>
              <w:jc w:val="both"/>
              <w:rPr>
                <w:rFonts w:eastAsia="宋体" w:hint="eastAsia"/>
                <w:color w:val="0000FF"/>
                <w:kern w:val="2"/>
                <w:sz w:val="21"/>
                <w:lang w:eastAsia="zh-CN"/>
              </w:rPr>
            </w:pPr>
            <w:r>
              <w:rPr>
                <w:rFonts w:eastAsia="宋体" w:hint="eastAsia"/>
                <w:color w:val="0000FF"/>
                <w:kern w:val="2"/>
                <w:sz w:val="21"/>
                <w:lang w:eastAsia="zh-CN"/>
              </w:rPr>
              <w:t>（2）</w:t>
            </w:r>
            <w:r>
              <w:rPr>
                <w:rFonts w:eastAsia="宋体" w:hint="eastAsia"/>
                <w:color w:val="0000FF"/>
                <w:kern w:val="2"/>
                <w:sz w:val="21"/>
                <w:lang w:eastAsia="zh-CN"/>
              </w:rPr>
              <w:t>造价成果文件可以是施工图预算（或招标控制价）、工程结算等任何一个阶段的造价成果。</w:t>
            </w:r>
          </w:p>
          <w:p w14:paraId="6FDDD5E4">
            <w:pPr>
              <w:widowControl w:val="0"/>
              <w:numPr>
                <w:ilvl w:val="12"/>
                <w:numId w:val="0"/>
              </w:numPr>
              <w:spacing w:after="120"/>
              <w:ind w:left="0" w:firstLine="0" w:leftChars="0" w:firstLineChars="0"/>
              <w:jc w:val="both"/>
              <w:rPr>
                <w:rFonts w:eastAsia="宋体"/>
                <w:b/>
                <w:bCs/>
                <w:color w:val="0000FF"/>
                <w:kern w:val="2"/>
                <w:sz w:val="21"/>
                <w:lang w:eastAsia="zh-CN"/>
              </w:rPr>
            </w:pPr>
            <w:r>
              <w:rPr>
                <w:rFonts w:eastAsia="宋体" w:hint="eastAsia"/>
                <w:b/>
                <w:bCs/>
                <w:color w:val="0000FF"/>
                <w:kern w:val="2"/>
                <w:sz w:val="21"/>
                <w:lang w:eastAsia="zh-CN"/>
              </w:rPr>
              <w:t>（</w:t>
            </w:r>
            <w:r>
              <w:rPr>
                <w:rFonts w:eastAsia="宋体" w:hint="eastAsia"/>
                <w:b/>
                <w:bCs/>
                <w:color w:val="0000FF"/>
                <w:kern w:val="2"/>
                <w:sz w:val="21"/>
                <w:lang w:eastAsia="zh-CN"/>
              </w:rPr>
              <w:t>3</w:t>
            </w:r>
            <w:r>
              <w:rPr>
                <w:rFonts w:eastAsia="宋体" w:hint="eastAsia"/>
                <w:b/>
                <w:bCs/>
                <w:color w:val="0000FF"/>
                <w:kern w:val="2"/>
                <w:sz w:val="21"/>
                <w:lang w:eastAsia="zh-CN"/>
              </w:rPr>
              <w:t>）</w:t>
            </w:r>
            <w:r>
              <w:rPr>
                <w:rFonts w:eastAsia="宋体" w:hint="eastAsia"/>
                <w:b/>
                <w:bCs/>
                <w:color w:val="0000FF"/>
                <w:kern w:val="2"/>
                <w:sz w:val="21"/>
                <w:lang w:eastAsia="zh-CN"/>
              </w:rPr>
              <w:t>以联合体方式投标的，以联合体中任何一方的业绩为准，不累加双方的业绩。</w:t>
            </w:r>
          </w:p>
          <w:bookmarkEnd w:id="53"/>
          <w:p w14:paraId="6568000D">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2"/>
                <w:lang w:val="zh-CN" w:eastAsia="zh-CN"/>
              </w:rPr>
            </w:pPr>
          </w:p>
        </w:tc>
      </w:tr>
      <w:tr w14:paraId="70EC03C6">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3B13EC9">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eastAsia="zh-CN"/>
              </w:rPr>
              <w:t>3</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6E084613">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2"/>
                <w:lang w:val="zh-CN" w:eastAsia="zh-CN"/>
              </w:rPr>
            </w:pPr>
            <w:r>
              <w:rPr>
                <w:rFonts w:ascii="宋体" w:eastAsia="宋体" w:hAnsi="宋体" w:cs="宋体" w:hint="eastAsia"/>
                <w:color w:val="0000FF"/>
                <w:kern w:val="2"/>
                <w:sz w:val="21"/>
                <w:lang w:val="zh-CN" w:eastAsia="zh-CN"/>
              </w:rPr>
              <w:t>拟派项目负责人同类工程造价咨询业绩</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77896283">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val="zh-CN" w:eastAsia="zh-CN"/>
              </w:rPr>
            </w:pPr>
            <w:bookmarkStart w:id="54" w:name="OLE_LINK16"/>
            <w:r>
              <w:rPr>
                <w:rFonts w:ascii="宋体" w:eastAsia="宋体" w:hAnsi="宋体" w:cs="宋体" w:hint="eastAsia"/>
                <w:color w:val="0000FF"/>
                <w:kern w:val="2"/>
                <w:sz w:val="21"/>
                <w:lang w:val="zh-CN" w:eastAsia="zh-CN"/>
              </w:rPr>
              <w:t>提供拟派</w:t>
            </w:r>
            <w:bookmarkEnd w:id="54"/>
            <w:r>
              <w:rPr>
                <w:rFonts w:ascii="宋体" w:eastAsia="宋体" w:hAnsi="宋体" w:cs="宋体" w:hint="eastAsia"/>
                <w:color w:val="0000FF"/>
                <w:kern w:val="2"/>
                <w:sz w:val="21"/>
                <w:lang w:val="zh-CN" w:eastAsia="zh-CN"/>
              </w:rPr>
              <w:t>项目负责人近</w:t>
            </w:r>
            <w:r>
              <w:rPr>
                <w:rFonts w:ascii="宋体" w:eastAsia="宋体" w:hAnsi="宋体" w:cs="宋体" w:hint="eastAsia"/>
                <w:color w:val="0000FF"/>
                <w:kern w:val="2"/>
                <w:sz w:val="21"/>
                <w:lang w:eastAsia="zh-CN"/>
              </w:rPr>
              <w:t>5</w:t>
            </w:r>
            <w:r>
              <w:rPr>
                <w:rFonts w:ascii="宋体" w:eastAsia="宋体" w:hAnsi="宋体" w:cs="宋体" w:hint="eastAsia"/>
                <w:color w:val="0000FF"/>
                <w:kern w:val="2"/>
                <w:sz w:val="21"/>
                <w:lang w:val="zh-CN" w:eastAsia="zh-CN"/>
              </w:rPr>
              <w:t>年（从招标公告发布之日起倒推，</w:t>
            </w:r>
            <w:r>
              <w:rPr>
                <w:rFonts w:ascii="宋体" w:eastAsia="宋体" w:hAnsi="宋体" w:cs="宋体" w:hint="eastAsia"/>
                <w:color w:val="0000FF"/>
                <w:kern w:val="2"/>
                <w:sz w:val="21"/>
                <w:lang w:eastAsia="zh-CN"/>
              </w:rPr>
              <w:t>以合同签订时间为准</w:t>
            </w:r>
            <w:r>
              <w:rPr>
                <w:rFonts w:ascii="宋体" w:eastAsia="宋体" w:hAnsi="宋体" w:cs="宋体" w:hint="eastAsia"/>
                <w:color w:val="0000FF"/>
                <w:kern w:val="2"/>
                <w:sz w:val="21"/>
                <w:lang w:val="zh-CN" w:eastAsia="zh-CN"/>
              </w:rPr>
              <w:t>）承</w:t>
            </w:r>
            <w:r>
              <w:rPr>
                <w:rFonts w:ascii="宋体" w:eastAsia="宋体" w:hAnsi="宋体" w:cs="宋体" w:hint="eastAsia"/>
                <w:color w:val="0000FF"/>
                <w:kern w:val="2"/>
                <w:sz w:val="21"/>
                <w:lang w:eastAsia="zh-CN"/>
              </w:rPr>
              <w:t>担</w:t>
            </w:r>
            <w:r>
              <w:rPr>
                <w:rFonts w:ascii="宋体" w:eastAsia="宋体" w:hAnsi="宋体" w:cs="宋体" w:hint="eastAsia"/>
                <w:color w:val="0000FF"/>
                <w:kern w:val="2"/>
                <w:sz w:val="21"/>
                <w:lang w:val="zh-CN" w:eastAsia="zh-CN"/>
              </w:rPr>
              <w:t>的主要建设内容为房屋建筑工程</w:t>
            </w:r>
            <w:r>
              <w:rPr>
                <w:rFonts w:ascii="宋体" w:eastAsia="宋体" w:hAnsi="宋体" w:cs="宋体" w:hint="eastAsia"/>
                <w:color w:val="0000FF"/>
                <w:kern w:val="2"/>
                <w:sz w:val="21"/>
                <w:lang w:eastAsia="zh-CN"/>
              </w:rPr>
              <w:t>的</w:t>
            </w:r>
            <w:r>
              <w:rPr>
                <w:rFonts w:ascii="宋体" w:eastAsia="宋体" w:hAnsi="宋体" w:cs="宋体" w:hint="eastAsia"/>
                <w:color w:val="0000FF"/>
                <w:kern w:val="2"/>
                <w:sz w:val="21"/>
                <w:lang w:val="zh-CN" w:eastAsia="zh-CN"/>
              </w:rPr>
              <w:t>造价咨询业绩，</w:t>
            </w:r>
            <w:r>
              <w:rPr>
                <w:rFonts w:ascii="宋体" w:eastAsia="宋体" w:hAnsi="宋体" w:cs="宋体" w:hint="eastAsia"/>
                <w:b/>
                <w:bCs/>
                <w:color w:val="0000FF"/>
                <w:kern w:val="2"/>
                <w:sz w:val="21"/>
                <w:lang w:eastAsia="zh-CN"/>
              </w:rPr>
              <w:t>不认可协审业绩</w:t>
            </w:r>
            <w:r>
              <w:rPr>
                <w:rFonts w:ascii="宋体" w:eastAsia="宋体" w:hAnsi="宋体" w:cs="宋体" w:hint="eastAsia"/>
                <w:color w:val="0000FF"/>
                <w:kern w:val="2"/>
                <w:sz w:val="21"/>
                <w:lang w:val="zh-CN" w:eastAsia="zh-CN"/>
              </w:rPr>
              <w:t>（不超过</w:t>
            </w:r>
            <w:r>
              <w:rPr>
                <w:rFonts w:ascii="宋体" w:eastAsia="宋体" w:hAnsi="宋体" w:cs="宋体"/>
                <w:color w:val="0000FF"/>
                <w:kern w:val="2"/>
                <w:sz w:val="21"/>
                <w:lang w:eastAsia="zh-CN"/>
              </w:rPr>
              <w:t>2</w:t>
            </w:r>
            <w:r>
              <w:rPr>
                <w:rFonts w:ascii="宋体" w:eastAsia="宋体" w:hAnsi="宋体" w:cs="宋体" w:hint="eastAsia"/>
                <w:color w:val="0000FF"/>
                <w:kern w:val="2"/>
                <w:sz w:val="21"/>
                <w:lang w:val="zh-CN" w:eastAsia="zh-CN"/>
              </w:rPr>
              <w:t>项，提供业绩数量大于</w:t>
            </w:r>
            <w:r>
              <w:rPr>
                <w:rFonts w:ascii="宋体" w:eastAsia="宋体" w:hAnsi="宋体" w:cs="宋体"/>
                <w:color w:val="0000FF"/>
                <w:kern w:val="2"/>
                <w:sz w:val="21"/>
                <w:lang w:eastAsia="zh-CN"/>
              </w:rPr>
              <w:t>2</w:t>
            </w:r>
            <w:r>
              <w:rPr>
                <w:rFonts w:ascii="宋体" w:eastAsia="宋体" w:hAnsi="宋体" w:cs="宋体" w:hint="eastAsia"/>
                <w:color w:val="0000FF"/>
                <w:kern w:val="2"/>
                <w:sz w:val="21"/>
                <w:lang w:val="zh-CN" w:eastAsia="zh-CN"/>
              </w:rPr>
              <w:t>项的，招标人只对投标人提供的业绩证明资料前</w:t>
            </w:r>
            <w:r>
              <w:rPr>
                <w:rFonts w:ascii="宋体" w:eastAsia="宋体" w:hAnsi="宋体" w:cs="宋体"/>
                <w:color w:val="0000FF"/>
                <w:kern w:val="2"/>
                <w:sz w:val="21"/>
                <w:lang w:eastAsia="zh-CN"/>
              </w:rPr>
              <w:t>2</w:t>
            </w:r>
            <w:r>
              <w:rPr>
                <w:rFonts w:ascii="宋体" w:eastAsia="宋体" w:hAnsi="宋体" w:cs="宋体" w:hint="eastAsia"/>
                <w:color w:val="0000FF"/>
                <w:kern w:val="2"/>
                <w:sz w:val="21"/>
                <w:lang w:val="zh-CN" w:eastAsia="zh-CN"/>
              </w:rPr>
              <w:t>项进行复核和统计）。</w:t>
            </w:r>
          </w:p>
          <w:p w14:paraId="61789858">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val="zh-CN" w:eastAsia="zh-CN"/>
              </w:rPr>
            </w:pPr>
            <w:r>
              <w:rPr>
                <w:rFonts w:ascii="宋体" w:eastAsia="宋体" w:hAnsi="宋体" w:cs="宋体" w:hint="eastAsia"/>
                <w:color w:val="0000FF"/>
                <w:kern w:val="2"/>
                <w:sz w:val="21"/>
                <w:lang w:val="zh-CN" w:eastAsia="zh-CN"/>
              </w:rPr>
              <w:t>证明资料为：（</w:t>
            </w:r>
            <w:r>
              <w:rPr>
                <w:rFonts w:ascii="宋体" w:eastAsia="宋体" w:hAnsi="宋体" w:cs="宋体" w:hint="eastAsia"/>
                <w:color w:val="0000FF"/>
                <w:kern w:val="2"/>
                <w:sz w:val="21"/>
                <w:lang w:eastAsia="zh-CN"/>
              </w:rPr>
              <w:t>1</w:t>
            </w:r>
            <w:r>
              <w:rPr>
                <w:rFonts w:ascii="宋体" w:eastAsia="宋体" w:hAnsi="宋体" w:cs="宋体" w:hint="eastAsia"/>
                <w:color w:val="0000FF"/>
                <w:kern w:val="2"/>
                <w:sz w:val="21"/>
                <w:lang w:val="zh-CN" w:eastAsia="zh-CN"/>
              </w:rPr>
              <w:t>）合同</w:t>
            </w:r>
            <w:r>
              <w:rPr>
                <w:rFonts w:ascii="宋体" w:eastAsia="宋体" w:hAnsi="宋体" w:cs="宋体" w:hint="eastAsia"/>
                <w:color w:val="0000FF"/>
                <w:kern w:val="2"/>
                <w:sz w:val="21"/>
                <w:lang w:eastAsia="zh-CN"/>
              </w:rPr>
              <w:t>关键页扫描件</w:t>
            </w:r>
            <w:r>
              <w:rPr>
                <w:rFonts w:ascii="宋体" w:eastAsia="宋体" w:hAnsi="宋体" w:cs="宋体" w:hint="eastAsia"/>
                <w:color w:val="0000FF"/>
                <w:kern w:val="2"/>
                <w:sz w:val="21"/>
                <w:lang w:val="zh-CN" w:eastAsia="zh-CN"/>
              </w:rPr>
              <w:t>（应包含项目名称、合同金额、合同内容、合同签订时间、双方盖章，</w:t>
            </w:r>
            <w:bookmarkStart w:id="55" w:name="OLE_LINK17"/>
            <w:r>
              <w:rPr>
                <w:rFonts w:ascii="宋体" w:eastAsia="宋体" w:hAnsi="宋体" w:cs="宋体" w:hint="eastAsia"/>
                <w:color w:val="0000FF"/>
                <w:kern w:val="2"/>
                <w:sz w:val="21"/>
                <w:lang w:val="zh-CN" w:eastAsia="zh-CN"/>
              </w:rPr>
              <w:t>所提供的合同未体现上述主要内容的，招标人将可能作出不利于投标人的判定）、</w:t>
            </w:r>
            <w:r>
              <w:rPr>
                <w:rFonts w:ascii="宋体" w:eastAsia="宋体" w:hAnsi="宋体" w:cs="宋体" w:hint="eastAsia"/>
                <w:color w:val="0000FF"/>
                <w:kern w:val="2"/>
                <w:sz w:val="21"/>
                <w:lang w:eastAsia="zh-CN"/>
              </w:rPr>
              <w:t>造价成果文件扫描件（</w:t>
            </w:r>
            <w:r>
              <w:rPr>
                <w:rFonts w:ascii="宋体" w:eastAsia="宋体" w:hAnsi="宋体" w:cs="宋体" w:hint="eastAsia"/>
                <w:color w:val="0000FF"/>
                <w:kern w:val="2"/>
                <w:sz w:val="21"/>
                <w:lang w:val="zh-CN" w:eastAsia="zh-CN"/>
              </w:rPr>
              <w:t>应包含项目名称、</w:t>
            </w:r>
            <w:r>
              <w:rPr>
                <w:rFonts w:ascii="宋体" w:eastAsia="宋体" w:hAnsi="宋体" w:cs="宋体" w:hint="eastAsia"/>
                <w:color w:val="0000FF"/>
                <w:kern w:val="2"/>
                <w:sz w:val="21"/>
                <w:lang w:eastAsia="zh-CN"/>
              </w:rPr>
              <w:t>建设单位名称</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造价成果金额</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造价单位盖章</w:t>
            </w:r>
            <w:r>
              <w:rPr>
                <w:rFonts w:ascii="宋体" w:eastAsia="宋体" w:hAnsi="宋体" w:cs="宋体" w:hint="eastAsia"/>
                <w:color w:val="0000FF"/>
                <w:kern w:val="2"/>
                <w:sz w:val="21"/>
                <w:lang w:val="zh-CN" w:eastAsia="zh-CN"/>
              </w:rPr>
              <w:t>、</w:t>
            </w:r>
            <w:r>
              <w:rPr>
                <w:rFonts w:ascii="宋体" w:eastAsia="宋体" w:hAnsi="宋体" w:cs="宋体" w:hint="eastAsia"/>
                <w:color w:val="0000FF"/>
                <w:kern w:val="2"/>
                <w:sz w:val="21"/>
                <w:lang w:eastAsia="zh-CN"/>
              </w:rPr>
              <w:t>造价工程师注册</w:t>
            </w:r>
            <w:r>
              <w:rPr>
                <w:rFonts w:ascii="宋体" w:eastAsia="宋体" w:hAnsi="宋体" w:cs="宋体" w:hint="eastAsia"/>
                <w:color w:val="0000FF"/>
                <w:kern w:val="2"/>
                <w:sz w:val="21"/>
                <w:lang w:val="zh-CN" w:eastAsia="zh-CN"/>
              </w:rPr>
              <w:t>章、</w:t>
            </w:r>
            <w:r>
              <w:rPr>
                <w:rFonts w:ascii="宋体" w:eastAsia="宋体" w:hAnsi="宋体" w:cs="宋体" w:hint="eastAsia"/>
                <w:color w:val="0000FF"/>
                <w:kern w:val="2"/>
                <w:sz w:val="21"/>
                <w:lang w:eastAsia="zh-CN"/>
              </w:rPr>
              <w:t>日期等关键信息）</w:t>
            </w:r>
            <w:r>
              <w:rPr>
                <w:rFonts w:ascii="宋体" w:eastAsia="宋体" w:hAnsi="宋体" w:cs="宋体" w:hint="eastAsia"/>
                <w:color w:val="0000FF"/>
                <w:kern w:val="2"/>
                <w:sz w:val="21"/>
                <w:lang w:val="zh-CN" w:eastAsia="zh-CN"/>
              </w:rPr>
              <w:t>。</w:t>
            </w:r>
            <w:bookmarkEnd w:id="55"/>
          </w:p>
          <w:p w14:paraId="4DDB3FE6">
            <w:pPr>
              <w:widowControl w:val="0"/>
              <w:spacing w:after="120"/>
              <w:ind w:left="0" w:firstLine="0" w:leftChars="0" w:firstLineChars="0"/>
              <w:jc w:val="both"/>
              <w:rPr>
                <w:rFonts w:eastAsia="宋体" w:hint="eastAsia"/>
                <w:color w:val="0000FF"/>
                <w:kern w:val="2"/>
                <w:sz w:val="21"/>
                <w:lang w:val="zh-CN" w:eastAsia="zh-CN"/>
              </w:rPr>
            </w:pPr>
            <w:r>
              <w:rPr>
                <w:rFonts w:eastAsia="宋体" w:hint="eastAsia"/>
                <w:color w:val="0000FF"/>
                <w:kern w:val="2"/>
                <w:sz w:val="21"/>
                <w:lang w:eastAsia="zh-CN"/>
              </w:rPr>
              <w:t>（2）</w:t>
            </w:r>
            <w:r>
              <w:rPr>
                <w:rFonts w:eastAsia="宋体" w:hint="eastAsia"/>
                <w:color w:val="0000FF"/>
                <w:kern w:val="2"/>
                <w:sz w:val="21"/>
                <w:lang w:eastAsia="zh-CN"/>
              </w:rPr>
              <w:t>造价成果文件可以是施工图预算（或招标控制价）、工程结算等任何一个阶段的造价成果。</w:t>
            </w:r>
          </w:p>
        </w:tc>
      </w:tr>
      <w:tr w14:paraId="338D7C9F">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4E8F48A2">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hint="eastAsia"/>
                <w:color w:val="0000FF"/>
                <w:kern w:val="2"/>
                <w:sz w:val="21"/>
                <w:lang w:eastAsia="zh-CN"/>
              </w:rPr>
            </w:pPr>
            <w:r>
              <w:rPr>
                <w:rFonts w:ascii="宋体" w:eastAsia="宋体" w:hAnsi="宋体" w:cs="宋体" w:hint="eastAsia"/>
                <w:color w:val="0000FF"/>
                <w:kern w:val="2"/>
                <w:sz w:val="21"/>
                <w:lang w:eastAsia="zh-CN"/>
              </w:rPr>
              <w:t>4</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715EFA37">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eastAsia="zh-CN"/>
              </w:rPr>
            </w:pPr>
            <w:r>
              <w:rPr>
                <w:rFonts w:ascii="宋体" w:eastAsia="宋体" w:hAnsi="宋体" w:cs="宋体" w:hint="eastAsia"/>
                <w:color w:val="0000FF"/>
                <w:kern w:val="2"/>
                <w:sz w:val="21"/>
                <w:lang w:val="zh-CN" w:eastAsia="zh-CN"/>
              </w:rPr>
              <w:t>投标人</w:t>
            </w:r>
            <w:r>
              <w:rPr>
                <w:rFonts w:ascii="宋体" w:eastAsia="宋体" w:hAnsi="宋体" w:cs="宋体" w:hint="eastAsia"/>
                <w:color w:val="0000FF"/>
                <w:kern w:val="2"/>
                <w:sz w:val="21"/>
                <w:lang w:eastAsia="zh-CN"/>
              </w:rPr>
              <w:t>工程造价咨询企业信用评价情况</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60E4953C">
            <w:pPr>
              <w:widowControl/>
              <w:spacing w:beforeLines="0" w:after="0" w:afterLines="0" w:line="312" w:lineRule="atLeast"/>
              <w:ind w:left="0"/>
              <w:jc w:val="left"/>
              <w:rPr>
                <w:rFonts w:ascii="宋体" w:eastAsia="宋体" w:hAnsi="宋体" w:cs="宋体"/>
                <w:color w:val="0000FF"/>
                <w:kern w:val="2"/>
                <w:sz w:val="21"/>
                <w:szCs w:val="22"/>
                <w:lang w:eastAsia="zh-CN"/>
              </w:rPr>
            </w:pPr>
            <w:r>
              <w:rPr>
                <w:rFonts w:ascii="宋体" w:eastAsia="宋体" w:hAnsi="宋体" w:cs="宋体" w:hint="eastAsia"/>
                <w:color w:val="0000FF"/>
                <w:kern w:val="2"/>
                <w:sz w:val="21"/>
                <w:lang w:eastAsia="zh-CN"/>
              </w:rPr>
              <w:t>投标人近3年（从招标公告发布之日起倒推）获得过工程造价咨询企业信用评价结果AAA评价情况。</w:t>
            </w:r>
            <w:r>
              <w:rPr>
                <w:rFonts w:ascii="宋体" w:eastAsia="宋体" w:hAnsi="宋体" w:cs="宋体"/>
                <w:color w:val="0000FF"/>
                <w:kern w:val="2"/>
                <w:sz w:val="21"/>
                <w:szCs w:val="22"/>
                <w:lang w:eastAsia="zh-CN"/>
              </w:rPr>
              <w:t>（</w:t>
            </w:r>
            <w:r>
              <w:rPr>
                <w:rFonts w:ascii="宋体" w:eastAsia="宋体" w:hAnsi="宋体" w:cs="宋体" w:hint="eastAsia"/>
                <w:color w:val="0000FF"/>
                <w:kern w:val="2"/>
                <w:sz w:val="21"/>
                <w:szCs w:val="22"/>
                <w:lang w:eastAsia="zh-CN"/>
              </w:rPr>
              <w:t>提供1项</w:t>
            </w:r>
            <w:r>
              <w:rPr>
                <w:rFonts w:ascii="宋体" w:eastAsia="宋体" w:hAnsi="宋体" w:cs="宋体" w:hint="eastAsia"/>
                <w:color w:val="0000FF"/>
                <w:kern w:val="2"/>
                <w:sz w:val="21"/>
                <w:lang w:eastAsia="zh-CN"/>
              </w:rPr>
              <w:t>信用评价结果</w:t>
            </w:r>
            <w:r>
              <w:rPr>
                <w:rFonts w:ascii="宋体" w:eastAsia="宋体" w:hAnsi="宋体" w:cs="宋体" w:hint="eastAsia"/>
                <w:color w:val="0000FF"/>
                <w:kern w:val="2"/>
                <w:sz w:val="21"/>
                <w:szCs w:val="22"/>
                <w:lang w:eastAsia="zh-CN"/>
              </w:rPr>
              <w:t>即可</w:t>
            </w:r>
            <w:r>
              <w:rPr>
                <w:rFonts w:ascii="宋体" w:eastAsia="宋体" w:hAnsi="宋体" w:cs="宋体"/>
                <w:color w:val="0000FF"/>
                <w:kern w:val="2"/>
                <w:sz w:val="21"/>
                <w:szCs w:val="22"/>
                <w:lang w:eastAsia="zh-CN"/>
              </w:rPr>
              <w:t xml:space="preserve">）。 </w:t>
            </w:r>
          </w:p>
          <w:p w14:paraId="477FB97B">
            <w:pPr>
              <w:widowControl/>
              <w:spacing w:beforeLines="0" w:after="0" w:afterLines="0" w:line="312" w:lineRule="atLeast"/>
              <w:ind w:left="0"/>
              <w:jc w:val="left"/>
              <w:rPr>
                <w:rFonts w:eastAsia="宋体" w:hint="eastAsia"/>
                <w:color w:val="0000FF"/>
                <w:kern w:val="2"/>
                <w:sz w:val="21"/>
                <w:szCs w:val="22"/>
                <w:lang w:eastAsia="zh-CN"/>
              </w:rPr>
            </w:pPr>
            <w:r>
              <w:rPr>
                <w:rFonts w:ascii="宋体" w:eastAsia="宋体" w:hAnsi="宋体" w:cs="宋体"/>
                <w:color w:val="0000FF"/>
                <w:kern w:val="2"/>
                <w:sz w:val="21"/>
                <w:szCs w:val="22"/>
                <w:lang w:eastAsia="zh-CN"/>
              </w:rPr>
              <w:t>证明资料为：</w:t>
            </w:r>
            <w:r>
              <w:rPr>
                <w:rFonts w:ascii="宋体" w:eastAsia="宋体" w:hAnsi="宋体" w:cs="宋体" w:hint="eastAsia"/>
                <w:color w:val="0000FF"/>
                <w:kern w:val="2"/>
                <w:sz w:val="21"/>
                <w:szCs w:val="22"/>
                <w:lang w:eastAsia="zh-CN"/>
              </w:rPr>
              <w:t>（</w:t>
            </w:r>
            <w:r>
              <w:rPr>
                <w:rFonts w:ascii="宋体" w:eastAsia="宋体" w:hAnsi="宋体" w:cs="宋体" w:hint="eastAsia"/>
                <w:color w:val="0000FF"/>
                <w:kern w:val="2"/>
                <w:sz w:val="21"/>
                <w:szCs w:val="22"/>
                <w:lang w:eastAsia="zh-CN"/>
              </w:rPr>
              <w:t>1</w:t>
            </w:r>
            <w:r>
              <w:rPr>
                <w:rFonts w:ascii="宋体" w:eastAsia="宋体" w:hAnsi="宋体" w:cs="宋体" w:hint="eastAsia"/>
                <w:color w:val="0000FF"/>
                <w:kern w:val="2"/>
                <w:sz w:val="21"/>
                <w:szCs w:val="22"/>
                <w:lang w:eastAsia="zh-CN"/>
              </w:rPr>
              <w:t>）</w:t>
            </w:r>
            <w:r>
              <w:rPr>
                <w:rFonts w:ascii="宋体" w:eastAsia="宋体" w:hAnsi="宋体" w:cs="宋体" w:hint="eastAsia"/>
                <w:color w:val="0000FF"/>
                <w:kern w:val="2"/>
                <w:sz w:val="21"/>
                <w:lang w:eastAsia="zh-CN"/>
              </w:rPr>
              <w:t>信用评价</w:t>
            </w:r>
            <w:r>
              <w:rPr>
                <w:rFonts w:ascii="宋体" w:eastAsia="宋体" w:hAnsi="宋体" w:cs="宋体"/>
                <w:color w:val="0000FF"/>
                <w:kern w:val="2"/>
                <w:sz w:val="21"/>
                <w:szCs w:val="22"/>
                <w:lang w:eastAsia="zh-CN"/>
              </w:rPr>
              <w:t>证书扫描件（应包含</w:t>
            </w:r>
            <w:r>
              <w:rPr>
                <w:rFonts w:ascii="宋体" w:eastAsia="宋体" w:hAnsi="宋体" w:cs="宋体" w:hint="eastAsia"/>
                <w:color w:val="0000FF"/>
                <w:kern w:val="2"/>
                <w:sz w:val="21"/>
                <w:szCs w:val="22"/>
                <w:lang w:eastAsia="zh-CN"/>
              </w:rPr>
              <w:t>造价</w:t>
            </w:r>
            <w:r>
              <w:rPr>
                <w:rFonts w:ascii="宋体" w:eastAsia="宋体" w:hAnsi="宋体" w:cs="宋体"/>
                <w:color w:val="0000FF"/>
                <w:kern w:val="2"/>
                <w:sz w:val="21"/>
                <w:szCs w:val="22"/>
                <w:lang w:eastAsia="zh-CN"/>
              </w:rPr>
              <w:t>单位、颁发单位、</w:t>
            </w:r>
            <w:r>
              <w:rPr>
                <w:rFonts w:ascii="宋体" w:eastAsia="宋体" w:hAnsi="宋体" w:cs="宋体" w:hint="eastAsia"/>
                <w:color w:val="0000FF"/>
                <w:kern w:val="2"/>
                <w:sz w:val="21"/>
                <w:szCs w:val="22"/>
                <w:lang w:eastAsia="zh-CN"/>
              </w:rPr>
              <w:t>信用评价等级、</w:t>
            </w:r>
            <w:r>
              <w:rPr>
                <w:rFonts w:ascii="宋体" w:eastAsia="宋体" w:hAnsi="宋体" w:cs="宋体" w:hint="eastAsia"/>
                <w:color w:val="0000FF"/>
                <w:kern w:val="2"/>
                <w:sz w:val="21"/>
                <w:szCs w:val="22"/>
                <w:lang w:eastAsia="zh-CN"/>
              </w:rPr>
              <w:t>评价</w:t>
            </w:r>
            <w:r>
              <w:rPr>
                <w:rFonts w:ascii="宋体" w:eastAsia="宋体" w:hAnsi="宋体" w:cs="宋体"/>
                <w:color w:val="0000FF"/>
                <w:kern w:val="2"/>
                <w:sz w:val="21"/>
                <w:szCs w:val="22"/>
                <w:lang w:eastAsia="zh-CN"/>
              </w:rPr>
              <w:t>时间）。所提供的证明资料未体现上述内容的，招标人将作出不利于投标人的判定。</w:t>
            </w:r>
            <w:r>
              <w:rPr>
                <w:rFonts w:ascii="宋体" w:eastAsia="宋体" w:hAnsi="宋体" w:cs="宋体" w:hint="eastAsia"/>
                <w:color w:val="0000FF"/>
                <w:kern w:val="2"/>
                <w:sz w:val="21"/>
                <w:szCs w:val="22"/>
                <w:lang w:eastAsia="zh-CN"/>
              </w:rPr>
              <w:t>（</w:t>
            </w:r>
            <w:r>
              <w:rPr>
                <w:rFonts w:ascii="宋体" w:eastAsia="宋体" w:hAnsi="宋体" w:cs="宋体" w:hint="eastAsia"/>
                <w:color w:val="0000FF"/>
                <w:kern w:val="2"/>
                <w:sz w:val="21"/>
                <w:szCs w:val="22"/>
                <w:lang w:eastAsia="zh-CN"/>
              </w:rPr>
              <w:t>2</w:t>
            </w:r>
            <w:r>
              <w:rPr>
                <w:rFonts w:ascii="宋体" w:eastAsia="宋体" w:hAnsi="宋体" w:cs="宋体" w:hint="eastAsia"/>
                <w:color w:val="0000FF"/>
                <w:kern w:val="2"/>
                <w:sz w:val="21"/>
                <w:szCs w:val="22"/>
                <w:lang w:eastAsia="zh-CN"/>
              </w:rPr>
              <w:t>）</w:t>
            </w:r>
            <w:r>
              <w:rPr>
                <w:rFonts w:ascii="等线" w:eastAsia="等线" w:hAnsi="等线" w:hint="eastAsia"/>
                <w:b/>
                <w:bCs/>
                <w:color w:val="0000FF"/>
                <w:kern w:val="2"/>
                <w:sz w:val="21"/>
                <w:lang w:eastAsia="zh-CN"/>
              </w:rPr>
              <w:t>以联合体方式投标的，以联合体中任何一方的信息为准，不累加双方的信息。</w:t>
            </w:r>
          </w:p>
        </w:tc>
      </w:tr>
      <w:tr w14:paraId="261CD3D3">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88EEBC9">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color w:val="0000FF"/>
                <w:kern w:val="2"/>
                <w:sz w:val="21"/>
                <w:lang w:eastAsia="zh-CN"/>
              </w:rPr>
            </w:pPr>
            <w:r>
              <w:rPr>
                <w:rFonts w:ascii="宋体" w:eastAsia="宋体" w:hAnsi="宋体" w:cs="宋体" w:hint="eastAsia"/>
                <w:color w:val="0000FF"/>
                <w:kern w:val="2"/>
                <w:sz w:val="21"/>
                <w:lang w:eastAsia="zh-CN"/>
              </w:rPr>
              <w:t>5</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3B43AD75">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color w:val="0000FF"/>
                <w:kern w:val="2"/>
                <w:sz w:val="21"/>
                <w:lang w:eastAsia="zh-CN"/>
              </w:rPr>
            </w:pPr>
            <w:r>
              <w:rPr>
                <w:rFonts w:ascii="宋体" w:eastAsia="宋体" w:hAnsi="宋体" w:cs="宋体" w:hint="eastAsia"/>
                <w:color w:val="0000FF"/>
                <w:kern w:val="2"/>
                <w:sz w:val="21"/>
                <w:lang w:val="zh-CN" w:eastAsia="zh-CN"/>
              </w:rPr>
              <w:t>投标人</w:t>
            </w:r>
            <w:r>
              <w:rPr>
                <w:rFonts w:ascii="宋体" w:eastAsia="宋体" w:hAnsi="宋体" w:cs="宋体" w:hint="eastAsia"/>
                <w:color w:val="0000FF"/>
                <w:kern w:val="2"/>
                <w:sz w:val="21"/>
                <w:lang w:eastAsia="zh-CN"/>
              </w:rPr>
              <w:t>获得荣誉情况</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7EB6D57B">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color w:val="0000FF"/>
                <w:kern w:val="2"/>
                <w:sz w:val="21"/>
                <w:lang w:eastAsia="zh-CN"/>
              </w:rPr>
            </w:pPr>
            <w:r>
              <w:rPr>
                <w:rFonts w:ascii="宋体" w:eastAsia="宋体" w:hAnsi="宋体" w:cs="宋体" w:hint="eastAsia"/>
                <w:color w:val="0000FF"/>
                <w:kern w:val="2"/>
                <w:sz w:val="21"/>
                <w:lang w:val="zh-CN" w:eastAsia="zh-CN"/>
              </w:rPr>
              <w:t>投标人</w:t>
            </w:r>
            <w:r>
              <w:rPr>
                <w:rFonts w:ascii="宋体" w:eastAsia="宋体" w:hAnsi="宋体" w:cs="宋体" w:hint="eastAsia"/>
                <w:color w:val="0000FF"/>
                <w:kern w:val="2"/>
                <w:sz w:val="21"/>
                <w:lang w:eastAsia="zh-CN"/>
              </w:rPr>
              <w:t>近3年（从招标公告发布之日起倒推）获得过市级或以上工程造价咨询协会颁发的工程造价咨询优秀单位荣誉称号</w:t>
            </w:r>
            <w:r>
              <w:rPr>
                <w:rFonts w:ascii="宋体" w:eastAsia="宋体" w:hAnsi="宋体" w:cs="宋体"/>
                <w:color w:val="0000FF"/>
                <w:kern w:val="2"/>
                <w:sz w:val="21"/>
                <w:szCs w:val="22"/>
                <w:lang w:eastAsia="zh-CN"/>
              </w:rPr>
              <w:t>（</w:t>
            </w:r>
            <w:r>
              <w:rPr>
                <w:rFonts w:ascii="宋体" w:eastAsia="宋体" w:hAnsi="宋体" w:cs="宋体" w:hint="eastAsia"/>
                <w:color w:val="0000FF"/>
                <w:kern w:val="2"/>
                <w:sz w:val="21"/>
                <w:szCs w:val="22"/>
                <w:lang w:eastAsia="zh-CN"/>
              </w:rPr>
              <w:t>提供1项</w:t>
            </w:r>
            <w:r>
              <w:rPr>
                <w:rFonts w:ascii="宋体" w:eastAsia="宋体" w:hAnsi="宋体" w:cs="宋体" w:hint="eastAsia"/>
                <w:color w:val="0000FF"/>
                <w:kern w:val="2"/>
                <w:sz w:val="21"/>
                <w:lang w:eastAsia="zh-CN"/>
              </w:rPr>
              <w:t>荣誉</w:t>
            </w:r>
            <w:r>
              <w:rPr>
                <w:rFonts w:ascii="宋体" w:eastAsia="宋体" w:hAnsi="宋体" w:cs="宋体" w:hint="eastAsia"/>
                <w:color w:val="0000FF"/>
                <w:kern w:val="2"/>
                <w:sz w:val="21"/>
                <w:szCs w:val="22"/>
                <w:lang w:eastAsia="zh-CN"/>
              </w:rPr>
              <w:t>即可</w:t>
            </w:r>
            <w:r>
              <w:rPr>
                <w:rFonts w:ascii="宋体" w:eastAsia="宋体" w:hAnsi="宋体" w:cs="宋体"/>
                <w:color w:val="0000FF"/>
                <w:kern w:val="2"/>
                <w:sz w:val="21"/>
                <w:szCs w:val="22"/>
                <w:lang w:eastAsia="zh-CN"/>
              </w:rPr>
              <w:t xml:space="preserve">）。 </w:t>
            </w:r>
          </w:p>
          <w:p w14:paraId="77B6CFB8">
            <w:pPr>
              <w:widowControl w:val="0"/>
              <w:spacing w:after="120"/>
              <w:ind w:left="0" w:firstLine="0" w:leftChars="0" w:firstLineChars="0"/>
              <w:jc w:val="both"/>
              <w:rPr>
                <w:rFonts w:eastAsia="宋体" w:hint="eastAsia"/>
                <w:color w:val="0000FF"/>
                <w:kern w:val="2"/>
                <w:sz w:val="21"/>
                <w:lang w:eastAsia="zh-CN"/>
              </w:rPr>
            </w:pPr>
            <w:r>
              <w:rPr>
                <w:rFonts w:ascii="宋体" w:eastAsia="宋体" w:hAnsi="宋体" w:cs="宋体"/>
                <w:color w:val="0000FF"/>
                <w:kern w:val="2"/>
                <w:sz w:val="21"/>
                <w:lang w:eastAsia="zh-CN"/>
              </w:rPr>
              <w:t>证明资料为：</w:t>
            </w:r>
            <w:r>
              <w:rPr>
                <w:rFonts w:ascii="宋体" w:eastAsia="宋体" w:hAnsi="宋体" w:cs="宋体" w:hint="eastAsia"/>
                <w:color w:val="0000FF"/>
                <w:kern w:val="2"/>
                <w:sz w:val="21"/>
                <w:lang w:eastAsia="zh-CN"/>
              </w:rPr>
              <w:t>（</w:t>
            </w:r>
            <w:r>
              <w:rPr>
                <w:rFonts w:ascii="宋体" w:eastAsia="宋体" w:hAnsi="宋体" w:cs="宋体" w:hint="eastAsia"/>
                <w:color w:val="0000FF"/>
                <w:kern w:val="2"/>
                <w:sz w:val="21"/>
                <w:lang w:eastAsia="zh-CN"/>
              </w:rPr>
              <w:t>1</w:t>
            </w:r>
            <w:r>
              <w:rPr>
                <w:rFonts w:ascii="宋体" w:eastAsia="宋体" w:hAnsi="宋体" w:cs="宋体" w:hint="eastAsia"/>
                <w:color w:val="0000FF"/>
                <w:kern w:val="2"/>
                <w:sz w:val="21"/>
                <w:lang w:eastAsia="zh-CN"/>
              </w:rPr>
              <w:t>）</w:t>
            </w:r>
            <w:r>
              <w:rPr>
                <w:rFonts w:ascii="宋体" w:eastAsia="宋体" w:hAnsi="宋体" w:cs="宋体" w:hint="eastAsia"/>
                <w:color w:val="0000FF"/>
                <w:kern w:val="2"/>
                <w:sz w:val="21"/>
                <w:lang w:eastAsia="zh-CN"/>
              </w:rPr>
              <w:t>荣誉</w:t>
            </w:r>
            <w:r>
              <w:rPr>
                <w:rFonts w:ascii="宋体" w:eastAsia="宋体" w:hAnsi="宋体" w:cs="宋体"/>
                <w:color w:val="0000FF"/>
                <w:kern w:val="2"/>
                <w:sz w:val="21"/>
                <w:lang w:eastAsia="zh-CN"/>
              </w:rPr>
              <w:t>证书扫描件（应包含获奖单位、</w:t>
            </w:r>
            <w:r>
              <w:rPr>
                <w:rFonts w:ascii="宋体" w:eastAsia="宋体" w:hAnsi="宋体" w:cs="宋体" w:hint="eastAsia"/>
                <w:color w:val="0000FF"/>
                <w:kern w:val="2"/>
                <w:sz w:val="21"/>
                <w:lang w:eastAsia="zh-CN"/>
              </w:rPr>
              <w:t>荣誉称号、</w:t>
            </w:r>
            <w:r>
              <w:rPr>
                <w:rFonts w:ascii="宋体" w:eastAsia="宋体" w:hAnsi="宋体" w:cs="宋体"/>
                <w:color w:val="0000FF"/>
                <w:kern w:val="2"/>
                <w:sz w:val="21"/>
                <w:lang w:eastAsia="zh-CN"/>
              </w:rPr>
              <w:t>颁发单位、获奖时间）。所提供的证明资料未体现上述内容的，招标人将作出不利于投标人的判定。</w:t>
            </w:r>
            <w:r>
              <w:rPr>
                <w:rFonts w:ascii="宋体" w:eastAsia="宋体" w:hAnsi="宋体" w:cs="宋体" w:hint="eastAsia"/>
                <w:color w:val="0000FF"/>
                <w:kern w:val="2"/>
                <w:sz w:val="21"/>
                <w:lang w:eastAsia="zh-CN"/>
              </w:rPr>
              <w:t>（</w:t>
            </w:r>
            <w:r>
              <w:rPr>
                <w:rFonts w:ascii="宋体" w:eastAsia="宋体" w:hAnsi="宋体" w:cs="宋体" w:hint="eastAsia"/>
                <w:color w:val="0000FF"/>
                <w:kern w:val="2"/>
                <w:sz w:val="21"/>
                <w:lang w:eastAsia="zh-CN"/>
              </w:rPr>
              <w:t>2</w:t>
            </w:r>
            <w:r>
              <w:rPr>
                <w:rFonts w:ascii="宋体" w:eastAsia="宋体" w:hAnsi="宋体" w:cs="宋体" w:hint="eastAsia"/>
                <w:color w:val="0000FF"/>
                <w:kern w:val="2"/>
                <w:sz w:val="21"/>
                <w:lang w:eastAsia="zh-CN"/>
              </w:rPr>
              <w:t>）</w:t>
            </w:r>
            <w:r>
              <w:rPr>
                <w:rFonts w:eastAsia="宋体" w:hint="eastAsia"/>
                <w:b/>
                <w:bCs/>
                <w:color w:val="0000FF"/>
                <w:kern w:val="2"/>
                <w:sz w:val="21"/>
                <w:lang w:eastAsia="zh-CN"/>
              </w:rPr>
              <w:t>以联合体方式投标的，以联合体中任何一方的信息为准，不累加双方的信息。</w:t>
            </w:r>
          </w:p>
        </w:tc>
      </w:tr>
      <w:tr w14:paraId="7DE4246A">
        <w:tblPrEx>
          <w:tblW w:w="5000" w:type="pct"/>
          <w:jc w:val="center"/>
          <w:tblLayout w:type="fixed"/>
          <w:tblCellMar>
            <w:top w:w="0" w:type="dxa"/>
            <w:left w:w="108" w:type="dxa"/>
            <w:bottom w:w="0" w:type="dxa"/>
            <w:right w:w="108" w:type="dxa"/>
          </w:tblCellMar>
        </w:tblPrEx>
        <w:trPr>
          <w:trHeight w:val="18"/>
          <w:jc w:val="center"/>
        </w:trPr>
        <w:tc>
          <w:tcPr>
            <w:tcW w:w="995"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C72F3D7">
            <w:pPr>
              <w:keepNext w:val="0"/>
              <w:keepLines w:val="0"/>
              <w:widowControl/>
              <w:suppressLineNumbers w:val="0"/>
              <w:spacing w:before="0" w:beforeLines="0" w:beforeAutospacing="0" w:after="0" w:afterLines="0" w:afterAutospacing="0" w:line="312" w:lineRule="atLeast"/>
              <w:ind w:left="0" w:right="0"/>
              <w:jc w:val="center"/>
              <w:rPr>
                <w:rFonts w:ascii="宋体" w:eastAsia="宋体" w:hAnsi="宋体" w:cs="宋体"/>
                <w:color w:val="0000FF"/>
                <w:kern w:val="2"/>
                <w:sz w:val="21"/>
                <w:lang w:eastAsia="zh-CN"/>
              </w:rPr>
            </w:pPr>
            <w:r>
              <w:rPr>
                <w:rFonts w:ascii="宋体" w:eastAsia="宋体" w:hAnsi="宋体" w:cs="宋体" w:hint="eastAsia"/>
                <w:color w:val="0000FF"/>
                <w:kern w:val="2"/>
                <w:sz w:val="21"/>
                <w:lang w:eastAsia="zh-CN"/>
              </w:rPr>
              <w:t>6</w:t>
            </w:r>
          </w:p>
        </w:tc>
        <w:tc>
          <w:tcPr>
            <w:tcW w:w="2250"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5FBF7BD">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color w:val="0000FF"/>
                <w:kern w:val="2"/>
                <w:sz w:val="21"/>
                <w:lang w:eastAsia="zh-CN"/>
              </w:rPr>
            </w:pPr>
            <w:r>
              <w:rPr>
                <w:rFonts w:ascii="宋体" w:eastAsia="宋体" w:hAnsi="宋体" w:cs="宋体" w:hint="eastAsia"/>
                <w:color w:val="0000FF"/>
                <w:kern w:val="2"/>
                <w:sz w:val="21"/>
                <w:lang w:eastAsia="zh-CN"/>
              </w:rPr>
              <w:t>拟派项目团队人员情况</w:t>
            </w:r>
          </w:p>
        </w:tc>
        <w:tc>
          <w:tcPr>
            <w:tcW w:w="5277" w:type="dxa"/>
            <w:tcBorders>
              <w:top w:val="single" w:sz="2" w:space="0" w:color="000000"/>
              <w:left w:val="single" w:sz="2" w:space="0" w:color="000000"/>
              <w:bottom w:val="single" w:sz="2" w:space="0" w:color="000000"/>
              <w:right w:val="single" w:sz="2" w:space="0" w:color="000000"/>
              <w:tl2br w:val="nil"/>
              <w:tr2bl w:val="nil"/>
            </w:tcBorders>
            <w:shd w:val="clear" w:color="000000" w:fill="FFFFFF"/>
            <w:noWrap w:val="0"/>
            <w:vAlign w:val="center"/>
          </w:tcPr>
          <w:p w14:paraId="2F2B7CB5">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lang w:val="zh-CN" w:eastAsia="zh-CN"/>
              </w:rPr>
            </w:pPr>
            <w:r>
              <w:rPr>
                <w:rFonts w:ascii="宋体" w:eastAsia="宋体" w:hAnsi="宋体" w:cs="宋体" w:hint="eastAsia"/>
                <w:color w:val="0000FF"/>
                <w:kern w:val="2"/>
                <w:sz w:val="21"/>
                <w:lang w:val="zh-CN" w:eastAsia="zh-CN"/>
              </w:rPr>
              <w:t>项目团队应包括项目负责人1人、土建专业负责人1人、安装专业负责人1人、一级注册造价工程师若干、二级注册造价工程师（或造价员）若干等技术人员。</w:t>
            </w:r>
          </w:p>
          <w:p w14:paraId="315491EB">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hint="eastAsia"/>
                <w:color w:val="0000FF"/>
                <w:kern w:val="2"/>
                <w:sz w:val="21"/>
                <w:szCs w:val="22"/>
                <w:lang w:eastAsia="zh-CN"/>
              </w:rPr>
            </w:pPr>
            <w:r>
              <w:rPr>
                <w:rFonts w:ascii="宋体" w:eastAsia="宋体" w:hAnsi="宋体" w:cs="宋体" w:hint="eastAsia"/>
                <w:color w:val="0000FF"/>
                <w:kern w:val="2"/>
                <w:sz w:val="21"/>
                <w:lang w:eastAsia="zh-CN"/>
              </w:rPr>
              <w:t>证明资料：（1）</w:t>
            </w:r>
            <w:r>
              <w:rPr>
                <w:rFonts w:ascii="宋体" w:eastAsia="宋体" w:hAnsi="宋体" w:cs="宋体" w:hint="eastAsia"/>
                <w:color w:val="0000FF"/>
                <w:kern w:val="2"/>
                <w:sz w:val="21"/>
                <w:lang w:val="zh-CN" w:eastAsia="zh-CN"/>
              </w:rPr>
              <w:t>提供拟派</w:t>
            </w:r>
            <w:r>
              <w:rPr>
                <w:rFonts w:ascii="宋体" w:eastAsia="宋体" w:hAnsi="宋体" w:cs="宋体" w:hint="eastAsia"/>
                <w:color w:val="0000FF"/>
                <w:kern w:val="2"/>
                <w:sz w:val="21"/>
                <w:lang w:eastAsia="zh-CN"/>
              </w:rPr>
              <w:t>团队人员一览表，并附人员执业资格证书、近3个月社保缴纳凭证等相关证明材料扫描件。</w:t>
            </w:r>
            <w:r>
              <w:rPr>
                <w:rFonts w:ascii="宋体" w:eastAsia="宋体" w:hAnsi="宋体" w:cs="宋体" w:hint="eastAsia"/>
                <w:color w:val="0000FF"/>
                <w:kern w:val="2"/>
                <w:sz w:val="21"/>
                <w:szCs w:val="22"/>
                <w:lang w:eastAsia="zh-CN"/>
              </w:rPr>
              <w:t>所提供的</w:t>
            </w:r>
            <w:r>
              <w:rPr>
                <w:rFonts w:ascii="宋体" w:eastAsia="宋体" w:hAnsi="宋体" w:cs="宋体" w:hint="eastAsia"/>
                <w:color w:val="0000FF"/>
                <w:kern w:val="2"/>
                <w:sz w:val="21"/>
                <w:szCs w:val="22"/>
                <w:lang w:eastAsia="zh-CN"/>
              </w:rPr>
              <w:t>证明材料不齐全的</w:t>
            </w:r>
            <w:r>
              <w:rPr>
                <w:rFonts w:ascii="宋体" w:eastAsia="宋体" w:hAnsi="宋体" w:cs="宋体" w:hint="eastAsia"/>
                <w:color w:val="0000FF"/>
                <w:kern w:val="2"/>
                <w:sz w:val="21"/>
                <w:szCs w:val="22"/>
                <w:lang w:eastAsia="zh-CN"/>
              </w:rPr>
              <w:t>，招标人将可能作出不利于投标人的判定。（</w:t>
            </w:r>
            <w:r>
              <w:rPr>
                <w:rFonts w:ascii="宋体" w:eastAsia="宋体" w:hAnsi="宋体" w:cs="宋体" w:hint="eastAsia"/>
                <w:color w:val="0000FF"/>
                <w:kern w:val="2"/>
                <w:sz w:val="21"/>
                <w:szCs w:val="22"/>
                <w:lang w:eastAsia="zh-CN"/>
              </w:rPr>
              <w:t>2</w:t>
            </w:r>
            <w:r>
              <w:rPr>
                <w:rFonts w:ascii="宋体" w:eastAsia="宋体" w:hAnsi="宋体" w:cs="宋体" w:hint="eastAsia"/>
                <w:color w:val="0000FF"/>
                <w:kern w:val="2"/>
                <w:sz w:val="21"/>
                <w:szCs w:val="22"/>
                <w:lang w:eastAsia="zh-CN"/>
              </w:rPr>
              <w:t>）如退休返聘人员则须提供退休证书及返聘合同</w:t>
            </w:r>
            <w:r>
              <w:rPr>
                <w:rFonts w:ascii="宋体" w:eastAsia="宋体" w:hAnsi="宋体" w:cs="宋体" w:hint="eastAsia"/>
                <w:color w:val="0000FF"/>
                <w:kern w:val="2"/>
                <w:sz w:val="21"/>
                <w:szCs w:val="22"/>
                <w:lang w:eastAsia="zh-CN"/>
              </w:rPr>
              <w:t>扫描件</w:t>
            </w:r>
            <w:r>
              <w:rPr>
                <w:rFonts w:ascii="宋体" w:eastAsia="宋体" w:hAnsi="宋体" w:cs="宋体" w:hint="eastAsia"/>
                <w:color w:val="0000FF"/>
                <w:kern w:val="2"/>
                <w:sz w:val="21"/>
                <w:szCs w:val="22"/>
                <w:lang w:eastAsia="zh-CN"/>
              </w:rPr>
              <w:t>。</w:t>
            </w:r>
            <w:r>
              <w:rPr>
                <w:rFonts w:eastAsia="宋体" w:hint="eastAsia"/>
                <w:b/>
                <w:bCs/>
                <w:color w:val="0000FF"/>
                <w:kern w:val="2"/>
                <w:sz w:val="21"/>
                <w:lang w:eastAsia="zh-CN"/>
              </w:rPr>
              <w:t>（</w:t>
            </w:r>
            <w:r>
              <w:rPr>
                <w:rFonts w:ascii="等线" w:eastAsia="等线" w:hAnsi="等线" w:hint="eastAsia"/>
                <w:b/>
                <w:bCs/>
                <w:color w:val="0000FF"/>
                <w:kern w:val="2"/>
                <w:sz w:val="21"/>
                <w:lang w:eastAsia="zh-CN"/>
              </w:rPr>
              <w:t>3</w:t>
            </w:r>
            <w:r>
              <w:rPr>
                <w:rFonts w:eastAsia="宋体" w:hint="eastAsia"/>
                <w:b/>
                <w:bCs/>
                <w:color w:val="0000FF"/>
                <w:kern w:val="2"/>
                <w:sz w:val="21"/>
                <w:lang w:eastAsia="zh-CN"/>
              </w:rPr>
              <w:t>）</w:t>
            </w:r>
            <w:r>
              <w:rPr>
                <w:rFonts w:ascii="等线" w:eastAsia="等线" w:hAnsi="等线" w:hint="eastAsia"/>
                <w:b/>
                <w:bCs/>
                <w:color w:val="0000FF"/>
                <w:kern w:val="2"/>
                <w:sz w:val="21"/>
                <w:lang w:eastAsia="zh-CN"/>
              </w:rPr>
              <w:t>以联合体方式投标的，团队人员可由联合体双方拟派。</w:t>
            </w:r>
          </w:p>
          <w:p w14:paraId="141E6136">
            <w:pPr>
              <w:keepNext w:val="0"/>
              <w:keepLines w:val="0"/>
              <w:widowControl/>
              <w:suppressLineNumbers w:val="0"/>
              <w:spacing w:before="0" w:beforeLines="0" w:beforeAutospacing="0" w:after="0" w:afterLines="0" w:afterAutospacing="0" w:line="312" w:lineRule="atLeast"/>
              <w:ind w:left="0" w:right="0"/>
              <w:jc w:val="left"/>
              <w:rPr>
                <w:rFonts w:ascii="宋体" w:eastAsia="宋体" w:hAnsi="宋体" w:cs="宋体"/>
                <w:color w:val="0000FF"/>
                <w:kern w:val="2"/>
                <w:sz w:val="21"/>
                <w:szCs w:val="22"/>
                <w:lang w:eastAsia="zh-CN"/>
              </w:rPr>
            </w:pPr>
          </w:p>
        </w:tc>
      </w:tr>
    </w:tbl>
    <w:p w14:paraId="4F1BB6F4">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p>
    <w:p w14:paraId="1FE6ECA0">
      <w:pPr>
        <w:widowControl w:val="0"/>
        <w:adjustRightInd w:val="0"/>
        <w:snapToGrid w:val="0"/>
        <w:spacing w:line="360" w:lineRule="auto"/>
        <w:ind w:firstLine="420" w:firstLineChars="200"/>
        <w:jc w:val="both"/>
        <w:rPr>
          <w:rFonts w:ascii="宋体" w:eastAsia="宋体" w:hAnsi="宋体" w:cs="宋体" w:hint="eastAsia"/>
          <w:sz w:val="21"/>
          <w:szCs w:val="21"/>
          <w:lang w:eastAsia="zh-CN"/>
        </w:rPr>
      </w:pPr>
    </w:p>
    <w:p w14:paraId="0BA43E1C">
      <w:pPr>
        <w:widowControl w:val="0"/>
        <w:adjustRightInd w:val="0"/>
        <w:snapToGrid w:val="0"/>
        <w:spacing w:line="360" w:lineRule="auto"/>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sz w:val="21"/>
          <w:szCs w:val="21"/>
          <w:lang w:eastAsia="zh-CN"/>
        </w:rPr>
        <w:t>备注：资信要素不进行评审，真实性通过公示予以监督。</w:t>
      </w:r>
    </w:p>
    <w:p w14:paraId="5B9C3583">
      <w:pPr>
        <w:widowControl w:val="0"/>
        <w:jc w:val="center"/>
        <w:rPr>
          <w:rFonts w:ascii="宋体" w:eastAsia="宋体" w:hAnsi="宋体" w:cs="宋体" w:hint="eastAsia"/>
          <w:b/>
          <w:snapToGrid w:val="0"/>
          <w:sz w:val="32"/>
          <w:szCs w:val="32"/>
          <w:lang w:eastAsia="zh-CN"/>
        </w:rPr>
      </w:pPr>
    </w:p>
    <w:p w14:paraId="2F44D840">
      <w:pPr>
        <w:widowControl/>
        <w:tabs>
          <w:tab w:val="left" w:pos="0"/>
        </w:tabs>
        <w:adjustRightInd w:val="0"/>
        <w:snapToGrid w:val="0"/>
        <w:spacing w:line="620" w:lineRule="exact"/>
        <w:jc w:val="center"/>
        <w:outlineLvl w:val="2"/>
        <w:rPr>
          <w:rFonts w:ascii="宋体" w:eastAsia="宋体" w:hAnsi="宋体" w:cs="宋体" w:hint="eastAsia"/>
          <w:bCs/>
          <w:snapToGrid w:val="0"/>
          <w:sz w:val="30"/>
          <w:szCs w:val="22"/>
          <w:lang w:eastAsia="zh-CN"/>
        </w:rPr>
      </w:pPr>
      <w:bookmarkStart w:id="56" w:name="_Toc9506"/>
      <w:bookmarkStart w:id="57" w:name="_Toc8039"/>
      <w:r>
        <w:rPr>
          <w:rFonts w:ascii="宋体" w:eastAsia="宋体" w:hAnsi="宋体" w:cs="宋体" w:hint="eastAsia"/>
          <w:bCs/>
          <w:snapToGrid w:val="0"/>
          <w:sz w:val="30"/>
          <w:szCs w:val="22"/>
          <w:lang w:eastAsia="zh-CN"/>
        </w:rPr>
        <w:t>（七）中标通知书</w:t>
      </w:r>
      <w:bookmarkEnd w:id="56"/>
      <w:bookmarkEnd w:id="57"/>
    </w:p>
    <w:p w14:paraId="104EA928">
      <w:pPr>
        <w:widowControl w:val="0"/>
        <w:spacing w:line="360" w:lineRule="auto"/>
        <w:ind w:firstLine="420" w:firstLineChars="200"/>
        <w:jc w:val="left"/>
        <w:rPr>
          <w:rFonts w:ascii="宋体" w:eastAsia="宋体" w:hAnsi="宋体" w:cs="宋体" w:hint="eastAsia"/>
          <w:b/>
          <w:kern w:val="2"/>
          <w:sz w:val="21"/>
          <w:szCs w:val="21"/>
          <w:lang w:eastAsia="zh-CN"/>
        </w:rPr>
      </w:pPr>
    </w:p>
    <w:p w14:paraId="17BCF9E2">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39．中标通知书</w:t>
      </w:r>
    </w:p>
    <w:p w14:paraId="1F1E6C23">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39.1招标人应在确定中标人后，将中标结果在</w:t>
      </w:r>
      <w:r>
        <w:rPr>
          <w:rFonts w:ascii="宋体" w:eastAsia="宋体" w:hAnsi="宋体" w:cs="宋体" w:hint="eastAsia"/>
          <w:sz w:val="21"/>
          <w:szCs w:val="22"/>
          <w:lang w:eastAsia="zh-CN"/>
        </w:rPr>
        <w:t>交易网</w:t>
      </w:r>
      <w:r>
        <w:rPr>
          <w:rFonts w:ascii="宋体" w:eastAsia="宋体" w:hAnsi="宋体" w:cs="宋体" w:hint="eastAsia"/>
          <w:kern w:val="2"/>
          <w:sz w:val="21"/>
          <w:szCs w:val="21"/>
          <w:lang w:eastAsia="zh-CN"/>
        </w:rPr>
        <w:t>公示。</w:t>
      </w:r>
    </w:p>
    <w:p w14:paraId="3E3628E6">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39.2公示期内对中标结果若无质疑，公示期结束后该中标结果自动生效。招标人将发出中标通知书。中标通知书是本招标项目合同的组成部分。如接到有关投诉的，招标人将可能暂停发出中标通知书。</w:t>
      </w:r>
    </w:p>
    <w:p w14:paraId="0D4AEC61">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40．招标人的权利</w:t>
      </w:r>
    </w:p>
    <w:p w14:paraId="63BFAD3F">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40.1招标人在发出中标通知书之前因正当理由，经行政监督部门批准并经</w:t>
      </w:r>
      <w:r>
        <w:rPr>
          <w:rFonts w:ascii="宋体" w:eastAsia="宋体" w:hAnsi="宋体" w:cs="宋体" w:hint="eastAsia"/>
          <w:kern w:val="2"/>
          <w:sz w:val="21"/>
          <w:szCs w:val="22"/>
          <w:lang w:eastAsia="zh-CN"/>
        </w:rPr>
        <w:t>交易网公示3个工作日后，招标人</w:t>
      </w:r>
      <w:r>
        <w:rPr>
          <w:rFonts w:ascii="宋体" w:eastAsia="宋体" w:hAnsi="宋体" w:cs="宋体" w:hint="eastAsia"/>
          <w:kern w:val="2"/>
          <w:sz w:val="21"/>
          <w:szCs w:val="21"/>
          <w:lang w:eastAsia="zh-CN"/>
        </w:rPr>
        <w:t>有权接受或拒绝投标、宣布投标程序无效或拒绝所有投标。对受影响的投标人不承担任何责任。</w:t>
      </w:r>
    </w:p>
    <w:p w14:paraId="40847B5C">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40.2招标人在授予合同或实际供货时，有权对招标文件中规定的货物数量或服务在合理幅度范围内予以增加或减少，但中标人不得对单价或其他条件做任何改变。</w:t>
      </w:r>
    </w:p>
    <w:p w14:paraId="317299D7">
      <w:pPr>
        <w:widowControl w:val="0"/>
        <w:spacing w:line="360" w:lineRule="auto"/>
        <w:jc w:val="center"/>
        <w:outlineLvl w:val="2"/>
        <w:rPr>
          <w:rFonts w:ascii="宋体" w:eastAsia="宋体" w:hAnsi="宋体" w:cs="宋体" w:hint="eastAsia"/>
          <w:bCs/>
          <w:kern w:val="2"/>
          <w:sz w:val="30"/>
          <w:szCs w:val="22"/>
          <w:lang w:eastAsia="zh-CN"/>
        </w:rPr>
      </w:pPr>
      <w:bookmarkStart w:id="58" w:name="_Toc27398"/>
      <w:bookmarkStart w:id="59" w:name="_Toc27132"/>
      <w:r>
        <w:rPr>
          <w:rFonts w:ascii="宋体" w:eastAsia="宋体" w:hAnsi="宋体" w:cs="宋体" w:hint="eastAsia"/>
          <w:bCs/>
          <w:kern w:val="2"/>
          <w:sz w:val="30"/>
          <w:szCs w:val="22"/>
          <w:lang w:eastAsia="zh-CN"/>
        </w:rPr>
        <w:t>（八）合同的授予</w:t>
      </w:r>
      <w:bookmarkEnd w:id="58"/>
      <w:bookmarkEnd w:id="59"/>
    </w:p>
    <w:p w14:paraId="757C866C">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41．履约担保</w:t>
      </w:r>
    </w:p>
    <w:p w14:paraId="5A1D34EA">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41.1本招标项目履约担保的金额和方式：见“投标须知前附表”。</w:t>
      </w:r>
    </w:p>
    <w:p w14:paraId="38BCC38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41.2中标人应在签订合同时，按招标文件规定的时间、出具单位及规定的金额向招标人提交履约担保。履约担保为中标价与</w:t>
      </w:r>
      <w:r>
        <w:rPr>
          <w:rFonts w:ascii="宋体" w:eastAsia="宋体" w:hAnsi="宋体" w:cs="宋体" w:hint="eastAsia"/>
          <w:kern w:val="2"/>
          <w:sz w:val="21"/>
          <w:szCs w:val="21"/>
          <w:lang w:eastAsia="zh-CN"/>
        </w:rPr>
        <w:t>最高投标限价</w:t>
      </w:r>
      <w:r>
        <w:rPr>
          <w:rFonts w:ascii="宋体" w:eastAsia="宋体" w:hAnsi="宋体" w:cs="宋体" w:hint="eastAsia"/>
          <w:kern w:val="2"/>
          <w:sz w:val="21"/>
          <w:szCs w:val="21"/>
          <w:lang w:eastAsia="zh-CN"/>
        </w:rPr>
        <w:t>的差额，且不高于中标价的10%。</w:t>
      </w:r>
    </w:p>
    <w:p w14:paraId="237B33EE">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41.3联合体中标的，其履约担保由联合体牵头人提交，并应符合本节相关规定。</w:t>
      </w:r>
    </w:p>
    <w:p w14:paraId="555810F6">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41.4如果中标人拒不提交本节要求的履约担保的，招标人可取消其中标资格，并没收其投标担保。</w:t>
      </w:r>
    </w:p>
    <w:p w14:paraId="581A41DF">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42.支付担保</w:t>
      </w:r>
    </w:p>
    <w:p w14:paraId="41FB8EF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42.1本招标项目支付担保的金额和方式：见“投标须知前附表”。</w:t>
      </w:r>
    </w:p>
    <w:p w14:paraId="47DD2ED9">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42.2招标人应在中标人提交履约担保的同时，向中标人提供与履约担保数额等额的支付担保。</w:t>
      </w:r>
    </w:p>
    <w:p w14:paraId="460EF357">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42.3中标人的履约担保和招标人的支付担保都必须采用经对方认可的银行保函、保证保险、专业工程担保公司担保等。双方均不得在工程担保有效期内解除担保。</w:t>
      </w:r>
    </w:p>
    <w:p w14:paraId="677F4DD1">
      <w:pPr>
        <w:widowControl w:val="0"/>
        <w:spacing w:line="360" w:lineRule="auto"/>
        <w:ind w:firstLine="420" w:firstLineChars="200"/>
        <w:jc w:val="left"/>
        <w:rPr>
          <w:rFonts w:ascii="宋体" w:eastAsia="宋体" w:hAnsi="宋体" w:cs="宋体" w:hint="eastAsia"/>
          <w:b/>
          <w:kern w:val="2"/>
          <w:sz w:val="21"/>
          <w:szCs w:val="21"/>
          <w:lang w:eastAsia="zh-CN"/>
        </w:rPr>
      </w:pPr>
      <w:r>
        <w:rPr>
          <w:rFonts w:ascii="宋体" w:eastAsia="宋体" w:hAnsi="宋体" w:cs="宋体" w:hint="eastAsia"/>
          <w:b/>
          <w:kern w:val="2"/>
          <w:sz w:val="21"/>
          <w:szCs w:val="21"/>
          <w:lang w:eastAsia="zh-CN"/>
        </w:rPr>
        <w:t>43．签订合同</w:t>
      </w:r>
    </w:p>
    <w:p w14:paraId="401F7A54">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43.1招标人和中标人应当按“投标须知前附表”的规定，依据招标文件和中标人的投标文件订立书面合同。</w:t>
      </w:r>
    </w:p>
    <w:p w14:paraId="0CD90611">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43.2中标人无正当理由拒签合同的，或者在签订合同时向招标人提出附加条件或者更改合同实质性内容的，招标人经请示主管部门批准后可取消其中标资格，并没收其投标担保；给招标人的损失超过其投标担保数额的，中标人应当对超过部分予以赔偿；没有提交投标担保的，应当对招标人的损失承担赔偿责任。</w:t>
      </w:r>
    </w:p>
    <w:p w14:paraId="623B09E8">
      <w:pPr>
        <w:widowControl w:val="0"/>
        <w:spacing w:line="360" w:lineRule="auto"/>
        <w:ind w:firstLine="420" w:firstLineChars="200"/>
        <w:jc w:val="left"/>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43.3招标人无正当理由拒签合同的，或者在签订合同时向中标人提出附加条件或者更改合同实质性内容的，有关行政监督部门将给予警告，责令改正；给中标人造成损失的，还应当赔偿损失。</w:t>
      </w:r>
    </w:p>
    <w:p w14:paraId="766084FA">
      <w:pPr>
        <w:widowControl/>
        <w:jc w:val="left"/>
        <w:rPr>
          <w:rFonts w:ascii="宋体" w:eastAsia="宋体" w:hAnsi="宋体" w:cs="宋体" w:hint="eastAsia"/>
          <w:kern w:val="2"/>
          <w:sz w:val="21"/>
          <w:szCs w:val="21"/>
          <w:lang w:eastAsia="zh-CN"/>
        </w:rPr>
      </w:pPr>
    </w:p>
    <w:p w14:paraId="019CD3CC">
      <w:pPr>
        <w:widowControl/>
        <w:jc w:val="left"/>
        <w:rPr>
          <w:rFonts w:ascii="宋体" w:eastAsia="宋体" w:hAnsi="宋体" w:cs="宋体" w:hint="eastAsia"/>
          <w:bCs/>
          <w:kern w:val="2"/>
          <w:sz w:val="32"/>
          <w:szCs w:val="32"/>
          <w:lang w:eastAsia="zh-CN"/>
        </w:rPr>
      </w:pPr>
      <w:bookmarkStart w:id="60" w:name="_Toc17887"/>
      <w:bookmarkStart w:id="61" w:name="_Toc14347"/>
      <w:bookmarkStart w:id="62" w:name="_Toc15018"/>
      <w:bookmarkStart w:id="63" w:name="_Toc3760"/>
      <w:bookmarkStart w:id="64" w:name="_Toc5530"/>
      <w:bookmarkStart w:id="65" w:name="_Toc23271"/>
      <w:bookmarkStart w:id="66" w:name="_Toc3541"/>
      <w:bookmarkStart w:id="67" w:name="_Toc14011"/>
      <w:r>
        <w:rPr>
          <w:rFonts w:ascii="宋体" w:eastAsia="宋体" w:hAnsi="宋体" w:cs="宋体" w:hint="eastAsia"/>
          <w:bCs/>
          <w:kern w:val="2"/>
          <w:sz w:val="32"/>
          <w:szCs w:val="32"/>
          <w:lang w:eastAsia="zh-CN"/>
        </w:rPr>
        <w:br w:type="page"/>
      </w:r>
    </w:p>
    <w:p w14:paraId="7B870B79">
      <w:pPr>
        <w:widowControl/>
        <w:jc w:val="center"/>
        <w:outlineLvl w:val="0"/>
        <w:rPr>
          <w:rFonts w:ascii="宋体" w:eastAsia="宋体" w:hAnsi="宋体" w:cs="宋体" w:hint="eastAsia"/>
          <w:bCs/>
          <w:kern w:val="2"/>
          <w:sz w:val="32"/>
          <w:szCs w:val="32"/>
          <w:lang w:eastAsia="zh-CN"/>
        </w:rPr>
      </w:pPr>
      <w:r>
        <w:rPr>
          <w:rFonts w:ascii="宋体" w:eastAsia="宋体" w:hAnsi="宋体" w:cs="宋体" w:hint="eastAsia"/>
          <w:bCs/>
          <w:kern w:val="2"/>
          <w:sz w:val="32"/>
          <w:szCs w:val="32"/>
          <w:lang w:eastAsia="zh-CN"/>
        </w:rPr>
        <w:t>第三章  招标人对招标文件及合同范本的补充/修改</w:t>
      </w:r>
      <w:bookmarkEnd w:id="60"/>
      <w:bookmarkEnd w:id="61"/>
      <w:bookmarkEnd w:id="62"/>
      <w:bookmarkEnd w:id="63"/>
      <w:bookmarkEnd w:id="64"/>
      <w:bookmarkEnd w:id="65"/>
      <w:bookmarkEnd w:id="66"/>
    </w:p>
    <w:p w14:paraId="65B4DEF8">
      <w:pPr>
        <w:widowControl w:val="0"/>
        <w:topLinePunct/>
        <w:adjustRightInd w:val="0"/>
        <w:snapToGrid w:val="0"/>
        <w:spacing w:line="360" w:lineRule="auto"/>
        <w:ind w:firstLine="440" w:firstLineChars="200"/>
        <w:jc w:val="both"/>
        <w:rPr>
          <w:rFonts w:ascii="宋体" w:eastAsia="宋体" w:hAnsi="宋体" w:cs="宋体" w:hint="eastAsia"/>
          <w:sz w:val="22"/>
          <w:szCs w:val="22"/>
          <w:lang w:eastAsia="zh-CN"/>
        </w:rPr>
      </w:pPr>
    </w:p>
    <w:p w14:paraId="29C1593F">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招标人可根据工程实际情况，对本范本进行补充或修改，但有关补充或修改内容不得违法违规，且必须逐一列举在以下栏目中。请投标人认真阅读并遵照执行：</w:t>
      </w:r>
    </w:p>
    <w:p w14:paraId="0DBAD763">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一</w:t>
      </w:r>
      <w:r>
        <w:rPr>
          <w:rFonts w:ascii="宋体" w:eastAsia="宋体" w:hAnsi="宋体" w:cs="宋体" w:hint="eastAsia"/>
          <w:color w:val="0000FF"/>
          <w:kern w:val="2"/>
          <w:sz w:val="21"/>
          <w:szCs w:val="22"/>
          <w:u w:val="single"/>
          <w:lang w:eastAsia="zh-CN"/>
        </w:rPr>
        <w:t>、</w:t>
      </w:r>
      <w:r>
        <w:rPr>
          <w:rFonts w:ascii="宋体" w:eastAsia="宋体" w:hAnsi="宋体" w:cs="宋体" w:hint="eastAsia"/>
          <w:b/>
          <w:bCs/>
          <w:color w:val="0000FF"/>
          <w:kern w:val="2"/>
          <w:sz w:val="21"/>
          <w:szCs w:val="22"/>
          <w:u w:val="single"/>
          <w:lang w:eastAsia="zh-CN"/>
        </w:rPr>
        <w:t>本项目为场外项目，</w:t>
      </w:r>
      <w:r>
        <w:rPr>
          <w:rFonts w:ascii="宋体" w:eastAsia="宋体" w:hAnsi="宋体" w:cs="宋体" w:hint="eastAsia"/>
          <w:b/>
          <w:bCs/>
          <w:color w:val="0000FF"/>
          <w:sz w:val="21"/>
          <w:szCs w:val="21"/>
          <w:u w:val="single"/>
          <w:lang w:eastAsia="zh-CN"/>
        </w:rPr>
        <w:t>不</w:t>
      </w:r>
      <w:r>
        <w:rPr>
          <w:rFonts w:ascii="宋体" w:eastAsia="宋体" w:hAnsi="宋体" w:cs="宋体" w:hint="eastAsia"/>
          <w:b/>
          <w:bCs/>
          <w:color w:val="0000FF"/>
          <w:sz w:val="21"/>
          <w:szCs w:val="21"/>
          <w:u w:val="single"/>
          <w:lang w:eastAsia="zh-CN"/>
        </w:rPr>
        <w:t>要求投标人</w:t>
      </w:r>
      <w:r>
        <w:rPr>
          <w:rFonts w:ascii="宋体" w:eastAsia="宋体" w:hAnsi="宋体" w:cs="宋体" w:hint="eastAsia"/>
          <w:b/>
          <w:bCs/>
          <w:color w:val="0000FF"/>
          <w:sz w:val="21"/>
          <w:szCs w:val="21"/>
          <w:u w:val="single"/>
          <w:lang w:eastAsia="zh-CN"/>
        </w:rPr>
        <w:t>编制技术标文件， 无入围淘汰程序，所有合格的投标人均进入定标程序</w:t>
      </w:r>
      <w:r>
        <w:rPr>
          <w:rFonts w:ascii="宋体" w:eastAsia="宋体" w:hAnsi="宋体" w:cs="宋体" w:hint="eastAsia"/>
          <w:b/>
          <w:bCs/>
          <w:color w:val="0000FF"/>
          <w:sz w:val="21"/>
          <w:szCs w:val="21"/>
          <w:u w:val="single"/>
          <w:lang w:eastAsia="zh-CN"/>
        </w:rPr>
        <w:t>，</w:t>
      </w:r>
      <w:r>
        <w:rPr>
          <w:rFonts w:ascii="宋体" w:eastAsia="宋体" w:hAnsi="宋体" w:cs="宋体" w:hint="eastAsia"/>
          <w:b/>
          <w:bCs/>
          <w:color w:val="0000FF"/>
          <w:sz w:val="21"/>
          <w:szCs w:val="21"/>
          <w:u w:val="single"/>
          <w:lang w:eastAsia="zh-CN"/>
        </w:rPr>
        <w:t>不组织交易中心评标专家评审</w:t>
      </w:r>
      <w:r>
        <w:rPr>
          <w:rFonts w:ascii="宋体" w:eastAsia="宋体" w:hAnsi="宋体" w:cs="宋体" w:hint="eastAsia"/>
          <w:b/>
          <w:bCs/>
          <w:color w:val="0000FF"/>
          <w:sz w:val="21"/>
          <w:szCs w:val="21"/>
          <w:u w:val="single"/>
          <w:lang w:eastAsia="zh-CN"/>
        </w:rPr>
        <w:t>，</w:t>
      </w:r>
      <w:r>
        <w:rPr>
          <w:rFonts w:ascii="宋体" w:eastAsia="宋体" w:hAnsi="宋体" w:cs="宋体" w:hint="eastAsia"/>
          <w:b/>
          <w:bCs/>
          <w:color w:val="0000FF"/>
          <w:sz w:val="21"/>
          <w:szCs w:val="21"/>
          <w:u w:val="single"/>
          <w:lang w:eastAsia="zh-CN"/>
        </w:rPr>
        <w:t>招标文件第二章涉及评标要求的内容均不适用本项目</w:t>
      </w:r>
      <w:r>
        <w:rPr>
          <w:rFonts w:ascii="宋体" w:eastAsia="宋体" w:hAnsi="宋体" w:cs="宋体" w:hint="eastAsia"/>
          <w:b/>
          <w:bCs/>
          <w:color w:val="0000FF"/>
          <w:kern w:val="2"/>
          <w:sz w:val="21"/>
          <w:szCs w:val="22"/>
          <w:u w:val="single"/>
          <w:lang w:eastAsia="zh-CN"/>
        </w:rPr>
        <w:t>。</w:t>
      </w:r>
    </w:p>
    <w:p w14:paraId="1FD25984">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b/>
          <w:bCs/>
          <w:color w:val="0000FF"/>
          <w:kern w:val="2"/>
          <w:sz w:val="21"/>
          <w:szCs w:val="22"/>
          <w:u w:val="single"/>
          <w:lang w:eastAsia="zh-CN"/>
        </w:rPr>
        <w:t>二、</w:t>
      </w:r>
      <w:r>
        <w:rPr>
          <w:rFonts w:ascii="宋体" w:eastAsia="宋体" w:hAnsi="宋体" w:cs="宋体" w:hint="eastAsia"/>
          <w:b/>
          <w:bCs/>
          <w:color w:val="0000FF"/>
          <w:kern w:val="2"/>
          <w:sz w:val="21"/>
          <w:szCs w:val="22"/>
          <w:u w:val="single"/>
          <w:lang w:eastAsia="zh-CN"/>
        </w:rPr>
        <w:t>定标工作规则：</w:t>
      </w:r>
    </w:p>
    <w:p w14:paraId="509C4764">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本项目将按照《关于建设工程招标投标的改革若干规定》(深府〔2015〕73号)和《深圳市人民政府关于进步规范建设工程招标投标活动的通知》(深府规【2024】8号)等定标相关要求执行，并结合资信、报价、清标情况等方面综合择优。</w:t>
      </w:r>
    </w:p>
    <w:p w14:paraId="1B8CF587">
      <w:pPr>
        <w:widowControl w:val="0"/>
        <w:spacing w:line="360" w:lineRule="auto"/>
        <w:ind w:firstLine="480"/>
        <w:jc w:val="both"/>
        <w:rPr>
          <w:rFonts w:ascii="宋体" w:eastAsia="宋体" w:hAnsi="宋体" w:cs="宋体" w:hint="eastAsia"/>
          <w:color w:val="0000FF"/>
          <w:kern w:val="2"/>
          <w:sz w:val="21"/>
          <w:szCs w:val="22"/>
          <w:u w:val="single"/>
          <w:lang w:eastAsia="zh-CN"/>
        </w:rPr>
      </w:pPr>
    </w:p>
    <w:p w14:paraId="135857C6">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b/>
          <w:bCs/>
          <w:color w:val="0000FF"/>
          <w:kern w:val="2"/>
          <w:sz w:val="21"/>
          <w:szCs w:val="22"/>
          <w:u w:val="single"/>
          <w:lang w:eastAsia="zh-CN"/>
        </w:rPr>
        <w:t>三</w:t>
      </w:r>
      <w:r>
        <w:rPr>
          <w:rFonts w:ascii="宋体" w:eastAsia="宋体" w:hAnsi="宋体" w:cs="宋体" w:hint="eastAsia"/>
          <w:b/>
          <w:bCs/>
          <w:color w:val="0000FF"/>
          <w:kern w:val="2"/>
          <w:sz w:val="21"/>
          <w:szCs w:val="22"/>
          <w:u w:val="single"/>
          <w:lang w:eastAsia="zh-CN"/>
        </w:rPr>
        <w:t>、其他招标要求</w:t>
      </w:r>
    </w:p>
    <w:p w14:paraId="36FE0A86">
      <w:pPr>
        <w:widowControl w:val="0"/>
        <w:topLinePunct/>
        <w:adjustRightInd w:val="0"/>
        <w:snapToGrid w:val="0"/>
        <w:spacing w:line="360" w:lineRule="auto"/>
        <w:ind w:firstLine="420" w:firstLineChars="200"/>
        <w:jc w:val="both"/>
        <w:rPr>
          <w:rFonts w:ascii="宋体" w:eastAsia="宋体" w:hAnsi="宋体" w:cs="宋体" w:hint="eastAsia"/>
          <w:color w:val="0000FF"/>
          <w:sz w:val="21"/>
          <w:szCs w:val="21"/>
          <w:u w:val="single"/>
          <w:lang w:eastAsia="zh-CN"/>
        </w:rPr>
      </w:pPr>
      <w:r>
        <w:rPr>
          <w:rFonts w:ascii="宋体" w:eastAsia="宋体" w:hAnsi="宋体" w:cs="宋体" w:hint="eastAsia"/>
          <w:b/>
          <w:bCs/>
          <w:color w:val="0000FF"/>
          <w:kern w:val="2"/>
          <w:sz w:val="21"/>
          <w:szCs w:val="22"/>
          <w:u w:val="single"/>
          <w:lang w:eastAsia="zh-CN"/>
        </w:rPr>
        <w:t>（一）本项目最高报价限价要求</w:t>
      </w:r>
    </w:p>
    <w:p w14:paraId="31735DD8">
      <w:pPr>
        <w:widowControl w:val="0"/>
        <w:adjustRightInd w:val="0"/>
        <w:spacing w:line="400" w:lineRule="exact"/>
        <w:ind w:firstLine="420" w:firstLineChars="200"/>
        <w:jc w:val="left"/>
        <w:rPr>
          <w:rFonts w:ascii="宋体" w:eastAsia="宋体" w:hAnsi="宋体" w:cs="宋体" w:hint="eastAsia"/>
          <w:color w:val="0000FF"/>
          <w:sz w:val="21"/>
          <w:szCs w:val="21"/>
          <w:u w:val="single"/>
          <w:lang w:eastAsia="zh-CN"/>
        </w:rPr>
      </w:pPr>
      <w:r>
        <w:rPr>
          <w:rFonts w:ascii="宋体" w:eastAsia="宋体" w:hAnsi="宋体" w:cs="宋体" w:hint="eastAsia"/>
          <w:b/>
          <w:bCs/>
          <w:color w:val="0000FF"/>
          <w:kern w:val="2"/>
          <w:sz w:val="21"/>
          <w:szCs w:val="22"/>
          <w:u w:val="single"/>
          <w:lang w:eastAsia="zh-CN"/>
        </w:rPr>
        <w:t>本项目最高报价限价</w:t>
      </w:r>
      <w:r>
        <w:rPr>
          <w:rFonts w:ascii="宋体" w:eastAsia="宋体" w:hAnsi="宋体" w:cs="宋体" w:hint="eastAsia"/>
          <w:b/>
          <w:bCs/>
          <w:color w:val="0000FF"/>
          <w:kern w:val="2"/>
          <w:sz w:val="21"/>
          <w:szCs w:val="22"/>
          <w:u w:val="single"/>
          <w:lang w:eastAsia="zh-CN"/>
        </w:rPr>
        <w:t>为150.7792万元，</w:t>
      </w:r>
      <w:r>
        <w:rPr>
          <w:rFonts w:ascii="宋体" w:eastAsia="宋体" w:hAnsi="宋体" w:cs="宋体" w:hint="eastAsia"/>
          <w:b/>
          <w:bCs/>
          <w:color w:val="0000FF"/>
          <w:sz w:val="21"/>
          <w:szCs w:val="21"/>
          <w:u w:val="single"/>
          <w:lang w:eastAsia="zh-CN"/>
        </w:rPr>
        <w:t>投标人应根据项目情况</w:t>
      </w:r>
      <w:r>
        <w:rPr>
          <w:rFonts w:ascii="宋体" w:eastAsia="宋体" w:hAnsi="宋体" w:cs="宋体" w:hint="eastAsia"/>
          <w:b/>
          <w:bCs/>
          <w:color w:val="0000FF"/>
          <w:kern w:val="2"/>
          <w:sz w:val="21"/>
          <w:szCs w:val="22"/>
          <w:u w:val="single"/>
          <w:lang w:eastAsia="zh-CN"/>
        </w:rPr>
        <w:t>自主报价</w:t>
      </w:r>
      <w:r>
        <w:rPr>
          <w:rFonts w:ascii="宋体" w:eastAsia="宋体" w:hAnsi="宋体" w:cs="宋体" w:hint="eastAsia"/>
          <w:color w:val="0000FF"/>
          <w:kern w:val="2"/>
          <w:sz w:val="21"/>
          <w:szCs w:val="22"/>
          <w:u w:val="single"/>
          <w:lang w:eastAsia="zh-CN"/>
        </w:rPr>
        <w:t>。</w:t>
      </w:r>
    </w:p>
    <w:p w14:paraId="6777E398">
      <w:pPr>
        <w:widowControl w:val="0"/>
        <w:spacing w:line="400" w:lineRule="exact"/>
        <w:ind w:firstLine="42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w:t>
      </w:r>
      <w:r>
        <w:rPr>
          <w:rFonts w:ascii="宋体" w:eastAsia="宋体" w:hAnsi="宋体" w:cs="宋体" w:hint="eastAsia"/>
          <w:color w:val="0000FF"/>
          <w:sz w:val="21"/>
          <w:szCs w:val="21"/>
          <w:u w:val="single"/>
          <w:lang w:eastAsia="zh-CN"/>
        </w:rPr>
        <w:t>二</w:t>
      </w:r>
      <w:r>
        <w:rPr>
          <w:rFonts w:ascii="宋体" w:eastAsia="宋体" w:hAnsi="宋体" w:cs="宋体" w:hint="eastAsia"/>
          <w:color w:val="0000FF"/>
          <w:sz w:val="21"/>
          <w:szCs w:val="21"/>
          <w:u w:val="single"/>
          <w:lang w:eastAsia="zh-CN"/>
        </w:rPr>
        <w:t>）</w:t>
      </w:r>
      <w:r>
        <w:rPr>
          <w:rFonts w:ascii="宋体" w:eastAsia="宋体" w:hAnsi="宋体" w:cs="宋体" w:hint="eastAsia"/>
          <w:color w:val="0000FF"/>
          <w:sz w:val="21"/>
          <w:szCs w:val="21"/>
          <w:u w:val="single"/>
          <w:lang w:eastAsia="zh-CN"/>
        </w:rPr>
        <w:t>本项目不设置履约担保、支付担保，故本招标文件中所有关于履约担保、支付担保的内容均不适用于本工程。</w:t>
      </w:r>
    </w:p>
    <w:p w14:paraId="3455042E">
      <w:pPr>
        <w:widowControl w:val="0"/>
        <w:spacing w:line="400" w:lineRule="exact"/>
        <w:ind w:firstLine="42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（三）</w:t>
      </w:r>
      <w:r>
        <w:rPr>
          <w:rFonts w:ascii="宋体" w:eastAsia="宋体" w:hAnsi="宋体" w:cs="宋体" w:hint="eastAsia"/>
          <w:color w:val="0000FF"/>
          <w:sz w:val="21"/>
          <w:szCs w:val="21"/>
          <w:u w:val="single"/>
          <w:lang w:eastAsia="zh-CN"/>
        </w:rPr>
        <w:t>为响应深圳市住房和建设局关于印发《建设工程招标文件定性评审要素设置规则》（深建市场[2016]5号）的通知，本招标文件资信标不做评审（评价或评级），但要求投标人认真响应《资信标要求一览表》各项内容，供招标人作定标参考。</w:t>
      </w:r>
      <w:r>
        <w:rPr>
          <w:rFonts w:ascii="宋体" w:eastAsia="宋体" w:hAnsi="宋体" w:cs="宋体" w:hint="eastAsia"/>
          <w:color w:val="0000FF"/>
          <w:kern w:val="2"/>
          <w:sz w:val="21"/>
          <w:szCs w:val="22"/>
          <w:u w:val="single"/>
          <w:lang w:eastAsia="zh-CN"/>
        </w:rPr>
        <w:t>如果投标人资格审查文件或者资信标中的相关证明材料模糊不清，导致招标人无法查阅的，招标人将做出不利于投标人的判断。投标人应确保所提供资信要素材料的准确性、真实性，评标结果公示时将一并公示所有投标人提供的资信证明材料。</w:t>
      </w:r>
    </w:p>
    <w:p w14:paraId="47D2A469">
      <w:pPr>
        <w:widowControl/>
        <w:spacing w:line="400" w:lineRule="exact"/>
        <w:ind w:firstLine="420" w:firstLineChars="20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（四）</w:t>
      </w:r>
      <w:r>
        <w:rPr>
          <w:rFonts w:ascii="宋体" w:eastAsia="宋体" w:hAnsi="宋体" w:cs="宋体" w:hint="eastAsia"/>
          <w:color w:val="0000FF"/>
          <w:sz w:val="21"/>
          <w:szCs w:val="21"/>
          <w:u w:val="single"/>
          <w:lang w:eastAsia="zh-CN"/>
        </w:rPr>
        <w:t>确定中标候选人后，在中标公示期内，中标候选人须提供资格审查文件、业绩文件、资信标文件中所有扫描件原件或复印件等相关证明材料供招标人核查。经核查，弄虚作假投标的，取消其中标资格，同时，将相关情况报行业主管部门。</w:t>
      </w:r>
    </w:p>
    <w:p w14:paraId="7830E4DD">
      <w:pPr>
        <w:widowControl/>
        <w:spacing w:line="400" w:lineRule="exact"/>
        <w:ind w:firstLine="420" w:firstLineChars="20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（五）</w:t>
      </w:r>
      <w:r>
        <w:rPr>
          <w:rFonts w:ascii="宋体" w:eastAsia="宋体" w:hAnsi="宋体" w:cs="宋体" w:hint="eastAsia"/>
          <w:color w:val="0000FF"/>
          <w:sz w:val="21"/>
          <w:szCs w:val="21"/>
          <w:u w:val="single"/>
          <w:lang w:eastAsia="zh-CN"/>
        </w:rPr>
        <w:t>本工程在定标后，招标人将对中标人的投标文件</w:t>
      </w:r>
      <w:r>
        <w:rPr>
          <w:rFonts w:ascii="宋体" w:eastAsia="宋体" w:hAnsi="宋体" w:cs="宋体" w:hint="eastAsia"/>
          <w:color w:val="0000FF"/>
          <w:sz w:val="21"/>
          <w:szCs w:val="21"/>
          <w:u w:val="single"/>
          <w:lang w:eastAsia="zh-CN"/>
        </w:rPr>
        <w:t>进行全面清查和复核，招标人有权对投标文件清查和复核中发现的问题进行澄清，中标人须无条件接受。</w:t>
      </w:r>
    </w:p>
    <w:p w14:paraId="35FBB9FA">
      <w:pPr>
        <w:widowControl/>
        <w:spacing w:line="400" w:lineRule="exact"/>
        <w:ind w:firstLine="420" w:firstLineChars="20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（六）</w:t>
      </w:r>
      <w:r>
        <w:rPr>
          <w:rFonts w:ascii="宋体" w:eastAsia="宋体" w:hAnsi="宋体" w:cs="宋体" w:hint="eastAsia"/>
          <w:color w:val="0000FF"/>
          <w:sz w:val="21"/>
          <w:szCs w:val="21"/>
          <w:u w:val="single"/>
          <w:lang w:eastAsia="zh-CN"/>
        </w:rPr>
        <w:t>本工程在定标后，对于中标人投标文件中承诺优于本项目招标文件设定的要求或目标的，招标人有权按投标文件的承诺在合同中约定相应要求或目标，中标人须无条件接受。</w:t>
      </w:r>
    </w:p>
    <w:p w14:paraId="5EEB9BFF">
      <w:pPr>
        <w:widowControl/>
        <w:spacing w:line="400" w:lineRule="exact"/>
        <w:ind w:firstLine="420" w:firstLineChars="200"/>
        <w:jc w:val="both"/>
        <w:rPr>
          <w:rFonts w:ascii="宋体" w:eastAsia="宋体" w:hAnsi="宋体" w:cs="宋体" w:hint="eastAsia"/>
          <w:color w:val="0000FF"/>
          <w:sz w:val="21"/>
          <w:szCs w:val="21"/>
          <w:u w:val="single"/>
          <w:lang w:eastAsia="zh-CN"/>
        </w:rPr>
      </w:pPr>
      <w:r>
        <w:rPr>
          <w:rFonts w:ascii="宋体" w:eastAsia="宋体" w:hAnsi="宋体" w:cs="宋体" w:hint="eastAsia"/>
          <w:color w:val="0000FF"/>
          <w:sz w:val="21"/>
          <w:szCs w:val="21"/>
          <w:u w:val="single"/>
          <w:lang w:eastAsia="zh-CN"/>
        </w:rPr>
        <w:t>（七）</w:t>
      </w:r>
      <w:r>
        <w:rPr>
          <w:rFonts w:ascii="宋体" w:eastAsia="宋体" w:hAnsi="宋体" w:cs="宋体" w:hint="eastAsia"/>
          <w:color w:val="0000FF"/>
          <w:sz w:val="21"/>
          <w:szCs w:val="21"/>
          <w:u w:val="single"/>
          <w:lang w:eastAsia="zh-CN"/>
        </w:rPr>
        <w:t>投标人对其他投标人的资格条件或者业绩等有异议的，须在资格审查结果公示期间（资格审查结果公示期为三个工作日）提出，资格审查公示期结束后招标人不接受任何关于资格条件或者业绩的异议。</w:t>
      </w:r>
    </w:p>
    <w:p w14:paraId="2151FB3D">
      <w:pPr>
        <w:widowControl/>
        <w:spacing w:before="0" w:after="0" w:line="400" w:lineRule="exact"/>
        <w:ind w:firstLine="420" w:firstLineChars="200"/>
        <w:jc w:val="both"/>
        <w:rPr>
          <w:rFonts w:ascii="宋体" w:eastAsia="宋体" w:hAnsi="宋体" w:cs="宋体" w:hint="eastAsia"/>
          <w:b/>
          <w:bCs/>
          <w:color w:val="0000FF"/>
          <w:kern w:val="2"/>
          <w:sz w:val="21"/>
          <w:szCs w:val="22"/>
          <w:u w:val="single"/>
          <w:lang w:eastAsia="zh-CN"/>
        </w:rPr>
      </w:pPr>
      <w:r>
        <w:rPr>
          <w:rFonts w:ascii="宋体" w:eastAsia="宋体" w:hAnsi="宋体" w:cs="宋体" w:hint="eastAsia"/>
          <w:color w:val="0000FF"/>
          <w:sz w:val="21"/>
          <w:szCs w:val="21"/>
          <w:u w:val="single"/>
          <w:lang w:eastAsia="zh-CN"/>
        </w:rPr>
        <w:t>（八）</w:t>
      </w:r>
      <w:r>
        <w:rPr>
          <w:rFonts w:ascii="宋体" w:eastAsia="宋体" w:hAnsi="宋体" w:cs="宋体" w:hint="eastAsia"/>
          <w:color w:val="0000FF"/>
          <w:sz w:val="21"/>
          <w:szCs w:val="21"/>
          <w:u w:val="single"/>
          <w:lang w:eastAsia="zh-CN"/>
        </w:rPr>
        <w:t>中标人须提供4份纸质投标文件【含资格审查文件、商务标、</w:t>
      </w:r>
      <w:r>
        <w:rPr>
          <w:rFonts w:ascii="宋体" w:eastAsia="宋体" w:hAnsi="宋体" w:cs="宋体" w:hint="eastAsia"/>
          <w:color w:val="0000FF"/>
          <w:sz w:val="21"/>
          <w:szCs w:val="21"/>
          <w:u w:val="single"/>
          <w:lang w:eastAsia="zh-CN"/>
        </w:rPr>
        <w:t>技术标、</w:t>
      </w:r>
      <w:r>
        <w:rPr>
          <w:rFonts w:ascii="宋体" w:eastAsia="宋体" w:hAnsi="宋体" w:cs="宋体" w:hint="eastAsia"/>
          <w:color w:val="0000FF"/>
          <w:sz w:val="21"/>
          <w:szCs w:val="21"/>
          <w:u w:val="single"/>
          <w:lang w:eastAsia="zh-CN"/>
        </w:rPr>
        <w:t>业绩文件、资信标】、</w:t>
      </w:r>
      <w:r>
        <w:rPr>
          <w:rFonts w:ascii="宋体" w:eastAsia="宋体" w:hAnsi="宋体" w:cs="宋体" w:hint="eastAsia"/>
          <w:color w:val="0000FF"/>
          <w:sz w:val="21"/>
          <w:szCs w:val="21"/>
          <w:u w:val="single"/>
          <w:lang w:eastAsia="zh-CN"/>
        </w:rPr>
        <w:t>电子版</w:t>
      </w:r>
      <w:r>
        <w:rPr>
          <w:rFonts w:ascii="宋体" w:eastAsia="宋体" w:hAnsi="宋体" w:cs="宋体" w:hint="eastAsia"/>
          <w:color w:val="0000FF"/>
          <w:sz w:val="21"/>
          <w:szCs w:val="21"/>
          <w:u w:val="single"/>
          <w:lang w:eastAsia="zh-CN"/>
        </w:rPr>
        <w:t>（含须加盖公章的所有投标文件扫描件）给招标人（提供的纸质投标文件须由法定代表人或委托代理人签字并加盖中标人公章，同时需保证纸质文件、光盘资料及U盘资料的内容与在交易网递交的电子投标文件一致）</w:t>
      </w:r>
      <w:r>
        <w:rPr>
          <w:rFonts w:ascii="宋体" w:eastAsia="宋体" w:hAnsi="宋体" w:cs="宋体" w:hint="eastAsia"/>
          <w:b/>
          <w:bCs/>
          <w:color w:val="0000FF"/>
          <w:kern w:val="2"/>
          <w:sz w:val="21"/>
          <w:szCs w:val="22"/>
          <w:u w:val="single"/>
          <w:lang w:eastAsia="zh-CN"/>
        </w:rPr>
        <w:t>。</w:t>
      </w:r>
    </w:p>
    <w:p w14:paraId="5F1CAED2">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w:t>
      </w:r>
      <w:r>
        <w:rPr>
          <w:rFonts w:ascii="宋体" w:eastAsia="宋体" w:hAnsi="宋体" w:cs="宋体" w:hint="eastAsia"/>
          <w:color w:val="0000FF"/>
          <w:kern w:val="2"/>
          <w:sz w:val="21"/>
          <w:szCs w:val="22"/>
          <w:u w:val="single"/>
          <w:lang w:eastAsia="zh-CN"/>
        </w:rPr>
        <w:t>九</w:t>
      </w:r>
      <w:r>
        <w:rPr>
          <w:rFonts w:ascii="宋体" w:eastAsia="宋体" w:hAnsi="宋体" w:cs="宋体" w:hint="eastAsia"/>
          <w:color w:val="0000FF"/>
          <w:kern w:val="2"/>
          <w:sz w:val="21"/>
          <w:szCs w:val="22"/>
          <w:u w:val="single"/>
          <w:lang w:eastAsia="zh-CN"/>
        </w:rPr>
        <w:t>）招标文件中涉及的“项目编号”、“工程编号”均按招标公告的“招标项目编号”或者“标段编号”填写。</w:t>
      </w:r>
    </w:p>
    <w:p w14:paraId="43DD8520">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w:t>
      </w:r>
      <w:r>
        <w:rPr>
          <w:rFonts w:ascii="宋体" w:eastAsia="宋体" w:hAnsi="宋体" w:cs="宋体" w:hint="eastAsia"/>
          <w:color w:val="0000FF"/>
          <w:kern w:val="2"/>
          <w:sz w:val="21"/>
          <w:szCs w:val="22"/>
          <w:u w:val="single"/>
          <w:lang w:eastAsia="zh-CN"/>
        </w:rPr>
        <w:t>十</w:t>
      </w:r>
      <w:r>
        <w:rPr>
          <w:rFonts w:ascii="宋体" w:eastAsia="宋体" w:hAnsi="宋体" w:cs="宋体" w:hint="eastAsia"/>
          <w:color w:val="0000FF"/>
          <w:kern w:val="2"/>
          <w:sz w:val="21"/>
          <w:szCs w:val="22"/>
          <w:u w:val="single"/>
          <w:lang w:eastAsia="zh-CN"/>
        </w:rPr>
        <w:t>）投标人不得虚假、恶意质疑或投诉，有下列情形之一的，招标人将该投标人上报上级主管部门进行处理：</w:t>
      </w:r>
    </w:p>
    <w:p w14:paraId="60FC594A">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10</w:t>
      </w:r>
      <w:r>
        <w:rPr>
          <w:rFonts w:ascii="宋体" w:eastAsia="宋体" w:hAnsi="宋体" w:cs="宋体" w:hint="eastAsia"/>
          <w:color w:val="0000FF"/>
          <w:kern w:val="2"/>
          <w:sz w:val="21"/>
          <w:szCs w:val="22"/>
          <w:u w:val="single"/>
          <w:lang w:eastAsia="zh-CN"/>
        </w:rPr>
        <w:t>.1 捏造事实或提供虚假证明材料进行质疑的；</w:t>
      </w:r>
    </w:p>
    <w:p w14:paraId="512F8016">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10</w:t>
      </w:r>
      <w:r>
        <w:rPr>
          <w:rFonts w:ascii="宋体" w:eastAsia="宋体" w:hAnsi="宋体" w:cs="宋体" w:hint="eastAsia"/>
          <w:color w:val="0000FF"/>
          <w:kern w:val="2"/>
          <w:sz w:val="21"/>
          <w:szCs w:val="22"/>
          <w:u w:val="single"/>
          <w:lang w:eastAsia="zh-CN"/>
        </w:rPr>
        <w:t>.2 假冒他人名义进行质疑的；</w:t>
      </w:r>
    </w:p>
    <w:p w14:paraId="60B31829">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10</w:t>
      </w:r>
      <w:r>
        <w:rPr>
          <w:rFonts w:ascii="宋体" w:eastAsia="宋体" w:hAnsi="宋体" w:cs="宋体" w:hint="eastAsia"/>
          <w:color w:val="0000FF"/>
          <w:kern w:val="2"/>
          <w:sz w:val="21"/>
          <w:szCs w:val="22"/>
          <w:u w:val="single"/>
          <w:lang w:eastAsia="zh-CN"/>
        </w:rPr>
        <w:t>.3 质疑人拒不配合进行有关调查、情节严重的。</w:t>
      </w:r>
    </w:p>
    <w:p w14:paraId="4F461FD1">
      <w:pPr>
        <w:widowControl w:val="0"/>
        <w:topLinePunct/>
        <w:spacing w:line="360" w:lineRule="auto"/>
        <w:ind w:firstLine="420" w:firstLineChars="200"/>
        <w:contextualSpacing/>
        <w:jc w:val="both"/>
        <w:rPr>
          <w:rFonts w:ascii="宋体" w:eastAsia="宋体" w:hAnsi="宋体" w:cs="宋体" w:hint="eastAsia"/>
          <w:b/>
          <w:bCs/>
          <w:color w:val="0000FF"/>
          <w:kern w:val="2"/>
          <w:sz w:val="21"/>
          <w:szCs w:val="22"/>
          <w:u w:val="single"/>
          <w:lang w:eastAsia="zh-CN"/>
        </w:rPr>
      </w:pPr>
      <w:r>
        <w:rPr>
          <w:rFonts w:ascii="宋体" w:eastAsia="宋体" w:hAnsi="宋体" w:cs="宋体" w:hint="eastAsia"/>
          <w:b/>
          <w:bCs/>
          <w:color w:val="0000FF"/>
          <w:kern w:val="2"/>
          <w:sz w:val="21"/>
          <w:szCs w:val="22"/>
          <w:u w:val="single"/>
          <w:lang w:eastAsia="zh-CN"/>
        </w:rPr>
        <w:t>（</w:t>
      </w:r>
      <w:r>
        <w:rPr>
          <w:rFonts w:ascii="宋体" w:eastAsia="宋体" w:hAnsi="宋体" w:cs="宋体" w:hint="eastAsia"/>
          <w:b/>
          <w:bCs/>
          <w:color w:val="0000FF"/>
          <w:kern w:val="2"/>
          <w:sz w:val="21"/>
          <w:szCs w:val="22"/>
          <w:u w:val="single"/>
          <w:lang w:eastAsia="zh-CN"/>
        </w:rPr>
        <w:t>十一</w:t>
      </w:r>
      <w:r>
        <w:rPr>
          <w:rFonts w:ascii="宋体" w:eastAsia="宋体" w:hAnsi="宋体" w:cs="宋体" w:hint="eastAsia"/>
          <w:b/>
          <w:bCs/>
          <w:color w:val="0000FF"/>
          <w:kern w:val="2"/>
          <w:sz w:val="21"/>
          <w:szCs w:val="22"/>
          <w:u w:val="single"/>
          <w:lang w:eastAsia="zh-CN"/>
        </w:rPr>
        <w:t>）评</w:t>
      </w:r>
      <w:r>
        <w:rPr>
          <w:rFonts w:ascii="宋体" w:eastAsia="宋体" w:hAnsi="宋体" w:cs="宋体" w:hint="eastAsia"/>
          <w:b/>
          <w:bCs/>
          <w:color w:val="0000FF"/>
          <w:kern w:val="2"/>
          <w:sz w:val="21"/>
          <w:szCs w:val="22"/>
          <w:u w:val="single"/>
          <w:lang w:eastAsia="zh-CN"/>
        </w:rPr>
        <w:t>标、</w:t>
      </w:r>
      <w:r>
        <w:rPr>
          <w:rFonts w:ascii="宋体" w:eastAsia="宋体" w:hAnsi="宋体" w:cs="宋体" w:hint="eastAsia"/>
          <w:b/>
          <w:bCs/>
          <w:color w:val="0000FF"/>
          <w:kern w:val="2"/>
          <w:sz w:val="21"/>
          <w:szCs w:val="22"/>
          <w:u w:val="single"/>
          <w:lang w:eastAsia="zh-CN"/>
        </w:rPr>
        <w:t>定标</w:t>
      </w:r>
      <w:r>
        <w:rPr>
          <w:rFonts w:ascii="宋体" w:eastAsia="宋体" w:hAnsi="宋体" w:cs="宋体" w:hint="eastAsia"/>
          <w:b/>
          <w:bCs/>
          <w:color w:val="0000FF"/>
          <w:kern w:val="2"/>
          <w:sz w:val="21"/>
          <w:szCs w:val="22"/>
          <w:u w:val="single"/>
          <w:lang w:eastAsia="zh-CN"/>
        </w:rPr>
        <w:t xml:space="preserve">费用及交易服务费 </w:t>
      </w:r>
    </w:p>
    <w:p w14:paraId="3F0CF9A5">
      <w:pPr>
        <w:widowControl w:val="0"/>
        <w:topLinePunct/>
        <w:spacing w:line="360" w:lineRule="auto"/>
        <w:ind w:firstLine="420" w:firstLineChars="200"/>
        <w:contextualSpacing/>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10</w:t>
      </w:r>
      <w:r>
        <w:rPr>
          <w:rFonts w:ascii="宋体" w:eastAsia="宋体" w:hAnsi="宋体" w:cs="宋体" w:hint="eastAsia"/>
          <w:color w:val="0000FF"/>
          <w:kern w:val="2"/>
          <w:sz w:val="21"/>
          <w:szCs w:val="22"/>
          <w:u w:val="single"/>
          <w:lang w:eastAsia="zh-CN"/>
        </w:rPr>
        <w:t>.1本项目入围专家费、</w:t>
      </w:r>
      <w:r>
        <w:rPr>
          <w:rFonts w:ascii="宋体" w:eastAsia="宋体" w:hAnsi="宋体" w:cs="宋体" w:hint="eastAsia"/>
          <w:color w:val="0000FF"/>
          <w:kern w:val="2"/>
          <w:sz w:val="21"/>
          <w:szCs w:val="22"/>
          <w:u w:val="single"/>
          <w:lang w:eastAsia="zh-CN"/>
        </w:rPr>
        <w:t>评</w:t>
      </w:r>
      <w:r>
        <w:rPr>
          <w:rFonts w:ascii="宋体" w:eastAsia="宋体" w:hAnsi="宋体" w:cs="宋体" w:hint="eastAsia"/>
          <w:color w:val="0000FF"/>
          <w:kern w:val="2"/>
          <w:sz w:val="21"/>
          <w:szCs w:val="22"/>
          <w:u w:val="single"/>
          <w:lang w:eastAsia="zh-CN"/>
        </w:rPr>
        <w:t>标专家费、定标专家费均由项目中标单位承担，投标人的报价</w:t>
      </w:r>
      <w:r>
        <w:rPr>
          <w:rFonts w:ascii="宋体" w:eastAsia="宋体" w:hAnsi="宋体" w:cs="宋体" w:hint="eastAsia"/>
          <w:color w:val="0000FF"/>
          <w:kern w:val="2"/>
          <w:sz w:val="21"/>
          <w:szCs w:val="22"/>
          <w:u w:val="single"/>
          <w:lang w:eastAsia="zh-CN"/>
        </w:rPr>
        <w:t>应</w:t>
      </w:r>
      <w:r>
        <w:rPr>
          <w:rFonts w:ascii="宋体" w:eastAsia="宋体" w:hAnsi="宋体" w:cs="宋体" w:hint="eastAsia"/>
          <w:color w:val="0000FF"/>
          <w:kern w:val="2"/>
          <w:sz w:val="21"/>
          <w:szCs w:val="22"/>
          <w:u w:val="single"/>
          <w:lang w:eastAsia="zh-CN"/>
        </w:rPr>
        <w:t>综合考虑上述费用。</w:t>
      </w:r>
      <w:r>
        <w:rPr>
          <w:rFonts w:ascii="宋体" w:eastAsia="宋体" w:hAnsi="宋体" w:cs="宋体" w:hint="eastAsia"/>
          <w:color w:val="0000FF"/>
          <w:kern w:val="2"/>
          <w:sz w:val="21"/>
          <w:szCs w:val="22"/>
          <w:u w:val="single"/>
          <w:lang w:eastAsia="zh-CN"/>
        </w:rPr>
        <w:t>前述费用</w:t>
      </w:r>
      <w:r>
        <w:rPr>
          <w:rFonts w:ascii="宋体" w:eastAsia="宋体" w:hAnsi="宋体" w:cs="宋体" w:hint="eastAsia"/>
          <w:color w:val="0000FF"/>
          <w:kern w:val="2"/>
          <w:sz w:val="21"/>
          <w:szCs w:val="22"/>
          <w:u w:val="single"/>
          <w:lang w:eastAsia="zh-CN"/>
        </w:rPr>
        <w:t>先由招标代理机构垫支，后续根据垫付费用（含根据实际发放金额）向中标人收取（无发票）。中标人须在领取中标通知书前支付给招标代理机构。</w:t>
      </w:r>
    </w:p>
    <w:p w14:paraId="603AC475">
      <w:pPr>
        <w:widowControl w:val="0"/>
        <w:topLinePunct/>
        <w:spacing w:line="360" w:lineRule="auto"/>
        <w:ind w:firstLine="420" w:firstLineChars="200"/>
        <w:contextualSpacing/>
        <w:jc w:val="both"/>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10</w:t>
      </w:r>
      <w:r>
        <w:rPr>
          <w:rFonts w:ascii="宋体" w:eastAsia="宋体" w:hAnsi="宋体" w:cs="宋体" w:hint="eastAsia"/>
          <w:color w:val="0000FF"/>
          <w:kern w:val="2"/>
          <w:sz w:val="21"/>
          <w:szCs w:val="22"/>
          <w:u w:val="single"/>
          <w:lang w:eastAsia="zh-CN"/>
        </w:rPr>
        <w:t>.</w:t>
      </w:r>
      <w:r>
        <w:rPr>
          <w:rFonts w:ascii="宋体" w:eastAsia="宋体" w:hAnsi="宋体" w:cs="宋体" w:hint="eastAsia"/>
          <w:color w:val="0000FF"/>
          <w:kern w:val="2"/>
          <w:sz w:val="21"/>
          <w:szCs w:val="22"/>
          <w:u w:val="single"/>
          <w:lang w:eastAsia="zh-CN"/>
        </w:rPr>
        <w:t>2</w:t>
      </w:r>
      <w:r>
        <w:rPr>
          <w:rFonts w:ascii="宋体" w:eastAsia="宋体" w:hAnsi="宋体" w:cs="宋体" w:hint="eastAsia"/>
          <w:color w:val="0000FF"/>
          <w:kern w:val="2"/>
          <w:sz w:val="21"/>
          <w:szCs w:val="22"/>
          <w:u w:val="single"/>
          <w:lang w:eastAsia="zh-CN"/>
        </w:rPr>
        <w:t>本项目</w:t>
      </w:r>
      <w:r>
        <w:rPr>
          <w:rFonts w:ascii="宋体" w:eastAsia="宋体" w:hAnsi="宋体" w:cs="宋体" w:hint="eastAsia"/>
          <w:color w:val="0000FF"/>
          <w:kern w:val="2"/>
          <w:sz w:val="21"/>
          <w:szCs w:val="22"/>
          <w:u w:val="single"/>
          <w:lang w:eastAsia="zh-CN"/>
        </w:rPr>
        <w:t>交易服务费由中标单位支付，具体金额以市交易集团出具的缴费通知书上的金额为准，该费用已含在中标价中，</w:t>
      </w:r>
      <w:r>
        <w:rPr>
          <w:rFonts w:ascii="宋体" w:eastAsia="宋体" w:hAnsi="宋体" w:cs="宋体" w:hint="eastAsia"/>
          <w:color w:val="0000FF"/>
          <w:kern w:val="2"/>
          <w:sz w:val="21"/>
          <w:szCs w:val="22"/>
          <w:u w:val="single"/>
          <w:lang w:eastAsia="zh-CN"/>
        </w:rPr>
        <w:t>投标人的报价</w:t>
      </w:r>
      <w:r>
        <w:rPr>
          <w:rFonts w:ascii="宋体" w:eastAsia="宋体" w:hAnsi="宋体" w:cs="宋体" w:hint="eastAsia"/>
          <w:color w:val="0000FF"/>
          <w:kern w:val="2"/>
          <w:sz w:val="21"/>
          <w:szCs w:val="22"/>
          <w:u w:val="single"/>
          <w:lang w:eastAsia="zh-CN"/>
        </w:rPr>
        <w:t>应</w:t>
      </w:r>
      <w:r>
        <w:rPr>
          <w:rFonts w:ascii="宋体" w:eastAsia="宋体" w:hAnsi="宋体" w:cs="宋体" w:hint="eastAsia"/>
          <w:color w:val="0000FF"/>
          <w:kern w:val="2"/>
          <w:sz w:val="21"/>
          <w:szCs w:val="22"/>
          <w:u w:val="single"/>
          <w:lang w:eastAsia="zh-CN"/>
        </w:rPr>
        <w:t>综合考虑</w:t>
      </w:r>
      <w:r>
        <w:rPr>
          <w:rFonts w:ascii="宋体" w:eastAsia="宋体" w:hAnsi="宋体" w:cs="宋体" w:hint="eastAsia"/>
          <w:color w:val="0000FF"/>
          <w:kern w:val="2"/>
          <w:sz w:val="21"/>
          <w:szCs w:val="22"/>
          <w:u w:val="single"/>
          <w:lang w:eastAsia="zh-CN"/>
        </w:rPr>
        <w:t>该</w:t>
      </w:r>
      <w:r>
        <w:rPr>
          <w:rFonts w:ascii="宋体" w:eastAsia="宋体" w:hAnsi="宋体" w:cs="宋体" w:hint="eastAsia"/>
          <w:color w:val="0000FF"/>
          <w:kern w:val="2"/>
          <w:sz w:val="21"/>
          <w:szCs w:val="22"/>
          <w:u w:val="single"/>
          <w:lang w:eastAsia="zh-CN"/>
        </w:rPr>
        <w:t>费用</w:t>
      </w:r>
      <w:r>
        <w:rPr>
          <w:rFonts w:ascii="宋体" w:eastAsia="宋体" w:hAnsi="宋体" w:cs="宋体" w:hint="eastAsia"/>
          <w:color w:val="0000FF"/>
          <w:kern w:val="2"/>
          <w:sz w:val="21"/>
          <w:szCs w:val="22"/>
          <w:u w:val="single"/>
          <w:lang w:eastAsia="zh-CN"/>
        </w:rPr>
        <w:t xml:space="preserve">。发票抬头可以是中标人。 </w:t>
      </w:r>
    </w:p>
    <w:p w14:paraId="637D91A6">
      <w:pPr>
        <w:widowControl w:val="0"/>
        <w:spacing w:line="360" w:lineRule="auto"/>
        <w:ind w:firstLine="420" w:firstLineChars="200"/>
        <w:jc w:val="both"/>
        <w:rPr>
          <w:rFonts w:ascii="宋体" w:eastAsia="宋体" w:hAnsi="宋体" w:cs="宋体" w:hint="eastAsia"/>
          <w:color w:val="0000FF"/>
          <w:kern w:val="2"/>
          <w:sz w:val="21"/>
          <w:szCs w:val="22"/>
          <w:u w:val="single"/>
          <w:lang w:eastAsia="zh-CN"/>
        </w:rPr>
      </w:pPr>
      <w:r>
        <w:rPr>
          <w:rFonts w:ascii="宋体" w:eastAsia="宋体" w:hAnsi="宋体" w:cs="宋体" w:hint="eastAsia"/>
          <w:b/>
          <w:bCs/>
          <w:color w:val="0000FF"/>
          <w:kern w:val="2"/>
          <w:sz w:val="21"/>
          <w:szCs w:val="22"/>
          <w:u w:val="single"/>
          <w:lang w:eastAsia="zh-CN"/>
        </w:rPr>
        <w:t>（十</w:t>
      </w:r>
      <w:r>
        <w:rPr>
          <w:rFonts w:ascii="宋体" w:eastAsia="宋体" w:hAnsi="宋体" w:cs="宋体" w:hint="eastAsia"/>
          <w:b/>
          <w:bCs/>
          <w:color w:val="0000FF"/>
          <w:kern w:val="2"/>
          <w:sz w:val="21"/>
          <w:szCs w:val="22"/>
          <w:u w:val="single"/>
          <w:lang w:eastAsia="zh-CN"/>
        </w:rPr>
        <w:t>二</w:t>
      </w:r>
      <w:r>
        <w:rPr>
          <w:rFonts w:ascii="宋体" w:eastAsia="宋体" w:hAnsi="宋体" w:cs="宋体" w:hint="eastAsia"/>
          <w:b/>
          <w:bCs/>
          <w:color w:val="0000FF"/>
          <w:kern w:val="2"/>
          <w:sz w:val="21"/>
          <w:szCs w:val="22"/>
          <w:u w:val="single"/>
          <w:lang w:eastAsia="zh-CN"/>
        </w:rPr>
        <w:t>）特别约定：</w:t>
      </w:r>
    </w:p>
    <w:p w14:paraId="40BE8036">
      <w:pPr>
        <w:keepNext w:val="0"/>
        <w:keepLines w:val="0"/>
        <w:pageBreakBefore w:val="0"/>
        <w:widowControl w:val="0"/>
        <w:kinsoku/>
        <w:wordWrap/>
        <w:overflowPunct/>
        <w:autoSpaceDE/>
        <w:autoSpaceDN/>
        <w:bidi w:val="0"/>
        <w:adjustRightInd/>
        <w:snapToGrid/>
        <w:spacing w:line="360" w:lineRule="auto"/>
        <w:ind w:firstLine="420" w:firstLineChars="200"/>
        <w:jc w:val="both"/>
        <w:textAlignment w:val="auto"/>
        <w:rPr>
          <w:rFonts w:ascii="宋体" w:eastAsia="宋体" w:hAnsi="宋体" w:cs="宋体" w:hint="eastAsia"/>
          <w:color w:val="0000FF"/>
          <w:kern w:val="2"/>
          <w:sz w:val="21"/>
          <w:szCs w:val="22"/>
          <w:u w:val="single"/>
          <w:lang w:eastAsia="zh-CN"/>
        </w:rPr>
      </w:pPr>
      <w:r>
        <w:rPr>
          <w:rFonts w:ascii="宋体" w:eastAsia="宋体" w:hAnsi="宋体" w:cs="宋体" w:hint="eastAsia"/>
          <w:color w:val="0000FF"/>
          <w:kern w:val="2"/>
          <w:sz w:val="21"/>
          <w:szCs w:val="22"/>
          <w:u w:val="single"/>
          <w:lang w:eastAsia="zh-CN"/>
        </w:rPr>
        <w:t>为了维护招标投标当事人的合法权益，确保招投标工作公平、公正、有序、高效推进，在本次招投标活动中，针对《深圳市人民政府印发关于建设工程招标投标改革若干规定的通知》（深府〔2015〕73号）第三十三条所列招标人应当拒绝投标的五款情形，规定如下：第（一）款以“中国裁判文书网”查询结果为准，第（二）、（三）、（四）、（五）款仅仅适用于深圳市行政区域内。</w:t>
      </w:r>
    </w:p>
    <w:p w14:paraId="3D77F2B3">
      <w:pPr>
        <w:widowControl w:val="0"/>
        <w:topLinePunct/>
        <w:spacing w:line="360" w:lineRule="auto"/>
        <w:ind w:firstLine="0" w:firstLineChars="0"/>
        <w:jc w:val="both"/>
        <w:rPr>
          <w:rFonts w:ascii="宋体" w:eastAsia="宋体" w:hAnsi="宋体" w:cs="宋体" w:hint="eastAsia"/>
          <w:color w:val="0000FF"/>
          <w:kern w:val="2"/>
          <w:sz w:val="21"/>
          <w:szCs w:val="21"/>
          <w:u w:val="single"/>
          <w:lang w:eastAsia="zh-CN"/>
        </w:rPr>
      </w:pPr>
      <w:r>
        <w:rPr>
          <w:rFonts w:ascii="宋体" w:eastAsia="宋体" w:hAnsi="宋体" w:cs="宋体" w:hint="eastAsia"/>
          <w:color w:val="0000FF"/>
          <w:kern w:val="2"/>
          <w:sz w:val="21"/>
          <w:szCs w:val="22"/>
          <w:u w:val="single"/>
          <w:lang w:eastAsia="zh-CN"/>
        </w:rPr>
        <w:t>投标人在深圳市行政区域外发生第（二）、（三）、（四）、（五）款所列情形，由工程所在地政府有关行政主管部门作出行政处罚或通报，不作为本次招标的投标资格条件。投标人、潜在投标人或者其他利害关系人以深圳市行政区域外的违规情形、行政处罚或通报情况为由提出异议，招标人将不予受理。</w:t>
      </w:r>
    </w:p>
    <w:p w14:paraId="5B4B993E">
      <w:pPr>
        <w:widowControl w:val="0"/>
        <w:topLinePunct/>
        <w:adjustRightInd w:val="0"/>
        <w:snapToGrid w:val="0"/>
        <w:spacing w:line="360" w:lineRule="auto"/>
        <w:ind w:firstLine="420" w:firstLineChars="200"/>
        <w:jc w:val="both"/>
        <w:rPr>
          <w:rFonts w:ascii="宋体" w:eastAsia="宋体" w:hAnsi="宋体" w:cs="宋体" w:hint="eastAsia"/>
          <w:b/>
          <w:bCs/>
          <w:color w:val="0000FF"/>
          <w:kern w:val="2"/>
          <w:sz w:val="30"/>
          <w:szCs w:val="30"/>
          <w:lang w:eastAsia="zh-CN"/>
        </w:rPr>
      </w:pPr>
      <w:r>
        <w:rPr>
          <w:rFonts w:ascii="宋体" w:eastAsia="宋体" w:hAnsi="宋体" w:cs="宋体" w:hint="eastAsia"/>
          <w:b/>
          <w:bCs/>
          <w:color w:val="0000FF"/>
          <w:kern w:val="2"/>
          <w:sz w:val="21"/>
          <w:szCs w:val="22"/>
          <w:u w:val="single"/>
          <w:lang w:eastAsia="zh-CN"/>
        </w:rPr>
        <w:t>（</w:t>
      </w:r>
      <w:r>
        <w:rPr>
          <w:rFonts w:ascii="宋体" w:eastAsia="宋体" w:hAnsi="宋体" w:cs="宋体" w:hint="eastAsia"/>
          <w:color w:val="0000FF"/>
          <w:kern w:val="2"/>
          <w:sz w:val="21"/>
          <w:szCs w:val="22"/>
          <w:u w:val="single"/>
          <w:lang w:eastAsia="zh-CN"/>
        </w:rPr>
        <w:t>十</w:t>
      </w:r>
      <w:r>
        <w:rPr>
          <w:rFonts w:ascii="宋体" w:eastAsia="宋体" w:hAnsi="宋体" w:cs="宋体" w:hint="eastAsia"/>
          <w:color w:val="0000FF"/>
          <w:kern w:val="2"/>
          <w:sz w:val="21"/>
          <w:szCs w:val="22"/>
          <w:u w:val="single"/>
          <w:lang w:eastAsia="zh-CN"/>
        </w:rPr>
        <w:t>三</w:t>
      </w:r>
      <w:r>
        <w:rPr>
          <w:rFonts w:ascii="宋体" w:eastAsia="宋体" w:hAnsi="宋体" w:cs="宋体" w:hint="eastAsia"/>
          <w:b/>
          <w:bCs/>
          <w:color w:val="0000FF"/>
          <w:kern w:val="2"/>
          <w:sz w:val="21"/>
          <w:szCs w:val="22"/>
          <w:u w:val="single"/>
          <w:lang w:eastAsia="zh-CN"/>
        </w:rPr>
        <w:t>）※请各投标人按以下格式要求编制资信标</w:t>
      </w:r>
      <w:r>
        <w:rPr>
          <w:rFonts w:ascii="宋体" w:eastAsia="宋体" w:hAnsi="宋体" w:cs="宋体" w:hint="eastAsia"/>
          <w:b/>
          <w:bCs/>
          <w:color w:val="0000FF"/>
          <w:kern w:val="2"/>
          <w:sz w:val="21"/>
          <w:szCs w:val="22"/>
          <w:u w:val="single"/>
          <w:lang w:eastAsia="zh-CN"/>
        </w:rPr>
        <w:t>文件</w:t>
      </w:r>
      <w:r>
        <w:rPr>
          <w:rFonts w:ascii="宋体" w:eastAsia="宋体" w:hAnsi="宋体" w:cs="宋体" w:hint="eastAsia"/>
          <w:b/>
          <w:bCs/>
          <w:color w:val="0000FF"/>
          <w:kern w:val="2"/>
          <w:sz w:val="21"/>
          <w:szCs w:val="22"/>
          <w:u w:val="single"/>
          <w:lang w:eastAsia="zh-CN"/>
        </w:rPr>
        <w:t>、</w:t>
      </w:r>
      <w:r>
        <w:rPr>
          <w:rFonts w:ascii="宋体" w:eastAsia="宋体" w:hAnsi="宋体" w:cs="宋体" w:hint="eastAsia"/>
          <w:b/>
          <w:bCs/>
          <w:color w:val="0000FF"/>
          <w:kern w:val="2"/>
          <w:sz w:val="21"/>
          <w:szCs w:val="22"/>
          <w:u w:val="single"/>
          <w:lang w:eastAsia="zh-CN"/>
        </w:rPr>
        <w:t>业绩标</w:t>
      </w:r>
      <w:r>
        <w:rPr>
          <w:rFonts w:ascii="宋体" w:eastAsia="宋体" w:hAnsi="宋体" w:cs="宋体" w:hint="eastAsia"/>
          <w:b/>
          <w:bCs/>
          <w:color w:val="0000FF"/>
          <w:kern w:val="2"/>
          <w:sz w:val="21"/>
          <w:szCs w:val="22"/>
          <w:u w:val="single"/>
          <w:lang w:eastAsia="zh-CN"/>
        </w:rPr>
        <w:t>文件</w:t>
      </w:r>
      <w:r>
        <w:rPr>
          <w:rFonts w:ascii="宋体" w:eastAsia="宋体" w:hAnsi="宋体" w:cs="宋体" w:hint="eastAsia"/>
          <w:b/>
          <w:bCs/>
          <w:color w:val="0000FF"/>
          <w:kern w:val="2"/>
          <w:sz w:val="21"/>
          <w:szCs w:val="22"/>
          <w:u w:val="single"/>
          <w:lang w:eastAsia="zh-CN"/>
        </w:rPr>
        <w:t>：</w:t>
      </w:r>
    </w:p>
    <w:p w14:paraId="23F26BAC">
      <w:pPr>
        <w:widowControl w:val="0"/>
        <w:spacing w:before="0" w:after="0" w:line="360" w:lineRule="auto"/>
        <w:ind w:firstLine="600"/>
        <w:jc w:val="center"/>
        <w:outlineLvl w:val="9"/>
        <w:rPr>
          <w:rFonts w:ascii="宋体" w:eastAsia="宋体" w:hAnsi="宋体" w:cs="宋体" w:hint="eastAsia"/>
          <w:b/>
          <w:bCs/>
          <w:color w:val="0000FF"/>
          <w:kern w:val="2"/>
          <w:sz w:val="30"/>
          <w:szCs w:val="30"/>
          <w:lang w:eastAsia="zh-CN"/>
        </w:rPr>
      </w:pPr>
    </w:p>
    <w:p w14:paraId="0F160BB0">
      <w:pPr>
        <w:widowControl w:val="0"/>
        <w:spacing w:before="0" w:after="0" w:line="360" w:lineRule="auto"/>
        <w:ind w:firstLine="600"/>
        <w:jc w:val="center"/>
        <w:outlineLvl w:val="2"/>
        <w:rPr>
          <w:rFonts w:ascii="宋体" w:eastAsia="宋体" w:hAnsi="宋体" w:cs="宋体" w:hint="eastAsia"/>
          <w:kern w:val="2"/>
          <w:sz w:val="30"/>
          <w:szCs w:val="30"/>
          <w:lang w:eastAsia="zh-CN"/>
        </w:rPr>
      </w:pPr>
      <w:r>
        <w:rPr>
          <w:rFonts w:ascii="宋体" w:eastAsia="宋体" w:hAnsi="宋体" w:cs="宋体" w:hint="eastAsia"/>
          <w:b/>
          <w:bCs/>
          <w:color w:val="0000FF"/>
          <w:kern w:val="2"/>
          <w:sz w:val="30"/>
          <w:szCs w:val="30"/>
          <w:lang w:eastAsia="zh-CN"/>
        </w:rPr>
        <w:t>1</w:t>
      </w:r>
      <w:r>
        <w:rPr>
          <w:rFonts w:ascii="宋体" w:eastAsia="宋体" w:hAnsi="宋体" w:cs="宋体" w:hint="eastAsia"/>
          <w:b/>
          <w:bCs/>
          <w:color w:val="0000FF"/>
          <w:kern w:val="2"/>
          <w:sz w:val="30"/>
          <w:szCs w:val="30"/>
          <w:lang w:eastAsia="zh-CN"/>
        </w:rPr>
        <w:t>、投标人基本情况一览表</w:t>
      </w:r>
    </w:p>
    <w:p w14:paraId="1D5E403D">
      <w:pPr>
        <w:widowControl w:val="0"/>
        <w:spacing w:before="0" w:after="0" w:line="360" w:lineRule="auto"/>
        <w:jc w:val="left"/>
        <w:rPr>
          <w:rFonts w:ascii="宋体" w:eastAsia="宋体" w:hAnsi="宋体" w:cs="宋体" w:hint="eastAsia"/>
          <w:kern w:val="2"/>
          <w:sz w:val="21"/>
          <w:szCs w:val="22"/>
          <w:lang w:eastAsia="zh-CN"/>
        </w:rPr>
      </w:pPr>
      <w:r>
        <w:rPr>
          <w:rFonts w:ascii="宋体" w:eastAsia="宋体" w:hAnsi="宋体" w:cs="宋体" w:hint="eastAsia"/>
          <w:color w:val="0000FF"/>
          <w:kern w:val="2"/>
          <w:sz w:val="21"/>
          <w:szCs w:val="22"/>
          <w:lang w:eastAsia="zh-CN"/>
        </w:rPr>
        <w:t>投标人名称：</w:t>
      </w:r>
    </w:p>
    <w:tbl>
      <w:tblPr>
        <w:tblStyle w:val="TableNormal"/>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312"/>
        <w:gridCol w:w="3110"/>
        <w:gridCol w:w="1862"/>
        <w:gridCol w:w="2231"/>
      </w:tblGrid>
      <w:tr w14:paraId="6BFBD479">
        <w:tblPrEx>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94"/>
        </w:trPr>
        <w:tc>
          <w:tcPr>
            <w:tcW w:w="2366" w:type="dxa"/>
            <w:tcBorders>
              <w:top w:val="single" w:sz="4" w:space="0" w:color="auto"/>
              <w:left w:val="single" w:sz="4" w:space="0" w:color="auto"/>
              <w:bottom w:val="single" w:sz="4" w:space="0" w:color="auto"/>
              <w:right w:val="single" w:sz="4" w:space="0" w:color="auto"/>
            </w:tcBorders>
            <w:noWrap w:val="0"/>
            <w:vAlign w:val="center"/>
          </w:tcPr>
          <w:p w14:paraId="60CDE7FB">
            <w:pPr>
              <w:keepNext w:val="0"/>
              <w:keepLines w:val="0"/>
              <w:widowControl w:val="0"/>
              <w:suppressLineNumbers w:val="0"/>
              <w:spacing w:before="0" w:beforeAutospacing="0" w:after="0" w:afterAutospacing="0" w:line="0" w:lineRule="atLeast"/>
              <w:ind w:left="-511" w:right="72" w:firstLine="420" w:leftChars="-213" w:rightChars="30" w:firstLineChars="200"/>
              <w:jc w:val="left"/>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bidi="ar"/>
              </w:rPr>
              <w:t>投标人企业名称</w:t>
            </w:r>
          </w:p>
        </w:tc>
        <w:tc>
          <w:tcPr>
            <w:tcW w:w="3185" w:type="dxa"/>
            <w:tcBorders>
              <w:top w:val="single" w:sz="4" w:space="0" w:color="auto"/>
              <w:left w:val="single" w:sz="4" w:space="0" w:color="auto"/>
              <w:bottom w:val="single" w:sz="4" w:space="0" w:color="auto"/>
              <w:right w:val="single" w:sz="4" w:space="0" w:color="auto"/>
            </w:tcBorders>
            <w:noWrap w:val="0"/>
            <w:vAlign w:val="center"/>
          </w:tcPr>
          <w:p w14:paraId="1AF45F72">
            <w:pPr>
              <w:keepNext w:val="0"/>
              <w:keepLines w:val="0"/>
              <w:widowControl w:val="0"/>
              <w:suppressLineNumbers w:val="0"/>
              <w:spacing w:before="0" w:beforeAutospacing="0" w:after="0" w:afterAutospacing="0" w:line="0" w:lineRule="atLeast"/>
              <w:ind w:left="24" w:right="24" w:leftChars="10" w:rightChars="10"/>
              <w:jc w:val="center"/>
              <w:rPr>
                <w:rFonts w:ascii="宋体" w:eastAsia="宋体" w:hAnsi="宋体" w:cs="宋体" w:hint="eastAsia"/>
                <w:kern w:val="2"/>
                <w:sz w:val="21"/>
                <w:szCs w:val="21"/>
                <w:lang w:eastAsia="zh-CN"/>
              </w:rPr>
            </w:pPr>
          </w:p>
        </w:tc>
        <w:tc>
          <w:tcPr>
            <w:tcW w:w="1904" w:type="dxa"/>
            <w:tcBorders>
              <w:top w:val="single" w:sz="4" w:space="0" w:color="auto"/>
              <w:left w:val="single" w:sz="4" w:space="0" w:color="auto"/>
              <w:bottom w:val="single" w:sz="4" w:space="0" w:color="auto"/>
              <w:right w:val="single" w:sz="4" w:space="0" w:color="auto"/>
            </w:tcBorders>
            <w:noWrap w:val="0"/>
            <w:vAlign w:val="center"/>
          </w:tcPr>
          <w:p w14:paraId="1918ECB5">
            <w:pPr>
              <w:keepNext w:val="0"/>
              <w:keepLines w:val="0"/>
              <w:widowControl w:val="0"/>
              <w:suppressLineNumbers w:val="0"/>
              <w:spacing w:before="0" w:beforeAutospacing="0" w:after="0" w:afterAutospacing="0" w:line="0" w:lineRule="atLeast"/>
              <w:ind w:left="24" w:right="24" w:leftChars="10" w:rightChars="10"/>
              <w:jc w:val="distribute"/>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bidi="ar"/>
              </w:rPr>
              <w:t>法定代表人姓名</w:t>
            </w:r>
          </w:p>
        </w:tc>
        <w:tc>
          <w:tcPr>
            <w:tcW w:w="2283" w:type="dxa"/>
            <w:tcBorders>
              <w:top w:val="single" w:sz="4" w:space="0" w:color="auto"/>
              <w:left w:val="single" w:sz="4" w:space="0" w:color="auto"/>
              <w:bottom w:val="single" w:sz="4" w:space="0" w:color="auto"/>
              <w:right w:val="single" w:sz="4" w:space="0" w:color="auto"/>
            </w:tcBorders>
            <w:noWrap w:val="0"/>
            <w:vAlign w:val="center"/>
          </w:tcPr>
          <w:p w14:paraId="6A525B41">
            <w:pPr>
              <w:keepNext w:val="0"/>
              <w:keepLines w:val="0"/>
              <w:widowControl w:val="0"/>
              <w:suppressLineNumbers w:val="0"/>
              <w:spacing w:before="0" w:beforeAutospacing="0" w:after="0" w:afterAutospacing="0" w:line="0" w:lineRule="atLeast"/>
              <w:ind w:left="24" w:right="24" w:leftChars="10" w:rightChars="10"/>
              <w:jc w:val="center"/>
              <w:rPr>
                <w:rFonts w:ascii="宋体" w:eastAsia="宋体" w:hAnsi="宋体" w:cs="宋体" w:hint="eastAsia"/>
                <w:kern w:val="2"/>
                <w:sz w:val="21"/>
                <w:szCs w:val="21"/>
                <w:lang w:eastAsia="zh-CN"/>
              </w:rPr>
            </w:pPr>
          </w:p>
        </w:tc>
      </w:tr>
      <w:tr w14:paraId="63477019">
        <w:tblPrEx>
          <w:tblW w:w="5000" w:type="pct"/>
          <w:tblInd w:w="10" w:type="dxa"/>
          <w:tblLayout w:type="fixed"/>
          <w:tblCellMar>
            <w:top w:w="0" w:type="dxa"/>
            <w:left w:w="108" w:type="dxa"/>
            <w:bottom w:w="0" w:type="dxa"/>
            <w:right w:w="108" w:type="dxa"/>
          </w:tblCellMar>
        </w:tblPrEx>
        <w:trPr>
          <w:trHeight w:val="822"/>
        </w:trPr>
        <w:tc>
          <w:tcPr>
            <w:tcW w:w="2366" w:type="dxa"/>
            <w:tcBorders>
              <w:top w:val="single" w:sz="4" w:space="0" w:color="auto"/>
              <w:left w:val="single" w:sz="4" w:space="0" w:color="auto"/>
              <w:bottom w:val="single" w:sz="4" w:space="0" w:color="auto"/>
              <w:right w:val="single" w:sz="4" w:space="0" w:color="auto"/>
            </w:tcBorders>
            <w:noWrap w:val="0"/>
            <w:vAlign w:val="center"/>
          </w:tcPr>
          <w:p w14:paraId="7BB8422B">
            <w:pPr>
              <w:keepNext w:val="0"/>
              <w:keepLines w:val="0"/>
              <w:widowControl w:val="0"/>
              <w:suppressLineNumbers w:val="0"/>
              <w:spacing w:before="0" w:beforeAutospacing="0" w:after="0" w:afterAutospacing="0" w:line="0" w:lineRule="atLeast"/>
              <w:ind w:left="72" w:right="72" w:leftChars="30" w:rightChars="30"/>
              <w:jc w:val="left"/>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bidi="ar"/>
              </w:rPr>
              <w:t>企业注册地址</w:t>
            </w:r>
          </w:p>
        </w:tc>
        <w:tc>
          <w:tcPr>
            <w:tcW w:w="7372" w:type="dxa"/>
            <w:gridSpan w:val="3"/>
            <w:tcBorders>
              <w:top w:val="single" w:sz="4" w:space="0" w:color="auto"/>
              <w:left w:val="single" w:sz="4" w:space="0" w:color="auto"/>
              <w:bottom w:val="single" w:sz="4" w:space="0" w:color="auto"/>
              <w:right w:val="single" w:sz="4" w:space="0" w:color="auto"/>
            </w:tcBorders>
            <w:noWrap w:val="0"/>
            <w:vAlign w:val="center"/>
          </w:tcPr>
          <w:p w14:paraId="088488AA">
            <w:pPr>
              <w:keepNext w:val="0"/>
              <w:keepLines w:val="0"/>
              <w:widowControl w:val="0"/>
              <w:suppressLineNumbers w:val="0"/>
              <w:spacing w:before="0" w:beforeAutospacing="0" w:after="0" w:afterAutospacing="0" w:line="0" w:lineRule="atLeast"/>
              <w:ind w:left="24" w:right="24" w:leftChars="10" w:rightChars="10"/>
              <w:jc w:val="both"/>
              <w:rPr>
                <w:rFonts w:ascii="宋体" w:eastAsia="宋体" w:hAnsi="宋体" w:cs="宋体" w:hint="eastAsia"/>
                <w:kern w:val="2"/>
                <w:sz w:val="21"/>
                <w:szCs w:val="21"/>
                <w:lang w:eastAsia="zh-CN"/>
              </w:rPr>
            </w:pPr>
          </w:p>
        </w:tc>
      </w:tr>
      <w:tr w14:paraId="072FA71A">
        <w:tblPrEx>
          <w:tblW w:w="5000" w:type="pct"/>
          <w:tblInd w:w="10" w:type="dxa"/>
          <w:tblLayout w:type="fixed"/>
          <w:tblCellMar>
            <w:top w:w="0" w:type="dxa"/>
            <w:left w:w="108" w:type="dxa"/>
            <w:bottom w:w="0" w:type="dxa"/>
            <w:right w:w="108" w:type="dxa"/>
          </w:tblCellMar>
        </w:tblPrEx>
        <w:trPr>
          <w:trHeight w:val="837"/>
        </w:trPr>
        <w:tc>
          <w:tcPr>
            <w:tcW w:w="2366" w:type="dxa"/>
            <w:tcBorders>
              <w:top w:val="single" w:sz="4" w:space="0" w:color="auto"/>
              <w:left w:val="single" w:sz="4" w:space="0" w:color="auto"/>
              <w:bottom w:val="single" w:sz="4" w:space="0" w:color="auto"/>
              <w:right w:val="single" w:sz="4" w:space="0" w:color="auto"/>
            </w:tcBorders>
            <w:noWrap w:val="0"/>
            <w:vAlign w:val="center"/>
          </w:tcPr>
          <w:p w14:paraId="0B9F9729">
            <w:pPr>
              <w:keepNext w:val="0"/>
              <w:keepLines w:val="0"/>
              <w:widowControl w:val="0"/>
              <w:suppressLineNumbers w:val="0"/>
              <w:spacing w:before="0" w:beforeAutospacing="0" w:after="120" w:afterAutospacing="0" w:line="400" w:lineRule="exact"/>
              <w:ind w:left="0" w:right="0"/>
              <w:jc w:val="center"/>
              <w:rPr>
                <w:rFonts w:ascii="宋体" w:eastAsia="宋体" w:hAnsi="宋体" w:cs="宋体" w:hint="eastAsia"/>
                <w:bCs/>
                <w:kern w:val="2"/>
                <w:sz w:val="21"/>
                <w:szCs w:val="21"/>
                <w:lang w:eastAsia="zh-CN"/>
              </w:rPr>
            </w:pPr>
            <w:r>
              <w:rPr>
                <w:rFonts w:ascii="宋体" w:eastAsia="宋体" w:hAnsi="宋体" w:cs="宋体" w:hint="eastAsia"/>
                <w:kern w:val="2"/>
                <w:sz w:val="21"/>
                <w:szCs w:val="21"/>
                <w:lang w:eastAsia="zh-CN" w:bidi="ar"/>
              </w:rPr>
              <w:t>企业股权关系</w:t>
            </w:r>
          </w:p>
        </w:tc>
        <w:tc>
          <w:tcPr>
            <w:tcW w:w="7372" w:type="dxa"/>
            <w:gridSpan w:val="3"/>
            <w:tcBorders>
              <w:top w:val="single" w:sz="4" w:space="0" w:color="auto"/>
              <w:left w:val="single" w:sz="4" w:space="0" w:color="auto"/>
              <w:bottom w:val="single" w:sz="4" w:space="0" w:color="auto"/>
              <w:right w:val="single" w:sz="4" w:space="0" w:color="auto"/>
            </w:tcBorders>
            <w:noWrap w:val="0"/>
            <w:vAlign w:val="center"/>
          </w:tcPr>
          <w:p w14:paraId="561342E0">
            <w:pPr>
              <w:keepNext w:val="0"/>
              <w:keepLines w:val="0"/>
              <w:widowControl w:val="0"/>
              <w:numPr>
                <w:ilvl w:val="0"/>
                <w:numId w:val="0"/>
              </w:numPr>
              <w:suppressLineNumbers w:val="0"/>
              <w:spacing w:before="0" w:beforeAutospacing="0" w:after="120" w:afterAutospacing="0" w:line="400" w:lineRule="exact"/>
              <w:ind w:left="0" w:right="0" w:firstLine="0" w:leftChars="0" w:rightChars="0" w:firstLineChars="0"/>
              <w:jc w:val="left"/>
              <w:rPr>
                <w:rFonts w:ascii="宋体" w:eastAsia="宋体" w:hAnsi="宋体" w:cs="宋体" w:hint="eastAsia"/>
                <w:kern w:val="2"/>
                <w:sz w:val="21"/>
                <w:szCs w:val="21"/>
                <w:lang w:eastAsia="zh-CN"/>
              </w:rPr>
            </w:pPr>
            <w:r>
              <w:rPr>
                <w:rFonts w:ascii="宋体" w:eastAsia="宋体" w:hAnsi="宋体" w:cs="宋体" w:hint="eastAsia"/>
                <w:kern w:val="2"/>
                <w:sz w:val="21"/>
                <w:szCs w:val="21"/>
              </w:rPr>
              <w:t>1、</w:t>
            </w:r>
            <w:r>
              <w:rPr>
                <w:rFonts w:ascii="宋体" w:eastAsia="宋体" w:hAnsi="宋体" w:cs="宋体" w:hint="eastAsia"/>
                <w:kern w:val="2"/>
                <w:sz w:val="21"/>
                <w:szCs w:val="21"/>
                <w:lang w:eastAsia="zh-CN" w:bidi="ar"/>
              </w:rPr>
              <w:t>股东1：***  ；持股比例：** % ；</w:t>
            </w:r>
          </w:p>
          <w:p w14:paraId="3983464B">
            <w:pPr>
              <w:keepNext w:val="0"/>
              <w:keepLines w:val="0"/>
              <w:widowControl w:val="0"/>
              <w:numPr>
                <w:ilvl w:val="0"/>
                <w:numId w:val="0"/>
              </w:numPr>
              <w:suppressLineNumbers w:val="0"/>
              <w:spacing w:before="0" w:beforeAutospacing="0" w:after="120" w:afterAutospacing="0" w:line="400" w:lineRule="exact"/>
              <w:ind w:left="0" w:right="0" w:firstLine="0" w:leftChars="0" w:rightChars="0" w:firstLineChars="0"/>
              <w:jc w:val="left"/>
              <w:rPr>
                <w:rFonts w:ascii="宋体" w:eastAsia="宋体" w:hAnsi="宋体" w:cs="宋体" w:hint="eastAsia"/>
                <w:kern w:val="2"/>
                <w:sz w:val="21"/>
                <w:szCs w:val="21"/>
                <w:lang w:eastAsia="zh-CN"/>
              </w:rPr>
            </w:pPr>
            <w:r>
              <w:rPr>
                <w:rFonts w:ascii="宋体" w:eastAsia="宋体" w:hAnsi="宋体" w:cs="宋体" w:hint="eastAsia"/>
                <w:kern w:val="2"/>
                <w:sz w:val="21"/>
                <w:szCs w:val="21"/>
              </w:rPr>
              <w:t>2、</w:t>
            </w:r>
            <w:r>
              <w:rPr>
                <w:rFonts w:ascii="宋体" w:eastAsia="宋体" w:hAnsi="宋体" w:cs="宋体" w:hint="eastAsia"/>
                <w:kern w:val="2"/>
                <w:sz w:val="21"/>
                <w:szCs w:val="21"/>
                <w:lang w:eastAsia="zh-CN" w:bidi="ar"/>
              </w:rPr>
              <w:t>股东2：***  ；持股比例：** % ；</w:t>
            </w:r>
          </w:p>
          <w:p w14:paraId="3196DD54">
            <w:pPr>
              <w:keepNext w:val="0"/>
              <w:keepLines w:val="0"/>
              <w:widowControl w:val="0"/>
              <w:numPr>
                <w:ilvl w:val="0"/>
                <w:numId w:val="0"/>
              </w:numPr>
              <w:suppressLineNumbers w:val="0"/>
              <w:spacing w:before="0" w:beforeAutospacing="0" w:after="120" w:afterAutospacing="0" w:line="400" w:lineRule="exact"/>
              <w:ind w:left="0" w:right="0" w:firstLine="0" w:leftChars="0" w:rightChars="0" w:firstLineChars="0"/>
              <w:jc w:val="left"/>
              <w:rPr>
                <w:rFonts w:ascii="宋体" w:eastAsia="宋体" w:hAnsi="宋体" w:cs="宋体" w:hint="eastAsia"/>
                <w:kern w:val="2"/>
                <w:sz w:val="21"/>
                <w:szCs w:val="21"/>
                <w:lang w:eastAsia="zh-CN"/>
              </w:rPr>
            </w:pPr>
            <w:r>
              <w:rPr>
                <w:rFonts w:ascii="宋体" w:eastAsia="宋体" w:hAnsi="宋体" w:cs="宋体" w:hint="eastAsia"/>
                <w:kern w:val="2"/>
                <w:sz w:val="21"/>
                <w:szCs w:val="21"/>
              </w:rPr>
              <w:t>3、</w:t>
            </w:r>
            <w:r>
              <w:rPr>
                <w:rFonts w:ascii="宋体" w:eastAsia="宋体" w:hAnsi="宋体" w:cs="宋体" w:hint="eastAsia"/>
                <w:kern w:val="2"/>
                <w:sz w:val="21"/>
                <w:szCs w:val="21"/>
                <w:lang w:eastAsia="zh-CN" w:bidi="ar"/>
              </w:rPr>
              <w:t>股东3：***  ；持股比例：** % ；</w:t>
            </w:r>
          </w:p>
          <w:p w14:paraId="49DC9BF5">
            <w:pPr>
              <w:keepNext w:val="0"/>
              <w:keepLines w:val="0"/>
              <w:widowControl w:val="0"/>
              <w:suppressLineNumbers w:val="0"/>
              <w:spacing w:before="0" w:beforeAutospacing="0" w:after="120" w:afterAutospacing="0" w:line="400" w:lineRule="exact"/>
              <w:ind w:left="0" w:right="0" w:firstLine="630" w:firstLineChars="300"/>
              <w:jc w:val="left"/>
              <w:rPr>
                <w:rFonts w:ascii="宋体" w:eastAsia="宋体" w:hAnsi="宋体" w:cs="宋体" w:hint="eastAsia"/>
                <w:bCs/>
                <w:color w:val="FF0000"/>
                <w:kern w:val="2"/>
                <w:sz w:val="21"/>
                <w:szCs w:val="21"/>
                <w:lang w:eastAsia="zh-CN"/>
              </w:rPr>
            </w:pPr>
            <w:r>
              <w:rPr>
                <w:rFonts w:ascii="宋体" w:eastAsia="宋体" w:hAnsi="宋体" w:cs="宋体" w:hint="eastAsia"/>
                <w:kern w:val="2"/>
                <w:sz w:val="21"/>
                <w:szCs w:val="21"/>
                <w:lang w:eastAsia="zh-CN" w:bidi="ar"/>
              </w:rPr>
              <w:t xml:space="preserve">... </w:t>
            </w:r>
          </w:p>
        </w:tc>
      </w:tr>
      <w:tr w14:paraId="44879E88">
        <w:tblPrEx>
          <w:tblW w:w="5000" w:type="pct"/>
          <w:tblInd w:w="10" w:type="dxa"/>
          <w:tblLayout w:type="fixed"/>
          <w:tblCellMar>
            <w:top w:w="0" w:type="dxa"/>
            <w:left w:w="108" w:type="dxa"/>
            <w:bottom w:w="0" w:type="dxa"/>
            <w:right w:w="108" w:type="dxa"/>
          </w:tblCellMar>
        </w:tblPrEx>
        <w:trPr>
          <w:trHeight w:val="875"/>
        </w:trPr>
        <w:tc>
          <w:tcPr>
            <w:tcW w:w="9738" w:type="dxa"/>
            <w:gridSpan w:val="4"/>
            <w:tcBorders>
              <w:top w:val="single" w:sz="4" w:space="0" w:color="auto"/>
              <w:left w:val="single" w:sz="4" w:space="0" w:color="auto"/>
              <w:bottom w:val="single" w:sz="4" w:space="0" w:color="auto"/>
              <w:right w:val="single" w:sz="4" w:space="0" w:color="auto"/>
            </w:tcBorders>
            <w:noWrap w:val="0"/>
            <w:vAlign w:val="center"/>
          </w:tcPr>
          <w:p w14:paraId="53CC1303">
            <w:pPr>
              <w:keepNext w:val="0"/>
              <w:keepLines w:val="0"/>
              <w:widowControl w:val="0"/>
              <w:suppressLineNumbers w:val="0"/>
              <w:spacing w:before="0" w:beforeAutospacing="0" w:after="0" w:afterAutospacing="0" w:line="280" w:lineRule="exact"/>
              <w:ind w:left="623" w:right="0" w:hanging="210" w:leftChars="172" w:hangingChars="1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bidi="ar"/>
              </w:rPr>
              <w:t>注：投标人必须如实填报相关信息，并逐项提供相关证书证明资料扫描件（原件备查）。</w:t>
            </w:r>
          </w:p>
        </w:tc>
      </w:tr>
    </w:tbl>
    <w:p w14:paraId="2BAA0F99">
      <w:pPr>
        <w:widowControl w:val="0"/>
        <w:numPr>
          <w:ilvl w:val="12"/>
          <w:numId w:val="0"/>
        </w:numPr>
        <w:spacing w:after="0" w:line="360" w:lineRule="auto"/>
        <w:ind w:left="0" w:firstLine="640" w:leftChars="0" w:firstLineChars="0"/>
        <w:jc w:val="left"/>
        <w:outlineLvl w:val="9"/>
        <w:rPr>
          <w:rFonts w:ascii="宋体" w:eastAsia="宋体" w:hAnsi="宋体" w:cs="宋体" w:hint="eastAsia"/>
          <w:b/>
          <w:color w:val="0000FF"/>
          <w:kern w:val="2"/>
          <w:sz w:val="30"/>
          <w:szCs w:val="30"/>
          <w:lang w:eastAsia="zh-CN"/>
        </w:rPr>
      </w:pPr>
    </w:p>
    <w:p w14:paraId="7A76BF97">
      <w:pPr>
        <w:widowControl w:val="0"/>
        <w:numPr>
          <w:ilvl w:val="12"/>
          <w:numId w:val="0"/>
        </w:numPr>
        <w:spacing w:after="0" w:line="360" w:lineRule="auto"/>
        <w:ind w:left="0" w:firstLine="640" w:leftChars="0" w:firstLineChars="0"/>
        <w:jc w:val="left"/>
        <w:outlineLvl w:val="9"/>
        <w:rPr>
          <w:rFonts w:ascii="宋体" w:eastAsia="宋体" w:hAnsi="宋体" w:cs="宋体" w:hint="eastAsia"/>
          <w:b/>
          <w:color w:val="0000FF"/>
          <w:kern w:val="2"/>
          <w:sz w:val="30"/>
          <w:szCs w:val="30"/>
          <w:lang w:eastAsia="zh-CN"/>
        </w:rPr>
      </w:pPr>
    </w:p>
    <w:p w14:paraId="0EB2F7D2">
      <w:pPr>
        <w:widowControl w:val="0"/>
        <w:spacing w:before="0" w:after="0" w:line="360" w:lineRule="auto"/>
        <w:ind w:firstLine="600"/>
        <w:jc w:val="center"/>
        <w:outlineLvl w:val="2"/>
        <w:rPr>
          <w:rFonts w:ascii="宋体" w:eastAsia="宋体" w:hAnsi="宋体" w:cs="宋体" w:hint="eastAsia"/>
          <w:b/>
          <w:bCs/>
          <w:color w:val="0000FF"/>
          <w:kern w:val="2"/>
          <w:sz w:val="30"/>
          <w:szCs w:val="30"/>
          <w:lang w:eastAsia="zh-CN"/>
        </w:rPr>
      </w:pPr>
      <w:r>
        <w:rPr>
          <w:rFonts w:ascii="宋体" w:eastAsia="宋体" w:hAnsi="宋体" w:cs="宋体" w:hint="eastAsia"/>
          <w:b/>
          <w:bCs/>
          <w:color w:val="0000FF"/>
          <w:kern w:val="2"/>
          <w:sz w:val="30"/>
          <w:szCs w:val="30"/>
          <w:lang w:eastAsia="zh-CN"/>
        </w:rPr>
        <w:t>2</w:t>
      </w:r>
      <w:r>
        <w:rPr>
          <w:rFonts w:ascii="宋体" w:eastAsia="宋体" w:hAnsi="宋体" w:cs="宋体" w:hint="eastAsia"/>
          <w:b/>
          <w:bCs/>
          <w:color w:val="0000FF"/>
          <w:kern w:val="2"/>
          <w:sz w:val="30"/>
          <w:szCs w:val="30"/>
        </w:rPr>
        <w:t>、投标人承接的最具代表性的同类工程造价咨询业绩</w:t>
      </w:r>
      <w:r>
        <w:rPr>
          <w:rFonts w:ascii="宋体" w:eastAsia="宋体" w:hAnsi="宋体" w:cs="宋体" w:hint="eastAsia"/>
          <w:b/>
          <w:bCs/>
          <w:color w:val="0000FF"/>
          <w:kern w:val="2"/>
          <w:sz w:val="30"/>
          <w:szCs w:val="30"/>
          <w:lang w:eastAsia="zh-CN"/>
        </w:rPr>
        <w:t>表</w:t>
      </w:r>
    </w:p>
    <w:p w14:paraId="59B154BC">
      <w:pPr>
        <w:widowControl w:val="0"/>
        <w:numPr>
          <w:ilvl w:val="0"/>
          <w:numId w:val="0"/>
        </w:numPr>
        <w:adjustRightInd w:val="0"/>
        <w:spacing w:line="360" w:lineRule="atLeast"/>
        <w:ind w:left="0" w:firstLine="0" w:leftChars="0"/>
        <w:jc w:val="both"/>
        <w:textAlignment w:val="baseline"/>
        <w:rPr>
          <w:rFonts w:ascii="宋体" w:eastAsia="宋体" w:hAnsi="宋体" w:cs="宋体" w:hint="eastAsia"/>
          <w:kern w:val="2"/>
          <w:sz w:val="21"/>
          <w:szCs w:val="20"/>
          <w:lang w:eastAsia="zh-CN"/>
        </w:rPr>
      </w:pPr>
      <w:r>
        <w:rPr>
          <w:rFonts w:ascii="宋体" w:eastAsia="宋体" w:hAnsi="宋体" w:cs="宋体" w:hint="eastAsia"/>
          <w:kern w:val="2"/>
          <w:sz w:val="21"/>
          <w:szCs w:val="21"/>
          <w:lang w:eastAsia="zh-CN"/>
        </w:rPr>
        <w:t>单位</w:t>
      </w:r>
      <w:r>
        <w:rPr>
          <w:rFonts w:ascii="宋体" w:eastAsia="宋体" w:hAnsi="宋体" w:cs="宋体" w:hint="eastAsia"/>
          <w:kern w:val="2"/>
          <w:sz w:val="21"/>
          <w:szCs w:val="21"/>
          <w:lang w:eastAsia="zh-CN"/>
        </w:rPr>
        <w:t>名称</w:t>
      </w:r>
      <w:r>
        <w:rPr>
          <w:rFonts w:ascii="宋体" w:eastAsia="宋体" w:hAnsi="宋体" w:cs="宋体" w:hint="eastAsia"/>
          <w:kern w:val="2"/>
          <w:sz w:val="21"/>
          <w:szCs w:val="21"/>
          <w:lang w:eastAsia="zh-CN"/>
        </w:rPr>
        <w:t>：</w:t>
      </w:r>
    </w:p>
    <w:tbl>
      <w:tblPr>
        <w:tblStyle w:val="TableNormal"/>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15"/>
      </w:tblGrid>
      <w:tr w14:paraId="03FB124C">
        <w:tblPrEx>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337"/>
        </w:trPr>
        <w:tc>
          <w:tcPr>
            <w:tcW w:w="8790" w:type="dxa"/>
            <w:tcBorders>
              <w:top w:val="single" w:sz="4" w:space="0" w:color="auto"/>
              <w:left w:val="single" w:sz="4" w:space="0" w:color="auto"/>
              <w:bottom w:val="single" w:sz="4" w:space="0" w:color="auto"/>
              <w:right w:val="single" w:sz="4" w:space="0" w:color="auto"/>
            </w:tcBorders>
            <w:noWrap w:val="0"/>
            <w:vAlign w:val="center"/>
          </w:tcPr>
          <w:p w14:paraId="772B7CB0">
            <w:pPr>
              <w:keepNext w:val="0"/>
              <w:keepLines w:val="0"/>
              <w:widowControl/>
              <w:suppressLineNumbers w:val="0"/>
              <w:adjustRightInd w:val="0"/>
              <w:snapToGrid w:val="0"/>
              <w:spacing w:before="0" w:beforeAutospacing="0" w:after="0" w:afterAutospacing="0" w:line="360" w:lineRule="auto"/>
              <w:ind w:left="0" w:right="0"/>
              <w:jc w:val="left"/>
              <w:rPr>
                <w:rFonts w:ascii="宋体" w:eastAsia="宋体" w:hAnsi="宋体" w:cs="宋体" w:hint="eastAsia"/>
                <w:bCs/>
                <w:color w:val="000000"/>
                <w:kern w:val="2"/>
                <w:sz w:val="21"/>
                <w:szCs w:val="21"/>
                <w:lang w:eastAsia="zh-CN"/>
              </w:rPr>
            </w:pPr>
            <w:r>
              <w:rPr>
                <w:rFonts w:ascii="宋体" w:eastAsia="宋体" w:hAnsi="宋体" w:cs="宋体" w:hint="eastAsia"/>
                <w:bCs/>
                <w:color w:val="000000"/>
                <w:kern w:val="2"/>
                <w:sz w:val="21"/>
                <w:szCs w:val="21"/>
                <w:lang w:eastAsia="zh-CN"/>
              </w:rPr>
              <w:t>1、项目名称:**；</w:t>
            </w:r>
            <w:r>
              <w:rPr>
                <w:rFonts w:ascii="宋体" w:eastAsia="宋体" w:hAnsi="宋体" w:cs="宋体" w:hint="eastAsia"/>
                <w:bCs/>
                <w:color w:val="000000"/>
                <w:kern w:val="2"/>
                <w:sz w:val="21"/>
                <w:szCs w:val="21"/>
                <w:lang w:eastAsia="zh-CN"/>
              </w:rPr>
              <w:t xml:space="preserve">造价工作内容：**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p>
          <w:p w14:paraId="2650493F">
            <w:pPr>
              <w:keepNext w:val="0"/>
              <w:keepLines w:val="0"/>
              <w:widowControl w:val="0"/>
              <w:suppressLineNumbers w:val="0"/>
              <w:adjustRightInd w:val="0"/>
              <w:spacing w:before="0" w:beforeAutospacing="0" w:after="0" w:afterAutospacing="0" w:line="360" w:lineRule="auto"/>
              <w:ind w:left="0" w:right="0" w:firstLine="0" w:leftChars="0" w:firstLineChars="0"/>
              <w:jc w:val="both"/>
              <w:textAlignment w:val="baseline"/>
              <w:rPr>
                <w:rFonts w:ascii="宋体" w:eastAsia="宋体" w:hAnsi="宋体" w:cs="宋体" w:hint="eastAsia"/>
                <w:bCs/>
                <w:color w:val="000000"/>
                <w:kern w:val="2"/>
                <w:sz w:val="21"/>
                <w:szCs w:val="21"/>
                <w:lang w:eastAsia="zh-CN"/>
              </w:rPr>
            </w:pPr>
            <w:r>
              <w:rPr>
                <w:rFonts w:ascii="宋体" w:eastAsia="宋体" w:hAnsi="宋体" w:cs="宋体" w:hint="eastAsia"/>
                <w:bCs/>
                <w:color w:val="000000"/>
                <w:kern w:val="2"/>
                <w:sz w:val="21"/>
                <w:szCs w:val="21"/>
                <w:lang w:eastAsia="zh-CN"/>
              </w:rPr>
              <w:t>2、项目名称:**；</w:t>
            </w:r>
            <w:r>
              <w:rPr>
                <w:rFonts w:ascii="宋体" w:eastAsia="宋体" w:hAnsi="宋体" w:cs="宋体" w:hint="eastAsia"/>
                <w:bCs/>
                <w:color w:val="000000"/>
                <w:kern w:val="2"/>
                <w:sz w:val="21"/>
                <w:szCs w:val="21"/>
                <w:lang w:eastAsia="zh-CN"/>
              </w:rPr>
              <w:t xml:space="preserve">造价工作内容：**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p>
          <w:p w14:paraId="19758BAA">
            <w:pPr>
              <w:keepNext w:val="0"/>
              <w:keepLines w:val="0"/>
              <w:widowControl w:val="0"/>
              <w:suppressLineNumbers w:val="0"/>
              <w:adjustRightInd w:val="0"/>
              <w:spacing w:before="0" w:beforeAutospacing="0" w:after="0" w:afterAutospacing="0" w:line="360" w:lineRule="auto"/>
              <w:ind w:left="0" w:right="0" w:firstLine="0" w:leftChars="0" w:firstLineChars="0"/>
              <w:jc w:val="both"/>
              <w:textAlignment w:val="baseline"/>
              <w:rPr>
                <w:rFonts w:ascii="宋体" w:eastAsia="宋体" w:hAnsi="宋体" w:cs="宋体" w:hint="eastAsia"/>
                <w:bCs/>
                <w:color w:val="000000"/>
                <w:kern w:val="2"/>
                <w:sz w:val="21"/>
                <w:szCs w:val="21"/>
                <w:lang w:eastAsia="zh-CN"/>
              </w:rPr>
            </w:pPr>
            <w:r>
              <w:rPr>
                <w:rFonts w:ascii="宋体" w:eastAsia="宋体" w:hAnsi="宋体" w:cs="宋体" w:hint="eastAsia"/>
                <w:bCs/>
                <w:color w:val="000000"/>
                <w:kern w:val="2"/>
                <w:sz w:val="21"/>
                <w:szCs w:val="21"/>
                <w:lang w:eastAsia="zh-CN"/>
              </w:rPr>
              <w:t>3、</w:t>
            </w:r>
            <w:r>
              <w:rPr>
                <w:rFonts w:ascii="宋体" w:eastAsia="宋体" w:hAnsi="宋体" w:cs="宋体" w:hint="eastAsia"/>
                <w:bCs/>
                <w:color w:val="000000"/>
                <w:kern w:val="2"/>
                <w:sz w:val="21"/>
                <w:szCs w:val="21"/>
                <w:lang w:eastAsia="zh-CN"/>
              </w:rPr>
              <w:t>项目名称:**；</w:t>
            </w:r>
            <w:r>
              <w:rPr>
                <w:rFonts w:ascii="宋体" w:eastAsia="宋体" w:hAnsi="宋体" w:cs="宋体" w:hint="eastAsia"/>
                <w:bCs/>
                <w:color w:val="000000"/>
                <w:kern w:val="2"/>
                <w:sz w:val="21"/>
                <w:szCs w:val="21"/>
                <w:lang w:eastAsia="zh-CN"/>
              </w:rPr>
              <w:t xml:space="preserve">造价工作内容：**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p>
          <w:p w14:paraId="06B7DBF4">
            <w:pPr>
              <w:keepNext w:val="0"/>
              <w:keepLines w:val="0"/>
              <w:widowControl w:val="0"/>
              <w:suppressLineNumbers w:val="0"/>
              <w:adjustRightInd w:val="0"/>
              <w:spacing w:before="0" w:beforeAutospacing="0" w:after="0" w:afterAutospacing="0" w:line="360" w:lineRule="auto"/>
              <w:ind w:left="0" w:right="0" w:firstLine="0" w:leftChars="0" w:firstLineChars="0"/>
              <w:jc w:val="both"/>
              <w:textAlignment w:val="baseline"/>
              <w:rPr>
                <w:rFonts w:ascii="宋体" w:eastAsia="宋体" w:hAnsi="宋体" w:cs="宋体" w:hint="eastAsia"/>
                <w:bCs/>
                <w:color w:val="000000"/>
                <w:kern w:val="2"/>
                <w:sz w:val="21"/>
                <w:szCs w:val="21"/>
                <w:lang w:eastAsia="zh-CN"/>
              </w:rPr>
            </w:pPr>
            <w:r>
              <w:rPr>
                <w:rFonts w:ascii="宋体" w:eastAsia="宋体" w:hAnsi="宋体" w:cs="宋体" w:hint="eastAsia"/>
                <w:bCs/>
                <w:color w:val="000000"/>
                <w:kern w:val="2"/>
                <w:sz w:val="21"/>
                <w:szCs w:val="21"/>
                <w:lang w:eastAsia="zh-CN"/>
              </w:rPr>
              <w:t>4</w:t>
            </w:r>
            <w:r>
              <w:rPr>
                <w:rFonts w:ascii="宋体" w:eastAsia="宋体" w:hAnsi="宋体" w:cs="宋体" w:hint="eastAsia"/>
                <w:bCs/>
                <w:color w:val="000000"/>
                <w:kern w:val="2"/>
                <w:sz w:val="21"/>
                <w:szCs w:val="21"/>
                <w:lang w:eastAsia="zh-CN"/>
              </w:rPr>
              <w:t>、项目名称:**；</w:t>
            </w:r>
            <w:r>
              <w:rPr>
                <w:rFonts w:ascii="宋体" w:eastAsia="宋体" w:hAnsi="宋体" w:cs="宋体" w:hint="eastAsia"/>
                <w:bCs/>
                <w:color w:val="000000"/>
                <w:kern w:val="2"/>
                <w:sz w:val="21"/>
                <w:szCs w:val="21"/>
                <w:lang w:eastAsia="zh-CN"/>
              </w:rPr>
              <w:t xml:space="preserve">造价工作内容：**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p>
          <w:p w14:paraId="3C8ECC2F">
            <w:pPr>
              <w:keepNext w:val="0"/>
              <w:keepLines w:val="0"/>
              <w:widowControl w:val="0"/>
              <w:suppressLineNumbers w:val="0"/>
              <w:adjustRightInd w:val="0"/>
              <w:spacing w:before="0" w:beforeAutospacing="0" w:after="0" w:afterAutospacing="0" w:line="360" w:lineRule="auto"/>
              <w:ind w:left="0" w:right="0" w:firstLine="0" w:leftChars="0" w:firstLineChars="0"/>
              <w:jc w:val="both"/>
              <w:textAlignment w:val="baseline"/>
              <w:rPr>
                <w:rFonts w:ascii="宋体" w:eastAsia="宋体" w:hAnsi="宋体" w:cs="宋体" w:hint="eastAsia"/>
                <w:bCs/>
                <w:color w:val="000000"/>
                <w:kern w:val="2"/>
                <w:sz w:val="21"/>
                <w:szCs w:val="21"/>
                <w:lang w:eastAsia="zh-CN"/>
              </w:rPr>
            </w:pPr>
            <w:r>
              <w:rPr>
                <w:rFonts w:ascii="宋体" w:eastAsia="宋体" w:hAnsi="宋体" w:cs="宋体" w:hint="eastAsia"/>
                <w:bCs/>
                <w:color w:val="000000"/>
                <w:kern w:val="2"/>
                <w:sz w:val="21"/>
                <w:szCs w:val="21"/>
                <w:lang w:eastAsia="zh-CN"/>
              </w:rPr>
              <w:t>5</w:t>
            </w:r>
            <w:r>
              <w:rPr>
                <w:rFonts w:ascii="宋体" w:eastAsia="宋体" w:hAnsi="宋体" w:cs="宋体" w:hint="eastAsia"/>
                <w:bCs/>
                <w:color w:val="000000"/>
                <w:kern w:val="2"/>
                <w:sz w:val="21"/>
                <w:szCs w:val="21"/>
                <w:lang w:eastAsia="zh-CN"/>
              </w:rPr>
              <w:t>、</w:t>
            </w:r>
            <w:r>
              <w:rPr>
                <w:rFonts w:ascii="宋体" w:eastAsia="宋体" w:hAnsi="宋体" w:cs="宋体" w:hint="eastAsia"/>
                <w:bCs/>
                <w:color w:val="000000"/>
                <w:kern w:val="2"/>
                <w:sz w:val="21"/>
                <w:szCs w:val="21"/>
                <w:lang w:eastAsia="zh-CN"/>
              </w:rPr>
              <w:t>项目名称:**；</w:t>
            </w:r>
            <w:r>
              <w:rPr>
                <w:rFonts w:ascii="宋体" w:eastAsia="宋体" w:hAnsi="宋体" w:cs="宋体" w:hint="eastAsia"/>
                <w:bCs/>
                <w:color w:val="000000"/>
                <w:kern w:val="2"/>
                <w:sz w:val="21"/>
                <w:szCs w:val="21"/>
                <w:lang w:eastAsia="zh-CN"/>
              </w:rPr>
              <w:t xml:space="preserve">造价工作内容：**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r>
              <w:rPr>
                <w:rFonts w:ascii="宋体" w:eastAsia="宋体" w:hAnsi="宋体" w:cs="宋体" w:hint="eastAsia"/>
                <w:bCs/>
                <w:color w:val="000000"/>
                <w:kern w:val="2"/>
                <w:sz w:val="21"/>
                <w:szCs w:val="21"/>
                <w:lang w:eastAsia="zh-CN"/>
              </w:rPr>
              <w:t>。</w:t>
            </w:r>
          </w:p>
        </w:tc>
      </w:tr>
    </w:tbl>
    <w:p w14:paraId="23A0456B">
      <w:pPr>
        <w:widowControl w:val="0"/>
        <w:spacing w:line="260" w:lineRule="exact"/>
        <w:ind w:firstLine="420" w:firstLineChars="200"/>
        <w:jc w:val="both"/>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注：投标人应按《</w:t>
      </w:r>
      <w:r>
        <w:rPr>
          <w:rFonts w:ascii="宋体" w:eastAsia="宋体" w:hAnsi="宋体" w:cs="宋体" w:hint="eastAsia"/>
          <w:color w:val="000000"/>
          <w:kern w:val="2"/>
          <w:sz w:val="21"/>
          <w:szCs w:val="21"/>
          <w:lang w:eastAsia="zh-CN"/>
        </w:rPr>
        <w:t>资信标要求一览表</w:t>
      </w:r>
      <w:r>
        <w:rPr>
          <w:rFonts w:ascii="宋体" w:eastAsia="宋体" w:hAnsi="宋体" w:cs="宋体" w:hint="eastAsia"/>
          <w:color w:val="000000"/>
          <w:kern w:val="2"/>
          <w:sz w:val="21"/>
          <w:szCs w:val="21"/>
          <w:lang w:eastAsia="zh-CN"/>
        </w:rPr>
        <w:t>》要求提供相关证明材料扫描件（原件备查）</w:t>
      </w:r>
      <w:r>
        <w:rPr>
          <w:rFonts w:ascii="宋体" w:eastAsia="宋体" w:hAnsi="宋体" w:cs="宋体" w:hint="eastAsia"/>
          <w:color w:val="000000"/>
          <w:kern w:val="2"/>
          <w:sz w:val="21"/>
          <w:szCs w:val="21"/>
          <w:lang w:eastAsia="zh-CN"/>
        </w:rPr>
        <w:t>。</w:t>
      </w:r>
    </w:p>
    <w:p w14:paraId="6761B2A5">
      <w:pPr>
        <w:widowControl w:val="0"/>
        <w:adjustRightInd w:val="0"/>
        <w:spacing w:line="360" w:lineRule="atLeast"/>
        <w:ind w:firstLine="482"/>
        <w:jc w:val="both"/>
        <w:textAlignment w:val="baseline"/>
        <w:rPr>
          <w:rFonts w:ascii="宋体" w:eastAsia="宋体" w:hAnsi="宋体" w:cs="宋体" w:hint="eastAsia"/>
          <w:color w:val="000000"/>
          <w:kern w:val="2"/>
          <w:sz w:val="21"/>
          <w:szCs w:val="21"/>
          <w:lang w:eastAsia="zh-CN"/>
        </w:rPr>
      </w:pPr>
    </w:p>
    <w:p w14:paraId="63D712AD">
      <w:pPr>
        <w:widowControl w:val="0"/>
        <w:adjustRightInd w:val="0"/>
        <w:spacing w:line="360" w:lineRule="atLeast"/>
        <w:ind w:firstLine="482"/>
        <w:jc w:val="both"/>
        <w:textAlignment w:val="baseline"/>
        <w:rPr>
          <w:rFonts w:ascii="宋体" w:eastAsia="宋体" w:hAnsi="宋体" w:cs="宋体" w:hint="eastAsia"/>
          <w:color w:val="000000"/>
          <w:kern w:val="2"/>
          <w:sz w:val="21"/>
          <w:szCs w:val="21"/>
          <w:lang w:eastAsia="zh-CN"/>
        </w:rPr>
      </w:pPr>
    </w:p>
    <w:p w14:paraId="44686FAE">
      <w:pPr>
        <w:widowControl w:val="0"/>
        <w:spacing w:after="160"/>
        <w:jc w:val="center"/>
        <w:rPr>
          <w:rFonts w:ascii="宋体" w:eastAsia="宋体" w:hAnsi="宋体" w:cs="宋体" w:hint="eastAsia"/>
          <w:bCs/>
          <w:color w:val="000000"/>
          <w:kern w:val="2"/>
          <w:sz w:val="21"/>
          <w:szCs w:val="21"/>
          <w:lang w:eastAsia="zh-CN"/>
        </w:rPr>
      </w:pPr>
    </w:p>
    <w:p w14:paraId="20918050">
      <w:pPr>
        <w:widowControl w:val="0"/>
        <w:jc w:val="both"/>
        <w:outlineLvl w:val="9"/>
        <w:rPr>
          <w:rFonts w:ascii="宋体" w:eastAsia="宋体" w:hAnsi="宋体" w:cs="宋体" w:hint="eastAsia"/>
          <w:color w:val="000000"/>
          <w:kern w:val="2"/>
          <w:sz w:val="21"/>
          <w:szCs w:val="21"/>
          <w:lang w:eastAsia="zh-CN"/>
        </w:rPr>
      </w:pPr>
    </w:p>
    <w:p w14:paraId="003510B1">
      <w:pPr>
        <w:widowControl w:val="0"/>
        <w:jc w:val="both"/>
        <w:outlineLvl w:val="9"/>
        <w:rPr>
          <w:rFonts w:ascii="宋体" w:eastAsia="宋体" w:hAnsi="宋体" w:cs="宋体" w:hint="eastAsia"/>
          <w:color w:val="000000"/>
          <w:kern w:val="2"/>
          <w:sz w:val="21"/>
          <w:szCs w:val="21"/>
          <w:lang w:eastAsia="zh-CN"/>
        </w:rPr>
      </w:pPr>
    </w:p>
    <w:p w14:paraId="101F0633">
      <w:pPr>
        <w:widowControl w:val="0"/>
        <w:jc w:val="both"/>
        <w:outlineLvl w:val="9"/>
        <w:rPr>
          <w:rFonts w:ascii="宋体" w:eastAsia="宋体" w:hAnsi="宋体" w:cs="宋体" w:hint="eastAsia"/>
          <w:color w:val="000000"/>
          <w:kern w:val="2"/>
          <w:sz w:val="21"/>
          <w:szCs w:val="21"/>
          <w:lang w:eastAsia="zh-CN"/>
        </w:rPr>
      </w:pPr>
    </w:p>
    <w:p w14:paraId="48529B27">
      <w:pPr>
        <w:widowControl w:val="0"/>
        <w:numPr>
          <w:ilvl w:val="12"/>
          <w:numId w:val="0"/>
        </w:numPr>
        <w:tabs>
          <w:tab w:val="left" w:pos="2040"/>
        </w:tabs>
        <w:spacing w:before="240" w:after="240"/>
        <w:ind w:left="0" w:firstLine="0" w:firstLineChars="0"/>
        <w:jc w:val="center"/>
        <w:outlineLvl w:val="2"/>
        <w:rPr>
          <w:rFonts w:ascii="宋体" w:eastAsia="宋体" w:hAnsi="宋体" w:cs="宋体" w:hint="eastAsia"/>
          <w:b/>
          <w:color w:val="0000FF"/>
          <w:sz w:val="30"/>
          <w:szCs w:val="30"/>
          <w:lang w:val="zh-CN" w:eastAsia="zh-CN"/>
        </w:rPr>
      </w:pPr>
      <w:r>
        <w:rPr>
          <w:rFonts w:ascii="宋体" w:eastAsia="宋体" w:hAnsi="宋体" w:cs="宋体" w:hint="eastAsia"/>
          <w:b/>
          <w:color w:val="0000FF"/>
          <w:sz w:val="30"/>
          <w:szCs w:val="30"/>
          <w:lang w:eastAsia="zh-CN"/>
        </w:rPr>
        <w:t>3</w:t>
      </w:r>
      <w:r>
        <w:rPr>
          <w:rFonts w:ascii="宋体" w:eastAsia="宋体" w:hAnsi="宋体" w:cs="宋体" w:hint="eastAsia"/>
          <w:b/>
          <w:color w:val="0000FF"/>
          <w:sz w:val="30"/>
          <w:szCs w:val="30"/>
          <w:lang w:val="zh-CN"/>
        </w:rPr>
        <w:t>、</w:t>
      </w:r>
      <w:r>
        <w:rPr>
          <w:rFonts w:ascii="宋体" w:eastAsia="宋体" w:hAnsi="宋体" w:cs="宋体" w:hint="eastAsia"/>
          <w:b/>
          <w:color w:val="0000FF"/>
          <w:sz w:val="30"/>
          <w:szCs w:val="30"/>
          <w:lang w:val="zh-CN" w:eastAsia="zh-CN"/>
        </w:rPr>
        <w:t>拟派项目负责人</w:t>
      </w:r>
      <w:r>
        <w:rPr>
          <w:rFonts w:ascii="宋体" w:eastAsia="宋体" w:hAnsi="宋体" w:cs="宋体" w:hint="eastAsia"/>
          <w:b/>
          <w:color w:val="0000FF"/>
          <w:sz w:val="30"/>
          <w:szCs w:val="30"/>
          <w:lang w:eastAsia="zh-CN"/>
        </w:rPr>
        <w:t>同类工程</w:t>
      </w:r>
      <w:r>
        <w:rPr>
          <w:rFonts w:ascii="宋体" w:eastAsia="宋体" w:hAnsi="宋体" w:cs="宋体" w:hint="eastAsia"/>
          <w:b/>
          <w:color w:val="0000FF"/>
          <w:sz w:val="30"/>
          <w:szCs w:val="30"/>
          <w:lang w:val="zh-CN" w:eastAsia="zh-CN"/>
        </w:rPr>
        <w:t>造价</w:t>
      </w:r>
      <w:r>
        <w:rPr>
          <w:rFonts w:ascii="宋体" w:eastAsia="宋体" w:hAnsi="宋体" w:cs="宋体" w:hint="eastAsia"/>
          <w:b/>
          <w:color w:val="0000FF"/>
          <w:sz w:val="30"/>
          <w:szCs w:val="30"/>
          <w:lang w:eastAsia="zh-CN"/>
        </w:rPr>
        <w:t>咨询</w:t>
      </w:r>
      <w:r>
        <w:rPr>
          <w:rFonts w:ascii="宋体" w:eastAsia="宋体" w:hAnsi="宋体" w:cs="宋体" w:hint="eastAsia"/>
          <w:b/>
          <w:color w:val="0000FF"/>
          <w:sz w:val="30"/>
          <w:szCs w:val="30"/>
          <w:lang w:val="zh-CN" w:eastAsia="zh-CN"/>
        </w:rPr>
        <w:t>业绩</w:t>
      </w:r>
    </w:p>
    <w:p w14:paraId="765AC436">
      <w:pPr>
        <w:widowControl w:val="0"/>
        <w:numPr>
          <w:ilvl w:val="0"/>
          <w:numId w:val="0"/>
        </w:numPr>
        <w:ind w:left="0" w:firstLine="0"/>
        <w:jc w:val="both"/>
        <w:rPr>
          <w:rFonts w:ascii="宋体" w:eastAsia="宋体" w:hAnsi="宋体" w:cs="宋体" w:hint="eastAsia"/>
          <w:kern w:val="2"/>
          <w:sz w:val="21"/>
          <w:szCs w:val="22"/>
          <w:lang w:eastAsia="zh-CN"/>
        </w:rPr>
      </w:pPr>
      <w:r>
        <w:rPr>
          <w:rFonts w:ascii="宋体" w:eastAsia="宋体" w:hAnsi="宋体" w:cs="宋体" w:hint="eastAsia"/>
          <w:kern w:val="2"/>
          <w:sz w:val="21"/>
          <w:szCs w:val="21"/>
          <w:lang w:eastAsia="zh-CN"/>
        </w:rPr>
        <w:t>单位</w:t>
      </w:r>
      <w:r>
        <w:rPr>
          <w:rFonts w:ascii="宋体" w:eastAsia="宋体" w:hAnsi="宋体" w:cs="宋体" w:hint="eastAsia"/>
          <w:kern w:val="2"/>
          <w:sz w:val="21"/>
          <w:szCs w:val="21"/>
          <w:lang w:eastAsia="zh-CN"/>
        </w:rPr>
        <w:t>名称</w:t>
      </w:r>
      <w:r>
        <w:rPr>
          <w:rFonts w:ascii="宋体" w:eastAsia="宋体" w:hAnsi="宋体" w:cs="宋体" w:hint="eastAsia"/>
          <w:kern w:val="2"/>
          <w:sz w:val="21"/>
          <w:szCs w:val="21"/>
          <w:lang w:eastAsia="zh-CN"/>
        </w:rPr>
        <w:t>：</w:t>
      </w:r>
    </w:p>
    <w:tbl>
      <w:tblPr>
        <w:tblStyle w:val="TableNormal"/>
        <w:tblW w:w="5000" w:type="pct"/>
        <w:jc w:val="center"/>
        <w:tblLayout w:type="fixed"/>
        <w:tblCellMar>
          <w:top w:w="0" w:type="dxa"/>
          <w:left w:w="108" w:type="dxa"/>
          <w:bottom w:w="0" w:type="dxa"/>
          <w:right w:w="108" w:type="dxa"/>
        </w:tblCellMar>
      </w:tblPr>
      <w:tblGrid>
        <w:gridCol w:w="474"/>
        <w:gridCol w:w="1186"/>
        <w:gridCol w:w="1731"/>
        <w:gridCol w:w="1635"/>
        <w:gridCol w:w="1784"/>
        <w:gridCol w:w="1189"/>
        <w:gridCol w:w="1516"/>
      </w:tblGrid>
      <w:tr w14:paraId="74C28364">
        <w:tblPrEx>
          <w:tblW w:w="5000" w:type="pct"/>
          <w:jc w:val="center"/>
          <w:tblLayout w:type="fixed"/>
          <w:tblCellMar>
            <w:top w:w="0" w:type="dxa"/>
            <w:left w:w="108" w:type="dxa"/>
            <w:bottom w:w="0" w:type="dxa"/>
            <w:right w:w="108" w:type="dxa"/>
          </w:tblCellMar>
        </w:tblPrEx>
        <w:trPr>
          <w:trHeight w:val="680"/>
          <w:jc w:val="center"/>
        </w:trPr>
        <w:tc>
          <w:tcPr>
            <w:tcW w:w="1583" w:type="dxa"/>
            <w:gridSpan w:val="2"/>
            <w:tcBorders>
              <w:top w:val="single" w:sz="4" w:space="0" w:color="auto"/>
              <w:left w:val="single" w:sz="4" w:space="0" w:color="auto"/>
              <w:bottom w:val="single" w:sz="2" w:space="0" w:color="auto"/>
              <w:right w:val="single" w:sz="2" w:space="0" w:color="auto"/>
            </w:tcBorders>
            <w:noWrap w:val="0"/>
            <w:vAlign w:val="center"/>
          </w:tcPr>
          <w:p w14:paraId="137D22ED">
            <w:pPr>
              <w:keepNext w:val="0"/>
              <w:keepLines w:val="0"/>
              <w:widowControl/>
              <w:suppressLineNumbers w:val="0"/>
              <w:spacing w:before="0" w:beforeAutospacing="0" w:after="0" w:afterAutospacing="0" w:line="240" w:lineRule="atLeast"/>
              <w:ind w:left="48" w:right="48" w:leftChars="20" w:rightChars="2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姓名</w:t>
            </w:r>
          </w:p>
        </w:tc>
        <w:tc>
          <w:tcPr>
            <w:tcW w:w="1650" w:type="dxa"/>
            <w:tcBorders>
              <w:top w:val="single" w:sz="4" w:space="0" w:color="auto"/>
              <w:left w:val="single" w:sz="2" w:space="0" w:color="auto"/>
              <w:bottom w:val="single" w:sz="2" w:space="0" w:color="auto"/>
              <w:right w:val="single" w:sz="2" w:space="0" w:color="auto"/>
            </w:tcBorders>
            <w:noWrap w:val="0"/>
            <w:vAlign w:val="center"/>
          </w:tcPr>
          <w:p w14:paraId="4C238660">
            <w:pPr>
              <w:keepNext w:val="0"/>
              <w:keepLines w:val="0"/>
              <w:widowControl/>
              <w:suppressLineNumbers w:val="0"/>
              <w:spacing w:before="0" w:beforeAutospacing="0" w:after="0" w:afterAutospacing="0" w:line="240" w:lineRule="atLeast"/>
              <w:ind w:left="48" w:right="48" w:leftChars="20" w:rightChars="20"/>
              <w:jc w:val="center"/>
              <w:rPr>
                <w:rFonts w:ascii="宋体" w:eastAsia="宋体" w:hAnsi="宋体" w:cs="宋体" w:hint="eastAsia"/>
                <w:color w:val="000000"/>
                <w:kern w:val="2"/>
                <w:sz w:val="21"/>
                <w:szCs w:val="21"/>
                <w:lang w:eastAsia="zh-CN"/>
              </w:rPr>
            </w:pPr>
          </w:p>
        </w:tc>
        <w:tc>
          <w:tcPr>
            <w:tcW w:w="1559" w:type="dxa"/>
            <w:tcBorders>
              <w:top w:val="single" w:sz="4" w:space="0" w:color="auto"/>
              <w:left w:val="single" w:sz="2" w:space="0" w:color="auto"/>
              <w:bottom w:val="single" w:sz="2" w:space="0" w:color="auto"/>
              <w:right w:val="single" w:sz="2" w:space="0" w:color="auto"/>
            </w:tcBorders>
            <w:noWrap w:val="0"/>
            <w:vAlign w:val="center"/>
          </w:tcPr>
          <w:p w14:paraId="5FCF7535">
            <w:pPr>
              <w:keepNext w:val="0"/>
              <w:keepLines w:val="0"/>
              <w:widowControl/>
              <w:suppressLineNumbers w:val="0"/>
              <w:spacing w:before="0" w:beforeAutospacing="0" w:after="0" w:afterAutospacing="0" w:line="240" w:lineRule="atLeast"/>
              <w:ind w:left="-120" w:right="-120" w:leftChars="-50" w:rightChars="-5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 xml:space="preserve"> </w:t>
            </w:r>
            <w:r>
              <w:rPr>
                <w:rFonts w:ascii="宋体" w:eastAsia="宋体" w:hAnsi="宋体" w:cs="宋体" w:hint="eastAsia"/>
                <w:color w:val="000000"/>
                <w:kern w:val="2"/>
                <w:sz w:val="21"/>
                <w:szCs w:val="21"/>
                <w:lang w:eastAsia="zh-CN"/>
              </w:rPr>
              <w:t>所属单位</w:t>
            </w:r>
          </w:p>
        </w:tc>
        <w:tc>
          <w:tcPr>
            <w:tcW w:w="1701" w:type="dxa"/>
            <w:tcBorders>
              <w:top w:val="single" w:sz="4" w:space="0" w:color="auto"/>
              <w:left w:val="single" w:sz="2" w:space="0" w:color="auto"/>
              <w:bottom w:val="single" w:sz="2" w:space="0" w:color="auto"/>
              <w:right w:val="single" w:sz="2" w:space="0" w:color="auto"/>
            </w:tcBorders>
            <w:noWrap w:val="0"/>
            <w:vAlign w:val="center"/>
          </w:tcPr>
          <w:p w14:paraId="682DF529">
            <w:pPr>
              <w:keepNext w:val="0"/>
              <w:keepLines w:val="0"/>
              <w:widowControl/>
              <w:suppressLineNumbers w:val="0"/>
              <w:spacing w:before="0" w:beforeAutospacing="0" w:after="0" w:afterAutospacing="0" w:line="240" w:lineRule="atLeast"/>
              <w:ind w:left="-120" w:right="-120" w:leftChars="-50" w:rightChars="-50"/>
              <w:jc w:val="center"/>
              <w:rPr>
                <w:rFonts w:ascii="宋体" w:eastAsia="宋体" w:hAnsi="宋体" w:cs="宋体" w:hint="eastAsia"/>
                <w:color w:val="000000"/>
                <w:kern w:val="2"/>
                <w:sz w:val="21"/>
                <w:szCs w:val="21"/>
                <w:lang w:eastAsia="zh-CN"/>
              </w:rPr>
            </w:pPr>
          </w:p>
        </w:tc>
        <w:tc>
          <w:tcPr>
            <w:tcW w:w="1134" w:type="dxa"/>
            <w:tcBorders>
              <w:top w:val="single" w:sz="4" w:space="0" w:color="auto"/>
              <w:left w:val="single" w:sz="2" w:space="0" w:color="auto"/>
              <w:bottom w:val="single" w:sz="2" w:space="0" w:color="auto"/>
              <w:right w:val="single" w:sz="4" w:space="0" w:color="auto"/>
            </w:tcBorders>
            <w:noWrap w:val="0"/>
            <w:vAlign w:val="center"/>
          </w:tcPr>
          <w:p w14:paraId="7875A0A5">
            <w:pPr>
              <w:keepNext w:val="0"/>
              <w:keepLines w:val="0"/>
              <w:widowControl/>
              <w:suppressLineNumbers w:val="0"/>
              <w:spacing w:before="0" w:beforeAutospacing="0" w:after="0" w:afterAutospacing="0" w:line="240" w:lineRule="atLeast"/>
              <w:ind w:left="-120" w:right="-120" w:leftChars="-50" w:rightChars="-5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工作年限</w:t>
            </w:r>
          </w:p>
        </w:tc>
        <w:tc>
          <w:tcPr>
            <w:tcW w:w="1445" w:type="dxa"/>
            <w:tcBorders>
              <w:top w:val="single" w:sz="4" w:space="0" w:color="auto"/>
              <w:left w:val="single" w:sz="4" w:space="0" w:color="auto"/>
              <w:bottom w:val="single" w:sz="2" w:space="0" w:color="auto"/>
              <w:right w:val="single" w:sz="4" w:space="0" w:color="auto"/>
            </w:tcBorders>
            <w:noWrap w:val="0"/>
            <w:vAlign w:val="center"/>
          </w:tcPr>
          <w:p w14:paraId="6CD4FB01">
            <w:pPr>
              <w:keepNext w:val="0"/>
              <w:keepLines w:val="0"/>
              <w:widowControl/>
              <w:suppressLineNumbers w:val="0"/>
              <w:spacing w:before="0" w:beforeAutospacing="0" w:after="0" w:afterAutospacing="0" w:line="240" w:lineRule="atLeast"/>
              <w:ind w:left="-120" w:right="-120" w:leftChars="-50" w:rightChars="-50"/>
              <w:jc w:val="center"/>
              <w:rPr>
                <w:rFonts w:ascii="宋体" w:eastAsia="宋体" w:hAnsi="宋体" w:cs="宋体" w:hint="eastAsia"/>
                <w:color w:val="000000"/>
                <w:kern w:val="2"/>
                <w:sz w:val="21"/>
                <w:szCs w:val="21"/>
                <w:lang w:eastAsia="zh-CN"/>
              </w:rPr>
            </w:pPr>
          </w:p>
        </w:tc>
      </w:tr>
      <w:tr w14:paraId="57BCC274">
        <w:tblPrEx>
          <w:tblW w:w="5000" w:type="pct"/>
          <w:jc w:val="center"/>
          <w:tblLayout w:type="fixed"/>
          <w:tblCellMar>
            <w:top w:w="0" w:type="dxa"/>
            <w:left w:w="108" w:type="dxa"/>
            <w:bottom w:w="0" w:type="dxa"/>
            <w:right w:w="108" w:type="dxa"/>
          </w:tblCellMar>
        </w:tblPrEx>
        <w:trPr>
          <w:trHeight w:val="680"/>
          <w:jc w:val="center"/>
        </w:trPr>
        <w:tc>
          <w:tcPr>
            <w:tcW w:w="1583" w:type="dxa"/>
            <w:gridSpan w:val="2"/>
            <w:tcBorders>
              <w:top w:val="single" w:sz="2" w:space="0" w:color="auto"/>
              <w:left w:val="single" w:sz="4" w:space="0" w:color="auto"/>
              <w:bottom w:val="single" w:sz="2" w:space="0" w:color="auto"/>
              <w:right w:val="single" w:sz="2" w:space="0" w:color="auto"/>
            </w:tcBorders>
            <w:noWrap w:val="0"/>
            <w:vAlign w:val="center"/>
          </w:tcPr>
          <w:p w14:paraId="1D95C1C2">
            <w:pPr>
              <w:keepNext w:val="0"/>
              <w:keepLines w:val="0"/>
              <w:widowControl/>
              <w:suppressLineNumbers w:val="0"/>
              <w:spacing w:before="0" w:beforeAutospacing="0" w:after="0" w:afterAutospacing="0" w:line="240" w:lineRule="atLeast"/>
              <w:ind w:left="48" w:right="48" w:leftChars="20" w:rightChars="2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注册执业资格</w:t>
            </w:r>
          </w:p>
        </w:tc>
        <w:tc>
          <w:tcPr>
            <w:tcW w:w="1650" w:type="dxa"/>
            <w:tcBorders>
              <w:top w:val="single" w:sz="2" w:space="0" w:color="auto"/>
              <w:left w:val="single" w:sz="2" w:space="0" w:color="auto"/>
              <w:bottom w:val="single" w:sz="2" w:space="0" w:color="auto"/>
              <w:right w:val="single" w:sz="2" w:space="0" w:color="auto"/>
            </w:tcBorders>
            <w:noWrap w:val="0"/>
            <w:vAlign w:val="center"/>
          </w:tcPr>
          <w:p w14:paraId="58EE8513">
            <w:pPr>
              <w:keepNext w:val="0"/>
              <w:keepLines w:val="0"/>
              <w:widowControl/>
              <w:suppressLineNumbers w:val="0"/>
              <w:spacing w:before="0" w:beforeAutospacing="0" w:after="0" w:afterAutospacing="0" w:line="240" w:lineRule="atLeast"/>
              <w:ind w:left="48" w:right="48" w:leftChars="20" w:rightChars="20"/>
              <w:jc w:val="distribute"/>
              <w:rPr>
                <w:rFonts w:ascii="宋体" w:eastAsia="宋体" w:hAnsi="宋体" w:cs="宋体" w:hint="eastAsia"/>
                <w:color w:val="000000"/>
                <w:kern w:val="2"/>
                <w:sz w:val="21"/>
                <w:szCs w:val="21"/>
                <w:lang w:eastAsia="zh-CN"/>
              </w:rPr>
            </w:pPr>
          </w:p>
        </w:tc>
        <w:tc>
          <w:tcPr>
            <w:tcW w:w="1559" w:type="dxa"/>
            <w:tcBorders>
              <w:top w:val="single" w:sz="2" w:space="0" w:color="auto"/>
              <w:left w:val="single" w:sz="2" w:space="0" w:color="auto"/>
              <w:bottom w:val="single" w:sz="2" w:space="0" w:color="auto"/>
              <w:right w:val="single" w:sz="2" w:space="0" w:color="auto"/>
            </w:tcBorders>
            <w:noWrap w:val="0"/>
            <w:vAlign w:val="center"/>
          </w:tcPr>
          <w:p w14:paraId="5E527B64">
            <w:pPr>
              <w:keepNext w:val="0"/>
              <w:keepLines w:val="0"/>
              <w:widowControl/>
              <w:suppressLineNumbers w:val="0"/>
              <w:spacing w:before="0" w:beforeAutospacing="0" w:after="0" w:afterAutospacing="0" w:line="240" w:lineRule="atLeast"/>
              <w:ind w:left="48" w:right="48" w:leftChars="20" w:rightChars="2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职称证书</w:t>
            </w:r>
            <w:r>
              <w:rPr>
                <w:rFonts w:ascii="宋体" w:eastAsia="宋体" w:hAnsi="宋体" w:cs="宋体" w:hint="eastAsia"/>
                <w:color w:val="000000"/>
                <w:kern w:val="2"/>
                <w:sz w:val="21"/>
                <w:szCs w:val="21"/>
                <w:lang w:eastAsia="zh-CN"/>
              </w:rPr>
              <w:t>（</w:t>
            </w:r>
            <w:r>
              <w:rPr>
                <w:rFonts w:ascii="宋体" w:eastAsia="宋体" w:hAnsi="宋体" w:cs="宋体" w:hint="eastAsia"/>
                <w:color w:val="000000"/>
                <w:kern w:val="2"/>
                <w:sz w:val="21"/>
                <w:szCs w:val="21"/>
                <w:lang w:eastAsia="zh-CN"/>
              </w:rPr>
              <w:t>如有</w:t>
            </w:r>
            <w:r>
              <w:rPr>
                <w:rFonts w:ascii="宋体" w:eastAsia="宋体" w:hAnsi="宋体" w:cs="宋体" w:hint="eastAsia"/>
                <w:color w:val="000000"/>
                <w:kern w:val="2"/>
                <w:sz w:val="21"/>
                <w:szCs w:val="21"/>
                <w:lang w:eastAsia="zh-CN"/>
              </w:rPr>
              <w:t>）</w:t>
            </w:r>
          </w:p>
        </w:tc>
        <w:tc>
          <w:tcPr>
            <w:tcW w:w="4280" w:type="dxa"/>
            <w:gridSpan w:val="3"/>
            <w:tcBorders>
              <w:top w:val="single" w:sz="2" w:space="0" w:color="auto"/>
              <w:left w:val="single" w:sz="2" w:space="0" w:color="auto"/>
              <w:bottom w:val="single" w:sz="2" w:space="0" w:color="auto"/>
              <w:right w:val="single" w:sz="4" w:space="0" w:color="auto"/>
            </w:tcBorders>
            <w:noWrap w:val="0"/>
            <w:vAlign w:val="center"/>
          </w:tcPr>
          <w:p w14:paraId="4116CD4F">
            <w:pPr>
              <w:keepNext w:val="0"/>
              <w:keepLines w:val="0"/>
              <w:widowControl/>
              <w:suppressLineNumbers w:val="0"/>
              <w:spacing w:before="0" w:beforeAutospacing="0" w:after="0" w:afterAutospacing="0" w:line="240" w:lineRule="atLeast"/>
              <w:ind w:left="-120" w:right="-120" w:leftChars="-50" w:rightChars="-50"/>
              <w:jc w:val="center"/>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 xml:space="preserve"> </w:t>
            </w:r>
          </w:p>
        </w:tc>
      </w:tr>
      <w:tr w14:paraId="164A71BD">
        <w:tblPrEx>
          <w:tblW w:w="5000" w:type="pct"/>
          <w:jc w:val="center"/>
          <w:tblLayout w:type="fixed"/>
          <w:tblCellMar>
            <w:top w:w="0" w:type="dxa"/>
            <w:left w:w="108" w:type="dxa"/>
            <w:bottom w:w="0" w:type="dxa"/>
            <w:right w:w="108" w:type="dxa"/>
          </w:tblCellMar>
        </w:tblPrEx>
        <w:trPr>
          <w:cantSplit/>
          <w:trHeight w:val="1526"/>
          <w:jc w:val="center"/>
        </w:trPr>
        <w:tc>
          <w:tcPr>
            <w:tcW w:w="452" w:type="dxa"/>
            <w:tcBorders>
              <w:top w:val="single" w:sz="2" w:space="0" w:color="auto"/>
              <w:left w:val="single" w:sz="4" w:space="0" w:color="auto"/>
              <w:bottom w:val="single" w:sz="4" w:space="0" w:color="auto"/>
              <w:right w:val="single" w:sz="2" w:space="0" w:color="auto"/>
            </w:tcBorders>
            <w:noWrap w:val="0"/>
            <w:textDirection w:val="tbRlV"/>
            <w:vAlign w:val="center"/>
          </w:tcPr>
          <w:p w14:paraId="196D55C0">
            <w:pPr>
              <w:keepNext w:val="0"/>
              <w:keepLines w:val="0"/>
              <w:widowControl/>
              <w:suppressLineNumbers w:val="0"/>
              <w:spacing w:before="0" w:beforeAutospacing="0" w:after="0" w:afterAutospacing="0" w:line="240" w:lineRule="atLeast"/>
              <w:ind w:left="0" w:right="0"/>
              <w:jc w:val="center"/>
              <w:rPr>
                <w:rFonts w:ascii="宋体" w:eastAsia="宋体" w:hAnsi="宋体" w:cs="宋体" w:hint="eastAsia"/>
                <w:color w:val="000000"/>
                <w:spacing w:val="38"/>
                <w:kern w:val="2"/>
                <w:sz w:val="21"/>
                <w:szCs w:val="21"/>
                <w:lang w:eastAsia="zh-CN"/>
              </w:rPr>
            </w:pPr>
            <w:r>
              <w:rPr>
                <w:rFonts w:ascii="宋体" w:eastAsia="宋体" w:hAnsi="宋体" w:cs="宋体" w:hint="eastAsia"/>
                <w:color w:val="000000"/>
                <w:spacing w:val="38"/>
                <w:kern w:val="2"/>
                <w:sz w:val="21"/>
                <w:szCs w:val="21"/>
                <w:lang w:eastAsia="zh-CN"/>
              </w:rPr>
              <w:t>代表</w:t>
            </w:r>
            <w:r>
              <w:rPr>
                <w:rFonts w:ascii="宋体" w:eastAsia="宋体" w:hAnsi="宋体" w:cs="宋体" w:hint="eastAsia"/>
                <w:color w:val="000000"/>
                <w:spacing w:val="38"/>
                <w:kern w:val="2"/>
                <w:sz w:val="21"/>
                <w:szCs w:val="21"/>
                <w:lang w:eastAsia="zh-CN"/>
              </w:rPr>
              <w:t>业绩</w:t>
            </w:r>
          </w:p>
        </w:tc>
        <w:tc>
          <w:tcPr>
            <w:tcW w:w="8620" w:type="dxa"/>
            <w:gridSpan w:val="6"/>
            <w:tcBorders>
              <w:top w:val="single" w:sz="2" w:space="0" w:color="auto"/>
              <w:left w:val="single" w:sz="2" w:space="0" w:color="auto"/>
              <w:bottom w:val="single" w:sz="4" w:space="0" w:color="auto"/>
              <w:right w:val="single" w:sz="4" w:space="0" w:color="auto"/>
            </w:tcBorders>
            <w:noWrap w:val="0"/>
            <w:vAlign w:val="center"/>
          </w:tcPr>
          <w:p w14:paraId="1B459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left"/>
              <w:textAlignment w:val="auto"/>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1、项目</w:t>
            </w:r>
            <w:r>
              <w:rPr>
                <w:rFonts w:ascii="宋体" w:eastAsia="宋体" w:hAnsi="宋体" w:cs="宋体" w:hint="eastAsia"/>
                <w:color w:val="000000"/>
                <w:kern w:val="2"/>
                <w:sz w:val="21"/>
                <w:szCs w:val="21"/>
                <w:lang w:eastAsia="zh-CN"/>
              </w:rPr>
              <w:t>名称：XX；</w:t>
            </w:r>
            <w:r>
              <w:rPr>
                <w:rFonts w:ascii="宋体" w:eastAsia="宋体" w:hAnsi="宋体" w:cs="宋体" w:hint="eastAsia"/>
                <w:bCs/>
                <w:color w:val="000000"/>
                <w:kern w:val="2"/>
                <w:sz w:val="21"/>
                <w:szCs w:val="21"/>
                <w:lang w:eastAsia="zh-CN"/>
              </w:rPr>
              <w:t>造价工作内容</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w:t>
            </w:r>
            <w:r>
              <w:rPr>
                <w:rFonts w:ascii="宋体" w:eastAsia="宋体" w:hAnsi="宋体" w:cs="宋体" w:hint="eastAsia"/>
                <w:color w:val="000000"/>
                <w:kern w:val="2"/>
                <w:sz w:val="21"/>
                <w:szCs w:val="21"/>
                <w:lang w:eastAsia="zh-CN"/>
              </w:rPr>
              <w:t xml:space="preserve">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r>
              <w:rPr>
                <w:rFonts w:ascii="宋体" w:eastAsia="宋体" w:hAnsi="宋体" w:cs="宋体" w:hint="eastAsia"/>
                <w:color w:val="000000"/>
                <w:kern w:val="2"/>
                <w:sz w:val="21"/>
                <w:szCs w:val="21"/>
                <w:lang w:eastAsia="zh-CN"/>
              </w:rPr>
              <w:t>；</w:t>
            </w:r>
            <w:r>
              <w:rPr>
                <w:rFonts w:ascii="宋体" w:eastAsia="宋体" w:hAnsi="宋体" w:cs="宋体" w:hint="eastAsia"/>
                <w:b/>
                <w:bCs/>
                <w:color w:val="0000FF"/>
                <w:kern w:val="2"/>
                <w:sz w:val="21"/>
                <w:szCs w:val="21"/>
                <w:lang w:eastAsia="zh-CN"/>
              </w:rPr>
              <w:t>在该项目任职</w:t>
            </w:r>
            <w:r>
              <w:rPr>
                <w:rFonts w:ascii="宋体" w:eastAsia="宋体" w:hAnsi="宋体" w:cs="宋体" w:hint="eastAsia"/>
                <w:b/>
                <w:bCs/>
                <w:color w:val="0000FF"/>
                <w:kern w:val="2"/>
                <w:sz w:val="21"/>
                <w:szCs w:val="21"/>
                <w:lang w:eastAsia="zh-CN"/>
              </w:rPr>
              <w:t>岗位：XX。</w:t>
            </w:r>
          </w:p>
          <w:p w14:paraId="583634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left"/>
              <w:textAlignment w:val="auto"/>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2、项目</w:t>
            </w:r>
            <w:r>
              <w:rPr>
                <w:rFonts w:ascii="宋体" w:eastAsia="宋体" w:hAnsi="宋体" w:cs="宋体" w:hint="eastAsia"/>
                <w:color w:val="000000"/>
                <w:kern w:val="2"/>
                <w:sz w:val="21"/>
                <w:szCs w:val="21"/>
                <w:lang w:eastAsia="zh-CN"/>
              </w:rPr>
              <w:t>名称：XX；</w:t>
            </w:r>
            <w:r>
              <w:rPr>
                <w:rFonts w:ascii="宋体" w:eastAsia="宋体" w:hAnsi="宋体" w:cs="宋体" w:hint="eastAsia"/>
                <w:bCs/>
                <w:color w:val="000000"/>
                <w:kern w:val="2"/>
                <w:sz w:val="21"/>
                <w:szCs w:val="21"/>
                <w:lang w:eastAsia="zh-CN"/>
              </w:rPr>
              <w:t>造价工作内容</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w:t>
            </w:r>
            <w:r>
              <w:rPr>
                <w:rFonts w:ascii="宋体" w:eastAsia="宋体" w:hAnsi="宋体" w:cs="宋体" w:hint="eastAsia"/>
                <w:color w:val="000000"/>
                <w:kern w:val="2"/>
                <w:sz w:val="21"/>
                <w:szCs w:val="21"/>
                <w:lang w:eastAsia="zh-CN"/>
              </w:rPr>
              <w:t xml:space="preserve"> </w:t>
            </w:r>
            <w:r>
              <w:rPr>
                <w:rFonts w:ascii="宋体" w:eastAsia="宋体" w:hAnsi="宋体" w:cs="宋体" w:hint="eastAsia"/>
                <w:snapToGrid w:val="0"/>
                <w:color w:val="000000"/>
                <w:sz w:val="21"/>
                <w:szCs w:val="21"/>
                <w:lang w:eastAsia="zh-CN"/>
              </w:rPr>
              <w:t>；</w:t>
            </w:r>
            <w:r>
              <w:rPr>
                <w:rFonts w:ascii="宋体" w:eastAsia="宋体" w:hAnsi="宋体" w:cs="宋体" w:hint="eastAsia"/>
                <w:bCs/>
                <w:color w:val="000000"/>
                <w:kern w:val="2"/>
                <w:sz w:val="21"/>
                <w:szCs w:val="21"/>
                <w:lang w:eastAsia="zh-CN"/>
              </w:rPr>
              <w:t>合同金额：**万元；合同签订日期</w:t>
            </w:r>
            <w:r>
              <w:rPr>
                <w:rFonts w:ascii="宋体" w:eastAsia="宋体" w:hAnsi="宋体" w:cs="宋体" w:hint="eastAsia"/>
                <w:color w:val="000000"/>
                <w:kern w:val="2"/>
                <w:sz w:val="21"/>
                <w:szCs w:val="21"/>
                <w:lang w:eastAsia="zh-CN"/>
              </w:rPr>
              <w:t>：</w:t>
            </w:r>
            <w:r>
              <w:rPr>
                <w:rFonts w:ascii="宋体" w:eastAsia="宋体" w:hAnsi="宋体" w:cs="宋体" w:hint="eastAsia"/>
                <w:bCs/>
                <w:color w:val="000000"/>
                <w:kern w:val="2"/>
                <w:sz w:val="21"/>
                <w:szCs w:val="21"/>
                <w:lang w:eastAsia="zh-CN"/>
              </w:rPr>
              <w:t>**年**月**日</w:t>
            </w:r>
            <w:r>
              <w:rPr>
                <w:rFonts w:ascii="宋体" w:eastAsia="宋体" w:hAnsi="宋体" w:cs="宋体" w:hint="eastAsia"/>
                <w:color w:val="000000"/>
                <w:kern w:val="2"/>
                <w:sz w:val="21"/>
                <w:szCs w:val="21"/>
                <w:lang w:eastAsia="zh-CN"/>
              </w:rPr>
              <w:t>；</w:t>
            </w:r>
            <w:r>
              <w:rPr>
                <w:rFonts w:ascii="宋体" w:eastAsia="宋体" w:hAnsi="宋体" w:cs="宋体" w:hint="eastAsia"/>
                <w:b/>
                <w:bCs/>
                <w:color w:val="0000FF"/>
                <w:kern w:val="2"/>
                <w:sz w:val="21"/>
                <w:szCs w:val="21"/>
                <w:lang w:eastAsia="zh-CN"/>
              </w:rPr>
              <w:t>在该项目任职</w:t>
            </w:r>
            <w:r>
              <w:rPr>
                <w:rFonts w:ascii="宋体" w:eastAsia="宋体" w:hAnsi="宋体" w:cs="宋体" w:hint="eastAsia"/>
                <w:b/>
                <w:bCs/>
                <w:color w:val="0000FF"/>
                <w:kern w:val="2"/>
                <w:sz w:val="21"/>
                <w:szCs w:val="21"/>
                <w:lang w:eastAsia="zh-CN"/>
              </w:rPr>
              <w:t>岗位：XX。</w:t>
            </w:r>
          </w:p>
          <w:p w14:paraId="739B8C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left"/>
              <w:textAlignment w:val="auto"/>
              <w:rPr>
                <w:rFonts w:ascii="宋体" w:eastAsia="宋体" w:hAnsi="宋体" w:cs="宋体" w:hint="eastAsia"/>
                <w:color w:val="000000"/>
                <w:kern w:val="2"/>
                <w:sz w:val="21"/>
                <w:szCs w:val="21"/>
                <w:lang w:eastAsia="zh-CN"/>
              </w:rPr>
            </w:pPr>
          </w:p>
        </w:tc>
      </w:tr>
      <w:tr w14:paraId="4AAD005E">
        <w:tblPrEx>
          <w:tblW w:w="5000" w:type="pct"/>
          <w:jc w:val="center"/>
          <w:tblLayout w:type="fixed"/>
          <w:tblCellMar>
            <w:top w:w="0" w:type="dxa"/>
            <w:left w:w="108" w:type="dxa"/>
            <w:bottom w:w="0" w:type="dxa"/>
            <w:right w:w="108" w:type="dxa"/>
          </w:tblCellMar>
        </w:tblPrEx>
        <w:trPr>
          <w:cantSplit/>
          <w:trHeight w:val="460"/>
          <w:jc w:val="center"/>
        </w:trPr>
        <w:tc>
          <w:tcPr>
            <w:tcW w:w="9072" w:type="dxa"/>
            <w:gridSpan w:val="7"/>
            <w:tcBorders>
              <w:top w:val="single" w:sz="4" w:space="0" w:color="auto"/>
              <w:left w:val="nil"/>
              <w:right w:val="nil"/>
            </w:tcBorders>
            <w:noWrap w:val="0"/>
            <w:vAlign w:val="center"/>
          </w:tcPr>
          <w:p w14:paraId="104EF128">
            <w:pPr>
              <w:keepNext w:val="0"/>
              <w:keepLines w:val="0"/>
              <w:widowControl/>
              <w:suppressLineNumbers w:val="0"/>
              <w:spacing w:before="0" w:beforeAutospacing="0" w:after="0" w:afterAutospacing="0" w:line="260" w:lineRule="exact"/>
              <w:ind w:left="0" w:right="0"/>
              <w:jc w:val="both"/>
              <w:rPr>
                <w:rFonts w:ascii="宋体" w:eastAsia="宋体" w:hAnsi="宋体" w:cs="宋体" w:hint="eastAsia"/>
                <w:color w:val="000000"/>
                <w:kern w:val="2"/>
                <w:sz w:val="21"/>
                <w:szCs w:val="21"/>
                <w:lang w:eastAsia="zh-CN"/>
              </w:rPr>
            </w:pPr>
            <w:r>
              <w:rPr>
                <w:rFonts w:ascii="宋体" w:eastAsia="宋体" w:hAnsi="宋体" w:cs="宋体" w:hint="eastAsia"/>
                <w:color w:val="000000"/>
                <w:kern w:val="2"/>
                <w:sz w:val="21"/>
                <w:szCs w:val="21"/>
                <w:lang w:eastAsia="zh-CN"/>
              </w:rPr>
              <w:t>注：投标人应按《</w:t>
            </w:r>
            <w:r>
              <w:rPr>
                <w:rFonts w:ascii="宋体" w:eastAsia="宋体" w:hAnsi="宋体" w:cs="宋体" w:hint="eastAsia"/>
                <w:color w:val="000000"/>
                <w:kern w:val="2"/>
                <w:sz w:val="21"/>
                <w:szCs w:val="21"/>
                <w:lang w:eastAsia="zh-CN"/>
              </w:rPr>
              <w:t>资信标要求一览表</w:t>
            </w:r>
            <w:r>
              <w:rPr>
                <w:rFonts w:ascii="宋体" w:eastAsia="宋体" w:hAnsi="宋体" w:cs="宋体" w:hint="eastAsia"/>
                <w:color w:val="000000"/>
                <w:kern w:val="2"/>
                <w:sz w:val="21"/>
                <w:szCs w:val="21"/>
                <w:lang w:eastAsia="zh-CN"/>
              </w:rPr>
              <w:t>》要求提供相关证明材料扫描件（原件备查）。</w:t>
            </w:r>
          </w:p>
        </w:tc>
      </w:tr>
    </w:tbl>
    <w:p w14:paraId="76BE95DB">
      <w:pPr>
        <w:widowControl w:val="0"/>
        <w:adjustRightInd w:val="0"/>
        <w:spacing w:line="360" w:lineRule="atLeast"/>
        <w:ind w:firstLine="482"/>
        <w:jc w:val="both"/>
        <w:textAlignment w:val="baseline"/>
        <w:rPr>
          <w:rFonts w:ascii="宋体" w:eastAsia="宋体" w:hAnsi="宋体" w:cs="宋体" w:hint="eastAsia"/>
          <w:kern w:val="2"/>
          <w:sz w:val="21"/>
          <w:szCs w:val="20"/>
          <w:lang w:eastAsia="zh-CN"/>
        </w:rPr>
      </w:pPr>
    </w:p>
    <w:p w14:paraId="6995C1AB">
      <w:pPr>
        <w:widowControl w:val="0"/>
        <w:adjustRightInd w:val="0"/>
        <w:spacing w:line="360" w:lineRule="atLeast"/>
        <w:ind w:firstLine="482"/>
        <w:jc w:val="both"/>
        <w:textAlignment w:val="baseline"/>
        <w:rPr>
          <w:rFonts w:ascii="宋体" w:eastAsia="宋体" w:hAnsi="宋体" w:cs="宋体" w:hint="eastAsia"/>
          <w:kern w:val="2"/>
          <w:sz w:val="21"/>
          <w:szCs w:val="20"/>
          <w:lang w:eastAsia="zh-CN"/>
        </w:rPr>
      </w:pPr>
    </w:p>
    <w:p w14:paraId="3ACFA4FA">
      <w:pPr>
        <w:widowControl w:val="0"/>
        <w:numPr>
          <w:ilvl w:val="0"/>
          <w:numId w:val="0"/>
        </w:numPr>
        <w:adjustRightInd w:val="0"/>
        <w:spacing w:line="360" w:lineRule="atLeast"/>
        <w:ind w:left="0" w:firstLine="0"/>
        <w:jc w:val="center"/>
        <w:textAlignment w:val="baseline"/>
        <w:rPr>
          <w:rFonts w:ascii="宋体" w:eastAsia="宋体" w:hAnsi="宋体" w:cs="宋体" w:hint="eastAsia"/>
          <w:b/>
          <w:bCs/>
          <w:color w:val="0000FF"/>
          <w:sz w:val="30"/>
          <w:szCs w:val="30"/>
          <w:lang w:val="zh-CN"/>
        </w:rPr>
      </w:pPr>
      <w:r>
        <w:rPr>
          <w:rFonts w:ascii="宋体" w:eastAsia="宋体" w:hAnsi="宋体" w:cs="宋体" w:hint="eastAsia"/>
          <w:b/>
          <w:bCs/>
          <w:color w:val="0000FF"/>
          <w:sz w:val="30"/>
          <w:szCs w:val="30"/>
          <w:lang w:val="zh-CN"/>
        </w:rPr>
        <w:t>4、投标人工程造价咨询企业信用评价情况</w:t>
      </w:r>
    </w:p>
    <w:p w14:paraId="66001C11">
      <w:pPr>
        <w:widowControl w:val="0"/>
        <w:spacing w:before="0" w:after="160" w:line="300" w:lineRule="auto"/>
        <w:jc w:val="both"/>
        <w:rPr>
          <w:rFonts w:ascii="等线" w:eastAsia="等线" w:hAnsi="等线"/>
          <w:kern w:val="2"/>
          <w:sz w:val="21"/>
          <w:szCs w:val="22"/>
          <w:lang w:eastAsia="zh-CN"/>
        </w:rPr>
      </w:pPr>
    </w:p>
    <w:tbl>
      <w:tblPr>
        <w:tblStyle w:val="TableNormal"/>
        <w:tblW w:w="5000" w:type="pct"/>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
      <w:tblGrid>
        <w:gridCol w:w="9515"/>
      </w:tblGrid>
      <w:tr w14:paraId="45FAA659">
        <w:tblPrEx>
          <w:tblW w:w="5000" w:type="pct"/>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Ex>
        <w:trPr>
          <w:trHeight w:val="1452"/>
        </w:trPr>
        <w:tc>
          <w:tcPr>
            <w:tcW w:w="9515" w:type="dxa"/>
            <w:tcBorders>
              <w:bottom w:val="single" w:sz="4" w:space="0" w:color="000000"/>
            </w:tcBorders>
            <w:noWrap w:val="0"/>
            <w:tcMar>
              <w:top w:w="15" w:type="dxa"/>
              <w:left w:w="108" w:type="dxa"/>
              <w:bottom w:w="15" w:type="dxa"/>
              <w:right w:w="108" w:type="dxa"/>
            </w:tcMar>
            <w:vAlign w:val="center"/>
          </w:tcPr>
          <w:p w14:paraId="69E04307">
            <w:pPr>
              <w:widowControl w:val="0"/>
              <w:spacing w:before="0" w:after="160" w:line="312" w:lineRule="auto"/>
              <w:jc w:val="both"/>
              <w:rPr>
                <w:rFonts w:ascii="等线" w:eastAsia="宋体" w:hAnsi="等线" w:hint="eastAsia"/>
                <w:color w:val="000000"/>
                <w:kern w:val="2"/>
                <w:sz w:val="21"/>
                <w:szCs w:val="21"/>
                <w:lang w:eastAsia="zh-CN"/>
              </w:rPr>
            </w:pPr>
            <w:r>
              <w:rPr>
                <w:rFonts w:ascii="宋体" w:eastAsia="宋体" w:hAnsi="宋体" w:cs="宋体" w:hint="eastAsia"/>
                <w:color w:val="0000FF"/>
                <w:spacing w:val="2"/>
                <w:kern w:val="2"/>
                <w:sz w:val="21"/>
                <w:szCs w:val="21"/>
                <w:lang w:eastAsia="zh-CN"/>
              </w:rPr>
              <w:t>造价</w:t>
            </w:r>
            <w:r>
              <w:rPr>
                <w:rFonts w:ascii="宋体" w:eastAsia="宋体" w:hAnsi="宋体" w:cs="宋体"/>
                <w:color w:val="0000FF"/>
                <w:spacing w:val="2"/>
                <w:kern w:val="2"/>
                <w:sz w:val="21"/>
                <w:szCs w:val="21"/>
                <w:lang w:eastAsia="zh-CN"/>
              </w:rPr>
              <w:t>单位名称：</w:t>
            </w:r>
            <w:r>
              <w:rPr>
                <w:rFonts w:ascii="宋体" w:eastAsia="宋体" w:hAnsi="宋体" w:cs="宋体"/>
                <w:color w:val="0000FF"/>
                <w:kern w:val="2"/>
                <w:sz w:val="21"/>
                <w:szCs w:val="21"/>
                <w:lang w:eastAsia="zh-CN"/>
              </w:rPr>
              <w:t>**；</w:t>
            </w:r>
            <w:r>
              <w:rPr>
                <w:rFonts w:ascii="宋体" w:eastAsia="宋体" w:hAnsi="宋体" w:cs="宋体" w:hint="eastAsia"/>
                <w:color w:val="0000FF"/>
                <w:kern w:val="2"/>
                <w:sz w:val="21"/>
                <w:szCs w:val="21"/>
                <w:lang w:eastAsia="zh-CN"/>
              </w:rPr>
              <w:t>信用评价等级</w:t>
            </w:r>
            <w:r>
              <w:rPr>
                <w:rFonts w:ascii="宋体" w:eastAsia="宋体" w:hAnsi="宋体" w:cs="宋体"/>
                <w:color w:val="0000FF"/>
                <w:kern w:val="2"/>
                <w:sz w:val="21"/>
                <w:szCs w:val="21"/>
                <w:lang w:eastAsia="zh-CN"/>
              </w:rPr>
              <w:t>: **；颁</w:t>
            </w:r>
            <w:r>
              <w:rPr>
                <w:rFonts w:ascii="宋体" w:eastAsia="宋体" w:hAnsi="宋体" w:cs="宋体" w:hint="eastAsia"/>
                <w:color w:val="0000FF"/>
                <w:kern w:val="2"/>
                <w:sz w:val="21"/>
                <w:szCs w:val="21"/>
                <w:lang w:eastAsia="zh-CN"/>
              </w:rPr>
              <w:t>发</w:t>
            </w:r>
            <w:r>
              <w:rPr>
                <w:rFonts w:ascii="宋体" w:eastAsia="宋体" w:hAnsi="宋体" w:cs="宋体"/>
                <w:color w:val="0000FF"/>
                <w:kern w:val="2"/>
                <w:sz w:val="21"/>
                <w:szCs w:val="21"/>
                <w:lang w:eastAsia="zh-CN"/>
              </w:rPr>
              <w:t>单位: **；</w:t>
            </w:r>
            <w:r>
              <w:rPr>
                <w:rFonts w:ascii="宋体" w:eastAsia="宋体" w:hAnsi="宋体" w:cs="宋体" w:hint="eastAsia"/>
                <w:color w:val="0000FF"/>
                <w:kern w:val="2"/>
                <w:sz w:val="21"/>
                <w:szCs w:val="21"/>
                <w:lang w:eastAsia="zh-CN"/>
              </w:rPr>
              <w:t>评价</w:t>
            </w:r>
            <w:r>
              <w:rPr>
                <w:rFonts w:ascii="宋体" w:eastAsia="宋体" w:hAnsi="宋体" w:cs="宋体"/>
                <w:color w:val="0000FF"/>
                <w:kern w:val="2"/>
                <w:sz w:val="21"/>
                <w:szCs w:val="21"/>
                <w:lang w:eastAsia="zh-CN"/>
              </w:rPr>
              <w:t>时间：**年**月**日</w:t>
            </w:r>
            <w:r>
              <w:rPr>
                <w:rFonts w:ascii="宋体" w:eastAsia="宋体" w:hAnsi="宋体" w:cs="宋体" w:hint="eastAsia"/>
                <w:color w:val="0000FF"/>
                <w:kern w:val="2"/>
                <w:sz w:val="21"/>
                <w:szCs w:val="21"/>
                <w:lang w:eastAsia="zh-CN"/>
              </w:rPr>
              <w:t xml:space="preserve"> </w:t>
            </w:r>
          </w:p>
        </w:tc>
      </w:tr>
    </w:tbl>
    <w:p w14:paraId="5FA847E3">
      <w:pPr>
        <w:widowControl w:val="0"/>
        <w:spacing w:before="0" w:after="0" w:line="360" w:lineRule="atLeast"/>
        <w:ind w:firstLine="482"/>
        <w:jc w:val="both"/>
        <w:rPr>
          <w:rFonts w:ascii="等线" w:eastAsia="等线" w:hAnsi="等线"/>
          <w:kern w:val="2"/>
          <w:sz w:val="21"/>
          <w:szCs w:val="22"/>
          <w:lang w:eastAsia="zh-CN"/>
        </w:rPr>
      </w:pPr>
      <w:r>
        <w:rPr>
          <w:rFonts w:ascii="宋体" w:eastAsia="宋体" w:hAnsi="宋体" w:cs="宋体"/>
          <w:color w:val="0000FF"/>
          <w:kern w:val="2"/>
          <w:sz w:val="21"/>
          <w:szCs w:val="21"/>
          <w:lang w:eastAsia="zh-CN"/>
        </w:rPr>
        <w:t>注：</w:t>
      </w:r>
      <w:r>
        <w:rPr>
          <w:rFonts w:ascii="宋体" w:eastAsia="宋体" w:hAnsi="宋体" w:cs="宋体" w:hint="eastAsia"/>
          <w:color w:val="000000"/>
          <w:kern w:val="2"/>
          <w:sz w:val="21"/>
          <w:szCs w:val="21"/>
          <w:lang w:eastAsia="zh-CN"/>
        </w:rPr>
        <w:t>投标人应按《</w:t>
      </w:r>
      <w:r>
        <w:rPr>
          <w:rFonts w:ascii="宋体" w:eastAsia="宋体" w:hAnsi="宋体" w:cs="宋体" w:hint="eastAsia"/>
          <w:color w:val="000000"/>
          <w:kern w:val="2"/>
          <w:sz w:val="21"/>
          <w:szCs w:val="21"/>
          <w:lang w:eastAsia="zh-CN"/>
        </w:rPr>
        <w:t>资信标要求一览表</w:t>
      </w:r>
      <w:r>
        <w:rPr>
          <w:rFonts w:ascii="宋体" w:eastAsia="宋体" w:hAnsi="宋体" w:cs="宋体" w:hint="eastAsia"/>
          <w:color w:val="000000"/>
          <w:kern w:val="2"/>
          <w:sz w:val="21"/>
          <w:szCs w:val="21"/>
          <w:lang w:eastAsia="zh-CN"/>
        </w:rPr>
        <w:t>》要求提供相关证明材料扫描件（原件备查）。</w:t>
      </w:r>
    </w:p>
    <w:p w14:paraId="19CA3595">
      <w:pPr>
        <w:widowControl w:val="0"/>
        <w:spacing w:before="0" w:after="0"/>
        <w:jc w:val="both"/>
        <w:rPr>
          <w:rFonts w:ascii="等线" w:eastAsia="等线" w:hAnsi="等线"/>
          <w:kern w:val="2"/>
          <w:sz w:val="21"/>
          <w:szCs w:val="22"/>
          <w:lang w:eastAsia="zh-CN"/>
        </w:rPr>
      </w:pPr>
    </w:p>
    <w:p w14:paraId="272750A7">
      <w:pPr>
        <w:widowControl w:val="0"/>
        <w:numPr>
          <w:ilvl w:val="0"/>
          <w:numId w:val="0"/>
        </w:numPr>
        <w:ind w:left="0" w:firstLine="0"/>
        <w:jc w:val="both"/>
        <w:rPr>
          <w:rFonts w:ascii="等线" w:eastAsia="等线" w:hAnsi="等线" w:hint="eastAsia"/>
          <w:kern w:val="2"/>
          <w:sz w:val="21"/>
          <w:szCs w:val="22"/>
          <w:lang w:val="zh-CN"/>
        </w:rPr>
      </w:pPr>
    </w:p>
    <w:p w14:paraId="161C0F0B">
      <w:pPr>
        <w:widowControl w:val="0"/>
        <w:numPr>
          <w:ilvl w:val="0"/>
          <w:numId w:val="0"/>
        </w:numPr>
        <w:ind w:left="0" w:firstLine="0"/>
        <w:jc w:val="both"/>
        <w:rPr>
          <w:rFonts w:ascii="等线" w:eastAsia="等线" w:hAnsi="等线" w:hint="eastAsia"/>
          <w:kern w:val="2"/>
          <w:sz w:val="21"/>
          <w:szCs w:val="22"/>
          <w:lang w:val="zh-CN"/>
        </w:rPr>
      </w:pPr>
    </w:p>
    <w:p w14:paraId="178403A6">
      <w:pPr>
        <w:widowControl w:val="0"/>
        <w:numPr>
          <w:ilvl w:val="0"/>
          <w:numId w:val="0"/>
        </w:numPr>
        <w:ind w:left="0" w:firstLine="0"/>
        <w:jc w:val="both"/>
        <w:rPr>
          <w:rFonts w:ascii="等线" w:eastAsia="等线" w:hAnsi="等线" w:hint="eastAsia"/>
          <w:kern w:val="2"/>
          <w:sz w:val="21"/>
          <w:szCs w:val="22"/>
          <w:lang w:val="zh-CN"/>
        </w:rPr>
      </w:pPr>
    </w:p>
    <w:p w14:paraId="11C38A33">
      <w:pPr>
        <w:widowControl w:val="0"/>
        <w:numPr>
          <w:ilvl w:val="0"/>
          <w:numId w:val="0"/>
        </w:numPr>
        <w:ind w:left="0" w:firstLine="0"/>
        <w:jc w:val="both"/>
        <w:rPr>
          <w:rFonts w:ascii="等线" w:eastAsia="等线" w:hAnsi="等线" w:hint="eastAsia"/>
          <w:kern w:val="2"/>
          <w:sz w:val="21"/>
          <w:szCs w:val="22"/>
          <w:lang w:val="zh-CN"/>
        </w:rPr>
      </w:pPr>
    </w:p>
    <w:p w14:paraId="7D2193E2">
      <w:pPr>
        <w:widowControl w:val="0"/>
        <w:numPr>
          <w:ilvl w:val="0"/>
          <w:numId w:val="0"/>
        </w:numPr>
        <w:adjustRightInd w:val="0"/>
        <w:spacing w:line="360" w:lineRule="atLeast"/>
        <w:ind w:left="0" w:firstLine="0"/>
        <w:jc w:val="center"/>
        <w:textAlignment w:val="baseline"/>
        <w:rPr>
          <w:rFonts w:ascii="宋体" w:eastAsia="宋体" w:hAnsi="宋体" w:cs="宋体" w:hint="eastAsia"/>
          <w:b/>
          <w:bCs/>
          <w:color w:val="0000FF"/>
          <w:sz w:val="30"/>
          <w:szCs w:val="30"/>
          <w:lang w:val="zh-CN"/>
        </w:rPr>
      </w:pPr>
      <w:r>
        <w:rPr>
          <w:rFonts w:ascii="宋体" w:eastAsia="宋体" w:hAnsi="宋体" w:cs="宋体" w:hint="eastAsia"/>
          <w:b/>
          <w:bCs/>
          <w:color w:val="0000FF"/>
          <w:sz w:val="30"/>
          <w:szCs w:val="30"/>
          <w:lang w:eastAsia="zh-CN"/>
        </w:rPr>
        <w:t>5</w:t>
      </w:r>
      <w:r>
        <w:rPr>
          <w:rFonts w:ascii="宋体" w:eastAsia="宋体" w:hAnsi="宋体" w:cs="宋体" w:hint="eastAsia"/>
          <w:b/>
          <w:bCs/>
          <w:color w:val="0000FF"/>
          <w:sz w:val="30"/>
          <w:szCs w:val="30"/>
          <w:lang w:val="zh-CN"/>
        </w:rPr>
        <w:t>、投标人获得荣誉情况</w:t>
      </w:r>
    </w:p>
    <w:p w14:paraId="5D4D9905">
      <w:pPr>
        <w:widowControl w:val="0"/>
        <w:spacing w:before="0" w:after="160" w:line="300" w:lineRule="auto"/>
        <w:jc w:val="both"/>
        <w:rPr>
          <w:rFonts w:ascii="等线" w:eastAsia="等线" w:hAnsi="等线"/>
          <w:kern w:val="2"/>
          <w:sz w:val="21"/>
          <w:szCs w:val="22"/>
          <w:lang w:eastAsia="zh-CN"/>
        </w:rPr>
      </w:pPr>
    </w:p>
    <w:tbl>
      <w:tblPr>
        <w:tblStyle w:val="TableNormal"/>
        <w:tblW w:w="5000" w:type="pct"/>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
      <w:tblGrid>
        <w:gridCol w:w="9515"/>
      </w:tblGrid>
      <w:tr w14:paraId="660A541E">
        <w:tblPrEx>
          <w:tblW w:w="5000" w:type="pct"/>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Ex>
        <w:trPr>
          <w:trHeight w:val="1452"/>
        </w:trPr>
        <w:tc>
          <w:tcPr>
            <w:tcW w:w="9515" w:type="dxa"/>
            <w:tcBorders>
              <w:bottom w:val="single" w:sz="4" w:space="0" w:color="000000"/>
            </w:tcBorders>
            <w:noWrap w:val="0"/>
            <w:tcMar>
              <w:top w:w="15" w:type="dxa"/>
              <w:left w:w="108" w:type="dxa"/>
              <w:bottom w:w="15" w:type="dxa"/>
              <w:right w:w="108" w:type="dxa"/>
            </w:tcMar>
            <w:vAlign w:val="center"/>
          </w:tcPr>
          <w:p w14:paraId="707EDCD4">
            <w:pPr>
              <w:widowControl w:val="0"/>
              <w:spacing w:before="0" w:after="160" w:line="312" w:lineRule="auto"/>
              <w:jc w:val="both"/>
              <w:rPr>
                <w:rFonts w:ascii="等线" w:eastAsia="宋体" w:hAnsi="等线" w:hint="eastAsia"/>
                <w:color w:val="000000"/>
                <w:kern w:val="2"/>
                <w:sz w:val="21"/>
                <w:szCs w:val="21"/>
                <w:lang w:eastAsia="zh-CN"/>
              </w:rPr>
            </w:pPr>
            <w:r>
              <w:rPr>
                <w:rFonts w:ascii="宋体" w:eastAsia="宋体" w:hAnsi="宋体" w:cs="宋体" w:hint="eastAsia"/>
                <w:color w:val="0000FF"/>
                <w:spacing w:val="2"/>
                <w:kern w:val="2"/>
                <w:sz w:val="21"/>
                <w:szCs w:val="21"/>
                <w:lang w:eastAsia="zh-CN"/>
              </w:rPr>
              <w:t>获奖</w:t>
            </w:r>
            <w:r>
              <w:rPr>
                <w:rFonts w:ascii="宋体" w:eastAsia="宋体" w:hAnsi="宋体" w:cs="宋体"/>
                <w:color w:val="0000FF"/>
                <w:spacing w:val="2"/>
                <w:kern w:val="2"/>
                <w:sz w:val="21"/>
                <w:szCs w:val="21"/>
                <w:lang w:eastAsia="zh-CN"/>
              </w:rPr>
              <w:t>单位名称：</w:t>
            </w:r>
            <w:r>
              <w:rPr>
                <w:rFonts w:ascii="宋体" w:eastAsia="宋体" w:hAnsi="宋体" w:cs="宋体"/>
                <w:color w:val="0000FF"/>
                <w:kern w:val="2"/>
                <w:sz w:val="21"/>
                <w:szCs w:val="21"/>
                <w:lang w:eastAsia="zh-CN"/>
              </w:rPr>
              <w:t>**；</w:t>
            </w:r>
            <w:r>
              <w:rPr>
                <w:rFonts w:ascii="宋体" w:eastAsia="宋体" w:hAnsi="宋体" w:cs="宋体" w:hint="eastAsia"/>
                <w:color w:val="0000FF"/>
                <w:kern w:val="2"/>
                <w:sz w:val="21"/>
                <w:szCs w:val="21"/>
                <w:lang w:eastAsia="zh-CN"/>
              </w:rPr>
              <w:t>荣誉称号</w:t>
            </w:r>
            <w:r>
              <w:rPr>
                <w:rFonts w:ascii="宋体" w:eastAsia="宋体" w:hAnsi="宋体" w:cs="宋体"/>
                <w:color w:val="0000FF"/>
                <w:kern w:val="2"/>
                <w:sz w:val="21"/>
                <w:szCs w:val="21"/>
                <w:lang w:eastAsia="zh-CN"/>
              </w:rPr>
              <w:t>: **；颁</w:t>
            </w:r>
            <w:r>
              <w:rPr>
                <w:rFonts w:ascii="宋体" w:eastAsia="宋体" w:hAnsi="宋体" w:cs="宋体" w:hint="eastAsia"/>
                <w:color w:val="0000FF"/>
                <w:kern w:val="2"/>
                <w:sz w:val="21"/>
                <w:szCs w:val="21"/>
                <w:lang w:eastAsia="zh-CN"/>
              </w:rPr>
              <w:t>发</w:t>
            </w:r>
            <w:r>
              <w:rPr>
                <w:rFonts w:ascii="宋体" w:eastAsia="宋体" w:hAnsi="宋体" w:cs="宋体"/>
                <w:color w:val="0000FF"/>
                <w:kern w:val="2"/>
                <w:sz w:val="21"/>
                <w:szCs w:val="21"/>
                <w:lang w:eastAsia="zh-CN"/>
              </w:rPr>
              <w:t>单位: **；</w:t>
            </w:r>
            <w:r>
              <w:rPr>
                <w:rFonts w:ascii="宋体" w:eastAsia="宋体" w:hAnsi="宋体" w:cs="宋体" w:hint="eastAsia"/>
                <w:color w:val="0000FF"/>
                <w:kern w:val="2"/>
                <w:sz w:val="21"/>
                <w:szCs w:val="21"/>
                <w:lang w:eastAsia="zh-CN"/>
              </w:rPr>
              <w:t>获奖</w:t>
            </w:r>
            <w:r>
              <w:rPr>
                <w:rFonts w:ascii="宋体" w:eastAsia="宋体" w:hAnsi="宋体" w:cs="宋体"/>
                <w:color w:val="0000FF"/>
                <w:kern w:val="2"/>
                <w:sz w:val="21"/>
                <w:szCs w:val="21"/>
                <w:lang w:eastAsia="zh-CN"/>
              </w:rPr>
              <w:t>时间：**年**月**日</w:t>
            </w:r>
            <w:r>
              <w:rPr>
                <w:rFonts w:ascii="宋体" w:eastAsia="宋体" w:hAnsi="宋体" w:cs="宋体" w:hint="eastAsia"/>
                <w:color w:val="0000FF"/>
                <w:kern w:val="2"/>
                <w:sz w:val="21"/>
                <w:szCs w:val="21"/>
                <w:lang w:eastAsia="zh-CN"/>
              </w:rPr>
              <w:t xml:space="preserve"> </w:t>
            </w:r>
          </w:p>
        </w:tc>
      </w:tr>
    </w:tbl>
    <w:p w14:paraId="5F656A77">
      <w:pPr>
        <w:widowControl w:val="0"/>
        <w:spacing w:before="0" w:after="0" w:line="360" w:lineRule="atLeast"/>
        <w:ind w:firstLine="482"/>
        <w:jc w:val="both"/>
        <w:rPr>
          <w:rFonts w:ascii="等线" w:eastAsia="等线" w:hAnsi="等线"/>
          <w:kern w:val="2"/>
          <w:sz w:val="21"/>
          <w:szCs w:val="22"/>
          <w:lang w:eastAsia="zh-CN"/>
        </w:rPr>
      </w:pPr>
      <w:r>
        <w:rPr>
          <w:rFonts w:ascii="宋体" w:eastAsia="宋体" w:hAnsi="宋体" w:cs="宋体"/>
          <w:color w:val="0000FF"/>
          <w:kern w:val="2"/>
          <w:sz w:val="21"/>
          <w:szCs w:val="21"/>
          <w:lang w:eastAsia="zh-CN"/>
        </w:rPr>
        <w:t>注：</w:t>
      </w:r>
      <w:r>
        <w:rPr>
          <w:rFonts w:ascii="宋体" w:eastAsia="宋体" w:hAnsi="宋体" w:cs="宋体" w:hint="eastAsia"/>
          <w:color w:val="000000"/>
          <w:kern w:val="2"/>
          <w:sz w:val="21"/>
          <w:szCs w:val="21"/>
          <w:lang w:eastAsia="zh-CN"/>
        </w:rPr>
        <w:t>投标人应按《</w:t>
      </w:r>
      <w:r>
        <w:rPr>
          <w:rFonts w:ascii="宋体" w:eastAsia="宋体" w:hAnsi="宋体" w:cs="宋体" w:hint="eastAsia"/>
          <w:color w:val="000000"/>
          <w:kern w:val="2"/>
          <w:sz w:val="21"/>
          <w:szCs w:val="21"/>
          <w:lang w:eastAsia="zh-CN"/>
        </w:rPr>
        <w:t>资信标要求一览表</w:t>
      </w:r>
      <w:r>
        <w:rPr>
          <w:rFonts w:ascii="宋体" w:eastAsia="宋体" w:hAnsi="宋体" w:cs="宋体" w:hint="eastAsia"/>
          <w:color w:val="000000"/>
          <w:kern w:val="2"/>
          <w:sz w:val="21"/>
          <w:szCs w:val="21"/>
          <w:lang w:eastAsia="zh-CN"/>
        </w:rPr>
        <w:t>》要求提供相关证明材料扫描件（原件备查）。</w:t>
      </w:r>
    </w:p>
    <w:p w14:paraId="44603169">
      <w:pPr>
        <w:widowControl w:val="0"/>
        <w:spacing w:before="0" w:after="0"/>
        <w:jc w:val="both"/>
        <w:rPr>
          <w:rFonts w:ascii="等线" w:eastAsia="等线" w:hAnsi="等线"/>
          <w:kern w:val="2"/>
          <w:sz w:val="21"/>
          <w:szCs w:val="22"/>
          <w:lang w:eastAsia="zh-CN"/>
        </w:rPr>
      </w:pPr>
    </w:p>
    <w:p w14:paraId="4546B86F">
      <w:pPr>
        <w:widowControl w:val="0"/>
        <w:numPr>
          <w:ilvl w:val="0"/>
          <w:numId w:val="0"/>
        </w:numPr>
        <w:ind w:left="0" w:firstLine="0"/>
        <w:jc w:val="both"/>
        <w:rPr>
          <w:rFonts w:ascii="等线" w:eastAsia="等线" w:hAnsi="等线" w:hint="eastAsia"/>
          <w:kern w:val="2"/>
          <w:sz w:val="21"/>
          <w:szCs w:val="22"/>
          <w:lang w:val="zh-CN"/>
        </w:rPr>
      </w:pPr>
    </w:p>
    <w:p w14:paraId="20261EDE">
      <w:pPr>
        <w:widowControl w:val="0"/>
        <w:numPr>
          <w:ilvl w:val="0"/>
          <w:numId w:val="0"/>
        </w:numPr>
        <w:adjustRightInd w:val="0"/>
        <w:spacing w:line="360" w:lineRule="atLeast"/>
        <w:ind w:left="0" w:firstLine="0"/>
        <w:jc w:val="center"/>
        <w:textAlignment w:val="baseline"/>
        <w:rPr>
          <w:rFonts w:ascii="宋体" w:eastAsia="宋体" w:hAnsi="宋体" w:cs="宋体" w:hint="eastAsia"/>
          <w:b/>
          <w:bCs/>
          <w:color w:val="0000FF"/>
          <w:sz w:val="30"/>
          <w:szCs w:val="30"/>
          <w:lang w:val="zh-CN"/>
        </w:rPr>
      </w:pPr>
    </w:p>
    <w:p w14:paraId="3BE61971">
      <w:pPr>
        <w:widowControl w:val="0"/>
        <w:numPr>
          <w:ilvl w:val="0"/>
          <w:numId w:val="0"/>
        </w:numPr>
        <w:adjustRightInd w:val="0"/>
        <w:spacing w:line="360" w:lineRule="atLeast"/>
        <w:ind w:left="0" w:firstLine="0"/>
        <w:jc w:val="center"/>
        <w:textAlignment w:val="baseline"/>
        <w:rPr>
          <w:rFonts w:ascii="宋体" w:eastAsia="宋体" w:hAnsi="宋体" w:cs="宋体" w:hint="eastAsia"/>
          <w:b/>
          <w:bCs/>
          <w:color w:val="0000FF"/>
          <w:sz w:val="30"/>
          <w:szCs w:val="30"/>
          <w:lang w:val="zh-CN"/>
        </w:rPr>
      </w:pPr>
      <w:r>
        <w:rPr>
          <w:rFonts w:ascii="宋体" w:eastAsia="宋体" w:hAnsi="宋体" w:cs="宋体" w:hint="eastAsia"/>
          <w:b/>
          <w:bCs/>
          <w:color w:val="0000FF"/>
          <w:sz w:val="30"/>
          <w:szCs w:val="30"/>
          <w:lang w:eastAsia="zh-CN"/>
        </w:rPr>
        <w:t>6、</w:t>
      </w:r>
      <w:r>
        <w:rPr>
          <w:rFonts w:ascii="宋体" w:eastAsia="宋体" w:hAnsi="宋体" w:cs="宋体" w:hint="eastAsia"/>
          <w:b/>
          <w:bCs/>
          <w:color w:val="0000FF"/>
          <w:sz w:val="30"/>
          <w:szCs w:val="30"/>
          <w:lang w:val="zh-CN"/>
        </w:rPr>
        <w:t>拟派项目团队人员情况</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9"/>
        <w:gridCol w:w="1066"/>
        <w:gridCol w:w="2361"/>
        <w:gridCol w:w="1557"/>
        <w:gridCol w:w="1307"/>
        <w:gridCol w:w="1489"/>
        <w:gridCol w:w="876"/>
      </w:tblGrid>
      <w:tr w14:paraId="543E7E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33"/>
          <w:jc w:val="center"/>
        </w:trPr>
        <w:tc>
          <w:tcPr>
            <w:tcW w:w="9296" w:type="dxa"/>
            <w:gridSpan w:val="7"/>
            <w:tcBorders>
              <w:top w:val="single" w:sz="4" w:space="0" w:color="auto"/>
              <w:left w:val="single" w:sz="4" w:space="0" w:color="auto"/>
              <w:bottom w:val="single" w:sz="4" w:space="0" w:color="auto"/>
              <w:right w:val="single" w:sz="4" w:space="0" w:color="auto"/>
            </w:tcBorders>
            <w:noWrap w:val="0"/>
            <w:vAlign w:val="center"/>
          </w:tcPr>
          <w:p w14:paraId="6BE8758F">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bCs/>
                <w:kern w:val="2"/>
                <w:sz w:val="21"/>
                <w:szCs w:val="21"/>
                <w:lang w:eastAsia="zh-CN"/>
              </w:rPr>
            </w:pPr>
            <w:r>
              <w:rPr>
                <w:rFonts w:ascii="宋体" w:eastAsia="宋体" w:hAnsi="宋体" w:cs="宋体" w:hint="eastAsia"/>
                <w:bCs/>
                <w:color w:val="000000"/>
                <w:spacing w:val="2"/>
                <w:kern w:val="2"/>
                <w:sz w:val="21"/>
                <w:szCs w:val="21"/>
                <w:lang w:eastAsia="zh-CN"/>
              </w:rPr>
              <w:t>投标人名称：</w:t>
            </w:r>
          </w:p>
        </w:tc>
      </w:tr>
      <w:tr w14:paraId="7ED8426C">
        <w:tblPrEx>
          <w:tblW w:w="5000" w:type="pct"/>
          <w:jc w:val="center"/>
          <w:tblLayout w:type="fixed"/>
          <w:tblCellMar>
            <w:top w:w="0" w:type="dxa"/>
            <w:left w:w="108" w:type="dxa"/>
            <w:bottom w:w="0" w:type="dxa"/>
            <w:right w:w="108" w:type="dxa"/>
          </w:tblCellMar>
        </w:tblPrEx>
        <w:trPr>
          <w:trHeight w:hRule="exact" w:val="533"/>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1A7E8951">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序号</w:t>
            </w:r>
          </w:p>
        </w:tc>
        <w:tc>
          <w:tcPr>
            <w:tcW w:w="1041" w:type="dxa"/>
            <w:tcBorders>
              <w:top w:val="single" w:sz="4" w:space="0" w:color="auto"/>
              <w:left w:val="single" w:sz="4" w:space="0" w:color="auto"/>
              <w:bottom w:val="single" w:sz="4" w:space="0" w:color="auto"/>
              <w:right w:val="single" w:sz="4" w:space="0" w:color="auto"/>
            </w:tcBorders>
            <w:noWrap w:val="0"/>
            <w:vAlign w:val="center"/>
          </w:tcPr>
          <w:p w14:paraId="7CEF8FA7">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姓名</w:t>
            </w:r>
          </w:p>
        </w:tc>
        <w:tc>
          <w:tcPr>
            <w:tcW w:w="2307" w:type="dxa"/>
            <w:tcBorders>
              <w:top w:val="single" w:sz="4" w:space="0" w:color="auto"/>
              <w:left w:val="single" w:sz="4" w:space="0" w:color="auto"/>
              <w:bottom w:val="single" w:sz="4" w:space="0" w:color="auto"/>
              <w:right w:val="single" w:sz="4" w:space="0" w:color="auto"/>
            </w:tcBorders>
            <w:noWrap w:val="0"/>
            <w:vAlign w:val="center"/>
          </w:tcPr>
          <w:p w14:paraId="205213F9">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拟任岗位</w:t>
            </w:r>
          </w:p>
        </w:tc>
        <w:tc>
          <w:tcPr>
            <w:tcW w:w="1521" w:type="dxa"/>
            <w:tcBorders>
              <w:top w:val="single" w:sz="4" w:space="0" w:color="auto"/>
              <w:left w:val="single" w:sz="4" w:space="0" w:color="auto"/>
              <w:bottom w:val="single" w:sz="4" w:space="0" w:color="auto"/>
              <w:right w:val="single" w:sz="4" w:space="0" w:color="auto"/>
            </w:tcBorders>
            <w:noWrap w:val="0"/>
            <w:vAlign w:val="center"/>
          </w:tcPr>
          <w:p w14:paraId="56F8864A">
            <w:pPr>
              <w:keepNext w:val="0"/>
              <w:keepLines w:val="0"/>
              <w:widowControl w:val="0"/>
              <w:suppressLineNumbers w:val="0"/>
              <w:adjustRightInd w:val="0"/>
              <w:snapToGrid w:val="0"/>
              <w:spacing w:before="0" w:beforeAutospacing="0" w:after="160" w:afterAutospacing="0"/>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资格（或职称）证书</w:t>
            </w:r>
          </w:p>
        </w:tc>
        <w:tc>
          <w:tcPr>
            <w:tcW w:w="1277" w:type="dxa"/>
            <w:tcBorders>
              <w:top w:val="single" w:sz="4" w:space="0" w:color="auto"/>
              <w:left w:val="single" w:sz="4" w:space="0" w:color="auto"/>
              <w:bottom w:val="single" w:sz="4" w:space="0" w:color="auto"/>
              <w:right w:val="single" w:sz="4" w:space="0" w:color="auto"/>
            </w:tcBorders>
            <w:noWrap w:val="0"/>
            <w:vAlign w:val="center"/>
          </w:tcPr>
          <w:p w14:paraId="2A963911">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证书专业</w:t>
            </w:r>
          </w:p>
        </w:tc>
        <w:tc>
          <w:tcPr>
            <w:tcW w:w="1455" w:type="dxa"/>
            <w:tcBorders>
              <w:top w:val="single" w:sz="4" w:space="0" w:color="auto"/>
              <w:left w:val="single" w:sz="4" w:space="0" w:color="auto"/>
              <w:bottom w:val="single" w:sz="4" w:space="0" w:color="auto"/>
              <w:right w:val="single" w:sz="4" w:space="0" w:color="auto"/>
            </w:tcBorders>
            <w:noWrap w:val="0"/>
            <w:vAlign w:val="center"/>
          </w:tcPr>
          <w:p w14:paraId="7B60784E">
            <w:pPr>
              <w:keepNext w:val="0"/>
              <w:keepLines w:val="0"/>
              <w:widowControl w:val="0"/>
              <w:suppressLineNumbers w:val="0"/>
              <w:adjustRightInd w:val="0"/>
              <w:snapToGrid w:val="0"/>
              <w:spacing w:before="0" w:beforeAutospacing="0" w:after="0" w:afterAutospacing="0"/>
              <w:ind w:left="0" w:right="0"/>
              <w:jc w:val="center"/>
              <w:rPr>
                <w:rFonts w:ascii="宋体" w:eastAsia="宋体" w:hAnsi="宋体" w:cs="宋体"/>
                <w:bCs/>
                <w:kern w:val="2"/>
                <w:sz w:val="21"/>
                <w:szCs w:val="21"/>
                <w:lang w:eastAsia="zh-CN"/>
              </w:rPr>
            </w:pPr>
            <w:r>
              <w:rPr>
                <w:rFonts w:ascii="宋体" w:eastAsia="宋体" w:hAnsi="宋体" w:cs="宋体" w:hint="eastAsia"/>
                <w:bCs/>
                <w:kern w:val="2"/>
                <w:sz w:val="21"/>
                <w:szCs w:val="21"/>
                <w:lang w:eastAsia="zh-CN"/>
              </w:rPr>
              <w:t>社保月份</w:t>
            </w:r>
          </w:p>
        </w:tc>
        <w:tc>
          <w:tcPr>
            <w:tcW w:w="856" w:type="dxa"/>
            <w:tcBorders>
              <w:top w:val="single" w:sz="4" w:space="0" w:color="auto"/>
              <w:left w:val="single" w:sz="4" w:space="0" w:color="auto"/>
              <w:bottom w:val="single" w:sz="4" w:space="0" w:color="auto"/>
              <w:right w:val="single" w:sz="4" w:space="0" w:color="auto"/>
            </w:tcBorders>
            <w:noWrap w:val="0"/>
            <w:vAlign w:val="center"/>
          </w:tcPr>
          <w:p w14:paraId="02E3E23E">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备注</w:t>
            </w:r>
          </w:p>
        </w:tc>
      </w:tr>
      <w:tr w14:paraId="3F3FCC69">
        <w:tblPrEx>
          <w:tblW w:w="5000" w:type="pct"/>
          <w:jc w:val="center"/>
          <w:tblLayout w:type="fixed"/>
          <w:tblCellMar>
            <w:top w:w="0" w:type="dxa"/>
            <w:left w:w="108" w:type="dxa"/>
            <w:bottom w:w="0" w:type="dxa"/>
            <w:right w:w="108" w:type="dxa"/>
          </w:tblCellMar>
        </w:tblPrEx>
        <w:trPr>
          <w:trHeight w:hRule="exact" w:val="340"/>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1D31AA53">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041" w:type="dxa"/>
            <w:tcBorders>
              <w:top w:val="single" w:sz="4" w:space="0" w:color="auto"/>
              <w:left w:val="single" w:sz="4" w:space="0" w:color="auto"/>
              <w:bottom w:val="single" w:sz="4" w:space="0" w:color="auto"/>
              <w:right w:val="single" w:sz="4" w:space="0" w:color="auto"/>
            </w:tcBorders>
            <w:noWrap w:val="0"/>
            <w:vAlign w:val="center"/>
          </w:tcPr>
          <w:p w14:paraId="0BC7A940">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p>
        </w:tc>
        <w:tc>
          <w:tcPr>
            <w:tcW w:w="2307" w:type="dxa"/>
            <w:tcBorders>
              <w:top w:val="single" w:sz="4" w:space="0" w:color="auto"/>
              <w:left w:val="single" w:sz="4" w:space="0" w:color="auto"/>
              <w:bottom w:val="single" w:sz="4" w:space="0" w:color="auto"/>
              <w:right w:val="single" w:sz="4" w:space="0" w:color="auto"/>
            </w:tcBorders>
            <w:noWrap w:val="0"/>
            <w:vAlign w:val="bottom"/>
          </w:tcPr>
          <w:p w14:paraId="5F8BB067">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kern w:val="2"/>
                <w:sz w:val="21"/>
                <w:szCs w:val="21"/>
                <w:lang w:eastAsia="zh-CN"/>
              </w:rPr>
            </w:pPr>
          </w:p>
        </w:tc>
        <w:tc>
          <w:tcPr>
            <w:tcW w:w="1521" w:type="dxa"/>
            <w:tcBorders>
              <w:top w:val="single" w:sz="4" w:space="0" w:color="auto"/>
              <w:left w:val="single" w:sz="4" w:space="0" w:color="auto"/>
              <w:bottom w:val="single" w:sz="4" w:space="0" w:color="auto"/>
              <w:right w:val="single" w:sz="4" w:space="0" w:color="auto"/>
            </w:tcBorders>
            <w:noWrap w:val="0"/>
            <w:vAlign w:val="center"/>
          </w:tcPr>
          <w:p w14:paraId="7AA3A53E">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277" w:type="dxa"/>
            <w:tcBorders>
              <w:top w:val="single" w:sz="4" w:space="0" w:color="auto"/>
              <w:left w:val="single" w:sz="4" w:space="0" w:color="auto"/>
              <w:bottom w:val="single" w:sz="4" w:space="0" w:color="auto"/>
              <w:right w:val="single" w:sz="4" w:space="0" w:color="auto"/>
            </w:tcBorders>
            <w:noWrap w:val="0"/>
            <w:vAlign w:val="center"/>
          </w:tcPr>
          <w:p w14:paraId="0A5ECCEE">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455" w:type="dxa"/>
            <w:tcBorders>
              <w:top w:val="single" w:sz="4" w:space="0" w:color="auto"/>
              <w:left w:val="single" w:sz="4" w:space="0" w:color="auto"/>
              <w:bottom w:val="single" w:sz="4" w:space="0" w:color="auto"/>
              <w:right w:val="single" w:sz="4" w:space="0" w:color="auto"/>
            </w:tcBorders>
            <w:noWrap w:val="0"/>
            <w:vAlign w:val="center"/>
          </w:tcPr>
          <w:p w14:paraId="74511069">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856" w:type="dxa"/>
            <w:tcBorders>
              <w:top w:val="single" w:sz="4" w:space="0" w:color="auto"/>
              <w:left w:val="single" w:sz="4" w:space="0" w:color="auto"/>
              <w:bottom w:val="single" w:sz="4" w:space="0" w:color="auto"/>
              <w:right w:val="single" w:sz="4" w:space="0" w:color="auto"/>
            </w:tcBorders>
            <w:noWrap w:val="0"/>
            <w:vAlign w:val="center"/>
          </w:tcPr>
          <w:p w14:paraId="1B382D34">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r>
      <w:tr w14:paraId="59FE1D4D">
        <w:tblPrEx>
          <w:tblW w:w="5000" w:type="pct"/>
          <w:jc w:val="center"/>
          <w:tblLayout w:type="fixed"/>
          <w:tblCellMar>
            <w:top w:w="0" w:type="dxa"/>
            <w:left w:w="108" w:type="dxa"/>
            <w:bottom w:w="0" w:type="dxa"/>
            <w:right w:w="108" w:type="dxa"/>
          </w:tblCellMar>
        </w:tblPrEx>
        <w:trPr>
          <w:trHeight w:hRule="exact" w:val="340"/>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7BAAC55F">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041" w:type="dxa"/>
            <w:tcBorders>
              <w:top w:val="single" w:sz="4" w:space="0" w:color="auto"/>
              <w:left w:val="single" w:sz="4" w:space="0" w:color="auto"/>
              <w:bottom w:val="single" w:sz="4" w:space="0" w:color="auto"/>
              <w:right w:val="single" w:sz="4" w:space="0" w:color="auto"/>
            </w:tcBorders>
            <w:noWrap w:val="0"/>
            <w:vAlign w:val="center"/>
          </w:tcPr>
          <w:p w14:paraId="4BCE2AB8">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p>
        </w:tc>
        <w:tc>
          <w:tcPr>
            <w:tcW w:w="2307" w:type="dxa"/>
            <w:tcBorders>
              <w:top w:val="single" w:sz="4" w:space="0" w:color="auto"/>
              <w:left w:val="single" w:sz="4" w:space="0" w:color="auto"/>
              <w:bottom w:val="single" w:sz="4" w:space="0" w:color="auto"/>
              <w:right w:val="single" w:sz="4" w:space="0" w:color="auto"/>
            </w:tcBorders>
            <w:noWrap w:val="0"/>
            <w:vAlign w:val="bottom"/>
          </w:tcPr>
          <w:p w14:paraId="0F9ED1AE">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kern w:val="2"/>
                <w:sz w:val="21"/>
                <w:szCs w:val="21"/>
                <w:lang w:eastAsia="zh-CN"/>
              </w:rPr>
            </w:pPr>
          </w:p>
        </w:tc>
        <w:tc>
          <w:tcPr>
            <w:tcW w:w="1521" w:type="dxa"/>
            <w:tcBorders>
              <w:top w:val="single" w:sz="4" w:space="0" w:color="auto"/>
              <w:left w:val="single" w:sz="4" w:space="0" w:color="auto"/>
              <w:bottom w:val="single" w:sz="4" w:space="0" w:color="auto"/>
              <w:right w:val="single" w:sz="4" w:space="0" w:color="auto"/>
            </w:tcBorders>
            <w:noWrap w:val="0"/>
            <w:vAlign w:val="center"/>
          </w:tcPr>
          <w:p w14:paraId="5B47CF36">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277" w:type="dxa"/>
            <w:tcBorders>
              <w:top w:val="single" w:sz="4" w:space="0" w:color="auto"/>
              <w:left w:val="single" w:sz="4" w:space="0" w:color="auto"/>
              <w:bottom w:val="single" w:sz="4" w:space="0" w:color="auto"/>
              <w:right w:val="single" w:sz="4" w:space="0" w:color="auto"/>
            </w:tcBorders>
            <w:noWrap w:val="0"/>
            <w:vAlign w:val="center"/>
          </w:tcPr>
          <w:p w14:paraId="5404F387">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455" w:type="dxa"/>
            <w:tcBorders>
              <w:top w:val="single" w:sz="4" w:space="0" w:color="auto"/>
              <w:left w:val="single" w:sz="4" w:space="0" w:color="auto"/>
              <w:bottom w:val="single" w:sz="4" w:space="0" w:color="auto"/>
              <w:right w:val="single" w:sz="4" w:space="0" w:color="auto"/>
            </w:tcBorders>
            <w:noWrap w:val="0"/>
            <w:vAlign w:val="center"/>
          </w:tcPr>
          <w:p w14:paraId="52453971">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856" w:type="dxa"/>
            <w:tcBorders>
              <w:top w:val="single" w:sz="4" w:space="0" w:color="auto"/>
              <w:left w:val="single" w:sz="4" w:space="0" w:color="auto"/>
              <w:bottom w:val="single" w:sz="4" w:space="0" w:color="auto"/>
              <w:right w:val="single" w:sz="4" w:space="0" w:color="auto"/>
            </w:tcBorders>
            <w:noWrap w:val="0"/>
            <w:vAlign w:val="center"/>
          </w:tcPr>
          <w:p w14:paraId="2876AD37">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r>
      <w:tr w14:paraId="7C3A51C2">
        <w:tblPrEx>
          <w:tblW w:w="5000" w:type="pct"/>
          <w:jc w:val="center"/>
          <w:tblLayout w:type="fixed"/>
          <w:tblCellMar>
            <w:top w:w="0" w:type="dxa"/>
            <w:left w:w="108" w:type="dxa"/>
            <w:bottom w:w="0" w:type="dxa"/>
            <w:right w:w="108" w:type="dxa"/>
          </w:tblCellMar>
        </w:tblPrEx>
        <w:trPr>
          <w:trHeight w:hRule="exact" w:val="340"/>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3BB3D420">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041" w:type="dxa"/>
            <w:tcBorders>
              <w:top w:val="single" w:sz="4" w:space="0" w:color="auto"/>
              <w:left w:val="single" w:sz="4" w:space="0" w:color="auto"/>
              <w:bottom w:val="single" w:sz="4" w:space="0" w:color="auto"/>
              <w:right w:val="single" w:sz="4" w:space="0" w:color="auto"/>
            </w:tcBorders>
            <w:noWrap w:val="0"/>
            <w:vAlign w:val="center"/>
          </w:tcPr>
          <w:p w14:paraId="0D02E216">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p>
        </w:tc>
        <w:tc>
          <w:tcPr>
            <w:tcW w:w="2307" w:type="dxa"/>
            <w:tcBorders>
              <w:top w:val="single" w:sz="4" w:space="0" w:color="auto"/>
              <w:left w:val="single" w:sz="4" w:space="0" w:color="auto"/>
              <w:bottom w:val="single" w:sz="4" w:space="0" w:color="auto"/>
              <w:right w:val="single" w:sz="4" w:space="0" w:color="auto"/>
            </w:tcBorders>
            <w:noWrap w:val="0"/>
            <w:vAlign w:val="bottom"/>
          </w:tcPr>
          <w:p w14:paraId="2EE70179">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kern w:val="2"/>
                <w:sz w:val="21"/>
                <w:szCs w:val="21"/>
                <w:lang w:eastAsia="zh-CN"/>
              </w:rPr>
            </w:pPr>
          </w:p>
        </w:tc>
        <w:tc>
          <w:tcPr>
            <w:tcW w:w="1521" w:type="dxa"/>
            <w:tcBorders>
              <w:top w:val="single" w:sz="4" w:space="0" w:color="auto"/>
              <w:left w:val="single" w:sz="4" w:space="0" w:color="auto"/>
              <w:bottom w:val="single" w:sz="4" w:space="0" w:color="auto"/>
              <w:right w:val="single" w:sz="4" w:space="0" w:color="auto"/>
            </w:tcBorders>
            <w:noWrap w:val="0"/>
            <w:vAlign w:val="center"/>
          </w:tcPr>
          <w:p w14:paraId="746830C0">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277" w:type="dxa"/>
            <w:tcBorders>
              <w:top w:val="single" w:sz="4" w:space="0" w:color="auto"/>
              <w:left w:val="single" w:sz="4" w:space="0" w:color="auto"/>
              <w:bottom w:val="single" w:sz="4" w:space="0" w:color="auto"/>
              <w:right w:val="single" w:sz="4" w:space="0" w:color="auto"/>
            </w:tcBorders>
            <w:noWrap w:val="0"/>
            <w:vAlign w:val="center"/>
          </w:tcPr>
          <w:p w14:paraId="2C96C406">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455" w:type="dxa"/>
            <w:tcBorders>
              <w:top w:val="single" w:sz="4" w:space="0" w:color="auto"/>
              <w:left w:val="single" w:sz="4" w:space="0" w:color="auto"/>
              <w:bottom w:val="single" w:sz="4" w:space="0" w:color="auto"/>
              <w:right w:val="single" w:sz="4" w:space="0" w:color="auto"/>
            </w:tcBorders>
            <w:noWrap w:val="0"/>
            <w:vAlign w:val="center"/>
          </w:tcPr>
          <w:p w14:paraId="6EA7FBA6">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856" w:type="dxa"/>
            <w:tcBorders>
              <w:top w:val="single" w:sz="4" w:space="0" w:color="auto"/>
              <w:left w:val="single" w:sz="4" w:space="0" w:color="auto"/>
              <w:bottom w:val="single" w:sz="4" w:space="0" w:color="auto"/>
              <w:right w:val="single" w:sz="4" w:space="0" w:color="auto"/>
            </w:tcBorders>
            <w:noWrap w:val="0"/>
            <w:vAlign w:val="center"/>
          </w:tcPr>
          <w:p w14:paraId="22238D36">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r>
      <w:tr w14:paraId="485071F9">
        <w:tblPrEx>
          <w:tblW w:w="5000" w:type="pct"/>
          <w:jc w:val="center"/>
          <w:tblLayout w:type="fixed"/>
          <w:tblCellMar>
            <w:top w:w="0" w:type="dxa"/>
            <w:left w:w="108" w:type="dxa"/>
            <w:bottom w:w="0" w:type="dxa"/>
            <w:right w:w="108" w:type="dxa"/>
          </w:tblCellMar>
        </w:tblPrEx>
        <w:trPr>
          <w:trHeight w:hRule="exact" w:val="329"/>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2E7EC03E">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041" w:type="dxa"/>
            <w:tcBorders>
              <w:top w:val="single" w:sz="4" w:space="0" w:color="auto"/>
              <w:left w:val="single" w:sz="4" w:space="0" w:color="auto"/>
              <w:bottom w:val="single" w:sz="4" w:space="0" w:color="auto"/>
              <w:right w:val="single" w:sz="4" w:space="0" w:color="auto"/>
            </w:tcBorders>
            <w:noWrap w:val="0"/>
            <w:vAlign w:val="center"/>
          </w:tcPr>
          <w:p w14:paraId="1446DAFD">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p>
        </w:tc>
        <w:tc>
          <w:tcPr>
            <w:tcW w:w="2307" w:type="dxa"/>
            <w:tcBorders>
              <w:top w:val="single" w:sz="4" w:space="0" w:color="auto"/>
              <w:left w:val="single" w:sz="4" w:space="0" w:color="auto"/>
              <w:bottom w:val="single" w:sz="4" w:space="0" w:color="auto"/>
              <w:right w:val="single" w:sz="4" w:space="0" w:color="auto"/>
            </w:tcBorders>
            <w:noWrap w:val="0"/>
            <w:vAlign w:val="bottom"/>
          </w:tcPr>
          <w:p w14:paraId="6929E32D">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kern w:val="2"/>
                <w:sz w:val="21"/>
                <w:szCs w:val="21"/>
                <w:lang w:eastAsia="zh-CN"/>
              </w:rPr>
            </w:pPr>
          </w:p>
        </w:tc>
        <w:tc>
          <w:tcPr>
            <w:tcW w:w="1521" w:type="dxa"/>
            <w:tcBorders>
              <w:top w:val="single" w:sz="4" w:space="0" w:color="auto"/>
              <w:left w:val="single" w:sz="4" w:space="0" w:color="auto"/>
              <w:bottom w:val="single" w:sz="4" w:space="0" w:color="auto"/>
              <w:right w:val="single" w:sz="4" w:space="0" w:color="auto"/>
            </w:tcBorders>
            <w:noWrap w:val="0"/>
            <w:vAlign w:val="center"/>
          </w:tcPr>
          <w:p w14:paraId="5FEA1F87">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277" w:type="dxa"/>
            <w:tcBorders>
              <w:top w:val="single" w:sz="4" w:space="0" w:color="auto"/>
              <w:left w:val="single" w:sz="4" w:space="0" w:color="auto"/>
              <w:bottom w:val="single" w:sz="4" w:space="0" w:color="auto"/>
              <w:right w:val="single" w:sz="4" w:space="0" w:color="auto"/>
            </w:tcBorders>
            <w:noWrap w:val="0"/>
            <w:vAlign w:val="center"/>
          </w:tcPr>
          <w:p w14:paraId="5AE6BFDF">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455" w:type="dxa"/>
            <w:tcBorders>
              <w:top w:val="single" w:sz="4" w:space="0" w:color="auto"/>
              <w:left w:val="single" w:sz="4" w:space="0" w:color="auto"/>
              <w:bottom w:val="single" w:sz="4" w:space="0" w:color="auto"/>
              <w:right w:val="single" w:sz="4" w:space="0" w:color="auto"/>
            </w:tcBorders>
            <w:noWrap w:val="0"/>
            <w:vAlign w:val="center"/>
          </w:tcPr>
          <w:p w14:paraId="34CBD019">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856" w:type="dxa"/>
            <w:tcBorders>
              <w:top w:val="single" w:sz="4" w:space="0" w:color="auto"/>
              <w:left w:val="single" w:sz="4" w:space="0" w:color="auto"/>
              <w:bottom w:val="single" w:sz="4" w:space="0" w:color="auto"/>
              <w:right w:val="single" w:sz="4" w:space="0" w:color="auto"/>
            </w:tcBorders>
            <w:noWrap w:val="0"/>
            <w:vAlign w:val="center"/>
          </w:tcPr>
          <w:p w14:paraId="588F5F1C">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r>
      <w:tr w14:paraId="44A4077F">
        <w:tblPrEx>
          <w:tblW w:w="5000" w:type="pct"/>
          <w:jc w:val="center"/>
          <w:tblLayout w:type="fixed"/>
          <w:tblCellMar>
            <w:top w:w="0" w:type="dxa"/>
            <w:left w:w="108" w:type="dxa"/>
            <w:bottom w:w="0" w:type="dxa"/>
            <w:right w:w="108" w:type="dxa"/>
          </w:tblCellMar>
        </w:tblPrEx>
        <w:trPr>
          <w:trHeight w:hRule="exact" w:val="340"/>
          <w:jc w:val="center"/>
        </w:trPr>
        <w:tc>
          <w:tcPr>
            <w:tcW w:w="839" w:type="dxa"/>
            <w:tcBorders>
              <w:top w:val="single" w:sz="4" w:space="0" w:color="auto"/>
              <w:left w:val="single" w:sz="4" w:space="0" w:color="auto"/>
              <w:bottom w:val="single" w:sz="4" w:space="0" w:color="auto"/>
              <w:right w:val="single" w:sz="4" w:space="0" w:color="auto"/>
            </w:tcBorders>
            <w:noWrap w:val="0"/>
            <w:vAlign w:val="center"/>
          </w:tcPr>
          <w:p w14:paraId="7E8F0C94">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041" w:type="dxa"/>
            <w:tcBorders>
              <w:top w:val="single" w:sz="4" w:space="0" w:color="auto"/>
              <w:left w:val="single" w:sz="4" w:space="0" w:color="auto"/>
              <w:bottom w:val="single" w:sz="4" w:space="0" w:color="auto"/>
              <w:right w:val="single" w:sz="4" w:space="0" w:color="auto"/>
            </w:tcBorders>
            <w:noWrap w:val="0"/>
            <w:vAlign w:val="center"/>
          </w:tcPr>
          <w:p w14:paraId="11CC1303">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bCs/>
                <w:kern w:val="2"/>
                <w:sz w:val="21"/>
                <w:szCs w:val="21"/>
                <w:lang w:eastAsia="zh-CN"/>
              </w:rPr>
            </w:pPr>
          </w:p>
        </w:tc>
        <w:tc>
          <w:tcPr>
            <w:tcW w:w="2307" w:type="dxa"/>
            <w:tcBorders>
              <w:top w:val="single" w:sz="4" w:space="0" w:color="auto"/>
              <w:left w:val="single" w:sz="4" w:space="0" w:color="auto"/>
              <w:bottom w:val="single" w:sz="4" w:space="0" w:color="auto"/>
              <w:right w:val="single" w:sz="4" w:space="0" w:color="auto"/>
            </w:tcBorders>
            <w:noWrap w:val="0"/>
            <w:vAlign w:val="bottom"/>
          </w:tcPr>
          <w:p w14:paraId="6B222FC3">
            <w:pPr>
              <w:keepNext w:val="0"/>
              <w:keepLines w:val="0"/>
              <w:widowControl w:val="0"/>
              <w:suppressLineNumbers w:val="0"/>
              <w:adjustRightInd w:val="0"/>
              <w:snapToGrid w:val="0"/>
              <w:spacing w:before="0" w:beforeAutospacing="0" w:after="160" w:afterAutospacing="0" w:line="360" w:lineRule="auto"/>
              <w:ind w:left="0" w:right="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 xml:space="preserve"> </w:t>
            </w:r>
          </w:p>
        </w:tc>
        <w:tc>
          <w:tcPr>
            <w:tcW w:w="1521" w:type="dxa"/>
            <w:tcBorders>
              <w:top w:val="single" w:sz="4" w:space="0" w:color="auto"/>
              <w:left w:val="single" w:sz="4" w:space="0" w:color="auto"/>
              <w:bottom w:val="single" w:sz="4" w:space="0" w:color="auto"/>
              <w:right w:val="single" w:sz="4" w:space="0" w:color="auto"/>
            </w:tcBorders>
            <w:noWrap w:val="0"/>
            <w:vAlign w:val="center"/>
          </w:tcPr>
          <w:p w14:paraId="69674CD0">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277" w:type="dxa"/>
            <w:tcBorders>
              <w:top w:val="single" w:sz="4" w:space="0" w:color="auto"/>
              <w:left w:val="single" w:sz="4" w:space="0" w:color="auto"/>
              <w:bottom w:val="single" w:sz="4" w:space="0" w:color="auto"/>
              <w:right w:val="single" w:sz="4" w:space="0" w:color="auto"/>
            </w:tcBorders>
            <w:noWrap w:val="0"/>
            <w:vAlign w:val="center"/>
          </w:tcPr>
          <w:p w14:paraId="0A456035">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1455" w:type="dxa"/>
            <w:tcBorders>
              <w:top w:val="single" w:sz="4" w:space="0" w:color="auto"/>
              <w:left w:val="single" w:sz="4" w:space="0" w:color="auto"/>
              <w:bottom w:val="single" w:sz="4" w:space="0" w:color="auto"/>
              <w:right w:val="single" w:sz="4" w:space="0" w:color="auto"/>
            </w:tcBorders>
            <w:noWrap w:val="0"/>
            <w:vAlign w:val="center"/>
          </w:tcPr>
          <w:p w14:paraId="21192072">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c>
          <w:tcPr>
            <w:tcW w:w="856" w:type="dxa"/>
            <w:tcBorders>
              <w:top w:val="single" w:sz="4" w:space="0" w:color="auto"/>
              <w:left w:val="single" w:sz="4" w:space="0" w:color="auto"/>
              <w:bottom w:val="single" w:sz="4" w:space="0" w:color="auto"/>
              <w:right w:val="single" w:sz="4" w:space="0" w:color="auto"/>
            </w:tcBorders>
            <w:noWrap w:val="0"/>
            <w:vAlign w:val="center"/>
          </w:tcPr>
          <w:p w14:paraId="6CA82C9E">
            <w:pPr>
              <w:keepNext w:val="0"/>
              <w:keepLines w:val="0"/>
              <w:widowControl w:val="0"/>
              <w:suppressLineNumbers w:val="0"/>
              <w:adjustRightInd w:val="0"/>
              <w:snapToGrid w:val="0"/>
              <w:spacing w:before="0" w:beforeAutospacing="0" w:after="160" w:afterAutospacing="0" w:line="360" w:lineRule="auto"/>
              <w:ind w:left="0" w:right="0"/>
              <w:jc w:val="center"/>
              <w:rPr>
                <w:rFonts w:ascii="宋体" w:eastAsia="宋体" w:hAnsi="宋体" w:cs="宋体" w:hint="eastAsia"/>
                <w:kern w:val="2"/>
                <w:sz w:val="21"/>
                <w:szCs w:val="21"/>
                <w:lang w:eastAsia="zh-CN"/>
              </w:rPr>
            </w:pPr>
          </w:p>
        </w:tc>
      </w:tr>
    </w:tbl>
    <w:p w14:paraId="6E8BCD61">
      <w:pPr>
        <w:widowControl w:val="0"/>
        <w:topLinePunct/>
        <w:adjustRightInd w:val="0"/>
        <w:snapToGrid w:val="0"/>
        <w:spacing w:line="360" w:lineRule="auto"/>
        <w:ind w:firstLine="600" w:firstLineChars="200"/>
        <w:jc w:val="both"/>
        <w:rPr>
          <w:rFonts w:ascii="宋体" w:eastAsia="宋体" w:hAnsi="宋体" w:cs="宋体" w:hint="eastAsia"/>
          <w:sz w:val="21"/>
          <w:szCs w:val="21"/>
          <w:lang w:eastAsia="zh-CN"/>
        </w:rPr>
      </w:pPr>
      <w:r>
        <w:rPr>
          <w:rFonts w:ascii="宋体" w:eastAsia="宋体" w:hAnsi="宋体" w:cs="宋体" w:hint="eastAsia"/>
          <w:b/>
          <w:bCs/>
          <w:color w:val="0000FF"/>
          <w:sz w:val="30"/>
          <w:szCs w:val="30"/>
          <w:lang w:eastAsia="zh-CN"/>
        </w:rPr>
        <w:t xml:space="preserve">  </w:t>
      </w:r>
      <w:r>
        <w:rPr>
          <w:rFonts w:ascii="宋体" w:eastAsia="宋体" w:hAnsi="宋体" w:cs="宋体" w:hint="eastAsia"/>
          <w:color w:val="0000FF"/>
          <w:kern w:val="2"/>
          <w:sz w:val="21"/>
          <w:szCs w:val="21"/>
          <w:lang w:eastAsia="zh-CN"/>
        </w:rPr>
        <w:t>注：按《资信标要求一览表》要求提供证明材料。</w:t>
      </w:r>
    </w:p>
    <w:p w14:paraId="40C25974">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2D8F932F">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0A72534C">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10FE2D87">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168A9CD4">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3BE0B61C">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33E296AD">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以下空白。</w:t>
      </w:r>
    </w:p>
    <w:p w14:paraId="1B39C29E">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3199B20B">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招   标   人：</w:t>
      </w:r>
      <w:r>
        <w:rPr>
          <w:rFonts w:ascii="宋体" w:eastAsia="宋体" w:hAnsi="宋体" w:cs="宋体" w:hint="eastAsia"/>
          <w:kern w:val="2"/>
          <w:sz w:val="21"/>
          <w:szCs w:val="21"/>
          <w:u w:val="single"/>
          <w:lang w:eastAsia="zh-CN" w:bidi="ar"/>
        </w:rPr>
        <w:t xml:space="preserve">      </w:t>
      </w:r>
    </w:p>
    <w:p w14:paraId="2CFAD2F2">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41BD44E6">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招标代理机构：</w:t>
      </w:r>
      <w:r>
        <w:rPr>
          <w:rFonts w:ascii="宋体" w:eastAsia="宋体" w:hAnsi="宋体" w:cs="宋体" w:hint="eastAsia"/>
          <w:kern w:val="2"/>
          <w:sz w:val="21"/>
          <w:szCs w:val="21"/>
          <w:u w:val="single"/>
          <w:lang w:eastAsia="zh-CN" w:bidi="ar"/>
        </w:rPr>
        <w:t xml:space="preserve">      </w:t>
      </w:r>
    </w:p>
    <w:p w14:paraId="59F047F9">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p>
    <w:p w14:paraId="35BE58CA">
      <w:pPr>
        <w:widowControl w:val="0"/>
        <w:topLinePunct/>
        <w:adjustRightInd w:val="0"/>
        <w:snapToGrid w:val="0"/>
        <w:spacing w:line="360" w:lineRule="auto"/>
        <w:ind w:firstLine="420" w:firstLineChars="200"/>
        <w:jc w:val="both"/>
        <w:rPr>
          <w:rFonts w:ascii="宋体" w:eastAsia="宋体" w:hAnsi="宋体" w:cs="宋体" w:hint="eastAsia"/>
          <w:sz w:val="21"/>
          <w:szCs w:val="21"/>
          <w:lang w:eastAsia="zh-CN"/>
        </w:rPr>
      </w:pPr>
      <w:r>
        <w:rPr>
          <w:rFonts w:ascii="宋体" w:eastAsia="宋体" w:hAnsi="宋体" w:cs="宋体" w:hint="eastAsia"/>
          <w:sz w:val="21"/>
          <w:szCs w:val="21"/>
          <w:lang w:eastAsia="zh-CN"/>
        </w:rPr>
        <w:t>编制日期：</w:t>
      </w:r>
      <w:r>
        <w:rPr>
          <w:rFonts w:ascii="宋体" w:eastAsia="宋体" w:hAnsi="宋体" w:cs="宋体" w:hint="eastAsia"/>
          <w:kern w:val="2"/>
          <w:sz w:val="21"/>
          <w:szCs w:val="21"/>
          <w:u w:val="single"/>
          <w:lang w:eastAsia="zh-CN" w:bidi="ar"/>
        </w:rPr>
        <w:t xml:space="preserve">      </w:t>
      </w:r>
    </w:p>
    <w:bookmarkEnd w:id="67"/>
    <w:p w14:paraId="1B91D958">
      <w:pPr>
        <w:widowControl w:val="0"/>
        <w:jc w:val="center"/>
        <w:outlineLvl w:val="0"/>
        <w:rPr>
          <w:rFonts w:ascii="宋体" w:eastAsia="宋体" w:hAnsi="宋体" w:cs="宋体" w:hint="eastAsia"/>
          <w:b/>
          <w:snapToGrid w:val="0"/>
          <w:sz w:val="44"/>
          <w:szCs w:val="22"/>
          <w:lang w:eastAsia="zh-CN"/>
        </w:rPr>
      </w:pPr>
      <w:r>
        <w:rPr>
          <w:rFonts w:ascii="宋体" w:eastAsia="宋体" w:hAnsi="宋体" w:cs="宋体" w:hint="eastAsia"/>
          <w:snapToGrid w:val="0"/>
          <w:sz w:val="21"/>
          <w:szCs w:val="22"/>
          <w:lang w:eastAsia="zh-CN"/>
        </w:rPr>
        <w:br w:type="page"/>
      </w:r>
      <w:bookmarkStart w:id="68" w:name="_Toc16751"/>
      <w:bookmarkStart w:id="69" w:name="_Toc15902"/>
      <w:bookmarkStart w:id="70" w:name="_Toc31934"/>
      <w:r>
        <w:rPr>
          <w:rFonts w:ascii="宋体" w:eastAsia="宋体" w:hAnsi="宋体" w:cs="宋体" w:hint="eastAsia"/>
          <w:bCs/>
          <w:snapToGrid w:val="0"/>
          <w:sz w:val="32"/>
          <w:szCs w:val="32"/>
          <w:lang w:eastAsia="zh-CN"/>
        </w:rPr>
        <w:t>第四章  投标文件格式</w:t>
      </w:r>
      <w:bookmarkEnd w:id="68"/>
      <w:bookmarkEnd w:id="69"/>
      <w:bookmarkEnd w:id="70"/>
    </w:p>
    <w:p w14:paraId="4D428B40">
      <w:pPr>
        <w:widowControl w:val="0"/>
        <w:jc w:val="both"/>
        <w:rPr>
          <w:rFonts w:ascii="宋体" w:eastAsia="宋体" w:hAnsi="宋体" w:cs="宋体" w:hint="eastAsia"/>
          <w:snapToGrid w:val="0"/>
          <w:sz w:val="44"/>
          <w:szCs w:val="44"/>
          <w:lang w:eastAsia="zh-CN"/>
        </w:rPr>
      </w:pPr>
    </w:p>
    <w:p w14:paraId="5B3577D5">
      <w:pPr>
        <w:widowControl w:val="0"/>
        <w:jc w:val="center"/>
        <w:rPr>
          <w:rFonts w:ascii="宋体" w:eastAsia="宋体" w:hAnsi="宋体" w:cs="宋体" w:hint="eastAsia"/>
          <w:snapToGrid w:val="0"/>
          <w:sz w:val="36"/>
          <w:szCs w:val="36"/>
          <w:lang w:eastAsia="zh-CN"/>
        </w:rPr>
      </w:pPr>
      <w:r>
        <w:rPr>
          <w:rFonts w:ascii="宋体" w:eastAsia="宋体" w:hAnsi="宋体" w:cs="宋体" w:hint="eastAsia"/>
          <w:snapToGrid w:val="0"/>
          <w:sz w:val="36"/>
          <w:szCs w:val="36"/>
          <w:u w:val="single"/>
          <w:lang w:eastAsia="zh-CN"/>
        </w:rPr>
        <w:t xml:space="preserve">            </w:t>
      </w:r>
      <w:r>
        <w:rPr>
          <w:rFonts w:ascii="宋体" w:eastAsia="宋体" w:hAnsi="宋体" w:cs="宋体" w:hint="eastAsia"/>
          <w:snapToGrid w:val="0"/>
          <w:sz w:val="36"/>
          <w:szCs w:val="36"/>
          <w:lang w:eastAsia="zh-CN"/>
        </w:rPr>
        <w:t>项目</w:t>
      </w:r>
    </w:p>
    <w:p w14:paraId="0A47A99F">
      <w:pPr>
        <w:widowControl w:val="0"/>
        <w:jc w:val="center"/>
        <w:rPr>
          <w:rFonts w:ascii="宋体" w:eastAsia="宋体" w:hAnsi="宋体" w:cs="宋体" w:hint="eastAsia"/>
          <w:snapToGrid w:val="0"/>
          <w:sz w:val="44"/>
          <w:szCs w:val="44"/>
          <w:lang w:eastAsia="zh-CN"/>
        </w:rPr>
      </w:pPr>
    </w:p>
    <w:p w14:paraId="5F7652CA">
      <w:pPr>
        <w:widowControl w:val="0"/>
        <w:jc w:val="center"/>
        <w:rPr>
          <w:rFonts w:ascii="宋体" w:eastAsia="宋体" w:hAnsi="宋体" w:cs="宋体" w:hint="eastAsia"/>
          <w:snapToGrid w:val="0"/>
          <w:sz w:val="52"/>
          <w:szCs w:val="52"/>
          <w:lang w:eastAsia="zh-CN"/>
        </w:rPr>
      </w:pPr>
      <w:r>
        <w:rPr>
          <w:rFonts w:ascii="宋体" w:eastAsia="宋体" w:hAnsi="宋体" w:cs="宋体" w:hint="eastAsia"/>
          <w:snapToGrid w:val="0"/>
          <w:sz w:val="52"/>
          <w:szCs w:val="52"/>
          <w:lang w:eastAsia="zh-CN"/>
        </w:rPr>
        <w:t>投标文件</w:t>
      </w:r>
    </w:p>
    <w:p w14:paraId="3021C916">
      <w:pPr>
        <w:widowControl w:val="0"/>
        <w:jc w:val="center"/>
        <w:rPr>
          <w:rFonts w:ascii="宋体" w:eastAsia="宋体" w:hAnsi="宋体" w:cs="宋体" w:hint="eastAsia"/>
          <w:snapToGrid w:val="0"/>
          <w:sz w:val="52"/>
          <w:szCs w:val="52"/>
          <w:lang w:eastAsia="zh-CN"/>
        </w:rPr>
      </w:pPr>
    </w:p>
    <w:p w14:paraId="01C54D95">
      <w:pPr>
        <w:widowControl w:val="0"/>
        <w:jc w:val="center"/>
        <w:rPr>
          <w:rFonts w:ascii="宋体" w:eastAsia="宋体" w:hAnsi="宋体" w:cs="宋体" w:hint="eastAsia"/>
          <w:snapToGrid w:val="0"/>
          <w:sz w:val="44"/>
          <w:szCs w:val="44"/>
          <w:lang w:eastAsia="zh-CN"/>
        </w:rPr>
      </w:pPr>
    </w:p>
    <w:p w14:paraId="6BAE4D98">
      <w:pPr>
        <w:widowControl w:val="0"/>
        <w:jc w:val="center"/>
        <w:outlineLvl w:val="1"/>
        <w:rPr>
          <w:rFonts w:ascii="宋体" w:eastAsia="宋体" w:hAnsi="宋体" w:cs="宋体" w:hint="eastAsia"/>
          <w:b/>
          <w:snapToGrid w:val="0"/>
          <w:sz w:val="44"/>
          <w:szCs w:val="44"/>
          <w:lang w:eastAsia="zh-CN"/>
        </w:rPr>
      </w:pPr>
      <w:bookmarkStart w:id="71" w:name="_Toc22744"/>
      <w:bookmarkStart w:id="72" w:name="_Toc6581"/>
      <w:r>
        <w:rPr>
          <w:rFonts w:ascii="宋体" w:eastAsia="宋体" w:hAnsi="宋体" w:cs="宋体" w:hint="eastAsia"/>
          <w:b/>
          <w:snapToGrid w:val="0"/>
          <w:sz w:val="44"/>
          <w:szCs w:val="44"/>
          <w:lang w:eastAsia="zh-CN"/>
        </w:rPr>
        <w:t>资格审查文件</w:t>
      </w:r>
      <w:bookmarkEnd w:id="71"/>
      <w:bookmarkEnd w:id="72"/>
    </w:p>
    <w:p w14:paraId="51F59ABB">
      <w:pPr>
        <w:widowControl w:val="0"/>
        <w:jc w:val="center"/>
        <w:rPr>
          <w:rFonts w:ascii="宋体" w:eastAsia="宋体" w:hAnsi="宋体" w:cs="宋体" w:hint="eastAsia"/>
          <w:snapToGrid w:val="0"/>
          <w:sz w:val="44"/>
          <w:szCs w:val="44"/>
          <w:lang w:eastAsia="zh-CN"/>
        </w:rPr>
      </w:pPr>
    </w:p>
    <w:p w14:paraId="03B10D41">
      <w:pPr>
        <w:widowControl w:val="0"/>
        <w:jc w:val="center"/>
        <w:rPr>
          <w:rFonts w:ascii="宋体" w:eastAsia="宋体" w:hAnsi="宋体" w:cs="宋体" w:hint="eastAsia"/>
          <w:snapToGrid w:val="0"/>
          <w:sz w:val="44"/>
          <w:szCs w:val="44"/>
          <w:lang w:eastAsia="zh-CN"/>
        </w:rPr>
      </w:pPr>
    </w:p>
    <w:p w14:paraId="183C36DE">
      <w:pPr>
        <w:widowControl w:val="0"/>
        <w:jc w:val="center"/>
        <w:rPr>
          <w:rFonts w:ascii="宋体" w:eastAsia="宋体" w:hAnsi="宋体" w:cs="宋体" w:hint="eastAsia"/>
          <w:snapToGrid w:val="0"/>
          <w:sz w:val="44"/>
          <w:szCs w:val="44"/>
          <w:lang w:eastAsia="zh-CN"/>
        </w:rPr>
      </w:pPr>
    </w:p>
    <w:p w14:paraId="7A109725">
      <w:pPr>
        <w:widowControl w:val="0"/>
        <w:jc w:val="center"/>
        <w:rPr>
          <w:rFonts w:ascii="宋体" w:eastAsia="宋体" w:hAnsi="宋体" w:cs="宋体" w:hint="eastAsia"/>
          <w:snapToGrid w:val="0"/>
          <w:sz w:val="44"/>
          <w:szCs w:val="44"/>
          <w:lang w:eastAsia="zh-CN"/>
        </w:rPr>
      </w:pPr>
    </w:p>
    <w:p w14:paraId="257686D2">
      <w:pPr>
        <w:widowControl w:val="0"/>
        <w:jc w:val="center"/>
        <w:rPr>
          <w:rFonts w:ascii="宋体" w:eastAsia="宋体" w:hAnsi="宋体" w:cs="宋体" w:hint="eastAsia"/>
          <w:snapToGrid w:val="0"/>
          <w:sz w:val="44"/>
          <w:szCs w:val="44"/>
          <w:lang w:eastAsia="zh-CN"/>
        </w:rPr>
      </w:pPr>
    </w:p>
    <w:p w14:paraId="1631FA43">
      <w:pPr>
        <w:widowControl w:val="0"/>
        <w:jc w:val="center"/>
        <w:rPr>
          <w:rFonts w:ascii="宋体" w:eastAsia="宋体" w:hAnsi="宋体" w:cs="宋体" w:hint="eastAsia"/>
          <w:snapToGrid w:val="0"/>
          <w:sz w:val="44"/>
          <w:szCs w:val="44"/>
          <w:lang w:eastAsia="zh-CN"/>
        </w:rPr>
      </w:pPr>
    </w:p>
    <w:p w14:paraId="23262CBB">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项目编号：</w:t>
      </w:r>
      <w:r>
        <w:rPr>
          <w:rFonts w:ascii="宋体" w:eastAsia="宋体" w:hAnsi="宋体" w:cs="宋体" w:hint="eastAsia"/>
          <w:snapToGrid w:val="0"/>
          <w:sz w:val="28"/>
          <w:szCs w:val="28"/>
          <w:u w:val="single"/>
          <w:lang w:eastAsia="zh-CN"/>
        </w:rPr>
        <w:t xml:space="preserve">                            </w:t>
      </w:r>
    </w:p>
    <w:p w14:paraId="0C78F52B">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投标人名称：</w:t>
      </w:r>
      <w:r>
        <w:rPr>
          <w:rFonts w:ascii="宋体" w:eastAsia="宋体" w:hAnsi="宋体" w:cs="宋体" w:hint="eastAsia"/>
          <w:snapToGrid w:val="0"/>
          <w:sz w:val="28"/>
          <w:szCs w:val="28"/>
          <w:u w:val="single"/>
          <w:lang w:eastAsia="zh-CN"/>
        </w:rPr>
        <w:t xml:space="preserve">                           </w:t>
      </w:r>
    </w:p>
    <w:p w14:paraId="04D441BF">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投标人代表：</w:t>
      </w:r>
      <w:r>
        <w:rPr>
          <w:rFonts w:ascii="宋体" w:eastAsia="宋体" w:hAnsi="宋体" w:cs="宋体" w:hint="eastAsia"/>
          <w:snapToGrid w:val="0"/>
          <w:sz w:val="28"/>
          <w:szCs w:val="28"/>
          <w:u w:val="single"/>
          <w:lang w:eastAsia="zh-CN"/>
        </w:rPr>
        <w:t xml:space="preserve">                           </w:t>
      </w:r>
    </w:p>
    <w:p w14:paraId="0444245A">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投标日期：</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年</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月</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日</w:t>
      </w:r>
    </w:p>
    <w:p w14:paraId="28A789AF">
      <w:pPr>
        <w:widowControl w:val="0"/>
        <w:jc w:val="both"/>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br w:type="page"/>
      </w:r>
    </w:p>
    <w:p w14:paraId="725DC25A">
      <w:pPr>
        <w:widowControl w:val="0"/>
        <w:spacing w:after="120" w:afterLines="50" w:line="440" w:lineRule="exact"/>
        <w:jc w:val="center"/>
        <w:rPr>
          <w:rFonts w:ascii="宋体" w:eastAsia="宋体" w:hAnsi="宋体" w:cs="宋体" w:hint="eastAsia"/>
          <w:snapToGrid w:val="0"/>
          <w:sz w:val="44"/>
          <w:szCs w:val="22"/>
          <w:lang w:eastAsia="zh-CN"/>
        </w:rPr>
      </w:pPr>
      <w:r>
        <w:rPr>
          <w:rFonts w:ascii="宋体" w:eastAsia="宋体" w:hAnsi="宋体" w:cs="宋体" w:hint="eastAsia"/>
          <w:snapToGrid w:val="0"/>
          <w:sz w:val="44"/>
          <w:szCs w:val="44"/>
          <w:lang w:eastAsia="zh-CN"/>
        </w:rPr>
        <w:t>资格审查文件</w:t>
      </w:r>
      <w:r>
        <w:rPr>
          <w:rFonts w:ascii="宋体" w:eastAsia="宋体" w:hAnsi="宋体" w:cs="宋体" w:hint="eastAsia"/>
          <w:snapToGrid w:val="0"/>
          <w:sz w:val="44"/>
          <w:szCs w:val="22"/>
          <w:lang w:eastAsia="zh-CN"/>
        </w:rPr>
        <w:t>目录</w:t>
      </w:r>
    </w:p>
    <w:p w14:paraId="42CEF2A9">
      <w:pPr>
        <w:widowControl w:val="0"/>
        <w:spacing w:after="120" w:afterLines="50" w:line="440" w:lineRule="exact"/>
        <w:jc w:val="center"/>
        <w:rPr>
          <w:rFonts w:ascii="宋体" w:eastAsia="宋体" w:hAnsi="宋体" w:cs="宋体" w:hint="eastAsia"/>
          <w:snapToGrid w:val="0"/>
          <w:sz w:val="44"/>
          <w:szCs w:val="22"/>
          <w:lang w:eastAsia="zh-CN"/>
        </w:rPr>
      </w:pPr>
    </w:p>
    <w:p w14:paraId="0154A9AD">
      <w:pPr>
        <w:widowControl w:val="0"/>
        <w:spacing w:line="360" w:lineRule="auto"/>
        <w:ind w:firstLine="480" w:firstLineChars="200"/>
        <w:jc w:val="left"/>
        <w:rPr>
          <w:rFonts w:ascii="宋体" w:eastAsia="宋体" w:hAnsi="宋体" w:cs="宋体" w:hint="eastAsia"/>
          <w:snapToGrid w:val="0"/>
          <w:lang w:eastAsia="zh-CN"/>
        </w:rPr>
      </w:pPr>
    </w:p>
    <w:p w14:paraId="2523592B">
      <w:pPr>
        <w:widowControl w:val="0"/>
        <w:spacing w:line="360" w:lineRule="auto"/>
        <w:ind w:firstLine="560" w:firstLineChars="200"/>
        <w:jc w:val="left"/>
        <w:rPr>
          <w:rFonts w:ascii="宋体" w:eastAsia="宋体" w:hAnsi="宋体" w:cs="宋体" w:hint="eastAsia"/>
          <w:snapToGrid w:val="0"/>
          <w:color w:val="0000FF"/>
          <w:sz w:val="28"/>
          <w:szCs w:val="28"/>
          <w:lang w:eastAsia="zh-CN"/>
        </w:rPr>
      </w:pPr>
      <w:r>
        <w:rPr>
          <w:rFonts w:ascii="宋体" w:eastAsia="宋体" w:hAnsi="宋体" w:cs="宋体" w:hint="eastAsia"/>
          <w:snapToGrid w:val="0"/>
          <w:color w:val="0000FF"/>
          <w:sz w:val="28"/>
          <w:szCs w:val="28"/>
          <w:lang w:eastAsia="zh-CN"/>
        </w:rPr>
        <w:t>1、企业营业执照扫描件；</w:t>
      </w:r>
    </w:p>
    <w:p w14:paraId="2C7BC840">
      <w:pPr>
        <w:widowControl w:val="0"/>
        <w:spacing w:line="360" w:lineRule="auto"/>
        <w:ind w:firstLine="560" w:firstLineChars="200"/>
        <w:jc w:val="left"/>
        <w:rPr>
          <w:rFonts w:ascii="宋体" w:eastAsia="宋体" w:hAnsi="宋体" w:cs="宋体" w:hint="eastAsia"/>
          <w:snapToGrid w:val="0"/>
          <w:color w:val="0000FF"/>
          <w:sz w:val="28"/>
          <w:szCs w:val="28"/>
          <w:lang w:eastAsia="zh-CN"/>
        </w:rPr>
      </w:pPr>
      <w:r>
        <w:rPr>
          <w:rFonts w:ascii="宋体" w:eastAsia="宋体" w:hAnsi="宋体" w:cs="宋体" w:hint="eastAsia"/>
          <w:snapToGrid w:val="0"/>
          <w:color w:val="0000FF"/>
          <w:sz w:val="28"/>
          <w:szCs w:val="28"/>
          <w:lang w:eastAsia="zh-CN" w:bidi="ar"/>
        </w:rPr>
        <w:t>2</w:t>
      </w:r>
      <w:r>
        <w:rPr>
          <w:rFonts w:ascii="宋体" w:eastAsia="宋体" w:hAnsi="宋体" w:cs="宋体" w:hint="eastAsia"/>
          <w:snapToGrid w:val="0"/>
          <w:color w:val="0000FF"/>
          <w:sz w:val="28"/>
          <w:szCs w:val="28"/>
          <w:lang w:eastAsia="zh-CN"/>
        </w:rPr>
        <w:t>、项目负责人</w:t>
      </w:r>
      <w:r>
        <w:rPr>
          <w:rFonts w:ascii="宋体" w:eastAsia="宋体" w:hAnsi="宋体" w:cs="宋体" w:hint="eastAsia"/>
          <w:snapToGrid w:val="0"/>
          <w:color w:val="0000FF"/>
          <w:sz w:val="28"/>
          <w:szCs w:val="28"/>
          <w:lang w:eastAsia="zh-CN"/>
        </w:rPr>
        <w:t>一级</w:t>
      </w:r>
      <w:r>
        <w:rPr>
          <w:rFonts w:ascii="宋体" w:eastAsia="宋体" w:hAnsi="宋体" w:cs="宋体" w:hint="eastAsia"/>
          <w:snapToGrid w:val="0"/>
          <w:color w:val="0000FF"/>
          <w:sz w:val="28"/>
          <w:szCs w:val="28"/>
          <w:lang w:eastAsia="zh-CN"/>
        </w:rPr>
        <w:t>注册</w:t>
      </w:r>
      <w:r>
        <w:rPr>
          <w:rFonts w:ascii="宋体" w:eastAsia="宋体" w:hAnsi="宋体" w:cs="宋体" w:hint="eastAsia"/>
          <w:snapToGrid w:val="0"/>
          <w:color w:val="0000FF"/>
          <w:sz w:val="28"/>
          <w:szCs w:val="28"/>
          <w:lang w:eastAsia="zh-CN"/>
        </w:rPr>
        <w:t>造价工程师</w:t>
      </w:r>
      <w:r>
        <w:rPr>
          <w:rFonts w:ascii="宋体" w:eastAsia="宋体" w:hAnsi="宋体" w:cs="宋体" w:hint="eastAsia"/>
          <w:snapToGrid w:val="0"/>
          <w:color w:val="0000FF"/>
          <w:sz w:val="28"/>
          <w:szCs w:val="28"/>
          <w:lang w:eastAsia="zh-CN"/>
        </w:rPr>
        <w:t>执业资格</w:t>
      </w:r>
      <w:r>
        <w:rPr>
          <w:rFonts w:ascii="宋体" w:eastAsia="宋体" w:hAnsi="宋体" w:cs="宋体" w:hint="eastAsia"/>
          <w:snapToGrid w:val="0"/>
          <w:color w:val="0000FF"/>
          <w:sz w:val="28"/>
          <w:szCs w:val="28"/>
          <w:lang w:eastAsia="zh-CN"/>
        </w:rPr>
        <w:t>证书</w:t>
      </w:r>
      <w:r>
        <w:rPr>
          <w:rFonts w:ascii="宋体" w:eastAsia="宋体" w:hAnsi="宋体" w:cs="宋体" w:hint="eastAsia"/>
          <w:snapToGrid w:val="0"/>
          <w:color w:val="0000FF"/>
          <w:sz w:val="28"/>
          <w:szCs w:val="28"/>
          <w:lang w:eastAsia="zh-CN"/>
        </w:rPr>
        <w:t>扫描件</w:t>
      </w:r>
      <w:r>
        <w:rPr>
          <w:rFonts w:ascii="宋体" w:eastAsia="宋体" w:hAnsi="宋体" w:cs="宋体" w:hint="eastAsia"/>
          <w:snapToGrid w:val="0"/>
          <w:color w:val="0000FF"/>
          <w:sz w:val="28"/>
          <w:szCs w:val="28"/>
          <w:lang w:eastAsia="zh-CN"/>
        </w:rPr>
        <w:t>；</w:t>
      </w:r>
    </w:p>
    <w:p w14:paraId="4D0BEB45">
      <w:pPr>
        <w:widowControl w:val="0"/>
        <w:spacing w:after="120"/>
        <w:ind w:left="0" w:firstLine="0" w:leftChars="0" w:firstLineChars="0"/>
        <w:jc w:val="both"/>
        <w:rPr>
          <w:rFonts w:eastAsia="宋体"/>
          <w:color w:val="0000FF"/>
          <w:kern w:val="2"/>
          <w:sz w:val="21"/>
          <w:lang w:eastAsia="zh-CN"/>
        </w:rPr>
      </w:pPr>
      <w:r>
        <w:rPr>
          <w:rFonts w:ascii="宋体" w:eastAsia="宋体" w:hAnsi="宋体" w:cs="宋体" w:hint="eastAsia"/>
          <w:snapToGrid w:val="0"/>
          <w:color w:val="0000FF"/>
          <w:sz w:val="28"/>
          <w:szCs w:val="28"/>
          <w:lang w:eastAsia="zh-CN"/>
        </w:rPr>
        <w:t xml:space="preserve">    3、联合体协议书扫描件（若有）。</w:t>
      </w:r>
    </w:p>
    <w:p w14:paraId="16EF1106">
      <w:pPr>
        <w:widowControl w:val="0"/>
        <w:spacing w:line="360" w:lineRule="auto"/>
        <w:ind w:firstLine="560" w:firstLineChars="200"/>
        <w:jc w:val="left"/>
        <w:rPr>
          <w:rFonts w:ascii="宋体" w:eastAsia="宋体" w:hAnsi="宋体" w:cs="宋体" w:hint="eastAsia"/>
          <w:snapToGrid w:val="0"/>
          <w:sz w:val="28"/>
          <w:szCs w:val="28"/>
          <w:lang w:eastAsia="zh-CN"/>
        </w:rPr>
      </w:pPr>
    </w:p>
    <w:p w14:paraId="6823044D">
      <w:pPr>
        <w:widowControl w:val="0"/>
        <w:spacing w:after="120"/>
        <w:ind w:left="480" w:firstLine="420" w:leftChars="200" w:firstLineChars="200"/>
        <w:jc w:val="both"/>
        <w:rPr>
          <w:rFonts w:eastAsia="宋体" w:hint="eastAsia"/>
          <w:kern w:val="2"/>
          <w:sz w:val="21"/>
          <w:lang w:eastAsia="zh-CN"/>
        </w:rPr>
      </w:pPr>
    </w:p>
    <w:p w14:paraId="00447F33">
      <w:pPr>
        <w:widowControl w:val="0"/>
        <w:spacing w:before="0" w:after="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附件：联合体共同投标协议格式（</w:t>
      </w:r>
      <w:r>
        <w:rPr>
          <w:rFonts w:ascii="宋体" w:eastAsia="宋体" w:hAnsi="宋体" w:cs="宋体" w:hint="eastAsia"/>
          <w:color w:val="0000FF"/>
          <w:kern w:val="2"/>
          <w:sz w:val="21"/>
          <w:szCs w:val="22"/>
          <w:lang w:eastAsia="zh-CN"/>
        </w:rPr>
        <w:t>格式供参考，</w:t>
      </w:r>
      <w:r>
        <w:rPr>
          <w:rFonts w:ascii="宋体" w:eastAsia="宋体" w:hAnsi="宋体" w:cs="宋体"/>
          <w:color w:val="0000FF"/>
          <w:kern w:val="2"/>
          <w:sz w:val="21"/>
          <w:szCs w:val="22"/>
          <w:lang w:eastAsia="zh-CN"/>
        </w:rPr>
        <w:t>联合体投标适用</w:t>
      </w:r>
      <w:r>
        <w:rPr>
          <w:rFonts w:ascii="宋体" w:eastAsia="宋体" w:hAnsi="宋体" w:cs="宋体" w:hint="eastAsia"/>
          <w:color w:val="0000FF"/>
          <w:kern w:val="2"/>
          <w:sz w:val="21"/>
          <w:szCs w:val="22"/>
          <w:lang w:eastAsia="zh-CN"/>
        </w:rPr>
        <w:t xml:space="preserve"> </w:t>
      </w:r>
      <w:r>
        <w:rPr>
          <w:rFonts w:ascii="宋体" w:eastAsia="宋体" w:hAnsi="宋体" w:cs="宋体"/>
          <w:color w:val="0000FF"/>
          <w:kern w:val="2"/>
          <w:sz w:val="21"/>
          <w:szCs w:val="22"/>
          <w:lang w:eastAsia="zh-CN"/>
        </w:rPr>
        <w:t>）</w:t>
      </w:r>
    </w:p>
    <w:p w14:paraId="2D1F5EF5">
      <w:pPr>
        <w:widowControl w:val="0"/>
        <w:spacing w:before="280" w:after="280" w:line="300" w:lineRule="auto"/>
        <w:jc w:val="center"/>
        <w:rPr>
          <w:rFonts w:ascii="等线" w:eastAsia="等线" w:hAnsi="等线"/>
          <w:kern w:val="2"/>
          <w:sz w:val="30"/>
          <w:szCs w:val="30"/>
          <w:lang w:eastAsia="zh-CN"/>
        </w:rPr>
      </w:pPr>
      <w:r>
        <w:rPr>
          <w:rFonts w:ascii="宋体" w:eastAsia="宋体" w:hAnsi="宋体" w:cs="宋体"/>
          <w:b/>
          <w:bCs/>
          <w:color w:val="0000FF"/>
          <w:kern w:val="2"/>
          <w:sz w:val="30"/>
          <w:szCs w:val="30"/>
          <w:lang w:eastAsia="zh-CN"/>
        </w:rPr>
        <w:t>联合体共同投标协议</w:t>
      </w:r>
    </w:p>
    <w:p w14:paraId="3675FAD5">
      <w:pPr>
        <w:widowControl w:val="0"/>
        <w:spacing w:before="280" w:after="280" w:line="300" w:lineRule="auto"/>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致</w:t>
      </w:r>
      <w:r>
        <w:rPr>
          <w:rFonts w:ascii="宋体" w:eastAsia="宋体" w:hAnsi="宋体" w:cs="宋体"/>
          <w:color w:val="0000FF"/>
          <w:kern w:val="2"/>
          <w:sz w:val="21"/>
          <w:szCs w:val="22"/>
          <w:u w:val="single" w:color="0000FF"/>
          <w:lang w:eastAsia="zh-CN"/>
        </w:rPr>
        <w:t>（招标人全称）</w:t>
      </w:r>
      <w:r>
        <w:rPr>
          <w:rFonts w:ascii="宋体" w:eastAsia="宋体" w:hAnsi="宋体" w:cs="宋体"/>
          <w:color w:val="0000FF"/>
          <w:kern w:val="2"/>
          <w:sz w:val="21"/>
          <w:szCs w:val="22"/>
          <w:lang w:eastAsia="zh-CN"/>
        </w:rPr>
        <w:t>：</w:t>
      </w:r>
    </w:p>
    <w:p w14:paraId="69662D68">
      <w:pPr>
        <w:widowControl w:val="0"/>
        <w:spacing w:before="0" w:after="0" w:line="360" w:lineRule="auto"/>
        <w:ind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u w:val="single" w:color="0000FF"/>
          <w:lang w:eastAsia="zh-CN"/>
        </w:rPr>
        <w:t>（所有成员单位全称）</w:t>
      </w:r>
      <w:r>
        <w:rPr>
          <w:rFonts w:ascii="宋体" w:eastAsia="宋体" w:hAnsi="宋体" w:cs="宋体"/>
          <w:color w:val="0000FF"/>
          <w:kern w:val="2"/>
          <w:sz w:val="21"/>
          <w:szCs w:val="22"/>
          <w:lang w:eastAsia="zh-CN"/>
        </w:rPr>
        <w:t>自愿决定组成联合体共同参加</w:t>
      </w:r>
      <w:r>
        <w:rPr>
          <w:rFonts w:ascii="宋体" w:eastAsia="宋体" w:hAnsi="宋体" w:cs="宋体"/>
          <w:color w:val="0000FF"/>
          <w:kern w:val="2"/>
          <w:sz w:val="21"/>
          <w:szCs w:val="22"/>
          <w:u w:val="single" w:color="0000FF"/>
          <w:lang w:eastAsia="zh-CN"/>
        </w:rPr>
        <w:t xml:space="preserve">   （项目名称）</w:t>
      </w:r>
      <w:r>
        <w:rPr>
          <w:rFonts w:ascii="宋体" w:eastAsia="宋体" w:hAnsi="宋体" w:cs="宋体"/>
          <w:color w:val="0000FF"/>
          <w:kern w:val="2"/>
          <w:sz w:val="21"/>
          <w:szCs w:val="22"/>
          <w:lang w:eastAsia="zh-CN"/>
        </w:rPr>
        <w:t>的投标，若中标，联合体各成员向招标人承担连带责任。我方授权委托本协议牵头单位，代表所有联合体成员参加投标、提交投标文件，以及与招标人签订合同，负责整个合同实施阶段的协调工作。</w:t>
      </w:r>
    </w:p>
    <w:p w14:paraId="10E5FAE1">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1、                     为本工程投标联合体牵头单位。</w:t>
      </w:r>
    </w:p>
    <w:p w14:paraId="018DA371">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2、联合体牵头单位合法代表联合体各成员单位:接收及提交投标相关资料、信息或指令，并处理与之相关事务；负责本工程投标文件编制；负责合同谈判、签订及实施阶段的主导、组织和协调等工作。</w:t>
      </w:r>
    </w:p>
    <w:p w14:paraId="17B071BA">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3、联合体严格按照招标文件要求，准时递交投标文件，切实履行合同，并对外承担连带责任。</w:t>
      </w:r>
    </w:p>
    <w:p w14:paraId="29C17055">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4、联合体各成员单位内部职责分工如下：</w:t>
      </w:r>
    </w:p>
    <w:p w14:paraId="737B064E">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（1）联合体牵头单位，承担                 工作；</w:t>
      </w:r>
    </w:p>
    <w:p w14:paraId="1C86FEE9">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（2）联合体成员，承担                    工作。</w:t>
      </w:r>
    </w:p>
    <w:p w14:paraId="130869A7">
      <w:pPr>
        <w:widowControl w:val="0"/>
        <w:spacing w:before="0" w:after="0" w:line="360" w:lineRule="auto"/>
        <w:ind w:left="0" w:firstLine="420" w:firstLineChars="200"/>
        <w:jc w:val="both"/>
        <w:rPr>
          <w:rFonts w:ascii="宋体" w:eastAsia="宋体" w:hAnsi="宋体" w:cs="宋体"/>
          <w:color w:val="0000FF"/>
          <w:kern w:val="2"/>
          <w:sz w:val="21"/>
          <w:szCs w:val="22"/>
          <w:lang w:eastAsia="zh-CN"/>
        </w:rPr>
      </w:pPr>
    </w:p>
    <w:p w14:paraId="1CC38DE9">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5、本协议书自签署之日起生效，未中标或者中标后合同履行完毕后，自动失效。</w:t>
      </w:r>
    </w:p>
    <w:p w14:paraId="12081FDF">
      <w:pPr>
        <w:widowControl w:val="0"/>
        <w:spacing w:before="0" w:after="0" w:line="360" w:lineRule="auto"/>
        <w:ind w:left="0" w:firstLine="420" w:firstLineChars="20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6、本协议书一式份，联合体各方和招标人各执一份。</w:t>
      </w:r>
    </w:p>
    <w:p w14:paraId="58EBE084">
      <w:pPr>
        <w:widowControl w:val="0"/>
        <w:spacing w:before="0" w:after="0" w:line="300" w:lineRule="auto"/>
        <w:ind w:left="360"/>
        <w:jc w:val="both"/>
        <w:rPr>
          <w:rFonts w:ascii="宋体" w:eastAsia="宋体" w:hAnsi="宋体" w:cs="宋体"/>
          <w:color w:val="0000FF"/>
          <w:kern w:val="2"/>
          <w:sz w:val="21"/>
          <w:szCs w:val="21"/>
          <w:lang w:eastAsia="zh-CN"/>
        </w:rPr>
      </w:pPr>
    </w:p>
    <w:p w14:paraId="7BEEC340">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b/>
          <w:bCs/>
          <w:color w:val="0000FF"/>
          <w:kern w:val="2"/>
          <w:sz w:val="21"/>
          <w:szCs w:val="22"/>
          <w:lang w:eastAsia="zh-CN"/>
        </w:rPr>
        <w:t>本投标协议同时作为法定代表人证明书和法人授权委托书。</w:t>
      </w:r>
    </w:p>
    <w:p w14:paraId="73E97B50">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投标牵头单位（盖公章）：</w:t>
      </w:r>
    </w:p>
    <w:p w14:paraId="1E88F710">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法定代表人（签字或盖章）：</w:t>
      </w:r>
    </w:p>
    <w:p w14:paraId="4CFAE947">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授权委托人（签字或盖章）：</w:t>
      </w:r>
    </w:p>
    <w:p w14:paraId="645FD933">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单位地址：邮编：</w:t>
      </w:r>
    </w:p>
    <w:p w14:paraId="077955F4">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联系电话：传真：</w:t>
      </w:r>
    </w:p>
    <w:p w14:paraId="1F32E3EC">
      <w:pPr>
        <w:widowControl w:val="0"/>
        <w:spacing w:before="280" w:after="280" w:line="300" w:lineRule="auto"/>
        <w:ind w:firstLine="480"/>
        <w:jc w:val="both"/>
        <w:rPr>
          <w:rFonts w:ascii="宋体" w:eastAsia="宋体" w:hAnsi="宋体" w:cs="宋体"/>
          <w:color w:val="0000FF"/>
          <w:kern w:val="2"/>
          <w:sz w:val="21"/>
          <w:szCs w:val="22"/>
          <w:lang w:eastAsia="zh-CN"/>
        </w:rPr>
      </w:pPr>
    </w:p>
    <w:p w14:paraId="541E2CF8">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联合体成员（盖公章）：</w:t>
      </w:r>
    </w:p>
    <w:p w14:paraId="561FF260">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法定代表人（签字或盖章）：</w:t>
      </w:r>
    </w:p>
    <w:p w14:paraId="6D5A3C11">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授权委托人（签字或盖章）：</w:t>
      </w:r>
    </w:p>
    <w:p w14:paraId="19CADA15">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单位地址：邮编：</w:t>
      </w:r>
    </w:p>
    <w:p w14:paraId="5415F178">
      <w:pPr>
        <w:widowControl w:val="0"/>
        <w:spacing w:before="280" w:after="280" w:line="300" w:lineRule="auto"/>
        <w:ind w:firstLine="480"/>
        <w:jc w:val="both"/>
        <w:rPr>
          <w:rFonts w:ascii="等线" w:eastAsia="等线" w:hAnsi="等线"/>
          <w:kern w:val="2"/>
          <w:sz w:val="21"/>
          <w:szCs w:val="22"/>
          <w:lang w:eastAsia="zh-CN"/>
        </w:rPr>
      </w:pPr>
      <w:r>
        <w:rPr>
          <w:rFonts w:ascii="宋体" w:eastAsia="宋体" w:hAnsi="宋体" w:cs="宋体"/>
          <w:color w:val="0000FF"/>
          <w:kern w:val="2"/>
          <w:sz w:val="21"/>
          <w:szCs w:val="22"/>
          <w:lang w:eastAsia="zh-CN"/>
        </w:rPr>
        <w:t>联系电话：传真：</w:t>
      </w:r>
    </w:p>
    <w:p w14:paraId="6EE3EA06">
      <w:pPr>
        <w:widowControl w:val="0"/>
        <w:spacing w:line="360" w:lineRule="auto"/>
        <w:ind w:firstLine="480" w:firstLineChars="200"/>
        <w:jc w:val="left"/>
        <w:rPr>
          <w:rFonts w:ascii="宋体" w:eastAsia="宋体" w:hAnsi="宋体" w:cs="宋体" w:hint="eastAsia"/>
          <w:b/>
          <w:snapToGrid w:val="0"/>
          <w:lang w:eastAsia="zh-CN"/>
        </w:rPr>
      </w:pPr>
    </w:p>
    <w:p w14:paraId="70B34159">
      <w:pPr>
        <w:widowControl w:val="0"/>
        <w:jc w:val="both"/>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br w:type="page"/>
      </w:r>
    </w:p>
    <w:p w14:paraId="67F969E4">
      <w:pPr>
        <w:widowControl w:val="0"/>
        <w:jc w:val="left"/>
        <w:rPr>
          <w:rFonts w:ascii="宋体" w:eastAsia="宋体" w:hAnsi="宋体" w:cs="宋体" w:hint="eastAsia"/>
          <w:snapToGrid w:val="0"/>
          <w:sz w:val="21"/>
          <w:szCs w:val="22"/>
          <w:lang w:eastAsia="zh-CN"/>
        </w:rPr>
      </w:pPr>
    </w:p>
    <w:p w14:paraId="534CB61F">
      <w:pPr>
        <w:widowControl w:val="0"/>
        <w:jc w:val="center"/>
        <w:rPr>
          <w:rFonts w:ascii="宋体" w:eastAsia="宋体" w:hAnsi="宋体" w:cs="宋体" w:hint="eastAsia"/>
          <w:snapToGrid w:val="0"/>
          <w:sz w:val="44"/>
          <w:szCs w:val="44"/>
          <w:lang w:eastAsia="zh-CN"/>
        </w:rPr>
      </w:pPr>
    </w:p>
    <w:p w14:paraId="2945D298">
      <w:pPr>
        <w:widowControl w:val="0"/>
        <w:jc w:val="center"/>
        <w:rPr>
          <w:rFonts w:ascii="宋体" w:eastAsia="宋体" w:hAnsi="宋体" w:cs="宋体" w:hint="eastAsia"/>
          <w:snapToGrid w:val="0"/>
          <w:sz w:val="44"/>
          <w:szCs w:val="44"/>
          <w:lang w:eastAsia="zh-CN"/>
        </w:rPr>
      </w:pPr>
      <w:r>
        <w:rPr>
          <w:rFonts w:ascii="宋体" w:eastAsia="宋体" w:hAnsi="宋体" w:cs="宋体" w:hint="eastAsia"/>
          <w:snapToGrid w:val="0"/>
          <w:sz w:val="44"/>
          <w:szCs w:val="44"/>
          <w:u w:val="single"/>
          <w:lang w:eastAsia="zh-CN"/>
        </w:rPr>
        <w:t xml:space="preserve">                 </w:t>
      </w:r>
      <w:r>
        <w:rPr>
          <w:rFonts w:ascii="宋体" w:eastAsia="宋体" w:hAnsi="宋体" w:cs="宋体" w:hint="eastAsia"/>
          <w:snapToGrid w:val="0"/>
          <w:sz w:val="44"/>
          <w:szCs w:val="44"/>
          <w:lang w:eastAsia="zh-CN"/>
        </w:rPr>
        <w:t>项目</w:t>
      </w:r>
    </w:p>
    <w:p w14:paraId="772F5AFC">
      <w:pPr>
        <w:widowControl w:val="0"/>
        <w:jc w:val="center"/>
        <w:rPr>
          <w:rFonts w:ascii="宋体" w:eastAsia="宋体" w:hAnsi="宋体" w:cs="宋体" w:hint="eastAsia"/>
          <w:snapToGrid w:val="0"/>
          <w:sz w:val="44"/>
          <w:szCs w:val="44"/>
          <w:lang w:eastAsia="zh-CN"/>
        </w:rPr>
      </w:pPr>
    </w:p>
    <w:p w14:paraId="125AEDDE">
      <w:pPr>
        <w:widowControl w:val="0"/>
        <w:jc w:val="center"/>
        <w:rPr>
          <w:rFonts w:ascii="宋体" w:eastAsia="宋体" w:hAnsi="宋体" w:cs="宋体" w:hint="eastAsia"/>
          <w:snapToGrid w:val="0"/>
          <w:sz w:val="52"/>
          <w:szCs w:val="52"/>
          <w:lang w:eastAsia="zh-CN"/>
        </w:rPr>
      </w:pPr>
      <w:r>
        <w:rPr>
          <w:rFonts w:ascii="宋体" w:eastAsia="宋体" w:hAnsi="宋体" w:cs="宋体" w:hint="eastAsia"/>
          <w:snapToGrid w:val="0"/>
          <w:sz w:val="52"/>
          <w:szCs w:val="52"/>
          <w:lang w:eastAsia="zh-CN"/>
        </w:rPr>
        <w:t>投标文件</w:t>
      </w:r>
    </w:p>
    <w:p w14:paraId="4BF312AE">
      <w:pPr>
        <w:widowControl w:val="0"/>
        <w:jc w:val="center"/>
        <w:rPr>
          <w:rFonts w:ascii="宋体" w:eastAsia="宋体" w:hAnsi="宋体" w:cs="宋体" w:hint="eastAsia"/>
          <w:snapToGrid w:val="0"/>
          <w:sz w:val="52"/>
          <w:szCs w:val="52"/>
          <w:lang w:eastAsia="zh-CN"/>
        </w:rPr>
      </w:pPr>
    </w:p>
    <w:p w14:paraId="152431DE">
      <w:pPr>
        <w:widowControl w:val="0"/>
        <w:jc w:val="center"/>
        <w:rPr>
          <w:rFonts w:ascii="宋体" w:eastAsia="宋体" w:hAnsi="宋体" w:cs="宋体" w:hint="eastAsia"/>
          <w:snapToGrid w:val="0"/>
          <w:sz w:val="44"/>
          <w:szCs w:val="44"/>
          <w:lang w:eastAsia="zh-CN"/>
        </w:rPr>
      </w:pPr>
    </w:p>
    <w:p w14:paraId="0A9F7343">
      <w:pPr>
        <w:widowControl w:val="0"/>
        <w:jc w:val="center"/>
        <w:rPr>
          <w:rFonts w:ascii="宋体" w:eastAsia="宋体" w:hAnsi="宋体" w:cs="宋体" w:hint="eastAsia"/>
          <w:b/>
          <w:snapToGrid w:val="0"/>
          <w:sz w:val="44"/>
          <w:szCs w:val="44"/>
          <w:lang w:eastAsia="zh-CN"/>
        </w:rPr>
      </w:pPr>
      <w:r>
        <w:rPr>
          <w:rFonts w:ascii="宋体" w:eastAsia="宋体" w:hAnsi="宋体" w:cs="宋体" w:hint="eastAsia"/>
          <w:b/>
          <w:snapToGrid w:val="0"/>
          <w:sz w:val="44"/>
          <w:szCs w:val="44"/>
          <w:lang w:eastAsia="zh-CN"/>
        </w:rPr>
        <w:t>资信标书</w:t>
      </w:r>
    </w:p>
    <w:p w14:paraId="4BFADE31">
      <w:pPr>
        <w:widowControl w:val="0"/>
        <w:jc w:val="center"/>
        <w:rPr>
          <w:rFonts w:ascii="宋体" w:eastAsia="宋体" w:hAnsi="宋体" w:cs="宋体" w:hint="eastAsia"/>
          <w:snapToGrid w:val="0"/>
          <w:sz w:val="44"/>
          <w:szCs w:val="44"/>
          <w:lang w:eastAsia="zh-CN"/>
        </w:rPr>
      </w:pPr>
    </w:p>
    <w:p w14:paraId="13537225">
      <w:pPr>
        <w:widowControl w:val="0"/>
        <w:jc w:val="center"/>
        <w:rPr>
          <w:rFonts w:ascii="宋体" w:eastAsia="宋体" w:hAnsi="宋体" w:cs="宋体" w:hint="eastAsia"/>
          <w:snapToGrid w:val="0"/>
          <w:sz w:val="44"/>
          <w:szCs w:val="44"/>
          <w:lang w:eastAsia="zh-CN"/>
        </w:rPr>
      </w:pPr>
    </w:p>
    <w:p w14:paraId="7163FAE9">
      <w:pPr>
        <w:widowControl w:val="0"/>
        <w:jc w:val="center"/>
        <w:rPr>
          <w:rFonts w:ascii="宋体" w:eastAsia="宋体" w:hAnsi="宋体" w:cs="宋体" w:hint="eastAsia"/>
          <w:snapToGrid w:val="0"/>
          <w:sz w:val="44"/>
          <w:szCs w:val="44"/>
          <w:lang w:eastAsia="zh-CN"/>
        </w:rPr>
      </w:pPr>
    </w:p>
    <w:p w14:paraId="193E6F2F">
      <w:pPr>
        <w:widowControl w:val="0"/>
        <w:jc w:val="center"/>
        <w:rPr>
          <w:rFonts w:ascii="宋体" w:eastAsia="宋体" w:hAnsi="宋体" w:cs="宋体" w:hint="eastAsia"/>
          <w:snapToGrid w:val="0"/>
          <w:sz w:val="44"/>
          <w:szCs w:val="44"/>
          <w:lang w:eastAsia="zh-CN"/>
        </w:rPr>
      </w:pPr>
    </w:p>
    <w:p w14:paraId="10AC84D0">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项目编号：</w:t>
      </w:r>
      <w:r>
        <w:rPr>
          <w:rFonts w:ascii="宋体" w:eastAsia="宋体" w:hAnsi="宋体" w:cs="宋体" w:hint="eastAsia"/>
          <w:snapToGrid w:val="0"/>
          <w:sz w:val="28"/>
          <w:szCs w:val="28"/>
          <w:u w:val="single"/>
          <w:lang w:eastAsia="zh-CN"/>
        </w:rPr>
        <w:t xml:space="preserve">                            </w:t>
      </w:r>
    </w:p>
    <w:p w14:paraId="61464484">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投标人名称：</w:t>
      </w:r>
      <w:r>
        <w:rPr>
          <w:rFonts w:ascii="宋体" w:eastAsia="宋体" w:hAnsi="宋体" w:cs="宋体" w:hint="eastAsia"/>
          <w:snapToGrid w:val="0"/>
          <w:sz w:val="28"/>
          <w:szCs w:val="28"/>
          <w:u w:val="single"/>
          <w:lang w:eastAsia="zh-CN"/>
        </w:rPr>
        <w:t xml:space="preserve">                           </w:t>
      </w:r>
    </w:p>
    <w:p w14:paraId="48E38F22">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投标人代表：</w:t>
      </w:r>
      <w:r>
        <w:rPr>
          <w:rFonts w:ascii="宋体" w:eastAsia="宋体" w:hAnsi="宋体" w:cs="宋体" w:hint="eastAsia"/>
          <w:snapToGrid w:val="0"/>
          <w:sz w:val="28"/>
          <w:szCs w:val="28"/>
          <w:u w:val="single"/>
          <w:lang w:eastAsia="zh-CN"/>
        </w:rPr>
        <w:t xml:space="preserve">                           </w:t>
      </w:r>
    </w:p>
    <w:p w14:paraId="21A6D964">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投标日期：</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年</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月</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日</w:t>
      </w:r>
    </w:p>
    <w:p w14:paraId="19243409">
      <w:pPr>
        <w:widowControl w:val="0"/>
        <w:jc w:val="both"/>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br w:type="page"/>
      </w:r>
    </w:p>
    <w:p w14:paraId="550793B5">
      <w:pPr>
        <w:widowControl w:val="0"/>
        <w:spacing w:after="120" w:line="240" w:lineRule="auto"/>
        <w:ind w:left="0" w:firstLine="720" w:leftChars="0" w:firstLineChars="300"/>
        <w:jc w:val="left"/>
        <w:rPr>
          <w:rFonts w:ascii="宋体" w:eastAsia="宋体" w:hAnsi="宋体" w:cs="宋体" w:hint="eastAsia"/>
          <w:snapToGrid w:val="0"/>
          <w:sz w:val="21"/>
          <w:szCs w:val="22"/>
          <w:lang w:eastAsia="zh-CN"/>
        </w:rPr>
      </w:pPr>
      <w:r>
        <w:rPr>
          <w:rFonts w:ascii="宋体" w:eastAsia="宋体" w:hAnsi="宋体" w:cs="宋体" w:hint="eastAsia"/>
          <w:color w:val="000000"/>
          <w:kern w:val="2"/>
          <w:lang w:eastAsia="zh-CN"/>
        </w:rPr>
        <w:t>按《资信标要求一览表》要求编制资信标文件</w:t>
      </w:r>
      <w:r>
        <w:rPr>
          <w:rFonts w:ascii="宋体" w:eastAsia="宋体" w:hAnsi="宋体" w:cs="宋体" w:hint="eastAsia"/>
          <w:color w:val="000000"/>
          <w:kern w:val="2"/>
          <w:lang w:eastAsia="zh-CN"/>
        </w:rPr>
        <w:t>。</w:t>
      </w:r>
      <w:r>
        <w:rPr>
          <w:rFonts w:ascii="宋体" w:eastAsia="宋体" w:hAnsi="宋体" w:cs="宋体" w:hint="eastAsia"/>
          <w:snapToGrid w:val="0"/>
          <w:sz w:val="21"/>
          <w:szCs w:val="22"/>
          <w:lang w:eastAsia="zh-CN"/>
        </w:rPr>
        <w:br w:type="page"/>
      </w:r>
    </w:p>
    <w:p w14:paraId="0A5E12C5">
      <w:pPr>
        <w:widowControl w:val="0"/>
        <w:jc w:val="center"/>
        <w:rPr>
          <w:rFonts w:ascii="宋体" w:eastAsia="宋体" w:hAnsi="宋体" w:cs="宋体" w:hint="eastAsia"/>
          <w:snapToGrid w:val="0"/>
          <w:sz w:val="44"/>
          <w:szCs w:val="44"/>
          <w:lang w:eastAsia="zh-CN"/>
        </w:rPr>
      </w:pPr>
      <w:r>
        <w:rPr>
          <w:rFonts w:ascii="宋体" w:eastAsia="宋体" w:hAnsi="宋体" w:cs="宋体" w:hint="eastAsia"/>
          <w:snapToGrid w:val="0"/>
          <w:sz w:val="44"/>
          <w:szCs w:val="44"/>
          <w:u w:val="single"/>
          <w:lang w:eastAsia="zh-CN"/>
        </w:rPr>
        <w:t xml:space="preserve">                 </w:t>
      </w:r>
      <w:r>
        <w:rPr>
          <w:rFonts w:ascii="宋体" w:eastAsia="宋体" w:hAnsi="宋体" w:cs="宋体" w:hint="eastAsia"/>
          <w:snapToGrid w:val="0"/>
          <w:sz w:val="44"/>
          <w:szCs w:val="44"/>
          <w:lang w:eastAsia="zh-CN"/>
        </w:rPr>
        <w:t>项目</w:t>
      </w:r>
    </w:p>
    <w:p w14:paraId="2579D77A">
      <w:pPr>
        <w:widowControl w:val="0"/>
        <w:jc w:val="center"/>
        <w:rPr>
          <w:rFonts w:ascii="宋体" w:eastAsia="宋体" w:hAnsi="宋体" w:cs="宋体" w:hint="eastAsia"/>
          <w:snapToGrid w:val="0"/>
          <w:sz w:val="44"/>
          <w:szCs w:val="44"/>
          <w:lang w:eastAsia="zh-CN"/>
        </w:rPr>
      </w:pPr>
    </w:p>
    <w:p w14:paraId="17CDC04B">
      <w:pPr>
        <w:widowControl w:val="0"/>
        <w:jc w:val="center"/>
        <w:rPr>
          <w:rFonts w:ascii="宋体" w:eastAsia="宋体" w:hAnsi="宋体" w:cs="宋体" w:hint="eastAsia"/>
          <w:snapToGrid w:val="0"/>
          <w:sz w:val="52"/>
          <w:szCs w:val="52"/>
          <w:lang w:eastAsia="zh-CN"/>
        </w:rPr>
      </w:pPr>
      <w:r>
        <w:rPr>
          <w:rFonts w:ascii="宋体" w:eastAsia="宋体" w:hAnsi="宋体" w:cs="宋体" w:hint="eastAsia"/>
          <w:snapToGrid w:val="0"/>
          <w:sz w:val="52"/>
          <w:szCs w:val="52"/>
          <w:lang w:eastAsia="zh-CN"/>
        </w:rPr>
        <w:t>投标文件</w:t>
      </w:r>
    </w:p>
    <w:p w14:paraId="2DF096ED">
      <w:pPr>
        <w:widowControl w:val="0"/>
        <w:jc w:val="center"/>
        <w:rPr>
          <w:rFonts w:ascii="宋体" w:eastAsia="宋体" w:hAnsi="宋体" w:cs="宋体" w:hint="eastAsia"/>
          <w:snapToGrid w:val="0"/>
          <w:sz w:val="52"/>
          <w:szCs w:val="52"/>
          <w:lang w:eastAsia="zh-CN"/>
        </w:rPr>
      </w:pPr>
    </w:p>
    <w:p w14:paraId="17F8AD9D">
      <w:pPr>
        <w:widowControl w:val="0"/>
        <w:jc w:val="center"/>
        <w:rPr>
          <w:rFonts w:ascii="宋体" w:eastAsia="宋体" w:hAnsi="宋体" w:cs="宋体" w:hint="eastAsia"/>
          <w:snapToGrid w:val="0"/>
          <w:sz w:val="44"/>
          <w:szCs w:val="44"/>
          <w:lang w:eastAsia="zh-CN"/>
        </w:rPr>
      </w:pPr>
    </w:p>
    <w:p w14:paraId="0CB268FD">
      <w:pPr>
        <w:widowControl w:val="0"/>
        <w:jc w:val="center"/>
        <w:outlineLvl w:val="1"/>
        <w:rPr>
          <w:rFonts w:ascii="宋体" w:eastAsia="宋体" w:hAnsi="宋体" w:cs="宋体" w:hint="eastAsia"/>
          <w:b/>
          <w:snapToGrid w:val="0"/>
          <w:sz w:val="44"/>
          <w:szCs w:val="44"/>
          <w:lang w:eastAsia="zh-CN"/>
        </w:rPr>
      </w:pPr>
      <w:bookmarkStart w:id="73" w:name="_Toc15662"/>
      <w:bookmarkStart w:id="74" w:name="_Toc16838"/>
      <w:r>
        <w:rPr>
          <w:rFonts w:ascii="宋体" w:eastAsia="宋体" w:hAnsi="宋体" w:cs="宋体" w:hint="eastAsia"/>
          <w:b/>
          <w:snapToGrid w:val="0"/>
          <w:sz w:val="44"/>
          <w:szCs w:val="44"/>
          <w:lang w:eastAsia="zh-CN"/>
        </w:rPr>
        <w:t>技术标书</w:t>
      </w:r>
      <w:bookmarkEnd w:id="73"/>
      <w:bookmarkEnd w:id="74"/>
    </w:p>
    <w:p w14:paraId="3AEA8FEF">
      <w:pPr>
        <w:widowControl w:val="0"/>
        <w:jc w:val="center"/>
        <w:rPr>
          <w:rFonts w:ascii="宋体" w:eastAsia="宋体" w:hAnsi="宋体" w:cs="宋体" w:hint="eastAsia"/>
          <w:snapToGrid w:val="0"/>
          <w:sz w:val="44"/>
          <w:szCs w:val="44"/>
          <w:lang w:eastAsia="zh-CN"/>
        </w:rPr>
      </w:pPr>
    </w:p>
    <w:p w14:paraId="452D4F99">
      <w:pPr>
        <w:widowControl w:val="0"/>
        <w:jc w:val="center"/>
        <w:rPr>
          <w:rFonts w:ascii="宋体" w:eastAsia="宋体" w:hAnsi="宋体" w:cs="宋体" w:hint="eastAsia"/>
          <w:snapToGrid w:val="0"/>
          <w:sz w:val="44"/>
          <w:szCs w:val="44"/>
          <w:lang w:eastAsia="zh-CN"/>
        </w:rPr>
      </w:pPr>
    </w:p>
    <w:p w14:paraId="04BE05B7">
      <w:pPr>
        <w:widowControl w:val="0"/>
        <w:jc w:val="center"/>
        <w:rPr>
          <w:rFonts w:ascii="宋体" w:eastAsia="宋体" w:hAnsi="宋体" w:cs="宋体" w:hint="eastAsia"/>
          <w:snapToGrid w:val="0"/>
          <w:sz w:val="44"/>
          <w:szCs w:val="44"/>
          <w:lang w:eastAsia="zh-CN"/>
        </w:rPr>
      </w:pPr>
    </w:p>
    <w:p w14:paraId="4EA94783">
      <w:pPr>
        <w:widowControl w:val="0"/>
        <w:jc w:val="center"/>
        <w:rPr>
          <w:rFonts w:ascii="宋体" w:eastAsia="宋体" w:hAnsi="宋体" w:cs="宋体" w:hint="eastAsia"/>
          <w:snapToGrid w:val="0"/>
          <w:sz w:val="44"/>
          <w:szCs w:val="44"/>
          <w:lang w:eastAsia="zh-CN"/>
        </w:rPr>
      </w:pPr>
    </w:p>
    <w:p w14:paraId="3A0D82BB">
      <w:pPr>
        <w:widowControl w:val="0"/>
        <w:jc w:val="center"/>
        <w:rPr>
          <w:rFonts w:ascii="宋体" w:eastAsia="宋体" w:hAnsi="宋体" w:cs="宋体" w:hint="eastAsia"/>
          <w:snapToGrid w:val="0"/>
          <w:sz w:val="44"/>
          <w:szCs w:val="44"/>
          <w:lang w:eastAsia="zh-CN"/>
        </w:rPr>
      </w:pPr>
    </w:p>
    <w:p w14:paraId="4B3C9624">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项目编号：</w:t>
      </w:r>
      <w:r>
        <w:rPr>
          <w:rFonts w:ascii="宋体" w:eastAsia="宋体" w:hAnsi="宋体" w:cs="宋体" w:hint="eastAsia"/>
          <w:snapToGrid w:val="0"/>
          <w:sz w:val="28"/>
          <w:szCs w:val="28"/>
          <w:u w:val="single"/>
          <w:lang w:eastAsia="zh-CN"/>
        </w:rPr>
        <w:t xml:space="preserve">                              </w:t>
      </w:r>
    </w:p>
    <w:p w14:paraId="446F0CC2">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投标人名称：</w:t>
      </w:r>
      <w:r>
        <w:rPr>
          <w:rFonts w:ascii="宋体" w:eastAsia="宋体" w:hAnsi="宋体" w:cs="宋体" w:hint="eastAsia"/>
          <w:snapToGrid w:val="0"/>
          <w:sz w:val="28"/>
          <w:szCs w:val="28"/>
          <w:u w:val="single"/>
          <w:lang w:eastAsia="zh-CN"/>
        </w:rPr>
        <w:t xml:space="preserve">                            </w:t>
      </w:r>
    </w:p>
    <w:p w14:paraId="44048355">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投标人代表：</w:t>
      </w:r>
      <w:r>
        <w:rPr>
          <w:rFonts w:ascii="宋体" w:eastAsia="宋体" w:hAnsi="宋体" w:cs="宋体" w:hint="eastAsia"/>
          <w:snapToGrid w:val="0"/>
          <w:sz w:val="28"/>
          <w:szCs w:val="28"/>
          <w:u w:val="single"/>
          <w:lang w:eastAsia="zh-CN"/>
        </w:rPr>
        <w:t xml:space="preserve">                            </w:t>
      </w:r>
    </w:p>
    <w:p w14:paraId="6C5DC38B">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日    期：</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年</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月</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日</w:t>
      </w:r>
    </w:p>
    <w:p w14:paraId="6F73482C">
      <w:pPr>
        <w:widowControl w:val="0"/>
        <w:spacing w:line="500" w:lineRule="exact"/>
        <w:jc w:val="center"/>
        <w:rPr>
          <w:rFonts w:ascii="宋体" w:eastAsia="宋体" w:hAnsi="宋体" w:cs="宋体" w:hint="eastAsia"/>
          <w:snapToGrid w:val="0"/>
          <w:szCs w:val="22"/>
          <w:lang w:eastAsia="zh-CN"/>
        </w:rPr>
      </w:pPr>
      <w:r>
        <w:rPr>
          <w:rFonts w:ascii="宋体" w:eastAsia="宋体" w:hAnsi="宋体" w:cs="宋体" w:hint="eastAsia"/>
          <w:snapToGrid w:val="0"/>
          <w:sz w:val="21"/>
          <w:szCs w:val="22"/>
          <w:lang w:eastAsia="zh-CN"/>
        </w:rPr>
        <w:br w:type="page"/>
      </w:r>
      <w:r>
        <w:rPr>
          <w:rFonts w:ascii="宋体" w:eastAsia="宋体" w:hAnsi="宋体" w:cs="宋体" w:hint="eastAsia"/>
          <w:kern w:val="2"/>
          <w:sz w:val="36"/>
          <w:szCs w:val="36"/>
          <w:u w:val="single"/>
          <w:lang w:eastAsia="zh-CN"/>
        </w:rPr>
        <w:t>本项目无需编制</w:t>
      </w:r>
      <w:r>
        <w:rPr>
          <w:rFonts w:ascii="宋体" w:eastAsia="宋体" w:hAnsi="宋体" w:cs="宋体" w:hint="eastAsia"/>
          <w:kern w:val="2"/>
          <w:sz w:val="36"/>
          <w:szCs w:val="36"/>
          <w:u w:val="single"/>
          <w:lang w:eastAsia="zh-CN"/>
        </w:rPr>
        <w:t>技术标</w:t>
      </w:r>
      <w:r>
        <w:rPr>
          <w:rFonts w:ascii="宋体" w:eastAsia="宋体" w:hAnsi="宋体" w:cs="宋体" w:hint="eastAsia"/>
          <w:kern w:val="2"/>
          <w:sz w:val="36"/>
          <w:szCs w:val="36"/>
          <w:u w:val="single"/>
          <w:lang w:eastAsia="zh-CN"/>
        </w:rPr>
        <w:t>文件。</w:t>
      </w:r>
    </w:p>
    <w:p w14:paraId="3C29AB01">
      <w:pPr>
        <w:widowControl w:val="0"/>
        <w:spacing w:before="0" w:beforeAutospacing="0" w:after="0" w:afterAutospacing="0" w:line="360" w:lineRule="auto"/>
        <w:jc w:val="left"/>
        <w:rPr>
          <w:rFonts w:ascii="宋体" w:eastAsia="宋体" w:hAnsi="宋体" w:cs="宋体" w:hint="eastAsia"/>
          <w:snapToGrid w:val="0"/>
          <w:lang w:eastAsia="zh-CN"/>
        </w:rPr>
      </w:pPr>
      <w:r>
        <w:rPr>
          <w:rFonts w:ascii="宋体" w:eastAsia="宋体" w:hAnsi="宋体" w:cs="宋体" w:hint="eastAsia"/>
          <w:snapToGrid w:val="0"/>
          <w:lang w:eastAsia="zh-CN"/>
        </w:rPr>
        <w:br w:type="page"/>
      </w:r>
    </w:p>
    <w:p w14:paraId="5C06EAF5">
      <w:pPr>
        <w:widowControl w:val="0"/>
        <w:jc w:val="center"/>
        <w:rPr>
          <w:rFonts w:ascii="宋体" w:eastAsia="宋体" w:hAnsi="宋体" w:cs="宋体" w:hint="eastAsia"/>
          <w:snapToGrid w:val="0"/>
          <w:sz w:val="44"/>
          <w:szCs w:val="44"/>
          <w:lang w:eastAsia="zh-CN"/>
        </w:rPr>
      </w:pPr>
    </w:p>
    <w:p w14:paraId="1984905E">
      <w:pPr>
        <w:widowControl w:val="0"/>
        <w:jc w:val="center"/>
        <w:rPr>
          <w:rFonts w:ascii="宋体" w:eastAsia="宋体" w:hAnsi="宋体" w:cs="宋体" w:hint="eastAsia"/>
          <w:snapToGrid w:val="0"/>
          <w:sz w:val="44"/>
          <w:szCs w:val="44"/>
          <w:lang w:eastAsia="zh-CN"/>
        </w:rPr>
      </w:pPr>
    </w:p>
    <w:p w14:paraId="749802D1">
      <w:pPr>
        <w:widowControl w:val="0"/>
        <w:jc w:val="center"/>
        <w:rPr>
          <w:rFonts w:ascii="宋体" w:eastAsia="宋体" w:hAnsi="宋体" w:cs="宋体" w:hint="eastAsia"/>
          <w:snapToGrid w:val="0"/>
          <w:sz w:val="44"/>
          <w:szCs w:val="44"/>
          <w:lang w:eastAsia="zh-CN"/>
        </w:rPr>
      </w:pPr>
      <w:r>
        <w:rPr>
          <w:rFonts w:ascii="宋体" w:eastAsia="宋体" w:hAnsi="宋体" w:cs="宋体" w:hint="eastAsia"/>
          <w:snapToGrid w:val="0"/>
          <w:sz w:val="44"/>
          <w:szCs w:val="44"/>
          <w:u w:val="single"/>
          <w:lang w:eastAsia="zh-CN"/>
        </w:rPr>
        <w:t xml:space="preserve">                 </w:t>
      </w:r>
      <w:r>
        <w:rPr>
          <w:rFonts w:ascii="宋体" w:eastAsia="宋体" w:hAnsi="宋体" w:cs="宋体" w:hint="eastAsia"/>
          <w:snapToGrid w:val="0"/>
          <w:sz w:val="44"/>
          <w:szCs w:val="44"/>
          <w:lang w:eastAsia="zh-CN"/>
        </w:rPr>
        <w:t>项目</w:t>
      </w:r>
    </w:p>
    <w:p w14:paraId="24B152B5">
      <w:pPr>
        <w:widowControl w:val="0"/>
        <w:jc w:val="center"/>
        <w:rPr>
          <w:rFonts w:ascii="宋体" w:eastAsia="宋体" w:hAnsi="宋体" w:cs="宋体" w:hint="eastAsia"/>
          <w:snapToGrid w:val="0"/>
          <w:sz w:val="44"/>
          <w:szCs w:val="44"/>
          <w:lang w:eastAsia="zh-CN"/>
        </w:rPr>
      </w:pPr>
    </w:p>
    <w:p w14:paraId="0A79D3D7">
      <w:pPr>
        <w:widowControl w:val="0"/>
        <w:jc w:val="center"/>
        <w:rPr>
          <w:rFonts w:ascii="宋体" w:eastAsia="宋体" w:hAnsi="宋体" w:cs="宋体" w:hint="eastAsia"/>
          <w:snapToGrid w:val="0"/>
          <w:sz w:val="52"/>
          <w:szCs w:val="52"/>
          <w:lang w:eastAsia="zh-CN"/>
        </w:rPr>
      </w:pPr>
      <w:r>
        <w:rPr>
          <w:rFonts w:ascii="宋体" w:eastAsia="宋体" w:hAnsi="宋体" w:cs="宋体" w:hint="eastAsia"/>
          <w:snapToGrid w:val="0"/>
          <w:sz w:val="52"/>
          <w:szCs w:val="52"/>
          <w:lang w:eastAsia="zh-CN"/>
        </w:rPr>
        <w:t>投标文件</w:t>
      </w:r>
    </w:p>
    <w:p w14:paraId="71FAC480">
      <w:pPr>
        <w:widowControl w:val="0"/>
        <w:jc w:val="center"/>
        <w:rPr>
          <w:rFonts w:ascii="宋体" w:eastAsia="宋体" w:hAnsi="宋体" w:cs="宋体" w:hint="eastAsia"/>
          <w:snapToGrid w:val="0"/>
          <w:sz w:val="52"/>
          <w:szCs w:val="52"/>
          <w:lang w:eastAsia="zh-CN"/>
        </w:rPr>
      </w:pPr>
    </w:p>
    <w:p w14:paraId="3B77F0CB">
      <w:pPr>
        <w:widowControl w:val="0"/>
        <w:jc w:val="center"/>
        <w:rPr>
          <w:rFonts w:ascii="宋体" w:eastAsia="宋体" w:hAnsi="宋体" w:cs="宋体" w:hint="eastAsia"/>
          <w:snapToGrid w:val="0"/>
          <w:sz w:val="52"/>
          <w:szCs w:val="52"/>
          <w:lang w:eastAsia="zh-CN"/>
        </w:rPr>
      </w:pPr>
    </w:p>
    <w:p w14:paraId="7B31F1A2">
      <w:pPr>
        <w:widowControl w:val="0"/>
        <w:jc w:val="center"/>
        <w:outlineLvl w:val="1"/>
        <w:rPr>
          <w:rFonts w:ascii="宋体" w:eastAsia="宋体" w:hAnsi="宋体" w:cs="宋体" w:hint="eastAsia"/>
          <w:b/>
          <w:snapToGrid w:val="0"/>
          <w:sz w:val="44"/>
          <w:szCs w:val="44"/>
          <w:lang w:eastAsia="zh-CN"/>
        </w:rPr>
      </w:pPr>
      <w:bookmarkStart w:id="75" w:name="_Toc4866"/>
      <w:bookmarkStart w:id="76" w:name="_Toc14572"/>
      <w:r>
        <w:rPr>
          <w:rFonts w:ascii="宋体" w:eastAsia="宋体" w:hAnsi="宋体" w:cs="宋体" w:hint="eastAsia"/>
          <w:b/>
          <w:snapToGrid w:val="0"/>
          <w:sz w:val="44"/>
          <w:szCs w:val="44"/>
          <w:lang w:eastAsia="zh-CN"/>
        </w:rPr>
        <w:t>商务标书</w:t>
      </w:r>
      <w:bookmarkEnd w:id="75"/>
      <w:bookmarkEnd w:id="76"/>
    </w:p>
    <w:p w14:paraId="033D7954">
      <w:pPr>
        <w:widowControl w:val="0"/>
        <w:jc w:val="center"/>
        <w:rPr>
          <w:rFonts w:ascii="宋体" w:eastAsia="宋体" w:hAnsi="宋体" w:cs="宋体" w:hint="eastAsia"/>
          <w:snapToGrid w:val="0"/>
          <w:sz w:val="44"/>
          <w:szCs w:val="44"/>
          <w:lang w:eastAsia="zh-CN"/>
        </w:rPr>
      </w:pPr>
    </w:p>
    <w:p w14:paraId="2F199DE2">
      <w:pPr>
        <w:widowControl w:val="0"/>
        <w:jc w:val="center"/>
        <w:rPr>
          <w:rFonts w:ascii="宋体" w:eastAsia="宋体" w:hAnsi="宋体" w:cs="宋体" w:hint="eastAsia"/>
          <w:snapToGrid w:val="0"/>
          <w:sz w:val="44"/>
          <w:szCs w:val="44"/>
          <w:lang w:eastAsia="zh-CN"/>
        </w:rPr>
      </w:pPr>
    </w:p>
    <w:p w14:paraId="6ADD6BA4">
      <w:pPr>
        <w:widowControl w:val="0"/>
        <w:jc w:val="center"/>
        <w:rPr>
          <w:rFonts w:ascii="宋体" w:eastAsia="宋体" w:hAnsi="宋体" w:cs="宋体" w:hint="eastAsia"/>
          <w:snapToGrid w:val="0"/>
          <w:sz w:val="44"/>
          <w:szCs w:val="44"/>
          <w:lang w:eastAsia="zh-CN"/>
        </w:rPr>
      </w:pPr>
    </w:p>
    <w:p w14:paraId="5FE47997">
      <w:pPr>
        <w:widowControl w:val="0"/>
        <w:jc w:val="center"/>
        <w:rPr>
          <w:rFonts w:ascii="宋体" w:eastAsia="宋体" w:hAnsi="宋体" w:cs="宋体" w:hint="eastAsia"/>
          <w:snapToGrid w:val="0"/>
          <w:sz w:val="44"/>
          <w:szCs w:val="44"/>
          <w:lang w:eastAsia="zh-CN"/>
        </w:rPr>
      </w:pPr>
    </w:p>
    <w:p w14:paraId="02D52E4D">
      <w:pPr>
        <w:widowControl w:val="0"/>
        <w:jc w:val="center"/>
        <w:rPr>
          <w:rFonts w:ascii="宋体" w:eastAsia="宋体" w:hAnsi="宋体" w:cs="宋体" w:hint="eastAsia"/>
          <w:snapToGrid w:val="0"/>
          <w:sz w:val="44"/>
          <w:szCs w:val="44"/>
          <w:lang w:eastAsia="zh-CN"/>
        </w:rPr>
      </w:pPr>
    </w:p>
    <w:p w14:paraId="52AA2F99">
      <w:pPr>
        <w:widowControl w:val="0"/>
        <w:jc w:val="center"/>
        <w:rPr>
          <w:rFonts w:ascii="宋体" w:eastAsia="宋体" w:hAnsi="宋体" w:cs="宋体" w:hint="eastAsia"/>
          <w:snapToGrid w:val="0"/>
          <w:sz w:val="44"/>
          <w:szCs w:val="44"/>
          <w:lang w:eastAsia="zh-CN"/>
        </w:rPr>
      </w:pPr>
    </w:p>
    <w:p w14:paraId="70FA258D">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项目编号：</w:t>
      </w:r>
      <w:r>
        <w:rPr>
          <w:rFonts w:ascii="宋体" w:eastAsia="宋体" w:hAnsi="宋体" w:cs="宋体" w:hint="eastAsia"/>
          <w:snapToGrid w:val="0"/>
          <w:sz w:val="28"/>
          <w:szCs w:val="28"/>
          <w:u w:val="single"/>
          <w:lang w:eastAsia="zh-CN"/>
        </w:rPr>
        <w:t xml:space="preserve">                              </w:t>
      </w:r>
    </w:p>
    <w:p w14:paraId="416687A2">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投标人名称：</w:t>
      </w:r>
      <w:r>
        <w:rPr>
          <w:rFonts w:ascii="宋体" w:eastAsia="宋体" w:hAnsi="宋体" w:cs="宋体" w:hint="eastAsia"/>
          <w:snapToGrid w:val="0"/>
          <w:sz w:val="28"/>
          <w:szCs w:val="28"/>
          <w:u w:val="single"/>
          <w:lang w:eastAsia="zh-CN"/>
        </w:rPr>
        <w:t xml:space="preserve">                            </w:t>
      </w:r>
    </w:p>
    <w:p w14:paraId="4CC9409D">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投标人代表：</w:t>
      </w:r>
      <w:r>
        <w:rPr>
          <w:rFonts w:ascii="宋体" w:eastAsia="宋体" w:hAnsi="宋体" w:cs="宋体" w:hint="eastAsia"/>
          <w:snapToGrid w:val="0"/>
          <w:sz w:val="28"/>
          <w:szCs w:val="28"/>
          <w:u w:val="single"/>
          <w:lang w:eastAsia="zh-CN"/>
        </w:rPr>
        <w:t xml:space="preserve">                            </w:t>
      </w:r>
    </w:p>
    <w:p w14:paraId="645E25BC">
      <w:pPr>
        <w:widowControl w:val="0"/>
        <w:spacing w:line="480" w:lineRule="auto"/>
        <w:ind w:firstLine="1400" w:firstLineChars="500"/>
        <w:jc w:val="left"/>
        <w:rPr>
          <w:rFonts w:ascii="宋体" w:eastAsia="宋体" w:hAnsi="宋体" w:cs="宋体" w:hint="eastAsia"/>
          <w:snapToGrid w:val="0"/>
          <w:sz w:val="28"/>
          <w:szCs w:val="28"/>
          <w:lang w:eastAsia="zh-CN"/>
        </w:rPr>
      </w:pPr>
      <w:r>
        <w:rPr>
          <w:rFonts w:ascii="宋体" w:eastAsia="宋体" w:hAnsi="宋体" w:cs="宋体" w:hint="eastAsia"/>
          <w:snapToGrid w:val="0"/>
          <w:sz w:val="28"/>
          <w:szCs w:val="28"/>
          <w:lang w:eastAsia="zh-CN"/>
        </w:rPr>
        <w:t>日    期：</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年</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月</w:t>
      </w:r>
      <w:r>
        <w:rPr>
          <w:rFonts w:ascii="宋体" w:eastAsia="宋体" w:hAnsi="宋体" w:cs="宋体" w:hint="eastAsia"/>
          <w:snapToGrid w:val="0"/>
          <w:sz w:val="28"/>
          <w:szCs w:val="28"/>
          <w:u w:val="single"/>
          <w:lang w:eastAsia="zh-CN"/>
        </w:rPr>
        <w:t xml:space="preserve">      </w:t>
      </w:r>
      <w:r>
        <w:rPr>
          <w:rFonts w:ascii="宋体" w:eastAsia="宋体" w:hAnsi="宋体" w:cs="宋体" w:hint="eastAsia"/>
          <w:snapToGrid w:val="0"/>
          <w:sz w:val="28"/>
          <w:szCs w:val="28"/>
          <w:lang w:eastAsia="zh-CN"/>
        </w:rPr>
        <w:t>日</w:t>
      </w:r>
    </w:p>
    <w:p w14:paraId="75C708B3">
      <w:pPr>
        <w:widowControl w:val="0"/>
        <w:jc w:val="both"/>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br w:type="page"/>
      </w:r>
    </w:p>
    <w:p w14:paraId="40B5FADB">
      <w:pPr>
        <w:widowControl w:val="0"/>
        <w:adjustRightInd w:val="0"/>
        <w:snapToGrid w:val="0"/>
        <w:spacing w:line="360" w:lineRule="auto"/>
        <w:ind w:left="161" w:leftChars="67"/>
        <w:jc w:val="center"/>
        <w:rPr>
          <w:rFonts w:ascii="宋体" w:eastAsia="宋体" w:hAnsi="宋体" w:cs="宋体" w:hint="eastAsia"/>
          <w:kern w:val="2"/>
          <w:sz w:val="28"/>
          <w:szCs w:val="22"/>
          <w:u w:val="single"/>
          <w:lang w:eastAsia="zh-CN" w:bidi="ar"/>
        </w:rPr>
      </w:pPr>
      <w:r>
        <w:rPr>
          <w:rFonts w:ascii="宋体" w:eastAsia="宋体" w:hAnsi="宋体" w:cs="宋体" w:hint="eastAsia"/>
          <w:b/>
          <w:snapToGrid w:val="0"/>
          <w:color w:val="000000"/>
          <w:sz w:val="30"/>
          <w:szCs w:val="30"/>
          <w:lang w:eastAsia="zh-CN"/>
        </w:rPr>
        <w:t>一、</w:t>
      </w:r>
      <w:r>
        <w:rPr>
          <w:rFonts w:ascii="宋体" w:eastAsia="宋体" w:hAnsi="宋体" w:cs="宋体" w:hint="eastAsia"/>
          <w:b/>
          <w:snapToGrid w:val="0"/>
          <w:color w:val="000000"/>
          <w:sz w:val="30"/>
          <w:szCs w:val="30"/>
          <w:lang w:eastAsia="zh-CN"/>
        </w:rPr>
        <w:t>投标函</w:t>
      </w:r>
    </w:p>
    <w:p w14:paraId="55F303C0">
      <w:pPr>
        <w:widowControl w:val="0"/>
        <w:spacing w:line="360" w:lineRule="auto"/>
        <w:ind w:firstLine="0" w:firstLineChars="0"/>
        <w:jc w:val="left"/>
        <w:rPr>
          <w:rFonts w:ascii="宋体" w:eastAsia="宋体" w:hAnsi="宋体" w:cs="宋体" w:hint="eastAsia"/>
          <w:snapToGrid w:val="0"/>
          <w:color w:val="000000"/>
          <w:sz w:val="21"/>
          <w:szCs w:val="21"/>
          <w:lang w:eastAsia="zh-CN"/>
        </w:rPr>
      </w:pPr>
      <w:r>
        <w:rPr>
          <w:rFonts w:ascii="宋体" w:eastAsia="宋体" w:hAnsi="宋体" w:cs="宋体" w:hint="eastAsia"/>
          <w:snapToGrid w:val="0"/>
          <w:color w:val="000000"/>
          <w:sz w:val="21"/>
          <w:szCs w:val="21"/>
          <w:lang w:eastAsia="zh-CN"/>
        </w:rPr>
        <w:t>致</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深圳市龙新开发建设有限公司：</w:t>
      </w:r>
    </w:p>
    <w:p w14:paraId="2C2F60BC">
      <w:pPr>
        <w:widowControl w:val="0"/>
        <w:spacing w:line="360" w:lineRule="auto"/>
        <w:ind w:firstLine="420" w:firstLineChars="200"/>
        <w:jc w:val="left"/>
        <w:rPr>
          <w:rFonts w:ascii="宋体" w:eastAsia="宋体" w:hAnsi="宋体" w:cs="宋体" w:hint="eastAsia"/>
          <w:snapToGrid w:val="0"/>
          <w:color w:val="000000"/>
          <w:sz w:val="21"/>
          <w:szCs w:val="21"/>
          <w:lang w:eastAsia="zh-CN"/>
        </w:rPr>
      </w:pPr>
      <w:r>
        <w:rPr>
          <w:rFonts w:ascii="宋体" w:eastAsia="宋体" w:hAnsi="宋体" w:cs="宋体" w:hint="eastAsia"/>
          <w:snapToGrid w:val="0"/>
          <w:color w:val="000000"/>
          <w:sz w:val="21"/>
          <w:szCs w:val="21"/>
          <w:lang w:eastAsia="zh-CN"/>
        </w:rPr>
        <w:t>根据已收到贵方</w:t>
      </w:r>
      <w:r>
        <w:rPr>
          <w:rFonts w:ascii="宋体" w:eastAsia="宋体" w:hAnsi="宋体" w:cs="宋体" w:hint="eastAsia"/>
          <w:snapToGrid w:val="0"/>
          <w:color w:val="000000"/>
          <w:sz w:val="21"/>
          <w:szCs w:val="21"/>
          <w:u w:val="single"/>
          <w:lang w:eastAsia="zh-CN"/>
        </w:rPr>
        <w:t xml:space="preserve">的 </w:t>
      </w:r>
      <w:r>
        <w:rPr>
          <w:rFonts w:ascii="宋体" w:eastAsia="宋体" w:hAnsi="宋体" w:cs="宋体" w:hint="eastAsia"/>
          <w:snapToGrid w:val="0"/>
          <w:color w:val="0000FF"/>
          <w:sz w:val="21"/>
          <w:szCs w:val="21"/>
          <w:u w:val="single"/>
          <w:lang w:eastAsia="zh-CN"/>
        </w:rPr>
        <w:t xml:space="preserve"> 龙川县新城幸福学校建设工程全过程造价咨询</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招标文件，我单位经考察现场和研究上述招标文件后，我方愿以招标文件前附表规定的付费方法及标准，接受贵方招标文件所提出的任务要求。</w:t>
      </w:r>
    </w:p>
    <w:p w14:paraId="2BDFE9C4">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1.我方已详细审核了全部招标文件，包括澄清、修改、补充文件（如有时）及有关附件，对招标文件的要求完全理解。</w:t>
      </w:r>
    </w:p>
    <w:p w14:paraId="18546CCE">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2.我方认同招标文件规定的评审规则，遵守评标委员会的裁决结果，并且不会采取妨碍项目进展的行为。我方理解你方没有必须接受你方可能收到的最低标或任何投标的义务。</w:t>
      </w:r>
    </w:p>
    <w:p w14:paraId="6CE30EB3">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3.我方同意所递交的投标文件在招标文件规定的投标有效期限内有效，在此期间内我方的投标有可能中标，我方将受此约束。如果在投标有效期内撤回投标或放弃中标资格，我方的投标担保将全部被没收。</w:t>
      </w:r>
    </w:p>
    <w:p w14:paraId="687CC1D6">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4</w:t>
      </w:r>
      <w:r>
        <w:rPr>
          <w:rFonts w:ascii="宋体" w:eastAsia="宋体" w:hAnsi="宋体" w:cs="宋体" w:hint="eastAsia"/>
          <w:snapToGrid w:val="0"/>
          <w:sz w:val="21"/>
          <w:szCs w:val="21"/>
          <w:lang w:eastAsia="zh-CN"/>
        </w:rPr>
        <w:t>.如果我方中标，我方保证按照招标文件规定的时间完成任务，并将按招标文件的规定履行合同责任和义务。</w:t>
      </w:r>
    </w:p>
    <w:p w14:paraId="6CB955AF">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5</w:t>
      </w:r>
      <w:r>
        <w:rPr>
          <w:rFonts w:ascii="宋体" w:eastAsia="宋体" w:hAnsi="宋体" w:cs="宋体" w:hint="eastAsia"/>
          <w:snapToGrid w:val="0"/>
          <w:sz w:val="21"/>
          <w:szCs w:val="21"/>
          <w:lang w:eastAsia="zh-CN"/>
        </w:rPr>
        <w:t>.如果我方中标，我方将按照投标文件承诺组建项目组，由投标文件所承诺的人员完成本项目的全部工作。如未经招标人同意更换项目组成员，招标人有权取消我单位的中标资格或单方面终止合同，由此造成的违约责任由我单位承担。</w:t>
      </w:r>
    </w:p>
    <w:p w14:paraId="1447E06A">
      <w:pPr>
        <w:widowControl w:val="0"/>
        <w:spacing w:line="360" w:lineRule="auto"/>
        <w:ind w:firstLine="420" w:firstLineChars="200"/>
        <w:jc w:val="left"/>
        <w:rPr>
          <w:rFonts w:ascii="宋体" w:eastAsia="宋体" w:hAnsi="宋体" w:cs="宋体" w:hint="eastAsia"/>
          <w:snapToGrid w:val="0"/>
          <w:sz w:val="21"/>
          <w:szCs w:val="22"/>
          <w:lang w:eastAsia="zh-CN"/>
        </w:rPr>
      </w:pPr>
      <w:r>
        <w:rPr>
          <w:rFonts w:ascii="宋体" w:eastAsia="宋体" w:hAnsi="宋体" w:cs="宋体" w:hint="eastAsia"/>
          <w:snapToGrid w:val="0"/>
          <w:sz w:val="21"/>
          <w:szCs w:val="22"/>
          <w:lang w:eastAsia="zh-CN"/>
        </w:rPr>
        <w:t>6</w:t>
      </w:r>
      <w:r>
        <w:rPr>
          <w:rFonts w:ascii="宋体" w:eastAsia="宋体" w:hAnsi="宋体" w:cs="宋体" w:hint="eastAsia"/>
          <w:snapToGrid w:val="0"/>
          <w:sz w:val="21"/>
          <w:szCs w:val="22"/>
          <w:lang w:eastAsia="zh-CN"/>
        </w:rPr>
        <w:t>.我方保证投标文件内容无任何虚假。若评定标过程中查有虚假，同意作无效或废标处理，并被没收投标担保；若中标之后查有虚假，同意被废除授标并被没收投标担保。</w:t>
      </w:r>
    </w:p>
    <w:p w14:paraId="064EEF05">
      <w:pPr>
        <w:widowControl w:val="0"/>
        <w:spacing w:line="360" w:lineRule="auto"/>
        <w:ind w:firstLine="420" w:firstLineChars="200"/>
        <w:jc w:val="left"/>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t>7</w:t>
      </w:r>
      <w:r>
        <w:rPr>
          <w:rFonts w:ascii="宋体" w:eastAsia="宋体" w:hAnsi="宋体" w:cs="宋体" w:hint="eastAsia"/>
          <w:snapToGrid w:val="0"/>
          <w:sz w:val="21"/>
          <w:szCs w:val="21"/>
          <w:lang w:eastAsia="zh-CN"/>
        </w:rPr>
        <w:t>.在正式合同签署并生效之前，贵方的中标通知书和本投标函将成为约束双方的合同文件的组成部分。</w:t>
      </w:r>
    </w:p>
    <w:p w14:paraId="300AF30D">
      <w:pPr>
        <w:widowControl w:val="0"/>
        <w:spacing w:line="360" w:lineRule="auto"/>
        <w:ind w:firstLine="420" w:firstLineChars="200"/>
        <w:jc w:val="left"/>
        <w:rPr>
          <w:rFonts w:ascii="宋体" w:eastAsia="宋体" w:hAnsi="宋体" w:cs="宋体" w:hint="eastAsia"/>
          <w:snapToGrid w:val="0"/>
          <w:color w:val="000000"/>
          <w:sz w:val="21"/>
          <w:szCs w:val="21"/>
          <w:lang w:eastAsia="zh-CN"/>
        </w:rPr>
      </w:pPr>
      <w:r>
        <w:rPr>
          <w:rFonts w:ascii="宋体" w:eastAsia="宋体" w:hAnsi="宋体" w:cs="宋体" w:hint="eastAsia"/>
          <w:b/>
          <w:snapToGrid w:val="0"/>
          <w:sz w:val="21"/>
          <w:szCs w:val="21"/>
          <w:lang w:eastAsia="zh-CN"/>
        </w:rPr>
        <w:t>本投标函同时作为法定代表人证明书和法人授权委托书。</w:t>
      </w:r>
    </w:p>
    <w:p w14:paraId="2D7AACF6">
      <w:pPr>
        <w:widowControl w:val="0"/>
        <w:spacing w:line="360" w:lineRule="auto"/>
        <w:ind w:firstLine="420" w:firstLineChars="200"/>
        <w:jc w:val="left"/>
        <w:rPr>
          <w:rFonts w:ascii="宋体" w:eastAsia="宋体" w:hAnsi="宋体" w:cs="宋体" w:hint="eastAsia"/>
          <w:snapToGrid w:val="0"/>
          <w:color w:val="000000"/>
          <w:sz w:val="21"/>
          <w:szCs w:val="22"/>
          <w:lang w:eastAsia="zh-CN"/>
        </w:rPr>
      </w:pPr>
    </w:p>
    <w:p w14:paraId="6506CC1C">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投标人名称：</w:t>
      </w:r>
    </w:p>
    <w:p w14:paraId="65CF2D0A">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法定代表人：</w:t>
      </w:r>
    </w:p>
    <w:p w14:paraId="6FDDEA03">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授权委托人：</w:t>
      </w:r>
    </w:p>
    <w:p w14:paraId="4E45DE82">
      <w:pPr>
        <w:widowControl w:val="0"/>
        <w:spacing w:line="360" w:lineRule="auto"/>
        <w:ind w:firstLine="420" w:firstLineChars="200"/>
        <w:jc w:val="left"/>
        <w:rPr>
          <w:rFonts w:ascii="宋体" w:eastAsia="宋体" w:hAnsi="宋体" w:cs="宋体" w:hint="eastAsia"/>
          <w:snapToGrid w:val="0"/>
          <w:color w:val="000000"/>
          <w:sz w:val="21"/>
          <w:szCs w:val="21"/>
          <w:lang w:eastAsia="zh-CN"/>
        </w:rPr>
      </w:pPr>
      <w:r>
        <w:rPr>
          <w:rFonts w:ascii="宋体" w:eastAsia="宋体" w:hAnsi="宋体" w:cs="宋体" w:hint="eastAsia"/>
          <w:snapToGrid w:val="0"/>
          <w:color w:val="000000"/>
          <w:sz w:val="21"/>
          <w:szCs w:val="21"/>
          <w:lang w:eastAsia="zh-CN"/>
        </w:rPr>
        <w:t>单位地址：</w:t>
      </w:r>
      <w:r>
        <w:rPr>
          <w:rFonts w:ascii="宋体" w:eastAsia="宋体" w:hAnsi="宋体" w:cs="宋体" w:hint="eastAsia"/>
          <w:snapToGrid w:val="0"/>
          <w:color w:val="000000"/>
          <w:sz w:val="21"/>
          <w:szCs w:val="21"/>
          <w:lang w:eastAsia="zh-CN"/>
        </w:rPr>
        <w:t xml:space="preserve">     </w:t>
      </w:r>
    </w:p>
    <w:p w14:paraId="4EDC4187">
      <w:pPr>
        <w:widowControl w:val="0"/>
        <w:spacing w:line="360" w:lineRule="auto"/>
        <w:ind w:firstLine="420" w:firstLineChars="200"/>
        <w:jc w:val="left"/>
        <w:rPr>
          <w:rFonts w:ascii="宋体" w:eastAsia="宋体" w:hAnsi="宋体" w:cs="宋体" w:hint="eastAsia"/>
          <w:snapToGrid w:val="0"/>
          <w:color w:val="000000"/>
          <w:sz w:val="21"/>
          <w:szCs w:val="21"/>
          <w:lang w:eastAsia="zh-CN"/>
        </w:rPr>
      </w:pPr>
      <w:r>
        <w:rPr>
          <w:rFonts w:ascii="宋体" w:eastAsia="宋体" w:hAnsi="宋体" w:cs="宋体" w:hint="eastAsia"/>
          <w:snapToGrid w:val="0"/>
          <w:color w:val="000000"/>
          <w:sz w:val="21"/>
          <w:szCs w:val="21"/>
          <w:lang w:eastAsia="zh-CN"/>
        </w:rPr>
        <w:t>联系电话：</w:t>
      </w:r>
      <w:r>
        <w:rPr>
          <w:rFonts w:ascii="宋体" w:eastAsia="宋体" w:hAnsi="宋体" w:cs="宋体" w:hint="eastAsia"/>
          <w:snapToGrid w:val="0"/>
          <w:color w:val="000000"/>
          <w:sz w:val="21"/>
          <w:szCs w:val="21"/>
          <w:lang w:eastAsia="zh-CN"/>
        </w:rPr>
        <w:t xml:space="preserve">   </w:t>
      </w:r>
    </w:p>
    <w:p w14:paraId="25B0BF38">
      <w:pPr>
        <w:widowControl w:val="0"/>
        <w:spacing w:line="360" w:lineRule="auto"/>
        <w:ind w:firstLine="420" w:firstLineChars="200"/>
        <w:jc w:val="left"/>
        <w:rPr>
          <w:rFonts w:ascii="宋体" w:eastAsia="宋体" w:hAnsi="宋体" w:cs="宋体" w:hint="eastAsia"/>
          <w:b/>
          <w:bCs/>
          <w:snapToGrid w:val="0"/>
          <w:kern w:val="2"/>
          <w:sz w:val="30"/>
          <w:szCs w:val="30"/>
          <w:lang w:eastAsia="zh-CN"/>
        </w:rPr>
      </w:pPr>
      <w:r>
        <w:rPr>
          <w:rFonts w:ascii="宋体" w:eastAsia="宋体" w:hAnsi="宋体" w:cs="宋体" w:hint="eastAsia"/>
          <w:snapToGrid w:val="0"/>
          <w:color w:val="000000"/>
          <w:sz w:val="21"/>
          <w:szCs w:val="21"/>
          <w:lang w:eastAsia="zh-CN"/>
        </w:rPr>
        <w:t>日期：</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年</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月</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日</w:t>
      </w:r>
    </w:p>
    <w:p w14:paraId="3F2EF098">
      <w:pPr>
        <w:widowControl w:val="0"/>
        <w:spacing w:line="360" w:lineRule="auto"/>
        <w:jc w:val="center"/>
        <w:rPr>
          <w:rFonts w:ascii="宋体" w:eastAsia="宋体" w:hAnsi="宋体" w:cs="宋体" w:hint="eastAsia"/>
          <w:b/>
          <w:snapToGrid w:val="0"/>
          <w:color w:val="000000"/>
          <w:sz w:val="28"/>
          <w:szCs w:val="28"/>
          <w:lang w:eastAsia="zh-CN"/>
        </w:rPr>
      </w:pPr>
    </w:p>
    <w:p w14:paraId="7FCF092A">
      <w:pPr>
        <w:widowControl w:val="0"/>
        <w:spacing w:line="360" w:lineRule="auto"/>
        <w:jc w:val="center"/>
        <w:rPr>
          <w:rFonts w:ascii="宋体" w:eastAsia="宋体" w:hAnsi="宋体" w:cs="宋体" w:hint="eastAsia"/>
          <w:b/>
          <w:snapToGrid w:val="0"/>
          <w:color w:val="000000"/>
          <w:sz w:val="28"/>
          <w:szCs w:val="28"/>
          <w:lang w:eastAsia="zh-CN"/>
        </w:rPr>
      </w:pPr>
    </w:p>
    <w:p w14:paraId="49CBDBA1">
      <w:pPr>
        <w:widowControl w:val="0"/>
        <w:spacing w:before="0" w:beforeAutospacing="0" w:after="0" w:afterAutospacing="0" w:line="360" w:lineRule="auto"/>
        <w:jc w:val="left"/>
        <w:rPr>
          <w:rFonts w:ascii="宋体" w:eastAsia="宋体" w:hAnsi="宋体" w:cs="宋体" w:hint="eastAsia"/>
          <w:sz w:val="44"/>
          <w:szCs w:val="44"/>
          <w:lang w:eastAsia="zh-CN"/>
        </w:rPr>
      </w:pPr>
      <w:r>
        <w:rPr>
          <w:rFonts w:ascii="宋体" w:eastAsia="宋体" w:hAnsi="宋体" w:cs="宋体" w:hint="eastAsia"/>
          <w:snapToGrid w:val="0"/>
          <w:lang w:eastAsia="zh-CN"/>
        </w:rPr>
        <w:br w:type="page"/>
      </w:r>
    </w:p>
    <w:p w14:paraId="34E3B34C">
      <w:pPr>
        <w:widowControl w:val="0"/>
        <w:numPr>
          <w:ilvl w:val="0"/>
          <w:numId w:val="0"/>
        </w:numPr>
        <w:spacing w:before="0" w:after="0" w:line="360" w:lineRule="auto"/>
        <w:ind w:left="0" w:firstLine="640"/>
        <w:jc w:val="center"/>
        <w:outlineLvl w:val="9"/>
        <w:rPr>
          <w:rFonts w:ascii="宋体" w:eastAsia="宋体" w:hAnsi="宋体" w:cs="宋体" w:hint="eastAsia"/>
          <w:b/>
          <w:bCs/>
          <w:color w:val="0000FF"/>
          <w:kern w:val="2"/>
          <w:sz w:val="32"/>
          <w:szCs w:val="32"/>
          <w:lang w:eastAsia="zh-CN"/>
        </w:rPr>
      </w:pPr>
      <w:bookmarkStart w:id="77" w:name="_Toc29277"/>
      <w:r>
        <w:rPr>
          <w:rFonts w:ascii="宋体" w:eastAsia="宋体" w:hAnsi="宋体" w:cs="宋体" w:hint="eastAsia"/>
          <w:b/>
          <w:bCs/>
          <w:kern w:val="2"/>
          <w:sz w:val="32"/>
          <w:szCs w:val="32"/>
          <w:lang w:eastAsia="zh-CN"/>
        </w:rPr>
        <w:t>二</w:t>
      </w:r>
      <w:r>
        <w:rPr>
          <w:rFonts w:ascii="宋体" w:eastAsia="宋体" w:hAnsi="宋体" w:cs="宋体" w:hint="eastAsia"/>
          <w:b/>
          <w:bCs/>
          <w:kern w:val="2"/>
          <w:sz w:val="44"/>
          <w:szCs w:val="44"/>
          <w:lang w:eastAsia="zh-CN"/>
        </w:rPr>
        <w:t>、</w:t>
      </w:r>
      <w:r>
        <w:rPr>
          <w:rFonts w:ascii="宋体" w:eastAsia="宋体" w:hAnsi="宋体" w:cs="宋体" w:hint="eastAsia"/>
          <w:b/>
          <w:bCs/>
          <w:color w:val="0000FF"/>
          <w:kern w:val="2"/>
          <w:sz w:val="32"/>
          <w:szCs w:val="32"/>
          <w:lang w:eastAsia="zh-CN"/>
        </w:rPr>
        <w:t>投标报价</w:t>
      </w:r>
      <w:r>
        <w:rPr>
          <w:rFonts w:ascii="宋体" w:eastAsia="宋体" w:hAnsi="宋体" w:cs="宋体" w:hint="eastAsia"/>
          <w:b/>
          <w:bCs/>
          <w:color w:val="0000FF"/>
          <w:kern w:val="2"/>
          <w:sz w:val="32"/>
          <w:szCs w:val="32"/>
          <w:lang w:eastAsia="zh-CN"/>
        </w:rPr>
        <w:t>明细</w:t>
      </w:r>
      <w:r>
        <w:rPr>
          <w:rFonts w:ascii="宋体" w:eastAsia="宋体" w:hAnsi="宋体" w:cs="宋体" w:hint="eastAsia"/>
          <w:b/>
          <w:bCs/>
          <w:color w:val="0000FF"/>
          <w:kern w:val="2"/>
          <w:sz w:val="32"/>
          <w:szCs w:val="32"/>
          <w:lang w:eastAsia="zh-CN"/>
        </w:rPr>
        <w:t>表</w:t>
      </w:r>
      <w:bookmarkEnd w:id="77"/>
    </w:p>
    <w:p w14:paraId="5F1EEFC7">
      <w:pPr>
        <w:widowControl w:val="0"/>
        <w:spacing w:before="0" w:after="0" w:line="360" w:lineRule="auto"/>
        <w:jc w:val="left"/>
        <w:rPr>
          <w:rFonts w:ascii="宋体" w:eastAsia="宋体" w:hAnsi="宋体" w:cs="宋体" w:hint="eastAsia"/>
          <w:kern w:val="2"/>
          <w:sz w:val="21"/>
          <w:szCs w:val="22"/>
          <w:lang w:eastAsia="zh-CN"/>
        </w:rPr>
      </w:pPr>
      <w:r>
        <w:rPr>
          <w:rFonts w:ascii="宋体" w:eastAsia="宋体" w:hAnsi="宋体" w:cs="宋体" w:hint="eastAsia"/>
          <w:color w:val="0000FF"/>
          <w:kern w:val="2"/>
          <w:sz w:val="21"/>
          <w:szCs w:val="22"/>
          <w:lang w:eastAsia="zh-CN"/>
        </w:rPr>
        <w:t>投标人名称：</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
      <w:tblGrid>
        <w:gridCol w:w="715"/>
        <w:gridCol w:w="2202"/>
        <w:gridCol w:w="4015"/>
        <w:gridCol w:w="2583"/>
      </w:tblGrid>
      <w:tr w14:paraId="71D801B6">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PrEx>
        <w:trPr>
          <w:trHeight w:val="839"/>
          <w:jc w:val="center"/>
        </w:trPr>
        <w:tc>
          <w:tcPr>
            <w:tcW w:w="685" w:type="dxa"/>
            <w:tcBorders>
              <w:bottom w:val="single" w:sz="4" w:space="0" w:color="000000"/>
              <w:right w:val="single" w:sz="4" w:space="0" w:color="000000"/>
            </w:tcBorders>
            <w:noWrap w:val="0"/>
            <w:tcMar>
              <w:top w:w="15" w:type="dxa"/>
              <w:left w:w="108" w:type="dxa"/>
              <w:bottom w:w="15" w:type="dxa"/>
              <w:right w:w="108" w:type="dxa"/>
            </w:tcMar>
            <w:vAlign w:val="center"/>
          </w:tcPr>
          <w:p w14:paraId="69D04D25">
            <w:pPr>
              <w:keepNext w:val="0"/>
              <w:keepLines w:val="0"/>
              <w:widowControl/>
              <w:suppressLineNumbers w:val="0"/>
              <w:spacing w:before="0" w:beforeAutospacing="0" w:after="0" w:afterAutospacing="0" w:line="360" w:lineRule="auto"/>
              <w:ind w:left="0" w:right="0"/>
              <w:jc w:val="both"/>
              <w:rPr>
                <w:rFonts w:ascii="宋体" w:eastAsia="宋体" w:hAnsi="宋体" w:cs="宋体" w:hint="eastAsia"/>
                <w:color w:val="000000"/>
                <w:kern w:val="2"/>
                <w:sz w:val="21"/>
                <w:szCs w:val="21"/>
                <w:lang w:eastAsia="zh-CN"/>
              </w:rPr>
            </w:pPr>
            <w:r>
              <w:rPr>
                <w:rFonts w:ascii="宋体" w:eastAsia="宋体" w:hAnsi="宋体" w:cs="宋体" w:hint="eastAsia"/>
                <w:b/>
                <w:bCs/>
                <w:color w:val="0000FF"/>
                <w:kern w:val="2"/>
                <w:sz w:val="21"/>
                <w:szCs w:val="21"/>
                <w:lang w:eastAsia="zh-CN"/>
              </w:rPr>
              <w:t>序号</w:t>
            </w:r>
          </w:p>
        </w:tc>
        <w:tc>
          <w:tcPr>
            <w:tcW w:w="2111" w:type="dxa"/>
            <w:tcBorders>
              <w:left w:val="single" w:sz="4" w:space="0" w:color="000000"/>
              <w:bottom w:val="single" w:sz="4" w:space="0" w:color="000000"/>
              <w:right w:val="single" w:sz="4" w:space="0" w:color="000000"/>
            </w:tcBorders>
            <w:noWrap w:val="0"/>
            <w:tcMar>
              <w:top w:w="15" w:type="dxa"/>
              <w:left w:w="108" w:type="dxa"/>
              <w:bottom w:w="15" w:type="dxa"/>
              <w:right w:w="108" w:type="dxa"/>
            </w:tcMar>
            <w:vAlign w:val="center"/>
          </w:tcPr>
          <w:p w14:paraId="514FBF8D">
            <w:pPr>
              <w:keepNext w:val="0"/>
              <w:keepLines w:val="0"/>
              <w:widowControl/>
              <w:suppressLineNumbers w:val="0"/>
              <w:spacing w:before="0" w:beforeAutospacing="0" w:after="0" w:afterAutospacing="0" w:line="360" w:lineRule="auto"/>
              <w:ind w:left="0" w:right="0" w:firstLine="420"/>
              <w:jc w:val="center"/>
              <w:rPr>
                <w:rFonts w:ascii="宋体" w:eastAsia="宋体" w:hAnsi="宋体" w:cs="宋体" w:hint="eastAsia"/>
                <w:color w:val="000000"/>
                <w:kern w:val="2"/>
                <w:sz w:val="21"/>
                <w:szCs w:val="21"/>
                <w:lang w:eastAsia="zh-CN"/>
              </w:rPr>
            </w:pPr>
            <w:r>
              <w:rPr>
                <w:rFonts w:ascii="宋体" w:eastAsia="宋体" w:hAnsi="宋体" w:cs="宋体" w:hint="eastAsia"/>
                <w:b/>
                <w:bCs/>
                <w:color w:val="0000FF"/>
                <w:kern w:val="2"/>
                <w:sz w:val="21"/>
                <w:szCs w:val="21"/>
                <w:lang w:eastAsia="zh-CN"/>
              </w:rPr>
              <w:t>项目名称</w:t>
            </w:r>
          </w:p>
        </w:tc>
        <w:tc>
          <w:tcPr>
            <w:tcW w:w="3849" w:type="dxa"/>
            <w:tcBorders>
              <w:left w:val="single" w:sz="4" w:space="0" w:color="000000"/>
              <w:bottom w:val="single" w:sz="4" w:space="0" w:color="000000"/>
              <w:right w:val="single" w:sz="4" w:space="0" w:color="000000"/>
            </w:tcBorders>
            <w:noWrap w:val="0"/>
            <w:tcMar>
              <w:top w:w="15" w:type="dxa"/>
              <w:left w:w="108" w:type="dxa"/>
              <w:bottom w:w="15" w:type="dxa"/>
              <w:right w:w="108" w:type="dxa"/>
            </w:tcMar>
            <w:vAlign w:val="center"/>
          </w:tcPr>
          <w:p w14:paraId="5649918F">
            <w:pPr>
              <w:keepNext w:val="0"/>
              <w:keepLines w:val="0"/>
              <w:widowControl/>
              <w:suppressLineNumbers w:val="0"/>
              <w:spacing w:before="0" w:beforeAutospacing="0" w:after="0" w:afterAutospacing="0" w:line="360" w:lineRule="auto"/>
              <w:ind w:left="0" w:right="0"/>
              <w:jc w:val="center"/>
              <w:rPr>
                <w:rFonts w:ascii="宋体" w:eastAsia="宋体" w:hAnsi="宋体" w:cs="宋体" w:hint="eastAsia"/>
                <w:b/>
                <w:bCs/>
                <w:color w:val="0000FF"/>
                <w:kern w:val="2"/>
                <w:sz w:val="21"/>
                <w:szCs w:val="21"/>
                <w:lang w:eastAsia="zh-CN"/>
              </w:rPr>
            </w:pPr>
            <w:r>
              <w:rPr>
                <w:rFonts w:ascii="宋体" w:eastAsia="宋体" w:hAnsi="宋体" w:cs="宋体" w:hint="eastAsia"/>
                <w:b/>
                <w:bCs/>
                <w:color w:val="0000FF"/>
                <w:kern w:val="2"/>
                <w:sz w:val="21"/>
                <w:szCs w:val="21"/>
                <w:lang w:eastAsia="zh-CN"/>
              </w:rPr>
              <w:t>含税投标总报价</w:t>
            </w:r>
          </w:p>
          <w:p w14:paraId="664E74C8">
            <w:pPr>
              <w:keepNext w:val="0"/>
              <w:keepLines w:val="0"/>
              <w:widowControl/>
              <w:suppressLineNumbers w:val="0"/>
              <w:spacing w:before="0" w:beforeAutospacing="0" w:after="0" w:afterAutospacing="0" w:line="360" w:lineRule="auto"/>
              <w:ind w:left="0" w:right="0"/>
              <w:jc w:val="center"/>
              <w:rPr>
                <w:rFonts w:ascii="宋体" w:eastAsia="宋体" w:hAnsi="宋体" w:cs="宋体" w:hint="eastAsia"/>
                <w:color w:val="000000"/>
                <w:kern w:val="2"/>
                <w:sz w:val="21"/>
                <w:szCs w:val="21"/>
                <w:lang w:eastAsia="zh-CN"/>
              </w:rPr>
            </w:pPr>
            <w:r>
              <w:rPr>
                <w:rFonts w:ascii="宋体" w:eastAsia="宋体" w:hAnsi="宋体" w:cs="宋体" w:hint="eastAsia"/>
                <w:b/>
                <w:bCs/>
                <w:color w:val="0000FF"/>
                <w:kern w:val="2"/>
                <w:sz w:val="21"/>
                <w:szCs w:val="21"/>
                <w:lang w:eastAsia="zh-CN"/>
              </w:rPr>
              <w:t>（</w:t>
            </w:r>
            <w:r>
              <w:rPr>
                <w:rFonts w:ascii="宋体" w:eastAsia="宋体" w:hAnsi="宋体" w:cs="宋体" w:hint="eastAsia"/>
                <w:b/>
                <w:bCs/>
                <w:color w:val="0000FF"/>
                <w:kern w:val="2"/>
                <w:sz w:val="21"/>
                <w:szCs w:val="21"/>
                <w:lang w:eastAsia="zh-CN"/>
              </w:rPr>
              <w:t>万</w:t>
            </w:r>
            <w:r>
              <w:rPr>
                <w:rFonts w:ascii="宋体" w:eastAsia="宋体" w:hAnsi="宋体" w:cs="宋体" w:hint="eastAsia"/>
                <w:b/>
                <w:bCs/>
                <w:color w:val="0000FF"/>
                <w:kern w:val="2"/>
                <w:sz w:val="21"/>
                <w:szCs w:val="21"/>
                <w:lang w:eastAsia="zh-CN"/>
              </w:rPr>
              <w:t>元）</w:t>
            </w:r>
          </w:p>
        </w:tc>
        <w:tc>
          <w:tcPr>
            <w:tcW w:w="2476" w:type="dxa"/>
            <w:tcBorders>
              <w:left w:val="single" w:sz="4" w:space="0" w:color="000000"/>
              <w:bottom w:val="single" w:sz="4" w:space="0" w:color="000000"/>
            </w:tcBorders>
            <w:noWrap w:val="0"/>
            <w:tcMar>
              <w:top w:w="15" w:type="dxa"/>
              <w:left w:w="108" w:type="dxa"/>
              <w:bottom w:w="15" w:type="dxa"/>
              <w:right w:w="108" w:type="dxa"/>
            </w:tcMar>
            <w:vAlign w:val="center"/>
          </w:tcPr>
          <w:p w14:paraId="71B37918">
            <w:pPr>
              <w:keepNext w:val="0"/>
              <w:keepLines w:val="0"/>
              <w:widowControl/>
              <w:suppressLineNumbers w:val="0"/>
              <w:spacing w:before="0" w:beforeAutospacing="0" w:after="0" w:afterAutospacing="0" w:line="360" w:lineRule="auto"/>
              <w:ind w:left="0" w:right="0"/>
              <w:jc w:val="center"/>
              <w:rPr>
                <w:rFonts w:ascii="宋体" w:eastAsia="宋体" w:hAnsi="宋体" w:cs="宋体" w:hint="eastAsia"/>
                <w:color w:val="000000"/>
                <w:kern w:val="2"/>
                <w:sz w:val="21"/>
                <w:szCs w:val="21"/>
                <w:lang w:eastAsia="zh-CN"/>
              </w:rPr>
            </w:pPr>
            <w:r>
              <w:rPr>
                <w:rFonts w:ascii="宋体" w:eastAsia="宋体" w:hAnsi="宋体" w:cs="宋体" w:hint="eastAsia"/>
                <w:b/>
                <w:bCs/>
                <w:color w:val="0000FF"/>
                <w:kern w:val="2"/>
                <w:sz w:val="21"/>
                <w:szCs w:val="21"/>
                <w:lang w:eastAsia="zh-CN"/>
              </w:rPr>
              <w:t>备注</w:t>
            </w:r>
          </w:p>
        </w:tc>
      </w:tr>
      <w:tr w14:paraId="528A7083">
        <w:tblPrEx>
          <w:tblW w:w="5000" w:type="pct"/>
          <w:jc w:val="center"/>
          <w:tblLayout w:type="fixed"/>
          <w:tblCellMar>
            <w:top w:w="15" w:type="dxa"/>
            <w:left w:w="15" w:type="dxa"/>
            <w:bottom w:w="15" w:type="dxa"/>
            <w:right w:w="15" w:type="dxa"/>
          </w:tblCellMar>
        </w:tblPrEx>
        <w:trPr>
          <w:trHeight w:val="680"/>
          <w:jc w:val="center"/>
        </w:trPr>
        <w:tc>
          <w:tcPr>
            <w:tcW w:w="685" w:type="dxa"/>
            <w:vMerge w:val="restart"/>
            <w:tcBorders>
              <w:top w:val="single" w:sz="4" w:space="0" w:color="000000"/>
              <w:right w:val="single" w:sz="4" w:space="0" w:color="000000"/>
            </w:tcBorders>
            <w:noWrap w:val="0"/>
            <w:tcMar>
              <w:top w:w="15" w:type="dxa"/>
              <w:left w:w="108" w:type="dxa"/>
              <w:bottom w:w="15" w:type="dxa"/>
              <w:right w:w="108" w:type="dxa"/>
            </w:tcMar>
            <w:vAlign w:val="center"/>
          </w:tcPr>
          <w:p w14:paraId="368E0416">
            <w:pPr>
              <w:keepNext w:val="0"/>
              <w:keepLines w:val="0"/>
              <w:widowControl/>
              <w:suppressLineNumbers w:val="0"/>
              <w:spacing w:before="0" w:beforeAutospacing="0" w:after="0" w:afterAutospacing="0" w:line="360" w:lineRule="auto"/>
              <w:ind w:left="0" w:right="0" w:firstLine="210"/>
              <w:jc w:val="both"/>
              <w:rPr>
                <w:rFonts w:ascii="宋体" w:eastAsia="宋体" w:hAnsi="宋体" w:cs="宋体" w:hint="eastAsia"/>
                <w:color w:val="000000"/>
                <w:kern w:val="2"/>
                <w:sz w:val="21"/>
                <w:szCs w:val="21"/>
                <w:lang w:eastAsia="zh-CN"/>
              </w:rPr>
            </w:pPr>
            <w:r>
              <w:rPr>
                <w:rFonts w:ascii="宋体" w:eastAsia="宋体" w:hAnsi="宋体" w:cs="宋体" w:hint="eastAsia"/>
                <w:b/>
                <w:bCs/>
                <w:color w:val="0000FF"/>
                <w:kern w:val="2"/>
                <w:sz w:val="21"/>
                <w:szCs w:val="21"/>
                <w:lang w:eastAsia="zh-CN"/>
              </w:rPr>
              <w:t>1</w:t>
            </w:r>
          </w:p>
        </w:tc>
        <w:tc>
          <w:tcPr>
            <w:tcW w:w="2111" w:type="dxa"/>
            <w:vMerge w:val="restart"/>
            <w:tcBorders>
              <w:top w:val="single" w:sz="4" w:space="0" w:color="000000"/>
              <w:left w:val="single" w:sz="4" w:space="0" w:color="000000"/>
              <w:right w:val="single" w:sz="4" w:space="0" w:color="000000"/>
            </w:tcBorders>
            <w:noWrap w:val="0"/>
            <w:tcMar>
              <w:top w:w="15" w:type="dxa"/>
              <w:left w:w="108" w:type="dxa"/>
              <w:bottom w:w="15" w:type="dxa"/>
              <w:right w:w="108" w:type="dxa"/>
            </w:tcMar>
            <w:vAlign w:val="center"/>
          </w:tcPr>
          <w:p w14:paraId="62AEB2BA">
            <w:pPr>
              <w:keepNext w:val="0"/>
              <w:keepLines w:val="0"/>
              <w:widowControl/>
              <w:suppressLineNumbers w:val="0"/>
              <w:spacing w:before="0" w:beforeAutospacing="0" w:after="0" w:afterAutospacing="0" w:line="360" w:lineRule="auto"/>
              <w:ind w:left="0" w:right="0"/>
              <w:jc w:val="left"/>
              <w:rPr>
                <w:rFonts w:ascii="宋体" w:eastAsia="宋体" w:hAnsi="宋体" w:cs="宋体" w:hint="eastAsia"/>
                <w:color w:val="000000"/>
                <w:kern w:val="2"/>
                <w:sz w:val="21"/>
                <w:szCs w:val="21"/>
                <w:lang w:eastAsia="zh-CN"/>
              </w:rPr>
            </w:pPr>
            <w:r>
              <w:rPr>
                <w:rFonts w:ascii="宋体" w:eastAsia="宋体" w:hAnsi="宋体" w:cs="宋体" w:hint="eastAsia"/>
                <w:snapToGrid w:val="0"/>
                <w:color w:val="0000FF"/>
                <w:sz w:val="21"/>
                <w:szCs w:val="21"/>
                <w:u w:val="single"/>
                <w:lang w:eastAsia="zh-CN"/>
              </w:rPr>
              <w:t>龙川县新城幸福学校建设工程全过程造价咨询</w:t>
            </w:r>
          </w:p>
        </w:tc>
        <w:tc>
          <w:tcPr>
            <w:tcW w:w="3849" w:type="dxa"/>
            <w:tcBorders>
              <w:top w:val="single" w:sz="4" w:space="0" w:color="000000"/>
              <w:left w:val="single" w:sz="4" w:space="0" w:color="000000"/>
              <w:bottom w:val="single" w:sz="4" w:space="0" w:color="000000"/>
              <w:right w:val="single" w:sz="4" w:space="0" w:color="000000"/>
            </w:tcBorders>
            <w:noWrap w:val="0"/>
            <w:tcMar>
              <w:top w:w="15" w:type="dxa"/>
              <w:left w:w="108" w:type="dxa"/>
              <w:bottom w:w="15" w:type="dxa"/>
              <w:right w:w="108" w:type="dxa"/>
            </w:tcMar>
            <w:vAlign w:val="center"/>
          </w:tcPr>
          <w:p w14:paraId="031E0EA1">
            <w:pPr>
              <w:keepNext w:val="0"/>
              <w:keepLines w:val="0"/>
              <w:widowControl/>
              <w:suppressLineNumbers w:val="0"/>
              <w:spacing w:before="0" w:beforeAutospacing="0" w:after="0" w:afterAutospacing="0" w:line="360" w:lineRule="auto"/>
              <w:ind w:left="0" w:right="0" w:firstLine="560"/>
              <w:jc w:val="left"/>
              <w:rPr>
                <w:rFonts w:ascii="宋体" w:eastAsia="宋体" w:hAnsi="宋体" w:cs="宋体" w:hint="eastAsia"/>
                <w:b/>
                <w:bCs/>
                <w:color w:val="0000FF"/>
                <w:kern w:val="2"/>
                <w:lang w:eastAsia="zh-CN"/>
              </w:rPr>
            </w:pPr>
            <w:r>
              <w:rPr>
                <w:rFonts w:ascii="宋体" w:eastAsia="宋体" w:hAnsi="宋体" w:cs="宋体" w:hint="eastAsia"/>
                <w:b/>
                <w:bCs/>
                <w:color w:val="0000FF"/>
                <w:kern w:val="2"/>
                <w:lang w:eastAsia="zh-CN"/>
              </w:rPr>
              <w:t xml:space="preserve">   </w:t>
            </w:r>
            <w:r>
              <w:rPr>
                <w:rFonts w:ascii="宋体" w:eastAsia="宋体" w:hAnsi="宋体" w:cs="宋体" w:hint="eastAsia"/>
                <w:b/>
                <w:bCs/>
                <w:color w:val="0000FF"/>
                <w:kern w:val="2"/>
                <w:u w:val="single"/>
                <w:lang w:eastAsia="zh-CN"/>
              </w:rPr>
              <w:t xml:space="preserve">      </w:t>
            </w:r>
            <w:r>
              <w:rPr>
                <w:rFonts w:ascii="宋体" w:eastAsia="宋体" w:hAnsi="宋体" w:cs="宋体" w:hint="eastAsia"/>
                <w:b/>
                <w:bCs/>
                <w:color w:val="0000FF"/>
                <w:kern w:val="2"/>
                <w:lang w:eastAsia="zh-CN"/>
              </w:rPr>
              <w:t>万元</w:t>
            </w:r>
          </w:p>
        </w:tc>
        <w:tc>
          <w:tcPr>
            <w:tcW w:w="2476" w:type="dxa"/>
            <w:tcBorders>
              <w:top w:val="single" w:sz="4" w:space="0" w:color="000000"/>
              <w:left w:val="single" w:sz="4" w:space="0" w:color="000000"/>
              <w:bottom w:val="single" w:sz="4" w:space="0" w:color="000000"/>
            </w:tcBorders>
            <w:noWrap w:val="0"/>
            <w:tcMar>
              <w:top w:w="15" w:type="dxa"/>
              <w:left w:w="108" w:type="dxa"/>
              <w:bottom w:w="15" w:type="dxa"/>
              <w:right w:w="108" w:type="dxa"/>
            </w:tcMar>
            <w:vAlign w:val="center"/>
          </w:tcPr>
          <w:p w14:paraId="459B4084">
            <w:pPr>
              <w:keepNext w:val="0"/>
              <w:keepLines w:val="0"/>
              <w:widowControl/>
              <w:suppressLineNumbers w:val="0"/>
              <w:spacing w:before="0" w:beforeAutospacing="0" w:after="0" w:afterAutospacing="0"/>
              <w:ind w:left="0" w:right="0"/>
              <w:jc w:val="both"/>
              <w:rPr>
                <w:rFonts w:ascii="宋体" w:eastAsia="宋体" w:hAnsi="宋体" w:cs="宋体" w:hint="eastAsia"/>
                <w:color w:val="0000FF"/>
                <w:spacing w:val="-4"/>
                <w:kern w:val="2"/>
                <w:sz w:val="21"/>
                <w:szCs w:val="21"/>
                <w:lang w:eastAsia="zh-CN"/>
              </w:rPr>
            </w:pPr>
            <w:r>
              <w:rPr>
                <w:rFonts w:ascii="宋体" w:eastAsia="宋体" w:hAnsi="宋体" w:cs="宋体" w:hint="eastAsia"/>
                <w:color w:val="0000FF"/>
                <w:spacing w:val="-4"/>
                <w:kern w:val="2"/>
                <w:sz w:val="21"/>
                <w:szCs w:val="21"/>
                <w:lang w:eastAsia="zh-CN"/>
              </w:rPr>
              <w:t>四舍五入后保留小数点后</w:t>
            </w:r>
            <w:r>
              <w:rPr>
                <w:rFonts w:ascii="宋体" w:eastAsia="宋体" w:hAnsi="宋体" w:cs="宋体" w:hint="eastAsia"/>
                <w:color w:val="0000FF"/>
                <w:spacing w:val="-4"/>
                <w:kern w:val="2"/>
                <w:sz w:val="21"/>
                <w:szCs w:val="21"/>
                <w:lang w:eastAsia="zh-CN"/>
              </w:rPr>
              <w:t>4</w:t>
            </w:r>
            <w:r>
              <w:rPr>
                <w:rFonts w:ascii="宋体" w:eastAsia="宋体" w:hAnsi="宋体" w:cs="宋体" w:hint="eastAsia"/>
                <w:color w:val="0000FF"/>
                <w:spacing w:val="-4"/>
                <w:kern w:val="2"/>
                <w:sz w:val="21"/>
                <w:szCs w:val="21"/>
                <w:lang w:eastAsia="zh-CN"/>
              </w:rPr>
              <w:t>位</w:t>
            </w:r>
          </w:p>
        </w:tc>
      </w:tr>
      <w:tr w14:paraId="484749E5">
        <w:tblPrEx>
          <w:tblW w:w="5000" w:type="pct"/>
          <w:jc w:val="center"/>
          <w:tblLayout w:type="fixed"/>
          <w:tblCellMar>
            <w:top w:w="15" w:type="dxa"/>
            <w:left w:w="15" w:type="dxa"/>
            <w:bottom w:w="15" w:type="dxa"/>
            <w:right w:w="15" w:type="dxa"/>
          </w:tblCellMar>
        </w:tblPrEx>
        <w:trPr>
          <w:trHeight w:val="1863"/>
          <w:jc w:val="center"/>
        </w:trPr>
        <w:tc>
          <w:tcPr>
            <w:tcW w:w="685" w:type="dxa"/>
            <w:vMerge/>
            <w:tcBorders>
              <w:right w:val="single" w:sz="4" w:space="0" w:color="000000"/>
            </w:tcBorders>
            <w:noWrap w:val="0"/>
            <w:tcMar>
              <w:top w:w="15" w:type="dxa"/>
              <w:left w:w="108" w:type="dxa"/>
              <w:bottom w:w="15" w:type="dxa"/>
              <w:right w:w="108" w:type="dxa"/>
            </w:tcMar>
            <w:vAlign w:val="center"/>
          </w:tcPr>
          <w:p w14:paraId="36E2ADED">
            <w:pPr>
              <w:keepNext w:val="0"/>
              <w:keepLines w:val="0"/>
              <w:widowControl/>
              <w:suppressLineNumbers w:val="0"/>
              <w:spacing w:before="0" w:beforeAutospacing="0" w:after="0" w:afterAutospacing="0" w:line="360" w:lineRule="auto"/>
              <w:ind w:left="0" w:right="0" w:firstLine="210"/>
              <w:jc w:val="both"/>
              <w:rPr>
                <w:rFonts w:ascii="宋体" w:eastAsia="宋体" w:hAnsi="宋体" w:cs="宋体" w:hint="eastAsia"/>
                <w:b/>
                <w:bCs/>
                <w:color w:val="0000FF"/>
                <w:kern w:val="2"/>
                <w:sz w:val="21"/>
                <w:szCs w:val="21"/>
                <w:lang w:eastAsia="zh-CN"/>
              </w:rPr>
            </w:pPr>
          </w:p>
        </w:tc>
        <w:tc>
          <w:tcPr>
            <w:tcW w:w="2111" w:type="dxa"/>
            <w:vMerge/>
            <w:tcBorders>
              <w:left w:val="single" w:sz="4" w:space="0" w:color="000000"/>
              <w:right w:val="single" w:sz="4" w:space="0" w:color="000000"/>
            </w:tcBorders>
            <w:noWrap w:val="0"/>
            <w:tcMar>
              <w:top w:w="15" w:type="dxa"/>
              <w:left w:w="108" w:type="dxa"/>
              <w:bottom w:w="15" w:type="dxa"/>
              <w:right w:w="108" w:type="dxa"/>
            </w:tcMar>
            <w:vAlign w:val="center"/>
          </w:tcPr>
          <w:p w14:paraId="5F654627">
            <w:pPr>
              <w:keepNext w:val="0"/>
              <w:keepLines w:val="0"/>
              <w:widowControl/>
              <w:suppressLineNumbers w:val="0"/>
              <w:spacing w:before="0" w:beforeAutospacing="0" w:after="0" w:afterAutospacing="0" w:line="360" w:lineRule="auto"/>
              <w:ind w:left="0" w:right="0"/>
              <w:jc w:val="left"/>
              <w:rPr>
                <w:rFonts w:ascii="宋体" w:eastAsia="宋体" w:hAnsi="宋体" w:cs="宋体" w:hint="eastAsia"/>
                <w:color w:val="0000FF"/>
                <w:kern w:val="2"/>
                <w:sz w:val="21"/>
                <w:szCs w:val="21"/>
                <w:lang w:eastAsia="zh-CN"/>
              </w:rPr>
            </w:pPr>
          </w:p>
        </w:tc>
        <w:tc>
          <w:tcPr>
            <w:tcW w:w="3849" w:type="dxa"/>
            <w:tcBorders>
              <w:top w:val="single" w:sz="4" w:space="0" w:color="000000"/>
              <w:left w:val="single" w:sz="4" w:space="0" w:color="000000"/>
              <w:bottom w:val="single" w:sz="4" w:space="0" w:color="000000"/>
              <w:right w:val="single" w:sz="4" w:space="0" w:color="000000"/>
            </w:tcBorders>
            <w:noWrap w:val="0"/>
            <w:tcMar>
              <w:top w:w="15" w:type="dxa"/>
              <w:left w:w="108" w:type="dxa"/>
              <w:bottom w:w="15" w:type="dxa"/>
              <w:right w:w="108" w:type="dxa"/>
            </w:tcMar>
            <w:vAlign w:val="center"/>
          </w:tcPr>
          <w:p w14:paraId="1C9BEB76">
            <w:pPr>
              <w:keepNext w:val="0"/>
              <w:keepLines w:val="0"/>
              <w:widowControl/>
              <w:suppressLineNumbers w:val="0"/>
              <w:spacing w:before="0" w:beforeAutospacing="0" w:after="0" w:afterAutospacing="0"/>
              <w:ind w:left="0" w:right="0"/>
              <w:jc w:val="both"/>
              <w:rPr>
                <w:rFonts w:ascii="宋体" w:eastAsia="宋体" w:hAnsi="宋体" w:cs="宋体" w:hint="eastAsia"/>
                <w:color w:val="0000FF"/>
                <w:spacing w:val="-4"/>
                <w:kern w:val="2"/>
                <w:sz w:val="21"/>
                <w:szCs w:val="21"/>
                <w:lang w:eastAsia="zh-CN"/>
              </w:rPr>
            </w:pPr>
            <w:r>
              <w:rPr>
                <w:rFonts w:ascii="宋体" w:eastAsia="宋体" w:hAnsi="宋体" w:cs="宋体" w:hint="eastAsia"/>
                <w:color w:val="0000FF"/>
                <w:spacing w:val="-4"/>
                <w:kern w:val="2"/>
                <w:sz w:val="21"/>
                <w:szCs w:val="21"/>
                <w:lang w:eastAsia="zh-CN"/>
              </w:rPr>
              <w:t>其中</w:t>
            </w:r>
            <w:r>
              <w:rPr>
                <w:rFonts w:ascii="宋体" w:eastAsia="宋体" w:hAnsi="宋体" w:cs="宋体" w:hint="eastAsia"/>
                <w:color w:val="0000FF"/>
                <w:spacing w:val="-4"/>
                <w:kern w:val="2"/>
                <w:sz w:val="21"/>
                <w:szCs w:val="21"/>
                <w:lang w:eastAsia="zh-CN"/>
              </w:rPr>
              <w:t>：</w:t>
            </w:r>
          </w:p>
          <w:p w14:paraId="6CF0187A">
            <w:pPr>
              <w:keepNext w:val="0"/>
              <w:keepLines w:val="0"/>
              <w:widowControl/>
              <w:suppressLineNumbers w:val="0"/>
              <w:spacing w:before="0" w:beforeAutospacing="0" w:after="0" w:afterAutospacing="0"/>
              <w:ind w:left="0" w:right="0"/>
              <w:jc w:val="both"/>
              <w:rPr>
                <w:rFonts w:ascii="宋体" w:eastAsia="宋体" w:hAnsi="宋体" w:cs="宋体" w:hint="eastAsia"/>
                <w:color w:val="000000"/>
                <w:kern w:val="2"/>
                <w:sz w:val="21"/>
                <w:szCs w:val="21"/>
                <w:lang w:eastAsia="zh-CN"/>
              </w:rPr>
            </w:pPr>
            <w:r>
              <w:rPr>
                <w:rFonts w:ascii="宋体" w:eastAsia="宋体" w:hAnsi="宋体" w:cs="宋体" w:hint="eastAsia"/>
                <w:color w:val="0000FF"/>
                <w:spacing w:val="-4"/>
                <w:kern w:val="2"/>
                <w:sz w:val="21"/>
                <w:szCs w:val="21"/>
                <w:lang w:eastAsia="zh-CN"/>
              </w:rPr>
              <w:t>（</w:t>
            </w:r>
            <w:r>
              <w:rPr>
                <w:rFonts w:ascii="宋体" w:eastAsia="宋体" w:hAnsi="宋体" w:cs="宋体" w:hint="eastAsia"/>
                <w:color w:val="0000FF"/>
                <w:spacing w:val="-4"/>
                <w:kern w:val="2"/>
                <w:sz w:val="21"/>
                <w:szCs w:val="21"/>
                <w:lang w:eastAsia="zh-CN"/>
              </w:rPr>
              <w:t>1</w:t>
            </w:r>
            <w:r>
              <w:rPr>
                <w:rFonts w:ascii="宋体" w:eastAsia="宋体" w:hAnsi="宋体" w:cs="宋体" w:hint="eastAsia"/>
                <w:color w:val="0000FF"/>
                <w:spacing w:val="-4"/>
                <w:kern w:val="2"/>
                <w:sz w:val="21"/>
                <w:szCs w:val="21"/>
                <w:lang w:eastAsia="zh-CN"/>
              </w:rPr>
              <w:t>）</w:t>
            </w:r>
            <w:r>
              <w:rPr>
                <w:rFonts w:ascii="宋体" w:eastAsia="宋体" w:hAnsi="宋体" w:cs="宋体" w:hint="eastAsia"/>
                <w:color w:val="0000FF"/>
                <w:kern w:val="2"/>
                <w:sz w:val="21"/>
                <w:szCs w:val="21"/>
                <w:lang w:eastAsia="zh-CN"/>
              </w:rPr>
              <w:t>增值税税率：</w:t>
            </w:r>
            <w:r>
              <w:rPr>
                <w:rFonts w:ascii="宋体" w:eastAsia="宋体" w:hAnsi="宋体" w:cs="宋体" w:hint="eastAsia"/>
                <w:color w:val="0000FF"/>
                <w:kern w:val="2"/>
                <w:sz w:val="21"/>
                <w:szCs w:val="21"/>
                <w:u w:val="single" w:color="0000FF"/>
                <w:lang w:eastAsia="zh-CN"/>
              </w:rPr>
              <w:t xml:space="preserve">     </w:t>
            </w:r>
            <w:r>
              <w:rPr>
                <w:rFonts w:ascii="宋体" w:eastAsia="宋体" w:hAnsi="宋体" w:cs="宋体" w:hint="eastAsia"/>
                <w:color w:val="0000FF"/>
                <w:kern w:val="2"/>
                <w:sz w:val="21"/>
                <w:szCs w:val="21"/>
                <w:lang w:eastAsia="zh-CN"/>
              </w:rPr>
              <w:t>%；</w:t>
            </w:r>
            <w:r>
              <w:rPr>
                <w:rFonts w:ascii="宋体" w:eastAsia="宋体" w:hAnsi="宋体" w:cs="宋体" w:hint="eastAsia"/>
                <w:color w:val="0000FF"/>
                <w:spacing w:val="-4"/>
                <w:kern w:val="2"/>
                <w:sz w:val="21"/>
                <w:szCs w:val="21"/>
                <w:u w:val="single" w:color="0000FF"/>
                <w:lang w:eastAsia="zh-CN"/>
              </w:rPr>
              <w:t xml:space="preserve">      </w:t>
            </w:r>
          </w:p>
          <w:p w14:paraId="67279C69">
            <w:pPr>
              <w:keepNext w:val="0"/>
              <w:keepLines w:val="0"/>
              <w:widowControl/>
              <w:suppressLineNumbers w:val="0"/>
              <w:spacing w:before="0" w:beforeAutospacing="0" w:after="0" w:afterAutospacing="0"/>
              <w:ind w:left="0" w:right="0"/>
              <w:jc w:val="both"/>
              <w:rPr>
                <w:rFonts w:ascii="宋体" w:eastAsia="宋体" w:hAnsi="宋体" w:cs="宋体" w:hint="eastAsia"/>
                <w:color w:val="0000FF"/>
                <w:kern w:val="2"/>
                <w:sz w:val="21"/>
                <w:szCs w:val="21"/>
                <w:lang w:eastAsia="zh-CN"/>
              </w:rPr>
            </w:pPr>
            <w:r>
              <w:rPr>
                <w:rFonts w:ascii="宋体" w:eastAsia="宋体" w:hAnsi="宋体" w:cs="宋体" w:hint="eastAsia"/>
                <w:color w:val="0000FF"/>
                <w:kern w:val="2"/>
                <w:sz w:val="21"/>
                <w:szCs w:val="21"/>
                <w:lang w:eastAsia="zh-CN"/>
              </w:rPr>
              <w:t>（</w:t>
            </w:r>
            <w:r>
              <w:rPr>
                <w:rFonts w:ascii="宋体" w:eastAsia="宋体" w:hAnsi="宋体" w:cs="宋体" w:hint="eastAsia"/>
                <w:color w:val="0000FF"/>
                <w:kern w:val="2"/>
                <w:sz w:val="21"/>
                <w:szCs w:val="21"/>
                <w:lang w:eastAsia="zh-CN"/>
              </w:rPr>
              <w:t>2</w:t>
            </w:r>
            <w:r>
              <w:rPr>
                <w:rFonts w:ascii="宋体" w:eastAsia="宋体" w:hAnsi="宋体" w:cs="宋体" w:hint="eastAsia"/>
                <w:color w:val="0000FF"/>
                <w:kern w:val="2"/>
                <w:sz w:val="21"/>
                <w:szCs w:val="21"/>
                <w:lang w:eastAsia="zh-CN"/>
              </w:rPr>
              <w:t>）</w:t>
            </w:r>
            <w:r>
              <w:rPr>
                <w:rFonts w:ascii="宋体" w:eastAsia="宋体" w:hAnsi="宋体" w:cs="宋体" w:hint="eastAsia"/>
                <w:color w:val="0000FF"/>
                <w:spacing w:val="-4"/>
                <w:kern w:val="2"/>
                <w:sz w:val="21"/>
                <w:szCs w:val="21"/>
                <w:lang w:eastAsia="zh-CN"/>
              </w:rPr>
              <w:t>不含增值税投标总价</w:t>
            </w:r>
            <w:r>
              <w:rPr>
                <w:rFonts w:ascii="宋体" w:eastAsia="宋体" w:hAnsi="宋体" w:cs="宋体" w:hint="eastAsia"/>
                <w:color w:val="0000FF"/>
                <w:spacing w:val="-4"/>
                <w:kern w:val="2"/>
                <w:sz w:val="21"/>
                <w:szCs w:val="21"/>
                <w:lang w:eastAsia="zh-CN"/>
              </w:rPr>
              <w:t>：</w:t>
            </w:r>
            <w:r>
              <w:rPr>
                <w:rFonts w:ascii="宋体" w:eastAsia="宋体" w:hAnsi="宋体" w:cs="宋体" w:hint="eastAsia"/>
                <w:color w:val="0000FF"/>
                <w:spacing w:val="-4"/>
                <w:kern w:val="2"/>
                <w:sz w:val="21"/>
                <w:szCs w:val="21"/>
                <w:u w:val="single"/>
                <w:lang w:eastAsia="zh-CN"/>
              </w:rPr>
              <w:t xml:space="preserve">    </w:t>
            </w:r>
            <w:r>
              <w:rPr>
                <w:rFonts w:ascii="宋体" w:eastAsia="宋体" w:hAnsi="宋体" w:cs="宋体" w:hint="eastAsia"/>
                <w:color w:val="0000FF"/>
                <w:spacing w:val="-4"/>
                <w:kern w:val="2"/>
                <w:sz w:val="21"/>
                <w:szCs w:val="21"/>
                <w:lang w:eastAsia="zh-CN"/>
              </w:rPr>
              <w:t>万</w:t>
            </w:r>
            <w:r>
              <w:rPr>
                <w:rFonts w:ascii="宋体" w:eastAsia="宋体" w:hAnsi="宋体" w:cs="宋体" w:hint="eastAsia"/>
                <w:color w:val="0000FF"/>
                <w:spacing w:val="-4"/>
                <w:kern w:val="2"/>
                <w:sz w:val="21"/>
                <w:szCs w:val="21"/>
                <w:lang w:eastAsia="zh-CN"/>
              </w:rPr>
              <w:t>元；</w:t>
            </w:r>
          </w:p>
          <w:p w14:paraId="4FD64BB4">
            <w:pPr>
              <w:keepNext w:val="0"/>
              <w:keepLines w:val="0"/>
              <w:widowControl/>
              <w:suppressLineNumbers w:val="0"/>
              <w:spacing w:before="0" w:beforeAutospacing="0" w:after="0" w:afterAutospacing="0"/>
              <w:ind w:left="0" w:right="0"/>
              <w:jc w:val="both"/>
              <w:rPr>
                <w:rFonts w:ascii="宋体" w:eastAsia="宋体" w:hAnsi="宋体" w:cs="宋体" w:hint="eastAsia"/>
                <w:color w:val="0000FF"/>
                <w:kern w:val="2"/>
                <w:sz w:val="21"/>
                <w:szCs w:val="21"/>
                <w:lang w:eastAsia="zh-CN"/>
              </w:rPr>
            </w:pPr>
            <w:r>
              <w:rPr>
                <w:rFonts w:ascii="宋体" w:eastAsia="宋体" w:hAnsi="宋体" w:cs="宋体" w:hint="eastAsia"/>
                <w:color w:val="0000FF"/>
                <w:kern w:val="2"/>
                <w:sz w:val="21"/>
                <w:szCs w:val="21"/>
                <w:lang w:eastAsia="zh-CN"/>
              </w:rPr>
              <w:t>（</w:t>
            </w:r>
            <w:r>
              <w:rPr>
                <w:rFonts w:ascii="宋体" w:eastAsia="宋体" w:hAnsi="宋体" w:cs="宋体" w:hint="eastAsia"/>
                <w:color w:val="0000FF"/>
                <w:kern w:val="2"/>
                <w:sz w:val="21"/>
                <w:szCs w:val="21"/>
                <w:lang w:eastAsia="zh-CN"/>
              </w:rPr>
              <w:t>3</w:t>
            </w:r>
            <w:r>
              <w:rPr>
                <w:rFonts w:ascii="宋体" w:eastAsia="宋体" w:hAnsi="宋体" w:cs="宋体" w:hint="eastAsia"/>
                <w:color w:val="0000FF"/>
                <w:kern w:val="2"/>
                <w:sz w:val="21"/>
                <w:szCs w:val="21"/>
                <w:lang w:eastAsia="zh-CN"/>
              </w:rPr>
              <w:t>）</w:t>
            </w:r>
            <w:r>
              <w:rPr>
                <w:rFonts w:ascii="宋体" w:eastAsia="宋体" w:hAnsi="宋体" w:cs="宋体" w:hint="eastAsia"/>
                <w:color w:val="0000FF"/>
                <w:kern w:val="2"/>
                <w:sz w:val="21"/>
                <w:szCs w:val="21"/>
                <w:lang w:eastAsia="zh-CN"/>
              </w:rPr>
              <w:t>增值税税金</w:t>
            </w:r>
            <w:r>
              <w:rPr>
                <w:rFonts w:ascii="宋体" w:eastAsia="宋体" w:hAnsi="宋体" w:cs="宋体" w:hint="eastAsia"/>
                <w:color w:val="0000FF"/>
                <w:kern w:val="2"/>
                <w:sz w:val="21"/>
                <w:szCs w:val="21"/>
                <w:lang w:eastAsia="zh-CN"/>
              </w:rPr>
              <w:t>：</w:t>
            </w:r>
            <w:r>
              <w:rPr>
                <w:rFonts w:ascii="宋体" w:eastAsia="宋体" w:hAnsi="宋体" w:cs="宋体" w:hint="eastAsia"/>
                <w:color w:val="0000FF"/>
                <w:spacing w:val="-4"/>
                <w:kern w:val="2"/>
                <w:sz w:val="21"/>
                <w:szCs w:val="21"/>
                <w:u w:val="single"/>
                <w:lang w:eastAsia="zh-CN"/>
              </w:rPr>
              <w:t xml:space="preserve">      </w:t>
            </w:r>
            <w:r>
              <w:rPr>
                <w:rFonts w:ascii="宋体" w:eastAsia="宋体" w:hAnsi="宋体" w:cs="宋体" w:hint="eastAsia"/>
                <w:color w:val="0000FF"/>
                <w:spacing w:val="-4"/>
                <w:kern w:val="2"/>
                <w:sz w:val="21"/>
                <w:szCs w:val="21"/>
                <w:lang w:eastAsia="zh-CN"/>
              </w:rPr>
              <w:t>万</w:t>
            </w:r>
            <w:r>
              <w:rPr>
                <w:rFonts w:ascii="宋体" w:eastAsia="宋体" w:hAnsi="宋体" w:cs="宋体" w:hint="eastAsia"/>
                <w:color w:val="0000FF"/>
                <w:spacing w:val="-4"/>
                <w:kern w:val="2"/>
                <w:sz w:val="21"/>
                <w:szCs w:val="21"/>
                <w:lang w:eastAsia="zh-CN"/>
              </w:rPr>
              <w:t>元</w:t>
            </w:r>
            <w:r>
              <w:rPr>
                <w:rFonts w:ascii="宋体" w:eastAsia="宋体" w:hAnsi="宋体" w:cs="宋体" w:hint="eastAsia"/>
                <w:color w:val="0000FF"/>
                <w:spacing w:val="-4"/>
                <w:kern w:val="2"/>
                <w:sz w:val="21"/>
                <w:szCs w:val="21"/>
                <w:lang w:eastAsia="zh-CN"/>
              </w:rPr>
              <w:t xml:space="preserve"> 。</w:t>
            </w:r>
          </w:p>
        </w:tc>
        <w:tc>
          <w:tcPr>
            <w:tcW w:w="2476" w:type="dxa"/>
            <w:tcBorders>
              <w:top w:val="single" w:sz="4" w:space="0" w:color="000000"/>
              <w:left w:val="single" w:sz="4" w:space="0" w:color="000000"/>
              <w:bottom w:val="single" w:sz="4" w:space="0" w:color="000000"/>
            </w:tcBorders>
            <w:noWrap w:val="0"/>
            <w:tcMar>
              <w:top w:w="15" w:type="dxa"/>
              <w:left w:w="108" w:type="dxa"/>
              <w:bottom w:w="15" w:type="dxa"/>
              <w:right w:w="108" w:type="dxa"/>
            </w:tcMar>
            <w:vAlign w:val="center"/>
          </w:tcPr>
          <w:p w14:paraId="5B4C1C92">
            <w:pPr>
              <w:keepNext w:val="0"/>
              <w:keepLines w:val="0"/>
              <w:widowControl/>
              <w:suppressLineNumbers w:val="0"/>
              <w:spacing w:before="0" w:beforeAutospacing="0" w:after="0" w:afterAutospacing="0"/>
              <w:ind w:left="0" w:right="0"/>
              <w:jc w:val="both"/>
              <w:rPr>
                <w:rFonts w:ascii="宋体" w:eastAsia="宋体" w:hAnsi="宋体" w:cs="宋体" w:hint="eastAsia"/>
                <w:color w:val="0000FF"/>
                <w:spacing w:val="-4"/>
                <w:kern w:val="2"/>
                <w:sz w:val="21"/>
                <w:szCs w:val="21"/>
                <w:lang w:eastAsia="zh-CN"/>
              </w:rPr>
            </w:pPr>
            <w:r>
              <w:rPr>
                <w:rFonts w:ascii="宋体" w:eastAsia="宋体" w:hAnsi="宋体" w:cs="宋体" w:hint="eastAsia"/>
                <w:color w:val="0000FF"/>
                <w:spacing w:val="-4"/>
                <w:kern w:val="2"/>
                <w:sz w:val="21"/>
                <w:szCs w:val="21"/>
                <w:lang w:eastAsia="zh-CN"/>
              </w:rPr>
              <w:t>①不含增值税</w:t>
            </w:r>
            <w:r>
              <w:rPr>
                <w:rFonts w:ascii="宋体" w:eastAsia="宋体" w:hAnsi="宋体" w:cs="宋体" w:hint="eastAsia"/>
                <w:color w:val="0000FF"/>
                <w:spacing w:val="-4"/>
                <w:kern w:val="2"/>
                <w:sz w:val="21"/>
                <w:szCs w:val="21"/>
                <w:lang w:eastAsia="zh-CN"/>
              </w:rPr>
              <w:t>投标</w:t>
            </w:r>
            <w:r>
              <w:rPr>
                <w:rFonts w:ascii="宋体" w:eastAsia="宋体" w:hAnsi="宋体" w:cs="宋体" w:hint="eastAsia"/>
                <w:color w:val="0000FF"/>
                <w:spacing w:val="-4"/>
                <w:kern w:val="2"/>
                <w:sz w:val="21"/>
                <w:szCs w:val="21"/>
                <w:lang w:eastAsia="zh-CN"/>
              </w:rPr>
              <w:t>总价=含税投标总报价-增值税税金</w:t>
            </w:r>
            <w:r>
              <w:rPr>
                <w:rFonts w:ascii="宋体" w:eastAsia="宋体" w:hAnsi="宋体" w:cs="宋体" w:hint="eastAsia"/>
                <w:color w:val="0000FF"/>
                <w:spacing w:val="-4"/>
                <w:kern w:val="2"/>
                <w:sz w:val="21"/>
                <w:szCs w:val="21"/>
                <w:lang w:eastAsia="zh-CN"/>
              </w:rPr>
              <w:t>，</w:t>
            </w:r>
          </w:p>
          <w:p w14:paraId="6655CB96">
            <w:pPr>
              <w:keepNext w:val="0"/>
              <w:keepLines w:val="0"/>
              <w:widowControl/>
              <w:suppressLineNumbers w:val="0"/>
              <w:spacing w:before="0" w:beforeAutospacing="0" w:after="0" w:afterAutospacing="0"/>
              <w:ind w:left="0" w:right="0"/>
              <w:jc w:val="both"/>
              <w:rPr>
                <w:rFonts w:ascii="宋体" w:eastAsia="宋体" w:hAnsi="宋体" w:cs="宋体" w:hint="eastAsia"/>
                <w:color w:val="0000FF"/>
                <w:spacing w:val="-4"/>
                <w:kern w:val="2"/>
                <w:sz w:val="21"/>
                <w:szCs w:val="21"/>
                <w:lang w:eastAsia="zh-CN"/>
              </w:rPr>
            </w:pPr>
            <w:r>
              <w:rPr>
                <w:rFonts w:ascii="宋体" w:eastAsia="宋体" w:hAnsi="宋体" w:cs="宋体" w:hint="eastAsia"/>
                <w:color w:val="0000FF"/>
                <w:spacing w:val="-4"/>
                <w:kern w:val="2"/>
                <w:sz w:val="21"/>
                <w:szCs w:val="21"/>
                <w:lang w:eastAsia="zh-CN"/>
              </w:rPr>
              <w:t>②增值税税金=含税投标总报价-含税投标总报价/（1+增值税税率）</w:t>
            </w:r>
          </w:p>
        </w:tc>
      </w:tr>
    </w:tbl>
    <w:p w14:paraId="03EFDF40">
      <w:pPr>
        <w:widowControl w:val="0"/>
        <w:spacing w:before="0" w:after="0" w:line="360" w:lineRule="auto"/>
        <w:ind w:firstLine="420" w:firstLineChars="200"/>
        <w:jc w:val="both"/>
        <w:rPr>
          <w:rFonts w:ascii="宋体" w:eastAsia="宋体" w:hAnsi="宋体" w:cs="宋体" w:hint="eastAsia"/>
          <w:color w:val="0000FF"/>
          <w:kern w:val="2"/>
          <w:sz w:val="21"/>
          <w:szCs w:val="21"/>
          <w:lang w:eastAsia="zh-CN"/>
        </w:rPr>
      </w:pPr>
      <w:r>
        <w:rPr>
          <w:rFonts w:ascii="宋体" w:eastAsia="宋体" w:hAnsi="宋体" w:cs="宋体" w:hint="eastAsia"/>
          <w:color w:val="0000FF"/>
          <w:kern w:val="2"/>
          <w:sz w:val="21"/>
          <w:szCs w:val="21"/>
          <w:lang w:eastAsia="zh-CN"/>
        </w:rPr>
        <w:t>报价说明：填写此表格时不得改变表格的形式。</w:t>
      </w:r>
    </w:p>
    <w:p w14:paraId="091087C9">
      <w:pPr>
        <w:widowControl w:val="0"/>
        <w:numPr>
          <w:ilvl w:val="12"/>
          <w:numId w:val="0"/>
        </w:numPr>
        <w:spacing w:after="120"/>
        <w:ind w:left="0" w:firstLine="0" w:leftChars="0" w:firstLineChars="0"/>
        <w:jc w:val="both"/>
        <w:rPr>
          <w:rFonts w:eastAsia="宋体" w:hint="eastAsia"/>
          <w:kern w:val="2"/>
          <w:sz w:val="21"/>
          <w:lang w:eastAsia="zh-CN"/>
        </w:rPr>
      </w:pPr>
    </w:p>
    <w:p w14:paraId="0C4804F7">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投标人名称：</w:t>
      </w:r>
    </w:p>
    <w:p w14:paraId="71C03529">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法定代表人：</w:t>
      </w:r>
    </w:p>
    <w:p w14:paraId="3CE25A1E">
      <w:pPr>
        <w:widowControl w:val="0"/>
        <w:spacing w:line="360" w:lineRule="auto"/>
        <w:ind w:firstLine="420" w:firstLineChars="200"/>
        <w:jc w:val="left"/>
        <w:rPr>
          <w:rFonts w:ascii="宋体" w:eastAsia="宋体" w:hAnsi="宋体" w:cs="宋体" w:hint="eastAsia"/>
          <w:snapToGrid w:val="0"/>
          <w:color w:val="000000"/>
          <w:sz w:val="21"/>
          <w:szCs w:val="22"/>
          <w:lang w:eastAsia="zh-CN"/>
        </w:rPr>
      </w:pPr>
      <w:r>
        <w:rPr>
          <w:rFonts w:ascii="宋体" w:eastAsia="宋体" w:hAnsi="宋体" w:cs="宋体" w:hint="eastAsia"/>
          <w:snapToGrid w:val="0"/>
          <w:color w:val="000000"/>
          <w:sz w:val="21"/>
          <w:szCs w:val="22"/>
          <w:lang w:eastAsia="zh-CN"/>
        </w:rPr>
        <w:t>授权委托人：</w:t>
      </w:r>
    </w:p>
    <w:p w14:paraId="29FE80B4">
      <w:pPr>
        <w:widowControl w:val="0"/>
        <w:spacing w:line="360" w:lineRule="auto"/>
        <w:ind w:firstLine="420" w:firstLineChars="200"/>
        <w:jc w:val="left"/>
        <w:rPr>
          <w:rFonts w:ascii="宋体" w:eastAsia="宋体" w:hAnsi="宋体" w:cs="宋体" w:hint="eastAsia"/>
          <w:snapToGrid w:val="0"/>
          <w:color w:val="000000"/>
          <w:sz w:val="21"/>
          <w:szCs w:val="21"/>
          <w:lang w:eastAsia="zh-CN"/>
        </w:rPr>
      </w:pPr>
    </w:p>
    <w:p w14:paraId="6131C0B3">
      <w:pPr>
        <w:widowControl w:val="0"/>
        <w:spacing w:line="360" w:lineRule="auto"/>
        <w:ind w:firstLine="0" w:firstLineChars="0"/>
        <w:jc w:val="left"/>
        <w:rPr>
          <w:rFonts w:ascii="宋体" w:eastAsia="宋体" w:hAnsi="宋体" w:cs="宋体" w:hint="eastAsia"/>
          <w:snapToGrid w:val="0"/>
          <w:color w:val="000000"/>
          <w:sz w:val="21"/>
          <w:szCs w:val="21"/>
          <w:lang w:eastAsia="zh-CN"/>
        </w:rPr>
      </w:pPr>
      <w:r>
        <w:rPr>
          <w:rFonts w:ascii="宋体" w:eastAsia="宋体" w:hAnsi="宋体" w:cs="宋体" w:hint="eastAsia"/>
          <w:snapToGrid w:val="0"/>
          <w:color w:val="000000"/>
          <w:sz w:val="21"/>
          <w:szCs w:val="21"/>
          <w:lang w:eastAsia="zh-CN"/>
        </w:rPr>
        <w:t>日期：</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年</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月</w:t>
      </w:r>
      <w:r>
        <w:rPr>
          <w:rFonts w:ascii="宋体" w:eastAsia="宋体" w:hAnsi="宋体" w:cs="宋体" w:hint="eastAsia"/>
          <w:snapToGrid w:val="0"/>
          <w:color w:val="000000"/>
          <w:sz w:val="21"/>
          <w:szCs w:val="21"/>
          <w:lang w:eastAsia="zh-CN"/>
        </w:rPr>
        <w:t xml:space="preserve">    </w:t>
      </w:r>
      <w:r>
        <w:rPr>
          <w:rFonts w:ascii="宋体" w:eastAsia="宋体" w:hAnsi="宋体" w:cs="宋体" w:hint="eastAsia"/>
          <w:snapToGrid w:val="0"/>
          <w:color w:val="000000"/>
          <w:sz w:val="21"/>
          <w:szCs w:val="21"/>
          <w:lang w:eastAsia="zh-CN"/>
        </w:rPr>
        <w:t>日</w:t>
      </w:r>
    </w:p>
    <w:p w14:paraId="6FE71E25">
      <w:pPr>
        <w:widowControl w:val="0"/>
        <w:spacing w:after="120"/>
        <w:ind w:left="0" w:firstLine="0" w:leftChars="0" w:firstLineChars="0"/>
        <w:jc w:val="both"/>
        <w:rPr>
          <w:rFonts w:ascii="宋体" w:eastAsia="宋体" w:hAnsi="宋体" w:cs="宋体" w:hint="eastAsia"/>
          <w:snapToGrid w:val="0"/>
          <w:color w:val="000000"/>
          <w:sz w:val="20"/>
          <w:szCs w:val="21"/>
          <w:lang w:eastAsia="zh-CN"/>
        </w:rPr>
      </w:pPr>
    </w:p>
    <w:p w14:paraId="736B796B">
      <w:pPr>
        <w:widowControl w:val="0"/>
        <w:jc w:val="both"/>
        <w:rPr>
          <w:rFonts w:ascii="宋体" w:eastAsia="宋体" w:hAnsi="宋体" w:cs="宋体" w:hint="eastAsia"/>
          <w:snapToGrid w:val="0"/>
          <w:color w:val="000000"/>
          <w:sz w:val="21"/>
          <w:szCs w:val="21"/>
          <w:lang w:eastAsia="zh-CN"/>
        </w:rPr>
      </w:pPr>
    </w:p>
    <w:p w14:paraId="4F160BFD">
      <w:pPr>
        <w:widowControl w:val="0"/>
        <w:spacing w:after="120"/>
        <w:ind w:left="480" w:firstLine="420" w:leftChars="200" w:firstLineChars="200"/>
        <w:jc w:val="both"/>
        <w:rPr>
          <w:rFonts w:eastAsia="宋体" w:hint="eastAsia"/>
          <w:kern w:val="2"/>
          <w:sz w:val="21"/>
          <w:lang w:eastAsia="zh-CN"/>
        </w:rPr>
        <w:sectPr>
          <w:footerReference w:type="default" r:id="rId9"/>
          <w:pgSz w:w="11907" w:h="16839"/>
          <w:pgMar w:top="1361" w:right="1304" w:bottom="1304" w:left="1304" w:header="1247" w:footer="737" w:gutter="0"/>
          <w:pgNumType w:fmt="decimal"/>
          <w:cols w:num="1" w:space="720"/>
          <w:docGrid w:linePitch="380" w:charSpace="-4301"/>
        </w:sectPr>
      </w:pPr>
    </w:p>
    <w:p w14:paraId="3D499EB0">
      <w:pPr>
        <w:widowControl w:val="0"/>
        <w:spacing w:after="120"/>
        <w:ind w:left="0" w:firstLine="0" w:leftChars="0" w:firstLineChars="0"/>
        <w:jc w:val="both"/>
        <w:rPr>
          <w:rFonts w:ascii="宋体" w:eastAsia="宋体" w:hAnsi="宋体" w:cs="宋体" w:hint="eastAsia"/>
          <w:snapToGrid w:val="0"/>
          <w:color w:val="000000"/>
          <w:sz w:val="20"/>
          <w:szCs w:val="21"/>
          <w:highlight w:val="yellow"/>
          <w:lang w:eastAsia="zh-CN"/>
        </w:rPr>
      </w:pPr>
      <w:r>
        <w:rPr>
          <w:rFonts w:ascii="宋体" w:eastAsia="宋体" w:hAnsi="宋体" w:cs="宋体" w:hint="eastAsia"/>
          <w:b/>
          <w:bCs/>
          <w:snapToGrid w:val="0"/>
          <w:color w:val="000000"/>
          <w:sz w:val="20"/>
          <w:szCs w:val="21"/>
          <w:highlight w:val="yellow"/>
          <w:lang w:eastAsia="zh-CN"/>
        </w:rPr>
        <w:t>特别说明：</w:t>
      </w:r>
      <w:r>
        <w:rPr>
          <w:rFonts w:ascii="宋体" w:eastAsia="宋体" w:hAnsi="宋体" w:cs="宋体" w:hint="eastAsia"/>
          <w:snapToGrid w:val="0"/>
          <w:color w:val="000000"/>
          <w:sz w:val="20"/>
          <w:szCs w:val="21"/>
          <w:highlight w:val="yellow"/>
          <w:lang w:eastAsia="zh-CN"/>
        </w:rPr>
        <w:t>下表是本项目招标估价构成</w:t>
      </w:r>
      <w:r>
        <w:rPr>
          <w:rFonts w:ascii="宋体" w:eastAsia="宋体" w:hAnsi="宋体" w:cs="宋体" w:hint="eastAsia"/>
          <w:snapToGrid w:val="0"/>
          <w:color w:val="000000"/>
          <w:sz w:val="20"/>
          <w:szCs w:val="21"/>
          <w:highlight w:val="yellow"/>
          <w:lang w:eastAsia="zh-CN"/>
        </w:rPr>
        <w:t>明细表，仅供投标报价参考，投标人无需提供此表。</w:t>
      </w:r>
    </w:p>
    <w:tbl>
      <w:tblPr>
        <w:tblStyle w:val="TableNormal"/>
        <w:tblW w:w="5000" w:type="pct"/>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660"/>
        <w:gridCol w:w="1428"/>
        <w:gridCol w:w="1271"/>
        <w:gridCol w:w="1334"/>
        <w:gridCol w:w="1334"/>
        <w:gridCol w:w="1334"/>
        <w:gridCol w:w="1334"/>
        <w:gridCol w:w="1334"/>
        <w:gridCol w:w="1334"/>
        <w:gridCol w:w="1334"/>
        <w:gridCol w:w="1693"/>
      </w:tblGrid>
      <w:tr w14:paraId="2B2F311A">
        <w:tblPrEx>
          <w:tblW w:w="5000" w:type="pct"/>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80"/>
        </w:trPr>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0A41D">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序号</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996767">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计费基数</w:t>
            </w:r>
            <w:r>
              <w:rPr>
                <w:rFonts w:ascii="仿宋" w:eastAsia="仿宋" w:hAnsi="仿宋" w:cs="仿宋" w:hint="eastAsia"/>
                <w:color w:val="000000"/>
                <w:sz w:val="20"/>
                <w:szCs w:val="20"/>
                <w:lang w:eastAsia="zh-CN" w:bidi="ar"/>
              </w:rPr>
              <w:br/>
            </w:r>
            <w:r>
              <w:rPr>
                <w:rFonts w:ascii="仿宋" w:eastAsia="仿宋" w:hAnsi="仿宋" w:cs="仿宋" w:hint="eastAsia"/>
                <w:color w:val="000000"/>
                <w:sz w:val="20"/>
                <w:szCs w:val="20"/>
                <w:lang w:eastAsia="zh-CN" w:bidi="ar"/>
              </w:rPr>
              <w:t>（元）</w:t>
            </w:r>
          </w:p>
        </w:tc>
        <w:tc>
          <w:tcPr>
            <w:tcW w:w="1149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2EEF9FF5">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施工阶段全过程造价控制收费标准</w:t>
            </w:r>
          </w:p>
        </w:tc>
      </w:tr>
      <w:tr w14:paraId="0C106EFD">
        <w:tblPrEx>
          <w:tblW w:w="5000" w:type="pct"/>
          <w:tblInd w:w="98" w:type="dxa"/>
          <w:shd w:val="clear" w:color="auto" w:fill="auto"/>
          <w:tblLayout w:type="fixed"/>
          <w:tblCellMar>
            <w:top w:w="0" w:type="dxa"/>
            <w:left w:w="108" w:type="dxa"/>
            <w:bottom w:w="0" w:type="dxa"/>
            <w:right w:w="108" w:type="dxa"/>
          </w:tblCellMar>
        </w:tblPrEx>
        <w:trPr>
          <w:trHeight w:val="48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5A7AA">
            <w:pPr>
              <w:widowControl w:val="0"/>
              <w:jc w:val="center"/>
              <w:rPr>
                <w:rFonts w:ascii="仿宋" w:eastAsia="仿宋" w:hAnsi="仿宋" w:cs="仿宋" w:hint="eastAsia"/>
                <w:color w:val="000000"/>
                <w:kern w:val="2"/>
                <w:sz w:val="20"/>
                <w:szCs w:val="20"/>
                <w:lang w:eastAsia="zh-CN"/>
              </w:rPr>
            </w:pP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697A52">
            <w:pPr>
              <w:widowControl w:val="0"/>
              <w:jc w:val="center"/>
              <w:rPr>
                <w:rFonts w:ascii="仿宋" w:eastAsia="仿宋" w:hAnsi="仿宋" w:cs="仿宋" w:hint="eastAsia"/>
                <w:color w:val="000000"/>
                <w:kern w:val="2"/>
                <w:sz w:val="20"/>
                <w:szCs w:val="20"/>
                <w:lang w:eastAsia="zh-CN"/>
              </w:rPr>
            </w:pPr>
          </w:p>
        </w:tc>
        <w:tc>
          <w:tcPr>
            <w:tcW w:w="11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B3C31">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金额</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A54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100万元以内</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788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101-500万元</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8FC8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501-1000万元</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292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1001-5000万元</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C74A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5001万元-1亿元</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F3A19">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1亿元以上</w:t>
            </w:r>
          </w:p>
        </w:tc>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070A0">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合计</w:t>
            </w:r>
            <w:r>
              <w:rPr>
                <w:rFonts w:ascii="仿宋" w:eastAsia="仿宋" w:hAnsi="仿宋" w:cs="仿宋" w:hint="eastAsia"/>
                <w:color w:val="000000"/>
                <w:sz w:val="20"/>
                <w:szCs w:val="20"/>
                <w:lang w:eastAsia="zh-CN" w:bidi="ar"/>
              </w:rPr>
              <w:br/>
            </w:r>
            <w:r>
              <w:rPr>
                <w:rFonts w:ascii="仿宋" w:eastAsia="仿宋" w:hAnsi="仿宋" w:cs="仿宋" w:hint="eastAsia"/>
                <w:color w:val="000000"/>
                <w:sz w:val="20"/>
                <w:szCs w:val="20"/>
                <w:lang w:eastAsia="zh-CN" w:bidi="ar"/>
              </w:rPr>
              <w:t>（元）</w:t>
            </w:r>
          </w:p>
        </w:tc>
        <w:tc>
          <w:tcPr>
            <w:tcW w:w="15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5C056">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备注</w:t>
            </w:r>
          </w:p>
        </w:tc>
      </w:tr>
      <w:tr w14:paraId="0C51636F">
        <w:tblPrEx>
          <w:tblW w:w="5000" w:type="pct"/>
          <w:tblInd w:w="98" w:type="dxa"/>
          <w:shd w:val="clear" w:color="auto" w:fill="auto"/>
          <w:tblLayout w:type="fixed"/>
          <w:tblCellMar>
            <w:top w:w="0" w:type="dxa"/>
            <w:left w:w="108" w:type="dxa"/>
            <w:bottom w:w="0" w:type="dxa"/>
            <w:right w:w="108" w:type="dxa"/>
          </w:tblCellMar>
        </w:tblPrEx>
        <w:trPr>
          <w:trHeight w:val="7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C19B9">
            <w:pPr>
              <w:widowControl w:val="0"/>
              <w:jc w:val="center"/>
              <w:rPr>
                <w:rFonts w:ascii="仿宋" w:eastAsia="仿宋" w:hAnsi="仿宋" w:cs="仿宋" w:hint="eastAsia"/>
                <w:color w:val="000000"/>
                <w:kern w:val="2"/>
                <w:sz w:val="20"/>
                <w:szCs w:val="20"/>
                <w:lang w:eastAsia="zh-CN"/>
              </w:rPr>
            </w:pP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ACE1D1">
            <w:pPr>
              <w:widowControl w:val="0"/>
              <w:jc w:val="center"/>
              <w:rPr>
                <w:rFonts w:ascii="仿宋" w:eastAsia="仿宋" w:hAnsi="仿宋" w:cs="仿宋" w:hint="eastAsia"/>
                <w:color w:val="000000"/>
                <w:kern w:val="2"/>
                <w:sz w:val="20"/>
                <w:szCs w:val="20"/>
                <w:lang w:eastAsia="zh-CN"/>
              </w:rPr>
            </w:pPr>
          </w:p>
        </w:tc>
        <w:tc>
          <w:tcPr>
            <w:tcW w:w="11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4FD2">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最高费率</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50B4C">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7.2‰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8A51E">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A444">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046E">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E3ADB">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4.8‰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6C54F">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4.2‰</w:t>
            </w:r>
          </w:p>
        </w:tc>
        <w:tc>
          <w:tcPr>
            <w:tcW w:w="12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6B7F1">
            <w:pPr>
              <w:widowControl w:val="0"/>
              <w:jc w:val="center"/>
              <w:rPr>
                <w:rFonts w:ascii="仿宋" w:eastAsia="仿宋" w:hAnsi="仿宋" w:cs="仿宋" w:hint="eastAsia"/>
                <w:color w:val="000000"/>
                <w:kern w:val="2"/>
                <w:sz w:val="20"/>
                <w:szCs w:val="20"/>
                <w:lang w:eastAsia="zh-CN"/>
              </w:rPr>
            </w:pP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98B4F">
            <w:pPr>
              <w:widowControl w:val="0"/>
              <w:jc w:val="center"/>
              <w:rPr>
                <w:rFonts w:ascii="仿宋" w:eastAsia="仿宋" w:hAnsi="仿宋" w:cs="仿宋" w:hint="eastAsia"/>
                <w:color w:val="000000"/>
                <w:kern w:val="2"/>
                <w:sz w:val="20"/>
                <w:szCs w:val="20"/>
                <w:lang w:eastAsia="zh-CN"/>
              </w:rPr>
            </w:pPr>
          </w:p>
        </w:tc>
      </w:tr>
      <w:tr w14:paraId="7D25AD21">
        <w:tblPrEx>
          <w:tblW w:w="5000" w:type="pct"/>
          <w:tblInd w:w="98" w:type="dxa"/>
          <w:shd w:val="clear" w:color="auto" w:fill="auto"/>
          <w:tblLayout w:type="fixed"/>
          <w:tblCellMar>
            <w:top w:w="0" w:type="dxa"/>
            <w:left w:w="108" w:type="dxa"/>
            <w:bottom w:w="0" w:type="dxa"/>
            <w:right w:w="108" w:type="dxa"/>
          </w:tblCellMar>
        </w:tblPrEx>
        <w:trPr>
          <w:trHeight w:val="62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EA4EB">
            <w:pPr>
              <w:widowControl w:val="0"/>
              <w:jc w:val="center"/>
              <w:rPr>
                <w:rFonts w:ascii="仿宋" w:eastAsia="仿宋" w:hAnsi="仿宋" w:cs="仿宋" w:hint="eastAsia"/>
                <w:color w:val="000000"/>
                <w:kern w:val="2"/>
                <w:sz w:val="20"/>
                <w:szCs w:val="20"/>
                <w:lang w:eastAsia="zh-CN"/>
              </w:rPr>
            </w:pP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59DF74">
            <w:pPr>
              <w:widowControl w:val="0"/>
              <w:jc w:val="center"/>
              <w:rPr>
                <w:rFonts w:ascii="仿宋" w:eastAsia="仿宋" w:hAnsi="仿宋" w:cs="仿宋" w:hint="eastAsia"/>
                <w:color w:val="000000"/>
                <w:kern w:val="2"/>
                <w:sz w:val="20"/>
                <w:szCs w:val="20"/>
                <w:lang w:eastAsia="zh-CN"/>
              </w:rPr>
            </w:pPr>
          </w:p>
        </w:tc>
        <w:tc>
          <w:tcPr>
            <w:tcW w:w="11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EA38">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全费用固定费率</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A5309">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0.72%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A20C7">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F8117">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0.60%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AF6E">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357D">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0.48%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2EBA2">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0.42%</w:t>
            </w:r>
          </w:p>
        </w:tc>
        <w:tc>
          <w:tcPr>
            <w:tcW w:w="28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ED98F">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自主填报，不得高于最高费率。</w:t>
            </w:r>
          </w:p>
        </w:tc>
      </w:tr>
      <w:tr w14:paraId="1728C4F5">
        <w:tblPrEx>
          <w:tblW w:w="5000" w:type="pct"/>
          <w:tblInd w:w="98" w:type="dxa"/>
          <w:shd w:val="clear" w:color="auto" w:fill="auto"/>
          <w:tblLayout w:type="fixed"/>
          <w:tblCellMar>
            <w:top w:w="0" w:type="dxa"/>
            <w:left w:w="108" w:type="dxa"/>
            <w:bottom w:w="0" w:type="dxa"/>
            <w:right w:w="108" w:type="dxa"/>
          </w:tblCellMar>
        </w:tblPrEx>
        <w:trPr>
          <w:trHeight w:val="800"/>
        </w:trPr>
        <w:tc>
          <w:tcPr>
            <w:tcW w:w="6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24AEC">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4AD6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 xml:space="preserve">335,283,900 </w:t>
            </w:r>
          </w:p>
        </w:tc>
        <w:tc>
          <w:tcPr>
            <w:tcW w:w="11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6BE9E">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元</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84B7B">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7,200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9975">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26,400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86D27">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30,000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B6820">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216,000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20C0">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240,000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736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 xml:space="preserve">988,192 </w:t>
            </w:r>
          </w:p>
        </w:tc>
        <w:tc>
          <w:tcPr>
            <w:tcW w:w="282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7BD3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b/>
                <w:bCs/>
                <w:color w:val="FF0000"/>
                <w:sz w:val="20"/>
                <w:szCs w:val="20"/>
                <w:lang w:eastAsia="zh-CN" w:bidi="ar"/>
              </w:rPr>
              <w:t xml:space="preserve">1,507,792 </w:t>
            </w:r>
          </w:p>
        </w:tc>
      </w:tr>
    </w:tbl>
    <w:p w14:paraId="64CD36B1">
      <w:pPr>
        <w:widowControl w:val="0"/>
        <w:spacing w:after="120"/>
        <w:ind w:left="0" w:firstLine="0" w:leftChars="0" w:firstLineChars="0"/>
        <w:jc w:val="both"/>
        <w:rPr>
          <w:rFonts w:ascii="宋体" w:eastAsia="宋体" w:hAnsi="宋体" w:cs="宋体" w:hint="eastAsia"/>
          <w:snapToGrid w:val="0"/>
          <w:color w:val="000000"/>
          <w:sz w:val="20"/>
          <w:szCs w:val="21"/>
          <w:lang w:eastAsia="zh-CN"/>
        </w:rPr>
      </w:pPr>
    </w:p>
    <w:p w14:paraId="608C1767">
      <w:pPr>
        <w:widowControl w:val="0"/>
        <w:jc w:val="left"/>
        <w:rPr>
          <w:rFonts w:ascii="宋体" w:eastAsia="宋体" w:hAnsi="宋体" w:cs="宋体" w:hint="eastAsia"/>
          <w:kern w:val="2"/>
          <w:sz w:val="44"/>
          <w:szCs w:val="44"/>
          <w:u w:val="single"/>
          <w:lang w:eastAsia="zh-CN"/>
        </w:rPr>
      </w:pPr>
      <w:r>
        <w:rPr>
          <w:rFonts w:ascii="宋体" w:eastAsia="宋体" w:hAnsi="宋体" w:cs="宋体" w:hint="eastAsia"/>
          <w:kern w:val="2"/>
          <w:sz w:val="44"/>
          <w:szCs w:val="44"/>
          <w:u w:val="single"/>
          <w:lang w:eastAsia="zh-CN"/>
        </w:rPr>
        <w:br w:type="page"/>
      </w:r>
    </w:p>
    <w:p w14:paraId="6D93AF64">
      <w:pPr>
        <w:widowControl w:val="0"/>
        <w:jc w:val="center"/>
        <w:rPr>
          <w:rFonts w:ascii="宋体" w:eastAsia="宋体" w:hAnsi="宋体" w:cs="宋体" w:hint="eastAsia"/>
          <w:kern w:val="2"/>
          <w:sz w:val="44"/>
          <w:szCs w:val="44"/>
          <w:u w:val="single"/>
          <w:lang w:eastAsia="zh-CN"/>
        </w:rPr>
        <w:sectPr>
          <w:pgSz w:w="16839" w:h="11907" w:orient="landscape"/>
          <w:pgMar w:top="1304" w:right="1361" w:bottom="1304" w:left="1304" w:header="1247" w:footer="737" w:gutter="0"/>
          <w:pgNumType w:fmt="decimal"/>
          <w:cols w:num="1" w:space="0"/>
          <w:rtlGutter w:val="0"/>
          <w:docGrid w:linePitch="380" w:charSpace="0"/>
        </w:sectPr>
      </w:pPr>
    </w:p>
    <w:p w14:paraId="4AF61F0D">
      <w:pPr>
        <w:widowControl w:val="0"/>
        <w:jc w:val="center"/>
        <w:rPr>
          <w:rFonts w:ascii="宋体" w:eastAsia="宋体" w:hAnsi="宋体" w:cs="宋体" w:hint="eastAsia"/>
          <w:kern w:val="2"/>
          <w:sz w:val="44"/>
          <w:szCs w:val="44"/>
          <w:lang w:eastAsia="zh-CN"/>
        </w:rPr>
      </w:pPr>
      <w:r>
        <w:rPr>
          <w:rFonts w:ascii="宋体" w:eastAsia="宋体" w:hAnsi="宋体" w:cs="宋体" w:hint="eastAsia"/>
          <w:kern w:val="2"/>
          <w:sz w:val="44"/>
          <w:szCs w:val="44"/>
          <w:u w:val="single"/>
          <w:lang w:eastAsia="zh-CN"/>
        </w:rPr>
        <w:t xml:space="preserve">                        </w:t>
      </w:r>
      <w:r>
        <w:rPr>
          <w:rFonts w:ascii="宋体" w:eastAsia="宋体" w:hAnsi="宋体" w:cs="宋体" w:hint="eastAsia"/>
          <w:kern w:val="2"/>
          <w:sz w:val="44"/>
          <w:szCs w:val="44"/>
          <w:lang w:eastAsia="zh-CN"/>
        </w:rPr>
        <w:t>工程</w:t>
      </w:r>
    </w:p>
    <w:p w14:paraId="1574EBFF">
      <w:pPr>
        <w:widowControl w:val="0"/>
        <w:jc w:val="left"/>
        <w:rPr>
          <w:rFonts w:ascii="宋体" w:eastAsia="宋体" w:hAnsi="宋体" w:cs="宋体" w:hint="eastAsia"/>
          <w:kern w:val="2"/>
          <w:sz w:val="21"/>
          <w:szCs w:val="22"/>
          <w:lang w:eastAsia="zh-CN"/>
        </w:rPr>
      </w:pPr>
    </w:p>
    <w:p w14:paraId="184611F8">
      <w:pPr>
        <w:widowControl w:val="0"/>
        <w:jc w:val="center"/>
        <w:rPr>
          <w:rFonts w:ascii="宋体" w:eastAsia="宋体" w:hAnsi="宋体" w:cs="宋体" w:hint="eastAsia"/>
          <w:kern w:val="2"/>
          <w:sz w:val="52"/>
          <w:szCs w:val="52"/>
          <w:lang w:eastAsia="zh-CN"/>
        </w:rPr>
      </w:pPr>
      <w:r>
        <w:rPr>
          <w:rFonts w:ascii="宋体" w:eastAsia="宋体" w:hAnsi="宋体" w:cs="宋体" w:hint="eastAsia"/>
          <w:kern w:val="2"/>
          <w:sz w:val="52"/>
          <w:szCs w:val="52"/>
          <w:lang w:eastAsia="zh-CN"/>
        </w:rPr>
        <w:t>投标文件</w:t>
      </w:r>
    </w:p>
    <w:p w14:paraId="4555FFBF">
      <w:pPr>
        <w:widowControl w:val="0"/>
        <w:jc w:val="left"/>
        <w:rPr>
          <w:rFonts w:ascii="宋体" w:eastAsia="宋体" w:hAnsi="宋体" w:cs="宋体" w:hint="eastAsia"/>
          <w:kern w:val="2"/>
          <w:sz w:val="44"/>
          <w:szCs w:val="44"/>
          <w:lang w:eastAsia="zh-CN"/>
        </w:rPr>
      </w:pPr>
    </w:p>
    <w:p w14:paraId="5B9B98E5">
      <w:pPr>
        <w:widowControl w:val="0"/>
        <w:jc w:val="center"/>
        <w:rPr>
          <w:rFonts w:ascii="宋体" w:eastAsia="宋体" w:hAnsi="宋体" w:cs="宋体" w:hint="eastAsia"/>
          <w:kern w:val="2"/>
          <w:sz w:val="44"/>
          <w:szCs w:val="44"/>
          <w:lang w:eastAsia="zh-CN"/>
        </w:rPr>
      </w:pPr>
    </w:p>
    <w:p w14:paraId="602AE693">
      <w:pPr>
        <w:widowControl w:val="0"/>
        <w:jc w:val="center"/>
        <w:outlineLvl w:val="9"/>
        <w:rPr>
          <w:rFonts w:ascii="宋体" w:eastAsia="宋体" w:hAnsi="宋体" w:cs="宋体" w:hint="eastAsia"/>
          <w:kern w:val="2"/>
          <w:sz w:val="44"/>
          <w:szCs w:val="44"/>
          <w:lang w:eastAsia="zh-CN"/>
        </w:rPr>
      </w:pPr>
      <w:bookmarkStart w:id="78" w:name="_Toc21342"/>
      <w:bookmarkStart w:id="79" w:name="_Toc5427"/>
      <w:r>
        <w:rPr>
          <w:rFonts w:ascii="宋体" w:eastAsia="宋体" w:hAnsi="宋体" w:cs="宋体" w:hint="eastAsia"/>
          <w:kern w:val="2"/>
          <w:sz w:val="44"/>
          <w:szCs w:val="44"/>
          <w:lang w:eastAsia="zh-CN"/>
        </w:rPr>
        <w:t>业绩文件</w:t>
      </w:r>
      <w:bookmarkEnd w:id="78"/>
      <w:bookmarkEnd w:id="79"/>
    </w:p>
    <w:p w14:paraId="7D1DCE89">
      <w:pPr>
        <w:widowControl w:val="0"/>
        <w:jc w:val="center"/>
        <w:rPr>
          <w:rFonts w:ascii="宋体" w:eastAsia="宋体" w:hAnsi="宋体" w:cs="宋体" w:hint="eastAsia"/>
          <w:kern w:val="2"/>
          <w:sz w:val="44"/>
          <w:szCs w:val="44"/>
          <w:lang w:eastAsia="zh-CN"/>
        </w:rPr>
      </w:pPr>
    </w:p>
    <w:p w14:paraId="3BF3A0B0">
      <w:pPr>
        <w:widowControl w:val="0"/>
        <w:jc w:val="center"/>
        <w:rPr>
          <w:rFonts w:ascii="宋体" w:eastAsia="宋体" w:hAnsi="宋体" w:cs="宋体" w:hint="eastAsia"/>
          <w:kern w:val="2"/>
          <w:sz w:val="44"/>
          <w:szCs w:val="44"/>
          <w:lang w:eastAsia="zh-CN"/>
        </w:rPr>
      </w:pPr>
    </w:p>
    <w:p w14:paraId="3095AD1A">
      <w:pPr>
        <w:widowControl w:val="0"/>
        <w:jc w:val="center"/>
        <w:rPr>
          <w:rFonts w:ascii="宋体" w:eastAsia="宋体" w:hAnsi="宋体" w:cs="宋体" w:hint="eastAsia"/>
          <w:kern w:val="2"/>
          <w:sz w:val="44"/>
          <w:szCs w:val="44"/>
          <w:lang w:eastAsia="zh-CN"/>
        </w:rPr>
      </w:pPr>
    </w:p>
    <w:p w14:paraId="0BE9C37A">
      <w:pPr>
        <w:widowControl w:val="0"/>
        <w:jc w:val="center"/>
        <w:rPr>
          <w:rFonts w:ascii="宋体" w:eastAsia="宋体" w:hAnsi="宋体" w:cs="宋体" w:hint="eastAsia"/>
          <w:kern w:val="2"/>
          <w:sz w:val="44"/>
          <w:szCs w:val="44"/>
          <w:lang w:eastAsia="zh-CN"/>
        </w:rPr>
      </w:pPr>
    </w:p>
    <w:p w14:paraId="2A1F2A46">
      <w:pPr>
        <w:widowControl w:val="0"/>
        <w:jc w:val="center"/>
        <w:rPr>
          <w:rFonts w:ascii="宋体" w:eastAsia="宋体" w:hAnsi="宋体" w:cs="宋体" w:hint="eastAsia"/>
          <w:kern w:val="2"/>
          <w:sz w:val="44"/>
          <w:szCs w:val="44"/>
          <w:lang w:eastAsia="zh-CN"/>
        </w:rPr>
      </w:pPr>
    </w:p>
    <w:p w14:paraId="64037151">
      <w:pPr>
        <w:widowControl w:val="0"/>
        <w:jc w:val="left"/>
        <w:rPr>
          <w:rFonts w:ascii="宋体" w:eastAsia="宋体" w:hAnsi="宋体" w:cs="宋体" w:hint="eastAsia"/>
          <w:kern w:val="2"/>
          <w:sz w:val="44"/>
          <w:szCs w:val="44"/>
          <w:lang w:eastAsia="zh-CN"/>
        </w:rPr>
      </w:pPr>
    </w:p>
    <w:p w14:paraId="08C51E43">
      <w:pPr>
        <w:widowControl w:val="0"/>
        <w:spacing w:line="480" w:lineRule="auto"/>
        <w:ind w:firstLine="1400" w:firstLineChars="500"/>
        <w:jc w:val="left"/>
        <w:rPr>
          <w:rFonts w:ascii="宋体" w:eastAsia="宋体" w:hAnsi="宋体" w:cs="宋体" w:hint="eastAsia"/>
          <w:kern w:val="2"/>
          <w:sz w:val="28"/>
          <w:szCs w:val="28"/>
          <w:lang w:eastAsia="zh-CN"/>
        </w:rPr>
      </w:pPr>
      <w:r>
        <w:rPr>
          <w:rFonts w:ascii="宋体" w:eastAsia="宋体" w:hAnsi="宋体" w:cs="宋体" w:hint="eastAsia"/>
          <w:kern w:val="2"/>
          <w:sz w:val="28"/>
          <w:szCs w:val="28"/>
          <w:lang w:eastAsia="zh-CN"/>
        </w:rPr>
        <w:t>项目编号：__________________________</w:t>
      </w:r>
      <w:r>
        <w:rPr>
          <w:rFonts w:ascii="宋体" w:eastAsia="宋体" w:hAnsi="宋体" w:cs="宋体" w:hint="eastAsia"/>
          <w:b/>
          <w:snapToGrid w:val="0"/>
          <w:color w:val="000000"/>
          <w:sz w:val="28"/>
          <w:szCs w:val="28"/>
          <w:lang w:eastAsia="zh-CN"/>
        </w:rPr>
        <w:t xml:space="preserve"> </w:t>
      </w:r>
      <w:r>
        <w:rPr>
          <w:rFonts w:ascii="宋体" w:eastAsia="宋体" w:hAnsi="宋体" w:cs="宋体" w:hint="eastAsia"/>
          <w:kern w:val="2"/>
          <w:sz w:val="28"/>
          <w:szCs w:val="28"/>
          <w:lang w:eastAsia="zh-CN"/>
        </w:rPr>
        <w:t>___</w:t>
      </w:r>
    </w:p>
    <w:p w14:paraId="024E91DF">
      <w:pPr>
        <w:widowControl w:val="0"/>
        <w:spacing w:line="480" w:lineRule="auto"/>
        <w:ind w:firstLine="1400" w:firstLineChars="500"/>
        <w:jc w:val="left"/>
        <w:rPr>
          <w:rFonts w:ascii="宋体" w:eastAsia="宋体" w:hAnsi="宋体" w:cs="宋体" w:hint="eastAsia"/>
          <w:kern w:val="2"/>
          <w:sz w:val="28"/>
          <w:szCs w:val="28"/>
          <w:lang w:eastAsia="zh-CN"/>
        </w:rPr>
      </w:pPr>
      <w:r>
        <w:rPr>
          <w:rFonts w:ascii="宋体" w:eastAsia="宋体" w:hAnsi="宋体" w:cs="宋体" w:hint="eastAsia"/>
          <w:kern w:val="2"/>
          <w:sz w:val="28"/>
          <w:szCs w:val="28"/>
          <w:lang w:eastAsia="zh-CN"/>
        </w:rPr>
        <w:t>投标人名称：___________________________</w:t>
      </w:r>
    </w:p>
    <w:p w14:paraId="24F9E36D">
      <w:pPr>
        <w:widowControl w:val="0"/>
        <w:spacing w:line="480" w:lineRule="auto"/>
        <w:ind w:firstLine="1400" w:firstLineChars="500"/>
        <w:jc w:val="left"/>
        <w:rPr>
          <w:rFonts w:ascii="宋体" w:eastAsia="宋体" w:hAnsi="宋体" w:cs="宋体" w:hint="eastAsia"/>
          <w:kern w:val="2"/>
          <w:sz w:val="28"/>
          <w:szCs w:val="28"/>
          <w:lang w:eastAsia="zh-CN"/>
        </w:rPr>
      </w:pPr>
      <w:r>
        <w:rPr>
          <w:rFonts w:ascii="宋体" w:eastAsia="宋体" w:hAnsi="宋体" w:cs="宋体" w:hint="eastAsia"/>
          <w:kern w:val="2"/>
          <w:sz w:val="28"/>
          <w:szCs w:val="28"/>
          <w:lang w:eastAsia="zh-CN"/>
        </w:rPr>
        <w:t>投标人代表：___________________________</w:t>
      </w:r>
    </w:p>
    <w:p w14:paraId="2C9618CF">
      <w:pPr>
        <w:widowControl w:val="0"/>
        <w:spacing w:line="480" w:lineRule="auto"/>
        <w:ind w:firstLine="1400" w:firstLineChars="500"/>
        <w:jc w:val="left"/>
        <w:rPr>
          <w:rFonts w:ascii="宋体" w:eastAsia="宋体" w:hAnsi="宋体" w:cs="宋体" w:hint="eastAsia"/>
          <w:kern w:val="2"/>
          <w:sz w:val="28"/>
          <w:szCs w:val="28"/>
          <w:lang w:eastAsia="zh-CN"/>
        </w:rPr>
      </w:pPr>
      <w:r>
        <w:rPr>
          <w:rFonts w:ascii="宋体" w:eastAsia="宋体" w:hAnsi="宋体" w:cs="宋体" w:hint="eastAsia"/>
          <w:kern w:val="2"/>
          <w:sz w:val="28"/>
          <w:szCs w:val="28"/>
          <w:lang w:eastAsia="zh-CN"/>
        </w:rPr>
        <w:t>投标日期：____________年_____月______日</w:t>
      </w:r>
    </w:p>
    <w:p w14:paraId="593D6F91">
      <w:pPr>
        <w:widowControl w:val="0"/>
        <w:spacing w:line="480" w:lineRule="auto"/>
        <w:jc w:val="center"/>
        <w:rPr>
          <w:rFonts w:ascii="宋体" w:eastAsia="宋体" w:hAnsi="宋体" w:cs="宋体" w:hint="eastAsia"/>
          <w:kern w:val="2"/>
          <w:szCs w:val="22"/>
          <w:lang w:eastAsia="zh-CN"/>
        </w:rPr>
      </w:pPr>
      <w:r>
        <w:rPr>
          <w:rFonts w:ascii="宋体" w:eastAsia="宋体" w:hAnsi="宋体" w:cs="宋体" w:hint="eastAsia"/>
          <w:kern w:val="2"/>
          <w:szCs w:val="22"/>
          <w:lang w:eastAsia="zh-CN"/>
        </w:rPr>
        <w:br w:type="page"/>
      </w:r>
    </w:p>
    <w:p w14:paraId="698C8B4B">
      <w:pPr>
        <w:widowControl w:val="0"/>
        <w:spacing w:line="480" w:lineRule="auto"/>
        <w:jc w:val="center"/>
        <w:rPr>
          <w:rFonts w:ascii="宋体" w:eastAsia="宋体" w:hAnsi="宋体" w:cs="宋体" w:hint="eastAsia"/>
          <w:kern w:val="2"/>
          <w:szCs w:val="22"/>
          <w:lang w:eastAsia="zh-CN"/>
        </w:rPr>
      </w:pPr>
    </w:p>
    <w:p w14:paraId="1DC31C66">
      <w:pPr>
        <w:widowControl w:val="0"/>
        <w:spacing w:line="480" w:lineRule="auto"/>
        <w:jc w:val="center"/>
        <w:rPr>
          <w:rFonts w:ascii="宋体" w:eastAsia="宋体" w:hAnsi="宋体" w:cs="宋体" w:hint="eastAsia"/>
          <w:color w:val="0000FF"/>
          <w:kern w:val="2"/>
          <w:lang w:eastAsia="zh-CN"/>
        </w:rPr>
      </w:pPr>
      <w:r>
        <w:rPr>
          <w:rFonts w:ascii="宋体" w:eastAsia="宋体" w:hAnsi="宋体" w:cs="宋体" w:hint="eastAsia"/>
          <w:b/>
          <w:bCs/>
          <w:color w:val="0000FF"/>
          <w:kern w:val="2"/>
          <w:szCs w:val="22"/>
          <w:lang w:eastAsia="zh-CN"/>
        </w:rPr>
        <w:t>业绩文件</w:t>
      </w:r>
      <w:r>
        <w:rPr>
          <w:rFonts w:ascii="宋体" w:eastAsia="宋体" w:hAnsi="宋体" w:cs="宋体" w:hint="eastAsia"/>
          <w:b/>
          <w:bCs/>
          <w:color w:val="0000FF"/>
          <w:kern w:val="2"/>
          <w:szCs w:val="22"/>
          <w:lang w:eastAsia="zh-CN"/>
        </w:rPr>
        <w:t>内容</w:t>
      </w:r>
      <w:r>
        <w:rPr>
          <w:rFonts w:ascii="宋体" w:eastAsia="宋体" w:hAnsi="宋体" w:cs="宋体" w:hint="eastAsia"/>
          <w:b/>
          <w:bCs/>
          <w:color w:val="0000FF"/>
          <w:kern w:val="2"/>
          <w:lang w:eastAsia="zh-CN"/>
        </w:rPr>
        <w:t>与资信标一致。</w:t>
      </w:r>
    </w:p>
    <w:p w14:paraId="6F29A246">
      <w:pPr>
        <w:widowControl w:val="0"/>
        <w:spacing w:line="360" w:lineRule="auto"/>
        <w:jc w:val="center"/>
        <w:outlineLvl w:val="0"/>
        <w:rPr>
          <w:rFonts w:ascii="宋体" w:eastAsia="宋体" w:hAnsi="宋体" w:cs="宋体" w:hint="eastAsia"/>
          <w:snapToGrid w:val="0"/>
          <w:sz w:val="21"/>
          <w:szCs w:val="22"/>
          <w:lang w:eastAsia="zh-CN"/>
        </w:rPr>
        <w:sectPr>
          <w:pgSz w:w="11907" w:h="16839"/>
          <w:pgMar w:top="1361" w:right="1304" w:bottom="1304" w:left="1304" w:header="1247" w:footer="737" w:gutter="0"/>
          <w:pgNumType w:fmt="decimal"/>
          <w:cols w:num="1" w:space="0"/>
          <w:rtlGutter w:val="0"/>
          <w:docGrid w:linePitch="380" w:charSpace="0"/>
        </w:sectPr>
      </w:pPr>
      <w:r>
        <w:rPr>
          <w:rFonts w:ascii="宋体" w:eastAsia="宋体" w:hAnsi="宋体" w:cs="宋体" w:hint="eastAsia"/>
          <w:snapToGrid w:val="0"/>
          <w:sz w:val="21"/>
          <w:szCs w:val="22"/>
          <w:lang w:eastAsia="zh-CN"/>
        </w:rPr>
        <w:br w:type="page"/>
      </w:r>
      <w:bookmarkStart w:id="80" w:name="_Toc11888"/>
      <w:bookmarkStart w:id="81" w:name="_Toc30309"/>
    </w:p>
    <w:p w14:paraId="716F890E">
      <w:pPr>
        <w:widowControl w:val="0"/>
        <w:spacing w:line="360" w:lineRule="auto"/>
        <w:jc w:val="center"/>
        <w:outlineLvl w:val="0"/>
        <w:rPr>
          <w:rFonts w:ascii="宋体" w:eastAsia="宋体" w:hAnsi="宋体" w:cs="宋体" w:hint="eastAsia"/>
          <w:bCs/>
          <w:kern w:val="2"/>
          <w:sz w:val="32"/>
          <w:szCs w:val="32"/>
          <w:lang w:eastAsia="zh-CN"/>
        </w:rPr>
      </w:pPr>
      <w:r>
        <w:rPr>
          <w:rFonts w:ascii="宋体" w:eastAsia="宋体" w:hAnsi="宋体" w:cs="宋体" w:hint="eastAsia"/>
          <w:bCs/>
          <w:snapToGrid w:val="0"/>
          <w:sz w:val="32"/>
          <w:szCs w:val="32"/>
          <w:lang w:eastAsia="zh-CN"/>
        </w:rPr>
        <w:t xml:space="preserve">第五章 </w:t>
      </w:r>
      <w:r>
        <w:rPr>
          <w:rFonts w:ascii="宋体" w:eastAsia="宋体" w:hAnsi="宋体" w:cs="宋体" w:hint="eastAsia"/>
          <w:bCs/>
          <w:kern w:val="2"/>
          <w:sz w:val="32"/>
          <w:szCs w:val="32"/>
          <w:lang w:eastAsia="zh-CN"/>
        </w:rPr>
        <w:t>合同条款及格式</w:t>
      </w:r>
      <w:bookmarkEnd w:id="80"/>
      <w:bookmarkEnd w:id="81"/>
    </w:p>
    <w:p w14:paraId="6C0B11B2">
      <w:pPr>
        <w:widowControl w:val="0"/>
        <w:jc w:val="both"/>
        <w:rPr>
          <w:rFonts w:ascii="宋体" w:eastAsia="宋体" w:hAnsi="宋体" w:cs="宋体" w:hint="eastAsia"/>
          <w:snapToGrid w:val="0"/>
          <w:sz w:val="21"/>
          <w:szCs w:val="21"/>
          <w:lang w:eastAsia="zh-CN"/>
        </w:rPr>
      </w:pPr>
      <w:r>
        <w:rPr>
          <w:rFonts w:ascii="宋体" w:eastAsia="宋体" w:hAnsi="宋体" w:cs="宋体" w:hint="eastAsia"/>
          <w:snapToGrid w:val="0"/>
          <w:sz w:val="21"/>
          <w:szCs w:val="21"/>
          <w:lang w:eastAsia="zh-CN"/>
        </w:rPr>
        <w:br w:type="page"/>
      </w:r>
    </w:p>
    <w:p w14:paraId="0C5C38C0">
      <w:pPr>
        <w:widowControl w:val="0"/>
        <w:tabs>
          <w:tab w:val="left" w:pos="540"/>
        </w:tabs>
        <w:wordWrap w:val="0"/>
        <w:spacing w:line="360" w:lineRule="auto"/>
        <w:ind w:right="180"/>
        <w:jc w:val="right"/>
        <w:rPr>
          <w:rFonts w:ascii="等线" w:eastAsia="等线" w:hAnsi="宋体" w:hint="eastAsia"/>
          <w:kern w:val="2"/>
          <w:u w:val="single"/>
          <w:lang w:eastAsia="zh-CN"/>
        </w:rPr>
      </w:pPr>
      <w:bookmarkStart w:id="82" w:name="_Toc32493"/>
      <w:bookmarkStart w:id="83" w:name="_Toc21056"/>
      <w:bookmarkStart w:id="84" w:name="_Toc24036575"/>
      <w:r>
        <w:rPr>
          <w:rFonts w:ascii="等线" w:eastAsia="等线" w:hAnsi="宋体" w:cstheme="minorBidi" w:hint="eastAsia"/>
          <w:kern w:val="2"/>
          <w:lang w:eastAsia="zh-CN"/>
        </w:rPr>
        <w:t>合同编号：</w:t>
      </w:r>
      <w:r>
        <w:rPr>
          <w:rFonts w:ascii="等线" w:eastAsia="等线" w:hAnsi="宋体" w:cstheme="minorBidi" w:hint="eastAsia"/>
          <w:kern w:val="2"/>
          <w:u w:val="single"/>
          <w:lang w:eastAsia="zh-CN"/>
        </w:rPr>
        <w:t xml:space="preserve">              </w:t>
      </w:r>
    </w:p>
    <w:p w14:paraId="09824050">
      <w:pPr>
        <w:widowControl w:val="0"/>
        <w:tabs>
          <w:tab w:val="left" w:pos="540"/>
        </w:tabs>
        <w:spacing w:line="360" w:lineRule="auto"/>
        <w:jc w:val="center"/>
        <w:rPr>
          <w:rFonts w:ascii="仿宋_GB2312" w:eastAsia="仿宋_GB2312" w:hAnsi="宋体"/>
          <w:b/>
          <w:bCs/>
          <w:kern w:val="2"/>
          <w:sz w:val="36"/>
          <w:szCs w:val="22"/>
          <w:lang w:eastAsia="zh-CN"/>
        </w:rPr>
      </w:pPr>
    </w:p>
    <w:p w14:paraId="32EF1DC4">
      <w:pPr>
        <w:widowControl w:val="0"/>
        <w:tabs>
          <w:tab w:val="left" w:pos="540"/>
        </w:tabs>
        <w:spacing w:line="360" w:lineRule="auto"/>
        <w:jc w:val="center"/>
        <w:rPr>
          <w:rFonts w:ascii="仿宋_GB2312" w:eastAsia="仿宋_GB2312" w:hAnsi="宋体"/>
          <w:b/>
          <w:bCs/>
          <w:kern w:val="2"/>
          <w:sz w:val="36"/>
          <w:szCs w:val="22"/>
          <w:lang w:eastAsia="zh-CN"/>
        </w:rPr>
      </w:pPr>
    </w:p>
    <w:p w14:paraId="22B04AA2">
      <w:pPr>
        <w:widowControl w:val="0"/>
        <w:tabs>
          <w:tab w:val="left" w:pos="540"/>
        </w:tabs>
        <w:spacing w:line="360" w:lineRule="auto"/>
        <w:jc w:val="center"/>
        <w:rPr>
          <w:rFonts w:ascii="仿宋_GB2312" w:eastAsia="仿宋_GB2312" w:hAnsi="宋体"/>
          <w:b/>
          <w:bCs/>
          <w:kern w:val="2"/>
          <w:sz w:val="36"/>
          <w:szCs w:val="22"/>
          <w:lang w:eastAsia="zh-CN"/>
        </w:rPr>
      </w:pPr>
    </w:p>
    <w:p w14:paraId="2AC0ED17">
      <w:pPr>
        <w:widowControl w:val="0"/>
        <w:tabs>
          <w:tab w:val="left" w:pos="540"/>
        </w:tabs>
        <w:spacing w:line="360" w:lineRule="auto"/>
        <w:jc w:val="center"/>
        <w:rPr>
          <w:rFonts w:ascii="仿宋_GB2312" w:eastAsia="仿宋_GB2312" w:hAnsi="宋体"/>
          <w:b/>
          <w:bCs/>
          <w:kern w:val="2"/>
          <w:sz w:val="36"/>
          <w:szCs w:val="22"/>
          <w:lang w:eastAsia="zh-CN"/>
        </w:rPr>
      </w:pPr>
    </w:p>
    <w:p w14:paraId="00165859">
      <w:pPr>
        <w:widowControl w:val="0"/>
        <w:tabs>
          <w:tab w:val="left" w:pos="540"/>
        </w:tabs>
        <w:spacing w:line="360" w:lineRule="auto"/>
        <w:jc w:val="center"/>
        <w:rPr>
          <w:rFonts w:ascii="仿宋" w:eastAsia="仿宋" w:hAnsi="仿宋"/>
          <w:b/>
          <w:bCs/>
          <w:kern w:val="2"/>
          <w:sz w:val="36"/>
          <w:szCs w:val="22"/>
          <w:lang w:eastAsia="zh-CN"/>
        </w:rPr>
      </w:pPr>
    </w:p>
    <w:p w14:paraId="556D5F49">
      <w:pPr>
        <w:widowControl w:val="0"/>
        <w:tabs>
          <w:tab w:val="left" w:pos="540"/>
        </w:tabs>
        <w:spacing w:line="360" w:lineRule="auto"/>
        <w:jc w:val="center"/>
        <w:outlineLvl w:val="9"/>
        <w:rPr>
          <w:rFonts w:ascii="仿宋" w:eastAsia="仿宋" w:hAnsi="仿宋"/>
          <w:b/>
          <w:bCs/>
          <w:kern w:val="2"/>
          <w:sz w:val="52"/>
          <w:szCs w:val="22"/>
          <w:lang w:eastAsia="zh-CN"/>
        </w:rPr>
      </w:pPr>
      <w:r>
        <w:rPr>
          <w:rFonts w:ascii="仿宋" w:eastAsia="仿宋" w:hAnsi="仿宋" w:cstheme="minorBidi" w:hint="eastAsia"/>
          <w:b/>
          <w:bCs/>
          <w:kern w:val="2"/>
          <w:sz w:val="52"/>
          <w:szCs w:val="22"/>
          <w:lang w:eastAsia="zh-CN"/>
        </w:rPr>
        <w:t>全过程造价咨询</w:t>
      </w:r>
      <w:r>
        <w:rPr>
          <w:rFonts w:ascii="仿宋" w:eastAsia="仿宋" w:hAnsi="仿宋" w:cstheme="minorBidi" w:hint="eastAsia"/>
          <w:b/>
          <w:bCs/>
          <w:kern w:val="2"/>
          <w:sz w:val="52"/>
          <w:szCs w:val="22"/>
          <w:lang w:eastAsia="zh-CN"/>
        </w:rPr>
        <w:t>合同</w:t>
      </w:r>
    </w:p>
    <w:p w14:paraId="745C6A43">
      <w:pPr>
        <w:widowControl w:val="0"/>
        <w:tabs>
          <w:tab w:val="left" w:pos="540"/>
        </w:tabs>
        <w:spacing w:line="360" w:lineRule="auto"/>
        <w:jc w:val="center"/>
        <w:rPr>
          <w:rFonts w:ascii="仿宋" w:eastAsia="仿宋" w:hAnsi="仿宋"/>
          <w:b/>
          <w:bCs/>
          <w:kern w:val="2"/>
          <w:sz w:val="36"/>
          <w:szCs w:val="22"/>
          <w:lang w:eastAsia="zh-CN"/>
        </w:rPr>
      </w:pPr>
    </w:p>
    <w:p w14:paraId="486A0BB1">
      <w:pPr>
        <w:widowControl w:val="0"/>
        <w:tabs>
          <w:tab w:val="left" w:pos="540"/>
        </w:tabs>
        <w:spacing w:line="360" w:lineRule="auto"/>
        <w:jc w:val="center"/>
        <w:rPr>
          <w:rFonts w:ascii="仿宋" w:eastAsia="仿宋" w:hAnsi="仿宋"/>
          <w:b/>
          <w:bCs/>
          <w:kern w:val="2"/>
          <w:sz w:val="36"/>
          <w:szCs w:val="22"/>
          <w:lang w:eastAsia="zh-CN"/>
        </w:rPr>
      </w:pPr>
      <w:r>
        <w:rPr>
          <w:rFonts w:ascii="仿宋" w:eastAsia="仿宋" w:hAnsi="仿宋" w:cstheme="minorBidi"/>
          <w:b/>
          <w:bCs/>
          <w:kern w:val="2"/>
          <w:sz w:val="36"/>
          <w:szCs w:val="22"/>
          <w:lang w:eastAsia="zh-CN"/>
        </w:rPr>
        <w:t xml:space="preserve"> </w:t>
      </w:r>
    </w:p>
    <w:p w14:paraId="29AE4B4D">
      <w:pPr>
        <w:widowControl w:val="0"/>
        <w:tabs>
          <w:tab w:val="left" w:pos="540"/>
        </w:tabs>
        <w:spacing w:line="360" w:lineRule="auto"/>
        <w:jc w:val="center"/>
        <w:rPr>
          <w:rFonts w:ascii="仿宋" w:eastAsia="仿宋" w:hAnsi="仿宋"/>
          <w:b/>
          <w:bCs/>
          <w:kern w:val="2"/>
          <w:sz w:val="36"/>
          <w:szCs w:val="22"/>
          <w:lang w:eastAsia="zh-CN"/>
        </w:rPr>
      </w:pPr>
    </w:p>
    <w:p w14:paraId="33BC8602">
      <w:pPr>
        <w:widowControl w:val="0"/>
        <w:tabs>
          <w:tab w:val="left" w:pos="540"/>
        </w:tabs>
        <w:spacing w:line="360" w:lineRule="auto"/>
        <w:jc w:val="center"/>
        <w:rPr>
          <w:rFonts w:ascii="仿宋" w:eastAsia="仿宋" w:hAnsi="仿宋"/>
          <w:b/>
          <w:bCs/>
          <w:kern w:val="2"/>
          <w:sz w:val="36"/>
          <w:szCs w:val="22"/>
          <w:lang w:eastAsia="zh-CN"/>
        </w:rPr>
      </w:pPr>
    </w:p>
    <w:p w14:paraId="7BDC6438">
      <w:pPr>
        <w:widowControl w:val="0"/>
        <w:tabs>
          <w:tab w:val="left" w:pos="540"/>
        </w:tabs>
        <w:spacing w:line="360" w:lineRule="auto"/>
        <w:jc w:val="both"/>
        <w:rPr>
          <w:rFonts w:ascii="仿宋" w:eastAsia="仿宋" w:hAnsi="仿宋"/>
          <w:b/>
          <w:bCs/>
          <w:kern w:val="2"/>
          <w:sz w:val="36"/>
          <w:szCs w:val="22"/>
          <w:lang w:eastAsia="zh-CN"/>
        </w:rPr>
      </w:pPr>
    </w:p>
    <w:p w14:paraId="27B3F4CB">
      <w:pPr>
        <w:widowControl w:val="0"/>
        <w:tabs>
          <w:tab w:val="left" w:pos="540"/>
        </w:tabs>
        <w:spacing w:line="360" w:lineRule="auto"/>
        <w:ind w:left="2100" w:hanging="1500" w:leftChars="250" w:hangingChars="500"/>
        <w:jc w:val="both"/>
        <w:outlineLvl w:val="9"/>
        <w:rPr>
          <w:rFonts w:ascii="仿宋" w:eastAsia="等线" w:hAnsi="仿宋"/>
          <w:b/>
          <w:bCs/>
          <w:kern w:val="2"/>
          <w:sz w:val="30"/>
          <w:szCs w:val="30"/>
          <w:u w:val="single"/>
          <w:lang w:eastAsia="zh-CN"/>
        </w:rPr>
      </w:pPr>
      <w:r>
        <w:rPr>
          <w:rFonts w:ascii="仿宋" w:eastAsia="仿宋" w:hAnsi="仿宋" w:cstheme="minorBidi" w:hint="eastAsia"/>
          <w:b/>
          <w:bCs/>
          <w:kern w:val="2"/>
          <w:sz w:val="30"/>
          <w:szCs w:val="30"/>
          <w:lang w:eastAsia="zh-CN"/>
        </w:rPr>
        <w:t>工程名称：</w:t>
      </w:r>
      <w:r>
        <w:rPr>
          <w:rFonts w:ascii="仿宋" w:eastAsia="仿宋" w:hAnsi="仿宋" w:cstheme="minorBidi" w:hint="eastAsia"/>
          <w:b/>
          <w:kern w:val="2"/>
          <w:sz w:val="30"/>
          <w:szCs w:val="30"/>
          <w:u w:val="single"/>
          <w:lang w:eastAsia="zh-CN"/>
        </w:rPr>
        <w:t>龙川县新城幸福学校建设工程</w:t>
      </w:r>
    </w:p>
    <w:p w14:paraId="4CFC8262">
      <w:pPr>
        <w:widowControl w:val="0"/>
        <w:tabs>
          <w:tab w:val="left" w:pos="540"/>
        </w:tabs>
        <w:spacing w:line="360" w:lineRule="auto"/>
        <w:ind w:left="2481" w:hanging="1833" w:leftChars="270" w:hangingChars="611"/>
        <w:jc w:val="both"/>
        <w:outlineLvl w:val="9"/>
        <w:rPr>
          <w:rFonts w:ascii="仿宋" w:eastAsia="仿宋" w:hAnsi="仿宋"/>
          <w:b/>
          <w:kern w:val="2"/>
          <w:sz w:val="30"/>
          <w:szCs w:val="30"/>
          <w:u w:val="single"/>
          <w:lang w:eastAsia="zh-CN"/>
        </w:rPr>
      </w:pPr>
      <w:r>
        <w:rPr>
          <w:rFonts w:ascii="仿宋" w:eastAsia="仿宋" w:hAnsi="仿宋" w:cstheme="minorBidi" w:hint="eastAsia"/>
          <w:b/>
          <w:bCs/>
          <w:kern w:val="2"/>
          <w:sz w:val="30"/>
          <w:szCs w:val="30"/>
          <w:lang w:eastAsia="zh-CN"/>
        </w:rPr>
        <w:t>工程地点：</w:t>
      </w:r>
      <w:r>
        <w:rPr>
          <w:rFonts w:ascii="仿宋" w:eastAsia="仿宋" w:hAnsi="仿宋" w:cstheme="minorBidi" w:hint="eastAsia"/>
          <w:b/>
          <w:kern w:val="2"/>
          <w:sz w:val="30"/>
          <w:szCs w:val="30"/>
          <w:u w:val="single"/>
          <w:lang w:eastAsia="zh-CN"/>
        </w:rPr>
        <w:t>河源市龙川县</w:t>
      </w:r>
    </w:p>
    <w:p w14:paraId="6BF6C193">
      <w:pPr>
        <w:widowControl w:val="0"/>
        <w:tabs>
          <w:tab w:val="left" w:pos="540"/>
        </w:tabs>
        <w:spacing w:line="360" w:lineRule="auto"/>
        <w:ind w:left="2481" w:hanging="1833" w:leftChars="270" w:hangingChars="611"/>
        <w:jc w:val="both"/>
        <w:outlineLvl w:val="9"/>
        <w:rPr>
          <w:rFonts w:ascii="仿宋" w:eastAsia="仿宋" w:hAnsi="仿宋"/>
          <w:b/>
          <w:bCs/>
          <w:kern w:val="2"/>
          <w:sz w:val="30"/>
          <w:szCs w:val="30"/>
          <w:lang w:eastAsia="zh-CN"/>
        </w:rPr>
      </w:pPr>
      <w:r>
        <w:rPr>
          <w:rFonts w:ascii="仿宋" w:eastAsia="仿宋" w:hAnsi="仿宋" w:cstheme="minorBidi" w:hint="eastAsia"/>
          <w:b/>
          <w:bCs/>
          <w:kern w:val="2"/>
          <w:sz w:val="30"/>
          <w:szCs w:val="30"/>
          <w:lang w:eastAsia="zh-CN"/>
        </w:rPr>
        <w:t>委托单位：</w:t>
      </w:r>
      <w:r>
        <w:rPr>
          <w:rFonts w:ascii="仿宋" w:eastAsia="仿宋" w:hAnsi="仿宋" w:cstheme="minorBidi" w:hint="eastAsia"/>
          <w:b/>
          <w:kern w:val="2"/>
          <w:sz w:val="30"/>
          <w:szCs w:val="30"/>
          <w:u w:val="single"/>
          <w:lang w:eastAsia="zh-CN"/>
        </w:rPr>
        <w:t>深圳市龙新开发建设有限公司</w:t>
      </w:r>
    </w:p>
    <w:p w14:paraId="3E313791">
      <w:pPr>
        <w:widowControl w:val="0"/>
        <w:tabs>
          <w:tab w:val="left" w:pos="540"/>
        </w:tabs>
        <w:spacing w:line="360" w:lineRule="auto"/>
        <w:ind w:left="2481" w:hanging="1833" w:leftChars="270" w:hangingChars="611"/>
        <w:jc w:val="both"/>
        <w:outlineLvl w:val="9"/>
        <w:rPr>
          <w:rFonts w:ascii="仿宋" w:eastAsia="仿宋" w:hAnsi="仿宋"/>
          <w:b/>
          <w:bCs/>
          <w:kern w:val="2"/>
          <w:sz w:val="30"/>
          <w:szCs w:val="30"/>
          <w:lang w:eastAsia="zh-CN"/>
        </w:rPr>
      </w:pPr>
      <w:r>
        <w:rPr>
          <w:rFonts w:ascii="仿宋" w:eastAsia="仿宋" w:hAnsi="仿宋" w:cstheme="minorBidi" w:hint="eastAsia"/>
          <w:b/>
          <w:bCs/>
          <w:kern w:val="2"/>
          <w:sz w:val="30"/>
          <w:szCs w:val="30"/>
          <w:lang w:eastAsia="zh-CN"/>
        </w:rPr>
        <w:t>受托单位：</w:t>
      </w:r>
      <w:r>
        <w:rPr>
          <w:rFonts w:ascii="宋体" w:eastAsia="仿宋" w:hAnsi="宋体" w:cstheme="minorBidi" w:hint="eastAsia"/>
          <w:b/>
          <w:snapToGrid w:val="0"/>
          <w:sz w:val="28"/>
          <w:szCs w:val="30"/>
          <w:u w:val="single"/>
          <w:lang w:eastAsia="zh-CN"/>
        </w:rPr>
        <w:t xml:space="preserve">                              </w:t>
      </w:r>
    </w:p>
    <w:p w14:paraId="6C308C31">
      <w:pPr>
        <w:widowControl w:val="0"/>
        <w:tabs>
          <w:tab w:val="left" w:pos="540"/>
        </w:tabs>
        <w:spacing w:line="360" w:lineRule="auto"/>
        <w:jc w:val="center"/>
        <w:rPr>
          <w:rFonts w:ascii="仿宋_GB2312" w:eastAsia="仿宋_GB2312" w:hAnsi="宋体"/>
          <w:b/>
          <w:bCs/>
          <w:kern w:val="2"/>
          <w:sz w:val="30"/>
          <w:szCs w:val="30"/>
          <w:lang w:eastAsia="zh-CN"/>
        </w:rPr>
      </w:pPr>
    </w:p>
    <w:p w14:paraId="6B82F999">
      <w:pPr>
        <w:widowControl/>
        <w:snapToGrid/>
        <w:jc w:val="left"/>
        <w:rPr>
          <w:rFonts w:ascii="宋体" w:eastAsia="等线" w:hAnsi="宋体" w:cs="Calibri"/>
          <w:sz w:val="44"/>
          <w:szCs w:val="44"/>
          <w:lang w:eastAsia="zh-CN"/>
        </w:rPr>
      </w:pPr>
      <w:r>
        <w:rPr>
          <w:rFonts w:ascii="宋体" w:eastAsia="等线" w:hAnsi="宋体" w:cs="Calibri"/>
          <w:sz w:val="44"/>
          <w:szCs w:val="44"/>
          <w:lang w:eastAsia="zh-CN"/>
        </w:rPr>
        <w:br w:type="page"/>
      </w:r>
    </w:p>
    <w:p w14:paraId="6BD8EB74">
      <w:pPr>
        <w:widowControl w:val="0"/>
        <w:adjustRightInd w:val="0"/>
        <w:spacing w:line="360" w:lineRule="atLeast"/>
        <w:ind w:firstLine="482"/>
        <w:jc w:val="both"/>
        <w:textAlignment w:val="baseline"/>
        <w:rPr>
          <w:rFonts w:ascii="等线" w:eastAsia="宋体" w:hAnsi="等线"/>
          <w:kern w:val="2"/>
          <w:sz w:val="21"/>
          <w:szCs w:val="20"/>
          <w:lang w:eastAsia="zh-CN"/>
        </w:rPr>
      </w:pPr>
    </w:p>
    <w:p w14:paraId="2560245B">
      <w:pPr>
        <w:widowControl/>
        <w:snapToGrid w:val="0"/>
        <w:jc w:val="center"/>
        <w:outlineLvl w:val="0"/>
        <w:rPr>
          <w:rFonts w:ascii="宋体" w:eastAsia="等线" w:hAnsi="等线" w:cs="Calibri"/>
          <w:sz w:val="48"/>
          <w:szCs w:val="48"/>
          <w:lang w:eastAsia="zh-CN"/>
        </w:rPr>
      </w:pPr>
      <w:r>
        <w:rPr>
          <w:rFonts w:ascii="宋体" w:eastAsia="等线" w:hAnsi="宋体" w:cs="Calibri" w:hint="eastAsia"/>
          <w:sz w:val="44"/>
          <w:szCs w:val="44"/>
          <w:lang w:eastAsia="zh-CN"/>
        </w:rPr>
        <w:t>合</w:t>
      </w:r>
      <w:r>
        <w:rPr>
          <w:rFonts w:ascii="宋体" w:eastAsia="等线" w:hAnsi="宋体" w:cs="Calibri"/>
          <w:sz w:val="44"/>
          <w:szCs w:val="44"/>
          <w:lang w:eastAsia="zh-CN"/>
        </w:rPr>
        <w:t xml:space="preserve"> </w:t>
      </w:r>
      <w:r>
        <w:rPr>
          <w:rFonts w:ascii="宋体" w:eastAsia="等线" w:hAnsi="宋体" w:cs="Calibri" w:hint="eastAsia"/>
          <w:sz w:val="44"/>
          <w:szCs w:val="44"/>
          <w:lang w:eastAsia="zh-CN"/>
        </w:rPr>
        <w:t>同</w:t>
      </w:r>
      <w:r>
        <w:rPr>
          <w:rFonts w:ascii="宋体" w:eastAsia="等线" w:hAnsi="宋体" w:cs="Calibri"/>
          <w:sz w:val="44"/>
          <w:szCs w:val="44"/>
          <w:lang w:eastAsia="zh-CN"/>
        </w:rPr>
        <w:t xml:space="preserve"> </w:t>
      </w:r>
      <w:r>
        <w:rPr>
          <w:rFonts w:ascii="宋体" w:eastAsia="等线" w:hAnsi="宋体" w:cs="Calibri" w:hint="eastAsia"/>
          <w:sz w:val="44"/>
          <w:szCs w:val="44"/>
          <w:lang w:eastAsia="zh-CN"/>
        </w:rPr>
        <w:t>协</w:t>
      </w:r>
      <w:r>
        <w:rPr>
          <w:rFonts w:ascii="Calibri" w:eastAsia="等线" w:hAnsi="Calibri" w:cs="Calibri"/>
          <w:sz w:val="44"/>
          <w:szCs w:val="44"/>
          <w:lang w:eastAsia="zh-CN"/>
        </w:rPr>
        <w:t xml:space="preserve"> </w:t>
      </w:r>
      <w:r>
        <w:rPr>
          <w:rFonts w:ascii="宋体" w:eastAsia="等线" w:hAnsi="宋体" w:cs="Calibri" w:hint="eastAsia"/>
          <w:sz w:val="44"/>
          <w:szCs w:val="44"/>
          <w:lang w:eastAsia="zh-CN"/>
        </w:rPr>
        <w:t>议</w:t>
      </w:r>
      <w:r>
        <w:rPr>
          <w:rFonts w:ascii="Calibri" w:eastAsia="等线" w:hAnsi="Calibri" w:cs="Calibri"/>
          <w:sz w:val="44"/>
          <w:szCs w:val="44"/>
          <w:lang w:eastAsia="zh-CN"/>
        </w:rPr>
        <w:t xml:space="preserve"> </w:t>
      </w:r>
      <w:r>
        <w:rPr>
          <w:rFonts w:ascii="宋体" w:eastAsia="等线" w:hAnsi="宋体" w:cs="Calibri" w:hint="eastAsia"/>
          <w:sz w:val="44"/>
          <w:szCs w:val="44"/>
          <w:lang w:eastAsia="zh-CN"/>
        </w:rPr>
        <w:t>书</w:t>
      </w:r>
    </w:p>
    <w:p w14:paraId="7968F25A">
      <w:pPr>
        <w:widowControl/>
        <w:snapToGrid w:val="0"/>
        <w:spacing w:line="288" w:lineRule="auto"/>
        <w:jc w:val="both"/>
        <w:rPr>
          <w:rFonts w:ascii="仿宋" w:eastAsia="仿宋" w:hAnsi="仿宋" w:cs="Calibri" w:hint="eastAsia"/>
          <w:sz w:val="28"/>
          <w:szCs w:val="28"/>
          <w:lang w:eastAsia="zh-CN"/>
        </w:rPr>
      </w:pPr>
    </w:p>
    <w:p w14:paraId="69E8D896">
      <w:pPr>
        <w:widowControl/>
        <w:snapToGrid w:val="0"/>
        <w:spacing w:line="288" w:lineRule="auto"/>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b/>
          <w:bCs/>
          <w:sz w:val="28"/>
          <w:szCs w:val="28"/>
          <w:lang w:eastAsia="zh-CN"/>
        </w:rPr>
        <w:t>委托单位：</w:t>
      </w:r>
      <w:r>
        <w:rPr>
          <w:rFonts w:ascii="仿宋_GB2312" w:eastAsia="仿宋_GB2312" w:hAnsi="仿宋_GB2312" w:cs="仿宋_GB2312" w:hint="eastAsia"/>
          <w:sz w:val="28"/>
          <w:szCs w:val="28"/>
          <w:u w:val="single"/>
          <w:lang w:eastAsia="zh-CN"/>
        </w:rPr>
        <w:t>深圳市龙新开发建设有限公司</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以下</w:t>
      </w:r>
      <w:r>
        <w:rPr>
          <w:rFonts w:ascii="仿宋_GB2312" w:eastAsia="仿宋_GB2312" w:hAnsi="仿宋_GB2312" w:cs="仿宋_GB2312" w:hint="eastAsia"/>
          <w:sz w:val="28"/>
          <w:szCs w:val="28"/>
          <w:lang w:eastAsia="zh-CN"/>
        </w:rPr>
        <w:t>简称“甲方”）</w:t>
      </w:r>
    </w:p>
    <w:p w14:paraId="66061589">
      <w:pPr>
        <w:widowControl/>
        <w:snapToGrid w:val="0"/>
        <w:spacing w:line="288" w:lineRule="auto"/>
        <w:jc w:val="both"/>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法定代表人：</w:t>
      </w:r>
      <w:r>
        <w:rPr>
          <w:rFonts w:ascii="仿宋_GB2312" w:eastAsia="仿宋_GB2312" w:hAnsi="仿宋_GB2312" w:cs="仿宋_GB2312" w:hint="eastAsia"/>
          <w:sz w:val="28"/>
          <w:szCs w:val="28"/>
          <w:lang w:eastAsia="zh-CN"/>
        </w:rPr>
        <w:t>史国友</w:t>
      </w:r>
    </w:p>
    <w:p w14:paraId="42DE487A">
      <w:pPr>
        <w:widowControl/>
        <w:snapToGrid w:val="0"/>
        <w:spacing w:line="288" w:lineRule="auto"/>
        <w:jc w:val="both"/>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统一社会信用代码：</w:t>
      </w:r>
      <w:r>
        <w:rPr>
          <w:rFonts w:ascii="仿宋_GB2312" w:eastAsia="仿宋_GB2312" w:hAnsi="仿宋_GB2312" w:cs="仿宋_GB2312" w:hint="eastAsia"/>
          <w:sz w:val="28"/>
          <w:szCs w:val="28"/>
          <w:lang w:eastAsia="zh-CN"/>
        </w:rPr>
        <w:t>91441622MAE107X613</w:t>
      </w:r>
    </w:p>
    <w:p w14:paraId="43692BE6">
      <w:pPr>
        <w:widowControl/>
        <w:snapToGrid w:val="0"/>
        <w:spacing w:line="288" w:lineRule="auto"/>
        <w:jc w:val="both"/>
        <w:rPr>
          <w:rFonts w:ascii="仿宋_GB2312" w:eastAsia="仿宋_GB2312" w:hAnsi="仿宋_GB2312" w:cs="仿宋_GB2312" w:hint="eastAsia"/>
          <w:b/>
          <w:bCs/>
          <w:sz w:val="28"/>
          <w:szCs w:val="28"/>
          <w:lang w:eastAsia="zh-CN"/>
        </w:rPr>
      </w:pPr>
    </w:p>
    <w:p w14:paraId="1A59CF5A">
      <w:pPr>
        <w:widowControl/>
        <w:snapToGrid w:val="0"/>
        <w:spacing w:line="288" w:lineRule="auto"/>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b/>
          <w:bCs/>
          <w:sz w:val="28"/>
          <w:szCs w:val="28"/>
          <w:lang w:eastAsia="zh-CN"/>
        </w:rPr>
        <w:t>受托单位：</w:t>
      </w:r>
      <w:r>
        <w:rPr>
          <w:rFonts w:ascii="仿宋_GB2312" w:eastAsia="仿宋_GB2312" w:hAnsi="仿宋_GB2312" w:cs="仿宋_GB2312" w:hint="eastAsia"/>
          <w:b/>
          <w:snapToGrid w:val="0"/>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以下</w:t>
      </w:r>
      <w:r>
        <w:rPr>
          <w:rFonts w:ascii="仿宋_GB2312" w:eastAsia="仿宋_GB2312" w:hAnsi="仿宋_GB2312" w:cs="仿宋_GB2312" w:hint="eastAsia"/>
          <w:sz w:val="28"/>
          <w:szCs w:val="28"/>
          <w:lang w:eastAsia="zh-CN"/>
        </w:rPr>
        <w:t>简称“乙方”）</w:t>
      </w:r>
    </w:p>
    <w:p w14:paraId="0B0D34E0">
      <w:pPr>
        <w:widowControl/>
        <w:snapToGrid w:val="0"/>
        <w:spacing w:line="288" w:lineRule="auto"/>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法定代表人：</w:t>
      </w:r>
    </w:p>
    <w:p w14:paraId="06E7ED51">
      <w:pPr>
        <w:widowControl/>
        <w:snapToGrid w:val="0"/>
        <w:spacing w:line="288" w:lineRule="auto"/>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统一社会信用代码：</w:t>
      </w:r>
    </w:p>
    <w:p w14:paraId="4B9C0568">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p>
    <w:p w14:paraId="117D7DCD">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按照《中华人民共和国民法典》</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中华人民共和国</w:t>
      </w:r>
      <w:r>
        <w:rPr>
          <w:rFonts w:ascii="仿宋_GB2312" w:eastAsia="仿宋_GB2312" w:hAnsi="仿宋_GB2312" w:cs="仿宋_GB2312" w:hint="eastAsia"/>
          <w:sz w:val="28"/>
          <w:szCs w:val="28"/>
          <w:lang w:eastAsia="zh-CN"/>
        </w:rPr>
        <w:t>建筑法</w:t>
      </w:r>
      <w:r>
        <w:rPr>
          <w:rFonts w:ascii="仿宋_GB2312" w:eastAsia="仿宋_GB2312" w:hAnsi="仿宋_GB2312" w:cs="仿宋_GB2312" w:hint="eastAsia"/>
          <w:sz w:val="28"/>
          <w:szCs w:val="28"/>
          <w:lang w:eastAsia="zh-CN"/>
        </w:rPr>
        <w:t>》及其他有关法律法规</w:t>
      </w:r>
      <w:r>
        <w:rPr>
          <w:rFonts w:ascii="仿宋_GB2312" w:eastAsia="仿宋_GB2312" w:hAnsi="仿宋_GB2312" w:cs="仿宋_GB2312" w:hint="eastAsia"/>
          <w:sz w:val="28"/>
          <w:szCs w:val="28"/>
          <w:lang w:eastAsia="zh-CN"/>
        </w:rPr>
        <w:t>、规章，并结合</w:t>
      </w:r>
      <w:r>
        <w:rPr>
          <w:rFonts w:ascii="仿宋_GB2312" w:eastAsia="仿宋_GB2312" w:hAnsi="仿宋_GB2312" w:cs="仿宋_GB2312" w:hint="eastAsia"/>
          <w:sz w:val="28"/>
          <w:szCs w:val="28"/>
          <w:lang w:eastAsia="zh-CN"/>
        </w:rPr>
        <w:t>广东省、河源市</w:t>
      </w:r>
      <w:r>
        <w:rPr>
          <w:rFonts w:ascii="仿宋_GB2312" w:eastAsia="仿宋_GB2312" w:hAnsi="仿宋_GB2312" w:cs="仿宋_GB2312" w:hint="eastAsia"/>
          <w:sz w:val="28"/>
          <w:szCs w:val="28"/>
          <w:lang w:eastAsia="zh-CN"/>
        </w:rPr>
        <w:t>有关规定及本工程具体情况，遵循平等、自愿、公平和诚实信用的原则，双方就本工程造价咨询工作协商一致，订立本合同。</w:t>
      </w:r>
    </w:p>
    <w:p w14:paraId="656B1076">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一、工程概况</w:t>
      </w:r>
    </w:p>
    <w:p w14:paraId="4794D24D">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u w:val="single"/>
          <w:lang w:eastAsia="zh-CN"/>
        </w:rPr>
      </w:pPr>
      <w:r>
        <w:rPr>
          <w:rFonts w:ascii="仿宋_GB2312" w:eastAsia="仿宋_GB2312" w:hAnsi="仿宋_GB2312" w:cs="仿宋_GB2312" w:hint="eastAsia"/>
          <w:sz w:val="28"/>
          <w:szCs w:val="28"/>
          <w:lang w:eastAsia="zh-CN"/>
        </w:rPr>
        <w:t>工程名称：</w:t>
      </w:r>
      <w:r>
        <w:rPr>
          <w:rFonts w:ascii="仿宋_GB2312" w:eastAsia="仿宋_GB2312" w:hAnsi="仿宋_GB2312" w:cs="仿宋_GB2312" w:hint="eastAsia"/>
          <w:sz w:val="28"/>
          <w:szCs w:val="28"/>
          <w:u w:val="single"/>
          <w:lang w:eastAsia="zh-CN"/>
        </w:rPr>
        <w:t>龙川县新城幸福学校建设工程</w:t>
      </w:r>
    </w:p>
    <w:p w14:paraId="459CF247">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工程地点：</w:t>
      </w:r>
      <w:r>
        <w:rPr>
          <w:rFonts w:ascii="仿宋_GB2312" w:eastAsia="仿宋_GB2312" w:hAnsi="仿宋_GB2312" w:cs="仿宋_GB2312" w:hint="eastAsia"/>
          <w:sz w:val="28"/>
          <w:szCs w:val="28"/>
          <w:u w:val="single"/>
          <w:lang w:eastAsia="zh-CN"/>
        </w:rPr>
        <w:t>河源市龙川县</w:t>
      </w:r>
    </w:p>
    <w:p w14:paraId="0BC5B55E">
      <w:pPr>
        <w:keepNext w:val="0"/>
        <w:keepLines w:val="0"/>
        <w:pageBreakBefore w:val="0"/>
        <w:widowControl w:val="0"/>
        <w:kinsoku/>
        <w:wordWrap/>
        <w:overflowPunct/>
        <w:topLinePunct w:val="0"/>
        <w:autoSpaceDE/>
        <w:autoSpaceDN/>
        <w:bidi w:val="0"/>
        <w:spacing w:line="360" w:lineRule="auto"/>
        <w:ind w:left="0" w:firstLine="560" w:leftChars="0" w:firstLineChars="200"/>
        <w:jc w:val="both"/>
        <w:textAlignment w:val="auto"/>
        <w:rPr>
          <w:rFonts w:ascii="仿宋_GB2312" w:eastAsia="仿宋_GB2312" w:hAnsi="仿宋_GB2312" w:cs="仿宋_GB2312" w:hint="eastAsia"/>
          <w:sz w:val="28"/>
          <w:szCs w:val="28"/>
          <w:u w:val="single"/>
          <w:lang w:eastAsia="zh-CN"/>
        </w:rPr>
      </w:pPr>
      <w:r>
        <w:rPr>
          <w:rFonts w:ascii="仿宋_GB2312" w:eastAsia="仿宋_GB2312" w:hAnsi="仿宋_GB2312" w:cs="仿宋_GB2312" w:hint="eastAsia"/>
          <w:sz w:val="28"/>
          <w:szCs w:val="28"/>
          <w:lang w:eastAsia="zh-CN"/>
        </w:rPr>
        <w:t>工程规模及内容：</w:t>
      </w:r>
      <w:r>
        <w:rPr>
          <w:rFonts w:ascii="仿宋_GB2312" w:eastAsia="仿宋_GB2312" w:hAnsi="仿宋_GB2312" w:cs="仿宋_GB2312" w:hint="eastAsia"/>
          <w:sz w:val="28"/>
          <w:szCs w:val="28"/>
          <w:u w:val="single"/>
          <w:lang w:eastAsia="zh-CN"/>
        </w:rPr>
        <w:t>项目用地面积44244平方米，建设内容包括:新建教学及辅助用房、办公用房、生活服务用房、教师宿舍、初中学生宿舍、架空活动空间、架空车库、地下室、运动场地以及配套工程、配套设备设施等。新建总建筑面积63307.71平方米，其中必配校舍用房34197.07平方米，含教学及辅助用房26491.12平方米、办公用房4201.05平方米、生活服务用房3504.9平方米;选配校舍用房29110.64平方米，含教师宿舍2566.15平方米，初中学生宿舍7738.35平方米，架空活动空间13968.08平方米，非机动车架空车库898.9平方米，地下室3939.16平方米(含人防工程、停车库及设备用房)。运动场地含200米环形跑道1个、300环形跑道1个、篮球场6个、排球(兼羽毛球场)3个、器械+游戏区1处。配套工程涉及绿化、道路、管网、标识等。上述指标均为暂定，具体规划指标以政府部门审批为准。</w:t>
      </w:r>
    </w:p>
    <w:p w14:paraId="5367F771">
      <w:pPr>
        <w:keepNext w:val="0"/>
        <w:keepLines w:val="0"/>
        <w:pageBreakBefore w:val="0"/>
        <w:widowControl w:val="0"/>
        <w:kinsoku/>
        <w:wordWrap/>
        <w:overflowPunct/>
        <w:topLinePunct w:val="0"/>
        <w:autoSpaceDE/>
        <w:autoSpaceDN/>
        <w:bidi w:val="0"/>
        <w:adjustRightInd/>
        <w:snapToGrid/>
        <w:spacing w:line="360" w:lineRule="auto"/>
        <w:ind w:left="0" w:firstLine="560" w:leftChars="0" w:firstLineChars="200"/>
        <w:jc w:val="both"/>
        <w:textAlignment w:val="auto"/>
        <w:rPr>
          <w:rFonts w:ascii="仿宋_GB2312" w:eastAsia="仿宋_GB2312" w:hAnsi="仿宋_GB2312" w:cs="仿宋_GB2312" w:hint="eastAsia"/>
          <w:sz w:val="28"/>
          <w:szCs w:val="28"/>
          <w:u w:val="single"/>
          <w:lang w:eastAsia="zh-CN"/>
        </w:rPr>
      </w:pPr>
      <w:r>
        <w:rPr>
          <w:rFonts w:ascii="仿宋_GB2312" w:eastAsia="仿宋_GB2312" w:hAnsi="仿宋_GB2312" w:cs="仿宋_GB2312" w:hint="eastAsia"/>
          <w:sz w:val="28"/>
          <w:szCs w:val="28"/>
          <w:lang w:eastAsia="zh-CN"/>
        </w:rPr>
        <w:t>本工程造价咨询的项目包括</w:t>
      </w:r>
      <w:r>
        <w:rPr>
          <w:rFonts w:ascii="仿宋_GB2312" w:eastAsia="仿宋_GB2312" w:hAnsi="仿宋_GB2312" w:cs="仿宋_GB2312" w:hint="eastAsia"/>
          <w:kern w:val="2"/>
          <w:sz w:val="28"/>
          <w:szCs w:val="28"/>
          <w:lang w:eastAsia="zh-CN"/>
        </w:rPr>
        <w:t>：</w:t>
      </w:r>
      <w:r>
        <w:rPr>
          <w:rFonts w:ascii="仿宋_GB2312" w:eastAsia="仿宋_GB2312" w:hAnsi="仿宋_GB2312" w:cs="仿宋_GB2312" w:hint="eastAsia"/>
          <w:sz w:val="28"/>
          <w:szCs w:val="28"/>
          <w:u w:val="single"/>
          <w:lang w:eastAsia="zh-CN"/>
        </w:rPr>
        <w:t>全过程造价咨询服务，服务内容包括但不限于概算阶段、预算阶段、施工阶段、结算阶段</w:t>
      </w:r>
      <w:r>
        <w:rPr>
          <w:rFonts w:ascii="仿宋_GB2312" w:eastAsia="仿宋_GB2312" w:hAnsi="仿宋_GB2312" w:cs="仿宋_GB2312" w:hint="eastAsia"/>
          <w:sz w:val="28"/>
          <w:szCs w:val="28"/>
          <w:u w:val="single"/>
          <w:lang w:eastAsia="zh-CN"/>
        </w:rPr>
        <w:t>的</w:t>
      </w:r>
      <w:r>
        <w:rPr>
          <w:rFonts w:ascii="仿宋_GB2312" w:eastAsia="仿宋_GB2312" w:hAnsi="仿宋_GB2312" w:cs="仿宋_GB2312" w:hint="eastAsia"/>
          <w:sz w:val="28"/>
          <w:szCs w:val="28"/>
          <w:u w:val="single"/>
          <w:lang w:eastAsia="zh-CN"/>
        </w:rPr>
        <w:t>造价咨询服务</w:t>
      </w:r>
      <w:r>
        <w:rPr>
          <w:rFonts w:ascii="仿宋_GB2312" w:eastAsia="仿宋_GB2312" w:hAnsi="仿宋_GB2312" w:cs="仿宋_GB2312" w:hint="eastAsia"/>
          <w:sz w:val="28"/>
          <w:szCs w:val="28"/>
          <w:u w:val="single"/>
          <w:lang w:eastAsia="zh-CN"/>
        </w:rPr>
        <w:t>及甲方要求办理的与本工程造价咨询服务有关的一切事务。</w:t>
      </w:r>
      <w:r>
        <w:rPr>
          <w:rFonts w:ascii="仿宋_GB2312" w:eastAsia="仿宋_GB2312" w:hAnsi="仿宋_GB2312" w:cs="仿宋_GB2312" w:hint="eastAsia"/>
          <w:sz w:val="28"/>
          <w:szCs w:val="28"/>
          <w:u w:val="single"/>
          <w:lang w:eastAsia="zh-CN"/>
        </w:rPr>
        <w:t>以及包含甲方下达的《全过程造价咨询服务任务书》的工作内容。</w:t>
      </w:r>
    </w:p>
    <w:p w14:paraId="7E5BC068">
      <w:pPr>
        <w:keepNext w:val="0"/>
        <w:keepLines w:val="0"/>
        <w:pageBreakBefore w:val="0"/>
        <w:widowControl w:val="0"/>
        <w:kinsoku/>
        <w:wordWrap/>
        <w:overflowPunct/>
        <w:topLinePunct w:val="0"/>
        <w:autoSpaceDE/>
        <w:autoSpaceDN/>
        <w:bidi w:val="0"/>
        <w:adjustRightIn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合同服务期：</w:t>
      </w:r>
      <w:r>
        <w:rPr>
          <w:rFonts w:ascii="仿宋_GB2312" w:eastAsia="仿宋_GB2312" w:hAnsi="仿宋_GB2312" w:cs="仿宋_GB2312" w:hint="eastAsia"/>
          <w:sz w:val="28"/>
          <w:szCs w:val="28"/>
          <w:u w:val="single"/>
          <w:lang w:eastAsia="zh-CN"/>
        </w:rPr>
        <w:t>合同生效之日起至本项目工程结算审计完成。</w:t>
      </w:r>
    </w:p>
    <w:p w14:paraId="6C80A3A9">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二、合同价及结算价</w:t>
      </w:r>
    </w:p>
    <w:p w14:paraId="7D011929">
      <w:pPr>
        <w:keepNext w:val="0"/>
        <w:keepLines w:val="0"/>
        <w:pageBreakBefore w:val="0"/>
        <w:widowControl/>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（一）</w:t>
      </w:r>
      <w:r>
        <w:rPr>
          <w:rFonts w:ascii="仿宋_GB2312" w:eastAsia="仿宋_GB2312" w:hAnsi="仿宋_GB2312" w:cs="仿宋_GB2312" w:hint="eastAsia"/>
          <w:sz w:val="28"/>
          <w:szCs w:val="28"/>
          <w:lang w:eastAsia="zh-CN"/>
        </w:rPr>
        <w:t>本合同</w:t>
      </w:r>
      <w:r>
        <w:rPr>
          <w:rFonts w:ascii="仿宋_GB2312" w:eastAsia="仿宋_GB2312" w:hAnsi="仿宋_GB2312" w:cs="仿宋_GB2312" w:hint="eastAsia"/>
          <w:sz w:val="28"/>
          <w:szCs w:val="28"/>
          <w:lang w:eastAsia="zh-CN"/>
        </w:rPr>
        <w:t>固定费率包干，含增值税暂定总</w:t>
      </w:r>
      <w:r>
        <w:rPr>
          <w:rFonts w:ascii="仿宋_GB2312" w:eastAsia="仿宋_GB2312" w:hAnsi="仿宋_GB2312" w:cs="仿宋_GB2312" w:hint="eastAsia"/>
          <w:sz w:val="28"/>
          <w:szCs w:val="28"/>
          <w:lang w:eastAsia="zh-CN"/>
        </w:rPr>
        <w:t>价为人民币（大写）：</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）。其中不含</w:t>
      </w:r>
      <w:r>
        <w:rPr>
          <w:rFonts w:ascii="仿宋_GB2312" w:eastAsia="仿宋_GB2312" w:hAnsi="仿宋_GB2312" w:cs="仿宋_GB2312" w:hint="eastAsia"/>
          <w:sz w:val="28"/>
          <w:szCs w:val="28"/>
          <w:lang w:eastAsia="zh-CN"/>
        </w:rPr>
        <w:t>增值</w:t>
      </w:r>
      <w:r>
        <w:rPr>
          <w:rFonts w:ascii="仿宋_GB2312" w:eastAsia="仿宋_GB2312" w:hAnsi="仿宋_GB2312" w:cs="仿宋_GB2312" w:hint="eastAsia"/>
          <w:sz w:val="28"/>
          <w:szCs w:val="28"/>
          <w:lang w:eastAsia="zh-CN"/>
        </w:rPr>
        <w:t>税金额人民币（大写）：</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增值税</w:t>
      </w:r>
      <w:r>
        <w:rPr>
          <w:rFonts w:ascii="仿宋_GB2312" w:eastAsia="仿宋_GB2312" w:hAnsi="仿宋_GB2312" w:cs="仿宋_GB2312" w:hint="eastAsia"/>
          <w:sz w:val="28"/>
          <w:szCs w:val="28"/>
          <w:lang w:eastAsia="zh-CN"/>
        </w:rPr>
        <w:t>税金人民币（大写）：</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增值税</w:t>
      </w:r>
      <w:r>
        <w:rPr>
          <w:rFonts w:ascii="仿宋_GB2312" w:eastAsia="仿宋_GB2312" w:hAnsi="仿宋_GB2312" w:cs="仿宋_GB2312" w:hint="eastAsia"/>
          <w:sz w:val="28"/>
          <w:szCs w:val="28"/>
          <w:lang w:eastAsia="zh-CN"/>
        </w:rPr>
        <w:t>税率</w:t>
      </w:r>
      <w:r>
        <w:rPr>
          <w:rFonts w:ascii="仿宋_GB2312" w:eastAsia="仿宋_GB2312" w:hAnsi="仿宋_GB2312" w:cs="仿宋_GB2312" w:hint="eastAsia"/>
          <w:sz w:val="28"/>
          <w:szCs w:val="28"/>
          <w:u w:val="single"/>
          <w:lang w:eastAsia="zh-CN"/>
        </w:rPr>
        <w:t xml:space="preserve">  </w:t>
      </w:r>
      <w:r>
        <w:rPr>
          <w:rFonts w:ascii="仿宋_GB2312" w:eastAsia="仿宋_GB2312" w:hAnsi="仿宋_GB2312" w:cs="仿宋_GB2312" w:hint="eastAsia"/>
          <w:sz w:val="28"/>
          <w:szCs w:val="28"/>
          <w:lang w:eastAsia="zh-CN"/>
        </w:rPr>
        <w:t>%（开具增值税发票）。</w:t>
      </w:r>
    </w:p>
    <w:tbl>
      <w:tblPr>
        <w:tblStyle w:val="TableNormal"/>
        <w:tblW w:w="5000" w:type="pct"/>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742"/>
        <w:gridCol w:w="413"/>
        <w:gridCol w:w="953"/>
        <w:gridCol w:w="953"/>
        <w:gridCol w:w="953"/>
        <w:gridCol w:w="953"/>
        <w:gridCol w:w="953"/>
        <w:gridCol w:w="953"/>
        <w:gridCol w:w="1139"/>
        <w:gridCol w:w="1503"/>
      </w:tblGrid>
      <w:tr w14:paraId="446617EA">
        <w:tblPrEx>
          <w:tblW w:w="5000" w:type="pct"/>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32"/>
        </w:trPr>
        <w:tc>
          <w:tcPr>
            <w:tcW w:w="750" w:type="dxa"/>
            <w:vMerge w:val="restart"/>
            <w:tcBorders>
              <w:top w:val="single" w:sz="4" w:space="0" w:color="000000"/>
              <w:left w:val="single" w:sz="4" w:space="0" w:color="000000"/>
              <w:right w:val="single" w:sz="4" w:space="0" w:color="000000"/>
            </w:tcBorders>
            <w:shd w:val="clear" w:color="auto" w:fill="auto"/>
            <w:vAlign w:val="center"/>
          </w:tcPr>
          <w:p w14:paraId="419DF268">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计费基数</w:t>
            </w:r>
            <w:r>
              <w:rPr>
                <w:rFonts w:ascii="仿宋" w:eastAsia="仿宋" w:hAnsi="仿宋" w:cs="仿宋" w:hint="eastAsia"/>
                <w:color w:val="000000"/>
                <w:sz w:val="20"/>
                <w:szCs w:val="20"/>
                <w:lang w:eastAsia="zh-CN" w:bidi="ar"/>
              </w:rPr>
              <w:br/>
            </w:r>
            <w:r>
              <w:rPr>
                <w:rFonts w:ascii="仿宋" w:eastAsia="仿宋" w:hAnsi="仿宋" w:cs="仿宋" w:hint="eastAsia"/>
                <w:color w:val="000000"/>
                <w:sz w:val="20"/>
                <w:szCs w:val="20"/>
                <w:lang w:eastAsia="zh-CN" w:bidi="ar"/>
              </w:rPr>
              <w:t>（元）</w:t>
            </w:r>
          </w:p>
        </w:tc>
        <w:tc>
          <w:tcPr>
            <w:tcW w:w="62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4B8BFF">
            <w:pPr>
              <w:keepNext w:val="0"/>
              <w:keepLines w:val="0"/>
              <w:widowControl/>
              <w:suppressLineNumbers w:val="0"/>
              <w:jc w:val="center"/>
              <w:textAlignment w:val="center"/>
              <w:rPr>
                <w:rFonts w:ascii="仿宋" w:eastAsia="仿宋" w:hAnsi="仿宋" w:cs="仿宋" w:hint="eastAsia"/>
                <w:color w:val="000000"/>
                <w:sz w:val="20"/>
                <w:szCs w:val="20"/>
                <w:lang w:eastAsia="zh-CN" w:bidi="ar"/>
              </w:rPr>
            </w:pPr>
          </w:p>
        </w:tc>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ABCE05">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施工阶段全过程造价控制收费标准</w:t>
            </w:r>
          </w:p>
        </w:tc>
      </w:tr>
      <w:tr w14:paraId="5455C7B3">
        <w:tblPrEx>
          <w:tblW w:w="5000" w:type="pct"/>
          <w:tblInd w:w="93" w:type="dxa"/>
          <w:shd w:val="clear" w:color="auto" w:fill="auto"/>
          <w:tblLayout w:type="fixed"/>
          <w:tblCellMar>
            <w:top w:w="0" w:type="dxa"/>
            <w:left w:w="108" w:type="dxa"/>
            <w:bottom w:w="0" w:type="dxa"/>
            <w:right w:w="108" w:type="dxa"/>
          </w:tblCellMar>
        </w:tblPrEx>
        <w:trPr>
          <w:trHeight w:val="1056"/>
        </w:trPr>
        <w:tc>
          <w:tcPr>
            <w:tcW w:w="750" w:type="dxa"/>
            <w:vMerge/>
            <w:tcBorders>
              <w:left w:val="single" w:sz="4" w:space="0" w:color="000000"/>
              <w:right w:val="single" w:sz="4" w:space="0" w:color="000000"/>
            </w:tcBorders>
            <w:shd w:val="clear" w:color="auto" w:fill="auto"/>
            <w:vAlign w:val="center"/>
          </w:tcPr>
          <w:p w14:paraId="76766F63">
            <w:pPr>
              <w:widowControl w:val="0"/>
              <w:jc w:val="center"/>
              <w:rPr>
                <w:rFonts w:ascii="仿宋" w:eastAsia="仿宋" w:hAnsi="仿宋" w:cs="仿宋" w:hint="eastAsia"/>
                <w:color w:val="000000"/>
                <w:kern w:val="2"/>
                <w:sz w:val="20"/>
                <w:szCs w:val="20"/>
                <w:lang w:eastAsia="zh-CN"/>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C3E9">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金额</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F9FE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100万元以内</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9A4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101-500万元</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1B70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501-1000万元</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2444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1001-5000万元</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89E9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5001万元-1亿元</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FB537">
            <w:pPr>
              <w:keepNext w:val="0"/>
              <w:keepLines w:val="0"/>
              <w:widowControl/>
              <w:suppressLineNumbers w:val="0"/>
              <w:jc w:val="center"/>
              <w:textAlignment w:val="center"/>
              <w:rPr>
                <w:rFonts w:ascii="仿宋" w:eastAsia="仿宋" w:hAnsi="仿宋" w:cs="仿宋"/>
                <w:color w:val="000000"/>
                <w:sz w:val="20"/>
                <w:szCs w:val="20"/>
                <w:lang w:eastAsia="zh-CN" w:bidi="ar"/>
              </w:rPr>
            </w:pPr>
            <w:r>
              <w:rPr>
                <w:rFonts w:ascii="仿宋" w:eastAsia="仿宋" w:hAnsi="仿宋" w:cs="仿宋" w:hint="eastAsia"/>
                <w:color w:val="000000"/>
                <w:sz w:val="20"/>
                <w:szCs w:val="20"/>
                <w:lang w:eastAsia="zh-CN" w:bidi="ar"/>
              </w:rPr>
              <w:t>1亿元以上</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BAC46">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合计</w:t>
            </w:r>
            <w:r>
              <w:rPr>
                <w:rFonts w:ascii="仿宋" w:eastAsia="仿宋" w:hAnsi="仿宋" w:cs="仿宋" w:hint="eastAsia"/>
                <w:color w:val="000000"/>
                <w:sz w:val="20"/>
                <w:szCs w:val="20"/>
                <w:lang w:eastAsia="zh-CN" w:bidi="ar"/>
              </w:rPr>
              <w:br/>
            </w:r>
            <w:r>
              <w:rPr>
                <w:rFonts w:ascii="仿宋" w:eastAsia="仿宋" w:hAnsi="仿宋" w:cs="仿宋" w:hint="eastAsia"/>
                <w:color w:val="000000"/>
                <w:sz w:val="20"/>
                <w:szCs w:val="20"/>
                <w:lang w:eastAsia="zh-CN" w:bidi="ar"/>
              </w:rPr>
              <w:t>（元）</w:t>
            </w:r>
          </w:p>
        </w:tc>
        <w:tc>
          <w:tcPr>
            <w:tcW w:w="15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84DE0">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备注</w:t>
            </w:r>
          </w:p>
        </w:tc>
      </w:tr>
      <w:tr w14:paraId="4C90960B">
        <w:tblPrEx>
          <w:tblW w:w="5000" w:type="pct"/>
          <w:tblInd w:w="93" w:type="dxa"/>
          <w:shd w:val="clear" w:color="auto" w:fill="auto"/>
          <w:tblLayout w:type="fixed"/>
          <w:tblCellMar>
            <w:top w:w="0" w:type="dxa"/>
            <w:left w:w="108" w:type="dxa"/>
            <w:bottom w:w="0" w:type="dxa"/>
            <w:right w:w="108" w:type="dxa"/>
          </w:tblCellMar>
        </w:tblPrEx>
        <w:trPr>
          <w:trHeight w:val="1840"/>
        </w:trPr>
        <w:tc>
          <w:tcPr>
            <w:tcW w:w="750" w:type="dxa"/>
            <w:vMerge/>
            <w:tcBorders>
              <w:left w:val="single" w:sz="4" w:space="0" w:color="000000"/>
              <w:bottom w:val="single" w:sz="4" w:space="0" w:color="000000"/>
              <w:right w:val="single" w:sz="4" w:space="0" w:color="000000"/>
            </w:tcBorders>
            <w:shd w:val="clear" w:color="auto" w:fill="auto"/>
            <w:vAlign w:val="center"/>
          </w:tcPr>
          <w:p w14:paraId="4980FB0C">
            <w:pPr>
              <w:widowControl w:val="0"/>
              <w:jc w:val="center"/>
              <w:rPr>
                <w:rFonts w:ascii="仿宋" w:eastAsia="仿宋" w:hAnsi="仿宋" w:cs="仿宋" w:hint="eastAsia"/>
                <w:color w:val="000000"/>
                <w:kern w:val="2"/>
                <w:sz w:val="20"/>
                <w:szCs w:val="20"/>
                <w:lang w:eastAsia="zh-CN"/>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50E4B">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全费用固定费率</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8599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D645">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1B1B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D8F6">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DC625">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1419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color w:val="000000"/>
                <w:sz w:val="20"/>
                <w:szCs w:val="20"/>
                <w:lang w:eastAsia="zh-CN" w:bidi="ar"/>
              </w:rPr>
              <w:t>%</w:t>
            </w:r>
          </w:p>
        </w:tc>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CB0DCA">
            <w:pPr>
              <w:keepNext w:val="0"/>
              <w:keepLines w:val="0"/>
              <w:widowControl/>
              <w:suppressLineNumbers w:val="0"/>
              <w:jc w:val="center"/>
              <w:textAlignment w:val="center"/>
              <w:rPr>
                <w:rFonts w:ascii="仿宋" w:eastAsia="仿宋" w:hAnsi="仿宋" w:cs="仿宋"/>
                <w:color w:val="000000"/>
                <w:kern w:val="2"/>
                <w:sz w:val="20"/>
                <w:szCs w:val="20"/>
                <w:lang w:eastAsia="zh-CN"/>
              </w:rPr>
            </w:pPr>
            <w:r>
              <w:rPr>
                <w:rFonts w:ascii="仿宋" w:eastAsia="仿宋" w:hAnsi="仿宋" w:cs="仿宋" w:hint="eastAsia"/>
                <w:color w:val="000000"/>
                <w:sz w:val="20"/>
                <w:szCs w:val="20"/>
                <w:lang w:eastAsia="zh-CN" w:bidi="ar"/>
              </w:rPr>
              <w:t>中标费率</w:t>
            </w:r>
          </w:p>
        </w:tc>
      </w:tr>
      <w:tr w14:paraId="2E7E610A">
        <w:tblPrEx>
          <w:tblW w:w="5000" w:type="pct"/>
          <w:tblInd w:w="93" w:type="dxa"/>
          <w:shd w:val="clear" w:color="auto" w:fill="auto"/>
          <w:tblLayout w:type="fixed"/>
          <w:tblCellMar>
            <w:top w:w="0" w:type="dxa"/>
            <w:left w:w="108" w:type="dxa"/>
            <w:bottom w:w="0" w:type="dxa"/>
            <w:right w:w="108" w:type="dxa"/>
          </w:tblCellMar>
        </w:tblPrEx>
        <w:trPr>
          <w:trHeight w:val="1327"/>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75E7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F33F8">
            <w:pPr>
              <w:keepNext w:val="0"/>
              <w:keepLines w:val="0"/>
              <w:widowControl/>
              <w:suppressLineNumbers w:val="0"/>
              <w:jc w:val="center"/>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元</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502A9">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6036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6C5C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BCA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2069E">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9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71145">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11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13DE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A198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全费用固定费率已含增值税税金，增值税税率为：</w:t>
            </w:r>
            <w:r>
              <w:rPr>
                <w:rFonts w:ascii="仿宋" w:eastAsia="仿宋" w:hAnsi="仿宋" w:cs="仿宋" w:hint="eastAsia"/>
                <w:color w:val="000000"/>
                <w:kern w:val="2"/>
                <w:sz w:val="20"/>
                <w:szCs w:val="20"/>
                <w:lang w:eastAsia="zh-CN"/>
              </w:rPr>
              <w:t>【</w:t>
            </w:r>
            <w:r>
              <w:rPr>
                <w:rFonts w:ascii="仿宋" w:eastAsia="仿宋" w:hAnsi="仿宋" w:cs="仿宋" w:hint="eastAsia"/>
                <w:color w:val="000000"/>
                <w:kern w:val="2"/>
                <w:sz w:val="20"/>
                <w:szCs w:val="20"/>
                <w:lang w:eastAsia="zh-CN"/>
              </w:rPr>
              <w:t xml:space="preserve">  </w:t>
            </w:r>
            <w:r>
              <w:rPr>
                <w:rFonts w:ascii="仿宋" w:eastAsia="仿宋" w:hAnsi="仿宋" w:cs="仿宋" w:hint="eastAsia"/>
                <w:color w:val="000000"/>
                <w:kern w:val="2"/>
                <w:sz w:val="20"/>
                <w:szCs w:val="20"/>
                <w:lang w:eastAsia="zh-CN"/>
              </w:rPr>
              <w:t>】</w:t>
            </w:r>
            <w:r>
              <w:rPr>
                <w:rFonts w:ascii="仿宋" w:eastAsia="仿宋" w:hAnsi="仿宋" w:cs="仿宋" w:hint="eastAsia"/>
                <w:b/>
                <w:bCs/>
                <w:color w:val="000000"/>
                <w:sz w:val="20"/>
                <w:szCs w:val="20"/>
                <w:lang w:eastAsia="zh-CN" w:bidi="ar"/>
              </w:rPr>
              <w:t xml:space="preserve">% </w:t>
            </w:r>
          </w:p>
        </w:tc>
      </w:tr>
    </w:tbl>
    <w:p w14:paraId="450790D2">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合同金额中85%为基本酬金，15%为绩效酬金；绩效酬金根据项目完成最终履约评价结果计算。</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3499"/>
        <w:gridCol w:w="6016"/>
      </w:tblGrid>
      <w:tr w14:paraId="093DBCD3">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rPr>
          <w:trHeight w:val="483"/>
          <w:jc w:val="center"/>
        </w:trPr>
        <w:tc>
          <w:tcPr>
            <w:tcW w:w="2997" w:type="dxa"/>
            <w:vAlign w:val="center"/>
          </w:tcPr>
          <w:p w14:paraId="74EA3014">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履约评价得分</w:t>
            </w:r>
          </w:p>
        </w:tc>
        <w:tc>
          <w:tcPr>
            <w:tcW w:w="5152" w:type="dxa"/>
            <w:vAlign w:val="center"/>
          </w:tcPr>
          <w:p w14:paraId="0B3D1B3C">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对应的实际绩效费用</w:t>
            </w:r>
          </w:p>
        </w:tc>
      </w:tr>
      <w:tr w14:paraId="01BF1B83">
        <w:tblPrEx>
          <w:tblW w:w="5000" w:type="pct"/>
          <w:jc w:val="center"/>
          <w:tblLayout w:type="fixed"/>
          <w:tblCellMar>
            <w:top w:w="0" w:type="dxa"/>
            <w:left w:w="108" w:type="dxa"/>
            <w:bottom w:w="0" w:type="dxa"/>
            <w:right w:w="108" w:type="dxa"/>
          </w:tblCellMar>
        </w:tblPrEx>
        <w:trPr>
          <w:trHeight w:val="483"/>
          <w:jc w:val="center"/>
        </w:trPr>
        <w:tc>
          <w:tcPr>
            <w:tcW w:w="2997" w:type="dxa"/>
            <w:vAlign w:val="center"/>
          </w:tcPr>
          <w:p w14:paraId="09D9397F">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80分以上</w:t>
            </w:r>
          </w:p>
        </w:tc>
        <w:tc>
          <w:tcPr>
            <w:tcW w:w="5152" w:type="dxa"/>
            <w:vAlign w:val="center"/>
          </w:tcPr>
          <w:p w14:paraId="7260F607">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绩效费用</w:t>
            </w:r>
          </w:p>
        </w:tc>
      </w:tr>
      <w:tr w14:paraId="118E8CC2">
        <w:tblPrEx>
          <w:tblW w:w="5000" w:type="pct"/>
          <w:jc w:val="center"/>
          <w:tblLayout w:type="fixed"/>
          <w:tblCellMar>
            <w:top w:w="0" w:type="dxa"/>
            <w:left w:w="108" w:type="dxa"/>
            <w:bottom w:w="0" w:type="dxa"/>
            <w:right w:w="108" w:type="dxa"/>
          </w:tblCellMar>
        </w:tblPrEx>
        <w:trPr>
          <w:trHeight w:val="483"/>
          <w:jc w:val="center"/>
        </w:trPr>
        <w:tc>
          <w:tcPr>
            <w:tcW w:w="2997" w:type="dxa"/>
            <w:vAlign w:val="center"/>
          </w:tcPr>
          <w:p w14:paraId="3A8855B6">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60分以上，80分以下</w:t>
            </w:r>
          </w:p>
        </w:tc>
        <w:tc>
          <w:tcPr>
            <w:tcW w:w="5152" w:type="dxa"/>
            <w:vAlign w:val="center"/>
          </w:tcPr>
          <w:p w14:paraId="3C80520F">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绩效费用×（履约评价得分-60）/（80-60）</w:t>
            </w:r>
          </w:p>
        </w:tc>
      </w:tr>
      <w:tr w14:paraId="6C03B16F">
        <w:tblPrEx>
          <w:tblW w:w="5000" w:type="pct"/>
          <w:jc w:val="center"/>
          <w:tblLayout w:type="fixed"/>
          <w:tblCellMar>
            <w:top w:w="0" w:type="dxa"/>
            <w:left w:w="108" w:type="dxa"/>
            <w:bottom w:w="0" w:type="dxa"/>
            <w:right w:w="108" w:type="dxa"/>
          </w:tblCellMar>
        </w:tblPrEx>
        <w:trPr>
          <w:trHeight w:val="483"/>
          <w:jc w:val="center"/>
        </w:trPr>
        <w:tc>
          <w:tcPr>
            <w:tcW w:w="2997" w:type="dxa"/>
            <w:vAlign w:val="center"/>
          </w:tcPr>
          <w:p w14:paraId="390B80E8">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60分以下</w:t>
            </w:r>
          </w:p>
        </w:tc>
        <w:tc>
          <w:tcPr>
            <w:tcW w:w="5152" w:type="dxa"/>
            <w:vAlign w:val="center"/>
          </w:tcPr>
          <w:p w14:paraId="54BE1304">
            <w:pPr>
              <w:keepNext w:val="0"/>
              <w:keepLines w:val="0"/>
              <w:pageBreakBefore w:val="0"/>
              <w:widowControl w:val="0"/>
              <w:kinsoku/>
              <w:wordWrap/>
              <w:overflowPunct/>
              <w:topLinePunct w:val="0"/>
              <w:autoSpaceDE/>
              <w:autoSpaceDN/>
              <w:bidi w:val="0"/>
              <w:adjustRightInd/>
              <w:snapToGrid/>
              <w:spacing w:beforeAutospacing="0" w:afterLines="0" w:afterAutospacing="0" w:line="240" w:lineRule="auto"/>
              <w:ind w:left="0" w:right="0" w:firstLine="0" w:leftChars="0" w:rightChars="0" w:firstLineChars="0"/>
              <w:jc w:val="center"/>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0</w:t>
            </w:r>
          </w:p>
        </w:tc>
      </w:tr>
    </w:tbl>
    <w:p w14:paraId="5EEDD0A5">
      <w:pPr>
        <w:keepNext w:val="0"/>
        <w:keepLines w:val="0"/>
        <w:pageBreakBefore w:val="0"/>
        <w:widowControl/>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三</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合同履行期间，如遇国家税率调整，则合同不含税价不变，税金根据国家政策进行相应调整。办理最终结算时，增值税额按照如下原则确定：已支付且已开具增值税发票部分，按增值税发票确定税额；剩余未支付且未开具发票部分，按结算时国家税法规定的增值税税率确定税额。</w:t>
      </w:r>
    </w:p>
    <w:p w14:paraId="1136610B">
      <w:pPr>
        <w:keepNext w:val="0"/>
        <w:keepLines w:val="0"/>
        <w:pageBreakBefore w:val="0"/>
        <w:widowControl w:val="0"/>
        <w:kinsoku/>
        <w:wordWrap/>
        <w:overflowPunct/>
        <w:topLinePunct w:val="0"/>
        <w:autoSpaceDE/>
        <w:autoSpaceDN/>
        <w:bidi w:val="0"/>
        <w:spacing w:line="560" w:lineRule="exact"/>
        <w:ind w:left="0" w:firstLine="560" w:leftChars="0" w:firstLineChars="200"/>
        <w:jc w:val="both"/>
        <w:textAlignment w:val="auto"/>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四</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本合同造价咨询费用计费基数以概算批复建安费金额进行计算，按中标全费用固定费率包干结算，并按合同约定计算履约绩效酬金和扣除违约金（如有）。</w:t>
      </w:r>
      <w:r>
        <w:rPr>
          <w:rFonts w:ascii="仿宋_GB2312" w:eastAsia="仿宋_GB2312" w:hAnsi="仿宋_GB2312" w:cs="仿宋_GB2312" w:hint="eastAsia"/>
          <w:sz w:val="28"/>
          <w:szCs w:val="28"/>
          <w:lang w:eastAsia="zh-CN"/>
        </w:rPr>
        <w:t>本合同最终结算价不超过本项目概算批复造价咨询费金额，若超过则按本项目概算批复造价咨询费金额结算。 合同最终结算价以龙川县财政局审核结果、龙新公司或龙新公司委托的第三方审核机构审核结果为准。</w:t>
      </w:r>
    </w:p>
    <w:p w14:paraId="72FAA45B">
      <w:pPr>
        <w:keepNext w:val="0"/>
        <w:keepLines w:val="0"/>
        <w:pageBreakBefore w:val="0"/>
        <w:widowControl/>
        <w:kinsoku/>
        <w:wordWrap/>
        <w:overflowPunct/>
        <w:topLinePunct w:val="0"/>
        <w:autoSpaceDE/>
        <w:autoSpaceDN/>
        <w:bidi w:val="0"/>
        <w:snapToGrid w:val="0"/>
        <w:spacing w:line="560" w:lineRule="exact"/>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三、乙方</w:t>
      </w:r>
      <w:r>
        <w:rPr>
          <w:rFonts w:ascii="仿宋_GB2312" w:eastAsia="仿宋_GB2312" w:hAnsi="仿宋_GB2312" w:cs="仿宋_GB2312" w:hint="eastAsia"/>
          <w:b/>
          <w:bCs/>
          <w:sz w:val="28"/>
          <w:szCs w:val="28"/>
          <w:lang w:eastAsia="zh-CN"/>
        </w:rPr>
        <w:t>主要</w:t>
      </w:r>
      <w:r>
        <w:rPr>
          <w:rFonts w:ascii="仿宋_GB2312" w:eastAsia="仿宋_GB2312" w:hAnsi="仿宋_GB2312" w:cs="仿宋_GB2312" w:hint="eastAsia"/>
          <w:b/>
          <w:bCs/>
          <w:sz w:val="28"/>
          <w:szCs w:val="28"/>
          <w:lang w:eastAsia="zh-CN"/>
        </w:rPr>
        <w:t>工作内容</w:t>
      </w:r>
    </w:p>
    <w:p w14:paraId="143BC721">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复核概算、协助完成概算</w:t>
      </w:r>
      <w:r>
        <w:rPr>
          <w:rFonts w:ascii="仿宋_GB2312" w:eastAsia="仿宋_GB2312" w:hAnsi="仿宋_GB2312" w:cs="仿宋_GB2312" w:hint="eastAsia"/>
          <w:sz w:val="28"/>
          <w:szCs w:val="28"/>
          <w:lang w:eastAsia="zh-CN"/>
        </w:rPr>
        <w:t>申报、</w:t>
      </w:r>
      <w:r>
        <w:rPr>
          <w:rFonts w:ascii="仿宋_GB2312" w:eastAsia="仿宋_GB2312" w:hAnsi="仿宋_GB2312" w:cs="仿宋_GB2312" w:hint="eastAsia"/>
          <w:sz w:val="28"/>
          <w:szCs w:val="28"/>
          <w:lang w:eastAsia="zh-CN"/>
        </w:rPr>
        <w:t>评审工作以及项目实施过程中的概算调整工作；</w:t>
      </w:r>
    </w:p>
    <w:p w14:paraId="796A1D3E">
      <w:pPr>
        <w:widowControl w:val="0"/>
        <w:numPr>
          <w:ilvl w:val="0"/>
          <w:numId w:val="6"/>
        </w:numPr>
        <w:autoSpaceDE w:val="0"/>
        <w:autoSpaceDN w:val="0"/>
        <w:adjustRightInd w:val="0"/>
        <w:spacing w:line="560" w:lineRule="exact"/>
        <w:ind w:left="0" w:firstLine="560" w:leftChars="0" w:firstLineChars="200"/>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编制或审核工程预算，建立项目全过程动态投资控制台账；</w:t>
      </w:r>
    </w:p>
    <w:p w14:paraId="486340C6">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协助甲方编制招标文件，对招标文件中投标报价规定和特别条款，对计量、计价、支付、索赔等投资控制条款提出合理化建议；</w:t>
      </w:r>
    </w:p>
    <w:p w14:paraId="4342B6FA">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编制工程量清单及标底，并提供综合单价分析表；在工程量清单和标底编制过程中书面提出设计和招标文件的问题，提醒甲方工程中采用的新材料、新工艺，并提交新材料、新工艺的计价方案供甲方决策；出现超概算情况时，对预算和概算进行对比分析。</w:t>
      </w:r>
    </w:p>
    <w:p w14:paraId="41DA68E2">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提供主要材料数量及价格清单，并提交询价或计价依据；</w:t>
      </w:r>
    </w:p>
    <w:p w14:paraId="58AEF55F">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提供主要设备清单及单价，并提交询价或计价依据；</w:t>
      </w:r>
    </w:p>
    <w:p w14:paraId="311E5DA3">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复核中标候选人的商务标，并提出详细的造价分析报告；</w:t>
      </w:r>
    </w:p>
    <w:p w14:paraId="7AB4498E">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协助甲方签订合同；</w:t>
      </w:r>
    </w:p>
    <w:p w14:paraId="0D9FBDD9">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编制投资控制形象进度表；</w:t>
      </w:r>
    </w:p>
    <w:p w14:paraId="5B5711A6">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施工过程中，协助完成工程量计量及工程进度款</w:t>
      </w:r>
      <w:r>
        <w:rPr>
          <w:rFonts w:ascii="仿宋_GB2312" w:eastAsia="仿宋_GB2312" w:hAnsi="仿宋_GB2312" w:cs="仿宋_GB2312" w:hint="eastAsia"/>
          <w:sz w:val="28"/>
          <w:szCs w:val="28"/>
          <w:lang w:eastAsia="zh-CN"/>
        </w:rPr>
        <w:t>支付复核</w:t>
      </w:r>
      <w:r>
        <w:rPr>
          <w:rFonts w:ascii="仿宋_GB2312" w:eastAsia="仿宋_GB2312" w:hAnsi="仿宋_GB2312" w:cs="仿宋_GB2312" w:hint="eastAsia"/>
          <w:sz w:val="28"/>
          <w:szCs w:val="28"/>
          <w:lang w:eastAsia="zh-CN"/>
        </w:rPr>
        <w:t>工作；</w:t>
      </w:r>
    </w:p>
    <w:p w14:paraId="47D8D5EE">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审核工程变更及签证造价；</w:t>
      </w:r>
    </w:p>
    <w:p w14:paraId="7C05372D">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审核工程竣工结算，协助甲方完成结算审计工作；</w:t>
      </w:r>
    </w:p>
    <w:p w14:paraId="75F872E1">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按甲方要求参与现场工程例会及与投资控制有关的专题会，按需要到工地现场解决有关造价事宜；全过程成本控制，主动、及时地发现并向甲方汇报任何可能影响成本的事项，提出相关改善建议；</w:t>
      </w:r>
    </w:p>
    <w:p w14:paraId="342D17F4">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结算完成后，协助甲方进行经济技术指标分析、其他工程造价技术咨询等</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根据甲方需要</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p>
    <w:p w14:paraId="55EF6B6A">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项目所有工程结算完毕后，出具项目投资控制报告，报告中应包含履约情况自我评价、投资控制情况汇报、造价指标分析、投资控制存在的问题及建议等</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根据甲方需要</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p>
    <w:p w14:paraId="296CFFE0">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负责工程建设其它费用中的设计、监理、勘察、检测等所有合同的造价咨询工作</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根据甲方需要</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p>
    <w:p w14:paraId="399270C1">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《全过程造价咨询服务任务书》</w:t>
      </w:r>
      <w:r>
        <w:rPr>
          <w:rFonts w:ascii="仿宋_GB2312" w:eastAsia="仿宋_GB2312" w:hAnsi="仿宋_GB2312" w:cs="仿宋_GB2312" w:hint="eastAsia"/>
          <w:sz w:val="28"/>
          <w:szCs w:val="28"/>
          <w:lang w:eastAsia="zh-CN"/>
        </w:rPr>
        <w:t>包含</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其他</w:t>
      </w:r>
      <w:r>
        <w:rPr>
          <w:rFonts w:ascii="仿宋_GB2312" w:eastAsia="仿宋_GB2312" w:hAnsi="仿宋_GB2312" w:cs="仿宋_GB2312" w:hint="eastAsia"/>
          <w:sz w:val="28"/>
          <w:szCs w:val="28"/>
          <w:lang w:eastAsia="zh-CN"/>
        </w:rPr>
        <w:t>工作内容</w:t>
      </w:r>
      <w:r>
        <w:rPr>
          <w:rFonts w:ascii="仿宋_GB2312" w:eastAsia="仿宋_GB2312" w:hAnsi="仿宋_GB2312" w:cs="仿宋_GB2312" w:hint="eastAsia"/>
          <w:sz w:val="28"/>
          <w:szCs w:val="28"/>
          <w:lang w:eastAsia="zh-CN"/>
        </w:rPr>
        <w:t>；</w:t>
      </w:r>
    </w:p>
    <w:p w14:paraId="25FE0866">
      <w:pPr>
        <w:keepNext w:val="0"/>
        <w:keepLines w:val="0"/>
        <w:pageBreakBefore w:val="0"/>
        <w:widowControl/>
        <w:numPr>
          <w:ilvl w:val="0"/>
          <w:numId w:val="6"/>
        </w:numPr>
        <w:kinsoku/>
        <w:wordWrap/>
        <w:overflowPunct/>
        <w:topLinePunct w:val="0"/>
        <w:autoSpaceDE/>
        <w:autoSpaceDN/>
        <w:bidi w:val="0"/>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其他甲方需求的工程造价技术咨询等。</w:t>
      </w:r>
    </w:p>
    <w:p w14:paraId="5631E57D">
      <w:pPr>
        <w:keepNext w:val="0"/>
        <w:keepLines w:val="0"/>
        <w:pageBreakBefore w:val="0"/>
        <w:widowControl/>
        <w:kinsoku/>
        <w:wordWrap/>
        <w:overflowPunct/>
        <w:topLinePunct w:val="0"/>
        <w:autoSpaceDE/>
        <w:autoSpaceDN/>
        <w:bidi w:val="0"/>
        <w:snapToGrid w:val="0"/>
        <w:spacing w:line="560" w:lineRule="exact"/>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四、乙方工作时间要求</w:t>
      </w:r>
    </w:p>
    <w:p w14:paraId="0947389E">
      <w:pPr>
        <w:keepNext w:val="0"/>
        <w:keepLines w:val="0"/>
        <w:pageBreakBefore w:val="0"/>
        <w:widowControl/>
        <w:numPr>
          <w:ilvl w:val="0"/>
          <w:numId w:val="7"/>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kern w:val="2"/>
          <w:sz w:val="28"/>
          <w:szCs w:val="28"/>
          <w:lang w:eastAsia="zh-CN"/>
        </w:rPr>
        <w:t>概算审查</w:t>
      </w:r>
      <w:r>
        <w:rPr>
          <w:rFonts w:ascii="仿宋_GB2312" w:eastAsia="仿宋_GB2312" w:hAnsi="仿宋_GB2312" w:cs="仿宋_GB2312" w:hint="eastAsia"/>
          <w:kern w:val="2"/>
          <w:sz w:val="28"/>
          <w:szCs w:val="28"/>
          <w:lang w:eastAsia="zh-CN"/>
        </w:rPr>
        <w:t>（</w:t>
      </w:r>
      <w:r>
        <w:rPr>
          <w:rFonts w:ascii="仿宋_GB2312" w:eastAsia="仿宋_GB2312" w:hAnsi="仿宋_GB2312" w:cs="仿宋_GB2312" w:hint="eastAsia"/>
          <w:kern w:val="2"/>
          <w:sz w:val="28"/>
          <w:szCs w:val="28"/>
          <w:lang w:eastAsia="zh-CN"/>
        </w:rPr>
        <w:t>如有</w:t>
      </w:r>
      <w:r>
        <w:rPr>
          <w:rFonts w:ascii="仿宋_GB2312" w:eastAsia="仿宋_GB2312" w:hAnsi="仿宋_GB2312" w:cs="仿宋_GB2312" w:hint="eastAsia"/>
          <w:kern w:val="2"/>
          <w:sz w:val="28"/>
          <w:szCs w:val="28"/>
          <w:lang w:eastAsia="zh-CN"/>
        </w:rPr>
        <w:t>）</w:t>
      </w:r>
      <w:r>
        <w:rPr>
          <w:rFonts w:ascii="仿宋_GB2312" w:eastAsia="仿宋_GB2312" w:hAnsi="仿宋_GB2312" w:cs="仿宋_GB2312" w:hint="eastAsia"/>
          <w:kern w:val="2"/>
          <w:sz w:val="28"/>
          <w:szCs w:val="28"/>
          <w:lang w:eastAsia="zh-CN"/>
        </w:rPr>
        <w:t>结果文件的提交时间</w:t>
      </w:r>
      <w:r>
        <w:rPr>
          <w:rFonts w:ascii="仿宋_GB2312" w:eastAsia="仿宋_GB2312" w:hAnsi="仿宋_GB2312" w:cs="仿宋_GB2312" w:hint="eastAsia"/>
          <w:kern w:val="2"/>
          <w:sz w:val="28"/>
          <w:szCs w:val="28"/>
          <w:lang w:eastAsia="zh-CN"/>
        </w:rPr>
        <w:t>为</w:t>
      </w:r>
      <w:r>
        <w:rPr>
          <w:rFonts w:ascii="仿宋_GB2312" w:eastAsia="仿宋_GB2312" w:hAnsi="仿宋_GB2312" w:cs="仿宋_GB2312" w:hint="eastAsia"/>
          <w:kern w:val="2"/>
          <w:sz w:val="28"/>
          <w:szCs w:val="28"/>
          <w:lang w:eastAsia="zh-CN"/>
        </w:rPr>
        <w:t>接到</w:t>
      </w:r>
      <w:r>
        <w:rPr>
          <w:rFonts w:ascii="仿宋_GB2312" w:eastAsia="仿宋_GB2312" w:hAnsi="仿宋_GB2312" w:cs="仿宋_GB2312" w:hint="eastAsia"/>
          <w:kern w:val="2"/>
          <w:sz w:val="28"/>
          <w:szCs w:val="28"/>
          <w:lang w:eastAsia="zh-CN"/>
        </w:rPr>
        <w:t>完整</w:t>
      </w:r>
      <w:r>
        <w:rPr>
          <w:rFonts w:ascii="仿宋_GB2312" w:eastAsia="仿宋_GB2312" w:hAnsi="仿宋_GB2312" w:cs="仿宋_GB2312" w:hint="eastAsia"/>
          <w:kern w:val="2"/>
          <w:sz w:val="28"/>
          <w:szCs w:val="28"/>
          <w:lang w:eastAsia="zh-CN"/>
        </w:rPr>
        <w:t>相关资料后</w:t>
      </w:r>
      <w:r>
        <w:rPr>
          <w:rFonts w:ascii="仿宋_GB2312" w:eastAsia="仿宋_GB2312" w:hAnsi="仿宋_GB2312" w:cs="仿宋_GB2312" w:hint="eastAsia"/>
          <w:kern w:val="2"/>
          <w:sz w:val="28"/>
          <w:szCs w:val="28"/>
          <w:lang w:eastAsia="zh-CN"/>
        </w:rPr>
        <w:t>20</w:t>
      </w:r>
      <w:r>
        <w:rPr>
          <w:rFonts w:ascii="仿宋_GB2312" w:eastAsia="仿宋_GB2312" w:hAnsi="仿宋_GB2312" w:cs="仿宋_GB2312" w:hint="eastAsia"/>
          <w:kern w:val="2"/>
          <w:sz w:val="28"/>
          <w:szCs w:val="28"/>
          <w:lang w:eastAsia="zh-CN"/>
        </w:rPr>
        <w:t>天内提交</w:t>
      </w:r>
      <w:r>
        <w:rPr>
          <w:rFonts w:ascii="仿宋_GB2312" w:eastAsia="仿宋_GB2312" w:hAnsi="仿宋_GB2312" w:cs="仿宋_GB2312" w:hint="eastAsia"/>
          <w:sz w:val="28"/>
          <w:szCs w:val="28"/>
          <w:lang w:eastAsia="zh-CN"/>
        </w:rPr>
        <w:t>。</w:t>
      </w:r>
    </w:p>
    <w:p w14:paraId="2896F5A3">
      <w:pPr>
        <w:keepNext w:val="0"/>
        <w:keepLines w:val="0"/>
        <w:pageBreakBefore w:val="0"/>
        <w:widowControl/>
        <w:numPr>
          <w:ilvl w:val="0"/>
          <w:numId w:val="7"/>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招标项目造价文件的提交时间：自接到施工图纸及相关资料后20日内提交工程量清单，30日内提交</w:t>
      </w:r>
      <w:r>
        <w:rPr>
          <w:rFonts w:ascii="仿宋_GB2312" w:eastAsia="仿宋_GB2312" w:hAnsi="仿宋_GB2312" w:cs="仿宋_GB2312" w:hint="eastAsia"/>
          <w:sz w:val="28"/>
          <w:szCs w:val="28"/>
          <w:lang w:eastAsia="zh-CN"/>
        </w:rPr>
        <w:t>招标控制价</w:t>
      </w:r>
      <w:r>
        <w:rPr>
          <w:rFonts w:ascii="仿宋_GB2312" w:eastAsia="仿宋_GB2312" w:hAnsi="仿宋_GB2312" w:cs="仿宋_GB2312" w:hint="eastAsia"/>
          <w:sz w:val="28"/>
          <w:szCs w:val="28"/>
          <w:lang w:eastAsia="zh-CN"/>
        </w:rPr>
        <w:t>。</w:t>
      </w:r>
    </w:p>
    <w:p w14:paraId="11DEE473">
      <w:pPr>
        <w:keepNext w:val="0"/>
        <w:keepLines w:val="0"/>
        <w:pageBreakBefore w:val="0"/>
        <w:widowControl/>
        <w:numPr>
          <w:ilvl w:val="0"/>
          <w:numId w:val="7"/>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施工过程</w:t>
      </w:r>
      <w:r>
        <w:rPr>
          <w:rFonts w:ascii="仿宋_GB2312" w:eastAsia="仿宋_GB2312" w:hAnsi="仿宋_GB2312" w:cs="仿宋_GB2312" w:hint="eastAsia"/>
          <w:sz w:val="28"/>
          <w:szCs w:val="28"/>
          <w:lang w:eastAsia="zh-CN"/>
        </w:rPr>
        <w:t>中</w:t>
      </w:r>
      <w:r>
        <w:rPr>
          <w:rFonts w:ascii="仿宋_GB2312" w:eastAsia="仿宋_GB2312" w:hAnsi="仿宋_GB2312" w:cs="仿宋_GB2312" w:hint="eastAsia"/>
          <w:sz w:val="28"/>
          <w:szCs w:val="28"/>
          <w:lang w:eastAsia="zh-CN"/>
        </w:rPr>
        <w:t>的工程变更预算</w:t>
      </w:r>
      <w:r>
        <w:rPr>
          <w:rFonts w:ascii="仿宋_GB2312" w:eastAsia="仿宋_GB2312" w:hAnsi="仿宋_GB2312" w:cs="仿宋_GB2312" w:hint="eastAsia"/>
          <w:sz w:val="28"/>
          <w:szCs w:val="28"/>
          <w:lang w:eastAsia="zh-CN"/>
        </w:rPr>
        <w:t>审核</w:t>
      </w:r>
      <w:r>
        <w:rPr>
          <w:rFonts w:ascii="仿宋_GB2312" w:eastAsia="仿宋_GB2312" w:hAnsi="仿宋_GB2312" w:cs="仿宋_GB2312" w:hint="eastAsia"/>
          <w:sz w:val="28"/>
          <w:szCs w:val="28"/>
          <w:lang w:eastAsia="zh-CN"/>
        </w:rPr>
        <w:t>，在约定的时限内出具编制报告书</w:t>
      </w:r>
      <w:r>
        <w:rPr>
          <w:rFonts w:ascii="仿宋_GB2312" w:eastAsia="仿宋_GB2312" w:hAnsi="仿宋_GB2312" w:cs="仿宋_GB2312" w:hint="eastAsia"/>
          <w:sz w:val="28"/>
          <w:szCs w:val="28"/>
          <w:lang w:eastAsia="zh-CN"/>
        </w:rPr>
        <w:t>：</w:t>
      </w:r>
    </w:p>
    <w:p w14:paraId="7373C630">
      <w:pPr>
        <w:keepNext w:val="0"/>
        <w:keepLines w:val="0"/>
        <w:pageBreakBefore w:val="0"/>
        <w:widowControl/>
        <w:kinsoku/>
        <w:wordWrap/>
        <w:overflowPunct/>
        <w:topLinePunct w:val="0"/>
        <w:autoSpaceDE/>
        <w:autoSpaceDN/>
        <w:bidi w:val="0"/>
        <w:adjustRightInd/>
        <w:spacing w:line="560" w:lineRule="exact"/>
        <w:ind w:firstLine="56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1.变更估算金额在100万元以上的：自备齐相关资料之日起9天；</w:t>
      </w:r>
    </w:p>
    <w:p w14:paraId="22FCBE29">
      <w:pPr>
        <w:keepNext w:val="0"/>
        <w:keepLines w:val="0"/>
        <w:pageBreakBefore w:val="0"/>
        <w:widowControl/>
        <w:kinsoku/>
        <w:wordWrap/>
        <w:overflowPunct/>
        <w:topLinePunct w:val="0"/>
        <w:autoSpaceDE/>
        <w:autoSpaceDN/>
        <w:bidi w:val="0"/>
        <w:adjustRightInd/>
        <w:spacing w:line="560" w:lineRule="exact"/>
        <w:ind w:firstLine="56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2.变更估算金额在100万元以下的：自备齐相关资料之日起5天。</w:t>
      </w:r>
    </w:p>
    <w:p w14:paraId="7A091470">
      <w:pPr>
        <w:keepNext w:val="0"/>
        <w:keepLines w:val="0"/>
        <w:pageBreakBefore w:val="0"/>
        <w:widowControl/>
        <w:numPr>
          <w:ilvl w:val="0"/>
          <w:numId w:val="7"/>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工程竣工结算（含过程结算）审核，在约定的时限内出具审核报告书：</w:t>
      </w:r>
    </w:p>
    <w:p w14:paraId="7BCB7E9A">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1.结算申报金额500万元以下（含500万元）：自备齐相关资料之日起20天；</w:t>
      </w:r>
    </w:p>
    <w:p w14:paraId="31FBE0E4">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2.结算申报金额500万元-5000万元（含5000万元）：自备齐相关资料之日起</w:t>
      </w:r>
      <w:r>
        <w:rPr>
          <w:rFonts w:ascii="仿宋_GB2312" w:eastAsia="仿宋_GB2312" w:hAnsi="仿宋_GB2312" w:cs="仿宋_GB2312" w:hint="eastAsia"/>
          <w:sz w:val="28"/>
          <w:szCs w:val="28"/>
          <w:lang w:eastAsia="zh-CN"/>
        </w:rPr>
        <w:t>30</w:t>
      </w:r>
      <w:r>
        <w:rPr>
          <w:rFonts w:ascii="仿宋_GB2312" w:eastAsia="仿宋_GB2312" w:hAnsi="仿宋_GB2312" w:cs="仿宋_GB2312" w:hint="eastAsia"/>
          <w:sz w:val="28"/>
          <w:szCs w:val="28"/>
          <w:lang w:eastAsia="zh-CN"/>
        </w:rPr>
        <w:t>天；</w:t>
      </w:r>
    </w:p>
    <w:p w14:paraId="76EDF012">
      <w:pPr>
        <w:keepNext w:val="0"/>
        <w:keepLines w:val="0"/>
        <w:pageBreakBefore w:val="0"/>
        <w:widowControl/>
        <w:numPr>
          <w:ilvl w:val="0"/>
          <w:numId w:val="0"/>
        </w:numPr>
        <w:kinsoku/>
        <w:wordWrap/>
        <w:overflowPunct/>
        <w:topLinePunct w:val="0"/>
        <w:autoSpaceDE/>
        <w:autoSpaceDN/>
        <w:bidi w:val="0"/>
        <w:adjustRightInd/>
        <w:snapToGrid w:val="0"/>
        <w:spacing w:after="191" w:afterLines="50" w:line="560" w:lineRule="exact"/>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3.结算申报金额5000万元以上：自备齐相关资料之日起</w:t>
      </w:r>
      <w:r>
        <w:rPr>
          <w:rFonts w:ascii="仿宋_GB2312" w:eastAsia="仿宋_GB2312" w:hAnsi="仿宋_GB2312" w:cs="仿宋_GB2312" w:hint="eastAsia"/>
          <w:sz w:val="28"/>
          <w:szCs w:val="28"/>
          <w:lang w:eastAsia="zh-CN"/>
        </w:rPr>
        <w:t>45</w:t>
      </w:r>
      <w:r>
        <w:rPr>
          <w:rFonts w:ascii="仿宋_GB2312" w:eastAsia="仿宋_GB2312" w:hAnsi="仿宋_GB2312" w:cs="仿宋_GB2312" w:hint="eastAsia"/>
          <w:sz w:val="28"/>
          <w:szCs w:val="28"/>
          <w:lang w:eastAsia="zh-CN"/>
        </w:rPr>
        <w:t>天。</w:t>
      </w:r>
    </w:p>
    <w:p w14:paraId="3666B175">
      <w:pPr>
        <w:keepNext w:val="0"/>
        <w:keepLines w:val="0"/>
        <w:pageBreakBefore w:val="0"/>
        <w:widowControl/>
        <w:numPr>
          <w:ilvl w:val="0"/>
          <w:numId w:val="0"/>
        </w:numPr>
        <w:kinsoku/>
        <w:wordWrap/>
        <w:overflowPunct/>
        <w:topLinePunct w:val="0"/>
        <w:autoSpaceDE/>
        <w:autoSpaceDN/>
        <w:bidi w:val="0"/>
        <w:adjustRightInd/>
        <w:snapToGrid w:val="0"/>
        <w:spacing w:after="191" w:afterLines="50" w:line="560" w:lineRule="exact"/>
        <w:ind w:left="0" w:firstLine="560" w:leftChars="0" w:firstLineChars="200"/>
        <w:jc w:val="both"/>
        <w:textAlignment w:val="auto"/>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五</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上述时间要求如不同文件之间约定有出入的，以约定时间较短的为准。</w:t>
      </w:r>
    </w:p>
    <w:p w14:paraId="1BA70B33">
      <w:pPr>
        <w:keepNext w:val="0"/>
        <w:keepLines w:val="0"/>
        <w:pageBreakBefore w:val="0"/>
        <w:widowControl/>
        <w:kinsoku/>
        <w:wordWrap/>
        <w:overflowPunct/>
        <w:topLinePunct w:val="0"/>
        <w:autoSpaceDE/>
        <w:autoSpaceDN/>
        <w:bidi w:val="0"/>
        <w:adjustRightInd/>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五、造价文件的编制原则和依据</w:t>
      </w:r>
    </w:p>
    <w:p w14:paraId="11A62AD2">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初步设计文件及图纸；</w:t>
      </w:r>
    </w:p>
    <w:p w14:paraId="5FABCD74">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施工招标文件；</w:t>
      </w:r>
    </w:p>
    <w:p w14:paraId="28F99C37">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施工合同；</w:t>
      </w:r>
    </w:p>
    <w:p w14:paraId="479A36BA">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施工图（或竣工图）及有关设计文件；</w:t>
      </w:r>
    </w:p>
    <w:p w14:paraId="3847D935">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工程变更；</w:t>
      </w:r>
    </w:p>
    <w:p w14:paraId="777CB5A2">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材料及设备价格参考施工招标期间的</w:t>
      </w:r>
      <w:r>
        <w:rPr>
          <w:rFonts w:ascii="仿宋_GB2312" w:eastAsia="仿宋_GB2312" w:hAnsi="仿宋_GB2312" w:cs="仿宋_GB2312" w:hint="eastAsia"/>
          <w:sz w:val="28"/>
          <w:szCs w:val="28"/>
          <w:lang w:eastAsia="zh-CN"/>
        </w:rPr>
        <w:t>当地造价站发布的材料设备信息价格</w:t>
      </w:r>
      <w:r>
        <w:rPr>
          <w:rFonts w:ascii="仿宋_GB2312" w:eastAsia="仿宋_GB2312" w:hAnsi="仿宋_GB2312" w:cs="仿宋_GB2312" w:hint="eastAsia"/>
          <w:sz w:val="28"/>
          <w:szCs w:val="28"/>
          <w:lang w:eastAsia="zh-CN"/>
        </w:rPr>
        <w:t>及相应时期的市场价格；</w:t>
      </w:r>
    </w:p>
    <w:p w14:paraId="44ABEB9D">
      <w:pPr>
        <w:keepNext w:val="0"/>
        <w:keepLines w:val="0"/>
        <w:pageBreakBefore w:val="0"/>
        <w:widowControl/>
        <w:numPr>
          <w:ilvl w:val="0"/>
          <w:numId w:val="8"/>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其他</w:t>
      </w:r>
      <w:r>
        <w:rPr>
          <w:rFonts w:ascii="仿宋_GB2312" w:eastAsia="仿宋_GB2312" w:hAnsi="仿宋_GB2312" w:cs="仿宋_GB2312" w:hint="eastAsia"/>
          <w:sz w:val="28"/>
          <w:szCs w:val="28"/>
          <w:lang w:eastAsia="zh-CN"/>
        </w:rPr>
        <w:t>。</w:t>
      </w:r>
    </w:p>
    <w:p w14:paraId="16157C21">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六、造价文件的质量要求</w:t>
      </w:r>
    </w:p>
    <w:p w14:paraId="2D2986EE">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工程量清单项目须编制齐全，分类清楚，不得多计少计或漏项，标底价格应合理；</w:t>
      </w:r>
    </w:p>
    <w:p w14:paraId="545F25BC">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工程量计算准确，准确率在95%以上（包括95%）；</w:t>
      </w:r>
    </w:p>
    <w:p w14:paraId="0F0FCB29">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设备工程量准确率在99%以上（包括99%）；</w:t>
      </w:r>
    </w:p>
    <w:p w14:paraId="1F76274C">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主要材料设备计价准确，无原则性失误；</w:t>
      </w:r>
    </w:p>
    <w:p w14:paraId="2A8D1730">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预（结）算造价与</w:t>
      </w:r>
      <w:r>
        <w:rPr>
          <w:rFonts w:ascii="仿宋_GB2312" w:eastAsia="仿宋_GB2312" w:hAnsi="仿宋_GB2312" w:cs="仿宋_GB2312" w:hint="eastAsia"/>
          <w:sz w:val="28"/>
          <w:szCs w:val="28"/>
          <w:lang w:eastAsia="zh-CN"/>
        </w:rPr>
        <w:t>我司认可的</w:t>
      </w:r>
      <w:r>
        <w:rPr>
          <w:rFonts w:ascii="仿宋_GB2312" w:eastAsia="仿宋_GB2312" w:hAnsi="仿宋_GB2312" w:cs="仿宋_GB2312" w:hint="eastAsia"/>
          <w:sz w:val="28"/>
          <w:szCs w:val="28"/>
          <w:lang w:eastAsia="zh-CN"/>
        </w:rPr>
        <w:t>审核</w:t>
      </w:r>
      <w:r>
        <w:rPr>
          <w:rFonts w:ascii="仿宋_GB2312" w:eastAsia="仿宋_GB2312" w:hAnsi="仿宋_GB2312" w:cs="仿宋_GB2312" w:hint="eastAsia"/>
          <w:sz w:val="28"/>
          <w:szCs w:val="28"/>
          <w:lang w:eastAsia="zh-CN"/>
        </w:rPr>
        <w:t>机构</w:t>
      </w:r>
      <w:r>
        <w:rPr>
          <w:rFonts w:ascii="仿宋_GB2312" w:eastAsia="仿宋_GB2312" w:hAnsi="仿宋_GB2312" w:cs="仿宋_GB2312" w:hint="eastAsia"/>
          <w:sz w:val="28"/>
          <w:szCs w:val="28"/>
          <w:lang w:eastAsia="zh-CN"/>
        </w:rPr>
        <w:t>审定价相差应小于5%（不含5%）；</w:t>
      </w:r>
    </w:p>
    <w:p w14:paraId="0DDFE93E">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造价文件必须文字清晰整齐。必须有相关专业造价工程师签字并加盖注册章、公司负责人签字盖章，并加盖公司公章；</w:t>
      </w:r>
    </w:p>
    <w:p w14:paraId="22F7A9F2">
      <w:pPr>
        <w:keepNext w:val="0"/>
        <w:keepLines w:val="0"/>
        <w:pageBreakBefore w:val="0"/>
        <w:widowControl/>
        <w:numPr>
          <w:ilvl w:val="0"/>
          <w:numId w:val="9"/>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项目实际结算总造价应控制在批复概算内。若结算超出批复概算，应及时向甲方报告超概情况。</w:t>
      </w:r>
    </w:p>
    <w:p w14:paraId="3F73F6F3">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七、乙方</w:t>
      </w:r>
      <w:r>
        <w:rPr>
          <w:rFonts w:ascii="仿宋_GB2312" w:eastAsia="仿宋_GB2312" w:hAnsi="仿宋_GB2312" w:cs="仿宋_GB2312" w:hint="eastAsia"/>
          <w:b/>
          <w:bCs/>
          <w:sz w:val="28"/>
          <w:szCs w:val="28"/>
          <w:lang w:eastAsia="zh-CN"/>
        </w:rPr>
        <w:t>应向</w:t>
      </w:r>
      <w:r>
        <w:rPr>
          <w:rFonts w:ascii="仿宋_GB2312" w:eastAsia="仿宋_GB2312" w:hAnsi="仿宋_GB2312" w:cs="仿宋_GB2312" w:hint="eastAsia"/>
          <w:b/>
          <w:bCs/>
          <w:sz w:val="28"/>
          <w:szCs w:val="28"/>
          <w:lang w:eastAsia="zh-CN"/>
        </w:rPr>
        <w:t>甲方提交的资料</w:t>
      </w:r>
    </w:p>
    <w:p w14:paraId="6CA6E8A2">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概算</w:t>
      </w:r>
      <w:r>
        <w:rPr>
          <w:rFonts w:ascii="仿宋_GB2312" w:eastAsia="仿宋_GB2312" w:hAnsi="仿宋_GB2312" w:cs="仿宋_GB2312" w:hint="eastAsia"/>
          <w:sz w:val="28"/>
          <w:szCs w:val="28"/>
          <w:lang w:eastAsia="zh-CN"/>
        </w:rPr>
        <w:t>审核</w:t>
      </w:r>
      <w:r>
        <w:rPr>
          <w:rFonts w:ascii="仿宋_GB2312" w:eastAsia="仿宋_GB2312" w:hAnsi="仿宋_GB2312" w:cs="仿宋_GB2312" w:hint="eastAsia"/>
          <w:sz w:val="28"/>
          <w:szCs w:val="28"/>
          <w:lang w:eastAsia="zh-CN"/>
        </w:rPr>
        <w:t>书（</w:t>
      </w:r>
      <w:r>
        <w:rPr>
          <w:rFonts w:ascii="仿宋_GB2312" w:eastAsia="仿宋_GB2312" w:hAnsi="仿宋_GB2312" w:cs="仿宋_GB2312" w:hint="eastAsia"/>
          <w:sz w:val="28"/>
          <w:szCs w:val="28"/>
          <w:lang w:eastAsia="zh-CN"/>
        </w:rPr>
        <w:t>如有</w:t>
      </w:r>
      <w:r>
        <w:rPr>
          <w:rFonts w:ascii="仿宋_GB2312" w:eastAsia="仿宋_GB2312" w:hAnsi="仿宋_GB2312" w:cs="仿宋_GB2312" w:hint="eastAsia"/>
          <w:sz w:val="28"/>
          <w:szCs w:val="28"/>
          <w:lang w:eastAsia="zh-CN"/>
        </w:rPr>
        <w:t>）三份</w:t>
      </w:r>
      <w:r>
        <w:rPr>
          <w:rFonts w:ascii="仿宋_GB2312" w:eastAsia="仿宋_GB2312" w:hAnsi="仿宋_GB2312" w:cs="仿宋_GB2312" w:hint="eastAsia"/>
          <w:sz w:val="28"/>
          <w:szCs w:val="28"/>
          <w:lang w:eastAsia="zh-CN"/>
        </w:rPr>
        <w:t>；</w:t>
      </w:r>
    </w:p>
    <w:p w14:paraId="2D9A43B9">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工程预算书三份；</w:t>
      </w:r>
    </w:p>
    <w:p w14:paraId="0CBF4509">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工程量计算底稿一份；</w:t>
      </w:r>
    </w:p>
    <w:p w14:paraId="037624EC">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工程量清单二份；</w:t>
      </w:r>
    </w:p>
    <w:p w14:paraId="688D28CE">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招标控制价文件</w:t>
      </w:r>
      <w:r>
        <w:rPr>
          <w:rFonts w:ascii="仿宋_GB2312" w:eastAsia="仿宋_GB2312" w:hAnsi="仿宋_GB2312" w:cs="仿宋_GB2312" w:hint="eastAsia"/>
          <w:sz w:val="28"/>
          <w:szCs w:val="28"/>
          <w:lang w:eastAsia="zh-CN"/>
        </w:rPr>
        <w:t>二份。</w:t>
      </w:r>
      <w:r>
        <w:rPr>
          <w:rFonts w:ascii="仿宋_GB2312" w:eastAsia="仿宋_GB2312" w:hAnsi="仿宋_GB2312" w:cs="仿宋_GB2312" w:hint="eastAsia"/>
          <w:sz w:val="28"/>
          <w:szCs w:val="28"/>
          <w:lang w:eastAsia="zh-CN"/>
        </w:rPr>
        <w:t>招标控制价文件</w:t>
      </w:r>
      <w:r>
        <w:rPr>
          <w:rFonts w:ascii="仿宋_GB2312" w:eastAsia="仿宋_GB2312" w:hAnsi="仿宋_GB2312" w:cs="仿宋_GB2312" w:hint="eastAsia"/>
          <w:sz w:val="28"/>
          <w:szCs w:val="28"/>
          <w:lang w:eastAsia="zh-CN"/>
        </w:rPr>
        <w:t>应附项目综合单价分析表、主要材料数量及价格（参考价格）清单、主要设备数量及价格（参考价格）清单；</w:t>
      </w:r>
    </w:p>
    <w:p w14:paraId="4DF17A8E">
      <w:pPr>
        <w:keepNext w:val="0"/>
        <w:keepLines w:val="0"/>
        <w:pageBreakBefore w:val="0"/>
        <w:widowControl/>
        <w:numPr>
          <w:ilvl w:val="0"/>
          <w:numId w:val="1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工程结算书三份；</w:t>
      </w:r>
    </w:p>
    <w:p w14:paraId="137DA0FC">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以上为常规情况下乙方提供资料要求，最终以甲方提出的实际需求为准，提供的</w:t>
      </w:r>
      <w:r>
        <w:rPr>
          <w:rFonts w:ascii="仿宋_GB2312" w:eastAsia="仿宋_GB2312" w:hAnsi="仿宋_GB2312" w:cs="仿宋_GB2312" w:hint="eastAsia"/>
          <w:sz w:val="28"/>
          <w:szCs w:val="28"/>
          <w:lang w:eastAsia="zh-CN"/>
        </w:rPr>
        <w:t>文件均应同时提供电子文件。</w:t>
      </w:r>
      <w:r>
        <w:rPr>
          <w:rFonts w:ascii="仿宋_GB2312" w:eastAsia="仿宋_GB2312" w:hAnsi="仿宋_GB2312" w:cs="仿宋_GB2312" w:hint="eastAsia"/>
          <w:sz w:val="28"/>
          <w:szCs w:val="28"/>
          <w:lang w:eastAsia="zh-CN"/>
        </w:rPr>
        <w:t>乙方交付的成果文件应当</w:t>
      </w:r>
      <w:r>
        <w:rPr>
          <w:rFonts w:ascii="仿宋_GB2312" w:eastAsia="仿宋_GB2312" w:hAnsi="仿宋_GB2312" w:cs="仿宋_GB2312" w:hint="eastAsia"/>
          <w:sz w:val="28"/>
          <w:szCs w:val="28"/>
          <w:lang w:eastAsia="zh-CN"/>
        </w:rPr>
        <w:t>符合法律、行政法规、政策规定、国家及有关部门的技术标准和规范、本合同及《全过程造价咨询服务任务书》</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要求。</w:t>
      </w:r>
    </w:p>
    <w:p w14:paraId="6D28263D">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八、甲、乙双方的责任</w:t>
      </w:r>
    </w:p>
    <w:p w14:paraId="6A2179BC">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1"/>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（一）甲方的责任</w:t>
      </w:r>
    </w:p>
    <w:p w14:paraId="171DCDD3">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按时提供乙方咨询工作所需图纸及相关资料</w:t>
      </w:r>
      <w:r>
        <w:rPr>
          <w:rFonts w:ascii="仿宋_GB2312" w:eastAsia="仿宋_GB2312" w:hAnsi="仿宋_GB2312" w:cs="仿宋_GB2312" w:hint="eastAsia"/>
          <w:sz w:val="28"/>
          <w:szCs w:val="28"/>
          <w:lang w:eastAsia="zh-CN"/>
        </w:rPr>
        <w:t>。</w:t>
      </w:r>
    </w:p>
    <w:p w14:paraId="0326C2DB">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按双方约定时间支付咨询费</w:t>
      </w:r>
      <w:r>
        <w:rPr>
          <w:rFonts w:ascii="仿宋_GB2312" w:eastAsia="仿宋_GB2312" w:hAnsi="仿宋_GB2312" w:cs="仿宋_GB2312" w:hint="eastAsia"/>
          <w:sz w:val="28"/>
          <w:szCs w:val="28"/>
          <w:lang w:eastAsia="zh-CN"/>
        </w:rPr>
        <w:t>。</w:t>
      </w:r>
    </w:p>
    <w:p w14:paraId="7FA36FAE">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3</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未经乙方同意，不得修改乙方的造价文件</w:t>
      </w:r>
      <w:r>
        <w:rPr>
          <w:rFonts w:ascii="仿宋_GB2312" w:eastAsia="仿宋_GB2312" w:hAnsi="仿宋_GB2312" w:cs="仿宋_GB2312" w:hint="eastAsia"/>
          <w:sz w:val="28"/>
          <w:szCs w:val="28"/>
          <w:lang w:eastAsia="zh-CN"/>
        </w:rPr>
        <w:t>。</w:t>
      </w:r>
    </w:p>
    <w:p w14:paraId="5F2C996A">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4</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在乙方工作期间密切配合，提供工作方便</w:t>
      </w:r>
      <w:r>
        <w:rPr>
          <w:rFonts w:ascii="仿宋_GB2312" w:eastAsia="仿宋_GB2312" w:hAnsi="仿宋_GB2312" w:cs="仿宋_GB2312" w:hint="eastAsia"/>
          <w:sz w:val="28"/>
          <w:szCs w:val="28"/>
          <w:lang w:eastAsia="zh-CN"/>
        </w:rPr>
        <w:t>。</w:t>
      </w:r>
    </w:p>
    <w:p w14:paraId="38DAB9D5">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5.甲方有权根据项目实际进度和工作需要，要求乙方增加驻场人员或调整驻场人员专业配置。乙方应在甲方提出要求后[5]个工作日内完成人员增补或调整，由此增加的费用已包含在本合同服务报酬中，甲方不再另行支付。</w:t>
      </w:r>
    </w:p>
    <w:p w14:paraId="22420698">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6.驻场人员应服从甲方的工作安排和管理，遵守甲方的各项规章制度、考勤管理制度及现场安全管理规定。驻场人员的考勤由甲方负责</w:t>
      </w:r>
      <w:r>
        <w:rPr>
          <w:rFonts w:ascii="仿宋_GB2312" w:eastAsia="仿宋_GB2312" w:hAnsi="仿宋_GB2312" w:cs="仿宋_GB2312" w:hint="eastAsia"/>
          <w:sz w:val="28"/>
          <w:szCs w:val="28"/>
          <w:lang w:eastAsia="zh-CN"/>
        </w:rPr>
        <w:t>。</w:t>
      </w:r>
    </w:p>
    <w:p w14:paraId="3FDEC469">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1"/>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（二）乙方的责任</w:t>
      </w:r>
    </w:p>
    <w:p w14:paraId="0042E003">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按投标文件承诺组建项目组，由投标文件所承诺的人员完成本工程的全部工作；项目拟派人员不得随意更换；如需更换，须提前征得甲方同意；未经甲方同意而更换项目成员的，甲方有权取消乙方单位承接甲方后续项目的资格或单方面解除本合同，并将乙方记入不良履约行为记录，由此造成的违约责任由乙方承担</w:t>
      </w:r>
      <w:r>
        <w:rPr>
          <w:rFonts w:ascii="仿宋_GB2312" w:eastAsia="仿宋_GB2312" w:hAnsi="仿宋_GB2312" w:cs="仿宋_GB2312" w:hint="eastAsia"/>
          <w:sz w:val="28"/>
          <w:szCs w:val="28"/>
          <w:lang w:eastAsia="zh-CN"/>
        </w:rPr>
        <w:t>。</w:t>
      </w:r>
    </w:p>
    <w:p w14:paraId="71CB7F58">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项目负责人必须是造价工程师，且必须做到：完全了解该工程全过程造价控制情况；直接与甲方联系；按时参加工程例会，不得随意缺席；项目负责人工作缺位的，将被记入不良履约行为记录</w:t>
      </w:r>
      <w:r>
        <w:rPr>
          <w:rFonts w:ascii="仿宋_GB2312" w:eastAsia="仿宋_GB2312" w:hAnsi="仿宋_GB2312" w:cs="仿宋_GB2312" w:hint="eastAsia"/>
          <w:sz w:val="28"/>
          <w:szCs w:val="28"/>
          <w:lang w:eastAsia="zh-CN"/>
        </w:rPr>
        <w:t>。</w:t>
      </w:r>
    </w:p>
    <w:p w14:paraId="48ED8478">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及时、准确地编制或审核造价文件；全过程向甲方提供专业的、客观的造价咨询意见</w:t>
      </w:r>
      <w:r>
        <w:rPr>
          <w:rFonts w:ascii="仿宋_GB2312" w:eastAsia="仿宋_GB2312" w:hAnsi="仿宋_GB2312" w:cs="仿宋_GB2312" w:hint="eastAsia"/>
          <w:sz w:val="28"/>
          <w:szCs w:val="28"/>
          <w:lang w:eastAsia="zh-CN"/>
        </w:rPr>
        <w:t>。</w:t>
      </w:r>
    </w:p>
    <w:p w14:paraId="721327B2">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w:t>
      </w:r>
      <w:r>
        <w:rPr>
          <w:rFonts w:ascii="仿宋_GB2312" w:eastAsia="仿宋_GB2312" w:hAnsi="仿宋_GB2312" w:cs="仿宋_GB2312" w:hint="eastAsia"/>
          <w:sz w:val="28"/>
          <w:szCs w:val="28"/>
          <w:lang w:eastAsia="zh-CN"/>
        </w:rPr>
        <w:t>应当对本合同的内容、因履行本合同或在本合同期间获得的或收到的</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的商务、财务、技术、产品的信息、用户资料或其他标明保密的文件或信息的内容</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简称“保密资料”</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保守秘密，未经</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事先书面同意，不得向本合同以外的任何第三方披露。</w:t>
      </w:r>
      <w:r>
        <w:rPr>
          <w:rFonts w:ascii="仿宋_GB2312" w:eastAsia="仿宋_GB2312" w:hAnsi="仿宋_GB2312" w:cs="仿宋_GB2312" w:hint="eastAsia"/>
          <w:sz w:val="28"/>
          <w:szCs w:val="28"/>
          <w:lang w:eastAsia="zh-CN"/>
        </w:rPr>
        <w:t>乙方</w:t>
      </w:r>
      <w:r>
        <w:rPr>
          <w:rFonts w:ascii="仿宋_GB2312" w:eastAsia="仿宋_GB2312" w:hAnsi="仿宋_GB2312" w:cs="仿宋_GB2312" w:hint="eastAsia"/>
          <w:sz w:val="28"/>
          <w:szCs w:val="28"/>
          <w:lang w:eastAsia="zh-CN"/>
        </w:rPr>
        <w:t>可仅为本合同目的向其确有知悉必要的人员披露对方提供的保密资料，但同时须指示其人员遵守本条规定的保密及不披露义务</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乙方应</w:t>
      </w:r>
      <w:r>
        <w:rPr>
          <w:rFonts w:ascii="仿宋_GB2312" w:eastAsia="仿宋_GB2312" w:hAnsi="仿宋_GB2312" w:cs="仿宋_GB2312" w:hint="eastAsia"/>
          <w:sz w:val="28"/>
          <w:szCs w:val="28"/>
          <w:lang w:eastAsia="zh-CN"/>
        </w:rPr>
        <w:t>仅为本合同目的而复制和使用保密资料</w:t>
      </w:r>
      <w:r>
        <w:rPr>
          <w:rFonts w:ascii="仿宋_GB2312" w:eastAsia="仿宋_GB2312" w:hAnsi="仿宋_GB2312" w:cs="仿宋_GB2312" w:hint="eastAsia"/>
          <w:sz w:val="28"/>
          <w:szCs w:val="28"/>
          <w:lang w:eastAsia="zh-CN"/>
        </w:rPr>
        <w:t>。</w:t>
      </w:r>
    </w:p>
    <w:p w14:paraId="2FEA3C90">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在编制标底或预算时，必须调整材料或设备品质等级要求时，除非有甲方的书面通知，否则由乙方承担全部责任</w:t>
      </w:r>
      <w:r>
        <w:rPr>
          <w:rFonts w:ascii="仿宋_GB2312" w:eastAsia="仿宋_GB2312" w:hAnsi="仿宋_GB2312" w:cs="仿宋_GB2312" w:hint="eastAsia"/>
          <w:sz w:val="28"/>
          <w:szCs w:val="28"/>
          <w:lang w:eastAsia="zh-CN"/>
        </w:rPr>
        <w:t>。</w:t>
      </w:r>
    </w:p>
    <w:p w14:paraId="1B7FDFF5">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协助甲方编制招标文件</w:t>
      </w:r>
      <w:r>
        <w:rPr>
          <w:rFonts w:ascii="仿宋_GB2312" w:eastAsia="仿宋_GB2312" w:hAnsi="仿宋_GB2312" w:cs="仿宋_GB2312" w:hint="eastAsia"/>
          <w:sz w:val="28"/>
          <w:szCs w:val="28"/>
          <w:lang w:eastAsia="zh-CN"/>
        </w:rPr>
        <w:t>。</w:t>
      </w:r>
    </w:p>
    <w:p w14:paraId="62EC5A71">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派乙方工作人员参加甲方召开的招标答疑会</w:t>
      </w:r>
      <w:r>
        <w:rPr>
          <w:rFonts w:ascii="仿宋_GB2312" w:eastAsia="仿宋_GB2312" w:hAnsi="仿宋_GB2312" w:cs="仿宋_GB2312" w:hint="eastAsia"/>
          <w:sz w:val="28"/>
          <w:szCs w:val="28"/>
          <w:lang w:eastAsia="zh-CN"/>
        </w:rPr>
        <w:t>。</w:t>
      </w:r>
    </w:p>
    <w:p w14:paraId="17769775">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根据需要派乙方工作人员进行施工现场计量</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复核、监督</w:t>
      </w:r>
      <w:r>
        <w:rPr>
          <w:rFonts w:ascii="仿宋_GB2312" w:eastAsia="仿宋_GB2312" w:hAnsi="仿宋_GB2312" w:cs="仿宋_GB2312" w:hint="eastAsia"/>
          <w:sz w:val="28"/>
          <w:szCs w:val="28"/>
          <w:lang w:eastAsia="zh-CN"/>
        </w:rPr>
        <w:t>工作</w:t>
      </w:r>
      <w:r>
        <w:rPr>
          <w:rFonts w:ascii="仿宋_GB2312" w:eastAsia="仿宋_GB2312" w:hAnsi="仿宋_GB2312" w:cs="仿宋_GB2312" w:hint="eastAsia"/>
          <w:sz w:val="28"/>
          <w:szCs w:val="28"/>
          <w:lang w:eastAsia="zh-CN"/>
        </w:rPr>
        <w:t>。</w:t>
      </w:r>
    </w:p>
    <w:p w14:paraId="15493C0C">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本合同服务期间，乙方应保证每个项目至少安排1名造价咨询人员驻场办公，驻场人员须经甲方面试考核通过后方可正式进驻项目现场。如拟派人员经面试后不满足甲方要求的，乙方须无条件更换直至甲方认可为止。驻场服务的起始时间以甲方书面通知为准。乙方在收到甲方驻场通知后，应于[3]个工作日内安排符合条件的驻场人员到位。</w:t>
      </w:r>
    </w:p>
    <w:p w14:paraId="2A767335">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按相关审核机构有关要求整理汇总预算、标底、结算资料，配合相关审核部门审核标底、竣工结算及其它相关事宜</w:t>
      </w:r>
      <w:r>
        <w:rPr>
          <w:rFonts w:ascii="仿宋_GB2312" w:eastAsia="仿宋_GB2312" w:hAnsi="仿宋_GB2312" w:cs="仿宋_GB2312" w:hint="eastAsia"/>
          <w:sz w:val="28"/>
          <w:szCs w:val="28"/>
          <w:lang w:eastAsia="zh-CN"/>
        </w:rPr>
        <w:t>。</w:t>
      </w:r>
    </w:p>
    <w:p w14:paraId="0B73C56B">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乙方参与本项目的工作人员若与本项目承包单位的员工有亲属关系或有相关利害关系的，必须主动提出回避，若不予回避的，若被甲方发现，将记入不良履约行为记录。</w:t>
      </w:r>
    </w:p>
    <w:p w14:paraId="6382C924">
      <w:pPr>
        <w:keepNext w:val="0"/>
        <w:keepLines w:val="0"/>
        <w:pageBreakBefore w:val="0"/>
        <w:widowControl/>
        <w:numPr>
          <w:ilvl w:val="0"/>
          <w:numId w:val="11"/>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乙方承诺按照法律规定及本合同约定，完成合同范围内全过程造价咨询服务，不得违反转包</w:t>
      </w:r>
      <w:r>
        <w:rPr>
          <w:rFonts w:ascii="仿宋_GB2312" w:eastAsia="仿宋_GB2312" w:hAnsi="仿宋_GB2312" w:cs="仿宋_GB2312" w:hint="eastAsia"/>
          <w:sz w:val="28"/>
          <w:szCs w:val="28"/>
          <w:lang w:eastAsia="zh-CN"/>
        </w:rPr>
        <w:t>或</w:t>
      </w:r>
      <w:r>
        <w:rPr>
          <w:rFonts w:ascii="仿宋_GB2312" w:eastAsia="仿宋_GB2312" w:hAnsi="仿宋_GB2312" w:cs="仿宋_GB2312" w:hint="eastAsia"/>
          <w:sz w:val="28"/>
          <w:szCs w:val="28"/>
          <w:lang w:eastAsia="zh-CN"/>
        </w:rPr>
        <w:t>分包本合同项下的造价咨询服务工作。</w:t>
      </w:r>
    </w:p>
    <w:p w14:paraId="32191E8B">
      <w:pPr>
        <w:widowControl/>
        <w:numPr>
          <w:ilvl w:val="0"/>
          <w:numId w:val="11"/>
        </w:numPr>
        <w:snapToGrid w:val="0"/>
        <w:spacing w:line="360" w:lineRule="auto"/>
        <w:ind w:left="0" w:firstLine="560" w:firstLineChars="200"/>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本项目为（按项目类型进行勾选）：</w:t>
      </w:r>
    </w:p>
    <w:p w14:paraId="517FD886">
      <w:pPr>
        <w:widowControl/>
        <w:numPr>
          <w:ilvl w:val="12"/>
          <w:numId w:val="0"/>
        </w:numPr>
        <w:snapToGrid w:val="0"/>
        <w:spacing w:line="360" w:lineRule="auto"/>
        <w:ind w:left="0" w:firstLine="560" w:leftChars="0" w:firstLineChars="200"/>
        <w:jc w:val="both"/>
        <w:rPr>
          <w:rFonts w:ascii="仿宋_GB2312" w:eastAsia="仿宋_GB2312" w:hAnsi="仿宋_GB2312" w:cs="仿宋_GB2312" w:hint="eastAsia"/>
          <w:sz w:val="28"/>
          <w:szCs w:val="28"/>
          <w:lang w:eastAsia="zh-CN"/>
        </w:rPr>
      </w:pPr>
      <w:r>
        <w:rPr>
          <w:rFonts w:ascii="Wingdings" w:eastAsia="仿宋_GB2312" w:hAnsi="Wingdings" w:cs="仿宋_GB2312"/>
          <w:sz w:val="28"/>
          <w:szCs w:val="28"/>
          <w:lang w:eastAsia="zh-CN"/>
        </w:rPr>
        <w:sym w:font="Wingdings" w:char="F0A8"/>
      </w:r>
      <w:r>
        <w:rPr>
          <w:rFonts w:ascii="仿宋_GB2312" w:eastAsia="仿宋_GB2312" w:hAnsi="仿宋_GB2312" w:cs="仿宋_GB2312" w:hint="eastAsia"/>
          <w:sz w:val="28"/>
          <w:szCs w:val="28"/>
          <w:lang w:eastAsia="zh-CN"/>
        </w:rPr>
        <w:t>代建项目：本项目为代建项目，建设单位为             ，代建单位为深圳市龙新开发建设有限公司（即委托方）。每次付款前，</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需向代建单位提交付款申请资料，代建单位应对支付申请是否符合本合同约定以及所附证明资料是否完整进行审查，提出意见并报送建设单位最终审定。如因</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提交资料不全造成审批时限逾期，相关责任由</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自行承担。</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根据审定金额开具合法的符合建设单位财务要求的增值税发票送交代建单位，发票抬头为               ，代建单位收到合法发票审核无误后报建设单位，建设单位收到完整发票后向</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付款，或由建设单位向代建单位支付后，再由代建单位向</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支付。代建单位协助</w:t>
      </w:r>
      <w:r>
        <w:rPr>
          <w:rFonts w:ascii="仿宋_GB2312" w:eastAsia="仿宋_GB2312" w:hAnsi="仿宋_GB2312" w:cs="仿宋_GB2312" w:hint="eastAsia"/>
          <w:sz w:val="28"/>
          <w:szCs w:val="28"/>
          <w:lang w:eastAsia="zh-CN"/>
        </w:rPr>
        <w:t>造价咨询单位</w:t>
      </w:r>
      <w:r>
        <w:rPr>
          <w:rFonts w:ascii="仿宋_GB2312" w:eastAsia="仿宋_GB2312" w:hAnsi="仿宋_GB2312" w:cs="仿宋_GB2312" w:hint="eastAsia"/>
          <w:sz w:val="28"/>
          <w:szCs w:val="28"/>
          <w:lang w:eastAsia="zh-CN"/>
        </w:rPr>
        <w:t>向建设单位请款，但不承担垫付义务。</w:t>
      </w:r>
    </w:p>
    <w:p w14:paraId="1016389A">
      <w:pPr>
        <w:widowControl/>
        <w:numPr>
          <w:ilvl w:val="12"/>
          <w:numId w:val="0"/>
        </w:numPr>
        <w:snapToGrid w:val="0"/>
        <w:spacing w:line="360" w:lineRule="auto"/>
        <w:ind w:left="0" w:firstLine="560" w:leftChars="0" w:firstLineChars="200"/>
        <w:jc w:val="both"/>
        <w:rPr>
          <w:rFonts w:ascii="仿宋_GB2312" w:eastAsia="仿宋_GB2312" w:hAnsi="仿宋_GB2312" w:cs="仿宋_GB2312" w:hint="eastAsia"/>
          <w:sz w:val="28"/>
          <w:szCs w:val="28"/>
          <w:lang w:eastAsia="zh-CN"/>
        </w:rPr>
      </w:pPr>
      <w:r>
        <w:rPr>
          <w:rFonts w:ascii="Wingdings" w:eastAsia="仿宋_GB2312" w:hAnsi="Wingdings" w:cs="仿宋_GB2312"/>
          <w:sz w:val="28"/>
          <w:szCs w:val="28"/>
          <w:lang w:eastAsia="zh-CN"/>
        </w:rPr>
        <w:sym w:font="Wingdings" w:char="F0A8"/>
      </w:r>
      <w:r>
        <w:rPr>
          <w:rFonts w:ascii="仿宋_GB2312" w:eastAsia="仿宋_GB2312" w:hAnsi="仿宋_GB2312" w:cs="仿宋_GB2312" w:hint="eastAsia"/>
          <w:sz w:val="28"/>
          <w:szCs w:val="28"/>
          <w:lang w:eastAsia="zh-CN"/>
        </w:rPr>
        <w:t>自投项目：每次付款前，乙方需向甲方提交付款申请资料，如因乙方提交资料不全造成审批时限逾期，相关责任由乙方自行承担。乙方根据审定金额开具合法的符合甲方财务要求的增值税发票送交甲方。若乙方未按时提交申请或增值税发票资料或提交的申请或增值税发票资料不符合甲方要求的，甲方有权暂缓支付且不对延期付款承担任何责任。</w:t>
      </w:r>
    </w:p>
    <w:p w14:paraId="643E11C3">
      <w:pPr>
        <w:keepNext w:val="0"/>
        <w:keepLines w:val="0"/>
        <w:pageBreakBefore w:val="0"/>
        <w:widowControl w:val="0"/>
        <w:numPr>
          <w:ilvl w:val="0"/>
          <w:numId w:val="11"/>
        </w:numPr>
        <w:kinsoku/>
        <w:wordWrap/>
        <w:overflowPunct/>
        <w:topLinePunct w:val="0"/>
        <w:autoSpaceDE/>
        <w:autoSpaceDN/>
        <w:bidi w:val="0"/>
        <w:adjustRightInd/>
        <w:snapToGrid/>
        <w:spacing w:after="120"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乙方指定收款账户信息：</w:t>
      </w:r>
    </w:p>
    <w:p w14:paraId="049DCDA1">
      <w:pPr>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left="0" w:firstLine="56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账户名称：</w:t>
      </w:r>
    </w:p>
    <w:p w14:paraId="4C598284">
      <w:pPr>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left="0" w:firstLine="56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开户行：</w:t>
      </w:r>
    </w:p>
    <w:p w14:paraId="33F4E93F">
      <w:pPr>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left="0" w:firstLine="560" w:firstLineChars="200"/>
        <w:jc w:val="both"/>
        <w:textAlignment w:val="auto"/>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银行账号：</w:t>
      </w:r>
    </w:p>
    <w:p w14:paraId="2F4D38BD">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九、支付细则</w:t>
      </w:r>
    </w:p>
    <w:p w14:paraId="4154E7BF">
      <w:pPr>
        <w:widowControl w:val="0"/>
        <w:adjustRightInd w:val="0"/>
        <w:spacing w:line="360" w:lineRule="auto"/>
        <w:ind w:firstLine="560" w:firstLineChars="200"/>
        <w:jc w:val="both"/>
        <w:textAlignment w:val="baseline"/>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合同金额中85%为基本酬金，15%为绩效酬金；绩效酬金根据最近一期项目节点履约评价结果计算，与当期基本酬金同期同比例进行预付，结算时按项目完成履约评价结果进行计算调整。</w:t>
      </w:r>
    </w:p>
    <w:p w14:paraId="14717C8D">
      <w:pPr>
        <w:widowControl w:val="0"/>
        <w:adjustRightInd w:val="0"/>
        <w:spacing w:line="360" w:lineRule="auto"/>
        <w:ind w:firstLine="560" w:firstLineChars="200"/>
        <w:jc w:val="both"/>
        <w:textAlignment w:val="baseline"/>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基本酬金的支付：</w:t>
      </w:r>
    </w:p>
    <w:p w14:paraId="55942DFF">
      <w:pPr>
        <w:widowControl w:val="0"/>
        <w:numPr>
          <w:ilvl w:val="0"/>
          <w:numId w:val="12"/>
        </w:numPr>
        <w:adjustRightInd w:val="0"/>
        <w:spacing w:line="360" w:lineRule="auto"/>
        <w:ind w:firstLine="560" w:firstLineChars="200"/>
        <w:jc w:val="both"/>
        <w:textAlignment w:val="baseline"/>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签订合同</w:t>
      </w:r>
    </w:p>
    <w:p w14:paraId="60268562">
      <w:pPr>
        <w:widowControl w:val="0"/>
        <w:numPr>
          <w:ilvl w:val="0"/>
          <w:numId w:val="0"/>
        </w:numPr>
        <w:adjustRightInd w:val="0"/>
        <w:spacing w:line="360" w:lineRule="auto"/>
        <w:ind w:left="0" w:firstLine="560" w:firstLineChars="200"/>
        <w:jc w:val="both"/>
        <w:textAlignment w:val="baseline"/>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1.签订合同后15日内，支付合同</w:t>
      </w:r>
      <w:r>
        <w:rPr>
          <w:rFonts w:ascii="仿宋_GB2312" w:eastAsia="仿宋_GB2312" w:hAnsi="仿宋_GB2312" w:cs="仿宋_GB2312" w:hint="eastAsia"/>
          <w:sz w:val="28"/>
          <w:szCs w:val="28"/>
          <w:lang w:eastAsia="zh-CN"/>
        </w:rPr>
        <w:t>金额</w:t>
      </w:r>
      <w:r>
        <w:rPr>
          <w:rFonts w:ascii="仿宋_GB2312" w:eastAsia="仿宋_GB2312" w:hAnsi="仿宋_GB2312" w:cs="仿宋_GB2312" w:hint="eastAsia"/>
          <w:sz w:val="28"/>
          <w:szCs w:val="28"/>
          <w:lang w:eastAsia="zh-CN"/>
        </w:rPr>
        <w:t>基本酬金的10</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p>
    <w:p w14:paraId="5095EB06">
      <w:pPr>
        <w:widowControl w:val="0"/>
        <w:adjustRightInd w:val="0"/>
        <w:spacing w:line="360" w:lineRule="auto"/>
        <w:ind w:firstLine="560" w:firstLineChars="200"/>
        <w:jc w:val="both"/>
        <w:textAlignment w:val="baseline"/>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（二）前期及施工过程阶段</w:t>
      </w:r>
    </w:p>
    <w:p w14:paraId="641A5D4A">
      <w:pPr>
        <w:keepNext w:val="0"/>
        <w:keepLines w:val="0"/>
        <w:pageBreakBefore w:val="0"/>
        <w:widowControl/>
        <w:numPr>
          <w:ilvl w:val="12"/>
          <w:numId w:val="0"/>
        </w:numPr>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本项目概算批复后，支付</w:t>
      </w:r>
      <w:r>
        <w:rPr>
          <w:rFonts w:ascii="仿宋_GB2312" w:eastAsia="仿宋_GB2312" w:hAnsi="仿宋_GB2312" w:cs="仿宋_GB2312" w:hint="eastAsia"/>
          <w:sz w:val="28"/>
          <w:szCs w:val="28"/>
          <w:lang w:eastAsia="zh-CN"/>
        </w:rPr>
        <w:t>至合同</w:t>
      </w:r>
      <w:r>
        <w:rPr>
          <w:rFonts w:ascii="仿宋_GB2312" w:eastAsia="仿宋_GB2312" w:hAnsi="仿宋_GB2312" w:cs="仿宋_GB2312" w:hint="eastAsia"/>
          <w:sz w:val="28"/>
          <w:szCs w:val="28"/>
          <w:lang w:eastAsia="zh-CN"/>
        </w:rPr>
        <w:t>金额</w:t>
      </w:r>
      <w:r>
        <w:rPr>
          <w:rFonts w:ascii="仿宋_GB2312" w:eastAsia="仿宋_GB2312" w:hAnsi="仿宋_GB2312" w:cs="仿宋_GB2312" w:hint="eastAsia"/>
          <w:sz w:val="28"/>
          <w:szCs w:val="28"/>
          <w:lang w:eastAsia="zh-CN"/>
        </w:rPr>
        <w:t>基本酬金的20</w:t>
      </w:r>
      <w:r>
        <w:rPr>
          <w:rFonts w:ascii="仿宋_GB2312" w:eastAsia="仿宋_GB2312" w:hAnsi="仿宋_GB2312" w:cs="仿宋_GB2312" w:hint="eastAsia"/>
          <w:sz w:val="28"/>
          <w:szCs w:val="28"/>
          <w:lang w:eastAsia="zh-CN"/>
        </w:rPr>
        <w:t>%；</w:t>
      </w:r>
    </w:p>
    <w:p w14:paraId="4C7E1012">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施工</w:t>
      </w:r>
      <w:r>
        <w:rPr>
          <w:rFonts w:ascii="仿宋_GB2312" w:eastAsia="仿宋_GB2312" w:hAnsi="仿宋_GB2312" w:cs="仿宋_GB2312" w:hint="eastAsia"/>
          <w:sz w:val="28"/>
          <w:szCs w:val="28"/>
          <w:lang w:eastAsia="zh-CN"/>
        </w:rPr>
        <w:t>总承包</w:t>
      </w:r>
      <w:r>
        <w:rPr>
          <w:rFonts w:ascii="仿宋_GB2312" w:eastAsia="仿宋_GB2312" w:hAnsi="仿宋_GB2312" w:cs="仿宋_GB2312" w:hint="eastAsia"/>
          <w:sz w:val="28"/>
          <w:szCs w:val="28"/>
          <w:lang w:eastAsia="zh-CN"/>
        </w:rPr>
        <w:t>招标完毕</w:t>
      </w:r>
      <w:r>
        <w:rPr>
          <w:rFonts w:ascii="仿宋_GB2312" w:eastAsia="仿宋_GB2312" w:hAnsi="仿宋_GB2312" w:cs="仿宋_GB2312" w:hint="eastAsia"/>
          <w:sz w:val="28"/>
          <w:szCs w:val="28"/>
          <w:lang w:eastAsia="zh-CN"/>
        </w:rPr>
        <w:t>后</w:t>
      </w:r>
      <w:r>
        <w:rPr>
          <w:rFonts w:ascii="仿宋_GB2312" w:eastAsia="仿宋_GB2312" w:hAnsi="仿宋_GB2312" w:cs="仿宋_GB2312" w:hint="eastAsia"/>
          <w:sz w:val="28"/>
          <w:szCs w:val="28"/>
          <w:lang w:eastAsia="zh-CN"/>
        </w:rPr>
        <w:t>，支付</w:t>
      </w:r>
      <w:r>
        <w:rPr>
          <w:rFonts w:ascii="仿宋_GB2312" w:eastAsia="仿宋_GB2312" w:hAnsi="仿宋_GB2312" w:cs="仿宋_GB2312" w:hint="eastAsia"/>
          <w:sz w:val="28"/>
          <w:szCs w:val="28"/>
          <w:lang w:eastAsia="zh-CN"/>
        </w:rPr>
        <w:t>至合同</w:t>
      </w:r>
      <w:r>
        <w:rPr>
          <w:rFonts w:ascii="仿宋_GB2312" w:eastAsia="仿宋_GB2312" w:hAnsi="仿宋_GB2312" w:cs="仿宋_GB2312" w:hint="eastAsia"/>
          <w:sz w:val="28"/>
          <w:szCs w:val="28"/>
          <w:lang w:eastAsia="zh-CN"/>
        </w:rPr>
        <w:t>金额</w:t>
      </w:r>
      <w:r>
        <w:rPr>
          <w:rFonts w:ascii="仿宋_GB2312" w:eastAsia="仿宋_GB2312" w:hAnsi="仿宋_GB2312" w:cs="仿宋_GB2312" w:hint="eastAsia"/>
          <w:sz w:val="28"/>
          <w:szCs w:val="28"/>
          <w:lang w:eastAsia="zh-CN"/>
        </w:rPr>
        <w:t>基本酬金</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40</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p>
    <w:p w14:paraId="2F6FBCBF">
      <w:pPr>
        <w:widowControl/>
        <w:snapToGrid w:val="0"/>
        <w:spacing w:line="360" w:lineRule="auto"/>
        <w:ind w:firstLine="560" w:firstLineChars="200"/>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（三）结算阶段</w:t>
      </w:r>
    </w:p>
    <w:p w14:paraId="70CF5158">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1.施工总承包工程完成结算审核（与施工总承包单位</w:t>
      </w:r>
      <w:r>
        <w:rPr>
          <w:rFonts w:ascii="仿宋_GB2312" w:eastAsia="仿宋_GB2312" w:hAnsi="仿宋_GB2312" w:cs="仿宋_GB2312" w:hint="eastAsia"/>
          <w:sz w:val="28"/>
          <w:szCs w:val="28"/>
          <w:lang w:eastAsia="zh-CN"/>
        </w:rPr>
        <w:t>完成核量、核价确认达成一致</w:t>
      </w:r>
      <w:r>
        <w:rPr>
          <w:rFonts w:ascii="仿宋_GB2312" w:eastAsia="仿宋_GB2312" w:hAnsi="仿宋_GB2312" w:cs="仿宋_GB2312" w:hint="eastAsia"/>
          <w:sz w:val="28"/>
          <w:szCs w:val="28"/>
          <w:lang w:eastAsia="zh-CN"/>
        </w:rPr>
        <w:t>）且经甲方确认后</w:t>
      </w:r>
      <w:r>
        <w:rPr>
          <w:rFonts w:ascii="仿宋_GB2312" w:eastAsia="仿宋_GB2312" w:hAnsi="仿宋_GB2312" w:cs="仿宋_GB2312" w:hint="eastAsia"/>
          <w:sz w:val="28"/>
          <w:szCs w:val="28"/>
          <w:lang w:eastAsia="zh-CN"/>
        </w:rPr>
        <w:t>，支付</w:t>
      </w:r>
      <w:r>
        <w:rPr>
          <w:rFonts w:ascii="仿宋_GB2312" w:eastAsia="仿宋_GB2312" w:hAnsi="仿宋_GB2312" w:cs="仿宋_GB2312" w:hint="eastAsia"/>
          <w:sz w:val="28"/>
          <w:szCs w:val="28"/>
          <w:lang w:eastAsia="zh-CN"/>
        </w:rPr>
        <w:t>至合同</w:t>
      </w:r>
      <w:r>
        <w:rPr>
          <w:rFonts w:ascii="仿宋_GB2312" w:eastAsia="仿宋_GB2312" w:hAnsi="仿宋_GB2312" w:cs="仿宋_GB2312" w:hint="eastAsia"/>
          <w:sz w:val="28"/>
          <w:szCs w:val="28"/>
          <w:lang w:eastAsia="zh-CN"/>
        </w:rPr>
        <w:t>金额</w:t>
      </w:r>
      <w:r>
        <w:rPr>
          <w:rFonts w:ascii="仿宋_GB2312" w:eastAsia="仿宋_GB2312" w:hAnsi="仿宋_GB2312" w:cs="仿宋_GB2312" w:hint="eastAsia"/>
          <w:sz w:val="28"/>
          <w:szCs w:val="28"/>
          <w:lang w:eastAsia="zh-CN"/>
        </w:rPr>
        <w:t>基本酬金</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80</w:t>
      </w:r>
      <w:r>
        <w:rPr>
          <w:rFonts w:ascii="仿宋_GB2312" w:eastAsia="仿宋_GB2312" w:hAnsi="仿宋_GB2312" w:cs="仿宋_GB2312" w:hint="eastAsia"/>
          <w:sz w:val="28"/>
          <w:szCs w:val="28"/>
          <w:lang w:eastAsia="zh-CN"/>
        </w:rPr>
        <w:t>%；</w:t>
      </w:r>
    </w:p>
    <w:p w14:paraId="04EFBDD9">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全部专业</w:t>
      </w:r>
      <w:r>
        <w:rPr>
          <w:rFonts w:ascii="仿宋_GB2312" w:eastAsia="仿宋_GB2312" w:hAnsi="仿宋_GB2312" w:cs="仿宋_GB2312" w:hint="eastAsia"/>
          <w:sz w:val="28"/>
          <w:szCs w:val="28"/>
          <w:lang w:eastAsia="zh-CN"/>
        </w:rPr>
        <w:t>服务合同完成结算审核（与专业服务单位</w:t>
      </w:r>
      <w:r>
        <w:rPr>
          <w:rFonts w:ascii="仿宋_GB2312" w:eastAsia="仿宋_GB2312" w:hAnsi="仿宋_GB2312" w:cs="仿宋_GB2312" w:hint="eastAsia"/>
          <w:sz w:val="28"/>
          <w:szCs w:val="28"/>
          <w:lang w:eastAsia="zh-CN"/>
        </w:rPr>
        <w:t>完成核量、核价确认达成一致</w:t>
      </w:r>
      <w:r>
        <w:rPr>
          <w:rFonts w:ascii="仿宋_GB2312" w:eastAsia="仿宋_GB2312" w:hAnsi="仿宋_GB2312" w:cs="仿宋_GB2312" w:hint="eastAsia"/>
          <w:sz w:val="28"/>
          <w:szCs w:val="28"/>
          <w:lang w:eastAsia="zh-CN"/>
        </w:rPr>
        <w:t>）且经甲方确认后</w:t>
      </w:r>
      <w:r>
        <w:rPr>
          <w:rFonts w:ascii="仿宋_GB2312" w:eastAsia="仿宋_GB2312" w:hAnsi="仿宋_GB2312" w:cs="仿宋_GB2312" w:hint="eastAsia"/>
          <w:sz w:val="28"/>
          <w:szCs w:val="28"/>
          <w:lang w:eastAsia="zh-CN"/>
        </w:rPr>
        <w:t>，支付</w:t>
      </w:r>
      <w:r>
        <w:rPr>
          <w:rFonts w:ascii="仿宋_GB2312" w:eastAsia="仿宋_GB2312" w:hAnsi="仿宋_GB2312" w:cs="仿宋_GB2312" w:hint="eastAsia"/>
          <w:sz w:val="28"/>
          <w:szCs w:val="28"/>
          <w:lang w:eastAsia="zh-CN"/>
        </w:rPr>
        <w:t>至合同</w:t>
      </w:r>
      <w:r>
        <w:rPr>
          <w:rFonts w:ascii="仿宋_GB2312" w:eastAsia="仿宋_GB2312" w:hAnsi="仿宋_GB2312" w:cs="仿宋_GB2312" w:hint="eastAsia"/>
          <w:sz w:val="28"/>
          <w:szCs w:val="28"/>
          <w:lang w:eastAsia="zh-CN"/>
        </w:rPr>
        <w:t>金额</w:t>
      </w:r>
      <w:r>
        <w:rPr>
          <w:rFonts w:ascii="仿宋_GB2312" w:eastAsia="仿宋_GB2312" w:hAnsi="仿宋_GB2312" w:cs="仿宋_GB2312" w:hint="eastAsia"/>
          <w:sz w:val="28"/>
          <w:szCs w:val="28"/>
          <w:lang w:eastAsia="zh-CN"/>
        </w:rPr>
        <w:t>基本酬金</w:t>
      </w:r>
      <w:r>
        <w:rPr>
          <w:rFonts w:ascii="仿宋_GB2312" w:eastAsia="仿宋_GB2312" w:hAnsi="仿宋_GB2312" w:cs="仿宋_GB2312" w:hint="eastAsia"/>
          <w:sz w:val="28"/>
          <w:szCs w:val="28"/>
          <w:lang w:eastAsia="zh-CN"/>
        </w:rPr>
        <w:t>的</w:t>
      </w:r>
      <w:r>
        <w:rPr>
          <w:rFonts w:ascii="仿宋_GB2312" w:eastAsia="仿宋_GB2312" w:hAnsi="仿宋_GB2312" w:cs="仿宋_GB2312" w:hint="eastAsia"/>
          <w:sz w:val="28"/>
          <w:szCs w:val="28"/>
          <w:lang w:eastAsia="zh-CN"/>
        </w:rPr>
        <w:t>85</w:t>
      </w:r>
      <w:r>
        <w:rPr>
          <w:rFonts w:ascii="仿宋_GB2312" w:eastAsia="仿宋_GB2312" w:hAnsi="仿宋_GB2312" w:cs="仿宋_GB2312" w:hint="eastAsia"/>
          <w:sz w:val="28"/>
          <w:szCs w:val="28"/>
          <w:lang w:eastAsia="zh-CN"/>
        </w:rPr>
        <w:t>%；</w:t>
      </w:r>
    </w:p>
    <w:p w14:paraId="7387CEA1">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3.本项目</w:t>
      </w:r>
      <w:r>
        <w:rPr>
          <w:rFonts w:ascii="仿宋_GB2312" w:eastAsia="仿宋_GB2312" w:hAnsi="仿宋_GB2312" w:cs="仿宋_GB2312" w:hint="eastAsia"/>
          <w:sz w:val="28"/>
          <w:szCs w:val="28"/>
          <w:lang w:eastAsia="zh-CN"/>
        </w:rPr>
        <w:t>工程</w:t>
      </w:r>
      <w:r>
        <w:rPr>
          <w:rFonts w:ascii="仿宋_GB2312" w:eastAsia="仿宋_GB2312" w:hAnsi="仿宋_GB2312" w:cs="仿宋_GB2312" w:hint="eastAsia"/>
          <w:sz w:val="28"/>
          <w:szCs w:val="28"/>
          <w:lang w:eastAsia="zh-CN"/>
        </w:rPr>
        <w:t>结算审计完成且本合同结算办理完毕后</w:t>
      </w:r>
      <w:r>
        <w:rPr>
          <w:rFonts w:ascii="仿宋_GB2312" w:eastAsia="仿宋_GB2312" w:hAnsi="仿宋_GB2312" w:cs="仿宋_GB2312" w:hint="eastAsia"/>
          <w:sz w:val="28"/>
          <w:szCs w:val="28"/>
          <w:lang w:eastAsia="zh-CN"/>
        </w:rPr>
        <w:t>，支付</w:t>
      </w:r>
      <w:r>
        <w:rPr>
          <w:rFonts w:ascii="仿宋_GB2312" w:eastAsia="仿宋_GB2312" w:hAnsi="仿宋_GB2312" w:cs="仿宋_GB2312" w:hint="eastAsia"/>
          <w:sz w:val="28"/>
          <w:szCs w:val="28"/>
          <w:lang w:eastAsia="zh-CN"/>
        </w:rPr>
        <w:t>合同</w:t>
      </w:r>
      <w:r>
        <w:rPr>
          <w:rFonts w:ascii="仿宋_GB2312" w:eastAsia="仿宋_GB2312" w:hAnsi="仿宋_GB2312" w:cs="仿宋_GB2312" w:hint="eastAsia"/>
          <w:sz w:val="28"/>
          <w:szCs w:val="28"/>
          <w:lang w:eastAsia="zh-CN"/>
        </w:rPr>
        <w:t>剩余</w:t>
      </w:r>
      <w:r>
        <w:rPr>
          <w:rFonts w:ascii="仿宋_GB2312" w:eastAsia="仿宋_GB2312" w:hAnsi="仿宋_GB2312" w:cs="仿宋_GB2312" w:hint="eastAsia"/>
          <w:sz w:val="28"/>
          <w:szCs w:val="28"/>
          <w:lang w:eastAsia="zh-CN"/>
        </w:rPr>
        <w:t>费用。</w:t>
      </w:r>
    </w:p>
    <w:p w14:paraId="21C4CD36">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（四）其他约定</w:t>
      </w:r>
    </w:p>
    <w:p w14:paraId="150F48CC">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乙方每次申请付款前，应向甲方提供合法有效的增值税发票，发票项目与服务内容一致。甲方在收到合规发票后按约定付款，因发票问题导致的付款延误，甲方不承担违约责任</w:t>
      </w:r>
      <w:r>
        <w:rPr>
          <w:rFonts w:ascii="仿宋_GB2312" w:eastAsia="仿宋_GB2312" w:hAnsi="仿宋_GB2312" w:cs="仿宋_GB2312" w:hint="eastAsia"/>
          <w:sz w:val="28"/>
          <w:szCs w:val="28"/>
          <w:lang w:eastAsia="zh-CN"/>
        </w:rPr>
        <w:t>。</w:t>
      </w:r>
    </w:p>
    <w:p w14:paraId="4714ABE2">
      <w:pPr>
        <w:keepNext w:val="0"/>
        <w:keepLines w:val="0"/>
        <w:pageBreakBefore w:val="0"/>
        <w:widowControl/>
        <w:numPr>
          <w:ilvl w:val="12"/>
          <w:numId w:val="0"/>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2.若乙方有违反本合同约定相关责任的，甲方经告知乙方后有权从应付乙方的任一期款项中直接扣减违约金。违约金是指乙方违反本合同相关要求及约定所需支付的违约罚金。</w:t>
      </w:r>
    </w:p>
    <w:p w14:paraId="7B8B6BCC">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b/>
          <w:bCs/>
          <w:sz w:val="28"/>
          <w:szCs w:val="28"/>
          <w:lang w:eastAsia="zh-CN"/>
        </w:rPr>
      </w:pPr>
      <w:r>
        <w:rPr>
          <w:rFonts w:ascii="仿宋_GB2312" w:eastAsia="仿宋_GB2312" w:hAnsi="仿宋_GB2312" w:cs="仿宋_GB2312" w:hint="eastAsia"/>
          <w:b/>
          <w:bCs/>
          <w:sz w:val="28"/>
          <w:szCs w:val="28"/>
          <w:lang w:eastAsia="zh-CN"/>
        </w:rPr>
        <w:t>十、知识产权</w:t>
      </w:r>
    </w:p>
    <w:p w14:paraId="4EFD55AF">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提供给</w:t>
      </w:r>
      <w:r>
        <w:rPr>
          <w:rFonts w:ascii="仿宋_GB2312" w:eastAsia="仿宋_GB2312" w:hAnsi="仿宋_GB2312" w:cs="仿宋_GB2312" w:hint="eastAsia"/>
          <w:sz w:val="28"/>
          <w:szCs w:val="28"/>
          <w:lang w:eastAsia="zh-CN"/>
        </w:rPr>
        <w:t>乙</w:t>
      </w:r>
      <w:r>
        <w:rPr>
          <w:rFonts w:ascii="仿宋_GB2312" w:eastAsia="仿宋_GB2312" w:hAnsi="仿宋_GB2312" w:cs="仿宋_GB2312" w:hint="eastAsia"/>
          <w:sz w:val="28"/>
          <w:szCs w:val="28"/>
          <w:lang w:eastAsia="zh-CN"/>
        </w:rPr>
        <w:t>方的图纸、甲方为实施工程自行编制或委托编制的技术规范以及反映甲方要求的其他类似性质文件的著作权属于甲方，乙方可以为实现本合同目的而复制或者以其他方式适用此类文件，但不能用于与本合同无关的其他事项，未经甲方书面同意，乙方不得为了本合同以外的目的而复制或者以其他方式适用上述文件或将之提供给任何第三方。</w:t>
      </w:r>
    </w:p>
    <w:p w14:paraId="2054CBFE">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乙方在各阶段所作出的</w:t>
      </w:r>
      <w:r>
        <w:rPr>
          <w:rFonts w:ascii="仿宋_GB2312" w:eastAsia="仿宋_GB2312" w:hAnsi="仿宋_GB2312" w:cs="仿宋_GB2312" w:hint="eastAsia"/>
          <w:sz w:val="28"/>
          <w:szCs w:val="28"/>
          <w:lang w:eastAsia="zh-CN"/>
        </w:rPr>
        <w:t>服务成果</w:t>
      </w:r>
      <w:r>
        <w:rPr>
          <w:rFonts w:ascii="仿宋_GB2312" w:eastAsia="仿宋_GB2312" w:hAnsi="仿宋_GB2312" w:cs="仿宋_GB2312" w:hint="eastAsia"/>
          <w:sz w:val="28"/>
          <w:szCs w:val="28"/>
          <w:lang w:eastAsia="zh-CN"/>
        </w:rPr>
        <w:t>在向甲方交付并得到甲方认可后，知识产权即</w:t>
      </w:r>
      <w:r>
        <w:rPr>
          <w:rFonts w:ascii="仿宋_GB2312" w:eastAsia="仿宋_GB2312" w:hAnsi="仿宋_GB2312" w:cs="仿宋_GB2312" w:hint="eastAsia"/>
          <w:sz w:val="28"/>
          <w:szCs w:val="28"/>
          <w:lang w:eastAsia="zh-CN"/>
        </w:rPr>
        <w:t>全部</w:t>
      </w:r>
      <w:r>
        <w:rPr>
          <w:rFonts w:ascii="仿宋_GB2312" w:eastAsia="仿宋_GB2312" w:hAnsi="仿宋_GB2312" w:cs="仿宋_GB2312" w:hint="eastAsia"/>
          <w:sz w:val="28"/>
          <w:szCs w:val="28"/>
          <w:lang w:eastAsia="zh-CN"/>
        </w:rPr>
        <w:t>归甲方所有</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乙方不得将本项目的</w:t>
      </w:r>
      <w:r>
        <w:rPr>
          <w:rFonts w:ascii="仿宋_GB2312" w:eastAsia="仿宋_GB2312" w:hAnsi="仿宋_GB2312" w:cs="仿宋_GB2312" w:hint="eastAsia"/>
          <w:sz w:val="28"/>
          <w:szCs w:val="28"/>
          <w:lang w:eastAsia="zh-CN"/>
        </w:rPr>
        <w:t>任何</w:t>
      </w:r>
      <w:r>
        <w:rPr>
          <w:rFonts w:ascii="仿宋_GB2312" w:eastAsia="仿宋_GB2312" w:hAnsi="仿宋_GB2312" w:cs="仿宋_GB2312" w:hint="eastAsia"/>
          <w:sz w:val="28"/>
          <w:szCs w:val="28"/>
          <w:lang w:eastAsia="zh-CN"/>
        </w:rPr>
        <w:t>成果和相关资料在其它项目中使用或泄露或用于任何非本合同之目的</w:t>
      </w:r>
      <w:r>
        <w:rPr>
          <w:rFonts w:ascii="仿宋_GB2312" w:eastAsia="仿宋_GB2312" w:hAnsi="仿宋_GB2312" w:cs="仿宋_GB2312" w:hint="eastAsia"/>
          <w:sz w:val="28"/>
          <w:szCs w:val="28"/>
          <w:lang w:eastAsia="zh-CN"/>
        </w:rPr>
        <w:t>。</w:t>
      </w:r>
    </w:p>
    <w:p w14:paraId="78F3ACBA">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乙方保证在履行本合同过程中不侵犯甲方及第三方的知识产权。因乙方侵犯他人知识产权引起的责任，由乙方承担，如</w:t>
      </w:r>
      <w:r>
        <w:rPr>
          <w:rFonts w:ascii="仿宋_GB2312" w:eastAsia="仿宋_GB2312" w:hAnsi="仿宋_GB2312" w:cs="仿宋_GB2312" w:hint="eastAsia"/>
          <w:sz w:val="28"/>
          <w:szCs w:val="28"/>
          <w:lang w:eastAsia="zh-CN"/>
        </w:rPr>
        <w:t>因此</w:t>
      </w:r>
      <w:r>
        <w:rPr>
          <w:rFonts w:ascii="仿宋_GB2312" w:eastAsia="仿宋_GB2312" w:hAnsi="仿宋_GB2312" w:cs="仿宋_GB2312" w:hint="eastAsia"/>
          <w:sz w:val="28"/>
          <w:szCs w:val="28"/>
          <w:lang w:eastAsia="zh-CN"/>
        </w:rPr>
        <w:t>造成甲方损失的，乙方应予以赔偿。</w:t>
      </w:r>
    </w:p>
    <w:p w14:paraId="3FBA37CA">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b/>
          <w:bCs/>
          <w:sz w:val="28"/>
          <w:szCs w:val="28"/>
          <w:lang w:eastAsia="zh-CN"/>
        </w:rPr>
      </w:pPr>
      <w:r>
        <w:rPr>
          <w:rFonts w:ascii="仿宋_GB2312" w:eastAsia="仿宋_GB2312" w:hAnsi="仿宋_GB2312" w:cs="仿宋_GB2312" w:hint="eastAsia"/>
          <w:b/>
          <w:bCs/>
          <w:sz w:val="28"/>
          <w:szCs w:val="28"/>
          <w:lang w:eastAsia="zh-CN"/>
        </w:rPr>
        <w:t>十、</w:t>
      </w:r>
      <w:r>
        <w:rPr>
          <w:rFonts w:ascii="仿宋_GB2312" w:eastAsia="仿宋_GB2312" w:hAnsi="仿宋_GB2312" w:cs="仿宋_GB2312" w:hint="eastAsia"/>
          <w:b/>
          <w:bCs/>
          <w:sz w:val="28"/>
          <w:szCs w:val="28"/>
          <w:lang w:eastAsia="zh-CN"/>
        </w:rPr>
        <w:t>保密义务</w:t>
      </w:r>
    </w:p>
    <w:p w14:paraId="2FA61873">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一</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乙方（包括其工作人员）保证对在协商、签订、履行本合同过程中所获悉的属于甲方或相关联方的且无法自公开渠道的文件及资料（包括但不限于项目资料、公司计划、运营活动、财务信息、技术信息、经营信息及其他商业秘密）予以保密。未经甲方书面同意，乙方不得向任何第三方泄露该商业秘密的全部或部分内容，也不得用于任何非本合同之目的。上述保密义务，不受本合同有效期限制，在本合同终止或解除之后乙方仍需遵守。</w:t>
      </w:r>
    </w:p>
    <w:p w14:paraId="0FA18E88">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二</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乙方实施本项目的一切程序都应当符合国家安全、保密的有关规定和标准。</w:t>
      </w:r>
    </w:p>
    <w:p w14:paraId="3CCB2433">
      <w:pPr>
        <w:keepNext w:val="0"/>
        <w:keepLines w:val="0"/>
        <w:pageBreakBefore w:val="0"/>
        <w:widowControl/>
        <w:kinsoku/>
        <w:wordWrap/>
        <w:overflowPunct/>
        <w:topLinePunct w:val="0"/>
        <w:autoSpaceDE/>
        <w:autoSpaceDN/>
        <w:bidi w:val="0"/>
        <w:snapToGrid w:val="0"/>
        <w:spacing w:line="360" w:lineRule="auto"/>
        <w:ind w:left="0" w:firstLine="560" w:leftChars="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十一、违约责任</w:t>
      </w:r>
    </w:p>
    <w:p w14:paraId="61F25162">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甲乙</w:t>
      </w:r>
      <w:r>
        <w:rPr>
          <w:rFonts w:ascii="仿宋_GB2312" w:eastAsia="仿宋_GB2312" w:hAnsi="仿宋_GB2312" w:cs="仿宋_GB2312" w:hint="eastAsia"/>
          <w:sz w:val="28"/>
          <w:szCs w:val="28"/>
          <w:lang w:eastAsia="zh-CN"/>
        </w:rPr>
        <w:t>双方应当确保有权签署本合同，或已经获得履行本合同所需要的全部许可和授权。</w:t>
      </w:r>
      <w:r>
        <w:rPr>
          <w:rFonts w:ascii="仿宋_GB2312" w:eastAsia="仿宋_GB2312" w:hAnsi="仿宋_GB2312" w:cs="仿宋_GB2312" w:hint="eastAsia"/>
          <w:sz w:val="28"/>
          <w:szCs w:val="28"/>
          <w:lang w:eastAsia="zh-CN"/>
        </w:rPr>
        <w:t>甲乙</w:t>
      </w:r>
      <w:r>
        <w:rPr>
          <w:rFonts w:ascii="仿宋_GB2312" w:eastAsia="仿宋_GB2312" w:hAnsi="仿宋_GB2312" w:cs="仿宋_GB2312" w:hint="eastAsia"/>
          <w:sz w:val="28"/>
          <w:szCs w:val="28"/>
          <w:lang w:eastAsia="zh-CN"/>
        </w:rPr>
        <w:t>双方应当确保签署本合同符合现行有效的</w:t>
      </w:r>
      <w:r>
        <w:rPr>
          <w:rFonts w:ascii="仿宋_GB2312" w:eastAsia="仿宋_GB2312" w:hAnsi="仿宋_GB2312" w:cs="仿宋_GB2312" w:hint="eastAsia"/>
          <w:sz w:val="28"/>
          <w:szCs w:val="28"/>
          <w:lang w:eastAsia="zh-CN"/>
        </w:rPr>
        <w:t>法律法规</w:t>
      </w:r>
      <w:r>
        <w:rPr>
          <w:rFonts w:ascii="仿宋_GB2312" w:eastAsia="仿宋_GB2312" w:hAnsi="仿宋_GB2312" w:cs="仿宋_GB2312" w:hint="eastAsia"/>
          <w:sz w:val="28"/>
          <w:szCs w:val="28"/>
          <w:lang w:eastAsia="zh-CN"/>
        </w:rPr>
        <w:t>，并不损害任何第三方的合法权益，否则由责任方独立承担全部责任</w:t>
      </w:r>
      <w:r>
        <w:rPr>
          <w:rFonts w:ascii="仿宋_GB2312" w:eastAsia="仿宋_GB2312" w:hAnsi="仿宋_GB2312" w:cs="仿宋_GB2312" w:hint="eastAsia"/>
          <w:sz w:val="28"/>
          <w:szCs w:val="28"/>
          <w:lang w:eastAsia="zh-CN"/>
        </w:rPr>
        <w:t>。</w:t>
      </w:r>
    </w:p>
    <w:p w14:paraId="3B75D008">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本合同生效后，甲乙双方均应当全面履行合同义务。在合同履行过程中，除不可抗力因素外，任何一方不履行或未按本合同约定履行的，均构成违约，违约方应当赔偿因此给守约方造成的全部损失，并按本合同约定承担违约责任</w:t>
      </w:r>
      <w:r>
        <w:rPr>
          <w:rFonts w:ascii="仿宋_GB2312" w:eastAsia="仿宋_GB2312" w:hAnsi="仿宋_GB2312" w:cs="仿宋_GB2312" w:hint="eastAsia"/>
          <w:sz w:val="28"/>
          <w:szCs w:val="28"/>
          <w:lang w:eastAsia="zh-CN"/>
        </w:rPr>
        <w:t>。</w:t>
      </w:r>
    </w:p>
    <w:p w14:paraId="03D2B828">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由于乙方自身原因，延误了按本合同第</w:t>
      </w:r>
      <w:r>
        <w:rPr>
          <w:rFonts w:ascii="仿宋_GB2312" w:eastAsia="仿宋_GB2312" w:hAnsi="仿宋_GB2312" w:cs="仿宋_GB2312" w:hint="eastAsia"/>
          <w:sz w:val="28"/>
          <w:szCs w:val="28"/>
          <w:lang w:eastAsia="zh-CN"/>
        </w:rPr>
        <w:t>四</w:t>
      </w:r>
      <w:r>
        <w:rPr>
          <w:rFonts w:ascii="仿宋_GB2312" w:eastAsia="仿宋_GB2312" w:hAnsi="仿宋_GB2312" w:cs="仿宋_GB2312" w:hint="eastAsia"/>
          <w:sz w:val="28"/>
          <w:szCs w:val="28"/>
          <w:lang w:eastAsia="zh-CN"/>
        </w:rPr>
        <w:t>条</w:t>
      </w:r>
      <w:r>
        <w:rPr>
          <w:rFonts w:ascii="仿宋_GB2312" w:eastAsia="仿宋_GB2312" w:hAnsi="仿宋_GB2312" w:cs="仿宋_GB2312" w:hint="eastAsia"/>
          <w:sz w:val="28"/>
          <w:szCs w:val="28"/>
          <w:lang w:eastAsia="zh-CN"/>
        </w:rPr>
        <w:t>约定</w:t>
      </w:r>
      <w:r>
        <w:rPr>
          <w:rFonts w:ascii="仿宋_GB2312" w:eastAsia="仿宋_GB2312" w:hAnsi="仿宋_GB2312" w:cs="仿宋_GB2312" w:hint="eastAsia"/>
          <w:sz w:val="28"/>
          <w:szCs w:val="28"/>
          <w:lang w:eastAsia="zh-CN"/>
        </w:rPr>
        <w:t>的文件交付时间，每延误一天，应按照</w:t>
      </w:r>
      <w:r>
        <w:rPr>
          <w:rFonts w:ascii="仿宋_GB2312" w:eastAsia="仿宋_GB2312" w:hAnsi="仿宋_GB2312" w:cs="仿宋_GB2312" w:hint="eastAsia"/>
          <w:sz w:val="28"/>
          <w:szCs w:val="28"/>
          <w:lang w:eastAsia="zh-CN"/>
        </w:rPr>
        <w:t>本合同价</w:t>
      </w:r>
      <w:r>
        <w:rPr>
          <w:rFonts w:ascii="仿宋_GB2312" w:eastAsia="仿宋_GB2312" w:hAnsi="仿宋_GB2312" w:cs="仿宋_GB2312" w:hint="eastAsia"/>
          <w:sz w:val="28"/>
          <w:szCs w:val="28"/>
          <w:lang w:eastAsia="zh-CN"/>
        </w:rPr>
        <w:t>的1‰</w:t>
      </w:r>
      <w:r>
        <w:rPr>
          <w:rFonts w:ascii="仿宋_GB2312" w:eastAsia="仿宋_GB2312" w:hAnsi="仿宋_GB2312" w:cs="仿宋_GB2312" w:hint="eastAsia"/>
          <w:sz w:val="28"/>
          <w:szCs w:val="28"/>
          <w:lang w:eastAsia="zh-CN"/>
        </w:rPr>
        <w:t>向甲方支付</w:t>
      </w:r>
      <w:r>
        <w:rPr>
          <w:rFonts w:ascii="仿宋_GB2312" w:eastAsia="仿宋_GB2312" w:hAnsi="仿宋_GB2312" w:cs="仿宋_GB2312" w:hint="eastAsia"/>
          <w:sz w:val="28"/>
          <w:szCs w:val="28"/>
          <w:lang w:eastAsia="zh-CN"/>
        </w:rPr>
        <w:t>违约金。乙方延误超过30日的，甲方有权单方解除本合同，并要求乙方按照本合同价的</w:t>
      </w:r>
      <w:r>
        <w:rPr>
          <w:rFonts w:ascii="仿宋_GB2312" w:eastAsia="仿宋_GB2312" w:hAnsi="仿宋_GB2312" w:cs="仿宋_GB2312" w:hint="eastAsia"/>
          <w:sz w:val="28"/>
          <w:szCs w:val="28"/>
          <w:lang w:eastAsia="zh-CN"/>
        </w:rPr>
        <w:t>20%</w:t>
      </w:r>
      <w:r>
        <w:rPr>
          <w:rFonts w:ascii="仿宋_GB2312" w:eastAsia="仿宋_GB2312" w:hAnsi="仿宋_GB2312" w:cs="仿宋_GB2312" w:hint="eastAsia"/>
          <w:sz w:val="28"/>
          <w:szCs w:val="28"/>
          <w:lang w:eastAsia="zh-CN"/>
        </w:rPr>
        <w:t>支付违约金。前述违约金不足以弥补</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损失的，</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有权向</w:t>
      </w:r>
      <w:r>
        <w:rPr>
          <w:rFonts w:ascii="仿宋_GB2312" w:eastAsia="仿宋_GB2312" w:hAnsi="仿宋_GB2312" w:cs="仿宋_GB2312" w:hint="eastAsia"/>
          <w:sz w:val="28"/>
          <w:szCs w:val="28"/>
          <w:lang w:eastAsia="zh-CN"/>
        </w:rPr>
        <w:t>乙方</w:t>
      </w:r>
      <w:r>
        <w:rPr>
          <w:rFonts w:ascii="仿宋_GB2312" w:eastAsia="仿宋_GB2312" w:hAnsi="仿宋_GB2312" w:cs="仿宋_GB2312" w:hint="eastAsia"/>
          <w:sz w:val="28"/>
          <w:szCs w:val="28"/>
          <w:lang w:eastAsia="zh-CN"/>
        </w:rPr>
        <w:t>继续追偿</w:t>
      </w:r>
      <w:r>
        <w:rPr>
          <w:rFonts w:ascii="仿宋_GB2312" w:eastAsia="仿宋_GB2312" w:hAnsi="仿宋_GB2312" w:cs="仿宋_GB2312" w:hint="eastAsia"/>
          <w:sz w:val="28"/>
          <w:szCs w:val="28"/>
          <w:lang w:eastAsia="zh-CN"/>
        </w:rPr>
        <w:t>。</w:t>
      </w:r>
    </w:p>
    <w:p w14:paraId="775B8019">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报审的概算建安费经甲方认可的</w:t>
      </w:r>
      <w:r>
        <w:rPr>
          <w:rFonts w:ascii="仿宋_GB2312" w:eastAsia="仿宋_GB2312" w:hAnsi="仿宋_GB2312" w:cs="仿宋_GB2312" w:hint="eastAsia"/>
          <w:sz w:val="28"/>
          <w:szCs w:val="28"/>
          <w:lang w:eastAsia="zh-CN"/>
        </w:rPr>
        <w:t>审核部门审定后，根据相关审核部门出具的审计（核）报告中的数据，送审价</w:t>
      </w:r>
      <w:r>
        <w:rPr>
          <w:rFonts w:ascii="仿宋_GB2312" w:eastAsia="仿宋_GB2312" w:hAnsi="仿宋_GB2312" w:cs="仿宋_GB2312" w:hint="eastAsia"/>
          <w:sz w:val="28"/>
          <w:szCs w:val="28"/>
          <w:lang w:eastAsia="zh-CN"/>
        </w:rPr>
        <w:t>超</w:t>
      </w:r>
      <w:r>
        <w:rPr>
          <w:rFonts w:ascii="仿宋_GB2312" w:eastAsia="仿宋_GB2312" w:hAnsi="仿宋_GB2312" w:cs="仿宋_GB2312" w:hint="eastAsia"/>
          <w:sz w:val="28"/>
          <w:szCs w:val="28"/>
          <w:lang w:eastAsia="zh-CN"/>
        </w:rPr>
        <w:t>审定价相差超过</w:t>
      </w:r>
      <w:r>
        <w:rPr>
          <w:rFonts w:ascii="仿宋_GB2312" w:eastAsia="仿宋_GB2312" w:hAnsi="仿宋_GB2312" w:cs="仿宋_GB2312" w:hint="eastAsia"/>
          <w:sz w:val="28"/>
          <w:szCs w:val="28"/>
          <w:lang w:eastAsia="zh-CN"/>
        </w:rPr>
        <w:t>10</w:t>
      </w:r>
      <w:r>
        <w:rPr>
          <w:rFonts w:ascii="仿宋_GB2312" w:eastAsia="仿宋_GB2312" w:hAnsi="仿宋_GB2312" w:cs="仿宋_GB2312" w:hint="eastAsia"/>
          <w:sz w:val="28"/>
          <w:szCs w:val="28"/>
          <w:lang w:eastAsia="zh-CN"/>
        </w:rPr>
        <w:t>%时（非乙方责任除外），每超过1%（不足1%时按1%计），乙方应向甲方以本合同价的</w:t>
      </w:r>
      <w:r>
        <w:rPr>
          <w:rFonts w:ascii="仿宋_GB2312" w:eastAsia="仿宋_GB2312" w:hAnsi="仿宋_GB2312" w:cs="仿宋_GB2312" w:hint="eastAsia"/>
          <w:sz w:val="28"/>
          <w:szCs w:val="28"/>
          <w:lang w:eastAsia="zh-CN"/>
        </w:rPr>
        <w:t>0.5</w:t>
      </w:r>
      <w:r>
        <w:rPr>
          <w:rFonts w:ascii="仿宋_GB2312" w:eastAsia="仿宋_GB2312" w:hAnsi="仿宋_GB2312" w:cs="仿宋_GB2312" w:hint="eastAsia"/>
          <w:sz w:val="28"/>
          <w:szCs w:val="28"/>
          <w:lang w:eastAsia="zh-CN"/>
        </w:rPr>
        <w:t>%支付违约金（甲方有权在当期服务费中扣除）；</w:t>
      </w:r>
    </w:p>
    <w:p w14:paraId="0C169EA5">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编制的</w:t>
      </w:r>
      <w:r>
        <w:rPr>
          <w:rFonts w:ascii="仿宋_GB2312" w:eastAsia="仿宋_GB2312" w:hAnsi="仿宋_GB2312" w:cs="仿宋_GB2312" w:hint="eastAsia"/>
          <w:sz w:val="28"/>
          <w:szCs w:val="28"/>
          <w:lang w:eastAsia="zh-CN"/>
        </w:rPr>
        <w:t>招标控制价</w:t>
      </w:r>
      <w:r>
        <w:rPr>
          <w:rFonts w:ascii="仿宋_GB2312" w:eastAsia="仿宋_GB2312" w:hAnsi="仿宋_GB2312" w:cs="仿宋_GB2312" w:hint="eastAsia"/>
          <w:sz w:val="28"/>
          <w:szCs w:val="28"/>
          <w:lang w:eastAsia="zh-CN"/>
        </w:rPr>
        <w:t>送</w:t>
      </w:r>
      <w:r>
        <w:rPr>
          <w:rFonts w:ascii="仿宋_GB2312" w:eastAsia="仿宋_GB2312" w:hAnsi="仿宋_GB2312" w:cs="仿宋_GB2312" w:hint="eastAsia"/>
          <w:sz w:val="28"/>
          <w:szCs w:val="28"/>
          <w:lang w:eastAsia="zh-CN"/>
        </w:rPr>
        <w:t>甲方认可的</w:t>
      </w:r>
      <w:r>
        <w:rPr>
          <w:rFonts w:ascii="仿宋_GB2312" w:eastAsia="仿宋_GB2312" w:hAnsi="仿宋_GB2312" w:cs="仿宋_GB2312" w:hint="eastAsia"/>
          <w:sz w:val="28"/>
          <w:szCs w:val="28"/>
          <w:lang w:eastAsia="zh-CN"/>
        </w:rPr>
        <w:t>审核部门审定后，根据相关审核部门出具的审计</w:t>
      </w:r>
      <w:r>
        <w:rPr>
          <w:rFonts w:ascii="仿宋_GB2312" w:eastAsia="仿宋_GB2312" w:hAnsi="仿宋_GB2312" w:cs="仿宋_GB2312" w:hint="eastAsia"/>
          <w:sz w:val="28"/>
          <w:szCs w:val="28"/>
          <w:lang w:eastAsia="zh-CN"/>
        </w:rPr>
        <w:t>（审</w:t>
      </w:r>
      <w:r>
        <w:rPr>
          <w:rFonts w:ascii="仿宋_GB2312" w:eastAsia="仿宋_GB2312" w:hAnsi="仿宋_GB2312" w:cs="仿宋_GB2312" w:hint="eastAsia"/>
          <w:sz w:val="28"/>
          <w:szCs w:val="28"/>
          <w:lang w:eastAsia="zh-CN"/>
        </w:rPr>
        <w:t>核）报告中的数据，送审价与审定价相差超过±5%时（非乙方责任除外），每超过1%（不足1%时按1%计），乙方应向甲方以本合同价的</w:t>
      </w:r>
      <w:r>
        <w:rPr>
          <w:rFonts w:ascii="仿宋_GB2312" w:eastAsia="仿宋_GB2312" w:hAnsi="仿宋_GB2312" w:cs="仿宋_GB2312" w:hint="eastAsia"/>
          <w:sz w:val="28"/>
          <w:szCs w:val="28"/>
          <w:lang w:eastAsia="zh-CN"/>
        </w:rPr>
        <w:t>0.5</w:t>
      </w:r>
      <w:r>
        <w:rPr>
          <w:rFonts w:ascii="仿宋_GB2312" w:eastAsia="仿宋_GB2312" w:hAnsi="仿宋_GB2312" w:cs="仿宋_GB2312" w:hint="eastAsia"/>
          <w:sz w:val="28"/>
          <w:szCs w:val="28"/>
          <w:lang w:eastAsia="zh-CN"/>
        </w:rPr>
        <w:t>%支付违约金（甲方有权在当期服务费中扣除）；</w:t>
      </w:r>
    </w:p>
    <w:p w14:paraId="4B61ACD0">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经乙方审核的结算造价送</w:t>
      </w:r>
      <w:r>
        <w:rPr>
          <w:rFonts w:ascii="仿宋_GB2312" w:eastAsia="仿宋_GB2312" w:hAnsi="仿宋_GB2312" w:cs="仿宋_GB2312" w:hint="eastAsia"/>
          <w:sz w:val="28"/>
          <w:szCs w:val="28"/>
          <w:lang w:eastAsia="zh-CN"/>
        </w:rPr>
        <w:t>甲方认可的</w:t>
      </w:r>
      <w:r>
        <w:rPr>
          <w:rFonts w:ascii="仿宋_GB2312" w:eastAsia="仿宋_GB2312" w:hAnsi="仿宋_GB2312" w:cs="仿宋_GB2312" w:hint="eastAsia"/>
          <w:sz w:val="28"/>
          <w:szCs w:val="28"/>
          <w:lang w:eastAsia="zh-CN"/>
        </w:rPr>
        <w:t>审核部门审定后，根据</w:t>
      </w:r>
      <w:r>
        <w:rPr>
          <w:rFonts w:ascii="仿宋_GB2312" w:eastAsia="仿宋_GB2312" w:hAnsi="仿宋_GB2312" w:cs="仿宋_GB2312" w:hint="eastAsia"/>
          <w:sz w:val="28"/>
          <w:szCs w:val="28"/>
          <w:lang w:eastAsia="zh-CN"/>
        </w:rPr>
        <w:t>甲方认可的</w:t>
      </w:r>
      <w:r>
        <w:rPr>
          <w:rFonts w:ascii="仿宋_GB2312" w:eastAsia="仿宋_GB2312" w:hAnsi="仿宋_GB2312" w:cs="仿宋_GB2312" w:hint="eastAsia"/>
          <w:sz w:val="28"/>
          <w:szCs w:val="28"/>
          <w:lang w:eastAsia="zh-CN"/>
        </w:rPr>
        <w:t>审核部门出具的审计报告中的数据，</w:t>
      </w:r>
      <w:r>
        <w:rPr>
          <w:rFonts w:ascii="仿宋_GB2312" w:eastAsia="仿宋_GB2312" w:hAnsi="仿宋_GB2312" w:cs="仿宋_GB2312" w:hint="eastAsia"/>
          <w:sz w:val="28"/>
          <w:szCs w:val="28"/>
          <w:lang w:eastAsia="zh-CN"/>
        </w:rPr>
        <w:t>因乙方责任原因导致</w:t>
      </w:r>
      <w:r>
        <w:rPr>
          <w:rFonts w:ascii="仿宋_GB2312" w:eastAsia="仿宋_GB2312" w:hAnsi="仿宋_GB2312" w:cs="仿宋_GB2312" w:hint="eastAsia"/>
          <w:sz w:val="28"/>
          <w:szCs w:val="28"/>
          <w:lang w:eastAsia="zh-CN"/>
        </w:rPr>
        <w:t>送审价与审定价相差超过5%时，每超过1%（不足1%时按1%计），乙方应向甲方以本合同价的</w:t>
      </w: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%支付违约金（甲方有权在当期服务费中扣除）；</w:t>
      </w:r>
    </w:p>
    <w:p w14:paraId="7A850F24">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未经甲方同意更换项目负责人</w:t>
      </w:r>
      <w:r>
        <w:rPr>
          <w:rFonts w:ascii="仿宋_GB2312" w:eastAsia="仿宋_GB2312" w:hAnsi="仿宋_GB2312" w:cs="仿宋_GB2312" w:hint="eastAsia"/>
          <w:sz w:val="28"/>
          <w:szCs w:val="28"/>
          <w:lang w:eastAsia="zh-CN"/>
        </w:rPr>
        <w:t>或中标后经甲方调查发现项目负责人无法实际到岗履约的（两次以上文件代签或代参加会议或其他甲方认定的情况），</w:t>
      </w:r>
      <w:r>
        <w:rPr>
          <w:rFonts w:ascii="仿宋_GB2312" w:eastAsia="仿宋_GB2312" w:hAnsi="仿宋_GB2312" w:cs="仿宋_GB2312" w:hint="eastAsia"/>
          <w:sz w:val="28"/>
          <w:szCs w:val="28"/>
          <w:lang w:eastAsia="zh-CN"/>
        </w:rPr>
        <w:t>乙方应向甲方以</w:t>
      </w:r>
      <w:r>
        <w:rPr>
          <w:rFonts w:ascii="仿宋_GB2312" w:eastAsia="仿宋_GB2312" w:hAnsi="仿宋_GB2312" w:cs="仿宋_GB2312" w:hint="eastAsia"/>
          <w:sz w:val="28"/>
          <w:szCs w:val="28"/>
          <w:lang w:eastAsia="zh-CN"/>
        </w:rPr>
        <w:t>20</w:t>
      </w:r>
      <w:r>
        <w:rPr>
          <w:rFonts w:ascii="仿宋_GB2312" w:eastAsia="仿宋_GB2312" w:hAnsi="仿宋_GB2312" w:cs="仿宋_GB2312" w:hint="eastAsia"/>
          <w:sz w:val="28"/>
          <w:szCs w:val="28"/>
          <w:lang w:eastAsia="zh-CN"/>
        </w:rPr>
        <w:t>000元/人·次支付违约金（甲方有权在当期服务费中扣除</w:t>
      </w:r>
      <w:r>
        <w:rPr>
          <w:rFonts w:ascii="仿宋_GB2312" w:eastAsia="仿宋_GB2312" w:hAnsi="仿宋_GB2312" w:cs="仿宋_GB2312" w:hint="eastAsia"/>
          <w:sz w:val="28"/>
          <w:szCs w:val="28"/>
          <w:lang w:eastAsia="zh-CN"/>
        </w:rPr>
        <w:t>并予以履约评价考核不合格</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项目负责人不履行</w:t>
      </w:r>
      <w:r>
        <w:rPr>
          <w:rFonts w:ascii="仿宋_GB2312" w:eastAsia="仿宋_GB2312" w:hAnsi="仿宋_GB2312" w:cs="仿宋_GB2312" w:hint="eastAsia"/>
          <w:sz w:val="28"/>
          <w:szCs w:val="28"/>
          <w:lang w:eastAsia="zh-CN"/>
        </w:rPr>
        <w:t>本合同约定项目负责人相关</w:t>
      </w:r>
      <w:r>
        <w:rPr>
          <w:rFonts w:ascii="仿宋_GB2312" w:eastAsia="仿宋_GB2312" w:hAnsi="仿宋_GB2312" w:cs="仿宋_GB2312" w:hint="eastAsia"/>
          <w:sz w:val="28"/>
          <w:szCs w:val="28"/>
          <w:lang w:eastAsia="zh-CN"/>
        </w:rPr>
        <w:t>责任</w:t>
      </w:r>
      <w:r>
        <w:rPr>
          <w:rFonts w:ascii="仿宋_GB2312" w:eastAsia="仿宋_GB2312" w:hAnsi="仿宋_GB2312" w:cs="仿宋_GB2312" w:hint="eastAsia"/>
          <w:sz w:val="28"/>
          <w:szCs w:val="28"/>
          <w:lang w:eastAsia="zh-CN"/>
        </w:rPr>
        <w:t>义务</w:t>
      </w:r>
      <w:r>
        <w:rPr>
          <w:rFonts w:ascii="仿宋_GB2312" w:eastAsia="仿宋_GB2312" w:hAnsi="仿宋_GB2312" w:cs="仿宋_GB2312" w:hint="eastAsia"/>
          <w:sz w:val="28"/>
          <w:szCs w:val="28"/>
          <w:lang w:eastAsia="zh-CN"/>
        </w:rPr>
        <w:t>的，乙方应向甲方以</w:t>
      </w:r>
      <w:r>
        <w:rPr>
          <w:rFonts w:ascii="仿宋_GB2312" w:eastAsia="仿宋_GB2312" w:hAnsi="仿宋_GB2312" w:cs="仿宋_GB2312" w:hint="eastAsia"/>
          <w:sz w:val="28"/>
          <w:szCs w:val="28"/>
          <w:lang w:eastAsia="zh-CN"/>
        </w:rPr>
        <w:t>3</w:t>
      </w:r>
      <w:r>
        <w:rPr>
          <w:rFonts w:ascii="仿宋_GB2312" w:eastAsia="仿宋_GB2312" w:hAnsi="仿宋_GB2312" w:cs="仿宋_GB2312" w:hint="eastAsia"/>
          <w:sz w:val="28"/>
          <w:szCs w:val="28"/>
          <w:lang w:eastAsia="zh-CN"/>
        </w:rPr>
        <w:t>000元/人·次支付违约金（甲方有权在当期服务费中扣除</w:t>
      </w:r>
      <w:r>
        <w:rPr>
          <w:rFonts w:ascii="仿宋_GB2312" w:eastAsia="仿宋_GB2312" w:hAnsi="仿宋_GB2312" w:cs="仿宋_GB2312" w:hint="eastAsia"/>
          <w:sz w:val="28"/>
          <w:szCs w:val="28"/>
          <w:lang w:eastAsia="zh-CN"/>
        </w:rPr>
        <w:t>并予以履约评价考核不合格</w:t>
      </w:r>
      <w:r>
        <w:rPr>
          <w:rFonts w:ascii="仿宋_GB2312" w:eastAsia="仿宋_GB2312" w:hAnsi="仿宋_GB2312" w:cs="仿宋_GB2312" w:hint="eastAsia"/>
          <w:sz w:val="28"/>
          <w:szCs w:val="28"/>
          <w:lang w:eastAsia="zh-CN"/>
        </w:rPr>
        <w:t>）；乙方未经甲方同意更换项目组成员</w:t>
      </w:r>
      <w:r>
        <w:rPr>
          <w:rFonts w:ascii="仿宋_GB2312" w:eastAsia="仿宋_GB2312" w:hAnsi="仿宋_GB2312" w:cs="仿宋_GB2312" w:hint="eastAsia"/>
          <w:sz w:val="28"/>
          <w:szCs w:val="28"/>
          <w:lang w:eastAsia="zh-CN"/>
        </w:rPr>
        <w:t>或不按甲方要求更换</w:t>
      </w:r>
      <w:r>
        <w:rPr>
          <w:rFonts w:ascii="仿宋_GB2312" w:eastAsia="仿宋_GB2312" w:hAnsi="仿宋_GB2312" w:cs="仿宋_GB2312" w:hint="eastAsia"/>
          <w:sz w:val="28"/>
          <w:szCs w:val="28"/>
          <w:lang w:eastAsia="zh-CN"/>
        </w:rPr>
        <w:t>的，乙方应向甲方以</w:t>
      </w: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000元/人·次支付违约金（甲方有权在当期服务费中扣除）；乙方项目组成员</w:t>
      </w:r>
      <w:r>
        <w:rPr>
          <w:rFonts w:ascii="仿宋_GB2312" w:eastAsia="仿宋_GB2312" w:hAnsi="仿宋_GB2312" w:cs="仿宋_GB2312" w:hint="eastAsia"/>
          <w:sz w:val="28"/>
          <w:szCs w:val="28"/>
          <w:lang w:eastAsia="zh-CN"/>
        </w:rPr>
        <w:t>不执行甲方要求的本项目相关工作或服务配合差的</w:t>
      </w:r>
      <w:r>
        <w:rPr>
          <w:rFonts w:ascii="仿宋_GB2312" w:eastAsia="仿宋_GB2312" w:hAnsi="仿宋_GB2312" w:cs="仿宋_GB2312" w:hint="eastAsia"/>
          <w:sz w:val="28"/>
          <w:szCs w:val="28"/>
          <w:lang w:eastAsia="zh-CN"/>
        </w:rPr>
        <w:t>，乙方应向甲方以</w:t>
      </w: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000元/人·次支付违约金（甲方有权在当期服务费中扣除）</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乙方未按甲方要求派驻造价人员现场办公或派驻人员不符合甲方要求且拒不整改的，</w:t>
      </w:r>
      <w:r>
        <w:rPr>
          <w:rFonts w:ascii="仿宋_GB2312" w:eastAsia="仿宋_GB2312" w:hAnsi="仿宋_GB2312" w:cs="仿宋_GB2312" w:hint="eastAsia"/>
          <w:sz w:val="28"/>
          <w:szCs w:val="28"/>
          <w:lang w:eastAsia="zh-CN"/>
        </w:rPr>
        <w:t>乙方应向甲方以</w:t>
      </w:r>
      <w:r>
        <w:rPr>
          <w:rFonts w:ascii="仿宋_GB2312" w:eastAsia="仿宋_GB2312" w:hAnsi="仿宋_GB2312" w:cs="仿宋_GB2312" w:hint="eastAsia"/>
          <w:sz w:val="28"/>
          <w:szCs w:val="28"/>
          <w:lang w:eastAsia="zh-CN"/>
        </w:rPr>
        <w:t>10</w:t>
      </w:r>
      <w:r>
        <w:rPr>
          <w:rFonts w:ascii="仿宋_GB2312" w:eastAsia="仿宋_GB2312" w:hAnsi="仿宋_GB2312" w:cs="仿宋_GB2312" w:hint="eastAsia"/>
          <w:sz w:val="28"/>
          <w:szCs w:val="28"/>
          <w:lang w:eastAsia="zh-CN"/>
        </w:rPr>
        <w:t>000元/人·次支付违约金（甲方有权在当期服务费中扣除）</w:t>
      </w:r>
      <w:r>
        <w:rPr>
          <w:rFonts w:ascii="仿宋_GB2312" w:eastAsia="仿宋_GB2312" w:hAnsi="仿宋_GB2312" w:cs="仿宋_GB2312" w:hint="eastAsia"/>
          <w:sz w:val="28"/>
          <w:szCs w:val="28"/>
          <w:lang w:eastAsia="zh-CN"/>
        </w:rPr>
        <w:t>。</w:t>
      </w:r>
    </w:p>
    <w:p w14:paraId="11E1285C">
      <w:pPr>
        <w:keepNext w:val="0"/>
        <w:keepLines w:val="0"/>
        <w:pageBreakBefore w:val="0"/>
        <w:widowControl w:val="0"/>
        <w:numPr>
          <w:ilvl w:val="0"/>
          <w:numId w:val="13"/>
        </w:numPr>
        <w:kinsoku/>
        <w:wordWrap/>
        <w:overflowPunct/>
        <w:topLinePunct w:val="0"/>
        <w:autoSpaceDE/>
        <w:autoSpaceDN/>
        <w:bidi w:val="0"/>
        <w:adjustRightInd/>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对于甲方提出的咨询问题或修改意见，乙方未在合理的限定时间及时反馈的，每发生一次应支付500元违约金；当月出现三次及以上时，每发生一次应支付1000元违约金。</w:t>
      </w:r>
      <w:r>
        <w:rPr>
          <w:rFonts w:ascii="仿宋_GB2312" w:eastAsia="仿宋_GB2312" w:hAnsi="仿宋_GB2312" w:cs="仿宋_GB2312" w:hint="eastAsia"/>
          <w:sz w:val="28"/>
          <w:szCs w:val="28"/>
          <w:lang w:eastAsia="zh-CN"/>
        </w:rPr>
        <w:t>乙方逾期开展服务或提交成果的，每延迟一天甲方有权扣除合同暂定价的0.5%作为违约金，延迟15天乙方仍未完成交付的，甲方有权扣除该阶段的全部费用，要求乙方承担合同金额10％的违约金，并有权单方解除合同。</w:t>
      </w:r>
    </w:p>
    <w:p w14:paraId="0C26DC8A">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在履约过程中，甲方将对乙方的履约表现进行动态评价。</w:t>
      </w:r>
      <w:r>
        <w:rPr>
          <w:rFonts w:ascii="仿宋_GB2312" w:eastAsia="仿宋_GB2312" w:hAnsi="仿宋_GB2312" w:cs="仿宋_GB2312" w:hint="eastAsia"/>
          <w:sz w:val="28"/>
          <w:szCs w:val="28"/>
          <w:lang w:eastAsia="zh-CN"/>
        </w:rPr>
        <w:t>如乙方</w:t>
      </w:r>
      <w:r>
        <w:rPr>
          <w:rFonts w:ascii="仿宋_GB2312" w:eastAsia="仿宋_GB2312" w:hAnsi="仿宋_GB2312" w:cs="仿宋_GB2312" w:hint="eastAsia"/>
          <w:sz w:val="28"/>
          <w:szCs w:val="28"/>
          <w:lang w:eastAsia="zh-CN"/>
        </w:rPr>
        <w:t>被甲方书面警告</w:t>
      </w: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次（如概算偏差率超过10%、服务配合差等），甲方将对乙方的当季履约评价不合格。造价咨询合同履约评价细则详见</w:t>
      </w:r>
      <w:r>
        <w:rPr>
          <w:rFonts w:ascii="仿宋_GB2312" w:eastAsia="仿宋_GB2312" w:hAnsi="仿宋_GB2312" w:cs="仿宋_GB2312" w:hint="eastAsia"/>
          <w:sz w:val="28"/>
          <w:szCs w:val="28"/>
          <w:lang w:eastAsia="zh-CN"/>
        </w:rPr>
        <w:t>附件一</w:t>
      </w:r>
      <w:r>
        <w:rPr>
          <w:rFonts w:ascii="仿宋_GB2312" w:eastAsia="仿宋_GB2312" w:hAnsi="仿宋_GB2312" w:cs="仿宋_GB2312" w:hint="eastAsia"/>
          <w:sz w:val="28"/>
          <w:szCs w:val="28"/>
          <w:lang w:eastAsia="zh-CN"/>
        </w:rPr>
        <w:t>。乙方知悉并同意，甲方可能会对履约评价办法进行修订，修订后的履约评价办法可以直接适用于本合同，甲方可以依据修订后的履约评价办法对乙方的履约情况进行评价，乙方放弃对此提出异议的权利。</w:t>
      </w:r>
    </w:p>
    <w:p w14:paraId="48DDBD40">
      <w:pPr>
        <w:keepNext w:val="0"/>
        <w:keepLines w:val="0"/>
        <w:pageBreakBefore w:val="0"/>
        <w:widowControl/>
        <w:numPr>
          <w:ilvl w:val="0"/>
          <w:numId w:val="13"/>
        </w:numPr>
        <w:kinsoku/>
        <w:wordWrap/>
        <w:overflowPunct/>
        <w:topLinePunct w:val="0"/>
        <w:autoSpaceDE/>
        <w:autoSpaceDN/>
        <w:bidi w:val="0"/>
        <w:adjustRightInd/>
        <w:snapToGrid w:val="0"/>
        <w:spacing w:line="360" w:lineRule="auto"/>
        <w:ind w:left="0" w:firstLine="560" w:leftChars="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如乙方违法转包或未经甲方同意分包本合同项下的造价咨询服务工作，应支付甲方合同</w:t>
      </w:r>
      <w:r>
        <w:rPr>
          <w:rFonts w:ascii="仿宋_GB2312" w:eastAsia="仿宋_GB2312" w:hAnsi="仿宋_GB2312" w:cs="仿宋_GB2312" w:hint="eastAsia"/>
          <w:sz w:val="28"/>
          <w:szCs w:val="28"/>
          <w:lang w:eastAsia="zh-CN"/>
        </w:rPr>
        <w:t>暂定</w:t>
      </w:r>
      <w:r>
        <w:rPr>
          <w:rFonts w:ascii="仿宋_GB2312" w:eastAsia="仿宋_GB2312" w:hAnsi="仿宋_GB2312" w:cs="仿宋_GB2312" w:hint="eastAsia"/>
          <w:sz w:val="28"/>
          <w:szCs w:val="28"/>
          <w:lang w:eastAsia="zh-CN"/>
        </w:rPr>
        <w:t>价</w:t>
      </w:r>
      <w:r>
        <w:rPr>
          <w:rFonts w:ascii="仿宋_GB2312" w:eastAsia="仿宋_GB2312" w:hAnsi="仿宋_GB2312" w:cs="仿宋_GB2312" w:hint="eastAsia"/>
          <w:sz w:val="28"/>
          <w:szCs w:val="28"/>
          <w:u w:val="single"/>
          <w:lang w:eastAsia="zh-CN"/>
        </w:rPr>
        <w:t>20</w:t>
      </w:r>
      <w:r>
        <w:rPr>
          <w:rFonts w:ascii="仿宋_GB2312" w:eastAsia="仿宋_GB2312" w:hAnsi="仿宋_GB2312" w:cs="仿宋_GB2312"/>
          <w:sz w:val="28"/>
          <w:szCs w:val="28"/>
          <w:lang w:eastAsia="zh-CN"/>
        </w:rPr>
        <w:t>%</w:t>
      </w:r>
      <w:r>
        <w:rPr>
          <w:rFonts w:ascii="仿宋_GB2312" w:eastAsia="仿宋_GB2312" w:hAnsi="仿宋_GB2312" w:cs="仿宋_GB2312" w:hint="eastAsia"/>
          <w:sz w:val="28"/>
          <w:szCs w:val="28"/>
          <w:lang w:eastAsia="zh-CN"/>
        </w:rPr>
        <w:t>的违约金。</w:t>
      </w:r>
    </w:p>
    <w:p w14:paraId="12284A1D">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由于乙方故意或过失造成甲方数据、信息泄露等违反保密义务，情节严重或造成严重后果的，甲方有权解除合同并要求乙方承担合同</w:t>
      </w:r>
      <w:r>
        <w:rPr>
          <w:rFonts w:ascii="仿宋_GB2312" w:eastAsia="仿宋_GB2312" w:hAnsi="仿宋_GB2312" w:cs="仿宋_GB2312" w:hint="eastAsia"/>
          <w:sz w:val="28"/>
          <w:szCs w:val="28"/>
          <w:lang w:eastAsia="zh-CN"/>
        </w:rPr>
        <w:t>暂定价</w:t>
      </w:r>
      <w:r>
        <w:rPr>
          <w:rFonts w:ascii="仿宋_GB2312" w:eastAsia="仿宋_GB2312" w:hAnsi="仿宋_GB2312" w:cs="仿宋_GB2312" w:hint="eastAsia"/>
          <w:sz w:val="28"/>
          <w:szCs w:val="28"/>
          <w:lang w:eastAsia="zh-CN"/>
        </w:rPr>
        <w:t>20％的违约金。因此给甲方造成经济损失的，乙方还应承担赔偿责任。</w:t>
      </w:r>
    </w:p>
    <w:p w14:paraId="3F04321D">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对于需要乙方复核确认的变更、签证、工程量等成果，偏差程度超过甲方要求的合理比例的，每发生一次应支付1000元作为违约金。同类文件偏差超过三次的，违约金翻倍。</w:t>
      </w:r>
    </w:p>
    <w:p w14:paraId="46C7E3B5">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sz w:val="28"/>
          <w:szCs w:val="28"/>
          <w:lang w:eastAsia="zh-CN"/>
        </w:rPr>
        <w:t>甲方有权将违约金或赔偿金等直接从甲方应向乙方支付而未支付的任一笔款项中直接扣减。</w:t>
      </w:r>
    </w:p>
    <w:p w14:paraId="3331DFFA">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kern w:val="2"/>
          <w:sz w:val="28"/>
          <w:szCs w:val="28"/>
          <w:lang w:eastAsia="zh-CN"/>
        </w:rPr>
        <w:t>本合同所涉的损失包括但不限于因一方违约给另一方造成的直接经济损失、间接经济损失、律师费、诉讼费、保全费、鉴定费等其他因处理纠纷发生的一切费用。</w:t>
      </w:r>
    </w:p>
    <w:p w14:paraId="68341D6A">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kern w:val="2"/>
          <w:sz w:val="28"/>
          <w:szCs w:val="28"/>
          <w:lang w:eastAsia="zh-CN"/>
        </w:rPr>
        <w:t>出现下列情形之一的，甲方有权书面通知乙方解除合同：（1）乙方</w:t>
      </w:r>
      <w:r>
        <w:rPr>
          <w:rFonts w:ascii="仿宋_GB2312" w:eastAsia="仿宋_GB2312" w:hAnsi="仿宋_GB2312" w:cs="仿宋_GB2312" w:hint="eastAsia"/>
          <w:kern w:val="2"/>
          <w:sz w:val="28"/>
          <w:szCs w:val="28"/>
          <w:lang w:eastAsia="zh-CN"/>
        </w:rPr>
        <w:t>工程造价咨询企业</w:t>
      </w:r>
      <w:r>
        <w:rPr>
          <w:rFonts w:ascii="仿宋_GB2312" w:eastAsia="仿宋_GB2312" w:hAnsi="仿宋_GB2312" w:cs="仿宋_GB2312" w:hint="eastAsia"/>
          <w:kern w:val="2"/>
          <w:sz w:val="28"/>
          <w:szCs w:val="28"/>
          <w:lang w:eastAsia="zh-CN"/>
        </w:rPr>
        <w:t>资质失效或被吊销的；（2）乙方交付的成果经两次整改仍不符合要求的；（3）乙方擅自转包服务或违规更换项目负责人的；（4）乙方泄露</w:t>
      </w:r>
      <w:r>
        <w:rPr>
          <w:rFonts w:ascii="仿宋_GB2312" w:eastAsia="仿宋_GB2312" w:hAnsi="仿宋_GB2312" w:cs="仿宋_GB2312" w:hint="eastAsia"/>
          <w:kern w:val="2"/>
          <w:sz w:val="28"/>
          <w:szCs w:val="28"/>
          <w:lang w:eastAsia="zh-CN"/>
        </w:rPr>
        <w:t>甲方</w:t>
      </w:r>
      <w:r>
        <w:rPr>
          <w:rFonts w:ascii="仿宋_GB2312" w:eastAsia="仿宋_GB2312" w:hAnsi="仿宋_GB2312" w:cs="仿宋_GB2312" w:hint="eastAsia"/>
          <w:kern w:val="2"/>
          <w:sz w:val="28"/>
          <w:szCs w:val="28"/>
          <w:lang w:eastAsia="zh-CN"/>
        </w:rPr>
        <w:t>商业秘密的。合同解除后，乙方应在 3 日内移交全部工作资料</w:t>
      </w:r>
      <w:r>
        <w:rPr>
          <w:rFonts w:ascii="仿宋_GB2312" w:eastAsia="仿宋_GB2312" w:hAnsi="仿宋_GB2312" w:cs="仿宋_GB2312" w:hint="eastAsia"/>
          <w:kern w:val="2"/>
          <w:sz w:val="28"/>
          <w:szCs w:val="28"/>
          <w:lang w:eastAsia="zh-CN"/>
        </w:rPr>
        <w:t>并按照</w:t>
      </w:r>
      <w:r>
        <w:rPr>
          <w:rFonts w:ascii="仿宋_GB2312" w:eastAsia="仿宋_GB2312" w:hAnsi="仿宋_GB2312" w:cs="仿宋_GB2312" w:hint="eastAsia"/>
          <w:kern w:val="2"/>
          <w:sz w:val="28"/>
          <w:szCs w:val="28"/>
          <w:lang w:eastAsia="zh-CN"/>
        </w:rPr>
        <w:t>合同金额</w:t>
      </w:r>
      <w:r>
        <w:rPr>
          <w:rFonts w:ascii="仿宋_GB2312" w:eastAsia="仿宋_GB2312" w:hAnsi="仿宋_GB2312" w:cs="仿宋_GB2312" w:hint="eastAsia"/>
          <w:kern w:val="2"/>
          <w:sz w:val="28"/>
          <w:szCs w:val="28"/>
          <w:lang w:eastAsia="zh-CN"/>
        </w:rPr>
        <w:t>2</w:t>
      </w:r>
      <w:r>
        <w:rPr>
          <w:rFonts w:ascii="仿宋_GB2312" w:eastAsia="仿宋_GB2312" w:hAnsi="仿宋_GB2312" w:cs="仿宋_GB2312" w:hint="eastAsia"/>
          <w:kern w:val="2"/>
          <w:sz w:val="28"/>
          <w:szCs w:val="28"/>
          <w:lang w:eastAsia="zh-CN"/>
        </w:rPr>
        <w:t>0％</w:t>
      </w:r>
      <w:r>
        <w:rPr>
          <w:rFonts w:ascii="仿宋_GB2312" w:eastAsia="仿宋_GB2312" w:hAnsi="仿宋_GB2312" w:cs="仿宋_GB2312" w:hint="eastAsia"/>
          <w:kern w:val="2"/>
          <w:sz w:val="28"/>
          <w:szCs w:val="28"/>
          <w:lang w:eastAsia="zh-CN"/>
        </w:rPr>
        <w:t>向甲方支付</w:t>
      </w:r>
      <w:r>
        <w:rPr>
          <w:rFonts w:ascii="仿宋_GB2312" w:eastAsia="仿宋_GB2312" w:hAnsi="仿宋_GB2312" w:cs="仿宋_GB2312" w:hint="eastAsia"/>
          <w:kern w:val="2"/>
          <w:sz w:val="28"/>
          <w:szCs w:val="28"/>
          <w:lang w:eastAsia="zh-CN"/>
        </w:rPr>
        <w:t>违约金，</w:t>
      </w:r>
      <w:r>
        <w:rPr>
          <w:rFonts w:ascii="仿宋_GB2312" w:eastAsia="仿宋_GB2312" w:hAnsi="仿宋_GB2312" w:cs="仿宋_GB2312" w:hint="eastAsia"/>
          <w:sz w:val="28"/>
          <w:szCs w:val="28"/>
          <w:lang w:eastAsia="zh-CN"/>
        </w:rPr>
        <w:t>前述违约金不足以弥补</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损失的，</w:t>
      </w:r>
      <w:r>
        <w:rPr>
          <w:rFonts w:ascii="仿宋_GB2312" w:eastAsia="仿宋_GB2312" w:hAnsi="仿宋_GB2312" w:cs="仿宋_GB2312" w:hint="eastAsia"/>
          <w:sz w:val="28"/>
          <w:szCs w:val="28"/>
          <w:lang w:eastAsia="zh-CN"/>
        </w:rPr>
        <w:t>甲方</w:t>
      </w:r>
      <w:r>
        <w:rPr>
          <w:rFonts w:ascii="仿宋_GB2312" w:eastAsia="仿宋_GB2312" w:hAnsi="仿宋_GB2312" w:cs="仿宋_GB2312" w:hint="eastAsia"/>
          <w:sz w:val="28"/>
          <w:szCs w:val="28"/>
          <w:lang w:eastAsia="zh-CN"/>
        </w:rPr>
        <w:t>有权向</w:t>
      </w:r>
      <w:r>
        <w:rPr>
          <w:rFonts w:ascii="仿宋_GB2312" w:eastAsia="仿宋_GB2312" w:hAnsi="仿宋_GB2312" w:cs="仿宋_GB2312" w:hint="eastAsia"/>
          <w:sz w:val="28"/>
          <w:szCs w:val="28"/>
          <w:lang w:eastAsia="zh-CN"/>
        </w:rPr>
        <w:t>乙方</w:t>
      </w:r>
      <w:r>
        <w:rPr>
          <w:rFonts w:ascii="仿宋_GB2312" w:eastAsia="仿宋_GB2312" w:hAnsi="仿宋_GB2312" w:cs="仿宋_GB2312" w:hint="eastAsia"/>
          <w:sz w:val="28"/>
          <w:szCs w:val="28"/>
          <w:lang w:eastAsia="zh-CN"/>
        </w:rPr>
        <w:t>继续追偿</w:t>
      </w:r>
      <w:r>
        <w:rPr>
          <w:rFonts w:ascii="仿宋_GB2312" w:eastAsia="仿宋_GB2312" w:hAnsi="仿宋_GB2312" w:cs="仿宋_GB2312" w:hint="eastAsia"/>
          <w:kern w:val="2"/>
          <w:sz w:val="28"/>
          <w:szCs w:val="28"/>
          <w:lang w:eastAsia="zh-CN"/>
        </w:rPr>
        <w:t>。</w:t>
      </w:r>
    </w:p>
    <w:p w14:paraId="6D1DF261">
      <w:pPr>
        <w:widowControl w:val="0"/>
        <w:numPr>
          <w:ilvl w:val="0"/>
          <w:numId w:val="13"/>
        </w:numPr>
        <w:snapToGrid w:val="0"/>
        <w:spacing w:line="360" w:lineRule="auto"/>
        <w:ind w:left="0" w:firstLine="560" w:firstLineChars="200"/>
        <w:jc w:val="both"/>
        <w:rPr>
          <w:rFonts w:ascii="仿宋_GB2312" w:eastAsia="仿宋_GB2312" w:hAnsi="仿宋_GB2312" w:cs="仿宋_GB2312" w:hint="eastAsia"/>
          <w:kern w:val="2"/>
          <w:sz w:val="28"/>
          <w:szCs w:val="28"/>
          <w:lang w:eastAsia="zh-CN"/>
        </w:rPr>
      </w:pPr>
      <w:r>
        <w:rPr>
          <w:rFonts w:ascii="仿宋_GB2312" w:eastAsia="仿宋_GB2312" w:hAnsi="仿宋_GB2312" w:cs="仿宋_GB2312" w:hint="eastAsia"/>
          <w:kern w:val="2"/>
          <w:sz w:val="28"/>
          <w:szCs w:val="28"/>
          <w:lang w:eastAsia="zh-CN"/>
        </w:rPr>
        <w:t>甲方</w:t>
      </w:r>
      <w:r>
        <w:rPr>
          <w:rFonts w:ascii="仿宋_GB2312" w:eastAsia="仿宋_GB2312" w:hAnsi="仿宋_GB2312" w:cs="仿宋_GB2312" w:hint="eastAsia"/>
          <w:kern w:val="2"/>
          <w:sz w:val="28"/>
          <w:szCs w:val="28"/>
          <w:lang w:eastAsia="zh-CN"/>
        </w:rPr>
        <w:t>因</w:t>
      </w:r>
      <w:r>
        <w:rPr>
          <w:rFonts w:ascii="仿宋_GB2312" w:eastAsia="仿宋_GB2312" w:hAnsi="仿宋_GB2312" w:cs="仿宋_GB2312" w:hint="eastAsia"/>
          <w:kern w:val="2"/>
          <w:sz w:val="28"/>
          <w:szCs w:val="28"/>
          <w:lang w:eastAsia="zh-CN"/>
        </w:rPr>
        <w:t>项目需求调整等</w:t>
      </w:r>
      <w:r>
        <w:rPr>
          <w:rFonts w:ascii="仿宋_GB2312" w:eastAsia="仿宋_GB2312" w:hAnsi="仿宋_GB2312" w:cs="仿宋_GB2312" w:hint="eastAsia"/>
          <w:kern w:val="2"/>
          <w:sz w:val="28"/>
          <w:szCs w:val="28"/>
          <w:lang w:eastAsia="zh-CN"/>
        </w:rPr>
        <w:t>原因导致的合同终止或解除，对于乙方已完成的工作内容，甲方应支付已完成部分</w:t>
      </w:r>
      <w:r>
        <w:rPr>
          <w:rFonts w:ascii="仿宋_GB2312" w:eastAsia="仿宋_GB2312" w:hAnsi="仿宋_GB2312" w:cs="仿宋_GB2312" w:hint="eastAsia"/>
          <w:kern w:val="2"/>
          <w:sz w:val="28"/>
          <w:szCs w:val="28"/>
          <w:lang w:eastAsia="zh-CN"/>
        </w:rPr>
        <w:t>对应</w:t>
      </w:r>
      <w:r>
        <w:rPr>
          <w:rFonts w:ascii="仿宋_GB2312" w:eastAsia="仿宋_GB2312" w:hAnsi="仿宋_GB2312" w:cs="仿宋_GB2312" w:hint="eastAsia"/>
          <w:kern w:val="2"/>
          <w:sz w:val="28"/>
          <w:szCs w:val="28"/>
          <w:lang w:eastAsia="zh-CN"/>
        </w:rPr>
        <w:t>的费用，具体</w:t>
      </w:r>
      <w:r>
        <w:rPr>
          <w:rFonts w:ascii="仿宋_GB2312" w:eastAsia="仿宋_GB2312" w:hAnsi="仿宋_GB2312" w:cs="仿宋_GB2312" w:hint="eastAsia"/>
          <w:kern w:val="2"/>
          <w:sz w:val="28"/>
          <w:szCs w:val="28"/>
          <w:lang w:eastAsia="zh-CN"/>
        </w:rPr>
        <w:t>金额</w:t>
      </w:r>
      <w:r>
        <w:rPr>
          <w:rFonts w:ascii="仿宋_GB2312" w:eastAsia="仿宋_GB2312" w:hAnsi="仿宋_GB2312" w:cs="仿宋_GB2312" w:hint="eastAsia"/>
          <w:kern w:val="2"/>
          <w:sz w:val="28"/>
          <w:szCs w:val="28"/>
          <w:lang w:eastAsia="zh-CN"/>
        </w:rPr>
        <w:t>双方据实结算，除此之外甲方无需承担任何其他赔偿费用或违约金</w:t>
      </w:r>
      <w:r>
        <w:rPr>
          <w:rFonts w:ascii="仿宋_GB2312" w:eastAsia="仿宋_GB2312" w:hAnsi="仿宋_GB2312" w:cs="仿宋_GB2312" w:hint="eastAsia"/>
          <w:kern w:val="2"/>
          <w:sz w:val="28"/>
          <w:szCs w:val="28"/>
          <w:lang w:eastAsia="zh-CN"/>
        </w:rPr>
        <w:t>。</w:t>
      </w:r>
    </w:p>
    <w:p w14:paraId="7E64B789">
      <w:pPr>
        <w:widowControl/>
        <w:snapToGrid w:val="0"/>
        <w:spacing w:line="360" w:lineRule="auto"/>
        <w:ind w:firstLine="560" w:firstLineChars="200"/>
        <w:jc w:val="both"/>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十二、争议解决方式</w:t>
      </w:r>
    </w:p>
    <w:p w14:paraId="178A029C">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1</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本合同之签署、有效性、解释、履行、执行及争议解决等</w:t>
      </w:r>
      <w:r>
        <w:rPr>
          <w:rFonts w:ascii="仿宋_GB2312" w:eastAsia="仿宋_GB2312" w:hAnsi="仿宋_GB2312" w:cs="仿宋_GB2312" w:hint="eastAsia"/>
          <w:sz w:val="28"/>
          <w:szCs w:val="28"/>
          <w:lang w:eastAsia="zh-CN"/>
        </w:rPr>
        <w:t>，以</w:t>
      </w:r>
      <w:r>
        <w:rPr>
          <w:rFonts w:ascii="仿宋_GB2312" w:eastAsia="仿宋_GB2312" w:hAnsi="仿宋_GB2312" w:cs="仿宋_GB2312" w:hint="eastAsia"/>
          <w:sz w:val="28"/>
          <w:szCs w:val="28"/>
          <w:lang w:eastAsia="zh-CN"/>
        </w:rPr>
        <w:t>及各方因履行本合同引起的或与本合同有关的任何争议，均适用中国内地法律，并依据中国现行有效的法律解释</w:t>
      </w:r>
      <w:r>
        <w:rPr>
          <w:rFonts w:ascii="仿宋_GB2312" w:eastAsia="仿宋_GB2312" w:hAnsi="仿宋_GB2312" w:cs="仿宋_GB2312" w:hint="eastAsia"/>
          <w:sz w:val="28"/>
          <w:szCs w:val="28"/>
          <w:lang w:eastAsia="zh-CN"/>
        </w:rPr>
        <w:t>。</w:t>
      </w:r>
    </w:p>
    <w:p w14:paraId="4B8F61E0">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2.</w:t>
      </w:r>
      <w:r>
        <w:rPr>
          <w:rFonts w:ascii="仿宋_GB2312" w:eastAsia="仿宋_GB2312" w:hAnsi="仿宋_GB2312" w:cs="仿宋_GB2312" w:hint="eastAsia"/>
          <w:sz w:val="28"/>
          <w:szCs w:val="28"/>
          <w:lang w:eastAsia="zh-CN"/>
        </w:rPr>
        <w:t>本合同未尽事宜，由双方另行协商，并签订补充协议。</w:t>
      </w:r>
    </w:p>
    <w:p w14:paraId="7FE2851C">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3</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甲、乙双方因本合同履行发生其他争议时，双方应通过友好协商进行解决，若协商不成或任何一方不愿意协商的，可向甲方所在地有管辖权的人民法院提起诉讼。诉讼产生的费用由败诉方承担，包括但不限于诉讼费和律师费、财产保全费、鉴定费、公证费等胜诉方维权的费用</w:t>
      </w:r>
      <w:r>
        <w:rPr>
          <w:rFonts w:ascii="仿宋_GB2312" w:eastAsia="仿宋_GB2312" w:hAnsi="仿宋_GB2312" w:cs="仿宋_GB2312" w:hint="eastAsia"/>
          <w:sz w:val="28"/>
          <w:szCs w:val="28"/>
          <w:lang w:eastAsia="zh-CN"/>
        </w:rPr>
        <w:t>。</w:t>
      </w:r>
    </w:p>
    <w:p w14:paraId="415CB0EF">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outlineLvl w:val="0"/>
        <w:rPr>
          <w:rFonts w:ascii="仿宋_GB2312" w:eastAsia="仿宋_GB2312" w:hAnsi="仿宋_GB2312" w:cs="仿宋_GB2312" w:hint="eastAsia"/>
          <w:b/>
          <w:bCs/>
          <w:sz w:val="28"/>
          <w:szCs w:val="28"/>
          <w:lang w:eastAsia="zh-CN"/>
        </w:rPr>
      </w:pPr>
      <w:r>
        <w:rPr>
          <w:rFonts w:ascii="仿宋_GB2312" w:eastAsia="仿宋_GB2312" w:hAnsi="仿宋_GB2312" w:cs="仿宋_GB2312" w:hint="eastAsia"/>
          <w:b/>
          <w:bCs/>
          <w:sz w:val="28"/>
          <w:szCs w:val="28"/>
          <w:lang w:eastAsia="zh-CN"/>
        </w:rPr>
        <w:t>十三、合同份数</w:t>
      </w:r>
    </w:p>
    <w:p w14:paraId="593497D4">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本合同</w:t>
      </w:r>
      <w:r>
        <w:rPr>
          <w:rFonts w:ascii="仿宋_GB2312" w:eastAsia="仿宋_GB2312" w:hAnsi="仿宋_GB2312" w:cs="仿宋_GB2312" w:hint="eastAsia"/>
          <w:sz w:val="28"/>
          <w:szCs w:val="28"/>
          <w:lang w:eastAsia="zh-CN"/>
        </w:rPr>
        <w:t>一式陆</w:t>
      </w:r>
      <w:r>
        <w:rPr>
          <w:rFonts w:ascii="仿宋_GB2312" w:eastAsia="仿宋_GB2312" w:hAnsi="仿宋_GB2312" w:cs="仿宋_GB2312" w:hint="eastAsia"/>
          <w:sz w:val="28"/>
          <w:szCs w:val="28"/>
          <w:lang w:eastAsia="zh-CN"/>
        </w:rPr>
        <w:t>份，甲、乙双方各执</w:t>
      </w:r>
      <w:r>
        <w:rPr>
          <w:rFonts w:ascii="仿宋_GB2312" w:eastAsia="仿宋_GB2312" w:hAnsi="仿宋_GB2312" w:cs="仿宋_GB2312" w:hint="eastAsia"/>
          <w:sz w:val="28"/>
          <w:szCs w:val="28"/>
          <w:lang w:eastAsia="zh-CN"/>
        </w:rPr>
        <w:t>叁</w:t>
      </w:r>
      <w:r>
        <w:rPr>
          <w:rFonts w:ascii="仿宋_GB2312" w:eastAsia="仿宋_GB2312" w:hAnsi="仿宋_GB2312" w:cs="仿宋_GB2312" w:hint="eastAsia"/>
          <w:sz w:val="28"/>
          <w:szCs w:val="28"/>
          <w:lang w:eastAsia="zh-CN"/>
        </w:rPr>
        <w:t>份</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具有同等法律效力</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eastAsia="zh-CN"/>
        </w:rPr>
        <w:t>本合同文本不得涂改，任何涂改均属无效。</w:t>
      </w:r>
    </w:p>
    <w:p w14:paraId="193B93A8">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outlineLvl w:val="0"/>
        <w:rPr>
          <w:rFonts w:ascii="仿宋_GB2312" w:eastAsia="仿宋_GB2312" w:hAnsi="仿宋_GB2312" w:cs="仿宋_GB2312"/>
          <w:b/>
          <w:bCs/>
          <w:sz w:val="28"/>
          <w:szCs w:val="28"/>
          <w:lang w:eastAsia="zh-CN"/>
        </w:rPr>
      </w:pPr>
      <w:r>
        <w:rPr>
          <w:rFonts w:ascii="仿宋_GB2312" w:eastAsia="仿宋_GB2312" w:hAnsi="仿宋_GB2312" w:cs="仿宋_GB2312" w:hint="eastAsia"/>
          <w:b/>
          <w:bCs/>
          <w:sz w:val="28"/>
          <w:szCs w:val="28"/>
          <w:lang w:eastAsia="zh-CN"/>
        </w:rPr>
        <w:t>十四、合同生效</w:t>
      </w:r>
    </w:p>
    <w:p w14:paraId="074EAF80">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本合同自甲、乙双方法定代表人或委托代理人签字并加盖公章或合同专用章起生效。</w:t>
      </w:r>
    </w:p>
    <w:p w14:paraId="63C3FC2F">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rPr>
          <w:rFonts w:ascii="仿宋_GB2312" w:eastAsia="仿宋_GB2312" w:hAnsi="仿宋_GB2312" w:cs="仿宋_GB2312" w:hint="eastAsia"/>
          <w:sz w:val="28"/>
          <w:szCs w:val="28"/>
          <w:lang w:eastAsia="zh-CN"/>
        </w:rPr>
      </w:pPr>
      <w:r>
        <w:rPr>
          <w:rFonts w:ascii="仿宋_GB2312" w:eastAsia="仿宋_GB2312" w:hAnsi="仿宋_GB2312" w:cs="仿宋_GB2312" w:hint="eastAsia"/>
          <w:sz w:val="28"/>
          <w:szCs w:val="28"/>
          <w:lang w:eastAsia="zh-CN"/>
        </w:rPr>
        <w:t>（以下无正文）</w:t>
      </w:r>
    </w:p>
    <w:p w14:paraId="0D409651">
      <w:pPr>
        <w:widowControl/>
        <w:snapToGrid w:val="0"/>
        <w:spacing w:line="288" w:lineRule="auto"/>
        <w:ind w:left="0" w:firstLine="0" w:firstLineChars="0"/>
        <w:jc w:val="both"/>
        <w:rPr>
          <w:rFonts w:ascii="仿宋" w:eastAsia="仿宋" w:hAnsi="仿宋" w:cs="Calibri" w:hint="eastAsia"/>
          <w:sz w:val="28"/>
          <w:szCs w:val="28"/>
          <w:lang w:eastAsia="zh-CN"/>
        </w:rPr>
      </w:pPr>
    </w:p>
    <w:p w14:paraId="3A9E0D48">
      <w:pPr>
        <w:widowControl/>
        <w:snapToGrid w:val="0"/>
        <w:spacing w:line="288" w:lineRule="auto"/>
        <w:ind w:left="0" w:firstLine="0" w:firstLineChars="0"/>
        <w:jc w:val="both"/>
        <w:rPr>
          <w:rFonts w:ascii="仿宋" w:eastAsia="仿宋" w:hAnsi="仿宋" w:cs="Calibri" w:hint="eastAsia"/>
          <w:sz w:val="28"/>
          <w:szCs w:val="28"/>
          <w:lang w:eastAsia="zh-CN"/>
        </w:rPr>
      </w:pPr>
      <w:r>
        <w:rPr>
          <w:rFonts w:ascii="仿宋" w:eastAsia="仿宋" w:hAnsi="仿宋" w:cs="Calibri" w:hint="eastAsia"/>
          <w:sz w:val="28"/>
          <w:szCs w:val="28"/>
          <w:lang w:eastAsia="zh-CN"/>
        </w:rPr>
        <w:t>（</w:t>
      </w:r>
      <w:r>
        <w:rPr>
          <w:rFonts w:ascii="仿宋" w:eastAsia="仿宋" w:hAnsi="仿宋" w:cs="Calibri" w:hint="eastAsia"/>
          <w:sz w:val="28"/>
          <w:szCs w:val="28"/>
          <w:lang w:eastAsia="zh-CN"/>
        </w:rPr>
        <w:t>本页无正文，为《</w:t>
      </w:r>
      <w:r>
        <w:rPr>
          <w:rFonts w:ascii="仿宋" w:eastAsia="仿宋" w:hAnsi="仿宋" w:cstheme="minorBidi" w:hint="eastAsia"/>
          <w:sz w:val="28"/>
          <w:szCs w:val="28"/>
          <w:lang w:eastAsia="zh-CN"/>
        </w:rPr>
        <w:t>龙川县新城幸福学校建设工程全过程造价咨询</w:t>
      </w:r>
      <w:r>
        <w:rPr>
          <w:rFonts w:ascii="仿宋" w:eastAsia="仿宋" w:hAnsi="仿宋" w:cstheme="minorBidi" w:hint="eastAsia"/>
          <w:sz w:val="28"/>
          <w:szCs w:val="28"/>
          <w:lang w:eastAsia="zh-CN"/>
        </w:rPr>
        <w:t>合同</w:t>
      </w:r>
      <w:r>
        <w:rPr>
          <w:rFonts w:ascii="仿宋" w:eastAsia="仿宋" w:hAnsi="仿宋" w:cs="Calibri" w:hint="eastAsia"/>
          <w:sz w:val="28"/>
          <w:szCs w:val="28"/>
          <w:lang w:eastAsia="zh-CN"/>
        </w:rPr>
        <w:t>》</w:t>
      </w:r>
      <w:r>
        <w:rPr>
          <w:rFonts w:ascii="仿宋" w:eastAsia="仿宋" w:hAnsi="仿宋" w:cstheme="minorBidi" w:hint="eastAsia"/>
          <w:sz w:val="28"/>
          <w:szCs w:val="28"/>
          <w:lang w:eastAsia="zh-CN"/>
        </w:rPr>
        <w:t>签署页</w:t>
      </w:r>
      <w:r>
        <w:rPr>
          <w:rFonts w:ascii="仿宋" w:eastAsia="仿宋" w:hAnsi="仿宋" w:cs="Calibri" w:hint="eastAsia"/>
          <w:sz w:val="28"/>
          <w:szCs w:val="28"/>
          <w:lang w:eastAsia="zh-CN"/>
        </w:rPr>
        <w:t>）</w:t>
      </w:r>
    </w:p>
    <w:tbl>
      <w:tblPr>
        <w:tblStyle w:val="TableGrid"/>
        <w:tblpPr w:leftFromText="180" w:rightFromText="180" w:vertAnchor="text" w:horzAnchor="page" w:tblpX="1888" w:tblpY="432"/>
        <w:tblOverlap w:val="never"/>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
      <w:tblGrid>
        <w:gridCol w:w="4757"/>
        <w:gridCol w:w="4758"/>
      </w:tblGrid>
      <w:tr w14:paraId="34DFA412">
        <w:tblPrEx>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57"/>
          <w:jc w:val="center"/>
        </w:trPr>
        <w:tc>
          <w:tcPr>
            <w:tcW w:w="4590" w:type="dxa"/>
            <w:noWrap w:val="0"/>
            <w:vAlign w:val="top"/>
          </w:tcPr>
          <w:p w14:paraId="01E7795F">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eastAsia="zh-CN"/>
              </w:rPr>
              <w:t>甲方</w:t>
            </w:r>
            <w:r>
              <w:rPr>
                <w:rFonts w:ascii="仿宋" w:eastAsia="仿宋" w:hAnsi="仿宋" w:cs="仿宋" w:hint="eastAsia"/>
                <w:kern w:val="2"/>
                <w:sz w:val="28"/>
                <w:szCs w:val="28"/>
                <w:lang w:val="zh-TW" w:eastAsia="zh-TW"/>
              </w:rPr>
              <w:t>：（盖章）</w:t>
            </w:r>
          </w:p>
        </w:tc>
        <w:tc>
          <w:tcPr>
            <w:tcW w:w="4590" w:type="dxa"/>
            <w:noWrap w:val="0"/>
            <w:vAlign w:val="top"/>
          </w:tcPr>
          <w:p w14:paraId="69BD8A79">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eastAsia="zh-CN"/>
              </w:rPr>
              <w:t>乙方</w:t>
            </w:r>
            <w:r>
              <w:rPr>
                <w:rFonts w:ascii="仿宋" w:eastAsia="仿宋" w:hAnsi="仿宋" w:cs="仿宋" w:hint="eastAsia"/>
                <w:kern w:val="2"/>
                <w:sz w:val="28"/>
                <w:szCs w:val="28"/>
                <w:lang w:val="zh-TW" w:eastAsia="zh-TW"/>
              </w:rPr>
              <w:t>：</w:t>
            </w:r>
            <w:r>
              <w:rPr>
                <w:rFonts w:ascii="仿宋" w:eastAsia="仿宋" w:hAnsi="仿宋" w:cs="仿宋" w:hint="eastAsia"/>
                <w:kern w:val="2"/>
                <w:sz w:val="28"/>
                <w:szCs w:val="28"/>
                <w:lang w:val="zh-TW" w:eastAsia="zh-CN"/>
              </w:rPr>
              <w:t>（</w:t>
            </w:r>
            <w:r>
              <w:rPr>
                <w:rFonts w:ascii="仿宋" w:eastAsia="仿宋" w:hAnsi="仿宋" w:cs="仿宋" w:hint="eastAsia"/>
                <w:kern w:val="2"/>
                <w:sz w:val="28"/>
                <w:szCs w:val="28"/>
                <w:lang w:eastAsia="zh-CN"/>
              </w:rPr>
              <w:t>盖章</w:t>
            </w:r>
            <w:r>
              <w:rPr>
                <w:rFonts w:ascii="仿宋" w:eastAsia="仿宋" w:hAnsi="仿宋" w:cs="仿宋" w:hint="eastAsia"/>
                <w:kern w:val="2"/>
                <w:sz w:val="28"/>
                <w:szCs w:val="28"/>
                <w:lang w:val="zh-TW" w:eastAsia="zh-CN"/>
              </w:rPr>
              <w:t>）</w:t>
            </w:r>
          </w:p>
        </w:tc>
      </w:tr>
      <w:tr w14:paraId="769CE432">
        <w:tblPrEx>
          <w:tblW w:w="5000" w:type="pct"/>
          <w:jc w:val="center"/>
          <w:tblLayout w:type="fixed"/>
          <w:tblCellMar>
            <w:top w:w="0" w:type="dxa"/>
            <w:left w:w="108" w:type="dxa"/>
            <w:bottom w:w="0" w:type="dxa"/>
            <w:right w:w="108" w:type="dxa"/>
          </w:tblCellMar>
        </w:tblPrEx>
        <w:trPr>
          <w:trHeight w:val="557"/>
          <w:jc w:val="center"/>
        </w:trPr>
        <w:tc>
          <w:tcPr>
            <w:tcW w:w="4590" w:type="dxa"/>
            <w:noWrap w:val="0"/>
            <w:vAlign w:val="top"/>
          </w:tcPr>
          <w:p w14:paraId="5752BC50">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val="zh-TW" w:eastAsia="zh-TW"/>
              </w:rPr>
              <w:t>地址：</w:t>
            </w:r>
          </w:p>
        </w:tc>
        <w:tc>
          <w:tcPr>
            <w:tcW w:w="4590" w:type="dxa"/>
            <w:noWrap w:val="0"/>
            <w:vAlign w:val="top"/>
          </w:tcPr>
          <w:p w14:paraId="504A930F">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val="zh-TW" w:eastAsia="zh-TW"/>
              </w:rPr>
              <w:t>地址：</w:t>
            </w:r>
          </w:p>
        </w:tc>
      </w:tr>
      <w:tr w14:paraId="14E9CEFC">
        <w:tblPrEx>
          <w:tblW w:w="5000" w:type="pct"/>
          <w:jc w:val="center"/>
          <w:tblLayout w:type="fixed"/>
          <w:tblCellMar>
            <w:top w:w="0" w:type="dxa"/>
            <w:left w:w="108" w:type="dxa"/>
            <w:bottom w:w="0" w:type="dxa"/>
            <w:right w:w="108" w:type="dxa"/>
          </w:tblCellMar>
        </w:tblPrEx>
        <w:trPr>
          <w:trHeight w:val="1113"/>
          <w:jc w:val="center"/>
        </w:trPr>
        <w:tc>
          <w:tcPr>
            <w:tcW w:w="4590" w:type="dxa"/>
            <w:noWrap w:val="0"/>
            <w:vAlign w:val="top"/>
          </w:tcPr>
          <w:p w14:paraId="4F08C66F">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val="zh-TW" w:eastAsia="zh-TW"/>
              </w:rPr>
            </w:pPr>
            <w:r>
              <w:rPr>
                <w:rFonts w:ascii="仿宋" w:eastAsia="仿宋" w:hAnsi="仿宋" w:cs="仿宋" w:hint="eastAsia"/>
                <w:kern w:val="2"/>
                <w:sz w:val="28"/>
                <w:szCs w:val="28"/>
                <w:lang w:val="zh-TW" w:eastAsia="zh-TW"/>
              </w:rPr>
              <w:t>法定代表人</w:t>
            </w:r>
          </w:p>
          <w:p w14:paraId="4C56C81E">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val="zh-TW" w:eastAsia="zh-TW"/>
              </w:rPr>
              <w:t>或其委托代理人（签章）：</w:t>
            </w:r>
          </w:p>
        </w:tc>
        <w:tc>
          <w:tcPr>
            <w:tcW w:w="4590" w:type="dxa"/>
            <w:noWrap w:val="0"/>
            <w:vAlign w:val="top"/>
          </w:tcPr>
          <w:p w14:paraId="3A2775D1">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val="zh-TW" w:eastAsia="zh-TW"/>
              </w:rPr>
            </w:pPr>
            <w:r>
              <w:rPr>
                <w:rFonts w:ascii="仿宋" w:eastAsia="仿宋" w:hAnsi="仿宋" w:cs="仿宋" w:hint="eastAsia"/>
                <w:kern w:val="2"/>
                <w:sz w:val="28"/>
                <w:szCs w:val="28"/>
                <w:lang w:val="zh-TW" w:eastAsia="zh-TW"/>
              </w:rPr>
              <w:t>法定代表人</w:t>
            </w:r>
          </w:p>
          <w:p w14:paraId="44A1CFBA">
            <w:pPr>
              <w:keepNext w:val="0"/>
              <w:keepLines w:val="0"/>
              <w:pageBreakBefore w:val="0"/>
              <w:kinsoku/>
              <w:wordWrap/>
              <w:overflowPunct/>
              <w:topLinePunct w:val="0"/>
              <w:autoSpaceDE/>
              <w:autoSpaceDN/>
              <w:bidi w:val="0"/>
              <w:adjustRightInd/>
              <w:snapToGrid/>
              <w:spacing w:afterAutospacing="0" w:line="560" w:lineRule="exact"/>
              <w:ind w:left="0" w:leftChars="0"/>
              <w:jc w:val="left"/>
              <w:textAlignment w:val="auto"/>
              <w:rPr>
                <w:rFonts w:ascii="仿宋" w:eastAsia="仿宋" w:hAnsi="仿宋" w:cs="仿宋" w:hint="eastAsia"/>
                <w:kern w:val="2"/>
                <w:sz w:val="28"/>
                <w:szCs w:val="28"/>
                <w:lang w:eastAsia="zh-CN"/>
              </w:rPr>
            </w:pPr>
            <w:r>
              <w:rPr>
                <w:rFonts w:ascii="仿宋" w:eastAsia="仿宋" w:hAnsi="仿宋" w:cs="仿宋" w:hint="eastAsia"/>
                <w:kern w:val="2"/>
                <w:sz w:val="28"/>
                <w:szCs w:val="28"/>
                <w:lang w:val="zh-TW" w:eastAsia="zh-TW"/>
              </w:rPr>
              <w:t>或其委托代理人（签章）：</w:t>
            </w:r>
          </w:p>
        </w:tc>
      </w:tr>
    </w:tbl>
    <w:p w14:paraId="404A3B1B">
      <w:pPr>
        <w:widowControl w:val="0"/>
        <w:jc w:val="both"/>
        <w:rPr>
          <w:rFonts w:ascii="仿宋" w:eastAsia="仿宋" w:hAnsi="仿宋" w:cs="仿宋" w:hint="eastAsia"/>
          <w:sz w:val="28"/>
          <w:szCs w:val="28"/>
          <w:lang w:eastAsia="zh-CN"/>
        </w:rPr>
      </w:pPr>
    </w:p>
    <w:p w14:paraId="777AAAB7">
      <w:pPr>
        <w:widowControl w:val="0"/>
        <w:adjustRightInd w:val="0"/>
        <w:spacing w:line="360" w:lineRule="atLeast"/>
        <w:ind w:firstLine="482"/>
        <w:jc w:val="both"/>
        <w:textAlignment w:val="baseline"/>
        <w:rPr>
          <w:rFonts w:ascii="仿宋" w:eastAsia="仿宋" w:hAnsi="仿宋" w:cs="仿宋" w:hint="eastAsia"/>
          <w:sz w:val="28"/>
          <w:szCs w:val="28"/>
          <w:lang w:eastAsia="zh-CN"/>
        </w:rPr>
      </w:pPr>
    </w:p>
    <w:p w14:paraId="0A949692">
      <w:pPr>
        <w:widowControl/>
        <w:snapToGrid w:val="0"/>
        <w:ind w:right="560"/>
        <w:jc w:val="both"/>
        <w:rPr>
          <w:rFonts w:ascii="仿宋" w:eastAsia="仿宋" w:hAnsi="仿宋" w:cs="仿宋" w:hint="eastAsia"/>
          <w:sz w:val="28"/>
          <w:szCs w:val="28"/>
          <w:lang w:eastAsia="zh-CN"/>
        </w:rPr>
      </w:pPr>
    </w:p>
    <w:p w14:paraId="1BC067C8">
      <w:pPr>
        <w:widowControl/>
        <w:snapToGrid w:val="0"/>
        <w:spacing w:line="360" w:lineRule="auto"/>
        <w:jc w:val="left"/>
        <w:rPr>
          <w:rFonts w:ascii="仿宋" w:eastAsia="仿宋" w:hAnsi="仿宋" w:cs="仿宋" w:hint="eastAsia"/>
          <w:sz w:val="28"/>
          <w:szCs w:val="28"/>
          <w:lang w:eastAsia="zh-CN"/>
        </w:rPr>
      </w:pPr>
      <w:r>
        <w:rPr>
          <w:rFonts w:ascii="仿宋" w:eastAsia="仿宋" w:hAnsi="仿宋" w:cs="仿宋" w:hint="eastAsia"/>
          <w:sz w:val="28"/>
          <w:szCs w:val="28"/>
          <w:lang w:eastAsia="zh-CN"/>
        </w:rPr>
        <w:t>合同订立时间：</w:t>
      </w:r>
      <w:r>
        <w:rPr>
          <w:rFonts w:ascii="仿宋" w:eastAsia="仿宋" w:hAnsi="仿宋" w:cs="仿宋" w:hint="eastAsia"/>
          <w:sz w:val="28"/>
          <w:szCs w:val="28"/>
          <w:lang w:eastAsia="zh-CN"/>
        </w:rPr>
        <w:t xml:space="preserve">    </w:t>
      </w:r>
      <w:r>
        <w:rPr>
          <w:rFonts w:ascii="仿宋" w:eastAsia="仿宋" w:hAnsi="仿宋" w:cs="仿宋" w:hint="eastAsia"/>
          <w:sz w:val="28"/>
          <w:szCs w:val="28"/>
          <w:lang w:eastAsia="zh-CN"/>
        </w:rPr>
        <w:t>年   月   日</w:t>
      </w:r>
    </w:p>
    <w:p w14:paraId="0D703336">
      <w:pPr>
        <w:widowControl w:val="0"/>
        <w:jc w:val="both"/>
        <w:rPr>
          <w:rFonts w:ascii="仿宋" w:eastAsia="仿宋" w:hAnsi="仿宋" w:cs="Calibri" w:hint="eastAsia"/>
          <w:sz w:val="28"/>
          <w:szCs w:val="28"/>
          <w:lang w:eastAsia="zh-CN"/>
        </w:rPr>
      </w:pPr>
      <w:r>
        <w:rPr>
          <w:rFonts w:ascii="仿宋" w:eastAsia="仿宋" w:hAnsi="仿宋" w:cs="Calibri" w:hint="eastAsia"/>
          <w:sz w:val="28"/>
          <w:szCs w:val="28"/>
          <w:lang w:eastAsia="zh-CN"/>
        </w:rPr>
        <w:br w:type="page"/>
      </w:r>
    </w:p>
    <w:p w14:paraId="2AA682F9">
      <w:pPr>
        <w:widowControl w:val="0"/>
        <w:jc w:val="both"/>
        <w:outlineLvl w:val="1"/>
        <w:rPr>
          <w:rFonts w:ascii="黑体" w:eastAsia="等线" w:hAnsi="黑体"/>
          <w:b/>
          <w:bCs/>
          <w:kern w:val="2"/>
          <w:sz w:val="21"/>
          <w:szCs w:val="22"/>
          <w:lang w:eastAsia="zh-CN"/>
        </w:rPr>
      </w:pPr>
      <w:r>
        <w:rPr>
          <w:rFonts w:ascii="等线" w:eastAsia="等线" w:hAnsi="等线" w:cstheme="minorBidi" w:hint="eastAsia"/>
          <w:b/>
          <w:bCs/>
          <w:kern w:val="2"/>
          <w:sz w:val="21"/>
          <w:szCs w:val="22"/>
          <w:lang w:eastAsia="zh-CN"/>
        </w:rPr>
        <w:t>附件一《履约评价评分表》</w:t>
      </w:r>
    </w:p>
    <w:p w14:paraId="50125474">
      <w:pPr>
        <w:widowControl/>
        <w:shd w:val="clear" w:color="auto" w:fill="FFFFFF"/>
        <w:jc w:val="center"/>
        <w:rPr>
          <w:rFonts w:ascii="方正小标宋简体" w:eastAsia="方正小标宋简体" w:hAnsi="黑体" w:cs="宋体" w:hint="eastAsia"/>
          <w:sz w:val="44"/>
          <w:szCs w:val="44"/>
          <w:lang w:eastAsia="zh-CN"/>
        </w:rPr>
      </w:pPr>
      <w:r>
        <w:rPr>
          <w:rFonts w:ascii="方正小标宋简体" w:eastAsia="方正小标宋简体" w:hAnsi="黑体" w:cs="宋体" w:hint="eastAsia"/>
          <w:sz w:val="44"/>
          <w:szCs w:val="44"/>
          <w:lang w:eastAsia="zh-CN"/>
        </w:rPr>
        <w:t>（造价咨询）合同履约评价评分表</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68"/>
        <w:gridCol w:w="776"/>
        <w:gridCol w:w="348"/>
        <w:gridCol w:w="652"/>
        <w:gridCol w:w="1240"/>
        <w:gridCol w:w="593"/>
        <w:gridCol w:w="472"/>
        <w:gridCol w:w="899"/>
        <w:gridCol w:w="2991"/>
        <w:gridCol w:w="17"/>
        <w:gridCol w:w="457"/>
        <w:gridCol w:w="502"/>
      </w:tblGrid>
      <w:tr w14:paraId="29FBCF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7"/>
          <w:jc w:val="center"/>
        </w:trPr>
        <w:tc>
          <w:tcPr>
            <w:tcW w:w="1264" w:type="dxa"/>
            <w:gridSpan w:val="2"/>
            <w:noWrap w:val="0"/>
            <w:vAlign w:val="center"/>
          </w:tcPr>
          <w:p w14:paraId="7B1DB0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b/>
                <w:bCs/>
                <w:color w:val="000000"/>
                <w:sz w:val="18"/>
                <w:szCs w:val="18"/>
                <w:lang w:eastAsia="zh-CN"/>
              </w:rPr>
            </w:pPr>
            <w:r>
              <w:rPr>
                <w:rFonts w:ascii="仿宋_GB2312" w:eastAsia="仿宋_GB2312" w:hAnsi="宋体" w:cs="宋体" w:hint="eastAsia"/>
                <w:color w:val="000000"/>
                <w:sz w:val="18"/>
                <w:szCs w:val="18"/>
                <w:lang w:eastAsia="zh-CN"/>
              </w:rPr>
              <w:t>评价形式</w:t>
            </w:r>
          </w:p>
        </w:tc>
        <w:tc>
          <w:tcPr>
            <w:tcW w:w="7683" w:type="dxa"/>
            <w:gridSpan w:val="10"/>
            <w:noWrap w:val="0"/>
            <w:vAlign w:val="center"/>
          </w:tcPr>
          <w:p w14:paraId="772C4C9B">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b/>
                <w:bCs/>
                <w:color w:val="000000"/>
                <w:sz w:val="18"/>
                <w:szCs w:val="18"/>
                <w:lang w:eastAsia="zh-CN"/>
              </w:rPr>
            </w:pPr>
            <w:r>
              <w:rPr>
                <w:rFonts w:ascii="仿宋_GB2312" w:eastAsia="仿宋_GB2312" w:hAnsi="宋体" w:cs="宋体" w:hint="eastAsia"/>
                <w:color w:val="000000"/>
                <w:sz w:val="18"/>
                <w:szCs w:val="18"/>
                <w:lang w:eastAsia="zh-CN"/>
              </w:rPr>
              <w:t>□项目</w:t>
            </w:r>
            <w:r>
              <w:rPr>
                <w:rFonts w:ascii="仿宋_GB2312" w:eastAsia="仿宋_GB2312" w:hAnsi="宋体" w:cs="宋体" w:hint="eastAsia"/>
                <w:color w:val="000000"/>
                <w:sz w:val="18"/>
                <w:szCs w:val="18"/>
                <w:lang w:eastAsia="zh-CN"/>
              </w:rPr>
              <w:t>节点</w:t>
            </w:r>
            <w:r>
              <w:rPr>
                <w:rFonts w:ascii="仿宋_GB2312" w:eastAsia="仿宋_GB2312" w:hAnsi="宋体" w:cs="宋体" w:hint="eastAsia"/>
                <w:color w:val="000000"/>
                <w:sz w:val="18"/>
                <w:szCs w:val="18"/>
                <w:lang w:eastAsia="zh-CN"/>
              </w:rPr>
              <w:t>履约评价   □项目</w:t>
            </w:r>
            <w:r>
              <w:rPr>
                <w:rFonts w:ascii="仿宋_GB2312" w:eastAsia="仿宋_GB2312" w:hAnsi="宋体" w:cs="宋体" w:hint="eastAsia"/>
                <w:color w:val="000000"/>
                <w:sz w:val="18"/>
                <w:szCs w:val="18"/>
                <w:lang w:eastAsia="zh-CN"/>
              </w:rPr>
              <w:t>完成</w:t>
            </w:r>
            <w:r>
              <w:rPr>
                <w:rFonts w:ascii="仿宋_GB2312" w:eastAsia="仿宋_GB2312" w:hAnsi="宋体" w:cs="宋体" w:hint="eastAsia"/>
                <w:color w:val="000000"/>
                <w:sz w:val="18"/>
                <w:szCs w:val="18"/>
                <w:lang w:eastAsia="zh-CN"/>
              </w:rPr>
              <w:t>履约评价</w:t>
            </w:r>
          </w:p>
        </w:tc>
      </w:tr>
      <w:tr w14:paraId="2BD71CE4">
        <w:tblPrEx>
          <w:tblW w:w="5000" w:type="pct"/>
          <w:jc w:val="center"/>
          <w:tblLayout w:type="fixed"/>
          <w:tblCellMar>
            <w:top w:w="0" w:type="dxa"/>
            <w:left w:w="108" w:type="dxa"/>
            <w:bottom w:w="0" w:type="dxa"/>
            <w:right w:w="108" w:type="dxa"/>
          </w:tblCellMar>
        </w:tblPrEx>
        <w:trPr>
          <w:trHeight w:val="57"/>
          <w:jc w:val="center"/>
        </w:trPr>
        <w:tc>
          <w:tcPr>
            <w:tcW w:w="1264" w:type="dxa"/>
            <w:gridSpan w:val="2"/>
            <w:noWrap w:val="0"/>
            <w:vAlign w:val="center"/>
          </w:tcPr>
          <w:p w14:paraId="3DF6F4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工程名称</w:t>
            </w:r>
          </w:p>
        </w:tc>
        <w:tc>
          <w:tcPr>
            <w:tcW w:w="2664" w:type="dxa"/>
            <w:gridSpan w:val="4"/>
            <w:noWrap w:val="0"/>
            <w:vAlign w:val="center"/>
          </w:tcPr>
          <w:p w14:paraId="63A31F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p>
        </w:tc>
        <w:tc>
          <w:tcPr>
            <w:tcW w:w="1289" w:type="dxa"/>
            <w:gridSpan w:val="2"/>
            <w:noWrap w:val="0"/>
            <w:vAlign w:val="center"/>
          </w:tcPr>
          <w:p w14:paraId="27319F5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承包商</w:t>
            </w:r>
          </w:p>
        </w:tc>
        <w:tc>
          <w:tcPr>
            <w:tcW w:w="3730" w:type="dxa"/>
            <w:gridSpan w:val="4"/>
            <w:noWrap w:val="0"/>
            <w:vAlign w:val="center"/>
          </w:tcPr>
          <w:p w14:paraId="7379F7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p>
        </w:tc>
      </w:tr>
      <w:tr w14:paraId="05B5ACC2">
        <w:tblPrEx>
          <w:tblW w:w="5000" w:type="pct"/>
          <w:jc w:val="center"/>
          <w:tblLayout w:type="fixed"/>
          <w:tblCellMar>
            <w:top w:w="0" w:type="dxa"/>
            <w:left w:w="108" w:type="dxa"/>
            <w:bottom w:w="0" w:type="dxa"/>
            <w:right w:w="108" w:type="dxa"/>
          </w:tblCellMar>
        </w:tblPrEx>
        <w:trPr>
          <w:trHeight w:val="57"/>
          <w:jc w:val="center"/>
        </w:trPr>
        <w:tc>
          <w:tcPr>
            <w:tcW w:w="1264" w:type="dxa"/>
            <w:gridSpan w:val="2"/>
            <w:noWrap w:val="0"/>
            <w:vAlign w:val="center"/>
          </w:tcPr>
          <w:p w14:paraId="77E28C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总得分</w:t>
            </w:r>
          </w:p>
        </w:tc>
        <w:tc>
          <w:tcPr>
            <w:tcW w:w="2664" w:type="dxa"/>
            <w:gridSpan w:val="4"/>
            <w:noWrap w:val="0"/>
            <w:vAlign w:val="center"/>
          </w:tcPr>
          <w:p w14:paraId="0D096D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p>
        </w:tc>
        <w:tc>
          <w:tcPr>
            <w:tcW w:w="1289" w:type="dxa"/>
            <w:gridSpan w:val="2"/>
            <w:noWrap w:val="0"/>
            <w:vAlign w:val="center"/>
          </w:tcPr>
          <w:p w14:paraId="026841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评价等级</w:t>
            </w:r>
          </w:p>
        </w:tc>
        <w:tc>
          <w:tcPr>
            <w:tcW w:w="3730" w:type="dxa"/>
            <w:gridSpan w:val="4"/>
            <w:noWrap w:val="0"/>
            <w:vAlign w:val="center"/>
          </w:tcPr>
          <w:p w14:paraId="7E1608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□优秀  □良好  □合格  □不合格</w:t>
            </w:r>
          </w:p>
        </w:tc>
      </w:tr>
      <w:tr w14:paraId="6BBABAC3">
        <w:tblPrEx>
          <w:tblW w:w="5000" w:type="pct"/>
          <w:jc w:val="center"/>
          <w:tblLayout w:type="fixed"/>
          <w:tblCellMar>
            <w:top w:w="0" w:type="dxa"/>
            <w:left w:w="108" w:type="dxa"/>
            <w:bottom w:w="0" w:type="dxa"/>
            <w:right w:w="108" w:type="dxa"/>
          </w:tblCellMar>
        </w:tblPrEx>
        <w:trPr>
          <w:trHeight w:val="57"/>
          <w:jc w:val="center"/>
        </w:trPr>
        <w:tc>
          <w:tcPr>
            <w:tcW w:w="1264" w:type="dxa"/>
            <w:gridSpan w:val="2"/>
            <w:noWrap w:val="0"/>
            <w:vAlign w:val="center"/>
          </w:tcPr>
          <w:p w14:paraId="688E6F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r>
              <w:rPr>
                <w:rFonts w:ascii="仿宋_GB2312" w:eastAsia="仿宋_GB2312" w:hAnsi="宋体" w:cs="宋体" w:hint="eastAsia"/>
                <w:color w:val="000000"/>
                <w:sz w:val="18"/>
                <w:szCs w:val="18"/>
                <w:lang w:eastAsia="zh-CN"/>
              </w:rPr>
              <w:t>评价时间</w:t>
            </w:r>
          </w:p>
        </w:tc>
        <w:tc>
          <w:tcPr>
            <w:tcW w:w="7683" w:type="dxa"/>
            <w:gridSpan w:val="10"/>
            <w:noWrap w:val="0"/>
            <w:vAlign w:val="center"/>
          </w:tcPr>
          <w:p w14:paraId="6414C1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color w:val="000000"/>
                <w:sz w:val="18"/>
                <w:szCs w:val="18"/>
                <w:lang w:eastAsia="zh-CN"/>
              </w:rPr>
            </w:pPr>
          </w:p>
        </w:tc>
      </w:tr>
      <w:tr w14:paraId="1D0DAFA1">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522F0F7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序号</w:t>
            </w:r>
          </w:p>
        </w:tc>
        <w:tc>
          <w:tcPr>
            <w:tcW w:w="1057" w:type="dxa"/>
            <w:gridSpan w:val="2"/>
            <w:noWrap w:val="0"/>
            <w:vAlign w:val="center"/>
          </w:tcPr>
          <w:p w14:paraId="7BFC567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分项内容</w:t>
            </w:r>
          </w:p>
        </w:tc>
        <w:tc>
          <w:tcPr>
            <w:tcW w:w="613" w:type="dxa"/>
            <w:noWrap w:val="0"/>
            <w:vAlign w:val="center"/>
          </w:tcPr>
          <w:p w14:paraId="52EB357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满分</w:t>
            </w:r>
          </w:p>
        </w:tc>
        <w:tc>
          <w:tcPr>
            <w:tcW w:w="2168" w:type="dxa"/>
            <w:gridSpan w:val="3"/>
            <w:noWrap w:val="0"/>
            <w:vAlign w:val="center"/>
          </w:tcPr>
          <w:p w14:paraId="502110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评价要素</w:t>
            </w:r>
          </w:p>
        </w:tc>
        <w:tc>
          <w:tcPr>
            <w:tcW w:w="3673" w:type="dxa"/>
            <w:gridSpan w:val="3"/>
            <w:noWrap w:val="0"/>
            <w:vAlign w:val="center"/>
          </w:tcPr>
          <w:p w14:paraId="3B0854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评价标准</w:t>
            </w:r>
          </w:p>
        </w:tc>
        <w:tc>
          <w:tcPr>
            <w:tcW w:w="430" w:type="dxa"/>
            <w:noWrap w:val="0"/>
            <w:vAlign w:val="center"/>
          </w:tcPr>
          <w:p w14:paraId="73CC269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分值</w:t>
            </w:r>
          </w:p>
        </w:tc>
        <w:tc>
          <w:tcPr>
            <w:tcW w:w="472" w:type="dxa"/>
            <w:noWrap w:val="0"/>
            <w:vAlign w:val="center"/>
          </w:tcPr>
          <w:p w14:paraId="2994650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得分</w:t>
            </w:r>
          </w:p>
        </w:tc>
      </w:tr>
      <w:tr w14:paraId="16EF39AA">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2E2AA8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一</w:t>
            </w:r>
          </w:p>
        </w:tc>
        <w:tc>
          <w:tcPr>
            <w:tcW w:w="1057" w:type="dxa"/>
            <w:gridSpan w:val="2"/>
            <w:noWrap w:val="0"/>
            <w:vAlign w:val="center"/>
          </w:tcPr>
          <w:p w14:paraId="1C0FC67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人员</w:t>
            </w:r>
          </w:p>
          <w:p w14:paraId="206FE2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配备</w:t>
            </w:r>
          </w:p>
        </w:tc>
        <w:tc>
          <w:tcPr>
            <w:tcW w:w="613" w:type="dxa"/>
            <w:noWrap w:val="0"/>
            <w:vAlign w:val="center"/>
          </w:tcPr>
          <w:p w14:paraId="746EDE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15</w:t>
            </w:r>
          </w:p>
        </w:tc>
        <w:tc>
          <w:tcPr>
            <w:tcW w:w="6743" w:type="dxa"/>
            <w:gridSpan w:val="8"/>
            <w:noWrap w:val="0"/>
            <w:vAlign w:val="center"/>
          </w:tcPr>
          <w:p w14:paraId="6D48B2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黑体" w:cs="宋体" w:hint="eastAsia"/>
                <w:b/>
                <w:szCs w:val="22"/>
                <w:lang w:eastAsia="zh-CN"/>
              </w:rPr>
            </w:pPr>
          </w:p>
        </w:tc>
      </w:tr>
      <w:tr w14:paraId="52277B84">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70570F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w:t>
            </w:r>
          </w:p>
        </w:tc>
        <w:tc>
          <w:tcPr>
            <w:tcW w:w="1057" w:type="dxa"/>
            <w:gridSpan w:val="2"/>
            <w:vMerge w:val="restart"/>
            <w:noWrap w:val="0"/>
            <w:vAlign w:val="center"/>
          </w:tcPr>
          <w:p w14:paraId="306C9B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项目负责人</w:t>
            </w:r>
          </w:p>
        </w:tc>
        <w:tc>
          <w:tcPr>
            <w:tcW w:w="613" w:type="dxa"/>
            <w:vMerge w:val="restart"/>
            <w:noWrap w:val="0"/>
            <w:vAlign w:val="center"/>
          </w:tcPr>
          <w:p w14:paraId="05B2CA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1166" w:type="dxa"/>
            <w:noWrap w:val="0"/>
            <w:vAlign w:val="center"/>
          </w:tcPr>
          <w:p w14:paraId="0C2164F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与合约一致性</w:t>
            </w:r>
          </w:p>
        </w:tc>
        <w:tc>
          <w:tcPr>
            <w:tcW w:w="4659" w:type="dxa"/>
            <w:gridSpan w:val="4"/>
            <w:noWrap w:val="0"/>
            <w:vAlign w:val="center"/>
          </w:tcPr>
          <w:p w14:paraId="007D1487">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一致得2分，不一致得0分。</w:t>
            </w:r>
          </w:p>
        </w:tc>
        <w:tc>
          <w:tcPr>
            <w:tcW w:w="446" w:type="dxa"/>
            <w:gridSpan w:val="2"/>
            <w:noWrap w:val="0"/>
            <w:vAlign w:val="center"/>
          </w:tcPr>
          <w:p w14:paraId="371C4F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2</w:t>
            </w:r>
          </w:p>
        </w:tc>
        <w:tc>
          <w:tcPr>
            <w:tcW w:w="472" w:type="dxa"/>
            <w:noWrap w:val="0"/>
            <w:vAlign w:val="center"/>
          </w:tcPr>
          <w:p w14:paraId="20037B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5A089EB2">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65E816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640BD2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236664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77CB6829">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工作称职性</w:t>
            </w:r>
          </w:p>
        </w:tc>
        <w:tc>
          <w:tcPr>
            <w:tcW w:w="4659" w:type="dxa"/>
            <w:gridSpan w:val="4"/>
            <w:noWrap w:val="0"/>
            <w:vAlign w:val="center"/>
          </w:tcPr>
          <w:p w14:paraId="40A9CF62">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工作称职得3分，每发生一例不称职、不负责、推诿、协调不力扣0.5分。</w:t>
            </w:r>
          </w:p>
        </w:tc>
        <w:tc>
          <w:tcPr>
            <w:tcW w:w="446" w:type="dxa"/>
            <w:gridSpan w:val="2"/>
            <w:noWrap w:val="0"/>
            <w:vAlign w:val="center"/>
          </w:tcPr>
          <w:p w14:paraId="29137B1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3</w:t>
            </w:r>
          </w:p>
        </w:tc>
        <w:tc>
          <w:tcPr>
            <w:tcW w:w="472" w:type="dxa"/>
            <w:noWrap w:val="0"/>
            <w:vAlign w:val="center"/>
          </w:tcPr>
          <w:p w14:paraId="3E2B90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0C9E08E2">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04A65D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2</w:t>
            </w:r>
          </w:p>
        </w:tc>
        <w:tc>
          <w:tcPr>
            <w:tcW w:w="1057" w:type="dxa"/>
            <w:gridSpan w:val="2"/>
            <w:vMerge w:val="restart"/>
            <w:noWrap w:val="0"/>
            <w:vAlign w:val="center"/>
          </w:tcPr>
          <w:p w14:paraId="263012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其他人员</w:t>
            </w:r>
          </w:p>
        </w:tc>
        <w:tc>
          <w:tcPr>
            <w:tcW w:w="613" w:type="dxa"/>
            <w:vMerge w:val="restart"/>
            <w:noWrap w:val="0"/>
            <w:vAlign w:val="center"/>
          </w:tcPr>
          <w:p w14:paraId="2F5844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10</w:t>
            </w:r>
          </w:p>
        </w:tc>
        <w:tc>
          <w:tcPr>
            <w:tcW w:w="1166" w:type="dxa"/>
            <w:noWrap w:val="0"/>
            <w:vAlign w:val="center"/>
          </w:tcPr>
          <w:p w14:paraId="3A6F541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人员专业、资质、数量</w:t>
            </w:r>
          </w:p>
        </w:tc>
        <w:tc>
          <w:tcPr>
            <w:tcW w:w="4659" w:type="dxa"/>
            <w:gridSpan w:val="4"/>
            <w:noWrap w:val="0"/>
            <w:vAlign w:val="center"/>
          </w:tcPr>
          <w:p w14:paraId="041BBB57">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人员专业、资质、数量满足合同要求得4分，每发生一例人员专业不符、资质不符或每缺一人扣0.5分。</w:t>
            </w:r>
          </w:p>
        </w:tc>
        <w:tc>
          <w:tcPr>
            <w:tcW w:w="446" w:type="dxa"/>
            <w:gridSpan w:val="2"/>
            <w:noWrap w:val="0"/>
            <w:vAlign w:val="center"/>
          </w:tcPr>
          <w:p w14:paraId="495C38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4</w:t>
            </w:r>
          </w:p>
        </w:tc>
        <w:tc>
          <w:tcPr>
            <w:tcW w:w="472" w:type="dxa"/>
            <w:noWrap w:val="0"/>
            <w:vAlign w:val="center"/>
          </w:tcPr>
          <w:p w14:paraId="15EFB49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399C1309">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0CB9104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51DBD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1AA3DD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461E21D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工作称职性</w:t>
            </w:r>
          </w:p>
        </w:tc>
        <w:tc>
          <w:tcPr>
            <w:tcW w:w="4659" w:type="dxa"/>
            <w:gridSpan w:val="4"/>
            <w:noWrap w:val="0"/>
            <w:vAlign w:val="center"/>
          </w:tcPr>
          <w:p w14:paraId="691F0D8D">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工作称职得6分，每发生一例不称职、不负责、推诿、协调不力扣0.5分。</w:t>
            </w:r>
          </w:p>
        </w:tc>
        <w:tc>
          <w:tcPr>
            <w:tcW w:w="446" w:type="dxa"/>
            <w:gridSpan w:val="2"/>
            <w:noWrap w:val="0"/>
            <w:vAlign w:val="center"/>
          </w:tcPr>
          <w:p w14:paraId="47BD44D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6</w:t>
            </w:r>
          </w:p>
        </w:tc>
        <w:tc>
          <w:tcPr>
            <w:tcW w:w="472" w:type="dxa"/>
            <w:noWrap w:val="0"/>
            <w:vAlign w:val="center"/>
          </w:tcPr>
          <w:p w14:paraId="2EB001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3BD7A5EA">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59B8B1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 xml:space="preserve"> 二</w:t>
            </w:r>
          </w:p>
        </w:tc>
        <w:tc>
          <w:tcPr>
            <w:tcW w:w="1057" w:type="dxa"/>
            <w:gridSpan w:val="2"/>
            <w:noWrap w:val="0"/>
            <w:vAlign w:val="center"/>
          </w:tcPr>
          <w:p w14:paraId="351CF2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履约</w:t>
            </w:r>
          </w:p>
          <w:p w14:paraId="005EF7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质量</w:t>
            </w:r>
          </w:p>
        </w:tc>
        <w:tc>
          <w:tcPr>
            <w:tcW w:w="613" w:type="dxa"/>
            <w:noWrap w:val="0"/>
            <w:vAlign w:val="center"/>
          </w:tcPr>
          <w:p w14:paraId="20E72F4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75</w:t>
            </w:r>
          </w:p>
        </w:tc>
        <w:tc>
          <w:tcPr>
            <w:tcW w:w="6743" w:type="dxa"/>
            <w:gridSpan w:val="8"/>
            <w:noWrap w:val="0"/>
            <w:vAlign w:val="center"/>
          </w:tcPr>
          <w:p w14:paraId="07CFAA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黑体" w:cs="宋体" w:hint="eastAsia"/>
                <w:b/>
                <w:szCs w:val="22"/>
                <w:lang w:eastAsia="zh-CN"/>
              </w:rPr>
            </w:pPr>
          </w:p>
        </w:tc>
      </w:tr>
      <w:tr w14:paraId="75ACBEE5">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29AC17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3</w:t>
            </w:r>
          </w:p>
        </w:tc>
        <w:tc>
          <w:tcPr>
            <w:tcW w:w="1057" w:type="dxa"/>
            <w:gridSpan w:val="2"/>
            <w:vMerge w:val="restart"/>
            <w:noWrap w:val="0"/>
            <w:vAlign w:val="center"/>
          </w:tcPr>
          <w:p w14:paraId="298952E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估算编制与审核</w:t>
            </w:r>
          </w:p>
        </w:tc>
        <w:tc>
          <w:tcPr>
            <w:tcW w:w="613" w:type="dxa"/>
            <w:vMerge w:val="restart"/>
            <w:noWrap w:val="0"/>
            <w:vAlign w:val="center"/>
          </w:tcPr>
          <w:p w14:paraId="717029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1166" w:type="dxa"/>
            <w:noWrap w:val="0"/>
            <w:vAlign w:val="center"/>
          </w:tcPr>
          <w:p w14:paraId="79423D0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全面、系统、准确、认真</w:t>
            </w:r>
          </w:p>
        </w:tc>
        <w:tc>
          <w:tcPr>
            <w:tcW w:w="4675" w:type="dxa"/>
            <w:gridSpan w:val="5"/>
            <w:noWrap w:val="0"/>
            <w:vAlign w:val="center"/>
          </w:tcPr>
          <w:p w14:paraId="03D7F6CD">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全面、系统、准确、认真得3分；每发生一例全面、系统、准确、认真等方面问题，扣0.5分。</w:t>
            </w:r>
          </w:p>
        </w:tc>
        <w:tc>
          <w:tcPr>
            <w:tcW w:w="430" w:type="dxa"/>
            <w:noWrap w:val="0"/>
            <w:vAlign w:val="center"/>
          </w:tcPr>
          <w:p w14:paraId="21F2DF5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3</w:t>
            </w:r>
          </w:p>
        </w:tc>
        <w:tc>
          <w:tcPr>
            <w:tcW w:w="472" w:type="dxa"/>
            <w:noWrap w:val="0"/>
            <w:vAlign w:val="center"/>
          </w:tcPr>
          <w:p w14:paraId="0518064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1B51D4CC">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063A38E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20F6FC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3D3708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6849882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估算造价指标合理性</w:t>
            </w:r>
          </w:p>
        </w:tc>
        <w:tc>
          <w:tcPr>
            <w:tcW w:w="4675" w:type="dxa"/>
            <w:gridSpan w:val="5"/>
            <w:noWrap w:val="0"/>
            <w:vAlign w:val="center"/>
          </w:tcPr>
          <w:p w14:paraId="5FB343F2">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合理得4分，每发生一例指标不合理扣0.5分。</w:t>
            </w:r>
          </w:p>
        </w:tc>
        <w:tc>
          <w:tcPr>
            <w:tcW w:w="430" w:type="dxa"/>
            <w:noWrap w:val="0"/>
            <w:vAlign w:val="center"/>
          </w:tcPr>
          <w:p w14:paraId="5F6B17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4</w:t>
            </w:r>
          </w:p>
        </w:tc>
        <w:tc>
          <w:tcPr>
            <w:tcW w:w="472" w:type="dxa"/>
            <w:noWrap w:val="0"/>
            <w:vAlign w:val="center"/>
          </w:tcPr>
          <w:p w14:paraId="22B2C39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3E1F7263">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2F0586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4</w:t>
            </w:r>
          </w:p>
        </w:tc>
        <w:tc>
          <w:tcPr>
            <w:tcW w:w="1057" w:type="dxa"/>
            <w:gridSpan w:val="2"/>
            <w:vMerge w:val="restart"/>
            <w:noWrap w:val="0"/>
            <w:vAlign w:val="center"/>
          </w:tcPr>
          <w:p w14:paraId="3AEBE5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预算编制与审核</w:t>
            </w:r>
          </w:p>
        </w:tc>
        <w:tc>
          <w:tcPr>
            <w:tcW w:w="613" w:type="dxa"/>
            <w:vMerge w:val="restart"/>
            <w:noWrap w:val="0"/>
            <w:vAlign w:val="center"/>
          </w:tcPr>
          <w:p w14:paraId="171D9ED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10</w:t>
            </w:r>
          </w:p>
        </w:tc>
        <w:tc>
          <w:tcPr>
            <w:tcW w:w="1166" w:type="dxa"/>
            <w:noWrap w:val="0"/>
            <w:vAlign w:val="center"/>
          </w:tcPr>
          <w:p w14:paraId="10D6650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清单项目完整性</w:t>
            </w:r>
          </w:p>
        </w:tc>
        <w:tc>
          <w:tcPr>
            <w:tcW w:w="4675" w:type="dxa"/>
            <w:gridSpan w:val="5"/>
            <w:noWrap w:val="0"/>
            <w:vAlign w:val="center"/>
          </w:tcPr>
          <w:p w14:paraId="5F9CBA3B">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清单项目完整得3分，每发生一例缺漏、漏项扣0.5分。</w:t>
            </w:r>
          </w:p>
        </w:tc>
        <w:tc>
          <w:tcPr>
            <w:tcW w:w="430" w:type="dxa"/>
            <w:noWrap w:val="0"/>
            <w:vAlign w:val="center"/>
          </w:tcPr>
          <w:p w14:paraId="7DE2D9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3</w:t>
            </w:r>
          </w:p>
        </w:tc>
        <w:tc>
          <w:tcPr>
            <w:tcW w:w="472" w:type="dxa"/>
            <w:noWrap w:val="0"/>
            <w:vAlign w:val="center"/>
          </w:tcPr>
          <w:p w14:paraId="56E84B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60757B7B">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287F3E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6F7E0DE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0FA9DC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49EC6D7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工程量及单价误差率</w:t>
            </w:r>
          </w:p>
        </w:tc>
        <w:tc>
          <w:tcPr>
            <w:tcW w:w="4675" w:type="dxa"/>
            <w:gridSpan w:val="5"/>
            <w:noWrap w:val="0"/>
            <w:vAlign w:val="center"/>
          </w:tcPr>
          <w:p w14:paraId="3A48B955">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与审定量、审定价相比，每发生一例工程量或单价误差率≥5%的，扣1分。</w:t>
            </w:r>
          </w:p>
        </w:tc>
        <w:tc>
          <w:tcPr>
            <w:tcW w:w="430" w:type="dxa"/>
            <w:noWrap w:val="0"/>
            <w:vAlign w:val="center"/>
          </w:tcPr>
          <w:p w14:paraId="541476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7</w:t>
            </w:r>
          </w:p>
        </w:tc>
        <w:tc>
          <w:tcPr>
            <w:tcW w:w="472" w:type="dxa"/>
            <w:noWrap w:val="0"/>
            <w:vAlign w:val="center"/>
          </w:tcPr>
          <w:p w14:paraId="6E8E71A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6546EDBB">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372514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1057" w:type="dxa"/>
            <w:gridSpan w:val="2"/>
            <w:vMerge w:val="restart"/>
            <w:noWrap w:val="0"/>
            <w:vAlign w:val="center"/>
          </w:tcPr>
          <w:p w14:paraId="0B5F8B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结算编制与审核</w:t>
            </w:r>
          </w:p>
        </w:tc>
        <w:tc>
          <w:tcPr>
            <w:tcW w:w="613" w:type="dxa"/>
            <w:vMerge w:val="restart"/>
            <w:noWrap w:val="0"/>
            <w:vAlign w:val="center"/>
          </w:tcPr>
          <w:p w14:paraId="726674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20</w:t>
            </w:r>
          </w:p>
        </w:tc>
        <w:tc>
          <w:tcPr>
            <w:tcW w:w="1166" w:type="dxa"/>
            <w:noWrap w:val="0"/>
            <w:vAlign w:val="center"/>
          </w:tcPr>
          <w:p w14:paraId="0CD62D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清单项目完整性</w:t>
            </w:r>
          </w:p>
        </w:tc>
        <w:tc>
          <w:tcPr>
            <w:tcW w:w="4675" w:type="dxa"/>
            <w:gridSpan w:val="5"/>
            <w:noWrap w:val="0"/>
            <w:vAlign w:val="center"/>
          </w:tcPr>
          <w:p w14:paraId="7F9910DF">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清单项目完整得3分，每发生一例缺漏、漏项扣0.5分。</w:t>
            </w:r>
          </w:p>
        </w:tc>
        <w:tc>
          <w:tcPr>
            <w:tcW w:w="430" w:type="dxa"/>
            <w:noWrap w:val="0"/>
            <w:vAlign w:val="center"/>
          </w:tcPr>
          <w:p w14:paraId="1EA82D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472" w:type="dxa"/>
            <w:noWrap w:val="0"/>
            <w:vAlign w:val="center"/>
          </w:tcPr>
          <w:p w14:paraId="798EC7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057B3B3B">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5D7C50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2F4B76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02E1CF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49C030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工程量及单价误差率</w:t>
            </w:r>
          </w:p>
        </w:tc>
        <w:tc>
          <w:tcPr>
            <w:tcW w:w="4675" w:type="dxa"/>
            <w:gridSpan w:val="5"/>
            <w:noWrap w:val="0"/>
            <w:vAlign w:val="center"/>
          </w:tcPr>
          <w:p w14:paraId="4DE30BFE">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与审定量、审定价相比，每发生一例工程量或单价误差率≥5%的，扣1分</w:t>
            </w:r>
          </w:p>
        </w:tc>
        <w:tc>
          <w:tcPr>
            <w:tcW w:w="430" w:type="dxa"/>
            <w:noWrap w:val="0"/>
            <w:vAlign w:val="center"/>
          </w:tcPr>
          <w:p w14:paraId="5AD23B8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15</w:t>
            </w:r>
          </w:p>
        </w:tc>
        <w:tc>
          <w:tcPr>
            <w:tcW w:w="472" w:type="dxa"/>
            <w:noWrap w:val="0"/>
            <w:vAlign w:val="center"/>
          </w:tcPr>
          <w:p w14:paraId="62F8627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0D7E6391">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05A000A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6</w:t>
            </w:r>
          </w:p>
        </w:tc>
        <w:tc>
          <w:tcPr>
            <w:tcW w:w="1057" w:type="dxa"/>
            <w:gridSpan w:val="2"/>
            <w:vMerge w:val="restart"/>
            <w:noWrap w:val="0"/>
            <w:vAlign w:val="center"/>
          </w:tcPr>
          <w:p w14:paraId="4726769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过程造价控制</w:t>
            </w:r>
          </w:p>
        </w:tc>
        <w:tc>
          <w:tcPr>
            <w:tcW w:w="613" w:type="dxa"/>
            <w:vMerge w:val="restart"/>
            <w:noWrap w:val="0"/>
            <w:vAlign w:val="center"/>
          </w:tcPr>
          <w:p w14:paraId="3B79B7B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20</w:t>
            </w:r>
          </w:p>
        </w:tc>
        <w:tc>
          <w:tcPr>
            <w:tcW w:w="1166" w:type="dxa"/>
            <w:noWrap w:val="0"/>
            <w:vAlign w:val="center"/>
          </w:tcPr>
          <w:p w14:paraId="0E7A908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复核计量</w:t>
            </w:r>
          </w:p>
        </w:tc>
        <w:tc>
          <w:tcPr>
            <w:tcW w:w="4675" w:type="dxa"/>
            <w:gridSpan w:val="5"/>
            <w:noWrap w:val="0"/>
            <w:vAlign w:val="center"/>
          </w:tcPr>
          <w:p w14:paraId="418A3EA3">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复核计量准确、及时得15分，每发生一例复核计量错误、延误扣2分。</w:t>
            </w:r>
          </w:p>
        </w:tc>
        <w:tc>
          <w:tcPr>
            <w:tcW w:w="430" w:type="dxa"/>
            <w:noWrap w:val="0"/>
            <w:vAlign w:val="center"/>
          </w:tcPr>
          <w:p w14:paraId="7E39830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15</w:t>
            </w:r>
          </w:p>
        </w:tc>
        <w:tc>
          <w:tcPr>
            <w:tcW w:w="472" w:type="dxa"/>
            <w:noWrap w:val="0"/>
            <w:vAlign w:val="center"/>
          </w:tcPr>
          <w:p w14:paraId="25DF469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646EEFBF">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323F26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0E367D4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6F8CBA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4FFA485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造价改善建议</w:t>
            </w:r>
          </w:p>
        </w:tc>
        <w:tc>
          <w:tcPr>
            <w:tcW w:w="4675" w:type="dxa"/>
            <w:gridSpan w:val="5"/>
            <w:noWrap w:val="0"/>
            <w:vAlign w:val="center"/>
          </w:tcPr>
          <w:p w14:paraId="4377EC1A">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主动或能按委托方要求提出合理的造价改善建议得5分；未能按委托方要求提出建议，或提出建议不合理，每发生一例扣1分。</w:t>
            </w:r>
          </w:p>
        </w:tc>
        <w:tc>
          <w:tcPr>
            <w:tcW w:w="430" w:type="dxa"/>
            <w:noWrap w:val="0"/>
            <w:vAlign w:val="center"/>
          </w:tcPr>
          <w:p w14:paraId="39786D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472" w:type="dxa"/>
            <w:noWrap w:val="0"/>
            <w:vAlign w:val="center"/>
          </w:tcPr>
          <w:p w14:paraId="2955F3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32A3F56A">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58422E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7</w:t>
            </w:r>
          </w:p>
        </w:tc>
        <w:tc>
          <w:tcPr>
            <w:tcW w:w="1057" w:type="dxa"/>
            <w:gridSpan w:val="2"/>
            <w:noWrap w:val="0"/>
            <w:vAlign w:val="center"/>
          </w:tcPr>
          <w:p w14:paraId="15B90CB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造价文件资料</w:t>
            </w:r>
          </w:p>
        </w:tc>
        <w:tc>
          <w:tcPr>
            <w:tcW w:w="613" w:type="dxa"/>
            <w:noWrap w:val="0"/>
            <w:vAlign w:val="center"/>
          </w:tcPr>
          <w:p w14:paraId="081E21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1166" w:type="dxa"/>
            <w:noWrap w:val="0"/>
            <w:vAlign w:val="center"/>
          </w:tcPr>
          <w:p w14:paraId="143EED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造价文件资料完整性</w:t>
            </w:r>
          </w:p>
        </w:tc>
        <w:tc>
          <w:tcPr>
            <w:tcW w:w="4675" w:type="dxa"/>
            <w:gridSpan w:val="5"/>
            <w:noWrap w:val="0"/>
            <w:vAlign w:val="center"/>
          </w:tcPr>
          <w:p w14:paraId="2E928E40">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造价文件资料完整得5分，每发生一例造价文件资料缺漏扣1分。</w:t>
            </w:r>
          </w:p>
        </w:tc>
        <w:tc>
          <w:tcPr>
            <w:tcW w:w="430" w:type="dxa"/>
            <w:noWrap w:val="0"/>
            <w:vAlign w:val="center"/>
          </w:tcPr>
          <w:p w14:paraId="66952F2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472" w:type="dxa"/>
            <w:noWrap w:val="0"/>
            <w:vAlign w:val="center"/>
          </w:tcPr>
          <w:p w14:paraId="023472C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5E4165B0">
        <w:tblPrEx>
          <w:tblW w:w="5000" w:type="pct"/>
          <w:jc w:val="center"/>
          <w:tblLayout w:type="fixed"/>
          <w:tblCellMar>
            <w:top w:w="0" w:type="dxa"/>
            <w:left w:w="108" w:type="dxa"/>
            <w:bottom w:w="0" w:type="dxa"/>
            <w:right w:w="108" w:type="dxa"/>
          </w:tblCellMar>
        </w:tblPrEx>
        <w:trPr>
          <w:trHeight w:val="57"/>
          <w:jc w:val="center"/>
        </w:trPr>
        <w:tc>
          <w:tcPr>
            <w:tcW w:w="534" w:type="dxa"/>
            <w:vMerge w:val="restart"/>
            <w:noWrap w:val="0"/>
            <w:vAlign w:val="center"/>
          </w:tcPr>
          <w:p w14:paraId="3D08090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8</w:t>
            </w:r>
          </w:p>
        </w:tc>
        <w:tc>
          <w:tcPr>
            <w:tcW w:w="1057" w:type="dxa"/>
            <w:gridSpan w:val="2"/>
            <w:vMerge w:val="restart"/>
            <w:noWrap w:val="0"/>
            <w:vAlign w:val="center"/>
          </w:tcPr>
          <w:p w14:paraId="28EF427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时限要求</w:t>
            </w:r>
          </w:p>
        </w:tc>
        <w:tc>
          <w:tcPr>
            <w:tcW w:w="613" w:type="dxa"/>
            <w:vMerge w:val="restart"/>
            <w:noWrap w:val="0"/>
            <w:vAlign w:val="center"/>
          </w:tcPr>
          <w:p w14:paraId="220575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15</w:t>
            </w:r>
          </w:p>
        </w:tc>
        <w:tc>
          <w:tcPr>
            <w:tcW w:w="1166" w:type="dxa"/>
            <w:noWrap w:val="0"/>
            <w:vAlign w:val="center"/>
          </w:tcPr>
          <w:p w14:paraId="776980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造价文件与资料完成及时性</w:t>
            </w:r>
          </w:p>
        </w:tc>
        <w:tc>
          <w:tcPr>
            <w:tcW w:w="4675" w:type="dxa"/>
            <w:gridSpan w:val="5"/>
            <w:noWrap w:val="0"/>
            <w:vAlign w:val="center"/>
          </w:tcPr>
          <w:p w14:paraId="4531EE3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造价文件与资料完成及时得10分，每滞后1周扣2分（不足1周按1周算）。</w:t>
            </w:r>
          </w:p>
        </w:tc>
        <w:tc>
          <w:tcPr>
            <w:tcW w:w="430" w:type="dxa"/>
            <w:noWrap w:val="0"/>
            <w:vAlign w:val="center"/>
          </w:tcPr>
          <w:p w14:paraId="3773CB4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10</w:t>
            </w:r>
          </w:p>
        </w:tc>
        <w:tc>
          <w:tcPr>
            <w:tcW w:w="472" w:type="dxa"/>
            <w:noWrap w:val="0"/>
            <w:vAlign w:val="center"/>
          </w:tcPr>
          <w:p w14:paraId="777EB6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78C4D032">
        <w:tblPrEx>
          <w:tblW w:w="5000" w:type="pct"/>
          <w:jc w:val="center"/>
          <w:tblLayout w:type="fixed"/>
          <w:tblCellMar>
            <w:top w:w="0" w:type="dxa"/>
            <w:left w:w="108" w:type="dxa"/>
            <w:bottom w:w="0" w:type="dxa"/>
            <w:right w:w="108" w:type="dxa"/>
          </w:tblCellMar>
        </w:tblPrEx>
        <w:trPr>
          <w:trHeight w:val="57"/>
          <w:jc w:val="center"/>
        </w:trPr>
        <w:tc>
          <w:tcPr>
            <w:tcW w:w="534" w:type="dxa"/>
            <w:vMerge/>
            <w:noWrap w:val="0"/>
            <w:vAlign w:val="center"/>
          </w:tcPr>
          <w:p w14:paraId="1E9AB5D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057" w:type="dxa"/>
            <w:gridSpan w:val="2"/>
            <w:vMerge/>
            <w:noWrap w:val="0"/>
            <w:vAlign w:val="center"/>
          </w:tcPr>
          <w:p w14:paraId="11E00E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613" w:type="dxa"/>
            <w:vMerge/>
            <w:noWrap w:val="0"/>
            <w:vAlign w:val="center"/>
          </w:tcPr>
          <w:p w14:paraId="726FB4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c>
          <w:tcPr>
            <w:tcW w:w="1166" w:type="dxa"/>
            <w:noWrap w:val="0"/>
            <w:vAlign w:val="center"/>
          </w:tcPr>
          <w:p w14:paraId="0B723D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工程变更造价审核及时性</w:t>
            </w:r>
          </w:p>
        </w:tc>
        <w:tc>
          <w:tcPr>
            <w:tcW w:w="4675" w:type="dxa"/>
            <w:gridSpan w:val="5"/>
            <w:noWrap w:val="0"/>
            <w:vAlign w:val="center"/>
          </w:tcPr>
          <w:p w14:paraId="274567E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工程变更造价审核及时得5分，每滞后1周扣1分（不足1周按1周算）。</w:t>
            </w:r>
          </w:p>
        </w:tc>
        <w:tc>
          <w:tcPr>
            <w:tcW w:w="430" w:type="dxa"/>
            <w:noWrap w:val="0"/>
            <w:vAlign w:val="center"/>
          </w:tcPr>
          <w:p w14:paraId="6CEEA77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5</w:t>
            </w:r>
          </w:p>
        </w:tc>
        <w:tc>
          <w:tcPr>
            <w:tcW w:w="472" w:type="dxa"/>
            <w:noWrap w:val="0"/>
            <w:vAlign w:val="center"/>
          </w:tcPr>
          <w:p w14:paraId="5CA3F03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1E2F4BC6">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54A58D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三</w:t>
            </w:r>
          </w:p>
        </w:tc>
        <w:tc>
          <w:tcPr>
            <w:tcW w:w="1057" w:type="dxa"/>
            <w:gridSpan w:val="2"/>
            <w:noWrap w:val="0"/>
            <w:vAlign w:val="center"/>
          </w:tcPr>
          <w:p w14:paraId="127A3FF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履约配合</w:t>
            </w:r>
          </w:p>
        </w:tc>
        <w:tc>
          <w:tcPr>
            <w:tcW w:w="613" w:type="dxa"/>
            <w:noWrap w:val="0"/>
            <w:vAlign w:val="center"/>
          </w:tcPr>
          <w:p w14:paraId="5BF0AA3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hint="eastAsia"/>
                <w:sz w:val="21"/>
                <w:szCs w:val="21"/>
                <w:lang w:eastAsia="zh-CN"/>
              </w:rPr>
            </w:pPr>
            <w:r>
              <w:rPr>
                <w:rFonts w:ascii="黑体" w:eastAsia="黑体" w:hAnsi="黑体" w:cs="宋体" w:hint="eastAsia"/>
                <w:sz w:val="21"/>
                <w:szCs w:val="21"/>
                <w:lang w:eastAsia="zh-CN"/>
              </w:rPr>
              <w:t>10</w:t>
            </w:r>
          </w:p>
        </w:tc>
        <w:tc>
          <w:tcPr>
            <w:tcW w:w="6743" w:type="dxa"/>
            <w:gridSpan w:val="8"/>
            <w:noWrap w:val="0"/>
            <w:vAlign w:val="center"/>
          </w:tcPr>
          <w:p w14:paraId="7D9516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21"/>
                <w:szCs w:val="21"/>
                <w:lang w:eastAsia="zh-CN"/>
              </w:rPr>
            </w:pPr>
          </w:p>
        </w:tc>
      </w:tr>
      <w:tr w14:paraId="2B2893A0">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08D886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9</w:t>
            </w:r>
          </w:p>
        </w:tc>
        <w:tc>
          <w:tcPr>
            <w:tcW w:w="1057" w:type="dxa"/>
            <w:gridSpan w:val="2"/>
            <w:noWrap w:val="0"/>
            <w:vAlign w:val="center"/>
          </w:tcPr>
          <w:p w14:paraId="0B05B5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配合</w:t>
            </w:r>
          </w:p>
        </w:tc>
        <w:tc>
          <w:tcPr>
            <w:tcW w:w="613" w:type="dxa"/>
            <w:noWrap w:val="0"/>
            <w:vAlign w:val="center"/>
          </w:tcPr>
          <w:p w14:paraId="261768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10</w:t>
            </w:r>
          </w:p>
        </w:tc>
        <w:tc>
          <w:tcPr>
            <w:tcW w:w="1166" w:type="dxa"/>
            <w:noWrap w:val="0"/>
            <w:vAlign w:val="center"/>
          </w:tcPr>
          <w:p w14:paraId="086C30C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配合度</w:t>
            </w:r>
          </w:p>
        </w:tc>
        <w:tc>
          <w:tcPr>
            <w:tcW w:w="4675" w:type="dxa"/>
            <w:gridSpan w:val="5"/>
            <w:noWrap w:val="0"/>
            <w:vAlign w:val="center"/>
          </w:tcPr>
          <w:p w14:paraId="58C6EF6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仿宋_GB2312" w:eastAsia="仿宋_GB2312" w:hAnsi="宋体" w:cs="宋体"/>
                <w:sz w:val="18"/>
                <w:szCs w:val="18"/>
                <w:lang w:eastAsia="zh-CN"/>
              </w:rPr>
            </w:pPr>
            <w:r>
              <w:rPr>
                <w:rFonts w:ascii="仿宋_GB2312" w:eastAsia="仿宋_GB2312" w:hAnsi="宋体" w:cs="宋体" w:hint="eastAsia"/>
                <w:sz w:val="18"/>
                <w:szCs w:val="18"/>
                <w:lang w:eastAsia="zh-CN"/>
              </w:rPr>
              <w:t>能够认真主动地配合建设单位、</w:t>
            </w:r>
            <w:r>
              <w:rPr>
                <w:rFonts w:ascii="仿宋_GB2312" w:eastAsia="仿宋_GB2312" w:hAnsi="宋体" w:cs="宋体" w:hint="eastAsia"/>
                <w:sz w:val="18"/>
                <w:szCs w:val="18"/>
                <w:lang w:eastAsia="zh-CN"/>
              </w:rPr>
              <w:t>代建单位、</w:t>
            </w:r>
            <w:r>
              <w:rPr>
                <w:rFonts w:ascii="仿宋_GB2312" w:eastAsia="仿宋_GB2312" w:hAnsi="宋体" w:cs="宋体" w:hint="eastAsia"/>
                <w:sz w:val="18"/>
                <w:szCs w:val="18"/>
                <w:lang w:eastAsia="zh-CN"/>
              </w:rPr>
              <w:t>监理单位、施工单位及其他相关部门的工作，积极主动地提供工程造价信息服务得10分；每发生一例拒绝配合、敷衍、推脱推诿扣1分。</w:t>
            </w:r>
          </w:p>
        </w:tc>
        <w:tc>
          <w:tcPr>
            <w:tcW w:w="430" w:type="dxa"/>
            <w:noWrap w:val="0"/>
            <w:vAlign w:val="center"/>
          </w:tcPr>
          <w:p w14:paraId="694F020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r>
              <w:rPr>
                <w:rFonts w:ascii="仿宋_GB2312" w:eastAsia="仿宋_GB2312" w:hAnsi="宋体" w:cs="宋体" w:hint="eastAsia"/>
                <w:sz w:val="18"/>
                <w:szCs w:val="18"/>
                <w:lang w:eastAsia="zh-CN"/>
              </w:rPr>
              <w:t>10</w:t>
            </w:r>
          </w:p>
        </w:tc>
        <w:tc>
          <w:tcPr>
            <w:tcW w:w="472" w:type="dxa"/>
            <w:noWrap w:val="0"/>
            <w:vAlign w:val="center"/>
          </w:tcPr>
          <w:p w14:paraId="6EB5AB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_GB2312" w:eastAsia="仿宋_GB2312" w:hAnsi="宋体" w:cs="宋体" w:hint="eastAsia"/>
                <w:sz w:val="18"/>
                <w:szCs w:val="18"/>
                <w:lang w:eastAsia="zh-CN"/>
              </w:rPr>
            </w:pPr>
          </w:p>
        </w:tc>
      </w:tr>
      <w:tr w14:paraId="660E7B96">
        <w:tblPrEx>
          <w:tblW w:w="5000" w:type="pct"/>
          <w:jc w:val="center"/>
          <w:tblLayout w:type="fixed"/>
          <w:tblCellMar>
            <w:top w:w="0" w:type="dxa"/>
            <w:left w:w="108" w:type="dxa"/>
            <w:bottom w:w="0" w:type="dxa"/>
            <w:right w:w="108" w:type="dxa"/>
          </w:tblCellMar>
        </w:tblPrEx>
        <w:trPr>
          <w:trHeight w:val="57"/>
          <w:jc w:val="center"/>
        </w:trPr>
        <w:tc>
          <w:tcPr>
            <w:tcW w:w="534" w:type="dxa"/>
            <w:noWrap w:val="0"/>
            <w:vAlign w:val="center"/>
          </w:tcPr>
          <w:p w14:paraId="0C3689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sz w:val="21"/>
                <w:szCs w:val="21"/>
                <w:lang w:eastAsia="zh-CN"/>
              </w:rPr>
            </w:pPr>
          </w:p>
        </w:tc>
        <w:tc>
          <w:tcPr>
            <w:tcW w:w="1057" w:type="dxa"/>
            <w:gridSpan w:val="2"/>
            <w:noWrap w:val="0"/>
            <w:vAlign w:val="center"/>
          </w:tcPr>
          <w:p w14:paraId="635CCF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sz w:val="21"/>
                <w:szCs w:val="21"/>
                <w:lang w:eastAsia="zh-CN"/>
              </w:rPr>
            </w:pPr>
            <w:r>
              <w:rPr>
                <w:rFonts w:ascii="黑体" w:eastAsia="黑体" w:hAnsi="黑体" w:cs="宋体" w:hint="eastAsia"/>
                <w:sz w:val="21"/>
                <w:szCs w:val="21"/>
                <w:lang w:eastAsia="zh-CN"/>
              </w:rPr>
              <w:t>合  计</w:t>
            </w:r>
          </w:p>
        </w:tc>
        <w:tc>
          <w:tcPr>
            <w:tcW w:w="613" w:type="dxa"/>
            <w:noWrap w:val="0"/>
            <w:vAlign w:val="center"/>
          </w:tcPr>
          <w:p w14:paraId="081320E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sz w:val="21"/>
                <w:szCs w:val="21"/>
                <w:lang w:eastAsia="zh-CN"/>
              </w:rPr>
            </w:pPr>
            <w:r>
              <w:rPr>
                <w:rFonts w:ascii="黑体" w:eastAsia="黑体" w:hAnsi="黑体" w:cs="宋体" w:hint="eastAsia"/>
                <w:sz w:val="21"/>
                <w:szCs w:val="21"/>
                <w:lang w:eastAsia="zh-CN"/>
              </w:rPr>
              <w:t>100</w:t>
            </w:r>
          </w:p>
        </w:tc>
        <w:tc>
          <w:tcPr>
            <w:tcW w:w="6743" w:type="dxa"/>
            <w:gridSpan w:val="8"/>
            <w:noWrap w:val="0"/>
            <w:vAlign w:val="center"/>
          </w:tcPr>
          <w:p w14:paraId="04F12FF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黑体" w:eastAsia="黑体" w:hAnsi="黑体" w:cs="宋体"/>
                <w:b/>
                <w:sz w:val="21"/>
                <w:szCs w:val="21"/>
                <w:lang w:eastAsia="zh-CN"/>
              </w:rPr>
            </w:pPr>
          </w:p>
        </w:tc>
      </w:tr>
      <w:tr w14:paraId="019D6964">
        <w:tblPrEx>
          <w:tblW w:w="5000" w:type="pct"/>
          <w:jc w:val="center"/>
          <w:tblLayout w:type="fixed"/>
          <w:tblCellMar>
            <w:top w:w="0" w:type="dxa"/>
            <w:left w:w="108" w:type="dxa"/>
            <w:bottom w:w="0" w:type="dxa"/>
            <w:right w:w="108" w:type="dxa"/>
          </w:tblCellMar>
        </w:tblPrEx>
        <w:trPr>
          <w:trHeight w:val="57"/>
          <w:jc w:val="center"/>
        </w:trPr>
        <w:tc>
          <w:tcPr>
            <w:tcW w:w="2204" w:type="dxa"/>
            <w:gridSpan w:val="4"/>
            <w:noWrap w:val="0"/>
            <w:vAlign w:val="center"/>
          </w:tcPr>
          <w:p w14:paraId="18BAFE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b/>
                <w:sz w:val="21"/>
                <w:szCs w:val="21"/>
                <w:lang w:eastAsia="zh-CN"/>
              </w:rPr>
            </w:pPr>
            <w:r>
              <w:rPr>
                <w:rFonts w:ascii="黑体" w:eastAsia="黑体" w:hAnsi="黑体" w:cs="宋体" w:hint="eastAsia"/>
                <w:sz w:val="21"/>
                <w:szCs w:val="21"/>
                <w:lang w:eastAsia="zh-CN"/>
              </w:rPr>
              <w:t>评价人</w:t>
            </w:r>
          </w:p>
        </w:tc>
        <w:tc>
          <w:tcPr>
            <w:tcW w:w="6743" w:type="dxa"/>
            <w:gridSpan w:val="8"/>
            <w:noWrap w:val="0"/>
            <w:vAlign w:val="center"/>
          </w:tcPr>
          <w:p w14:paraId="09ADA92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sz w:val="21"/>
                <w:szCs w:val="21"/>
                <w:lang w:eastAsia="zh-CN"/>
              </w:rPr>
            </w:pPr>
          </w:p>
        </w:tc>
      </w:tr>
      <w:tr w14:paraId="6BF8EA54">
        <w:tblPrEx>
          <w:tblW w:w="5000" w:type="pct"/>
          <w:jc w:val="center"/>
          <w:tblLayout w:type="fixed"/>
          <w:tblCellMar>
            <w:top w:w="0" w:type="dxa"/>
            <w:left w:w="108" w:type="dxa"/>
            <w:bottom w:w="0" w:type="dxa"/>
            <w:right w:w="108" w:type="dxa"/>
          </w:tblCellMar>
        </w:tblPrEx>
        <w:trPr>
          <w:trHeight w:val="57"/>
          <w:jc w:val="center"/>
        </w:trPr>
        <w:tc>
          <w:tcPr>
            <w:tcW w:w="2204" w:type="dxa"/>
            <w:gridSpan w:val="4"/>
            <w:noWrap w:val="0"/>
            <w:vAlign w:val="center"/>
          </w:tcPr>
          <w:p w14:paraId="340A88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黑体" w:eastAsia="黑体" w:hAnsi="黑体" w:cs="宋体"/>
                <w:b/>
                <w:sz w:val="21"/>
                <w:szCs w:val="21"/>
                <w:lang w:eastAsia="zh-CN"/>
              </w:rPr>
            </w:pPr>
            <w:r>
              <w:rPr>
                <w:rFonts w:ascii="黑体" w:eastAsia="黑体" w:hAnsi="黑体" w:cs="宋体" w:hint="eastAsia"/>
                <w:sz w:val="21"/>
                <w:szCs w:val="21"/>
                <w:lang w:eastAsia="zh-CN"/>
              </w:rPr>
              <w:t>负责人</w:t>
            </w:r>
          </w:p>
        </w:tc>
        <w:tc>
          <w:tcPr>
            <w:tcW w:w="6743" w:type="dxa"/>
            <w:gridSpan w:val="8"/>
            <w:noWrap w:val="0"/>
            <w:vAlign w:val="center"/>
          </w:tcPr>
          <w:p w14:paraId="1B9DE64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黑体" w:eastAsia="黑体" w:hAnsi="黑体" w:cs="宋体"/>
                <w:b/>
                <w:sz w:val="21"/>
                <w:szCs w:val="21"/>
                <w:lang w:eastAsia="zh-CN"/>
              </w:rPr>
            </w:pPr>
          </w:p>
        </w:tc>
      </w:tr>
    </w:tbl>
    <w:p w14:paraId="22437873">
      <w:pPr>
        <w:widowControl w:val="0"/>
        <w:adjustRightInd w:val="0"/>
        <w:spacing w:line="360" w:lineRule="atLeast"/>
        <w:ind w:firstLine="482"/>
        <w:jc w:val="both"/>
        <w:textAlignment w:val="baseline"/>
        <w:rPr>
          <w:rFonts w:ascii="仿宋_GB2312" w:eastAsia="仿宋_GB2312" w:hAnsi="宋体" w:cs="宋体"/>
          <w:color w:val="000000"/>
          <w:sz w:val="18"/>
          <w:szCs w:val="18"/>
          <w:lang w:eastAsia="zh-CN"/>
        </w:rPr>
      </w:pPr>
      <w:r>
        <w:rPr>
          <w:rFonts w:ascii="仿宋_GB2312" w:eastAsia="仿宋_GB2312" w:hAnsi="宋体" w:cs="宋体" w:hint="eastAsia"/>
          <w:b/>
          <w:color w:val="000000"/>
          <w:sz w:val="18"/>
          <w:szCs w:val="18"/>
          <w:lang w:eastAsia="zh-CN"/>
        </w:rPr>
        <w:t>备注：</w:t>
      </w:r>
      <w:r>
        <w:rPr>
          <w:rFonts w:ascii="仿宋_GB2312" w:eastAsia="仿宋_GB2312" w:hAnsi="宋体" w:cs="宋体"/>
          <w:color w:val="000000"/>
          <w:sz w:val="18"/>
          <w:szCs w:val="18"/>
          <w:lang w:eastAsia="zh-CN"/>
        </w:rPr>
        <w:t>评价等级分为优秀、良好、合格、不合格四个等级。90分及以上为优秀，75（含本数）-90分为良好，60-75分为合格，60分以下为不合格。</w:t>
      </w:r>
      <w:r>
        <w:rPr>
          <w:rFonts w:ascii="仿宋_GB2312" w:eastAsia="仿宋_GB2312" w:hAnsi="宋体" w:cs="宋体" w:hint="eastAsia"/>
          <w:color w:val="000000"/>
          <w:sz w:val="18"/>
          <w:szCs w:val="18"/>
          <w:lang w:eastAsia="zh-CN"/>
        </w:rPr>
        <w:t>（</w:t>
      </w:r>
      <w:r>
        <w:rPr>
          <w:rFonts w:ascii="仿宋_GB2312" w:eastAsia="仿宋_GB2312" w:hAnsi="宋体" w:cs="宋体" w:hint="eastAsia"/>
          <w:bCs/>
          <w:color w:val="000000"/>
          <w:sz w:val="18"/>
          <w:szCs w:val="18"/>
          <w:lang w:eastAsia="zh-CN"/>
        </w:rPr>
        <w:t>上述评分表仅作参考，甲方有权</w:t>
      </w:r>
      <w:r>
        <w:rPr>
          <w:rFonts w:ascii="仿宋_GB2312" w:eastAsia="仿宋_GB2312" w:hAnsi="等线" w:cs="宋体" w:hint="eastAsia"/>
          <w:bCs/>
          <w:color w:val="000000"/>
          <w:sz w:val="18"/>
          <w:szCs w:val="18"/>
          <w:lang w:eastAsia="zh-CN"/>
        </w:rPr>
        <w:t>根据工作需要</w:t>
      </w:r>
      <w:r>
        <w:rPr>
          <w:rFonts w:ascii="仿宋_GB2312" w:eastAsia="仿宋_GB2312" w:hAnsi="宋体" w:cs="宋体" w:hint="eastAsia"/>
          <w:bCs/>
          <w:color w:val="000000"/>
          <w:sz w:val="18"/>
          <w:szCs w:val="18"/>
          <w:lang w:eastAsia="zh-CN"/>
        </w:rPr>
        <w:t>调整履约评价评分规则</w:t>
      </w:r>
      <w:r>
        <w:rPr>
          <w:rFonts w:ascii="仿宋_GB2312" w:eastAsia="仿宋_GB2312" w:hAnsi="宋体" w:cs="宋体" w:hint="eastAsia"/>
          <w:color w:val="000000"/>
          <w:sz w:val="18"/>
          <w:szCs w:val="18"/>
          <w:lang w:eastAsia="zh-CN"/>
        </w:rPr>
        <w:t>）</w:t>
      </w:r>
      <w:r>
        <w:rPr>
          <w:rFonts w:ascii="仿宋_GB2312" w:eastAsia="仿宋_GB2312" w:hAnsi="等线" w:cs="宋体" w:hint="eastAsia"/>
          <w:color w:val="000000"/>
          <w:sz w:val="18"/>
          <w:szCs w:val="18"/>
          <w:lang w:eastAsia="zh-CN"/>
        </w:rPr>
        <w:t>。</w:t>
      </w:r>
    </w:p>
    <w:p w14:paraId="196EAAB2">
      <w:pPr>
        <w:widowControl w:val="0"/>
        <w:jc w:val="both"/>
        <w:rPr>
          <w:rFonts w:ascii="宋体" w:eastAsia="等线" w:hAnsi="等线" w:cs="宋体" w:hint="eastAsia"/>
          <w:b/>
          <w:bCs/>
          <w:kern w:val="2"/>
          <w:sz w:val="32"/>
          <w:szCs w:val="32"/>
          <w:lang w:eastAsia="zh-CN"/>
        </w:rPr>
        <w:sectPr>
          <w:headerReference w:type="default" r:id="rId10"/>
          <w:footerReference w:type="default" r:id="rId11"/>
          <w:pgSz w:w="11907" w:h="16839"/>
          <w:pgMar w:top="1361" w:right="1304" w:bottom="1304" w:left="1304" w:header="1247" w:footer="737" w:gutter="0"/>
          <w:pgNumType w:fmt="decimal"/>
          <w:cols w:num="1" w:space="720"/>
          <w:docGrid w:linePitch="380" w:charSpace="-4301"/>
        </w:sectPr>
      </w:pPr>
      <w:r>
        <w:rPr>
          <w:rFonts w:ascii="宋体" w:eastAsia="等线" w:hAnsi="等线" w:cs="宋体" w:hint="eastAsia"/>
          <w:b/>
          <w:bCs/>
          <w:kern w:val="2"/>
          <w:sz w:val="32"/>
          <w:szCs w:val="32"/>
          <w:lang w:eastAsia="zh-CN"/>
        </w:rPr>
        <w:br w:type="page"/>
      </w:r>
    </w:p>
    <w:p w14:paraId="1FF8A6CC">
      <w:pPr>
        <w:keepNext w:val="0"/>
        <w:keepLines w:val="0"/>
        <w:pageBreakBefore w:val="0"/>
        <w:widowControl w:val="0"/>
        <w:numPr>
          <w:ilvl w:val="1"/>
          <w:numId w:val="0"/>
        </w:numPr>
        <w:tabs>
          <w:tab w:val="left" w:pos="2040"/>
        </w:tabs>
        <w:kinsoku/>
        <w:wordWrap/>
        <w:overflowPunct/>
        <w:topLinePunct w:val="0"/>
        <w:autoSpaceDE/>
        <w:autoSpaceDN/>
        <w:bidi w:val="0"/>
        <w:adjustRightInd/>
        <w:snapToGrid/>
        <w:spacing w:before="0" w:after="0" w:afterAutospacing="0" w:line="560" w:lineRule="exact"/>
        <w:ind w:left="0" w:firstLine="0" w:leftChars="0"/>
        <w:jc w:val="both"/>
        <w:textAlignment w:val="auto"/>
        <w:outlineLvl w:val="1"/>
        <w:rPr>
          <w:rFonts w:ascii="黑体" w:eastAsia="黑体" w:hAnsi="黑体" w:cs="黑体" w:hint="eastAsia"/>
          <w:b/>
          <w:bCs/>
          <w:kern w:val="2"/>
          <w:sz w:val="21"/>
          <w:szCs w:val="21"/>
          <w:lang w:val="zh-CN" w:eastAsia="zh-CN"/>
        </w:rPr>
      </w:pPr>
      <w:r>
        <w:rPr>
          <w:rFonts w:ascii="黑体" w:eastAsia="黑体" w:hAnsi="黑体" w:cs="黑体" w:hint="eastAsia"/>
          <w:b/>
          <w:bCs/>
          <w:kern w:val="2"/>
          <w:sz w:val="21"/>
          <w:szCs w:val="21"/>
          <w:lang w:eastAsia="zh-CN"/>
        </w:rPr>
        <w:t>附件二《</w:t>
      </w:r>
      <w:r>
        <w:rPr>
          <w:rFonts w:ascii="黑体" w:eastAsia="黑体" w:hAnsi="黑体" w:cs="黑体" w:hint="eastAsia"/>
          <w:color w:val="000000"/>
          <w:kern w:val="2"/>
          <w:sz w:val="21"/>
          <w:szCs w:val="21"/>
          <w:lang w:eastAsia="zh-CN"/>
        </w:rPr>
        <w:t>廉洁</w:t>
      </w:r>
      <w:r>
        <w:rPr>
          <w:rFonts w:ascii="黑体" w:eastAsia="黑体" w:hAnsi="黑体" w:cs="黑体" w:hint="eastAsia"/>
          <w:color w:val="000000"/>
          <w:kern w:val="2"/>
          <w:sz w:val="21"/>
          <w:szCs w:val="21"/>
          <w:lang w:eastAsia="zh-CN"/>
        </w:rPr>
        <w:t>自律协议</w:t>
      </w:r>
      <w:r>
        <w:rPr>
          <w:rFonts w:ascii="黑体" w:eastAsia="黑体" w:hAnsi="黑体" w:cs="黑体" w:hint="eastAsia"/>
          <w:b/>
          <w:bCs/>
          <w:kern w:val="2"/>
          <w:sz w:val="21"/>
          <w:szCs w:val="21"/>
          <w:lang w:eastAsia="zh-CN"/>
        </w:rPr>
        <w:t>》</w:t>
      </w:r>
    </w:p>
    <w:p w14:paraId="173184AE">
      <w:pPr>
        <w:widowControl w:val="0"/>
        <w:tabs>
          <w:tab w:val="left" w:pos="1425"/>
        </w:tabs>
        <w:jc w:val="center"/>
        <w:outlineLvl w:val="9"/>
        <w:rPr>
          <w:rFonts w:ascii="等线" w:eastAsia="等线" w:hAnsi="等线"/>
          <w:kern w:val="2"/>
          <w:sz w:val="21"/>
          <w:szCs w:val="22"/>
          <w:lang w:eastAsia="zh-CN"/>
        </w:rPr>
      </w:pPr>
      <w:r>
        <w:rPr>
          <w:rFonts w:ascii="宋体" w:eastAsia="宋体" w:hAnsi="宋体" w:cs="宋体" w:hint="eastAsia"/>
          <w:kern w:val="2"/>
          <w:sz w:val="32"/>
          <w:szCs w:val="32"/>
          <w:lang w:eastAsia="zh-CN"/>
        </w:rPr>
        <w:t>廉洁自律协议</w:t>
      </w:r>
    </w:p>
    <w:p w14:paraId="59CBE45B">
      <w:pPr>
        <w:keepLines w:val="0"/>
        <w:widowControl w:val="0"/>
        <w:jc w:val="both"/>
        <w:rPr>
          <w:rFonts w:ascii="宋体" w:eastAsia="宋体" w:hAnsi="宋体" w:cs="宋体" w:hint="eastAsia"/>
          <w:bCs/>
          <w:kern w:val="2"/>
          <w:sz w:val="21"/>
          <w:szCs w:val="21"/>
          <w:lang w:eastAsia="zh-CN"/>
        </w:rPr>
      </w:pPr>
    </w:p>
    <w:p w14:paraId="6E3FB900">
      <w:pPr>
        <w:keepLines w:val="0"/>
        <w:widowControl w:val="0"/>
        <w:spacing w:line="360" w:lineRule="exact"/>
        <w:jc w:val="both"/>
        <w:rPr>
          <w:rFonts w:ascii="宋体" w:eastAsia="宋体" w:hAnsi="宋体" w:cs="宋体" w:hint="eastAsia"/>
          <w:bCs/>
          <w:kern w:val="2"/>
          <w:sz w:val="21"/>
          <w:szCs w:val="21"/>
          <w:u w:val="single"/>
          <w:lang w:eastAsia="zh-CN"/>
        </w:rPr>
      </w:pPr>
      <w:r>
        <w:rPr>
          <w:rFonts w:ascii="宋体" w:eastAsia="宋体" w:hAnsi="宋体" w:cs="宋体" w:hint="eastAsia"/>
          <w:bCs/>
          <w:kern w:val="2"/>
          <w:sz w:val="21"/>
          <w:szCs w:val="21"/>
          <w:lang w:eastAsia="zh-CN"/>
        </w:rPr>
        <w:t>甲方：</w:t>
      </w:r>
      <w:r>
        <w:rPr>
          <w:rFonts w:ascii="宋体" w:eastAsia="等线" w:hAnsi="宋体" w:cs="宋体" w:hint="eastAsia"/>
          <w:bCs/>
          <w:kern w:val="2"/>
          <w:sz w:val="21"/>
          <w:szCs w:val="21"/>
          <w:lang w:eastAsia="zh-CN"/>
        </w:rPr>
        <w:t>深圳市龙新开发建设有限公司</w:t>
      </w:r>
    </w:p>
    <w:p w14:paraId="07E2C324">
      <w:pPr>
        <w:keepLines w:val="0"/>
        <w:widowControl w:val="0"/>
        <w:spacing w:line="360" w:lineRule="exact"/>
        <w:jc w:val="both"/>
        <w:rPr>
          <w:rFonts w:ascii="宋体" w:eastAsia="宋体" w:hAnsi="宋体" w:cs="宋体" w:hint="eastAsia"/>
          <w:bCs/>
          <w:kern w:val="2"/>
          <w:sz w:val="21"/>
          <w:szCs w:val="21"/>
          <w:u w:val="single"/>
          <w:lang w:eastAsia="zh-CN"/>
        </w:rPr>
      </w:pPr>
      <w:r>
        <w:rPr>
          <w:rFonts w:ascii="宋体" w:eastAsia="宋体" w:hAnsi="宋体" w:cs="宋体" w:hint="eastAsia"/>
          <w:bCs/>
          <w:kern w:val="2"/>
          <w:sz w:val="21"/>
          <w:szCs w:val="21"/>
          <w:lang w:eastAsia="zh-CN"/>
        </w:rPr>
        <w:t>乙方：</w:t>
      </w:r>
      <w:r>
        <w:rPr>
          <w:rFonts w:ascii="宋体" w:eastAsia="等线" w:hAnsi="宋体" w:cs="宋体" w:hint="eastAsia"/>
          <w:bCs/>
          <w:kern w:val="2"/>
          <w:sz w:val="21"/>
          <w:szCs w:val="21"/>
          <w:u w:val="single"/>
          <w:lang w:eastAsia="zh-CN"/>
        </w:rPr>
        <w:t xml:space="preserve">                                        </w:t>
      </w:r>
    </w:p>
    <w:p w14:paraId="2064B4C2">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为营造良好的经营、合作环境，保证甲、乙双方（包括双方关联单位）及双方工作人员在业务或项目往来中保持廉洁，防范腐败，结合实际情况，经双方</w:t>
      </w:r>
      <w:r>
        <w:rPr>
          <w:rFonts w:ascii="宋体" w:eastAsia="等线" w:hAnsi="宋体" w:cs="宋体" w:hint="eastAsia"/>
          <w:bCs/>
          <w:kern w:val="2"/>
          <w:sz w:val="21"/>
          <w:szCs w:val="21"/>
          <w:lang w:eastAsia="zh-CN"/>
        </w:rPr>
        <w:t>友好</w:t>
      </w:r>
      <w:r>
        <w:rPr>
          <w:rFonts w:ascii="宋体" w:eastAsia="宋体" w:hAnsi="宋体" w:cs="宋体" w:hint="eastAsia"/>
          <w:bCs/>
          <w:kern w:val="2"/>
          <w:sz w:val="21"/>
          <w:szCs w:val="21"/>
          <w:lang w:eastAsia="zh-CN"/>
        </w:rPr>
        <w:t>协商达成以下廉洁自律协议：</w:t>
      </w:r>
    </w:p>
    <w:p w14:paraId="4999C231">
      <w:pPr>
        <w:keepLines w:val="0"/>
        <w:widowControl w:val="0"/>
        <w:spacing w:line="360" w:lineRule="exact"/>
        <w:ind w:firstLine="420" w:firstLineChars="200"/>
        <w:jc w:val="both"/>
        <w:outlineLvl w:val="9"/>
        <w:rPr>
          <w:rFonts w:ascii="宋体" w:eastAsia="宋体" w:hAnsi="宋体" w:cs="宋体" w:hint="eastAsia"/>
          <w:kern w:val="2"/>
          <w:sz w:val="21"/>
          <w:szCs w:val="21"/>
          <w:lang w:eastAsia="zh-CN"/>
        </w:rPr>
      </w:pPr>
      <w:r>
        <w:rPr>
          <w:rFonts w:ascii="宋体" w:eastAsia="宋体" w:hAnsi="宋体" w:cs="宋体" w:hint="eastAsia"/>
          <w:bCs/>
          <w:kern w:val="2"/>
          <w:sz w:val="21"/>
          <w:szCs w:val="21"/>
          <w:lang w:eastAsia="zh-CN"/>
        </w:rPr>
        <w:t xml:space="preserve">第一条  </w:t>
      </w:r>
      <w:r>
        <w:rPr>
          <w:rFonts w:ascii="宋体" w:eastAsia="宋体" w:hAnsi="宋体" w:cs="宋体" w:hint="eastAsia"/>
          <w:kern w:val="2"/>
          <w:sz w:val="21"/>
          <w:szCs w:val="21"/>
          <w:lang w:eastAsia="zh-CN"/>
        </w:rPr>
        <w:t>双方的权利和</w:t>
      </w:r>
      <w:r>
        <w:rPr>
          <w:rFonts w:ascii="宋体" w:eastAsia="宋体" w:hAnsi="宋体" w:cs="宋体" w:hint="eastAsia"/>
          <w:bCs/>
          <w:kern w:val="2"/>
          <w:sz w:val="21"/>
          <w:szCs w:val="21"/>
          <w:lang w:eastAsia="zh-CN"/>
        </w:rPr>
        <w:t>责任</w:t>
      </w:r>
    </w:p>
    <w:p w14:paraId="71FE0328">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（一）严格遵守国家法律法规、廉洁从业规定以及相关行业规定。</w:t>
      </w:r>
    </w:p>
    <w:p w14:paraId="7779BB2E">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（二）严格执行一切合同文件及本协议条款，自觉履行权利和责任。</w:t>
      </w:r>
    </w:p>
    <w:p w14:paraId="200A319E">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（三）双方的业务活动坚持公平、公开、公正和诚信的原则（法律法规另有规定除外），不得损害国家、集体和对方利益，不得违反工程建设管理的有关规章制度。</w:t>
      </w:r>
    </w:p>
    <w:p w14:paraId="18DE11CB">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（四）建立健全廉洁制度，开展廉洁教育，设立廉政告示牌，公布监督部门和电话，监督并认真查处违纪违法行为。</w:t>
      </w:r>
    </w:p>
    <w:p w14:paraId="5D9BFA52">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（五）发现对方在业务活动中有违反本协议廉政规定的行为倾向，有权利和义务及时给予对方提醒和纠正。</w:t>
      </w:r>
    </w:p>
    <w:p w14:paraId="128D7E6F">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（六）发现对方有违反本协议廉政规定的行为，应及时向指定的监督部门举报控告，也有权向其上级有关</w:t>
      </w:r>
      <w:r>
        <w:rPr>
          <w:rFonts w:ascii="宋体" w:eastAsia="等线" w:hAnsi="宋体" w:cs="宋体" w:hint="eastAsia"/>
          <w:kern w:val="2"/>
          <w:sz w:val="21"/>
          <w:szCs w:val="21"/>
          <w:lang w:eastAsia="zh-CN"/>
        </w:rPr>
        <w:t>部门</w:t>
      </w:r>
      <w:r>
        <w:rPr>
          <w:rFonts w:ascii="宋体" w:eastAsia="宋体" w:hAnsi="宋体" w:cs="宋体" w:hint="eastAsia"/>
          <w:kern w:val="2"/>
          <w:sz w:val="21"/>
          <w:szCs w:val="21"/>
          <w:lang w:eastAsia="zh-CN"/>
        </w:rPr>
        <w:t>举报、建议给予处理并要求告知处理结果的权利。</w:t>
      </w:r>
    </w:p>
    <w:p w14:paraId="60828EFE">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（七）双方应互相配合，积极开展廉洁教育、学习和宣传活动</w:t>
      </w:r>
      <w:r>
        <w:rPr>
          <w:rFonts w:ascii="宋体" w:eastAsia="等线" w:hAnsi="宋体" w:cs="宋体" w:hint="eastAsia"/>
          <w:kern w:val="2"/>
          <w:sz w:val="21"/>
          <w:szCs w:val="21"/>
          <w:lang w:eastAsia="zh-CN"/>
        </w:rPr>
        <w:t>，</w:t>
      </w:r>
      <w:r>
        <w:rPr>
          <w:rFonts w:ascii="宋体" w:eastAsia="宋体" w:hAnsi="宋体" w:cs="宋体" w:hint="eastAsia"/>
          <w:kern w:val="2"/>
          <w:sz w:val="21"/>
          <w:szCs w:val="21"/>
          <w:lang w:eastAsia="zh-CN"/>
        </w:rPr>
        <w:t>配合对方履行本协议的责任。</w:t>
      </w:r>
    </w:p>
    <w:p w14:paraId="31F7E65D">
      <w:pPr>
        <w:keepLines w:val="0"/>
        <w:widowControl w:val="0"/>
        <w:spacing w:line="360" w:lineRule="exact"/>
        <w:ind w:firstLine="420" w:firstLineChars="200"/>
        <w:jc w:val="both"/>
        <w:rPr>
          <w:rFonts w:ascii="宋体" w:eastAsia="宋体" w:hAnsi="宋体" w:cs="宋体" w:hint="eastAsia"/>
          <w:kern w:val="2"/>
          <w:sz w:val="21"/>
          <w:szCs w:val="21"/>
          <w:lang w:eastAsia="zh-CN"/>
        </w:rPr>
      </w:pPr>
      <w:r>
        <w:rPr>
          <w:rFonts w:ascii="宋体" w:eastAsia="宋体" w:hAnsi="宋体" w:cs="宋体" w:hint="eastAsia"/>
          <w:kern w:val="2"/>
          <w:sz w:val="21"/>
          <w:szCs w:val="21"/>
          <w:lang w:eastAsia="zh-CN"/>
        </w:rPr>
        <w:t>（八）一方有不履行或不完全履行廉洁宣传教育责任的，另一方有权利和责任要求对方履行和督促改进。</w:t>
      </w:r>
    </w:p>
    <w:p w14:paraId="6632FAA9">
      <w:pPr>
        <w:keepLines w:val="0"/>
        <w:widowControl w:val="0"/>
        <w:spacing w:line="360" w:lineRule="exact"/>
        <w:ind w:firstLine="420" w:firstLineChars="200"/>
        <w:jc w:val="both"/>
        <w:outlineLvl w:val="9"/>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第二条  甲方的责任</w:t>
      </w:r>
    </w:p>
    <w:p w14:paraId="0162E9D5">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（一）甲方及其工作人员不得要求乙方购买合同约定以外的商品、物品、设备和服务等。</w:t>
      </w:r>
    </w:p>
    <w:p w14:paraId="3B66098F">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（二）甲方及其工作人员不得索要、接受乙方违反法规赠送的现金、有价证券、支付凭证或股份等各种财物；不得索要、接受乙方违反法规提供的通讯工具、交通工具、高档办公用品。</w:t>
      </w:r>
    </w:p>
    <w:p w14:paraId="289F0AEE">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（三）甲方及其工作人员不得索要、接受乙方对个人或配偶子女等亲属亲友的馈赠、赞助、费用报销、装修、旅游、疗养、健身以及各种高消费娱乐等活动。</w:t>
      </w:r>
    </w:p>
    <w:p w14:paraId="26158B91">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0FC2D4BC">
      <w:pPr>
        <w:keepLines w:val="0"/>
        <w:widowControl w:val="0"/>
        <w:spacing w:line="360" w:lineRule="exact"/>
        <w:ind w:firstLine="420" w:firstLineChars="200"/>
        <w:jc w:val="both"/>
        <w:outlineLvl w:val="9"/>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第三条  乙方的责任</w:t>
      </w:r>
    </w:p>
    <w:p w14:paraId="34FEDC02">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（一）乙方不得以任何名义为甲方及其工作人员报销应由甲方单位或个人支付的任何费用。</w:t>
      </w:r>
    </w:p>
    <w:p w14:paraId="256E1AE2">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（二）乙方不得接受甲方及其工作人员要求购买合同约定以外的商品、物品、设备和服务等要求。</w:t>
      </w:r>
    </w:p>
    <w:p w14:paraId="7EE425A7">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（三）乙方不得以任何理由违反法规向甲方及其工作人员赠送现金、有价证券、支付凭证或股份等各种财物；不得违反法规向甲方及其工作人员提供通讯工具、交通工具、高档办公用品等。</w:t>
      </w:r>
    </w:p>
    <w:p w14:paraId="3E22FAAA">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（四）乙方不得对甲方人员个人或其配偶子女等亲属亲友提供馈赠、赞助、费用报销、装修、旅游、疗养、健身以及各种高消费娱乐等活动。</w:t>
      </w:r>
    </w:p>
    <w:p w14:paraId="36EAB512">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3AA9CF27">
      <w:pPr>
        <w:keepLines w:val="0"/>
        <w:widowControl w:val="0"/>
        <w:spacing w:line="360" w:lineRule="exact"/>
        <w:ind w:firstLine="420" w:firstLineChars="200"/>
        <w:jc w:val="both"/>
        <w:outlineLvl w:val="9"/>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第四条  违约责任</w:t>
      </w:r>
    </w:p>
    <w:p w14:paraId="280D0323">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（一）甲方人员违反本协议第一条和第二条规定的，由甲方按照管理权限，依据有关</w:t>
      </w:r>
      <w:r>
        <w:rPr>
          <w:rFonts w:ascii="宋体" w:eastAsia="等线" w:hAnsi="宋体" w:cs="宋体" w:hint="eastAsia"/>
          <w:bCs/>
          <w:kern w:val="2"/>
          <w:sz w:val="21"/>
          <w:szCs w:val="21"/>
          <w:lang w:eastAsia="zh-CN"/>
        </w:rPr>
        <w:t>法律</w:t>
      </w:r>
      <w:r>
        <w:rPr>
          <w:rFonts w:ascii="宋体" w:eastAsia="宋体" w:hAnsi="宋体" w:cs="宋体" w:hint="eastAsia"/>
          <w:bCs/>
          <w:kern w:val="2"/>
          <w:sz w:val="21"/>
          <w:szCs w:val="21"/>
          <w:lang w:eastAsia="zh-CN"/>
        </w:rPr>
        <w:t>规定给予党纪、政纪处分或组织处理，涉嫌犯罪的，移交司法机关追究刑事责任；给乙方造成经济损失的，应予赔偿。</w:t>
      </w:r>
    </w:p>
    <w:p w14:paraId="555D5224">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（二）乙方人员违反本协议第一条和第三条规定的，由乙方按照管理权限，依据有关</w:t>
      </w:r>
      <w:r>
        <w:rPr>
          <w:rFonts w:ascii="宋体" w:eastAsia="等线" w:hAnsi="宋体" w:cs="宋体" w:hint="eastAsia"/>
          <w:bCs/>
          <w:kern w:val="2"/>
          <w:sz w:val="21"/>
          <w:szCs w:val="21"/>
          <w:lang w:eastAsia="zh-CN"/>
        </w:rPr>
        <w:t>法律</w:t>
      </w:r>
      <w:r>
        <w:rPr>
          <w:rFonts w:ascii="宋体" w:eastAsia="宋体" w:hAnsi="宋体" w:cs="宋体" w:hint="eastAsia"/>
          <w:bCs/>
          <w:kern w:val="2"/>
          <w:sz w:val="21"/>
          <w:szCs w:val="21"/>
          <w:lang w:eastAsia="zh-CN"/>
        </w:rPr>
        <w:t>规定给予党纪、政纪处分或组织处理，涉嫌犯罪的，移交司法机关追究刑事责任；给甲方造成经济损失的，应予赔偿。</w:t>
      </w:r>
    </w:p>
    <w:p w14:paraId="5BE63414">
      <w:pPr>
        <w:keepLines w:val="0"/>
        <w:widowControl w:val="0"/>
        <w:spacing w:line="360" w:lineRule="exact"/>
        <w:ind w:firstLine="420" w:firstLineChars="200"/>
        <w:jc w:val="both"/>
        <w:outlineLvl w:val="9"/>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第五条 监督与联络</w:t>
      </w:r>
    </w:p>
    <w:p w14:paraId="5611BF73">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本合同由双方的纪检监察部门负责监督。支持对违纪违规行为的实名举报，接到实名举报，甲乙双方必须按照受理权限和程序规定进行调查并向举报人进行回复。</w:t>
      </w:r>
    </w:p>
    <w:p w14:paraId="5729C40A">
      <w:pPr>
        <w:keepLines w:val="0"/>
        <w:widowControl w:val="0"/>
        <w:spacing w:line="360" w:lineRule="exact"/>
        <w:ind w:firstLine="420" w:firstLineChars="200"/>
        <w:jc w:val="both"/>
        <w:rPr>
          <w:rFonts w:ascii="等线" w:eastAsia="等线" w:hAnsi="等线" w:cs="等线"/>
          <w:bCs/>
          <w:kern w:val="2"/>
          <w:sz w:val="21"/>
          <w:szCs w:val="21"/>
          <w:lang w:eastAsia="zh-CN"/>
        </w:rPr>
      </w:pPr>
      <w:r>
        <w:rPr>
          <w:rFonts w:ascii="等线" w:eastAsia="等线" w:hAnsi="等线" w:cs="等线"/>
          <w:bCs/>
          <w:kern w:val="2"/>
          <w:sz w:val="21"/>
          <w:szCs w:val="21"/>
          <w:lang w:eastAsia="zh-CN"/>
        </w:rPr>
        <w:t>甲方指定由</w:t>
      </w:r>
      <w:r>
        <w:rPr>
          <w:rFonts w:ascii="等线" w:eastAsia="等线" w:hAnsi="等线" w:cs="等线" w:hint="eastAsia"/>
          <w:bCs/>
          <w:kern w:val="2"/>
          <w:sz w:val="21"/>
          <w:szCs w:val="21"/>
          <w:u w:val="single"/>
          <w:lang w:eastAsia="zh-CN"/>
        </w:rPr>
        <w:t>综合办公室（党群工作部）</w:t>
      </w:r>
      <w:r>
        <w:rPr>
          <w:rFonts w:ascii="等线" w:eastAsia="等线" w:hAnsi="等线" w:cs="等线"/>
          <w:bCs/>
          <w:kern w:val="2"/>
          <w:sz w:val="21"/>
          <w:szCs w:val="21"/>
          <w:lang w:eastAsia="zh-CN"/>
        </w:rPr>
        <w:t>作为甲方执行本协议的监督部门，监督电话：</w:t>
      </w:r>
      <w:r>
        <w:rPr>
          <w:rFonts w:ascii="等线" w:eastAsia="等线" w:hAnsi="等线" w:cs="等线"/>
          <w:bCs/>
          <w:kern w:val="2"/>
          <w:sz w:val="21"/>
          <w:szCs w:val="21"/>
          <w:u w:val="single"/>
          <w:lang w:eastAsia="zh-CN"/>
        </w:rPr>
        <w:t xml:space="preserve"> </w:t>
      </w:r>
      <w:r>
        <w:rPr>
          <w:rFonts w:ascii="等线" w:eastAsia="等线" w:hAnsi="等线" w:cs="等线" w:hint="eastAsia"/>
          <w:bCs/>
          <w:kern w:val="2"/>
          <w:sz w:val="21"/>
          <w:szCs w:val="21"/>
          <w:u w:val="single"/>
          <w:lang w:eastAsia="zh-CN"/>
        </w:rPr>
        <w:t>13537872611</w:t>
      </w:r>
      <w:r>
        <w:rPr>
          <w:rFonts w:ascii="等线" w:eastAsia="等线" w:hAnsi="等线" w:cs="等线"/>
          <w:bCs/>
          <w:kern w:val="2"/>
          <w:sz w:val="21"/>
          <w:szCs w:val="21"/>
          <w:lang w:eastAsia="zh-CN"/>
        </w:rPr>
        <w:t>（工作日08:00-17</w:t>
      </w:r>
      <w:r>
        <w:rPr>
          <w:rFonts w:ascii="等线" w:eastAsia="等线" w:hAnsi="等线" w:cs="等线" w:hint="eastAsia"/>
          <w:bCs/>
          <w:kern w:val="2"/>
          <w:sz w:val="21"/>
          <w:szCs w:val="21"/>
          <w:lang w:eastAsia="zh-CN"/>
        </w:rPr>
        <w:t>:</w:t>
      </w:r>
      <w:r>
        <w:rPr>
          <w:rFonts w:ascii="等线" w:eastAsia="等线" w:hAnsi="等线" w:cs="等线"/>
          <w:bCs/>
          <w:kern w:val="2"/>
          <w:sz w:val="21"/>
          <w:szCs w:val="21"/>
          <w:lang w:eastAsia="zh-CN"/>
        </w:rPr>
        <w:t>30），指定</w:t>
      </w:r>
      <w:r>
        <w:rPr>
          <w:rFonts w:ascii="等线" w:eastAsia="等线" w:hAnsi="等线" w:cs="等线"/>
          <w:bCs/>
          <w:kern w:val="2"/>
          <w:sz w:val="21"/>
          <w:szCs w:val="21"/>
          <w:u w:val="single"/>
          <w:lang w:eastAsia="zh-CN"/>
        </w:rPr>
        <w:t xml:space="preserve"> </w:t>
      </w:r>
      <w:r>
        <w:rPr>
          <w:rFonts w:ascii="等线" w:eastAsia="等线" w:hAnsi="等线" w:cs="等线" w:hint="eastAsia"/>
          <w:bCs/>
          <w:kern w:val="2"/>
          <w:sz w:val="21"/>
          <w:szCs w:val="21"/>
          <w:u w:val="single"/>
          <w:lang w:eastAsia="zh-CN"/>
        </w:rPr>
        <w:t>曹志</w:t>
      </w:r>
      <w:r>
        <w:rPr>
          <w:rFonts w:ascii="等线" w:eastAsia="等线" w:hAnsi="等线" w:cs="等线"/>
          <w:bCs/>
          <w:kern w:val="2"/>
          <w:sz w:val="21"/>
          <w:szCs w:val="21"/>
          <w:u w:val="single"/>
          <w:lang w:eastAsia="zh-CN"/>
        </w:rPr>
        <w:t xml:space="preserve"> </w:t>
      </w:r>
      <w:r>
        <w:rPr>
          <w:rFonts w:ascii="等线" w:eastAsia="等线" w:hAnsi="等线" w:cs="等线"/>
          <w:bCs/>
          <w:kern w:val="2"/>
          <w:sz w:val="21"/>
          <w:szCs w:val="21"/>
          <w:lang w:eastAsia="zh-CN"/>
        </w:rPr>
        <w:t>为廉政联络员，通讯地址：</w:t>
      </w:r>
      <w:r>
        <w:rPr>
          <w:rFonts w:ascii="等线" w:eastAsia="等线" w:hAnsi="等线" w:cs="等线" w:hint="eastAsia"/>
          <w:bCs/>
          <w:kern w:val="2"/>
          <w:sz w:val="21"/>
          <w:szCs w:val="21"/>
          <w:u w:val="single"/>
          <w:lang w:eastAsia="zh-CN"/>
        </w:rPr>
        <w:t>河源市龙川县龙川西站综合客运交通枢纽楼4楼</w:t>
      </w:r>
      <w:r>
        <w:rPr>
          <w:rFonts w:ascii="等线" w:eastAsia="等线" w:hAnsi="等线" w:cs="等线"/>
          <w:bCs/>
          <w:kern w:val="2"/>
          <w:sz w:val="21"/>
          <w:szCs w:val="21"/>
          <w:lang w:eastAsia="zh-CN"/>
        </w:rPr>
        <w:t>。</w:t>
      </w:r>
    </w:p>
    <w:p w14:paraId="506857E8">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乙方指定由</w:t>
      </w:r>
      <w:r>
        <w:rPr>
          <w:rFonts w:ascii="宋体" w:eastAsia="等线" w:hAnsi="宋体" w:cs="宋体" w:hint="eastAsia"/>
          <w:bCs/>
          <w:kern w:val="2"/>
          <w:sz w:val="21"/>
          <w:szCs w:val="21"/>
          <w:u w:val="single"/>
          <w:lang w:eastAsia="zh-CN"/>
        </w:rPr>
        <w:t xml:space="preserve">    </w:t>
      </w:r>
      <w:r>
        <w:rPr>
          <w:rFonts w:ascii="宋体" w:eastAsia="宋体" w:hAnsi="宋体" w:cs="宋体" w:hint="eastAsia"/>
          <w:bCs/>
          <w:kern w:val="2"/>
          <w:sz w:val="21"/>
          <w:szCs w:val="21"/>
          <w:lang w:eastAsia="zh-CN"/>
        </w:rPr>
        <w:t>室作为乙方执行本协议的监督部门，监督电话：</w:t>
      </w:r>
      <w:r>
        <w:rPr>
          <w:rFonts w:ascii="宋体" w:eastAsia="等线" w:hAnsi="宋体" w:cs="宋体" w:hint="eastAsia"/>
          <w:bCs/>
          <w:kern w:val="2"/>
          <w:sz w:val="21"/>
          <w:szCs w:val="21"/>
          <w:u w:val="single"/>
          <w:lang w:eastAsia="zh-CN"/>
        </w:rPr>
        <w:t xml:space="preserve"> </w:t>
      </w:r>
      <w:r>
        <w:rPr>
          <w:rFonts w:ascii="宋体" w:eastAsia="等线" w:hAnsi="宋体" w:cs="宋体" w:hint="eastAsia"/>
          <w:bCs/>
          <w:kern w:val="2"/>
          <w:sz w:val="21"/>
          <w:szCs w:val="21"/>
          <w:u w:val="single"/>
          <w:lang w:eastAsia="zh-CN"/>
        </w:rPr>
        <w:t xml:space="preserve">    </w:t>
      </w:r>
      <w:r>
        <w:rPr>
          <w:rFonts w:ascii="宋体" w:eastAsia="宋体" w:hAnsi="宋体" w:cs="宋体" w:hint="eastAsia"/>
          <w:bCs/>
          <w:kern w:val="2"/>
          <w:sz w:val="21"/>
          <w:szCs w:val="21"/>
          <w:lang w:eastAsia="zh-CN"/>
        </w:rPr>
        <w:t>（工作日08:00-17</w:t>
      </w:r>
      <w:r>
        <w:rPr>
          <w:rFonts w:ascii="宋体" w:eastAsia="等线" w:hAnsi="宋体" w:cs="宋体" w:hint="eastAsia"/>
          <w:bCs/>
          <w:kern w:val="2"/>
          <w:sz w:val="21"/>
          <w:szCs w:val="21"/>
          <w:lang w:eastAsia="zh-CN"/>
        </w:rPr>
        <w:t>:</w:t>
      </w:r>
      <w:r>
        <w:rPr>
          <w:rFonts w:ascii="宋体" w:eastAsia="宋体" w:hAnsi="宋体" w:cs="宋体" w:hint="eastAsia"/>
          <w:bCs/>
          <w:kern w:val="2"/>
          <w:sz w:val="21"/>
          <w:szCs w:val="21"/>
          <w:lang w:eastAsia="zh-CN"/>
        </w:rPr>
        <w:t>30），指定</w:t>
      </w:r>
      <w:r>
        <w:rPr>
          <w:rFonts w:ascii="宋体" w:eastAsia="等线" w:hAnsi="宋体" w:cs="宋体" w:hint="eastAsia"/>
          <w:bCs/>
          <w:kern w:val="2"/>
          <w:sz w:val="21"/>
          <w:szCs w:val="21"/>
          <w:u w:val="single"/>
          <w:lang w:eastAsia="zh-CN"/>
        </w:rPr>
        <w:t xml:space="preserve">    </w:t>
      </w:r>
      <w:r>
        <w:rPr>
          <w:rFonts w:ascii="宋体" w:eastAsia="宋体" w:hAnsi="宋体" w:cs="宋体" w:hint="eastAsia"/>
          <w:bCs/>
          <w:kern w:val="2"/>
          <w:sz w:val="21"/>
          <w:szCs w:val="21"/>
          <w:lang w:eastAsia="zh-CN"/>
        </w:rPr>
        <w:t>为廉政联络员，通讯地址：</w:t>
      </w:r>
      <w:r>
        <w:rPr>
          <w:rFonts w:ascii="宋体" w:eastAsia="等线" w:hAnsi="宋体" w:cs="宋体" w:hint="eastAsia"/>
          <w:bCs/>
          <w:kern w:val="2"/>
          <w:sz w:val="21"/>
          <w:szCs w:val="21"/>
          <w:u w:val="single"/>
          <w:lang w:eastAsia="zh-CN"/>
        </w:rPr>
        <w:t xml:space="preserve">       </w:t>
      </w:r>
      <w:r>
        <w:rPr>
          <w:rFonts w:ascii="宋体" w:eastAsia="宋体" w:hAnsi="宋体" w:cs="宋体" w:hint="eastAsia"/>
          <w:bCs/>
          <w:kern w:val="2"/>
          <w:sz w:val="21"/>
          <w:szCs w:val="21"/>
          <w:lang w:eastAsia="zh-CN"/>
        </w:rPr>
        <w:t xml:space="preserve">。  </w:t>
      </w:r>
    </w:p>
    <w:p w14:paraId="09B3049F">
      <w:pPr>
        <w:keepLines w:val="0"/>
        <w:widowControl w:val="0"/>
        <w:spacing w:line="360" w:lineRule="exact"/>
        <w:ind w:firstLine="420" w:firstLineChars="200"/>
        <w:jc w:val="both"/>
        <w:outlineLvl w:val="9"/>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第六条 协议份数</w:t>
      </w:r>
    </w:p>
    <w:p w14:paraId="0CFEAFD7">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本协议作为合同的附件，</w:t>
      </w:r>
      <w:r>
        <w:rPr>
          <w:rFonts w:ascii="宋体" w:eastAsia="等线" w:hAnsi="宋体" w:cs="宋体" w:hint="eastAsia"/>
          <w:bCs/>
          <w:kern w:val="2"/>
          <w:sz w:val="21"/>
          <w:szCs w:val="21"/>
          <w:lang w:eastAsia="zh-CN"/>
        </w:rPr>
        <w:t>份数同主合同</w:t>
      </w:r>
      <w:r>
        <w:rPr>
          <w:rFonts w:ascii="宋体" w:eastAsia="宋体" w:hAnsi="宋体" w:cs="宋体" w:hint="eastAsia"/>
          <w:bCs/>
          <w:kern w:val="2"/>
          <w:sz w:val="21"/>
          <w:szCs w:val="21"/>
          <w:lang w:eastAsia="zh-CN"/>
        </w:rPr>
        <w:t>，具有同等法律效力，经双方签署后立即生效。</w:t>
      </w:r>
    </w:p>
    <w:p w14:paraId="1F1CEE5B">
      <w:pPr>
        <w:keepLines w:val="0"/>
        <w:widowControl w:val="0"/>
        <w:spacing w:line="360" w:lineRule="exact"/>
        <w:ind w:firstLine="420" w:firstLineChars="200"/>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（以下无正文）</w:t>
      </w:r>
    </w:p>
    <w:p w14:paraId="3EA44885">
      <w:pPr>
        <w:keepLines w:val="0"/>
        <w:widowControl w:val="0"/>
        <w:spacing w:line="360" w:lineRule="exact"/>
        <w:jc w:val="both"/>
        <w:rPr>
          <w:rFonts w:ascii="宋体" w:eastAsia="宋体" w:hAnsi="宋体" w:cs="宋体" w:hint="eastAsia"/>
          <w:bCs/>
          <w:kern w:val="2"/>
          <w:sz w:val="21"/>
          <w:szCs w:val="21"/>
          <w:lang w:eastAsia="zh-CN"/>
        </w:rPr>
      </w:pPr>
    </w:p>
    <w:p w14:paraId="21834DFE">
      <w:pPr>
        <w:keepLines w:val="0"/>
        <w:widowControl w:val="0"/>
        <w:spacing w:line="360" w:lineRule="exact"/>
        <w:jc w:val="both"/>
        <w:rPr>
          <w:rFonts w:ascii="宋体" w:eastAsia="宋体" w:hAnsi="宋体" w:cs="宋体" w:hint="eastAsia"/>
          <w:bCs/>
          <w:kern w:val="2"/>
          <w:sz w:val="21"/>
          <w:szCs w:val="21"/>
          <w:lang w:eastAsia="zh-CN"/>
        </w:rPr>
      </w:pPr>
    </w:p>
    <w:p w14:paraId="1B95261A">
      <w:pPr>
        <w:keepLines w:val="0"/>
        <w:widowControl w:val="0"/>
        <w:spacing w:line="360" w:lineRule="exact"/>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甲方（盖章）：</w:t>
      </w:r>
      <w:r>
        <w:rPr>
          <w:rFonts w:ascii="宋体" w:eastAsia="宋体" w:hAnsi="宋体" w:cs="宋体" w:hint="eastAsia"/>
          <w:bCs/>
          <w:kern w:val="2"/>
          <w:sz w:val="21"/>
          <w:szCs w:val="21"/>
          <w:lang w:eastAsia="zh-CN"/>
        </w:rPr>
        <w:t xml:space="preserve">                             </w:t>
      </w:r>
      <w:r>
        <w:rPr>
          <w:rFonts w:ascii="宋体" w:eastAsia="宋体" w:hAnsi="宋体" w:cs="宋体" w:hint="eastAsia"/>
          <w:bCs/>
          <w:kern w:val="2"/>
          <w:sz w:val="21"/>
          <w:szCs w:val="21"/>
          <w:lang w:eastAsia="zh-CN"/>
        </w:rPr>
        <w:t>乙方（盖章）：</w:t>
      </w:r>
    </w:p>
    <w:p w14:paraId="18B9A17A">
      <w:pPr>
        <w:keepLines w:val="0"/>
        <w:widowControl w:val="0"/>
        <w:spacing w:line="360" w:lineRule="exact"/>
        <w:jc w:val="both"/>
        <w:rPr>
          <w:rFonts w:ascii="宋体" w:eastAsia="宋体" w:hAnsi="宋体" w:cs="宋体" w:hint="eastAsia"/>
          <w:bCs/>
          <w:kern w:val="2"/>
          <w:sz w:val="21"/>
          <w:szCs w:val="21"/>
          <w:lang w:eastAsia="zh-CN"/>
        </w:rPr>
      </w:pPr>
      <w:r>
        <w:rPr>
          <w:rFonts w:ascii="宋体" w:eastAsia="等线" w:hAnsi="宋体" w:cs="宋体" w:hint="eastAsia"/>
          <w:bCs/>
          <w:kern w:val="2"/>
          <w:sz w:val="21"/>
          <w:szCs w:val="21"/>
          <w:lang w:eastAsia="zh-CN"/>
        </w:rPr>
        <w:t xml:space="preserve">深圳市龙新开发建设有限公司                                                   </w:t>
      </w:r>
    </w:p>
    <w:p w14:paraId="7D8F3D0C">
      <w:pPr>
        <w:keepLines w:val="0"/>
        <w:widowControl w:val="0"/>
        <w:spacing w:line="360" w:lineRule="exact"/>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 xml:space="preserve">法定代表人或                 </w:t>
      </w:r>
      <w:r>
        <w:rPr>
          <w:rFonts w:ascii="宋体" w:eastAsia="宋体" w:hAnsi="宋体" w:cs="宋体" w:hint="eastAsia"/>
          <w:bCs/>
          <w:kern w:val="2"/>
          <w:sz w:val="21"/>
          <w:szCs w:val="21"/>
          <w:lang w:eastAsia="zh-CN"/>
        </w:rPr>
        <w:t xml:space="preserve">             </w:t>
      </w:r>
      <w:r>
        <w:rPr>
          <w:rFonts w:ascii="宋体" w:eastAsia="宋体" w:hAnsi="宋体" w:cs="宋体" w:hint="eastAsia"/>
          <w:bCs/>
          <w:kern w:val="2"/>
          <w:sz w:val="21"/>
          <w:szCs w:val="21"/>
          <w:lang w:eastAsia="zh-CN"/>
        </w:rPr>
        <w:t xml:space="preserve"> 法定代表人或</w:t>
      </w:r>
    </w:p>
    <w:p w14:paraId="11A4B83C">
      <w:pPr>
        <w:keepLines w:val="0"/>
        <w:widowControl w:val="0"/>
        <w:spacing w:line="360" w:lineRule="exact"/>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 xml:space="preserve">授权委托人（签字）：          </w:t>
      </w:r>
      <w:r>
        <w:rPr>
          <w:rFonts w:ascii="宋体" w:eastAsia="宋体" w:hAnsi="宋体" w:cs="宋体" w:hint="eastAsia"/>
          <w:bCs/>
          <w:kern w:val="2"/>
          <w:sz w:val="21"/>
          <w:szCs w:val="21"/>
          <w:lang w:eastAsia="zh-CN"/>
        </w:rPr>
        <w:t xml:space="preserve">             </w:t>
      </w:r>
      <w:r>
        <w:rPr>
          <w:rFonts w:ascii="宋体" w:eastAsia="宋体" w:hAnsi="宋体" w:cs="宋体" w:hint="eastAsia"/>
          <w:bCs/>
          <w:kern w:val="2"/>
          <w:sz w:val="21"/>
          <w:szCs w:val="21"/>
          <w:lang w:eastAsia="zh-CN"/>
        </w:rPr>
        <w:t xml:space="preserve">授权委托人（签字）：                          </w:t>
      </w:r>
    </w:p>
    <w:p w14:paraId="0558A943">
      <w:pPr>
        <w:keepLines w:val="0"/>
        <w:widowControl w:val="0"/>
        <w:spacing w:line="360" w:lineRule="exact"/>
        <w:jc w:val="both"/>
        <w:rPr>
          <w:rFonts w:ascii="宋体" w:eastAsia="宋体" w:hAnsi="宋体" w:cs="宋体" w:hint="eastAsia"/>
          <w:bCs/>
          <w:kern w:val="2"/>
          <w:sz w:val="21"/>
          <w:szCs w:val="21"/>
          <w:lang w:eastAsia="zh-CN"/>
        </w:rPr>
      </w:pPr>
      <w:r>
        <w:rPr>
          <w:rFonts w:ascii="宋体" w:eastAsia="宋体" w:hAnsi="宋体" w:cs="宋体" w:hint="eastAsia"/>
          <w:bCs/>
          <w:kern w:val="2"/>
          <w:sz w:val="21"/>
          <w:szCs w:val="21"/>
          <w:lang w:eastAsia="zh-CN"/>
        </w:rPr>
        <w:t xml:space="preserve">日期：                      </w:t>
      </w:r>
      <w:r>
        <w:rPr>
          <w:rFonts w:ascii="宋体" w:eastAsia="宋体" w:hAnsi="宋体" w:cs="宋体" w:hint="eastAsia"/>
          <w:bCs/>
          <w:kern w:val="2"/>
          <w:sz w:val="21"/>
          <w:szCs w:val="21"/>
          <w:lang w:eastAsia="zh-CN"/>
        </w:rPr>
        <w:t xml:space="preserve">              </w:t>
      </w:r>
      <w:r>
        <w:rPr>
          <w:rFonts w:ascii="宋体" w:eastAsia="宋体" w:hAnsi="宋体" w:cs="宋体" w:hint="eastAsia"/>
          <w:bCs/>
          <w:kern w:val="2"/>
          <w:sz w:val="21"/>
          <w:szCs w:val="21"/>
          <w:lang w:eastAsia="zh-CN"/>
        </w:rPr>
        <w:t xml:space="preserve"> 日期：</w:t>
      </w:r>
    </w:p>
    <w:p w14:paraId="3C1F7199">
      <w:pPr>
        <w:keepLines w:val="0"/>
        <w:widowControl w:val="0"/>
        <w:spacing w:before="0" w:line="240" w:lineRule="auto"/>
        <w:ind w:left="0"/>
        <w:jc w:val="both"/>
        <w:rPr>
          <w:rFonts w:ascii="Arial Unicode MS" w:eastAsia="Arial Unicode MS" w:hAnsi="Arial Unicode MS" w:cs="Arial Unicode MS"/>
          <w:spacing w:val="14"/>
          <w:kern w:val="2"/>
          <w:position w:val="-3"/>
          <w:sz w:val="35"/>
          <w:szCs w:val="35"/>
          <w:lang w:eastAsia="zh-CN"/>
        </w:rPr>
      </w:pPr>
      <w:r>
        <w:rPr>
          <w:rFonts w:ascii="Arial Unicode MS" w:eastAsia="Arial Unicode MS" w:hAnsi="Arial Unicode MS" w:cs="Arial Unicode MS"/>
          <w:spacing w:val="14"/>
          <w:kern w:val="2"/>
          <w:position w:val="-3"/>
          <w:sz w:val="35"/>
          <w:szCs w:val="35"/>
          <w:lang w:eastAsia="zh-CN"/>
        </w:rPr>
        <w:br w:type="page"/>
      </w:r>
    </w:p>
    <w:p w14:paraId="4B8C0DBF">
      <w:pPr>
        <w:keepLines w:val="0"/>
        <w:widowControl w:val="0"/>
        <w:spacing w:before="67" w:line="332" w:lineRule="exact"/>
        <w:ind w:left="403" w:firstLine="0" w:firstLineChars="0"/>
        <w:jc w:val="left"/>
        <w:rPr>
          <w:rFonts w:ascii="黑体" w:eastAsia="黑体" w:hAnsi="黑体" w:hint="eastAsia"/>
          <w:kern w:val="2"/>
          <w:sz w:val="28"/>
          <w:szCs w:val="28"/>
          <w:lang w:eastAsia="zh-CN"/>
        </w:rPr>
      </w:pPr>
      <w:r>
        <w:rPr>
          <w:rFonts w:ascii="黑体" w:eastAsia="黑体" w:hAnsi="黑体" w:hint="eastAsia"/>
          <w:kern w:val="2"/>
          <w:sz w:val="28"/>
          <w:szCs w:val="28"/>
          <w:lang w:eastAsia="zh-CN"/>
        </w:rPr>
        <w:t>附件</w:t>
      </w:r>
      <w:r>
        <w:rPr>
          <w:rFonts w:ascii="黑体" w:eastAsia="黑体" w:hAnsi="黑体" w:hint="eastAsia"/>
          <w:kern w:val="2"/>
          <w:sz w:val="28"/>
          <w:szCs w:val="28"/>
          <w:lang w:eastAsia="zh-CN"/>
        </w:rPr>
        <w:t>2-1</w:t>
      </w:r>
    </w:p>
    <w:p w14:paraId="7CEAB0F1">
      <w:pPr>
        <w:keepLines w:val="0"/>
        <w:widowControl w:val="0"/>
        <w:spacing w:before="67" w:line="332" w:lineRule="exact"/>
        <w:ind w:left="403" w:firstLine="0" w:firstLineChars="0"/>
        <w:jc w:val="both"/>
        <w:rPr>
          <w:rFonts w:ascii="Arial Unicode MS" w:eastAsia="Arial Unicode MS" w:hAnsi="Arial Unicode MS" w:cs="Arial Unicode MS"/>
          <w:kern w:val="2"/>
          <w:sz w:val="35"/>
          <w:szCs w:val="35"/>
          <w:lang w:eastAsia="zh-CN"/>
        </w:rPr>
      </w:pPr>
      <w:r>
        <w:rPr>
          <w:rFonts w:ascii="Arial Unicode MS" w:eastAsia="Arial Unicode MS" w:hAnsi="Arial Unicode MS" w:cs="Arial Unicode MS"/>
          <w:spacing w:val="14"/>
          <w:kern w:val="2"/>
          <w:position w:val="-3"/>
          <w:sz w:val="35"/>
          <w:szCs w:val="35"/>
          <w:lang w:eastAsia="zh-CN"/>
        </w:rPr>
        <w:t>深</w:t>
      </w:r>
      <w:r>
        <w:rPr>
          <w:rFonts w:ascii="Arial Unicode MS" w:eastAsia="Arial Unicode MS" w:hAnsi="Arial Unicode MS" w:cs="Arial Unicode MS"/>
          <w:spacing w:val="9"/>
          <w:kern w:val="2"/>
          <w:position w:val="-3"/>
          <w:sz w:val="35"/>
          <w:szCs w:val="35"/>
          <w:lang w:eastAsia="zh-CN"/>
        </w:rPr>
        <w:t>圳市特区建工集团有限公司廉洁回访问卷调查</w:t>
      </w:r>
    </w:p>
    <w:p w14:paraId="51AB5A1D">
      <w:pPr>
        <w:keepLines w:val="0"/>
        <w:widowControl w:val="0"/>
        <w:spacing w:before="203" w:line="256" w:lineRule="auto"/>
        <w:ind w:left="45" w:right="11" w:firstLine="469"/>
        <w:jc w:val="both"/>
        <w:rPr>
          <w:rFonts w:ascii="仿宋" w:eastAsia="仿宋" w:hAnsi="仿宋" w:cs="仿宋"/>
          <w:kern w:val="2"/>
          <w:sz w:val="23"/>
          <w:szCs w:val="23"/>
          <w:lang w:eastAsia="zh-CN"/>
        </w:rPr>
      </w:pPr>
      <w:r>
        <w:rPr>
          <w:rFonts w:ascii="仿宋" w:eastAsia="仿宋" w:hAnsi="仿宋" w:cs="仿宋"/>
          <w:spacing w:val="12"/>
          <w:kern w:val="2"/>
          <w:sz w:val="23"/>
          <w:szCs w:val="23"/>
          <w:lang w:eastAsia="zh-CN"/>
        </w:rPr>
        <w:t>感谢您</w:t>
      </w:r>
      <w:r>
        <w:rPr>
          <w:rFonts w:ascii="仿宋" w:eastAsia="仿宋" w:hAnsi="仿宋" w:cs="仿宋"/>
          <w:spacing w:val="8"/>
          <w:kern w:val="2"/>
          <w:sz w:val="23"/>
          <w:szCs w:val="23"/>
          <w:lang w:eastAsia="zh-CN"/>
        </w:rPr>
        <w:t>提</w:t>
      </w:r>
      <w:r>
        <w:rPr>
          <w:rFonts w:ascii="仿宋" w:eastAsia="仿宋" w:hAnsi="仿宋" w:cs="仿宋"/>
          <w:spacing w:val="6"/>
          <w:kern w:val="2"/>
          <w:sz w:val="23"/>
          <w:szCs w:val="23"/>
          <w:lang w:eastAsia="zh-CN"/>
        </w:rPr>
        <w:t>出意见和建议，帮助我们不断提高廉洁水平，促进公平、公正、透</w:t>
      </w:r>
      <w:r>
        <w:rPr>
          <w:rFonts w:ascii="仿宋" w:eastAsia="仿宋" w:hAnsi="仿宋" w:cs="仿宋"/>
          <w:spacing w:val="16"/>
          <w:kern w:val="2"/>
          <w:sz w:val="23"/>
          <w:szCs w:val="23"/>
          <w:lang w:eastAsia="zh-CN"/>
        </w:rPr>
        <w:t>明。</w:t>
      </w:r>
      <w:r>
        <w:rPr>
          <w:rFonts w:ascii="仿宋" w:eastAsia="仿宋" w:hAnsi="仿宋" w:cs="仿宋"/>
          <w:spacing w:val="13"/>
          <w:kern w:val="2"/>
          <w:sz w:val="23"/>
          <w:szCs w:val="23"/>
          <w:lang w:eastAsia="zh-CN"/>
        </w:rPr>
        <w:t>请</w:t>
      </w:r>
      <w:r>
        <w:rPr>
          <w:rFonts w:ascii="仿宋" w:eastAsia="仿宋" w:hAnsi="仿宋" w:cs="仿宋"/>
          <w:spacing w:val="8"/>
          <w:kern w:val="2"/>
          <w:sz w:val="23"/>
          <w:szCs w:val="23"/>
          <w:lang w:eastAsia="zh-CN"/>
        </w:rPr>
        <w:t>您根据了解的情况如实并实名填写下表，我们将严格为您保密。</w:t>
      </w:r>
    </w:p>
    <w:p w14:paraId="46000A51">
      <w:pPr>
        <w:keepLines w:val="0"/>
        <w:widowControl w:val="0"/>
        <w:spacing w:line="62" w:lineRule="exact"/>
        <w:jc w:val="both"/>
        <w:rPr>
          <w:rFonts w:ascii="等线" w:eastAsia="等线" w:hAnsi="等线"/>
          <w:kern w:val="2"/>
          <w:sz w:val="21"/>
          <w:szCs w:val="22"/>
          <w:lang w:eastAsia="zh-CN"/>
        </w:rPr>
      </w:pPr>
    </w:p>
    <w:tbl>
      <w:tblPr>
        <w:tblStyle w:val="TableNormal0"/>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526"/>
        <w:gridCol w:w="6110"/>
        <w:gridCol w:w="791"/>
        <w:gridCol w:w="760"/>
        <w:gridCol w:w="1118"/>
      </w:tblGrid>
      <w:tr w14:paraId="360D4AE8">
        <w:tblPrEx>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406"/>
          <w:jc w:val="center"/>
        </w:trPr>
        <w:tc>
          <w:tcPr>
            <w:tcW w:w="6420" w:type="dxa"/>
            <w:gridSpan w:val="2"/>
            <w:vMerge w:val="restart"/>
            <w:tcBorders>
              <w:bottom w:val="nil"/>
            </w:tcBorders>
            <w:vAlign w:val="top"/>
          </w:tcPr>
          <w:p w14:paraId="3DA754D1">
            <w:pPr>
              <w:keepLines w:val="0"/>
              <w:widowControl w:val="0"/>
              <w:spacing w:line="249" w:lineRule="auto"/>
              <w:ind w:firstLine="0" w:firstLineChars="0"/>
              <w:jc w:val="both"/>
              <w:rPr>
                <w:rFonts w:ascii="Arial" w:eastAsia="等线" w:hAnsi="等线"/>
                <w:kern w:val="2"/>
                <w:sz w:val="21"/>
                <w:szCs w:val="22"/>
                <w:lang w:eastAsia="zh-CN"/>
              </w:rPr>
            </w:pPr>
          </w:p>
          <w:p w14:paraId="7E7B1953">
            <w:pPr>
              <w:keepLines w:val="0"/>
              <w:widowControl w:val="0"/>
              <w:spacing w:before="65" w:line="231" w:lineRule="auto"/>
              <w:ind w:left="1889" w:firstLine="0" w:firstLineChars="0"/>
              <w:jc w:val="both"/>
              <w:rPr>
                <w:rFonts w:ascii="仿宋" w:eastAsia="仿宋" w:hAnsi="仿宋" w:cs="仿宋"/>
                <w:kern w:val="2"/>
                <w:sz w:val="20"/>
                <w:szCs w:val="20"/>
                <w:lang w:eastAsia="zh-CN"/>
              </w:rPr>
            </w:pPr>
            <w:r>
              <w:rPr>
                <w:rFonts w:ascii="仿宋" w:eastAsia="仿宋" w:hAnsi="仿宋" w:cs="仿宋"/>
                <w:spacing w:val="8"/>
                <w:kern w:val="2"/>
                <w:sz w:val="20"/>
                <w:szCs w:val="20"/>
                <w:lang w:eastAsia="zh-CN"/>
                <w14:textOutline w14:w="3795" w14:cap="sq">
                  <w14:solidFill>
                    <w14:srgbClr w14:val="000000"/>
                  </w14:solidFill>
                  <w14:prstDash w14:val="solid"/>
                  <w14:bevel/>
                </w14:textOutline>
              </w:rPr>
              <w:t>廉洁回访事项</w:t>
            </w:r>
          </w:p>
        </w:tc>
        <w:tc>
          <w:tcPr>
            <w:tcW w:w="1500" w:type="dxa"/>
            <w:gridSpan w:val="2"/>
            <w:vAlign w:val="top"/>
          </w:tcPr>
          <w:p w14:paraId="1C0E8C30">
            <w:pPr>
              <w:keepLines w:val="0"/>
              <w:widowControl w:val="0"/>
              <w:spacing w:before="112" w:line="231" w:lineRule="auto"/>
              <w:ind w:firstLine="0" w:firstLineChars="0"/>
              <w:jc w:val="center"/>
              <w:rPr>
                <w:rFonts w:ascii="仿宋" w:eastAsia="仿宋" w:hAnsi="仿宋" w:cs="仿宋"/>
                <w:kern w:val="2"/>
                <w:sz w:val="20"/>
                <w:szCs w:val="20"/>
                <w:lang w:eastAsia="zh-CN"/>
              </w:rPr>
            </w:pPr>
            <w:r>
              <w:rPr>
                <w:rFonts w:ascii="仿宋" w:eastAsia="仿宋" w:hAnsi="仿宋" w:cs="仿宋"/>
                <w:spacing w:val="6"/>
                <w:kern w:val="2"/>
                <w:sz w:val="20"/>
                <w:szCs w:val="20"/>
                <w:lang w:eastAsia="zh-CN"/>
                <w14:textOutline w14:w="3795" w14:cap="sq">
                  <w14:solidFill>
                    <w14:srgbClr w14:val="000000"/>
                  </w14:solidFill>
                  <w14:prstDash w14:val="solid"/>
                  <w14:bevel/>
                </w14:textOutline>
              </w:rPr>
              <w:t>情况反</w:t>
            </w:r>
            <w:r>
              <w:rPr>
                <w:rFonts w:ascii="仿宋" w:eastAsia="仿宋" w:hAnsi="仿宋" w:cs="仿宋"/>
                <w:spacing w:val="5"/>
                <w:kern w:val="2"/>
                <w:sz w:val="20"/>
                <w:szCs w:val="20"/>
                <w:lang w:eastAsia="zh-CN"/>
                <w14:textOutline w14:w="3795" w14:cap="sq">
                  <w14:solidFill>
                    <w14:srgbClr w14:val="000000"/>
                  </w14:solidFill>
                  <w14:prstDash w14:val="solid"/>
                  <w14:bevel/>
                </w14:textOutline>
              </w:rPr>
              <w:t>馈</w:t>
            </w:r>
          </w:p>
        </w:tc>
        <w:tc>
          <w:tcPr>
            <w:tcW w:w="1081" w:type="dxa"/>
            <w:vMerge w:val="restart"/>
            <w:tcBorders>
              <w:bottom w:val="nil"/>
            </w:tcBorders>
            <w:vAlign w:val="top"/>
          </w:tcPr>
          <w:p w14:paraId="5398DC7F">
            <w:pPr>
              <w:keepLines w:val="0"/>
              <w:widowControl w:val="0"/>
              <w:spacing w:line="249" w:lineRule="auto"/>
              <w:ind w:firstLine="0" w:firstLineChars="0"/>
              <w:jc w:val="both"/>
              <w:rPr>
                <w:rFonts w:ascii="Arial" w:eastAsia="等线" w:hAnsi="等线"/>
                <w:kern w:val="2"/>
                <w:sz w:val="21"/>
                <w:szCs w:val="22"/>
                <w:lang w:eastAsia="zh-CN"/>
              </w:rPr>
            </w:pPr>
          </w:p>
          <w:p w14:paraId="6CA09E98">
            <w:pPr>
              <w:keepLines w:val="0"/>
              <w:widowControl w:val="0"/>
              <w:spacing w:before="65" w:line="232" w:lineRule="auto"/>
              <w:ind w:firstLine="0" w:firstLineChars="0"/>
              <w:jc w:val="center"/>
              <w:rPr>
                <w:rFonts w:ascii="仿宋" w:eastAsia="仿宋" w:hAnsi="仿宋" w:cs="仿宋"/>
                <w:kern w:val="2"/>
                <w:sz w:val="20"/>
                <w:szCs w:val="20"/>
                <w:lang w:eastAsia="zh-CN"/>
              </w:rPr>
            </w:pPr>
            <w:r>
              <w:rPr>
                <w:rFonts w:ascii="仿宋" w:eastAsia="仿宋" w:hAnsi="仿宋" w:cs="仿宋"/>
                <w:spacing w:val="8"/>
                <w:kern w:val="2"/>
                <w:sz w:val="20"/>
                <w:szCs w:val="20"/>
                <w:lang w:eastAsia="zh-CN"/>
                <w14:textOutline w14:w="3795" w14:cap="sq">
                  <w14:solidFill>
                    <w14:srgbClr w14:val="000000"/>
                  </w14:solidFill>
                  <w14:prstDash w14:val="solid"/>
                  <w14:bevel/>
                </w14:textOutline>
              </w:rPr>
              <w:t>涉</w:t>
            </w:r>
            <w:r>
              <w:rPr>
                <w:rFonts w:ascii="仿宋" w:eastAsia="仿宋" w:hAnsi="仿宋" w:cs="仿宋"/>
                <w:spacing w:val="6"/>
                <w:kern w:val="2"/>
                <w:sz w:val="20"/>
                <w:szCs w:val="20"/>
                <w:lang w:eastAsia="zh-CN"/>
                <w14:textOutline w14:w="3795" w14:cap="sq">
                  <w14:solidFill>
                    <w14:srgbClr w14:val="000000"/>
                  </w14:solidFill>
                  <w14:prstDash w14:val="solid"/>
                  <w14:bevel/>
                </w14:textOutline>
              </w:rPr>
              <w:t>及人员</w:t>
            </w:r>
          </w:p>
        </w:tc>
      </w:tr>
      <w:tr w14:paraId="1773C6F8">
        <w:tblPrEx>
          <w:tblW w:w="5000" w:type="pct"/>
          <w:jc w:val="center"/>
          <w:tblLayout w:type="fixed"/>
          <w:tblCellMar>
            <w:top w:w="0" w:type="dxa"/>
            <w:left w:w="0" w:type="dxa"/>
            <w:bottom w:w="0" w:type="dxa"/>
            <w:right w:w="0" w:type="dxa"/>
          </w:tblCellMar>
        </w:tblPrEx>
        <w:trPr>
          <w:trHeight w:val="402"/>
          <w:jc w:val="center"/>
        </w:trPr>
        <w:tc>
          <w:tcPr>
            <w:tcW w:w="6420" w:type="dxa"/>
            <w:gridSpan w:val="2"/>
            <w:vMerge/>
            <w:tcBorders>
              <w:top w:val="nil"/>
            </w:tcBorders>
            <w:vAlign w:val="top"/>
          </w:tcPr>
          <w:p w14:paraId="1F014ECC">
            <w:pPr>
              <w:keepLines w:val="0"/>
              <w:widowControl w:val="0"/>
              <w:ind w:firstLine="0" w:firstLineChars="0"/>
              <w:jc w:val="both"/>
              <w:rPr>
                <w:rFonts w:ascii="Arial" w:eastAsia="等线" w:hAnsi="等线"/>
                <w:kern w:val="2"/>
                <w:sz w:val="21"/>
                <w:szCs w:val="22"/>
                <w:lang w:eastAsia="zh-CN"/>
              </w:rPr>
            </w:pPr>
          </w:p>
        </w:tc>
        <w:tc>
          <w:tcPr>
            <w:tcW w:w="765" w:type="dxa"/>
            <w:vAlign w:val="top"/>
          </w:tcPr>
          <w:p w14:paraId="7A0B322D">
            <w:pPr>
              <w:keepLines w:val="0"/>
              <w:widowControl w:val="0"/>
              <w:spacing w:before="109" w:line="233" w:lineRule="auto"/>
              <w:ind w:left="355"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14:textOutline w14:w="3795" w14:cap="sq">
                  <w14:solidFill>
                    <w14:srgbClr w14:val="000000"/>
                  </w14:solidFill>
                  <w14:prstDash w14:val="solid"/>
                  <w14:bevel/>
                </w14:textOutline>
              </w:rPr>
              <w:t>是</w:t>
            </w:r>
          </w:p>
        </w:tc>
        <w:tc>
          <w:tcPr>
            <w:tcW w:w="735" w:type="dxa"/>
            <w:vAlign w:val="top"/>
          </w:tcPr>
          <w:p w14:paraId="13B6C262">
            <w:pPr>
              <w:keepLines w:val="0"/>
              <w:widowControl w:val="0"/>
              <w:spacing w:before="109" w:line="233" w:lineRule="auto"/>
              <w:ind w:left="418"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14:textOutline w14:w="3795" w14:cap="sq">
                  <w14:solidFill>
                    <w14:srgbClr w14:val="000000"/>
                  </w14:solidFill>
                  <w14:prstDash w14:val="solid"/>
                  <w14:bevel/>
                </w14:textOutline>
              </w:rPr>
              <w:t>否</w:t>
            </w:r>
          </w:p>
        </w:tc>
        <w:tc>
          <w:tcPr>
            <w:tcW w:w="1081" w:type="dxa"/>
            <w:vMerge/>
            <w:tcBorders>
              <w:top w:val="nil"/>
            </w:tcBorders>
            <w:vAlign w:val="top"/>
          </w:tcPr>
          <w:p w14:paraId="7AAFE68E">
            <w:pPr>
              <w:keepLines w:val="0"/>
              <w:widowControl w:val="0"/>
              <w:ind w:firstLine="0" w:firstLineChars="0"/>
              <w:jc w:val="both"/>
              <w:rPr>
                <w:rFonts w:ascii="Arial" w:eastAsia="等线" w:hAnsi="等线"/>
                <w:kern w:val="2"/>
                <w:sz w:val="21"/>
                <w:szCs w:val="22"/>
                <w:lang w:eastAsia="zh-CN"/>
              </w:rPr>
            </w:pPr>
          </w:p>
        </w:tc>
      </w:tr>
      <w:tr w14:paraId="754D23EA">
        <w:tblPrEx>
          <w:tblW w:w="5000" w:type="pct"/>
          <w:jc w:val="center"/>
          <w:tblLayout w:type="fixed"/>
          <w:tblCellMar>
            <w:top w:w="0" w:type="dxa"/>
            <w:left w:w="0" w:type="dxa"/>
            <w:bottom w:w="0" w:type="dxa"/>
            <w:right w:w="0" w:type="dxa"/>
          </w:tblCellMar>
        </w:tblPrEx>
        <w:trPr>
          <w:trHeight w:val="718"/>
          <w:jc w:val="center"/>
        </w:trPr>
        <w:tc>
          <w:tcPr>
            <w:tcW w:w="510" w:type="dxa"/>
            <w:vAlign w:val="center"/>
          </w:tcPr>
          <w:p w14:paraId="074556AF">
            <w:pPr>
              <w:keepLines w:val="0"/>
              <w:widowControl w:val="0"/>
              <w:spacing w:before="65" w:line="187" w:lineRule="auto"/>
              <w:ind w:left="290" w:firstLine="0" w:firstLineChars="0"/>
              <w:jc w:val="left"/>
              <w:rPr>
                <w:rFonts w:ascii="仿宋" w:eastAsia="仿宋" w:hAnsi="仿宋" w:cs="仿宋"/>
                <w:kern w:val="2"/>
                <w:sz w:val="20"/>
                <w:szCs w:val="20"/>
                <w:lang w:eastAsia="zh-CN"/>
              </w:rPr>
            </w:pPr>
            <w:r>
              <w:rPr>
                <w:rFonts w:ascii="仿宋" w:eastAsia="仿宋" w:hAnsi="仿宋" w:cs="仿宋"/>
                <w:kern w:val="2"/>
                <w:sz w:val="20"/>
                <w:szCs w:val="20"/>
                <w:lang w:eastAsia="zh-CN"/>
              </w:rPr>
              <w:t>1</w:t>
            </w:r>
          </w:p>
        </w:tc>
        <w:tc>
          <w:tcPr>
            <w:tcW w:w="5910" w:type="dxa"/>
            <w:vAlign w:val="top"/>
          </w:tcPr>
          <w:p w14:paraId="2AD4D43D">
            <w:pPr>
              <w:keepLines w:val="0"/>
              <w:widowControl w:val="0"/>
              <w:spacing w:before="55" w:line="269" w:lineRule="auto"/>
              <w:ind w:left="118" w:right="105" w:firstLine="0" w:firstLineChars="0"/>
              <w:jc w:val="both"/>
              <w:rPr>
                <w:rFonts w:ascii="仿宋" w:eastAsia="仿宋" w:hAnsi="仿宋" w:cs="仿宋"/>
                <w:kern w:val="2"/>
                <w:sz w:val="20"/>
                <w:szCs w:val="20"/>
                <w:lang w:eastAsia="zh-CN"/>
              </w:rPr>
            </w:pPr>
            <w:r>
              <w:rPr>
                <w:rFonts w:ascii="仿宋" w:eastAsia="仿宋" w:hAnsi="仿宋" w:cs="仿宋"/>
                <w:spacing w:val="20"/>
                <w:kern w:val="2"/>
                <w:sz w:val="20"/>
                <w:szCs w:val="20"/>
                <w:lang w:eastAsia="zh-CN"/>
              </w:rPr>
              <w:t>员</w:t>
            </w:r>
            <w:r>
              <w:rPr>
                <w:rFonts w:ascii="仿宋" w:eastAsia="仿宋" w:hAnsi="仿宋" w:cs="仿宋"/>
                <w:spacing w:val="17"/>
                <w:kern w:val="2"/>
                <w:sz w:val="20"/>
                <w:szCs w:val="20"/>
                <w:lang w:eastAsia="zh-CN"/>
              </w:rPr>
              <w:t>工是否违规接受工程建设相关单位和个人</w:t>
            </w:r>
            <w:r>
              <w:rPr>
                <w:rFonts w:ascii="仿宋" w:eastAsia="仿宋" w:hAnsi="仿宋" w:cs="仿宋"/>
                <w:spacing w:val="8"/>
                <w:kern w:val="2"/>
                <w:sz w:val="20"/>
                <w:szCs w:val="20"/>
                <w:lang w:eastAsia="zh-CN"/>
              </w:rPr>
              <w:t>赠</w:t>
            </w:r>
            <w:r>
              <w:rPr>
                <w:rFonts w:ascii="仿宋" w:eastAsia="仿宋" w:hAnsi="仿宋" w:cs="仿宋"/>
                <w:spacing w:val="7"/>
                <w:kern w:val="2"/>
                <w:sz w:val="20"/>
                <w:szCs w:val="20"/>
                <w:lang w:eastAsia="zh-CN"/>
              </w:rPr>
              <w:t>送现金、礼品、购物卡、会员卡、代金券以</w:t>
            </w:r>
            <w:r>
              <w:rPr>
                <w:rFonts w:ascii="仿宋" w:eastAsia="仿宋" w:hAnsi="仿宋" w:cs="仿宋"/>
                <w:kern w:val="2"/>
                <w:sz w:val="20"/>
                <w:szCs w:val="20"/>
                <w:lang w:eastAsia="zh-CN"/>
              </w:rPr>
              <w:t xml:space="preserve"> </w:t>
            </w:r>
            <w:r>
              <w:rPr>
                <w:rFonts w:ascii="仿宋" w:eastAsia="仿宋" w:hAnsi="仿宋" w:cs="仿宋"/>
                <w:spacing w:val="10"/>
                <w:kern w:val="2"/>
                <w:sz w:val="20"/>
                <w:szCs w:val="20"/>
                <w:lang w:eastAsia="zh-CN"/>
              </w:rPr>
              <w:t>及</w:t>
            </w:r>
            <w:r>
              <w:rPr>
                <w:rFonts w:ascii="仿宋" w:eastAsia="仿宋" w:hAnsi="仿宋" w:cs="仿宋"/>
                <w:spacing w:val="6"/>
                <w:kern w:val="2"/>
                <w:sz w:val="20"/>
                <w:szCs w:val="20"/>
                <w:lang w:eastAsia="zh-CN"/>
              </w:rPr>
              <w:t>有价证券?</w:t>
            </w:r>
          </w:p>
        </w:tc>
        <w:tc>
          <w:tcPr>
            <w:tcW w:w="765" w:type="dxa"/>
            <w:vAlign w:val="top"/>
          </w:tcPr>
          <w:p w14:paraId="66C2FACC">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007E20E9">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0E9FD0A4">
            <w:pPr>
              <w:keepLines w:val="0"/>
              <w:widowControl w:val="0"/>
              <w:ind w:firstLine="0" w:firstLineChars="0"/>
              <w:jc w:val="both"/>
              <w:rPr>
                <w:rFonts w:ascii="Arial" w:eastAsia="等线" w:hAnsi="等线"/>
                <w:kern w:val="2"/>
                <w:sz w:val="21"/>
                <w:szCs w:val="22"/>
                <w:lang w:eastAsia="zh-CN"/>
              </w:rPr>
            </w:pPr>
          </w:p>
        </w:tc>
      </w:tr>
      <w:tr w14:paraId="433D7899">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641F931F">
            <w:pPr>
              <w:keepLines w:val="0"/>
              <w:widowControl w:val="0"/>
              <w:spacing w:before="249" w:line="186" w:lineRule="auto"/>
              <w:ind w:left="277"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2</w:t>
            </w:r>
          </w:p>
        </w:tc>
        <w:tc>
          <w:tcPr>
            <w:tcW w:w="5910" w:type="dxa"/>
            <w:vAlign w:val="top"/>
          </w:tcPr>
          <w:p w14:paraId="00EC9192">
            <w:pPr>
              <w:keepLines w:val="0"/>
              <w:widowControl w:val="0"/>
              <w:spacing w:before="57" w:line="260" w:lineRule="auto"/>
              <w:ind w:left="120" w:right="105" w:firstLine="0" w:firstLineChars="0"/>
              <w:jc w:val="both"/>
              <w:rPr>
                <w:rFonts w:ascii="仿宋" w:eastAsia="仿宋" w:hAnsi="仿宋" w:cs="仿宋"/>
                <w:kern w:val="2"/>
                <w:sz w:val="20"/>
                <w:szCs w:val="20"/>
                <w:lang w:eastAsia="zh-CN"/>
              </w:rPr>
            </w:pPr>
            <w:r>
              <w:rPr>
                <w:rFonts w:ascii="仿宋" w:eastAsia="仿宋" w:hAnsi="仿宋" w:cs="仿宋"/>
                <w:spacing w:val="20"/>
                <w:kern w:val="2"/>
                <w:sz w:val="20"/>
                <w:szCs w:val="20"/>
                <w:lang w:eastAsia="zh-CN"/>
              </w:rPr>
              <w:t>员</w:t>
            </w:r>
            <w:r>
              <w:rPr>
                <w:rFonts w:ascii="仿宋" w:eastAsia="仿宋" w:hAnsi="仿宋" w:cs="仿宋"/>
                <w:spacing w:val="17"/>
                <w:kern w:val="2"/>
                <w:sz w:val="20"/>
                <w:szCs w:val="20"/>
                <w:lang w:eastAsia="zh-CN"/>
              </w:rPr>
              <w:t>工是否要求工程建设相关单位报销应由本</w:t>
            </w:r>
            <w:r>
              <w:rPr>
                <w:rFonts w:ascii="仿宋" w:eastAsia="仿宋" w:hAnsi="仿宋" w:cs="仿宋"/>
                <w:spacing w:val="10"/>
                <w:kern w:val="2"/>
                <w:sz w:val="20"/>
                <w:szCs w:val="20"/>
                <w:lang w:eastAsia="zh-CN"/>
              </w:rPr>
              <w:t>人</w:t>
            </w:r>
            <w:r>
              <w:rPr>
                <w:rFonts w:ascii="仿宋" w:eastAsia="仿宋" w:hAnsi="仿宋" w:cs="仿宋"/>
                <w:spacing w:val="8"/>
                <w:kern w:val="2"/>
                <w:sz w:val="20"/>
                <w:szCs w:val="20"/>
                <w:lang w:eastAsia="zh-CN"/>
              </w:rPr>
              <w:t>及亲属支付的个人费用?</w:t>
            </w:r>
          </w:p>
        </w:tc>
        <w:tc>
          <w:tcPr>
            <w:tcW w:w="765" w:type="dxa"/>
            <w:vAlign w:val="top"/>
          </w:tcPr>
          <w:p w14:paraId="08E79F82">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0CA13C9F">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2CAD2536">
            <w:pPr>
              <w:keepLines w:val="0"/>
              <w:widowControl w:val="0"/>
              <w:ind w:firstLine="0" w:firstLineChars="0"/>
              <w:jc w:val="both"/>
              <w:rPr>
                <w:rFonts w:ascii="Arial" w:eastAsia="等线" w:hAnsi="等线"/>
                <w:kern w:val="2"/>
                <w:sz w:val="21"/>
                <w:szCs w:val="22"/>
                <w:lang w:eastAsia="zh-CN"/>
              </w:rPr>
            </w:pPr>
          </w:p>
        </w:tc>
      </w:tr>
      <w:tr w14:paraId="7949D59A">
        <w:tblPrEx>
          <w:tblW w:w="5000" w:type="pct"/>
          <w:jc w:val="center"/>
          <w:tblLayout w:type="fixed"/>
          <w:tblCellMar>
            <w:top w:w="0" w:type="dxa"/>
            <w:left w:w="0" w:type="dxa"/>
            <w:bottom w:w="0" w:type="dxa"/>
            <w:right w:w="0" w:type="dxa"/>
          </w:tblCellMar>
        </w:tblPrEx>
        <w:trPr>
          <w:trHeight w:val="637"/>
          <w:jc w:val="center"/>
        </w:trPr>
        <w:tc>
          <w:tcPr>
            <w:tcW w:w="510" w:type="dxa"/>
            <w:vAlign w:val="top"/>
          </w:tcPr>
          <w:p w14:paraId="4F2D4ED1">
            <w:pPr>
              <w:keepLines w:val="0"/>
              <w:widowControl w:val="0"/>
              <w:spacing w:before="249" w:line="186" w:lineRule="auto"/>
              <w:ind w:left="279"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3</w:t>
            </w:r>
          </w:p>
        </w:tc>
        <w:tc>
          <w:tcPr>
            <w:tcW w:w="5910" w:type="dxa"/>
            <w:vAlign w:val="top"/>
          </w:tcPr>
          <w:p w14:paraId="145F2D85">
            <w:pPr>
              <w:keepLines w:val="0"/>
              <w:widowControl w:val="0"/>
              <w:spacing w:before="58" w:line="258" w:lineRule="auto"/>
              <w:ind w:left="114" w:right="105" w:firstLine="0" w:firstLineChars="0"/>
              <w:jc w:val="both"/>
              <w:rPr>
                <w:rFonts w:ascii="仿宋" w:eastAsia="仿宋" w:hAnsi="仿宋" w:cs="仿宋"/>
                <w:kern w:val="2"/>
                <w:sz w:val="20"/>
                <w:szCs w:val="20"/>
                <w:lang w:eastAsia="zh-CN"/>
              </w:rPr>
            </w:pPr>
            <w:r>
              <w:rPr>
                <w:rFonts w:ascii="仿宋" w:eastAsia="仿宋" w:hAnsi="仿宋" w:cs="仿宋"/>
                <w:spacing w:val="20"/>
                <w:kern w:val="2"/>
                <w:sz w:val="20"/>
                <w:szCs w:val="20"/>
                <w:lang w:eastAsia="zh-CN"/>
              </w:rPr>
              <w:t>员</w:t>
            </w:r>
            <w:r>
              <w:rPr>
                <w:rFonts w:ascii="仿宋" w:eastAsia="仿宋" w:hAnsi="仿宋" w:cs="仿宋"/>
                <w:spacing w:val="17"/>
                <w:kern w:val="2"/>
                <w:sz w:val="20"/>
                <w:szCs w:val="20"/>
                <w:lang w:eastAsia="zh-CN"/>
              </w:rPr>
              <w:t>工是否违规参加工程建设相关单位出资安</w:t>
            </w:r>
            <w:r>
              <w:rPr>
                <w:rFonts w:ascii="仿宋" w:eastAsia="仿宋" w:hAnsi="仿宋" w:cs="仿宋"/>
                <w:spacing w:val="9"/>
                <w:kern w:val="2"/>
                <w:sz w:val="20"/>
                <w:szCs w:val="20"/>
                <w:lang w:eastAsia="zh-CN"/>
              </w:rPr>
              <w:t>排的宴请、娱乐、旅游等活动</w:t>
            </w:r>
            <w:r>
              <w:rPr>
                <w:rFonts w:ascii="仿宋" w:eastAsia="仿宋" w:hAnsi="仿宋" w:cs="仿宋"/>
                <w:spacing w:val="7"/>
                <w:kern w:val="2"/>
                <w:sz w:val="20"/>
                <w:szCs w:val="20"/>
                <w:lang w:eastAsia="zh-CN"/>
              </w:rPr>
              <w:t>?</w:t>
            </w:r>
          </w:p>
        </w:tc>
        <w:tc>
          <w:tcPr>
            <w:tcW w:w="765" w:type="dxa"/>
            <w:vAlign w:val="top"/>
          </w:tcPr>
          <w:p w14:paraId="1A2D9740">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187DC8E7">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3461C930">
            <w:pPr>
              <w:keepLines w:val="0"/>
              <w:widowControl w:val="0"/>
              <w:ind w:firstLine="0" w:firstLineChars="0"/>
              <w:jc w:val="both"/>
              <w:rPr>
                <w:rFonts w:ascii="Arial" w:eastAsia="等线" w:hAnsi="等线"/>
                <w:kern w:val="2"/>
                <w:sz w:val="21"/>
                <w:szCs w:val="22"/>
                <w:lang w:eastAsia="zh-CN"/>
              </w:rPr>
            </w:pPr>
          </w:p>
        </w:tc>
      </w:tr>
      <w:tr w14:paraId="2B723F0A">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784B6490">
            <w:pPr>
              <w:keepLines w:val="0"/>
              <w:widowControl w:val="0"/>
              <w:spacing w:before="251" w:line="186" w:lineRule="auto"/>
              <w:ind w:left="274"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4</w:t>
            </w:r>
          </w:p>
        </w:tc>
        <w:tc>
          <w:tcPr>
            <w:tcW w:w="5910" w:type="dxa"/>
            <w:vAlign w:val="top"/>
          </w:tcPr>
          <w:p w14:paraId="37B54381">
            <w:pPr>
              <w:keepLines w:val="0"/>
              <w:widowControl w:val="0"/>
              <w:spacing w:before="59" w:line="258" w:lineRule="auto"/>
              <w:ind w:left="120" w:right="105" w:firstLine="0" w:firstLineChars="0"/>
              <w:jc w:val="both"/>
              <w:rPr>
                <w:rFonts w:ascii="仿宋" w:eastAsia="仿宋" w:hAnsi="仿宋" w:cs="仿宋"/>
                <w:kern w:val="2"/>
                <w:sz w:val="20"/>
                <w:szCs w:val="20"/>
                <w:lang w:eastAsia="zh-CN"/>
              </w:rPr>
            </w:pPr>
            <w:r>
              <w:rPr>
                <w:rFonts w:ascii="仿宋" w:eastAsia="仿宋" w:hAnsi="仿宋" w:cs="仿宋"/>
                <w:spacing w:val="20"/>
                <w:kern w:val="2"/>
                <w:sz w:val="20"/>
                <w:szCs w:val="20"/>
                <w:lang w:eastAsia="zh-CN"/>
              </w:rPr>
              <w:t>员</w:t>
            </w:r>
            <w:r>
              <w:rPr>
                <w:rFonts w:ascii="仿宋" w:eastAsia="仿宋" w:hAnsi="仿宋" w:cs="仿宋"/>
                <w:spacing w:val="17"/>
                <w:kern w:val="2"/>
                <w:sz w:val="20"/>
                <w:szCs w:val="20"/>
                <w:lang w:eastAsia="zh-CN"/>
              </w:rPr>
              <w:t>工是否和工程建设有关人员一起进行赌博</w:t>
            </w:r>
            <w:r>
              <w:rPr>
                <w:rFonts w:ascii="仿宋" w:eastAsia="仿宋" w:hAnsi="仿宋" w:cs="仿宋"/>
                <w:spacing w:val="9"/>
                <w:kern w:val="2"/>
                <w:sz w:val="20"/>
                <w:szCs w:val="20"/>
                <w:lang w:eastAsia="zh-CN"/>
              </w:rPr>
              <w:t>性</w:t>
            </w:r>
            <w:r>
              <w:rPr>
                <w:rFonts w:ascii="仿宋" w:eastAsia="仿宋" w:hAnsi="仿宋" w:cs="仿宋"/>
                <w:spacing w:val="7"/>
                <w:kern w:val="2"/>
                <w:sz w:val="20"/>
                <w:szCs w:val="20"/>
                <w:lang w:eastAsia="zh-CN"/>
              </w:rPr>
              <w:t>质的娱乐活动?</w:t>
            </w:r>
          </w:p>
        </w:tc>
        <w:tc>
          <w:tcPr>
            <w:tcW w:w="765" w:type="dxa"/>
            <w:vAlign w:val="top"/>
          </w:tcPr>
          <w:p w14:paraId="6F88F667">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48BCF1C3">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07E3CA48">
            <w:pPr>
              <w:keepLines w:val="0"/>
              <w:widowControl w:val="0"/>
              <w:ind w:firstLine="0" w:firstLineChars="0"/>
              <w:jc w:val="both"/>
              <w:rPr>
                <w:rFonts w:ascii="Arial" w:eastAsia="等线" w:hAnsi="等线"/>
                <w:kern w:val="2"/>
                <w:sz w:val="21"/>
                <w:szCs w:val="22"/>
                <w:lang w:eastAsia="zh-CN"/>
              </w:rPr>
            </w:pPr>
          </w:p>
        </w:tc>
      </w:tr>
      <w:tr w14:paraId="77C1556B">
        <w:tblPrEx>
          <w:tblW w:w="5000" w:type="pct"/>
          <w:jc w:val="center"/>
          <w:tblLayout w:type="fixed"/>
          <w:tblCellMar>
            <w:top w:w="0" w:type="dxa"/>
            <w:left w:w="0" w:type="dxa"/>
            <w:bottom w:w="0" w:type="dxa"/>
            <w:right w:w="0" w:type="dxa"/>
          </w:tblCellMar>
        </w:tblPrEx>
        <w:trPr>
          <w:trHeight w:val="380"/>
          <w:jc w:val="center"/>
        </w:trPr>
        <w:tc>
          <w:tcPr>
            <w:tcW w:w="510" w:type="dxa"/>
            <w:vAlign w:val="top"/>
          </w:tcPr>
          <w:p w14:paraId="31EB756B">
            <w:pPr>
              <w:keepLines w:val="0"/>
              <w:widowControl w:val="0"/>
              <w:spacing w:before="253" w:line="184" w:lineRule="auto"/>
              <w:ind w:left="279"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5</w:t>
            </w:r>
          </w:p>
        </w:tc>
        <w:tc>
          <w:tcPr>
            <w:tcW w:w="5910" w:type="dxa"/>
            <w:vAlign w:val="top"/>
          </w:tcPr>
          <w:p w14:paraId="75684747">
            <w:pPr>
              <w:keepLines w:val="0"/>
              <w:widowControl w:val="0"/>
              <w:spacing w:before="59" w:line="258" w:lineRule="auto"/>
              <w:ind w:left="120" w:right="105" w:firstLine="0" w:firstLineChars="0"/>
              <w:jc w:val="both"/>
              <w:rPr>
                <w:rFonts w:ascii="仿宋" w:eastAsia="仿宋" w:hAnsi="仿宋" w:cs="仿宋"/>
                <w:kern w:val="2"/>
                <w:sz w:val="20"/>
                <w:szCs w:val="20"/>
                <w:lang w:eastAsia="zh-CN"/>
              </w:rPr>
            </w:pPr>
            <w:r>
              <w:rPr>
                <w:rFonts w:ascii="仿宋" w:eastAsia="仿宋" w:hAnsi="仿宋" w:cs="仿宋"/>
                <w:spacing w:val="6"/>
                <w:kern w:val="2"/>
                <w:sz w:val="20"/>
                <w:szCs w:val="20"/>
                <w:lang w:eastAsia="zh-CN"/>
              </w:rPr>
              <w:t>员工是否违规私 自 向工程建设相关单位和个人</w:t>
            </w:r>
            <w:r>
              <w:rPr>
                <w:rFonts w:ascii="仿宋" w:eastAsia="仿宋" w:hAnsi="仿宋" w:cs="仿宋"/>
                <w:spacing w:val="4"/>
                <w:kern w:val="2"/>
                <w:sz w:val="20"/>
                <w:szCs w:val="20"/>
                <w:lang w:eastAsia="zh-CN"/>
              </w:rPr>
              <w:t>借车?</w:t>
            </w:r>
          </w:p>
        </w:tc>
        <w:tc>
          <w:tcPr>
            <w:tcW w:w="765" w:type="dxa"/>
            <w:vAlign w:val="top"/>
          </w:tcPr>
          <w:p w14:paraId="2E3A15CD">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2DF997FA">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1EAB0E2C">
            <w:pPr>
              <w:keepLines w:val="0"/>
              <w:widowControl w:val="0"/>
              <w:ind w:firstLine="0" w:firstLineChars="0"/>
              <w:jc w:val="both"/>
              <w:rPr>
                <w:rFonts w:ascii="Arial" w:eastAsia="等线" w:hAnsi="等线"/>
                <w:kern w:val="2"/>
                <w:sz w:val="21"/>
                <w:szCs w:val="22"/>
                <w:lang w:eastAsia="zh-CN"/>
              </w:rPr>
            </w:pPr>
          </w:p>
        </w:tc>
      </w:tr>
      <w:tr w14:paraId="4842786B">
        <w:tblPrEx>
          <w:tblW w:w="5000" w:type="pct"/>
          <w:jc w:val="center"/>
          <w:tblLayout w:type="fixed"/>
          <w:tblCellMar>
            <w:top w:w="0" w:type="dxa"/>
            <w:left w:w="0" w:type="dxa"/>
            <w:bottom w:w="0" w:type="dxa"/>
            <w:right w:w="0" w:type="dxa"/>
          </w:tblCellMar>
        </w:tblPrEx>
        <w:trPr>
          <w:trHeight w:val="853"/>
          <w:jc w:val="center"/>
        </w:trPr>
        <w:tc>
          <w:tcPr>
            <w:tcW w:w="510" w:type="dxa"/>
            <w:vAlign w:val="top"/>
          </w:tcPr>
          <w:p w14:paraId="07E877C6">
            <w:pPr>
              <w:keepLines w:val="0"/>
              <w:widowControl w:val="0"/>
              <w:spacing w:line="340" w:lineRule="auto"/>
              <w:ind w:firstLine="0" w:firstLineChars="0"/>
              <w:jc w:val="both"/>
              <w:rPr>
                <w:rFonts w:ascii="Arial" w:eastAsia="等线" w:hAnsi="等线"/>
                <w:kern w:val="2"/>
                <w:sz w:val="21"/>
                <w:szCs w:val="22"/>
                <w:lang w:eastAsia="zh-CN"/>
              </w:rPr>
            </w:pPr>
          </w:p>
          <w:p w14:paraId="2414DA03">
            <w:pPr>
              <w:keepLines w:val="0"/>
              <w:widowControl w:val="0"/>
              <w:spacing w:before="65" w:line="186" w:lineRule="auto"/>
              <w:ind w:left="276"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6</w:t>
            </w:r>
          </w:p>
        </w:tc>
        <w:tc>
          <w:tcPr>
            <w:tcW w:w="5910" w:type="dxa"/>
            <w:vAlign w:val="top"/>
          </w:tcPr>
          <w:p w14:paraId="2D51EA4C">
            <w:pPr>
              <w:keepLines w:val="0"/>
              <w:widowControl w:val="0"/>
              <w:spacing w:before="216" w:line="299" w:lineRule="auto"/>
              <w:ind w:left="118" w:right="105" w:firstLine="0" w:firstLineChars="0"/>
              <w:jc w:val="both"/>
              <w:rPr>
                <w:rFonts w:ascii="仿宋" w:eastAsia="仿宋" w:hAnsi="仿宋" w:cs="仿宋"/>
                <w:kern w:val="2"/>
                <w:sz w:val="20"/>
                <w:szCs w:val="20"/>
                <w:lang w:eastAsia="zh-CN"/>
              </w:rPr>
            </w:pPr>
            <w:r>
              <w:rPr>
                <w:rFonts w:ascii="仿宋" w:eastAsia="仿宋" w:hAnsi="仿宋" w:cs="仿宋"/>
                <w:spacing w:val="20"/>
                <w:kern w:val="2"/>
                <w:sz w:val="20"/>
                <w:szCs w:val="20"/>
                <w:lang w:eastAsia="zh-CN"/>
              </w:rPr>
              <w:t>员</w:t>
            </w:r>
            <w:r>
              <w:rPr>
                <w:rFonts w:ascii="仿宋" w:eastAsia="仿宋" w:hAnsi="仿宋" w:cs="仿宋"/>
                <w:spacing w:val="17"/>
                <w:kern w:val="2"/>
                <w:sz w:val="20"/>
                <w:szCs w:val="20"/>
                <w:lang w:eastAsia="zh-CN"/>
              </w:rPr>
              <w:t>工是否存在以借用为名违规使用或占用工</w:t>
            </w:r>
            <w:r>
              <w:rPr>
                <w:rFonts w:ascii="仿宋" w:eastAsia="仿宋" w:hAnsi="仿宋" w:cs="仿宋"/>
                <w:spacing w:val="16"/>
                <w:kern w:val="2"/>
                <w:sz w:val="20"/>
                <w:szCs w:val="20"/>
                <w:lang w:eastAsia="zh-CN"/>
              </w:rPr>
              <w:t>程</w:t>
            </w:r>
            <w:r>
              <w:rPr>
                <w:rFonts w:ascii="仿宋" w:eastAsia="仿宋" w:hAnsi="仿宋" w:cs="仿宋"/>
                <w:spacing w:val="12"/>
                <w:kern w:val="2"/>
                <w:sz w:val="20"/>
                <w:szCs w:val="20"/>
                <w:lang w:eastAsia="zh-CN"/>
              </w:rPr>
              <w:t>建</w:t>
            </w:r>
            <w:r>
              <w:rPr>
                <w:rFonts w:ascii="仿宋" w:eastAsia="仿宋" w:hAnsi="仿宋" w:cs="仿宋"/>
                <w:spacing w:val="8"/>
                <w:kern w:val="2"/>
                <w:sz w:val="20"/>
                <w:szCs w:val="20"/>
                <w:lang w:eastAsia="zh-CN"/>
              </w:rPr>
              <w:t>设相关单位和个人财物的行为?</w:t>
            </w:r>
          </w:p>
        </w:tc>
        <w:tc>
          <w:tcPr>
            <w:tcW w:w="765" w:type="dxa"/>
            <w:vAlign w:val="top"/>
          </w:tcPr>
          <w:p w14:paraId="17831824">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46EC8EF1">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5CC2D15A">
            <w:pPr>
              <w:keepLines w:val="0"/>
              <w:widowControl w:val="0"/>
              <w:ind w:firstLine="0" w:firstLineChars="0"/>
              <w:jc w:val="both"/>
              <w:rPr>
                <w:rFonts w:ascii="Arial" w:eastAsia="等线" w:hAnsi="等线"/>
                <w:kern w:val="2"/>
                <w:sz w:val="21"/>
                <w:szCs w:val="22"/>
                <w:lang w:eastAsia="zh-CN"/>
              </w:rPr>
            </w:pPr>
          </w:p>
        </w:tc>
      </w:tr>
      <w:tr w14:paraId="009924D5">
        <w:tblPrEx>
          <w:tblW w:w="5000" w:type="pct"/>
          <w:jc w:val="center"/>
          <w:tblLayout w:type="fixed"/>
          <w:tblCellMar>
            <w:top w:w="0" w:type="dxa"/>
            <w:left w:w="0" w:type="dxa"/>
            <w:bottom w:w="0" w:type="dxa"/>
            <w:right w:w="0" w:type="dxa"/>
          </w:tblCellMar>
        </w:tblPrEx>
        <w:trPr>
          <w:trHeight w:val="275"/>
          <w:jc w:val="center"/>
        </w:trPr>
        <w:tc>
          <w:tcPr>
            <w:tcW w:w="510" w:type="dxa"/>
            <w:vAlign w:val="top"/>
          </w:tcPr>
          <w:p w14:paraId="34C7C329">
            <w:pPr>
              <w:keepLines w:val="0"/>
              <w:widowControl w:val="0"/>
              <w:spacing w:before="253" w:line="184" w:lineRule="auto"/>
              <w:ind w:left="280"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7</w:t>
            </w:r>
          </w:p>
        </w:tc>
        <w:tc>
          <w:tcPr>
            <w:tcW w:w="5910" w:type="dxa"/>
            <w:vAlign w:val="top"/>
          </w:tcPr>
          <w:p w14:paraId="72FC423B">
            <w:pPr>
              <w:keepLines w:val="0"/>
              <w:widowControl w:val="0"/>
              <w:spacing w:before="58" w:line="260" w:lineRule="auto"/>
              <w:ind w:left="121" w:right="105" w:firstLine="0" w:firstLineChars="0"/>
              <w:jc w:val="both"/>
              <w:rPr>
                <w:rFonts w:ascii="仿宋" w:eastAsia="仿宋" w:hAnsi="仿宋" w:cs="仿宋"/>
                <w:kern w:val="2"/>
                <w:sz w:val="20"/>
                <w:szCs w:val="20"/>
                <w:lang w:eastAsia="zh-CN"/>
              </w:rPr>
            </w:pPr>
            <w:r>
              <w:rPr>
                <w:rFonts w:ascii="仿宋" w:eastAsia="仿宋" w:hAnsi="仿宋" w:cs="仿宋"/>
                <w:spacing w:val="12"/>
                <w:kern w:val="2"/>
                <w:sz w:val="20"/>
                <w:szCs w:val="20"/>
                <w:lang w:eastAsia="zh-CN"/>
              </w:rPr>
              <w:t>员</w:t>
            </w:r>
            <w:r>
              <w:rPr>
                <w:rFonts w:ascii="仿宋" w:eastAsia="仿宋" w:hAnsi="仿宋" w:cs="仿宋"/>
                <w:spacing w:val="6"/>
                <w:kern w:val="2"/>
                <w:sz w:val="20"/>
                <w:szCs w:val="20"/>
                <w:lang w:eastAsia="zh-CN"/>
              </w:rPr>
              <w:t>工是否违规进行工程变更、现场签证和支付</w:t>
            </w:r>
            <w:r>
              <w:rPr>
                <w:rFonts w:ascii="仿宋" w:eastAsia="仿宋" w:hAnsi="仿宋" w:cs="仿宋"/>
                <w:spacing w:val="4"/>
                <w:kern w:val="2"/>
                <w:sz w:val="20"/>
                <w:szCs w:val="20"/>
                <w:lang w:eastAsia="zh-CN"/>
              </w:rPr>
              <w:t>工程款?</w:t>
            </w:r>
          </w:p>
        </w:tc>
        <w:tc>
          <w:tcPr>
            <w:tcW w:w="765" w:type="dxa"/>
            <w:vAlign w:val="top"/>
          </w:tcPr>
          <w:p w14:paraId="3E12245C">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0A376317">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7BA8A65D">
            <w:pPr>
              <w:keepLines w:val="0"/>
              <w:widowControl w:val="0"/>
              <w:ind w:firstLine="0" w:firstLineChars="0"/>
              <w:jc w:val="both"/>
              <w:rPr>
                <w:rFonts w:ascii="Arial" w:eastAsia="等线" w:hAnsi="等线"/>
                <w:kern w:val="2"/>
                <w:sz w:val="21"/>
                <w:szCs w:val="22"/>
                <w:lang w:eastAsia="zh-CN"/>
              </w:rPr>
            </w:pPr>
          </w:p>
        </w:tc>
      </w:tr>
      <w:tr w14:paraId="08A75B6D">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35F7410F">
            <w:pPr>
              <w:keepLines w:val="0"/>
              <w:widowControl w:val="0"/>
              <w:spacing w:before="251" w:line="186" w:lineRule="auto"/>
              <w:ind w:left="276"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8</w:t>
            </w:r>
          </w:p>
        </w:tc>
        <w:tc>
          <w:tcPr>
            <w:tcW w:w="5910" w:type="dxa"/>
            <w:vAlign w:val="top"/>
          </w:tcPr>
          <w:p w14:paraId="753846F0">
            <w:pPr>
              <w:keepLines w:val="0"/>
              <w:widowControl w:val="0"/>
              <w:spacing w:before="58" w:line="259" w:lineRule="auto"/>
              <w:ind w:left="117" w:right="107" w:firstLine="0" w:firstLineChars="0"/>
              <w:jc w:val="both"/>
              <w:rPr>
                <w:rFonts w:ascii="仿宋" w:eastAsia="仿宋" w:hAnsi="仿宋" w:cs="仿宋"/>
                <w:kern w:val="2"/>
                <w:sz w:val="20"/>
                <w:szCs w:val="20"/>
                <w:lang w:eastAsia="zh-CN"/>
              </w:rPr>
            </w:pPr>
            <w:r>
              <w:rPr>
                <w:rFonts w:ascii="仿宋" w:eastAsia="仿宋" w:hAnsi="仿宋" w:cs="仿宋"/>
                <w:spacing w:val="2"/>
                <w:kern w:val="2"/>
                <w:sz w:val="20"/>
                <w:szCs w:val="20"/>
                <w:lang w:eastAsia="zh-CN"/>
              </w:rPr>
              <w:t>员工是</w:t>
            </w:r>
            <w:r>
              <w:rPr>
                <w:rFonts w:ascii="仿宋" w:eastAsia="仿宋" w:hAnsi="仿宋" w:cs="仿宋"/>
                <w:spacing w:val="1"/>
                <w:kern w:val="2"/>
                <w:sz w:val="20"/>
                <w:szCs w:val="20"/>
                <w:lang w:eastAsia="zh-CN"/>
              </w:rPr>
              <w:t>否利用管理工程便利为自 己、亲属及其</w:t>
            </w:r>
            <w:r>
              <w:rPr>
                <w:rFonts w:ascii="仿宋" w:eastAsia="仿宋" w:hAnsi="仿宋" w:cs="仿宋"/>
                <w:spacing w:val="13"/>
                <w:kern w:val="2"/>
                <w:sz w:val="20"/>
                <w:szCs w:val="20"/>
                <w:lang w:eastAsia="zh-CN"/>
              </w:rPr>
              <w:t>他</w:t>
            </w:r>
            <w:r>
              <w:rPr>
                <w:rFonts w:ascii="仿宋" w:eastAsia="仿宋" w:hAnsi="仿宋" w:cs="仿宋"/>
                <w:spacing w:val="8"/>
                <w:kern w:val="2"/>
                <w:sz w:val="20"/>
                <w:szCs w:val="20"/>
                <w:lang w:eastAsia="zh-CN"/>
              </w:rPr>
              <w:t>关系人谋取不正当利益?</w:t>
            </w:r>
          </w:p>
        </w:tc>
        <w:tc>
          <w:tcPr>
            <w:tcW w:w="765" w:type="dxa"/>
            <w:vAlign w:val="top"/>
          </w:tcPr>
          <w:p w14:paraId="154E5971">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2FF59BB9">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06255711">
            <w:pPr>
              <w:keepLines w:val="0"/>
              <w:widowControl w:val="0"/>
              <w:ind w:firstLine="0" w:firstLineChars="0"/>
              <w:jc w:val="both"/>
              <w:rPr>
                <w:rFonts w:ascii="Arial" w:eastAsia="等线" w:hAnsi="等线"/>
                <w:kern w:val="2"/>
                <w:sz w:val="21"/>
                <w:szCs w:val="22"/>
                <w:lang w:eastAsia="zh-CN"/>
              </w:rPr>
            </w:pPr>
          </w:p>
        </w:tc>
      </w:tr>
      <w:tr w14:paraId="681BF025">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6CFC5DFF">
            <w:pPr>
              <w:keepLines w:val="0"/>
              <w:widowControl w:val="0"/>
              <w:spacing w:before="251" w:line="186" w:lineRule="auto"/>
              <w:ind w:left="276" w:firstLine="0" w:firstLineChars="0"/>
              <w:jc w:val="both"/>
              <w:rPr>
                <w:rFonts w:ascii="仿宋" w:eastAsia="仿宋" w:hAnsi="仿宋" w:cs="仿宋"/>
                <w:kern w:val="2"/>
                <w:sz w:val="20"/>
                <w:szCs w:val="20"/>
                <w:lang w:eastAsia="zh-CN"/>
              </w:rPr>
            </w:pPr>
            <w:r>
              <w:rPr>
                <w:rFonts w:ascii="仿宋" w:eastAsia="仿宋" w:hAnsi="仿宋" w:cs="仿宋"/>
                <w:kern w:val="2"/>
                <w:sz w:val="20"/>
                <w:szCs w:val="20"/>
                <w:lang w:eastAsia="zh-CN"/>
              </w:rPr>
              <w:t>9</w:t>
            </w:r>
          </w:p>
        </w:tc>
        <w:tc>
          <w:tcPr>
            <w:tcW w:w="5910" w:type="dxa"/>
            <w:vAlign w:val="top"/>
          </w:tcPr>
          <w:p w14:paraId="5A49DA60">
            <w:pPr>
              <w:keepLines w:val="0"/>
              <w:widowControl w:val="0"/>
              <w:spacing w:before="215" w:line="228" w:lineRule="auto"/>
              <w:ind w:left="133" w:firstLine="0" w:firstLineChars="0"/>
              <w:jc w:val="both"/>
              <w:rPr>
                <w:rFonts w:ascii="仿宋" w:eastAsia="仿宋" w:hAnsi="仿宋" w:cs="仿宋"/>
                <w:kern w:val="2"/>
                <w:sz w:val="20"/>
                <w:szCs w:val="20"/>
                <w:lang w:eastAsia="zh-CN"/>
              </w:rPr>
            </w:pPr>
            <w:r>
              <w:rPr>
                <w:rFonts w:ascii="仿宋" w:eastAsia="仿宋" w:hAnsi="仿宋" w:cs="仿宋"/>
                <w:spacing w:val="2"/>
                <w:kern w:val="2"/>
                <w:sz w:val="20"/>
                <w:szCs w:val="20"/>
                <w:lang w:eastAsia="zh-CN"/>
              </w:rPr>
              <w:t>员工是否存在</w:t>
            </w:r>
            <w:r>
              <w:rPr>
                <w:rFonts w:ascii="仿宋" w:eastAsia="仿宋" w:hAnsi="仿宋" w:cs="仿宋"/>
                <w:spacing w:val="1"/>
                <w:kern w:val="2"/>
                <w:sz w:val="20"/>
                <w:szCs w:val="20"/>
                <w:lang w:eastAsia="zh-CN"/>
              </w:rPr>
              <w:t>玩忽职守、越权、滥用职权行为?</w:t>
            </w:r>
          </w:p>
        </w:tc>
        <w:tc>
          <w:tcPr>
            <w:tcW w:w="765" w:type="dxa"/>
            <w:vAlign w:val="top"/>
          </w:tcPr>
          <w:p w14:paraId="43518E8D">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00BAD063">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1A13301D">
            <w:pPr>
              <w:keepLines w:val="0"/>
              <w:widowControl w:val="0"/>
              <w:ind w:firstLine="0" w:firstLineChars="0"/>
              <w:jc w:val="both"/>
              <w:rPr>
                <w:rFonts w:ascii="Arial" w:eastAsia="等线" w:hAnsi="等线"/>
                <w:kern w:val="2"/>
                <w:sz w:val="21"/>
                <w:szCs w:val="22"/>
                <w:lang w:eastAsia="zh-CN"/>
              </w:rPr>
            </w:pPr>
          </w:p>
        </w:tc>
      </w:tr>
      <w:tr w14:paraId="038E6320">
        <w:tblPrEx>
          <w:tblW w:w="5000" w:type="pct"/>
          <w:jc w:val="center"/>
          <w:tblLayout w:type="fixed"/>
          <w:tblCellMar>
            <w:top w:w="0" w:type="dxa"/>
            <w:left w:w="0" w:type="dxa"/>
            <w:bottom w:w="0" w:type="dxa"/>
            <w:right w:w="0" w:type="dxa"/>
          </w:tblCellMar>
        </w:tblPrEx>
        <w:trPr>
          <w:trHeight w:val="438"/>
          <w:jc w:val="center"/>
        </w:trPr>
        <w:tc>
          <w:tcPr>
            <w:tcW w:w="510" w:type="dxa"/>
            <w:vAlign w:val="top"/>
          </w:tcPr>
          <w:p w14:paraId="1CE2A7FA">
            <w:pPr>
              <w:keepLines w:val="0"/>
              <w:widowControl w:val="0"/>
              <w:spacing w:before="250" w:line="187" w:lineRule="auto"/>
              <w:ind w:left="237" w:firstLine="0" w:firstLineChars="0"/>
              <w:jc w:val="both"/>
              <w:rPr>
                <w:rFonts w:ascii="仿宋" w:eastAsia="仿宋" w:hAnsi="仿宋" w:cs="仿宋"/>
                <w:kern w:val="2"/>
                <w:sz w:val="20"/>
                <w:szCs w:val="20"/>
                <w:lang w:eastAsia="zh-CN"/>
              </w:rPr>
            </w:pPr>
            <w:r>
              <w:rPr>
                <w:rFonts w:ascii="仿宋" w:eastAsia="仿宋" w:hAnsi="仿宋" w:cs="仿宋"/>
                <w:spacing w:val="-7"/>
                <w:kern w:val="2"/>
                <w:sz w:val="20"/>
                <w:szCs w:val="20"/>
                <w:lang w:eastAsia="zh-CN"/>
              </w:rPr>
              <w:t>1</w:t>
            </w:r>
            <w:r>
              <w:rPr>
                <w:rFonts w:ascii="仿宋" w:eastAsia="仿宋" w:hAnsi="仿宋" w:cs="仿宋"/>
                <w:spacing w:val="-6"/>
                <w:kern w:val="2"/>
                <w:sz w:val="20"/>
                <w:szCs w:val="20"/>
                <w:lang w:eastAsia="zh-CN"/>
              </w:rPr>
              <w:t>0</w:t>
            </w:r>
          </w:p>
        </w:tc>
        <w:tc>
          <w:tcPr>
            <w:tcW w:w="5910" w:type="dxa"/>
            <w:vAlign w:val="top"/>
          </w:tcPr>
          <w:p w14:paraId="4D74B1F8">
            <w:pPr>
              <w:keepLines w:val="0"/>
              <w:widowControl w:val="0"/>
              <w:spacing w:before="59" w:line="259" w:lineRule="auto"/>
              <w:ind w:left="118" w:right="5" w:firstLine="0" w:firstLineChars="0"/>
              <w:jc w:val="both"/>
              <w:rPr>
                <w:rFonts w:ascii="仿宋" w:eastAsia="仿宋" w:hAnsi="仿宋" w:cs="仿宋"/>
                <w:kern w:val="2"/>
                <w:sz w:val="20"/>
                <w:szCs w:val="20"/>
                <w:lang w:eastAsia="zh-CN"/>
              </w:rPr>
            </w:pPr>
            <w:r>
              <w:rPr>
                <w:rFonts w:ascii="仿宋" w:eastAsia="仿宋" w:hAnsi="仿宋" w:cs="仿宋"/>
                <w:spacing w:val="17"/>
                <w:kern w:val="2"/>
                <w:sz w:val="20"/>
                <w:szCs w:val="20"/>
                <w:lang w:eastAsia="zh-CN"/>
              </w:rPr>
              <w:t>员</w:t>
            </w:r>
            <w:r>
              <w:rPr>
                <w:rFonts w:ascii="仿宋" w:eastAsia="仿宋" w:hAnsi="仿宋" w:cs="仿宋"/>
                <w:spacing w:val="11"/>
                <w:kern w:val="2"/>
                <w:sz w:val="20"/>
                <w:szCs w:val="20"/>
                <w:lang w:eastAsia="zh-CN"/>
              </w:rPr>
              <w:t>工是否存在故意刁难，“吃、拿、卡、要”</w:t>
            </w:r>
            <w:r>
              <w:rPr>
                <w:rFonts w:ascii="仿宋" w:eastAsia="仿宋" w:hAnsi="仿宋" w:cs="仿宋"/>
                <w:spacing w:val="3"/>
                <w:kern w:val="2"/>
                <w:sz w:val="20"/>
                <w:szCs w:val="20"/>
                <w:lang w:eastAsia="zh-CN"/>
              </w:rPr>
              <w:t>行为?</w:t>
            </w:r>
          </w:p>
        </w:tc>
        <w:tc>
          <w:tcPr>
            <w:tcW w:w="765" w:type="dxa"/>
            <w:vAlign w:val="top"/>
          </w:tcPr>
          <w:p w14:paraId="233C217D">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568A16C1">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5EB888E3">
            <w:pPr>
              <w:keepLines w:val="0"/>
              <w:widowControl w:val="0"/>
              <w:ind w:firstLine="0" w:firstLineChars="0"/>
              <w:jc w:val="both"/>
              <w:rPr>
                <w:rFonts w:ascii="Arial" w:eastAsia="等线" w:hAnsi="等线"/>
                <w:kern w:val="2"/>
                <w:sz w:val="21"/>
                <w:szCs w:val="22"/>
                <w:lang w:eastAsia="zh-CN"/>
              </w:rPr>
            </w:pPr>
          </w:p>
        </w:tc>
      </w:tr>
      <w:tr w14:paraId="577174D9">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7F0E73F4">
            <w:pPr>
              <w:keepLines w:val="0"/>
              <w:widowControl w:val="0"/>
              <w:spacing w:before="251" w:line="187" w:lineRule="auto"/>
              <w:ind w:left="237" w:firstLine="0" w:firstLineChars="0"/>
              <w:jc w:val="both"/>
              <w:rPr>
                <w:rFonts w:ascii="仿宋" w:eastAsia="仿宋" w:hAnsi="仿宋" w:cs="仿宋"/>
                <w:kern w:val="2"/>
                <w:sz w:val="20"/>
                <w:szCs w:val="20"/>
                <w:lang w:eastAsia="zh-CN"/>
              </w:rPr>
            </w:pPr>
            <w:r>
              <w:rPr>
                <w:rFonts w:ascii="仿宋" w:eastAsia="仿宋" w:hAnsi="仿宋" w:cs="仿宋"/>
                <w:spacing w:val="-7"/>
                <w:kern w:val="2"/>
                <w:sz w:val="20"/>
                <w:szCs w:val="20"/>
                <w:lang w:eastAsia="zh-CN"/>
              </w:rPr>
              <w:t>1</w:t>
            </w:r>
            <w:r>
              <w:rPr>
                <w:rFonts w:ascii="仿宋" w:eastAsia="仿宋" w:hAnsi="仿宋" w:cs="仿宋"/>
                <w:spacing w:val="-6"/>
                <w:kern w:val="2"/>
                <w:sz w:val="20"/>
                <w:szCs w:val="20"/>
                <w:lang w:eastAsia="zh-CN"/>
              </w:rPr>
              <w:t>1</w:t>
            </w:r>
          </w:p>
        </w:tc>
        <w:tc>
          <w:tcPr>
            <w:tcW w:w="5910" w:type="dxa"/>
            <w:vAlign w:val="top"/>
          </w:tcPr>
          <w:p w14:paraId="0F3CB6A0">
            <w:pPr>
              <w:keepLines w:val="0"/>
              <w:widowControl w:val="0"/>
              <w:spacing w:before="216" w:line="228" w:lineRule="auto"/>
              <w:ind w:left="133" w:firstLine="0" w:firstLineChars="0"/>
              <w:jc w:val="both"/>
              <w:rPr>
                <w:rFonts w:ascii="仿宋" w:eastAsia="仿宋" w:hAnsi="仿宋" w:cs="仿宋"/>
                <w:kern w:val="2"/>
                <w:sz w:val="20"/>
                <w:szCs w:val="20"/>
                <w:lang w:eastAsia="zh-CN"/>
              </w:rPr>
            </w:pPr>
            <w:r>
              <w:rPr>
                <w:rFonts w:ascii="仿宋" w:eastAsia="仿宋" w:hAnsi="仿宋" w:cs="仿宋"/>
                <w:spacing w:val="2"/>
                <w:kern w:val="2"/>
                <w:sz w:val="20"/>
                <w:szCs w:val="20"/>
                <w:lang w:eastAsia="zh-CN"/>
              </w:rPr>
              <w:t>员工是否</w:t>
            </w:r>
            <w:r>
              <w:rPr>
                <w:rFonts w:ascii="仿宋" w:eastAsia="仿宋" w:hAnsi="仿宋" w:cs="仿宋"/>
                <w:spacing w:val="1"/>
                <w:kern w:val="2"/>
                <w:sz w:val="20"/>
                <w:szCs w:val="20"/>
                <w:lang w:eastAsia="zh-CN"/>
              </w:rPr>
              <w:t>存在“庸、懒、散、奢”等作风问题?</w:t>
            </w:r>
          </w:p>
        </w:tc>
        <w:tc>
          <w:tcPr>
            <w:tcW w:w="765" w:type="dxa"/>
            <w:vAlign w:val="top"/>
          </w:tcPr>
          <w:p w14:paraId="0552F14C">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0EDAB8A4">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056838C7">
            <w:pPr>
              <w:keepLines w:val="0"/>
              <w:widowControl w:val="0"/>
              <w:ind w:firstLine="0" w:firstLineChars="0"/>
              <w:jc w:val="both"/>
              <w:rPr>
                <w:rFonts w:ascii="Arial" w:eastAsia="等线" w:hAnsi="等线"/>
                <w:kern w:val="2"/>
                <w:sz w:val="21"/>
                <w:szCs w:val="22"/>
                <w:lang w:eastAsia="zh-CN"/>
              </w:rPr>
            </w:pPr>
          </w:p>
        </w:tc>
      </w:tr>
      <w:tr w14:paraId="5A944365">
        <w:tblPrEx>
          <w:tblW w:w="5000" w:type="pct"/>
          <w:jc w:val="center"/>
          <w:tblLayout w:type="fixed"/>
          <w:tblCellMar>
            <w:top w:w="0" w:type="dxa"/>
            <w:left w:w="0" w:type="dxa"/>
            <w:bottom w:w="0" w:type="dxa"/>
            <w:right w:w="0" w:type="dxa"/>
          </w:tblCellMar>
        </w:tblPrEx>
        <w:trPr>
          <w:trHeight w:val="638"/>
          <w:jc w:val="center"/>
        </w:trPr>
        <w:tc>
          <w:tcPr>
            <w:tcW w:w="510" w:type="dxa"/>
            <w:vAlign w:val="top"/>
          </w:tcPr>
          <w:p w14:paraId="4B4D8337">
            <w:pPr>
              <w:keepLines w:val="0"/>
              <w:widowControl w:val="0"/>
              <w:spacing w:before="251" w:line="187" w:lineRule="auto"/>
              <w:ind w:left="237" w:firstLine="0" w:firstLineChars="0"/>
              <w:jc w:val="both"/>
              <w:rPr>
                <w:rFonts w:ascii="仿宋" w:eastAsia="仿宋" w:hAnsi="仿宋" w:cs="仿宋"/>
                <w:kern w:val="2"/>
                <w:sz w:val="20"/>
                <w:szCs w:val="20"/>
                <w:lang w:eastAsia="zh-CN"/>
              </w:rPr>
            </w:pPr>
            <w:r>
              <w:rPr>
                <w:rFonts w:ascii="仿宋" w:eastAsia="仿宋" w:hAnsi="仿宋" w:cs="仿宋"/>
                <w:spacing w:val="-7"/>
                <w:kern w:val="2"/>
                <w:sz w:val="20"/>
                <w:szCs w:val="20"/>
                <w:lang w:eastAsia="zh-CN"/>
              </w:rPr>
              <w:t>1</w:t>
            </w:r>
            <w:r>
              <w:rPr>
                <w:rFonts w:ascii="仿宋" w:eastAsia="仿宋" w:hAnsi="仿宋" w:cs="仿宋"/>
                <w:spacing w:val="-6"/>
                <w:kern w:val="2"/>
                <w:sz w:val="20"/>
                <w:szCs w:val="20"/>
                <w:lang w:eastAsia="zh-CN"/>
              </w:rPr>
              <w:t>2</w:t>
            </w:r>
          </w:p>
        </w:tc>
        <w:tc>
          <w:tcPr>
            <w:tcW w:w="5910" w:type="dxa"/>
            <w:vAlign w:val="top"/>
          </w:tcPr>
          <w:p w14:paraId="13399987">
            <w:pPr>
              <w:keepLines w:val="0"/>
              <w:widowControl w:val="0"/>
              <w:spacing w:before="216" w:line="228" w:lineRule="auto"/>
              <w:ind w:left="133" w:firstLine="0" w:firstLineChars="0"/>
              <w:jc w:val="both"/>
              <w:rPr>
                <w:rFonts w:ascii="仿宋" w:eastAsia="仿宋" w:hAnsi="仿宋" w:cs="仿宋"/>
                <w:kern w:val="2"/>
                <w:sz w:val="20"/>
                <w:szCs w:val="20"/>
                <w:lang w:eastAsia="zh-CN"/>
              </w:rPr>
            </w:pPr>
            <w:r>
              <w:rPr>
                <w:rFonts w:ascii="仿宋" w:eastAsia="仿宋" w:hAnsi="仿宋" w:cs="仿宋"/>
                <w:spacing w:val="14"/>
                <w:kern w:val="2"/>
                <w:sz w:val="20"/>
                <w:szCs w:val="20"/>
                <w:lang w:eastAsia="zh-CN"/>
              </w:rPr>
              <w:t>员</w:t>
            </w:r>
            <w:r>
              <w:rPr>
                <w:rFonts w:ascii="仿宋" w:eastAsia="仿宋" w:hAnsi="仿宋" w:cs="仿宋"/>
                <w:spacing w:val="8"/>
                <w:kern w:val="2"/>
                <w:sz w:val="20"/>
                <w:szCs w:val="20"/>
                <w:lang w:eastAsia="zh-CN"/>
              </w:rPr>
              <w:t>工</w:t>
            </w:r>
            <w:r>
              <w:rPr>
                <w:rFonts w:ascii="仿宋" w:eastAsia="仿宋" w:hAnsi="仿宋" w:cs="仿宋"/>
                <w:spacing w:val="7"/>
                <w:kern w:val="2"/>
                <w:sz w:val="20"/>
                <w:szCs w:val="20"/>
                <w:lang w:eastAsia="zh-CN"/>
              </w:rPr>
              <w:t>是否存在其他违规、违纪的行为？</w:t>
            </w:r>
          </w:p>
        </w:tc>
        <w:tc>
          <w:tcPr>
            <w:tcW w:w="765" w:type="dxa"/>
            <w:vAlign w:val="top"/>
          </w:tcPr>
          <w:p w14:paraId="4A9783CE">
            <w:pPr>
              <w:keepLines w:val="0"/>
              <w:widowControl w:val="0"/>
              <w:ind w:firstLine="0" w:firstLineChars="0"/>
              <w:jc w:val="both"/>
              <w:rPr>
                <w:rFonts w:ascii="Arial" w:eastAsia="等线" w:hAnsi="等线"/>
                <w:kern w:val="2"/>
                <w:sz w:val="21"/>
                <w:szCs w:val="22"/>
                <w:lang w:eastAsia="zh-CN"/>
              </w:rPr>
            </w:pPr>
          </w:p>
        </w:tc>
        <w:tc>
          <w:tcPr>
            <w:tcW w:w="735" w:type="dxa"/>
            <w:vAlign w:val="top"/>
          </w:tcPr>
          <w:p w14:paraId="356D9710">
            <w:pPr>
              <w:keepLines w:val="0"/>
              <w:widowControl w:val="0"/>
              <w:ind w:firstLine="0" w:firstLineChars="0"/>
              <w:jc w:val="both"/>
              <w:rPr>
                <w:rFonts w:ascii="Arial" w:eastAsia="等线" w:hAnsi="等线"/>
                <w:kern w:val="2"/>
                <w:sz w:val="21"/>
                <w:szCs w:val="22"/>
                <w:lang w:eastAsia="zh-CN"/>
              </w:rPr>
            </w:pPr>
          </w:p>
        </w:tc>
        <w:tc>
          <w:tcPr>
            <w:tcW w:w="1081" w:type="dxa"/>
            <w:vAlign w:val="top"/>
          </w:tcPr>
          <w:p w14:paraId="3C0C503C">
            <w:pPr>
              <w:keepLines w:val="0"/>
              <w:widowControl w:val="0"/>
              <w:ind w:firstLine="0" w:firstLineChars="0"/>
              <w:jc w:val="both"/>
              <w:rPr>
                <w:rFonts w:ascii="Arial" w:eastAsia="等线" w:hAnsi="等线"/>
                <w:kern w:val="2"/>
                <w:sz w:val="21"/>
                <w:szCs w:val="22"/>
                <w:lang w:eastAsia="zh-CN"/>
              </w:rPr>
            </w:pPr>
          </w:p>
        </w:tc>
      </w:tr>
      <w:tr w14:paraId="6479E64C">
        <w:tblPrEx>
          <w:tblW w:w="5000" w:type="pct"/>
          <w:jc w:val="center"/>
          <w:tblLayout w:type="fixed"/>
          <w:tblCellMar>
            <w:top w:w="0" w:type="dxa"/>
            <w:left w:w="0" w:type="dxa"/>
            <w:bottom w:w="0" w:type="dxa"/>
            <w:right w:w="0" w:type="dxa"/>
          </w:tblCellMar>
        </w:tblPrEx>
        <w:trPr>
          <w:trHeight w:val="1259"/>
          <w:jc w:val="center"/>
        </w:trPr>
        <w:tc>
          <w:tcPr>
            <w:tcW w:w="9001" w:type="dxa"/>
            <w:gridSpan w:val="5"/>
            <w:vAlign w:val="top"/>
          </w:tcPr>
          <w:p w14:paraId="50F083CA">
            <w:pPr>
              <w:keepLines w:val="0"/>
              <w:widowControl w:val="0"/>
              <w:spacing w:before="91" w:line="230" w:lineRule="auto"/>
              <w:ind w:left="122" w:firstLine="0" w:firstLineChars="0"/>
              <w:jc w:val="both"/>
              <w:rPr>
                <w:rFonts w:ascii="仿宋" w:eastAsia="仿宋" w:hAnsi="仿宋" w:cs="仿宋"/>
                <w:kern w:val="2"/>
                <w:sz w:val="20"/>
                <w:szCs w:val="20"/>
                <w:lang w:eastAsia="zh-CN"/>
              </w:rPr>
            </w:pPr>
            <w:r>
              <w:rPr>
                <w:rFonts w:ascii="仿宋" w:eastAsia="仿宋" w:hAnsi="仿宋" w:cs="仿宋"/>
                <w:spacing w:val="11"/>
                <w:kern w:val="2"/>
                <w:sz w:val="20"/>
                <w:szCs w:val="20"/>
                <w:lang w:eastAsia="zh-CN"/>
              </w:rPr>
              <w:t>其</w:t>
            </w:r>
            <w:r>
              <w:rPr>
                <w:rFonts w:ascii="仿宋" w:eastAsia="仿宋" w:hAnsi="仿宋" w:cs="仿宋"/>
                <w:spacing w:val="6"/>
                <w:kern w:val="2"/>
                <w:sz w:val="20"/>
                <w:szCs w:val="20"/>
                <w:lang w:eastAsia="zh-CN"/>
              </w:rPr>
              <w:t>他意见和建议：</w:t>
            </w:r>
          </w:p>
        </w:tc>
      </w:tr>
      <w:tr w14:paraId="2EB7EA47">
        <w:tblPrEx>
          <w:tblW w:w="5000" w:type="pct"/>
          <w:jc w:val="center"/>
          <w:tblLayout w:type="fixed"/>
          <w:tblCellMar>
            <w:top w:w="0" w:type="dxa"/>
            <w:left w:w="0" w:type="dxa"/>
            <w:bottom w:w="0" w:type="dxa"/>
            <w:right w:w="0" w:type="dxa"/>
          </w:tblCellMar>
        </w:tblPrEx>
        <w:trPr>
          <w:trHeight w:val="1274"/>
          <w:jc w:val="center"/>
        </w:trPr>
        <w:tc>
          <w:tcPr>
            <w:tcW w:w="9001" w:type="dxa"/>
            <w:gridSpan w:val="5"/>
            <w:vAlign w:val="top"/>
          </w:tcPr>
          <w:p w14:paraId="572619E0">
            <w:pPr>
              <w:keepLines w:val="0"/>
              <w:widowControl w:val="0"/>
              <w:spacing w:before="97" w:line="300" w:lineRule="exact"/>
              <w:ind w:firstLine="0" w:firstLineChars="0"/>
              <w:jc w:val="center"/>
              <w:rPr>
                <w:rFonts w:ascii="仿宋" w:eastAsia="仿宋" w:hAnsi="仿宋" w:cs="仿宋"/>
                <w:kern w:val="2"/>
                <w:sz w:val="20"/>
                <w:szCs w:val="20"/>
                <w:lang w:eastAsia="zh-CN"/>
              </w:rPr>
            </w:pPr>
            <w:r>
              <w:rPr>
                <w:rFonts w:ascii="仿宋" w:eastAsia="仿宋" w:hAnsi="仿宋" w:cs="仿宋" w:hint="eastAsia"/>
                <w:spacing w:val="4"/>
                <w:kern w:val="2"/>
                <w:position w:val="6"/>
                <w:sz w:val="20"/>
                <w:szCs w:val="20"/>
                <w:lang w:eastAsia="zh-CN"/>
              </w:rPr>
              <w:t xml:space="preserve">  </w:t>
            </w:r>
            <w:r>
              <w:rPr>
                <w:rFonts w:ascii="仿宋" w:eastAsia="仿宋" w:hAnsi="仿宋" w:cs="仿宋"/>
                <w:spacing w:val="4"/>
                <w:kern w:val="2"/>
                <w:position w:val="6"/>
                <w:sz w:val="20"/>
                <w:szCs w:val="20"/>
                <w:lang w:eastAsia="zh-CN"/>
              </w:rPr>
              <w:t>填</w:t>
            </w:r>
            <w:r>
              <w:rPr>
                <w:rFonts w:ascii="仿宋" w:eastAsia="仿宋" w:hAnsi="仿宋" w:cs="仿宋"/>
                <w:spacing w:val="3"/>
                <w:kern w:val="2"/>
                <w:position w:val="6"/>
                <w:sz w:val="20"/>
                <w:szCs w:val="20"/>
                <w:lang w:eastAsia="zh-CN"/>
              </w:rPr>
              <w:t>写人：</w:t>
            </w:r>
          </w:p>
          <w:p w14:paraId="0FB78FEE">
            <w:pPr>
              <w:keepLines w:val="0"/>
              <w:widowControl w:val="0"/>
              <w:spacing w:line="229" w:lineRule="auto"/>
              <w:ind w:firstLine="0" w:firstLineChars="0"/>
              <w:jc w:val="center"/>
              <w:rPr>
                <w:rFonts w:ascii="仿宋" w:eastAsia="仿宋" w:hAnsi="仿宋" w:cs="仿宋"/>
                <w:kern w:val="2"/>
                <w:sz w:val="20"/>
                <w:szCs w:val="20"/>
                <w:lang w:eastAsia="zh-CN"/>
              </w:rPr>
            </w:pPr>
            <w:r>
              <w:rPr>
                <w:rFonts w:ascii="仿宋" w:eastAsia="仿宋" w:hAnsi="仿宋" w:cs="仿宋"/>
                <w:spacing w:val="-1"/>
                <w:kern w:val="2"/>
                <w:sz w:val="20"/>
                <w:szCs w:val="20"/>
                <w:lang w:eastAsia="zh-CN"/>
              </w:rPr>
              <w:t>单</w:t>
            </w:r>
            <w:r>
              <w:rPr>
                <w:rFonts w:ascii="仿宋" w:eastAsia="仿宋" w:hAnsi="仿宋" w:cs="仿宋"/>
                <w:kern w:val="2"/>
                <w:sz w:val="20"/>
                <w:szCs w:val="20"/>
                <w:lang w:eastAsia="zh-CN"/>
              </w:rPr>
              <w:t>位：</w:t>
            </w:r>
          </w:p>
          <w:p w14:paraId="5486BC5D">
            <w:pPr>
              <w:keepLines w:val="0"/>
              <w:widowControl w:val="0"/>
              <w:spacing w:before="51" w:line="232" w:lineRule="auto"/>
              <w:ind w:firstLine="0" w:firstLineChars="0"/>
              <w:jc w:val="center"/>
              <w:rPr>
                <w:rFonts w:ascii="仿宋" w:eastAsia="仿宋" w:hAnsi="仿宋" w:cs="仿宋"/>
                <w:kern w:val="2"/>
                <w:sz w:val="20"/>
                <w:szCs w:val="20"/>
                <w:lang w:eastAsia="zh-CN"/>
              </w:rPr>
            </w:pPr>
            <w:r>
              <w:rPr>
                <w:rFonts w:ascii="仿宋" w:eastAsia="仿宋" w:hAnsi="仿宋" w:cs="仿宋" w:hint="eastAsia"/>
                <w:spacing w:val="6"/>
                <w:kern w:val="2"/>
                <w:sz w:val="20"/>
                <w:szCs w:val="20"/>
                <w:lang w:eastAsia="zh-CN"/>
              </w:rPr>
              <w:t xml:space="preserve">    </w:t>
            </w:r>
            <w:r>
              <w:rPr>
                <w:rFonts w:ascii="仿宋" w:eastAsia="仿宋" w:hAnsi="仿宋" w:cs="仿宋"/>
                <w:spacing w:val="6"/>
                <w:kern w:val="2"/>
                <w:sz w:val="20"/>
                <w:szCs w:val="20"/>
                <w:lang w:eastAsia="zh-CN"/>
              </w:rPr>
              <w:t>联</w:t>
            </w:r>
            <w:r>
              <w:rPr>
                <w:rFonts w:ascii="仿宋" w:eastAsia="仿宋" w:hAnsi="仿宋" w:cs="仿宋"/>
                <w:spacing w:val="5"/>
                <w:kern w:val="2"/>
                <w:sz w:val="20"/>
                <w:szCs w:val="20"/>
                <w:lang w:eastAsia="zh-CN"/>
              </w:rPr>
              <w:t>系方式：</w:t>
            </w:r>
          </w:p>
          <w:p w14:paraId="5B60C588">
            <w:pPr>
              <w:keepLines w:val="0"/>
              <w:widowControl w:val="0"/>
              <w:spacing w:before="48" w:line="231" w:lineRule="auto"/>
              <w:ind w:right="375" w:firstLine="0" w:firstLineChars="0"/>
              <w:jc w:val="center"/>
              <w:rPr>
                <w:rFonts w:ascii="仿宋" w:eastAsia="仿宋" w:hAnsi="仿宋" w:cs="仿宋"/>
                <w:kern w:val="2"/>
                <w:sz w:val="20"/>
                <w:szCs w:val="20"/>
                <w:lang w:eastAsia="zh-CN"/>
              </w:rPr>
            </w:pPr>
            <w:r>
              <w:rPr>
                <w:rFonts w:ascii="仿宋" w:eastAsia="仿宋" w:hAnsi="仿宋" w:cs="仿宋" w:hint="eastAsia"/>
                <w:spacing w:val="2"/>
                <w:kern w:val="2"/>
                <w:sz w:val="20"/>
                <w:szCs w:val="20"/>
                <w:lang w:eastAsia="zh-CN"/>
              </w:rPr>
              <w:t xml:space="preserve">                   </w:t>
            </w:r>
            <w:r>
              <w:rPr>
                <w:rFonts w:ascii="仿宋" w:eastAsia="仿宋" w:hAnsi="仿宋" w:cs="仿宋"/>
                <w:spacing w:val="2"/>
                <w:kern w:val="2"/>
                <w:sz w:val="20"/>
                <w:szCs w:val="20"/>
                <w:lang w:eastAsia="zh-CN"/>
              </w:rPr>
              <w:t>时间：</w:t>
            </w:r>
            <w:r>
              <w:rPr>
                <w:rFonts w:ascii="仿宋" w:eastAsia="仿宋" w:hAnsi="仿宋" w:cs="仿宋"/>
                <w:spacing w:val="1"/>
                <w:kern w:val="2"/>
                <w:sz w:val="20"/>
                <w:szCs w:val="20"/>
                <w:lang w:eastAsia="zh-CN"/>
              </w:rPr>
              <w:t xml:space="preserve">    年   月  日</w:t>
            </w:r>
          </w:p>
        </w:tc>
      </w:tr>
    </w:tbl>
    <w:p w14:paraId="1ACFC8B5">
      <w:pPr>
        <w:keepLines w:val="0"/>
        <w:widowControl/>
        <w:spacing w:before="0" w:line="240" w:lineRule="auto"/>
        <w:ind w:left="0"/>
        <w:jc w:val="left"/>
        <w:outlineLvl w:val="9"/>
        <w:rPr>
          <w:rFonts w:ascii="黑体" w:eastAsia="黑体" w:hAnsi="黑体" w:hint="eastAsia"/>
          <w:kern w:val="2"/>
          <w:sz w:val="28"/>
          <w:szCs w:val="28"/>
          <w:lang w:eastAsia="zh-CN"/>
        </w:rPr>
      </w:pPr>
    </w:p>
    <w:p w14:paraId="01D3FFDE">
      <w:pPr>
        <w:widowControl w:val="0"/>
        <w:spacing w:line="240" w:lineRule="auto"/>
        <w:jc w:val="left"/>
        <w:outlineLvl w:val="9"/>
        <w:rPr>
          <w:rFonts w:ascii="黑体" w:eastAsia="黑体" w:hAnsi="黑体"/>
          <w:b/>
          <w:kern w:val="2"/>
          <w:sz w:val="44"/>
          <w:szCs w:val="44"/>
          <w:lang w:eastAsia="zh-CN"/>
        </w:rPr>
      </w:pPr>
    </w:p>
    <w:p w14:paraId="6C5DC7A9">
      <w:pPr>
        <w:keepNext w:val="0"/>
        <w:keepLines w:val="0"/>
        <w:pageBreakBefore w:val="0"/>
        <w:widowControl w:val="0"/>
        <w:numPr>
          <w:ilvl w:val="1"/>
          <w:numId w:val="0"/>
        </w:numPr>
        <w:tabs>
          <w:tab w:val="left" w:pos="2040"/>
        </w:tabs>
        <w:kinsoku/>
        <w:wordWrap/>
        <w:overflowPunct/>
        <w:topLinePunct w:val="0"/>
        <w:autoSpaceDE/>
        <w:autoSpaceDN/>
        <w:bidi w:val="0"/>
        <w:adjustRightInd/>
        <w:snapToGrid/>
        <w:spacing w:before="0" w:after="0" w:afterAutospacing="0" w:line="560" w:lineRule="exact"/>
        <w:ind w:left="0" w:firstLine="0" w:leftChars="0"/>
        <w:jc w:val="both"/>
        <w:textAlignment w:val="auto"/>
        <w:outlineLvl w:val="9"/>
        <w:rPr>
          <w:rFonts w:ascii="黑体" w:eastAsia="黑体" w:hAnsi="黑体" w:cs="黑体" w:hint="eastAsia"/>
          <w:b/>
          <w:bCs/>
          <w:kern w:val="2"/>
          <w:sz w:val="21"/>
          <w:szCs w:val="21"/>
          <w:lang w:eastAsia="zh-CN"/>
        </w:rPr>
      </w:pPr>
    </w:p>
    <w:p w14:paraId="29E7F7C2">
      <w:pPr>
        <w:widowControl w:val="0"/>
        <w:jc w:val="both"/>
        <w:outlineLvl w:val="1"/>
        <w:rPr>
          <w:rFonts w:ascii="黑体" w:eastAsia="黑体" w:hAnsi="黑体" w:cs="黑体" w:hint="eastAsia"/>
          <w:b/>
          <w:bCs/>
          <w:kern w:val="2"/>
          <w:sz w:val="21"/>
          <w:szCs w:val="21"/>
          <w:lang w:eastAsia="zh-CN"/>
        </w:rPr>
      </w:pPr>
      <w:r>
        <w:rPr>
          <w:rFonts w:ascii="黑体" w:eastAsia="黑体" w:hAnsi="黑体" w:cs="黑体" w:hint="eastAsia"/>
          <w:b/>
          <w:bCs/>
          <w:kern w:val="2"/>
          <w:sz w:val="21"/>
          <w:szCs w:val="21"/>
          <w:lang w:eastAsia="zh-CN"/>
        </w:rPr>
        <w:t>附件三《</w:t>
      </w:r>
      <w:r>
        <w:rPr>
          <w:rFonts w:ascii="黑体" w:eastAsia="黑体" w:hAnsi="黑体" w:cs="黑体" w:hint="eastAsia"/>
          <w:color w:val="000000"/>
          <w:kern w:val="2"/>
          <w:sz w:val="21"/>
          <w:szCs w:val="21"/>
          <w:lang w:eastAsia="zh-CN"/>
        </w:rPr>
        <w:t>全过程造价咨询服务任务书</w:t>
      </w:r>
      <w:r>
        <w:rPr>
          <w:rFonts w:ascii="黑体" w:eastAsia="黑体" w:hAnsi="黑体" w:cs="黑体" w:hint="eastAsia"/>
          <w:b/>
          <w:bCs/>
          <w:kern w:val="2"/>
          <w:sz w:val="21"/>
          <w:szCs w:val="21"/>
          <w:lang w:eastAsia="zh-CN"/>
        </w:rPr>
        <w:t>》</w:t>
      </w:r>
    </w:p>
    <w:tbl>
      <w:tblPr>
        <w:tblStyle w:val="TableNormal"/>
        <w:tblW w:w="5000" w:type="pct"/>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783"/>
        <w:gridCol w:w="1086"/>
        <w:gridCol w:w="7646"/>
      </w:tblGrid>
      <w:tr w14:paraId="713B27F8">
        <w:tblPrEx>
          <w:tblW w:w="5000" w:type="pct"/>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31"/>
        </w:trPr>
        <w:tc>
          <w:tcPr>
            <w:tcW w:w="1846" w:type="dxa"/>
            <w:gridSpan w:val="2"/>
            <w:tcBorders>
              <w:top w:val="single" w:sz="8" w:space="0" w:color="000000"/>
              <w:left w:val="single" w:sz="8" w:space="0" w:color="000000"/>
              <w:bottom w:val="single" w:sz="8" w:space="0" w:color="000000"/>
              <w:right w:val="single" w:sz="8" w:space="0" w:color="000000"/>
            </w:tcBorders>
            <w:shd w:val="clear" w:color="auto" w:fill="99CCFF"/>
            <w:vAlign w:val="center"/>
          </w:tcPr>
          <w:p w14:paraId="74DBE661">
            <w:pPr>
              <w:keepNext w:val="0"/>
              <w:keepLines w:val="0"/>
              <w:widowControl/>
              <w:suppressLineNumbers w:val="0"/>
              <w:jc w:val="center"/>
              <w:textAlignment w:val="center"/>
              <w:rPr>
                <w:rFonts w:ascii="仿宋" w:eastAsia="仿宋" w:hAnsi="仿宋" w:cs="仿宋"/>
                <w:b/>
                <w:bCs/>
                <w:color w:val="000000"/>
                <w:kern w:val="2"/>
                <w:sz w:val="20"/>
                <w:szCs w:val="20"/>
                <w:lang w:eastAsia="zh-CN"/>
              </w:rPr>
            </w:pPr>
            <w:r>
              <w:rPr>
                <w:rFonts w:ascii="仿宋" w:eastAsia="仿宋" w:hAnsi="仿宋" w:cs="仿宋" w:hint="eastAsia"/>
                <w:b/>
                <w:bCs/>
                <w:color w:val="000000"/>
                <w:sz w:val="20"/>
                <w:szCs w:val="20"/>
                <w:lang w:eastAsia="zh-CN" w:bidi="ar"/>
              </w:rPr>
              <w:t>项   目</w:t>
            </w:r>
          </w:p>
        </w:tc>
        <w:tc>
          <w:tcPr>
            <w:tcW w:w="7553" w:type="dxa"/>
            <w:tcBorders>
              <w:top w:val="single" w:sz="8" w:space="0" w:color="000000"/>
              <w:left w:val="nil"/>
              <w:bottom w:val="single" w:sz="8" w:space="0" w:color="000000"/>
              <w:right w:val="single" w:sz="8" w:space="0" w:color="000000"/>
            </w:tcBorders>
            <w:shd w:val="clear" w:color="auto" w:fill="99CCFF"/>
            <w:vAlign w:val="center"/>
          </w:tcPr>
          <w:p w14:paraId="4AAAA74D">
            <w:pPr>
              <w:keepNext w:val="0"/>
              <w:keepLines w:val="0"/>
              <w:widowControl/>
              <w:suppressLineNumbers w:val="0"/>
              <w:jc w:val="center"/>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要   求</w:t>
            </w:r>
          </w:p>
        </w:tc>
      </w:tr>
      <w:tr w14:paraId="77198EA7">
        <w:tblPrEx>
          <w:tblW w:w="5000" w:type="pct"/>
          <w:tblInd w:w="93" w:type="dxa"/>
          <w:shd w:val="clear" w:color="auto" w:fill="auto"/>
          <w:tblLayout w:type="fixed"/>
          <w:tblCellMar>
            <w:top w:w="0" w:type="dxa"/>
            <w:left w:w="108" w:type="dxa"/>
            <w:bottom w:w="0" w:type="dxa"/>
            <w:right w:w="108" w:type="dxa"/>
          </w:tblCellMar>
        </w:tblPrEx>
        <w:trPr>
          <w:trHeight w:val="412"/>
        </w:trPr>
        <w:tc>
          <w:tcPr>
            <w:tcW w:w="1846" w:type="dxa"/>
            <w:gridSpan w:val="2"/>
            <w:tcBorders>
              <w:top w:val="nil"/>
              <w:left w:val="single" w:sz="8" w:space="0" w:color="000000"/>
              <w:bottom w:val="single" w:sz="8" w:space="0" w:color="000000"/>
              <w:right w:val="single" w:sz="8" w:space="0" w:color="000000"/>
            </w:tcBorders>
            <w:shd w:val="clear" w:color="auto" w:fill="CCFFCC"/>
            <w:vAlign w:val="center"/>
          </w:tcPr>
          <w:p w14:paraId="3DD6E6A7">
            <w:pPr>
              <w:keepNext w:val="0"/>
              <w:keepLines w:val="0"/>
              <w:widowControl/>
              <w:suppressLineNumbers w:val="0"/>
              <w:jc w:val="center"/>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一、前期管理</w:t>
            </w:r>
          </w:p>
        </w:tc>
        <w:tc>
          <w:tcPr>
            <w:tcW w:w="7553" w:type="dxa"/>
            <w:tcBorders>
              <w:top w:val="nil"/>
              <w:left w:val="nil"/>
              <w:bottom w:val="single" w:sz="8" w:space="0" w:color="000000"/>
              <w:right w:val="single" w:sz="8" w:space="0" w:color="000000"/>
            </w:tcBorders>
            <w:shd w:val="clear" w:color="auto" w:fill="CCFFCC"/>
            <w:vAlign w:val="center"/>
          </w:tcPr>
          <w:p w14:paraId="33571F7F">
            <w:pPr>
              <w:widowControl w:val="0"/>
              <w:jc w:val="center"/>
              <w:rPr>
                <w:rFonts w:ascii="仿宋" w:eastAsia="仿宋" w:hAnsi="仿宋" w:cs="仿宋" w:hint="eastAsia"/>
                <w:b/>
                <w:bCs/>
                <w:color w:val="000000"/>
                <w:kern w:val="2"/>
                <w:sz w:val="20"/>
                <w:szCs w:val="20"/>
                <w:lang w:eastAsia="zh-CN"/>
              </w:rPr>
            </w:pPr>
          </w:p>
        </w:tc>
      </w:tr>
      <w:tr w14:paraId="2B4FDADC">
        <w:tblPrEx>
          <w:tblW w:w="5000" w:type="pct"/>
          <w:tblInd w:w="93" w:type="dxa"/>
          <w:shd w:val="clear" w:color="auto" w:fill="auto"/>
          <w:tblLayout w:type="fixed"/>
          <w:tblCellMar>
            <w:top w:w="0" w:type="dxa"/>
            <w:left w:w="108" w:type="dxa"/>
            <w:bottom w:w="0" w:type="dxa"/>
            <w:right w:w="108" w:type="dxa"/>
          </w:tblCellMar>
        </w:tblPrEx>
        <w:trPr>
          <w:trHeight w:val="1362"/>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5ED4A48C">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073" w:type="dxa"/>
            <w:vMerge w:val="restart"/>
            <w:tcBorders>
              <w:top w:val="nil"/>
              <w:left w:val="nil"/>
              <w:bottom w:val="single" w:sz="8" w:space="0" w:color="000000"/>
              <w:right w:val="single" w:sz="8" w:space="0" w:color="000000"/>
            </w:tcBorders>
            <w:shd w:val="clear" w:color="auto" w:fill="FFFFFF"/>
            <w:vAlign w:val="center"/>
          </w:tcPr>
          <w:p w14:paraId="4FCF15E5">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方案成本测算及方案优化</w:t>
            </w:r>
          </w:p>
        </w:tc>
        <w:tc>
          <w:tcPr>
            <w:tcW w:w="7553" w:type="dxa"/>
            <w:tcBorders>
              <w:top w:val="nil"/>
              <w:left w:val="nil"/>
              <w:bottom w:val="nil"/>
              <w:right w:val="single" w:sz="8" w:space="0" w:color="000000"/>
            </w:tcBorders>
            <w:shd w:val="clear" w:color="auto" w:fill="FFFFFF"/>
            <w:vAlign w:val="center"/>
          </w:tcPr>
          <w:p w14:paraId="37857153">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包括但不限于以下总分包计算书及清单：根据方案图、扩初图、招标图、施工图，分阶段提供包括不限于土方、桩基及支护、结构工程、土建工程、机电工程(包括不限于综合机电、消防、弱电、暖通、泛光等)、外立面(墙地比、窗地比、材料含量等)、精装修、室外管网及园林景观等经济技术指标和控制建议，协助甲方进行目标成本测算工作。</w:t>
            </w:r>
          </w:p>
        </w:tc>
      </w:tr>
      <w:tr w14:paraId="03F312CD">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406512C1">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753935F1">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2D6FAB44">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提供与本项目相关的其它方案测算对比表及与同类型业态的成本指标对比表，提供分析报告，提出优化建议。甲方根据设计、成本需求，会提供多种比选方案，乙方在合同总价中充分考虑多次方案测算的费用。</w:t>
            </w:r>
          </w:p>
        </w:tc>
      </w:tr>
      <w:tr w14:paraId="0F9BFA1B">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2867E573">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4A58FEAA">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554577F9">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配饰部品（栏杆、门窗等）、建筑外立面等方案测算及优化工作，对具有代表性或可推广性的优化方案进行案例编写。</w:t>
            </w:r>
          </w:p>
        </w:tc>
      </w:tr>
      <w:tr w14:paraId="134F935C">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0E63892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w:t>
            </w:r>
          </w:p>
        </w:tc>
        <w:tc>
          <w:tcPr>
            <w:tcW w:w="1073" w:type="dxa"/>
            <w:vMerge w:val="restart"/>
            <w:tcBorders>
              <w:top w:val="nil"/>
              <w:left w:val="nil"/>
              <w:bottom w:val="single" w:sz="8" w:space="0" w:color="000000"/>
              <w:right w:val="single" w:sz="8" w:space="0" w:color="000000"/>
            </w:tcBorders>
            <w:shd w:val="clear" w:color="auto" w:fill="FFFFFF"/>
            <w:vAlign w:val="center"/>
          </w:tcPr>
          <w:p w14:paraId="6B76239C">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招标图纸管理</w:t>
            </w:r>
          </w:p>
        </w:tc>
        <w:tc>
          <w:tcPr>
            <w:tcW w:w="7553" w:type="dxa"/>
            <w:tcBorders>
              <w:top w:val="nil"/>
              <w:left w:val="nil"/>
              <w:bottom w:val="nil"/>
              <w:right w:val="single" w:sz="8" w:space="0" w:color="000000"/>
            </w:tcBorders>
            <w:shd w:val="clear" w:color="auto" w:fill="FFFFFF"/>
            <w:vAlign w:val="center"/>
          </w:tcPr>
          <w:p w14:paraId="04ED310D">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建立图纸审核的电子及书面台帐。</w:t>
            </w:r>
          </w:p>
        </w:tc>
      </w:tr>
      <w:tr w14:paraId="63E1BAA4">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5AB3442B">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6427407C">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4A1C10A2">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拿到招标图纸后必须先组织内部进行图纸会审，并将会审结果通过电子及书面形式提交甲方。</w:t>
            </w:r>
          </w:p>
        </w:tc>
      </w:tr>
      <w:tr w14:paraId="5A1853DB">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3FDC98C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3</w:t>
            </w:r>
          </w:p>
        </w:tc>
        <w:tc>
          <w:tcPr>
            <w:tcW w:w="1073" w:type="dxa"/>
            <w:vMerge w:val="restart"/>
            <w:tcBorders>
              <w:top w:val="nil"/>
              <w:left w:val="nil"/>
              <w:bottom w:val="single" w:sz="8" w:space="0" w:color="000000"/>
              <w:right w:val="single" w:sz="8" w:space="0" w:color="000000"/>
            </w:tcBorders>
            <w:shd w:val="clear" w:color="auto" w:fill="FFFFFF"/>
            <w:vAlign w:val="center"/>
          </w:tcPr>
          <w:p w14:paraId="19DCC709">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图纸会审</w:t>
            </w:r>
          </w:p>
        </w:tc>
        <w:tc>
          <w:tcPr>
            <w:tcW w:w="7553" w:type="dxa"/>
            <w:tcBorders>
              <w:top w:val="nil"/>
              <w:left w:val="nil"/>
              <w:bottom w:val="nil"/>
              <w:right w:val="single" w:sz="8" w:space="0" w:color="000000"/>
            </w:tcBorders>
            <w:shd w:val="clear" w:color="auto" w:fill="FFFFFF"/>
            <w:vAlign w:val="center"/>
          </w:tcPr>
          <w:p w14:paraId="03D5DFD4">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进行全面图纸会审，编制电子及书面图纸会审纪要。</w:t>
            </w:r>
          </w:p>
        </w:tc>
      </w:tr>
      <w:tr w14:paraId="4E50AFB1">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090D7E51">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7D3DDB56">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4E64A470">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通过会审，预先发现图纸的错、漏、碰、缺，提供问题的合理化建议。(需要配合甲方进行封闭图审，需配合并安排相关费用，综合考虑在投标报价内)</w:t>
            </w:r>
          </w:p>
        </w:tc>
      </w:tr>
      <w:tr w14:paraId="388AF320">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4602DC5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4</w:t>
            </w:r>
          </w:p>
        </w:tc>
        <w:tc>
          <w:tcPr>
            <w:tcW w:w="1073" w:type="dxa"/>
            <w:vMerge w:val="restart"/>
            <w:tcBorders>
              <w:top w:val="nil"/>
              <w:left w:val="nil"/>
              <w:bottom w:val="single" w:sz="8" w:space="0" w:color="000000"/>
              <w:right w:val="single" w:sz="8" w:space="0" w:color="000000"/>
            </w:tcBorders>
            <w:shd w:val="clear" w:color="auto" w:fill="FFFFFF"/>
            <w:vAlign w:val="center"/>
          </w:tcPr>
          <w:p w14:paraId="392D648E">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清单、控制价编制</w:t>
            </w:r>
          </w:p>
        </w:tc>
        <w:tc>
          <w:tcPr>
            <w:tcW w:w="7553" w:type="dxa"/>
            <w:tcBorders>
              <w:top w:val="nil"/>
              <w:left w:val="nil"/>
              <w:bottom w:val="nil"/>
              <w:right w:val="single" w:sz="8" w:space="0" w:color="000000"/>
            </w:tcBorders>
            <w:shd w:val="clear" w:color="auto" w:fill="FFFFFF"/>
            <w:vAlign w:val="center"/>
          </w:tcPr>
          <w:p w14:paraId="759D99C7">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编制招标清单（含模拟转正式清单和正式清单等），确保清单编制及时准确。</w:t>
            </w:r>
          </w:p>
        </w:tc>
      </w:tr>
      <w:tr w14:paraId="0E509D7F">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0A595967">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472B6894">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7D2D5CD3">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与复审单位、投标单位复核工程量及招标清单。</w:t>
            </w:r>
          </w:p>
        </w:tc>
      </w:tr>
      <w:tr w14:paraId="1F23BE4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0A06CF97">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07ED7BF9">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5B2E67E3">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提供相关分析报告，提交计算底稿及审核结果。</w:t>
            </w:r>
          </w:p>
        </w:tc>
      </w:tr>
      <w:tr w14:paraId="61B39BD9">
        <w:tblPrEx>
          <w:tblW w:w="5000" w:type="pct"/>
          <w:tblInd w:w="93" w:type="dxa"/>
          <w:shd w:val="clear" w:color="auto" w:fill="auto"/>
          <w:tblLayout w:type="fixed"/>
          <w:tblCellMar>
            <w:top w:w="0" w:type="dxa"/>
            <w:left w:w="108" w:type="dxa"/>
            <w:bottom w:w="0" w:type="dxa"/>
            <w:right w:w="108" w:type="dxa"/>
          </w:tblCellMar>
        </w:tblPrEx>
        <w:trPr>
          <w:trHeight w:val="663"/>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620B6EE9">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46D9CFC9">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0731DE75">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④ 提供成果文件的电子文档、工程量计算底稿及相应书面盖章版，保证电子版与书面资料的一致性。</w:t>
            </w:r>
          </w:p>
        </w:tc>
      </w:tr>
      <w:tr w14:paraId="05AD0996">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120EE9A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w:t>
            </w:r>
          </w:p>
        </w:tc>
        <w:tc>
          <w:tcPr>
            <w:tcW w:w="1073" w:type="dxa"/>
            <w:vMerge w:val="restart"/>
            <w:tcBorders>
              <w:top w:val="nil"/>
              <w:left w:val="nil"/>
              <w:bottom w:val="single" w:sz="8" w:space="0" w:color="000000"/>
              <w:right w:val="single" w:sz="8" w:space="0" w:color="000000"/>
            </w:tcBorders>
            <w:shd w:val="clear" w:color="auto" w:fill="FFFFFF"/>
            <w:vAlign w:val="center"/>
          </w:tcPr>
          <w:p w14:paraId="4358B83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招标答疑</w:t>
            </w:r>
          </w:p>
        </w:tc>
        <w:tc>
          <w:tcPr>
            <w:tcW w:w="7553" w:type="dxa"/>
            <w:tcBorders>
              <w:top w:val="nil"/>
              <w:left w:val="nil"/>
              <w:bottom w:val="nil"/>
              <w:right w:val="single" w:sz="8" w:space="0" w:color="000000"/>
            </w:tcBorders>
            <w:shd w:val="clear" w:color="auto" w:fill="FFFFFF"/>
            <w:vAlign w:val="center"/>
          </w:tcPr>
          <w:p w14:paraId="0D4D8A6D">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投标人对招标文件提出疑义后，咨询公司提交答复意见给甲方，并确保答复意见的准确及时性，由甲方审核后统一答复。</w:t>
            </w:r>
          </w:p>
        </w:tc>
      </w:tr>
      <w:tr w14:paraId="64BA3E22">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1909A6B5">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57355E29">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1ED4919C">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参加答疑会</w:t>
            </w:r>
          </w:p>
        </w:tc>
      </w:tr>
      <w:tr w14:paraId="652BC568">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FFFFFF"/>
            <w:vAlign w:val="center"/>
          </w:tcPr>
          <w:p w14:paraId="4D7C625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6</w:t>
            </w:r>
          </w:p>
        </w:tc>
        <w:tc>
          <w:tcPr>
            <w:tcW w:w="1073" w:type="dxa"/>
            <w:tcBorders>
              <w:top w:val="nil"/>
              <w:left w:val="nil"/>
              <w:bottom w:val="single" w:sz="8" w:space="0" w:color="000000"/>
              <w:right w:val="single" w:sz="8" w:space="0" w:color="000000"/>
            </w:tcBorders>
            <w:shd w:val="clear" w:color="auto" w:fill="FFFFFF"/>
            <w:vAlign w:val="center"/>
          </w:tcPr>
          <w:p w14:paraId="271CABD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编制参考价、测算价</w:t>
            </w:r>
          </w:p>
        </w:tc>
        <w:tc>
          <w:tcPr>
            <w:tcW w:w="7553" w:type="dxa"/>
            <w:tcBorders>
              <w:top w:val="nil"/>
              <w:left w:val="nil"/>
              <w:bottom w:val="single" w:sz="8" w:space="0" w:color="000000"/>
              <w:right w:val="single" w:sz="8" w:space="0" w:color="000000"/>
            </w:tcBorders>
            <w:shd w:val="clear" w:color="auto" w:fill="FFFFFF"/>
            <w:vAlign w:val="center"/>
          </w:tcPr>
          <w:p w14:paraId="5F7A503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参考价真实反映市场水平</w:t>
            </w:r>
          </w:p>
        </w:tc>
      </w:tr>
      <w:tr w14:paraId="785A6EEF">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5DF9AA3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7</w:t>
            </w:r>
          </w:p>
        </w:tc>
        <w:tc>
          <w:tcPr>
            <w:tcW w:w="1073" w:type="dxa"/>
            <w:vMerge w:val="restart"/>
            <w:tcBorders>
              <w:top w:val="nil"/>
              <w:left w:val="nil"/>
              <w:bottom w:val="single" w:sz="8" w:space="0" w:color="000000"/>
              <w:right w:val="single" w:sz="8" w:space="0" w:color="000000"/>
            </w:tcBorders>
            <w:shd w:val="clear" w:color="auto" w:fill="FFFFFF"/>
            <w:vAlign w:val="center"/>
          </w:tcPr>
          <w:p w14:paraId="5BB4709A">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评标分析</w:t>
            </w:r>
          </w:p>
        </w:tc>
        <w:tc>
          <w:tcPr>
            <w:tcW w:w="7553" w:type="dxa"/>
            <w:tcBorders>
              <w:top w:val="nil"/>
              <w:left w:val="nil"/>
              <w:bottom w:val="nil"/>
              <w:right w:val="single" w:sz="8" w:space="0" w:color="000000"/>
            </w:tcBorders>
            <w:shd w:val="clear" w:color="auto" w:fill="FFFFFF"/>
            <w:vAlign w:val="center"/>
          </w:tcPr>
          <w:p w14:paraId="78A062EF">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根据甲方要求，对回标文件进行回标分析，纠正计算错误，并指出其中不合理价格，进行多维度全清单或同口径清单套算，价格水平及指标分析，对差异大的子目进行分析说明，尤其要注意不平衡报价的存在，并按甲方要求以书面形式提交分析过程、指标分析及中标意见。</w:t>
            </w:r>
          </w:p>
        </w:tc>
      </w:tr>
      <w:tr w14:paraId="0EF4C375">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0B8A86A3">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40B12488">
            <w:pPr>
              <w:widowControl w:val="0"/>
              <w:jc w:val="both"/>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04ABCFAB">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按甲方要求进行经济标分析（包括各分部工程在招标过程中若经甲方指令，招标图纸变更，需重新计算工程量，二次回标清标），提供成果文件。</w:t>
            </w:r>
          </w:p>
        </w:tc>
      </w:tr>
      <w:tr w14:paraId="7C8F618A">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6AD373D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8</w:t>
            </w:r>
          </w:p>
        </w:tc>
        <w:tc>
          <w:tcPr>
            <w:tcW w:w="1073" w:type="dxa"/>
            <w:vMerge w:val="restart"/>
            <w:tcBorders>
              <w:top w:val="nil"/>
              <w:left w:val="nil"/>
              <w:bottom w:val="single" w:sz="8" w:space="0" w:color="000000"/>
              <w:right w:val="single" w:sz="8" w:space="0" w:color="000000"/>
            </w:tcBorders>
            <w:shd w:val="clear" w:color="auto" w:fill="FFFFFF"/>
            <w:vAlign w:val="center"/>
          </w:tcPr>
          <w:p w14:paraId="2FF5BA4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施工图预算或工程量的核对</w:t>
            </w:r>
          </w:p>
        </w:tc>
        <w:tc>
          <w:tcPr>
            <w:tcW w:w="7553" w:type="dxa"/>
            <w:tcBorders>
              <w:top w:val="nil"/>
              <w:left w:val="nil"/>
              <w:bottom w:val="nil"/>
              <w:right w:val="single" w:sz="8" w:space="0" w:color="000000"/>
            </w:tcBorders>
            <w:shd w:val="clear" w:color="auto" w:fill="FFFFFF"/>
            <w:vAlign w:val="center"/>
          </w:tcPr>
          <w:p w14:paraId="15FE9507">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完成施工图预算（非总价包干合同）配合复审单位核对、并负责完成与施工单位的最终核对及成果确认。按照甲方要求提供核对前后的工程量计算书及清单，以及差异分析报告，交付件格式按照甲方要求统一。</w:t>
            </w:r>
          </w:p>
        </w:tc>
      </w:tr>
      <w:tr w14:paraId="243F978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2AD1F44D">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36A32000">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095D6294">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如项目有重计量工作，需及时、准确提供清单，并与施工单位及时核对确认。</w:t>
            </w:r>
          </w:p>
        </w:tc>
      </w:tr>
      <w:tr w14:paraId="74624E80">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0F102C5B">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17BCA893">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3247FCCF">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必须对核对后的确认价格（或工程量）与提报预算价格（或工程量）的差异进行分析，给出差异原因。</w:t>
            </w:r>
          </w:p>
        </w:tc>
      </w:tr>
      <w:tr w14:paraId="274EB890">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FFFFFF"/>
            <w:vAlign w:val="center"/>
          </w:tcPr>
          <w:p w14:paraId="2D8B9C5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9</w:t>
            </w:r>
          </w:p>
        </w:tc>
        <w:tc>
          <w:tcPr>
            <w:tcW w:w="1073" w:type="dxa"/>
            <w:tcBorders>
              <w:top w:val="nil"/>
              <w:left w:val="nil"/>
              <w:bottom w:val="single" w:sz="8" w:space="0" w:color="000000"/>
              <w:right w:val="single" w:sz="8" w:space="0" w:color="000000"/>
            </w:tcBorders>
            <w:shd w:val="clear" w:color="auto" w:fill="FFFFFF"/>
            <w:vAlign w:val="center"/>
          </w:tcPr>
          <w:p w14:paraId="47B8AC5F">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指标含量分析</w:t>
            </w:r>
          </w:p>
        </w:tc>
        <w:tc>
          <w:tcPr>
            <w:tcW w:w="7553" w:type="dxa"/>
            <w:tcBorders>
              <w:top w:val="nil"/>
              <w:left w:val="nil"/>
              <w:bottom w:val="single" w:sz="8" w:space="0" w:color="000000"/>
              <w:right w:val="single" w:sz="8" w:space="0" w:color="000000"/>
            </w:tcBorders>
            <w:shd w:val="clear" w:color="auto" w:fill="FFFFFF"/>
            <w:vAlign w:val="center"/>
          </w:tcPr>
          <w:p w14:paraId="094AA27B">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招标工作完成后或预算价确定后，咨询公司根据甲方提供统计分析表格完成相应的指标分析工作，同时以电子和书面形式提交甲方</w:t>
            </w:r>
          </w:p>
        </w:tc>
      </w:tr>
      <w:tr w14:paraId="135E8194">
        <w:tblPrEx>
          <w:tblW w:w="5000" w:type="pct"/>
          <w:tblInd w:w="93" w:type="dxa"/>
          <w:shd w:val="clear" w:color="auto" w:fill="auto"/>
          <w:tblLayout w:type="fixed"/>
          <w:tblCellMar>
            <w:top w:w="0" w:type="dxa"/>
            <w:left w:w="108" w:type="dxa"/>
            <w:bottom w:w="0" w:type="dxa"/>
            <w:right w:w="108" w:type="dxa"/>
          </w:tblCellMar>
        </w:tblPrEx>
        <w:trPr>
          <w:trHeight w:val="1362"/>
        </w:trPr>
        <w:tc>
          <w:tcPr>
            <w:tcW w:w="773" w:type="dxa"/>
            <w:tcBorders>
              <w:top w:val="nil"/>
              <w:left w:val="single" w:sz="8" w:space="0" w:color="000000"/>
              <w:bottom w:val="single" w:sz="8" w:space="0" w:color="000000"/>
              <w:right w:val="single" w:sz="8" w:space="0" w:color="000000"/>
            </w:tcBorders>
            <w:shd w:val="clear" w:color="auto" w:fill="FFFFFF"/>
            <w:vAlign w:val="center"/>
          </w:tcPr>
          <w:p w14:paraId="639325B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10</w:t>
            </w:r>
          </w:p>
        </w:tc>
        <w:tc>
          <w:tcPr>
            <w:tcW w:w="1073" w:type="dxa"/>
            <w:tcBorders>
              <w:top w:val="nil"/>
              <w:left w:val="nil"/>
              <w:bottom w:val="single" w:sz="8" w:space="0" w:color="000000"/>
              <w:right w:val="single" w:sz="8" w:space="0" w:color="000000"/>
            </w:tcBorders>
            <w:shd w:val="clear" w:color="auto" w:fill="FFFFFF"/>
            <w:vAlign w:val="center"/>
          </w:tcPr>
          <w:p w14:paraId="0FEEA2D8">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建立数据库</w:t>
            </w:r>
          </w:p>
        </w:tc>
        <w:tc>
          <w:tcPr>
            <w:tcW w:w="7553" w:type="dxa"/>
            <w:tcBorders>
              <w:top w:val="nil"/>
              <w:left w:val="nil"/>
              <w:bottom w:val="single" w:sz="8" w:space="0" w:color="000000"/>
              <w:right w:val="single" w:sz="8" w:space="0" w:color="000000"/>
            </w:tcBorders>
            <w:shd w:val="clear" w:color="auto" w:fill="FFFFFF"/>
            <w:vAlign w:val="center"/>
          </w:tcPr>
          <w:p w14:paraId="01AC4297">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总包（总价包干合同）招标工作完成后或总包（非总价包干合同）施工图预算价确定后，根据甲方要求在15个日历天内完成相应的指标分析工作，填报数据库，同时以电子和书面形式提交甲方，并根据后期分包招标进展情况，完善数据库内价格填报（完成定标后15个日历天内将技术经济指标反馈到数据库内）。</w:t>
            </w:r>
          </w:p>
        </w:tc>
      </w:tr>
      <w:tr w14:paraId="388B08EC">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tcBorders>
              <w:top w:val="nil"/>
              <w:left w:val="single" w:sz="8" w:space="0" w:color="000000"/>
              <w:bottom w:val="single" w:sz="8" w:space="0" w:color="000000"/>
              <w:right w:val="single" w:sz="8" w:space="0" w:color="000000"/>
            </w:tcBorders>
            <w:shd w:val="clear" w:color="auto" w:fill="auto"/>
            <w:vAlign w:val="center"/>
          </w:tcPr>
          <w:p w14:paraId="47EA28A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11</w:t>
            </w:r>
          </w:p>
        </w:tc>
        <w:tc>
          <w:tcPr>
            <w:tcW w:w="1073" w:type="dxa"/>
            <w:tcBorders>
              <w:top w:val="nil"/>
              <w:left w:val="nil"/>
              <w:bottom w:val="single" w:sz="8" w:space="0" w:color="000000"/>
              <w:right w:val="single" w:sz="8" w:space="0" w:color="000000"/>
            </w:tcBorders>
            <w:shd w:val="clear" w:color="auto" w:fill="auto"/>
            <w:vAlign w:val="center"/>
          </w:tcPr>
          <w:p w14:paraId="057A72ED">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招采管理标准</w:t>
            </w:r>
          </w:p>
        </w:tc>
        <w:tc>
          <w:tcPr>
            <w:tcW w:w="7553" w:type="dxa"/>
            <w:tcBorders>
              <w:top w:val="nil"/>
              <w:left w:val="nil"/>
              <w:bottom w:val="single" w:sz="8" w:space="0" w:color="000000"/>
              <w:right w:val="single" w:sz="8" w:space="0" w:color="000000"/>
            </w:tcBorders>
            <w:shd w:val="clear" w:color="auto" w:fill="auto"/>
            <w:vAlign w:val="center"/>
          </w:tcPr>
          <w:p w14:paraId="69276B2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如本任务书与《深圳市龙新开发建设有限公司采购管理办法及其配套文件》、《深圳市龙新开发建设有限公司评标管理办法》有冲突的，按《深圳市龙新开发建设有限公司采购管理办法及其配套文件》、《深圳市龙新开发建设有限公司评标管理办法》执行。</w:t>
            </w:r>
          </w:p>
        </w:tc>
      </w:tr>
      <w:tr w14:paraId="343C566F">
        <w:tblPrEx>
          <w:tblW w:w="5000" w:type="pct"/>
          <w:tblInd w:w="93" w:type="dxa"/>
          <w:shd w:val="clear" w:color="auto" w:fill="auto"/>
          <w:tblLayout w:type="fixed"/>
          <w:tblCellMar>
            <w:top w:w="0" w:type="dxa"/>
            <w:left w:w="108" w:type="dxa"/>
            <w:bottom w:w="0" w:type="dxa"/>
            <w:right w:w="108" w:type="dxa"/>
          </w:tblCellMar>
        </w:tblPrEx>
        <w:trPr>
          <w:trHeight w:val="412"/>
        </w:trPr>
        <w:tc>
          <w:tcPr>
            <w:tcW w:w="1846" w:type="dxa"/>
            <w:gridSpan w:val="2"/>
            <w:tcBorders>
              <w:top w:val="nil"/>
              <w:left w:val="single" w:sz="8" w:space="0" w:color="000000"/>
              <w:bottom w:val="single" w:sz="8" w:space="0" w:color="000000"/>
              <w:right w:val="nil"/>
            </w:tcBorders>
            <w:shd w:val="clear" w:color="auto" w:fill="CCFFFF"/>
            <w:vAlign w:val="center"/>
          </w:tcPr>
          <w:p w14:paraId="7D0A9577">
            <w:pPr>
              <w:keepNext w:val="0"/>
              <w:keepLines w:val="0"/>
              <w:widowControl/>
              <w:suppressLineNumbers w:val="0"/>
              <w:jc w:val="left"/>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二、施工过程管理</w:t>
            </w:r>
          </w:p>
        </w:tc>
        <w:tc>
          <w:tcPr>
            <w:tcW w:w="7553" w:type="dxa"/>
            <w:tcBorders>
              <w:top w:val="nil"/>
              <w:left w:val="single" w:sz="8" w:space="0" w:color="000000"/>
              <w:bottom w:val="single" w:sz="8" w:space="0" w:color="000000"/>
              <w:right w:val="single" w:sz="8" w:space="0" w:color="000000"/>
            </w:tcBorders>
            <w:shd w:val="clear" w:color="auto" w:fill="CCFFFF"/>
            <w:vAlign w:val="center"/>
          </w:tcPr>
          <w:p w14:paraId="45793E83">
            <w:pPr>
              <w:widowControl w:val="0"/>
              <w:jc w:val="center"/>
              <w:rPr>
                <w:rFonts w:ascii="仿宋" w:eastAsia="仿宋" w:hAnsi="仿宋" w:cs="仿宋" w:hint="eastAsia"/>
                <w:b/>
                <w:bCs/>
                <w:color w:val="000000"/>
                <w:kern w:val="2"/>
                <w:sz w:val="20"/>
                <w:szCs w:val="20"/>
                <w:lang w:eastAsia="zh-CN"/>
              </w:rPr>
            </w:pPr>
          </w:p>
        </w:tc>
      </w:tr>
      <w:tr w14:paraId="1DD6A340">
        <w:tblPrEx>
          <w:tblW w:w="5000" w:type="pct"/>
          <w:tblInd w:w="93" w:type="dxa"/>
          <w:shd w:val="clear" w:color="auto" w:fill="auto"/>
          <w:tblLayout w:type="fixed"/>
          <w:tblCellMar>
            <w:top w:w="0" w:type="dxa"/>
            <w:left w:w="108" w:type="dxa"/>
            <w:bottom w:w="0" w:type="dxa"/>
            <w:right w:w="108" w:type="dxa"/>
          </w:tblCellMar>
        </w:tblPrEx>
        <w:trPr>
          <w:trHeight w:val="1901"/>
        </w:trPr>
        <w:tc>
          <w:tcPr>
            <w:tcW w:w="7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3424086">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073" w:type="dxa"/>
            <w:vMerge w:val="restart"/>
            <w:tcBorders>
              <w:top w:val="single" w:sz="8" w:space="0" w:color="000000"/>
              <w:left w:val="nil"/>
              <w:bottom w:val="single" w:sz="8" w:space="0" w:color="000000"/>
              <w:right w:val="single" w:sz="8" w:space="0" w:color="000000"/>
            </w:tcBorders>
            <w:shd w:val="clear" w:color="auto" w:fill="FFFFFF"/>
            <w:vAlign w:val="center"/>
          </w:tcPr>
          <w:p w14:paraId="29406D5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设计变更、现场签证、技术洽商的管理</w:t>
            </w:r>
          </w:p>
        </w:tc>
        <w:tc>
          <w:tcPr>
            <w:tcW w:w="7553" w:type="dxa"/>
            <w:tcBorders>
              <w:top w:val="single" w:sz="8" w:space="0" w:color="000000"/>
              <w:left w:val="nil"/>
              <w:bottom w:val="single" w:sz="8" w:space="0" w:color="000000"/>
              <w:right w:val="single" w:sz="8" w:space="0" w:color="000000"/>
            </w:tcBorders>
            <w:shd w:val="clear" w:color="auto" w:fill="FFFFFF"/>
            <w:vAlign w:val="center"/>
          </w:tcPr>
          <w:p w14:paraId="470752C6">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及时估算，提供变更、签证、技术洽商的合理化建议。研发和工程人员发起指令单后，现场咨询自行处理或转交其他专业人员处理，同时判断事先还是事后审批。咨询造价审核时间最多不能超过2天。现场咨询需按变更、签证估价表的预估费用即时录入到项目管理集成台帐中。甲方成本人员负责录入内网变更、签证台帐（或安排乙方人员执行）。现场发生索赔及反索赔时，乙方协助收集整理相关数据资料，结合现场情况，编写索赔条款或反索赔应对策略，必要时参加谈判工作，及后期补充协议签订。</w:t>
            </w:r>
          </w:p>
        </w:tc>
      </w:tr>
      <w:tr w14:paraId="6ADE8DEB">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1D48A70">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2F9FB32B">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41D3B57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设计变更与现场签证、技术洽商流程的合规性、合理性审核，及参与现场收方。</w:t>
            </w:r>
          </w:p>
        </w:tc>
      </w:tr>
      <w:tr w14:paraId="7CFB2F77">
        <w:tblPrEx>
          <w:tblW w:w="5000" w:type="pct"/>
          <w:tblInd w:w="93" w:type="dxa"/>
          <w:shd w:val="clear" w:color="auto" w:fill="auto"/>
          <w:tblLayout w:type="fixed"/>
          <w:tblCellMar>
            <w:top w:w="0" w:type="dxa"/>
            <w:left w:w="108" w:type="dxa"/>
            <w:bottom w:w="0" w:type="dxa"/>
            <w:right w:w="108" w:type="dxa"/>
          </w:tblCellMar>
        </w:tblPrEx>
        <w:trPr>
          <w:trHeight w:val="128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5902D8">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7D2B8913">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11FE0959">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设计变更与现场签证、技术洽商内容准确性、严谨性。收到变更、签证单后，现场咨询应与经办工程师充分沟通，结合合同条款与现场实际情况，掌握隐蔽、返工、拆除等审核控制点，做到计算依据充分，价格及工程量来源描述清晰。对具有代表性的变更签证，按照甲方要求的格式编写案例</w:t>
            </w:r>
          </w:p>
        </w:tc>
      </w:tr>
      <w:tr w14:paraId="018206E7">
        <w:tblPrEx>
          <w:tblW w:w="5000" w:type="pct"/>
          <w:tblInd w:w="93" w:type="dxa"/>
          <w:shd w:val="clear" w:color="auto" w:fill="auto"/>
          <w:tblLayout w:type="fixed"/>
          <w:tblCellMar>
            <w:top w:w="0" w:type="dxa"/>
            <w:left w:w="108" w:type="dxa"/>
            <w:bottom w:w="0" w:type="dxa"/>
            <w:right w:w="108" w:type="dxa"/>
          </w:tblCellMar>
        </w:tblPrEx>
        <w:trPr>
          <w:trHeight w:val="136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A3C7540">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422D8201">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726C83E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④ 完工办理及时性。变更、签证、洽商内容完工后。然后根据签证单上监理和项目部确认的工作内容， 完成与施工单位的核对。最后将完整的资料（含变更、签证估价表、施工方上报预算、双方确认价、附图等）上报成本对接人，成本对接人及委托方公司内部审核完成后，由甲方对接人（或乙方现场咨询人员）负责上传系统，并做好资料归档及更新台账。</w:t>
            </w:r>
          </w:p>
        </w:tc>
      </w:tr>
      <w:tr w14:paraId="79A4B440">
        <w:tblPrEx>
          <w:tblW w:w="5000" w:type="pct"/>
          <w:tblInd w:w="93" w:type="dxa"/>
          <w:shd w:val="clear" w:color="auto" w:fill="auto"/>
          <w:tblLayout w:type="fixed"/>
          <w:tblCellMar>
            <w:top w:w="0" w:type="dxa"/>
            <w:left w:w="108" w:type="dxa"/>
            <w:bottom w:w="0" w:type="dxa"/>
            <w:right w:w="108" w:type="dxa"/>
          </w:tblCellMar>
        </w:tblPrEx>
        <w:trPr>
          <w:trHeight w:val="136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CE4A568">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4ABD9AA8">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3664B1A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⑤ 咨询公司的驻场造价工程师，需完成甲方现场造价师所要求的日常工作</w:t>
            </w:r>
            <w:r>
              <w:rPr>
                <w:rFonts w:ascii="仿宋" w:eastAsia="仿宋" w:hAnsi="仿宋" w:cs="仿宋"/>
                <w:b/>
                <w:bCs/>
                <w:color w:val="000000"/>
                <w:kern w:val="2"/>
                <w:sz w:val="20"/>
                <w:szCs w:val="20"/>
                <w:lang w:eastAsia="zh-CN" w:bidi="ar"/>
              </w:rPr>
              <w:t>（包括日常工地走场，日常负责收方记录、拍照、现场签证变更资料、付款资料的收集和整理，白条的统计和梳理，在甲方允许的前提下和施工单位进行对接，和甲方工程部研发部进行对接。现场驻场人员需全力协助甲方成本招采部所提出的日常事务性工作。）</w:t>
            </w:r>
          </w:p>
        </w:tc>
      </w:tr>
      <w:tr w14:paraId="0BADB0A8">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BB9302C">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477E04A8">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1DC84C5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⑥ 根据甲方要求，针对不同设计方案或材料设备选型建议进行询价及成本估算和运用价值工程完成方案经济性对比分析，并总结相关造价指标。</w:t>
            </w:r>
          </w:p>
        </w:tc>
      </w:tr>
      <w:tr w14:paraId="3415AFEC">
        <w:tblPrEx>
          <w:tblW w:w="5000" w:type="pct"/>
          <w:tblInd w:w="93" w:type="dxa"/>
          <w:shd w:val="clear" w:color="auto" w:fill="auto"/>
          <w:tblLayout w:type="fixed"/>
          <w:tblCellMar>
            <w:top w:w="0" w:type="dxa"/>
            <w:left w:w="108" w:type="dxa"/>
            <w:bottom w:w="0" w:type="dxa"/>
            <w:right w:w="108" w:type="dxa"/>
          </w:tblCellMar>
        </w:tblPrEx>
        <w:trPr>
          <w:trHeight w:val="128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1E0E3A">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4BE29364">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4567D20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⑦ 根据甲方提供的模板，按月编制项目总造价分析报告，适时反映整个项目招投标情况、定标价与估算价差异、合同签订及执行情况、洽商变更情况、已完工程量和工程款支付情况、项目动态建造成本及与建造成本的指标分析比对等，适时反映项目整体最新合同签订执行情况及项目建造成本状况等。</w:t>
            </w:r>
          </w:p>
        </w:tc>
      </w:tr>
      <w:tr w14:paraId="3442F6DD">
        <w:tblPrEx>
          <w:tblW w:w="5000" w:type="pct"/>
          <w:tblInd w:w="93" w:type="dxa"/>
          <w:shd w:val="clear" w:color="auto" w:fill="auto"/>
          <w:tblLayout w:type="fixed"/>
          <w:tblCellMar>
            <w:top w:w="0" w:type="dxa"/>
            <w:left w:w="108" w:type="dxa"/>
            <w:bottom w:w="0" w:type="dxa"/>
            <w:right w:w="108" w:type="dxa"/>
          </w:tblCellMar>
        </w:tblPrEx>
        <w:trPr>
          <w:trHeight w:val="1282"/>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D10B802">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476C640E">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79CC56C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⑧ 一单一算：收到完工确认单纸版资料及费用上报明细后，造价咨询审核并与施工单位核对相关价款，并将核对后的变更、洽商、签证审核明细、计算过程及成果文件交由甲方成本经理审核。在收到变更洽商签证费用资料后7日历天内完成审核和核对，将审核文件及出具的审核报告并交由甲方成本经理审核。</w:t>
            </w:r>
          </w:p>
        </w:tc>
      </w:tr>
      <w:tr w14:paraId="6F020E64">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B7DFA86">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FFFFFF"/>
            <w:vAlign w:val="center"/>
          </w:tcPr>
          <w:p w14:paraId="0DA681DF">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auto"/>
            <w:vAlign w:val="center"/>
          </w:tcPr>
          <w:p w14:paraId="4641D22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⑨ 一月一清：甲方项目内业每月25日前须完成“变更洽商签证“一月一清”核对清单”核对，造价咨询负责审核编号、回执状态、费用报情况及有无第三方扣款事项的准确性，将审核后的成果上报成本经理。确保此项工作在每月25日前完成。</w:t>
            </w:r>
          </w:p>
        </w:tc>
      </w:tr>
      <w:tr w14:paraId="751EC78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tcBorders>
              <w:top w:val="nil"/>
              <w:left w:val="single" w:sz="8" w:space="0" w:color="000000"/>
              <w:bottom w:val="single" w:sz="8" w:space="0" w:color="000000"/>
              <w:right w:val="single" w:sz="8" w:space="0" w:color="000000"/>
            </w:tcBorders>
            <w:shd w:val="clear" w:color="auto" w:fill="FFFFFF"/>
            <w:vAlign w:val="center"/>
          </w:tcPr>
          <w:p w14:paraId="41B8752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w:t>
            </w:r>
          </w:p>
        </w:tc>
        <w:tc>
          <w:tcPr>
            <w:tcW w:w="1073" w:type="dxa"/>
            <w:tcBorders>
              <w:top w:val="nil"/>
              <w:left w:val="nil"/>
              <w:bottom w:val="single" w:sz="8" w:space="0" w:color="000000"/>
              <w:right w:val="single" w:sz="8" w:space="0" w:color="000000"/>
            </w:tcBorders>
            <w:shd w:val="clear" w:color="auto" w:fill="FFFFFF"/>
            <w:vAlign w:val="center"/>
          </w:tcPr>
          <w:p w14:paraId="2B46AEC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施工方案</w:t>
            </w:r>
          </w:p>
        </w:tc>
        <w:tc>
          <w:tcPr>
            <w:tcW w:w="7553" w:type="dxa"/>
            <w:tcBorders>
              <w:top w:val="nil"/>
              <w:left w:val="nil"/>
              <w:bottom w:val="single" w:sz="8" w:space="0" w:color="000000"/>
              <w:right w:val="single" w:sz="8" w:space="0" w:color="000000"/>
            </w:tcBorders>
            <w:shd w:val="clear" w:color="auto" w:fill="FFFFFF"/>
            <w:vAlign w:val="center"/>
          </w:tcPr>
          <w:p w14:paraId="4593B04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对施工方案进行经济分析，提供分析报告及合理化建议。</w:t>
            </w:r>
          </w:p>
        </w:tc>
      </w:tr>
      <w:tr w14:paraId="4183FD1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val="restart"/>
            <w:tcBorders>
              <w:top w:val="nil"/>
              <w:left w:val="single" w:sz="8" w:space="0" w:color="000000"/>
              <w:bottom w:val="single" w:sz="8" w:space="0" w:color="000000"/>
              <w:right w:val="single" w:sz="8" w:space="0" w:color="000000"/>
            </w:tcBorders>
            <w:shd w:val="clear" w:color="auto" w:fill="FFFFFF"/>
            <w:vAlign w:val="center"/>
          </w:tcPr>
          <w:p w14:paraId="0725542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3</w:t>
            </w:r>
          </w:p>
        </w:tc>
        <w:tc>
          <w:tcPr>
            <w:tcW w:w="1073" w:type="dxa"/>
            <w:vMerge w:val="restart"/>
            <w:tcBorders>
              <w:top w:val="nil"/>
              <w:left w:val="nil"/>
              <w:bottom w:val="single" w:sz="8" w:space="0" w:color="000000"/>
              <w:right w:val="single" w:sz="8" w:space="0" w:color="000000"/>
            </w:tcBorders>
            <w:shd w:val="clear" w:color="auto" w:fill="FFFFFF"/>
            <w:vAlign w:val="center"/>
          </w:tcPr>
          <w:p w14:paraId="1EB7E99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付款</w:t>
            </w:r>
          </w:p>
        </w:tc>
        <w:tc>
          <w:tcPr>
            <w:tcW w:w="7553" w:type="dxa"/>
            <w:tcBorders>
              <w:top w:val="nil"/>
              <w:left w:val="nil"/>
              <w:bottom w:val="single" w:sz="8" w:space="0" w:color="000000"/>
              <w:right w:val="single" w:sz="8" w:space="0" w:color="000000"/>
            </w:tcBorders>
            <w:shd w:val="clear" w:color="auto" w:fill="FFFFFF"/>
            <w:vAlign w:val="center"/>
          </w:tcPr>
          <w:p w14:paraId="213A064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依据甲方与承包商签订的合同进行付款审批，付款审批应按时完成</w:t>
            </w:r>
          </w:p>
        </w:tc>
      </w:tr>
      <w:tr w14:paraId="205FB6C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single" w:sz="8" w:space="0" w:color="000000"/>
            </w:tcBorders>
            <w:shd w:val="clear" w:color="auto" w:fill="FFFFFF"/>
            <w:vAlign w:val="center"/>
          </w:tcPr>
          <w:p w14:paraId="1F861884">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nil"/>
              <w:bottom w:val="single" w:sz="8" w:space="0" w:color="000000"/>
              <w:right w:val="single" w:sz="8" w:space="0" w:color="000000"/>
            </w:tcBorders>
            <w:shd w:val="clear" w:color="auto" w:fill="FFFFFF"/>
            <w:vAlign w:val="center"/>
          </w:tcPr>
          <w:p w14:paraId="75ECB8DB">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5A67AE9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付款审批准确、严谨</w:t>
            </w:r>
          </w:p>
        </w:tc>
      </w:tr>
      <w:tr w14:paraId="7D927624">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FFFFFF"/>
            <w:vAlign w:val="center"/>
          </w:tcPr>
          <w:p w14:paraId="52F6CEE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4</w:t>
            </w:r>
          </w:p>
        </w:tc>
        <w:tc>
          <w:tcPr>
            <w:tcW w:w="1073" w:type="dxa"/>
            <w:tcBorders>
              <w:top w:val="nil"/>
              <w:left w:val="nil"/>
              <w:bottom w:val="single" w:sz="8" w:space="0" w:color="000000"/>
              <w:right w:val="single" w:sz="8" w:space="0" w:color="000000"/>
            </w:tcBorders>
            <w:shd w:val="clear" w:color="auto" w:fill="FFFFFF"/>
            <w:vAlign w:val="center"/>
          </w:tcPr>
          <w:p w14:paraId="6B48F00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成本台帐</w:t>
            </w:r>
          </w:p>
        </w:tc>
        <w:tc>
          <w:tcPr>
            <w:tcW w:w="7553" w:type="dxa"/>
            <w:tcBorders>
              <w:top w:val="nil"/>
              <w:left w:val="nil"/>
              <w:bottom w:val="single" w:sz="8" w:space="0" w:color="000000"/>
              <w:right w:val="single" w:sz="8" w:space="0" w:color="000000"/>
            </w:tcBorders>
            <w:shd w:val="clear" w:color="auto" w:fill="FFFFFF"/>
            <w:vAlign w:val="center"/>
          </w:tcPr>
          <w:p w14:paraId="7BA3CE0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按甲方要求建立成本台帐，动态跟踪包括但不限于：合同台账、变洽签台账、付款台账、甲供材台账、索赔及反索赔台账、预结算台账、图纸台账、施工单位及甲方其他职能往来函件台账等。</w:t>
            </w:r>
          </w:p>
        </w:tc>
      </w:tr>
      <w:tr w14:paraId="3B923C3E">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FFFFFF"/>
            <w:vAlign w:val="center"/>
          </w:tcPr>
          <w:p w14:paraId="45C1453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w:t>
            </w:r>
          </w:p>
        </w:tc>
        <w:tc>
          <w:tcPr>
            <w:tcW w:w="1073" w:type="dxa"/>
            <w:tcBorders>
              <w:top w:val="nil"/>
              <w:left w:val="nil"/>
              <w:bottom w:val="single" w:sz="8" w:space="0" w:color="000000"/>
              <w:right w:val="single" w:sz="8" w:space="0" w:color="000000"/>
            </w:tcBorders>
            <w:shd w:val="clear" w:color="auto" w:fill="FFFFFF"/>
            <w:vAlign w:val="center"/>
          </w:tcPr>
          <w:p w14:paraId="4F126A0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资料管理</w:t>
            </w:r>
          </w:p>
        </w:tc>
        <w:tc>
          <w:tcPr>
            <w:tcW w:w="7553" w:type="dxa"/>
            <w:tcBorders>
              <w:top w:val="nil"/>
              <w:left w:val="nil"/>
              <w:bottom w:val="single" w:sz="8" w:space="0" w:color="000000"/>
              <w:right w:val="single" w:sz="8" w:space="0" w:color="000000"/>
            </w:tcBorders>
            <w:shd w:val="clear" w:color="auto" w:fill="FFFFFF"/>
            <w:vAlign w:val="center"/>
          </w:tcPr>
          <w:p w14:paraId="3E98499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针对现场的设计变更、技术洽商、现场签证，建立文件柜及文件夹，进行有序存放并管理，做好台账，同时，配合甲方成本人员也做好相应的现场三单、图纸等管理。</w:t>
            </w:r>
          </w:p>
        </w:tc>
      </w:tr>
      <w:tr w14:paraId="5506825E">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tcBorders>
              <w:top w:val="nil"/>
              <w:left w:val="single" w:sz="8" w:space="0" w:color="000000"/>
              <w:bottom w:val="single" w:sz="8" w:space="0" w:color="000000"/>
              <w:right w:val="single" w:sz="8" w:space="0" w:color="000000"/>
            </w:tcBorders>
            <w:shd w:val="clear" w:color="auto" w:fill="FFFFFF"/>
            <w:vAlign w:val="center"/>
          </w:tcPr>
          <w:p w14:paraId="2368BFC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6</w:t>
            </w:r>
          </w:p>
        </w:tc>
        <w:tc>
          <w:tcPr>
            <w:tcW w:w="1073" w:type="dxa"/>
            <w:tcBorders>
              <w:top w:val="nil"/>
              <w:left w:val="nil"/>
              <w:bottom w:val="single" w:sz="8" w:space="0" w:color="000000"/>
              <w:right w:val="single" w:sz="8" w:space="0" w:color="000000"/>
            </w:tcBorders>
            <w:shd w:val="clear" w:color="auto" w:fill="FFFFFF"/>
            <w:vAlign w:val="center"/>
          </w:tcPr>
          <w:p w14:paraId="262653B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甲供材管控</w:t>
            </w:r>
          </w:p>
        </w:tc>
        <w:tc>
          <w:tcPr>
            <w:tcW w:w="7553" w:type="dxa"/>
            <w:tcBorders>
              <w:top w:val="nil"/>
              <w:left w:val="nil"/>
              <w:bottom w:val="single" w:sz="8" w:space="0" w:color="000000"/>
              <w:right w:val="single" w:sz="8" w:space="0" w:color="000000"/>
            </w:tcBorders>
            <w:shd w:val="clear" w:color="auto" w:fill="FFFFFF"/>
            <w:vAlign w:val="center"/>
          </w:tcPr>
          <w:p w14:paraId="7864CA4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负责现场甲供材的需求表审核，超领预警，甲供材台账的更新与甲供材合同结算等</w:t>
            </w:r>
          </w:p>
        </w:tc>
      </w:tr>
      <w:tr w14:paraId="7E89F96A">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tcBorders>
              <w:top w:val="nil"/>
              <w:left w:val="single" w:sz="8" w:space="0" w:color="000000"/>
              <w:bottom w:val="single" w:sz="8" w:space="0" w:color="000000"/>
              <w:right w:val="single" w:sz="8" w:space="0" w:color="000000"/>
            </w:tcBorders>
            <w:shd w:val="clear" w:color="auto" w:fill="FFFFFF"/>
            <w:vAlign w:val="center"/>
          </w:tcPr>
          <w:p w14:paraId="5BCC2F88">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7</w:t>
            </w:r>
          </w:p>
        </w:tc>
        <w:tc>
          <w:tcPr>
            <w:tcW w:w="1073" w:type="dxa"/>
            <w:tcBorders>
              <w:top w:val="nil"/>
              <w:left w:val="nil"/>
              <w:bottom w:val="single" w:sz="8" w:space="0" w:color="000000"/>
              <w:right w:val="single" w:sz="8" w:space="0" w:color="000000"/>
            </w:tcBorders>
            <w:shd w:val="clear" w:color="auto" w:fill="FFFFFF"/>
            <w:vAlign w:val="center"/>
          </w:tcPr>
          <w:p w14:paraId="729CAE2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成本巡检</w:t>
            </w:r>
          </w:p>
        </w:tc>
        <w:tc>
          <w:tcPr>
            <w:tcW w:w="7553" w:type="dxa"/>
            <w:tcBorders>
              <w:top w:val="nil"/>
              <w:left w:val="nil"/>
              <w:bottom w:val="single" w:sz="8" w:space="0" w:color="000000"/>
              <w:right w:val="single" w:sz="8" w:space="0" w:color="000000"/>
            </w:tcBorders>
            <w:shd w:val="clear" w:color="auto" w:fill="FFFFFF"/>
            <w:vAlign w:val="center"/>
          </w:tcPr>
          <w:p w14:paraId="7DB2632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驻场人员每周不少于1次现场巡检，每月形成书面月度成本巡检报告。</w:t>
            </w:r>
          </w:p>
        </w:tc>
      </w:tr>
      <w:tr w14:paraId="51063D16">
        <w:tblPrEx>
          <w:tblW w:w="5000" w:type="pct"/>
          <w:tblInd w:w="93" w:type="dxa"/>
          <w:shd w:val="clear" w:color="auto" w:fill="auto"/>
          <w:tblLayout w:type="fixed"/>
          <w:tblCellMar>
            <w:top w:w="0" w:type="dxa"/>
            <w:left w:w="108" w:type="dxa"/>
            <w:bottom w:w="0" w:type="dxa"/>
            <w:right w:w="108" w:type="dxa"/>
          </w:tblCellMar>
        </w:tblPrEx>
        <w:trPr>
          <w:trHeight w:val="412"/>
        </w:trPr>
        <w:tc>
          <w:tcPr>
            <w:tcW w:w="1846" w:type="dxa"/>
            <w:gridSpan w:val="2"/>
            <w:tcBorders>
              <w:top w:val="nil"/>
              <w:left w:val="single" w:sz="8" w:space="0" w:color="000000"/>
              <w:bottom w:val="single" w:sz="8" w:space="0" w:color="000000"/>
              <w:right w:val="nil"/>
            </w:tcBorders>
            <w:shd w:val="clear" w:color="auto" w:fill="CCFFFF"/>
            <w:vAlign w:val="center"/>
          </w:tcPr>
          <w:p w14:paraId="7A28F127">
            <w:pPr>
              <w:keepNext w:val="0"/>
              <w:keepLines w:val="0"/>
              <w:widowControl/>
              <w:suppressLineNumbers w:val="0"/>
              <w:jc w:val="left"/>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三、预结算管理</w:t>
            </w:r>
          </w:p>
        </w:tc>
        <w:tc>
          <w:tcPr>
            <w:tcW w:w="7553" w:type="dxa"/>
            <w:tcBorders>
              <w:top w:val="nil"/>
              <w:left w:val="single" w:sz="8" w:space="0" w:color="000000"/>
              <w:bottom w:val="single" w:sz="8" w:space="0" w:color="000000"/>
              <w:right w:val="single" w:sz="8" w:space="0" w:color="000000"/>
            </w:tcBorders>
            <w:shd w:val="clear" w:color="auto" w:fill="CCFFFF"/>
            <w:vAlign w:val="center"/>
          </w:tcPr>
          <w:p w14:paraId="7179307D">
            <w:pPr>
              <w:widowControl w:val="0"/>
              <w:jc w:val="center"/>
              <w:rPr>
                <w:rFonts w:ascii="仿宋" w:eastAsia="仿宋" w:hAnsi="仿宋" w:cs="仿宋" w:hint="eastAsia"/>
                <w:b/>
                <w:bCs/>
                <w:color w:val="000000"/>
                <w:kern w:val="2"/>
                <w:sz w:val="20"/>
                <w:szCs w:val="20"/>
                <w:lang w:eastAsia="zh-CN"/>
              </w:rPr>
            </w:pPr>
          </w:p>
        </w:tc>
      </w:tr>
      <w:tr w14:paraId="09A844F9">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8C4154F">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073" w:type="dxa"/>
            <w:vMerge w:val="restart"/>
            <w:tcBorders>
              <w:top w:val="single" w:sz="8" w:space="0" w:color="000000"/>
              <w:left w:val="nil"/>
              <w:bottom w:val="single" w:sz="8" w:space="0" w:color="000000"/>
              <w:right w:val="single" w:sz="8" w:space="0" w:color="000000"/>
            </w:tcBorders>
            <w:shd w:val="clear" w:color="auto" w:fill="auto"/>
            <w:vAlign w:val="center"/>
          </w:tcPr>
          <w:p w14:paraId="2192670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预结算管理</w:t>
            </w:r>
          </w:p>
        </w:tc>
        <w:tc>
          <w:tcPr>
            <w:tcW w:w="7553" w:type="dxa"/>
            <w:tcBorders>
              <w:top w:val="nil"/>
              <w:left w:val="nil"/>
              <w:bottom w:val="single" w:sz="8" w:space="0" w:color="000000"/>
              <w:right w:val="single" w:sz="8" w:space="0" w:color="000000"/>
            </w:tcBorders>
            <w:shd w:val="clear" w:color="auto" w:fill="FFFFFF"/>
            <w:vAlign w:val="center"/>
          </w:tcPr>
          <w:p w14:paraId="4B631D3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预结算资料完整，负责协助甲方成本人员进行预结算的资料完整性管理</w:t>
            </w:r>
          </w:p>
        </w:tc>
      </w:tr>
      <w:tr w14:paraId="10F0022A">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9872BC">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0D07427A">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4C8F7ED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预结算及时、准确</w:t>
            </w:r>
          </w:p>
        </w:tc>
      </w:tr>
      <w:tr w14:paraId="3A0A48B9">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322E2A4">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6201C9F4">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7E77AC9D">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按照甲方的要求进行预、结算的编制、图差计算、合同价确定、合同结算、竣工结算审核，出具审核报告，配合委托方完成结算造价分析并提供成果文件：</w:t>
            </w:r>
          </w:p>
        </w:tc>
      </w:tr>
      <w:tr w14:paraId="73E99966">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7D3BAE">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642A5A6E">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17D21C0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 按甲方与施工单位签订的施工合同等资料编制竣工结算书（初稿），报甲方初步审核。</w:t>
            </w:r>
          </w:p>
        </w:tc>
      </w:tr>
      <w:tr w14:paraId="78B42613">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D12220">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49A254E1">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3F22511E">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 根据甲方初步审核意见，编制竣工结算书（修订稿）（如有），报甲方备案，并根据此竣工结算书（修订稿）与施工单位核对。</w:t>
            </w:r>
          </w:p>
        </w:tc>
      </w:tr>
      <w:tr w14:paraId="4BE4AEAE">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73091A">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123B5139">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25F49B09">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3) 根据双方核对意见编制竣工结算书（核对稿），报甲方最终审核。</w:t>
            </w:r>
          </w:p>
        </w:tc>
      </w:tr>
      <w:tr w14:paraId="69AD0C30">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EFBE54F">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5428B3CA">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3430DA32">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4) 根据甲方最终审核意见编制竣工结算书（最终稿），报甲方存档。</w:t>
            </w:r>
          </w:p>
        </w:tc>
      </w:tr>
      <w:tr w14:paraId="2F8C22D3">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627699">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52074E13">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55F5510B">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5) 根据上述各竣工结算书（初稿）至（最终稿）编制竣工结算报告。</w:t>
            </w:r>
          </w:p>
        </w:tc>
      </w:tr>
      <w:tr w14:paraId="244D1442">
        <w:tblPrEx>
          <w:tblW w:w="5000" w:type="pct"/>
          <w:tblInd w:w="93" w:type="dxa"/>
          <w:shd w:val="clear" w:color="auto" w:fill="auto"/>
          <w:tblLayout w:type="fixed"/>
          <w:tblCellMar>
            <w:top w:w="0" w:type="dxa"/>
            <w:left w:w="108" w:type="dxa"/>
            <w:bottom w:w="0" w:type="dxa"/>
            <w:right w:w="108" w:type="dxa"/>
          </w:tblCellMar>
        </w:tblPrEx>
        <w:trPr>
          <w:trHeight w:val="1028"/>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5BD199">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3A6E4749">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nil"/>
              <w:right w:val="single" w:sz="8" w:space="0" w:color="000000"/>
            </w:tcBorders>
            <w:shd w:val="clear" w:color="auto" w:fill="FFFFFF"/>
            <w:vAlign w:val="center"/>
          </w:tcPr>
          <w:p w14:paraId="4B9FDFE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6) 竣工结算报告包括但不限于以下内容：结算报告目录及编制说明、竣工结算书（最终稿）、与施工单位核对完成的变更、洽商、签证费用明细、组价明细及结算书、工程验收单或移交证明、竣工图纸、施工用水电费缴费证明、项目工程最终的成本分析报告等。</w:t>
            </w:r>
          </w:p>
        </w:tc>
      </w:tr>
      <w:tr w14:paraId="42BE967F">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894529">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736CB3CC">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FFFFFF"/>
            <w:vAlign w:val="center"/>
          </w:tcPr>
          <w:p w14:paraId="0D887B6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7) 竣工结算报告均需提供电子版及纸质盖章版。提供最终结算帐目表，编制本项目工程最终的成本分析报告。</w:t>
            </w:r>
          </w:p>
        </w:tc>
      </w:tr>
      <w:tr w14:paraId="0021AB00">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FC8F4">
            <w:pPr>
              <w:widowControl w:val="0"/>
              <w:jc w:val="left"/>
              <w:rPr>
                <w:rFonts w:ascii="仿宋" w:eastAsia="仿宋" w:hAnsi="仿宋" w:cs="仿宋" w:hint="eastAsia"/>
                <w:color w:val="000000"/>
                <w:kern w:val="2"/>
                <w:sz w:val="20"/>
                <w:szCs w:val="20"/>
                <w:lang w:eastAsia="zh-CN"/>
              </w:rPr>
            </w:pPr>
          </w:p>
        </w:tc>
        <w:tc>
          <w:tcPr>
            <w:tcW w:w="1073" w:type="dxa"/>
            <w:vMerge/>
            <w:tcBorders>
              <w:top w:val="single" w:sz="8" w:space="0" w:color="000000"/>
              <w:left w:val="nil"/>
              <w:bottom w:val="single" w:sz="8" w:space="0" w:color="000000"/>
              <w:right w:val="single" w:sz="8" w:space="0" w:color="000000"/>
            </w:tcBorders>
            <w:shd w:val="clear" w:color="auto" w:fill="auto"/>
            <w:vAlign w:val="center"/>
          </w:tcPr>
          <w:p w14:paraId="23FB88EF">
            <w:pPr>
              <w:widowControl w:val="0"/>
              <w:jc w:val="left"/>
              <w:rPr>
                <w:rFonts w:ascii="仿宋" w:eastAsia="仿宋" w:hAnsi="仿宋" w:cs="仿宋" w:hint="eastAsia"/>
                <w:color w:val="000000"/>
                <w:kern w:val="2"/>
                <w:sz w:val="20"/>
                <w:szCs w:val="20"/>
                <w:lang w:eastAsia="zh-CN"/>
              </w:rPr>
            </w:pPr>
          </w:p>
        </w:tc>
        <w:tc>
          <w:tcPr>
            <w:tcW w:w="7553" w:type="dxa"/>
            <w:tcBorders>
              <w:top w:val="nil"/>
              <w:left w:val="nil"/>
              <w:bottom w:val="single" w:sz="8" w:space="0" w:color="000000"/>
              <w:right w:val="single" w:sz="8" w:space="0" w:color="000000"/>
            </w:tcBorders>
            <w:shd w:val="clear" w:color="auto" w:fill="auto"/>
            <w:vAlign w:val="center"/>
          </w:tcPr>
          <w:p w14:paraId="0212CC94">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8) 涉及全过程造价咨询所有成果如需审计、审查、稽核等事项，乙方不管是否在服务期内，均须及时且无条件对成果做出合理解释工作。</w:t>
            </w:r>
          </w:p>
        </w:tc>
      </w:tr>
      <w:tr w14:paraId="1E4FF870">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auto"/>
            <w:vAlign w:val="center"/>
          </w:tcPr>
          <w:p w14:paraId="6589324F">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2</w:t>
            </w:r>
          </w:p>
        </w:tc>
        <w:tc>
          <w:tcPr>
            <w:tcW w:w="1073" w:type="dxa"/>
            <w:tcBorders>
              <w:top w:val="nil"/>
              <w:left w:val="nil"/>
              <w:bottom w:val="single" w:sz="8" w:space="0" w:color="000000"/>
              <w:right w:val="single" w:sz="8" w:space="0" w:color="000000"/>
            </w:tcBorders>
            <w:shd w:val="clear" w:color="auto" w:fill="auto"/>
            <w:vAlign w:val="center"/>
          </w:tcPr>
          <w:p w14:paraId="3B4402CC">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预结算管理标准</w:t>
            </w:r>
          </w:p>
        </w:tc>
        <w:tc>
          <w:tcPr>
            <w:tcW w:w="7553" w:type="dxa"/>
            <w:tcBorders>
              <w:top w:val="nil"/>
              <w:left w:val="nil"/>
              <w:bottom w:val="single" w:sz="8" w:space="0" w:color="000000"/>
              <w:right w:val="single" w:sz="8" w:space="0" w:color="000000"/>
            </w:tcBorders>
            <w:shd w:val="clear" w:color="auto" w:fill="auto"/>
            <w:vAlign w:val="center"/>
          </w:tcPr>
          <w:p w14:paraId="638A5291">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如本任务书与《深圳市龙新开发建设有限公司预结算管理办法》有冲突的，按《深圳市龙新开发建设有限公司预结算管理办法》执行。</w:t>
            </w:r>
          </w:p>
        </w:tc>
      </w:tr>
      <w:tr w14:paraId="28B8D78A">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tcBorders>
              <w:top w:val="nil"/>
              <w:left w:val="single" w:sz="8" w:space="0" w:color="000000"/>
              <w:bottom w:val="single" w:sz="8" w:space="0" w:color="000000"/>
              <w:right w:val="single" w:sz="8" w:space="0" w:color="000000"/>
            </w:tcBorders>
            <w:shd w:val="clear" w:color="auto" w:fill="FFFFFF"/>
            <w:vAlign w:val="center"/>
          </w:tcPr>
          <w:p w14:paraId="5A98E46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3</w:t>
            </w:r>
          </w:p>
        </w:tc>
        <w:tc>
          <w:tcPr>
            <w:tcW w:w="1073" w:type="dxa"/>
            <w:tcBorders>
              <w:top w:val="nil"/>
              <w:left w:val="nil"/>
              <w:bottom w:val="single" w:sz="8" w:space="0" w:color="000000"/>
              <w:right w:val="single" w:sz="8" w:space="0" w:color="000000"/>
            </w:tcBorders>
            <w:shd w:val="clear" w:color="auto" w:fill="FFFFFF"/>
            <w:vAlign w:val="center"/>
          </w:tcPr>
          <w:p w14:paraId="318E4DC0">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结算数据分析及存储</w:t>
            </w:r>
          </w:p>
        </w:tc>
        <w:tc>
          <w:tcPr>
            <w:tcW w:w="7553" w:type="dxa"/>
            <w:tcBorders>
              <w:top w:val="nil"/>
              <w:left w:val="nil"/>
              <w:bottom w:val="single" w:sz="8" w:space="0" w:color="000000"/>
              <w:right w:val="single" w:sz="8" w:space="0" w:color="000000"/>
            </w:tcBorders>
            <w:shd w:val="clear" w:color="auto" w:fill="FFFFFF"/>
            <w:vAlign w:val="center"/>
          </w:tcPr>
          <w:p w14:paraId="45E0739A">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根据结算数据，15天内完成相应的指标分析工作，完善数据库，并以电子和书面形式提交甲方。</w:t>
            </w:r>
          </w:p>
        </w:tc>
      </w:tr>
      <w:tr w14:paraId="3055E059">
        <w:tblPrEx>
          <w:tblW w:w="5000" w:type="pct"/>
          <w:tblInd w:w="93" w:type="dxa"/>
          <w:shd w:val="clear" w:color="auto" w:fill="auto"/>
          <w:tblLayout w:type="fixed"/>
          <w:tblCellMar>
            <w:top w:w="0" w:type="dxa"/>
            <w:left w:w="108" w:type="dxa"/>
            <w:bottom w:w="0" w:type="dxa"/>
            <w:right w:w="108" w:type="dxa"/>
          </w:tblCellMar>
        </w:tblPrEx>
        <w:trPr>
          <w:trHeight w:val="412"/>
        </w:trPr>
        <w:tc>
          <w:tcPr>
            <w:tcW w:w="1846" w:type="dxa"/>
            <w:gridSpan w:val="2"/>
            <w:tcBorders>
              <w:top w:val="nil"/>
              <w:left w:val="single" w:sz="8" w:space="0" w:color="000000"/>
              <w:bottom w:val="single" w:sz="8" w:space="0" w:color="000000"/>
              <w:right w:val="nil"/>
            </w:tcBorders>
            <w:shd w:val="clear" w:color="auto" w:fill="CCFFFF"/>
            <w:vAlign w:val="center"/>
          </w:tcPr>
          <w:p w14:paraId="127C3D1F">
            <w:pPr>
              <w:keepNext w:val="0"/>
              <w:keepLines w:val="0"/>
              <w:widowControl/>
              <w:suppressLineNumbers w:val="0"/>
              <w:jc w:val="left"/>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四、资料工作</w:t>
            </w:r>
          </w:p>
        </w:tc>
        <w:tc>
          <w:tcPr>
            <w:tcW w:w="7553" w:type="dxa"/>
            <w:tcBorders>
              <w:top w:val="nil"/>
              <w:left w:val="single" w:sz="8" w:space="0" w:color="000000"/>
              <w:bottom w:val="nil"/>
              <w:right w:val="single" w:sz="8" w:space="0" w:color="000000"/>
            </w:tcBorders>
            <w:shd w:val="clear" w:color="auto" w:fill="CCFFFF"/>
            <w:vAlign w:val="center"/>
          </w:tcPr>
          <w:p w14:paraId="2C818B4F">
            <w:pPr>
              <w:widowControl w:val="0"/>
              <w:jc w:val="center"/>
              <w:rPr>
                <w:rFonts w:ascii="仿宋" w:eastAsia="仿宋" w:hAnsi="仿宋" w:cs="仿宋" w:hint="eastAsia"/>
                <w:b/>
                <w:bCs/>
                <w:color w:val="000000"/>
                <w:kern w:val="2"/>
                <w:sz w:val="20"/>
                <w:szCs w:val="20"/>
                <w:lang w:eastAsia="zh-CN"/>
              </w:rPr>
            </w:pPr>
          </w:p>
        </w:tc>
      </w:tr>
      <w:tr w14:paraId="33BD4AF9">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val="restart"/>
            <w:tcBorders>
              <w:top w:val="nil"/>
              <w:left w:val="single" w:sz="8" w:space="0" w:color="000000"/>
              <w:bottom w:val="single" w:sz="8" w:space="0" w:color="000000"/>
              <w:right w:val="nil"/>
            </w:tcBorders>
            <w:shd w:val="clear" w:color="auto" w:fill="auto"/>
            <w:vAlign w:val="center"/>
          </w:tcPr>
          <w:p w14:paraId="504F1023">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073" w:type="dxa"/>
            <w:vMerge w:val="restart"/>
            <w:tcBorders>
              <w:top w:val="nil"/>
              <w:left w:val="single" w:sz="8" w:space="0" w:color="000000"/>
              <w:bottom w:val="single" w:sz="8" w:space="0" w:color="000000"/>
              <w:right w:val="nil"/>
            </w:tcBorders>
            <w:shd w:val="clear" w:color="auto" w:fill="auto"/>
            <w:vAlign w:val="center"/>
          </w:tcPr>
          <w:p w14:paraId="71802B1F">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资料工作</w:t>
            </w:r>
          </w:p>
        </w:tc>
        <w:tc>
          <w:tcPr>
            <w:tcW w:w="7553" w:type="dxa"/>
            <w:tcBorders>
              <w:top w:val="single" w:sz="8" w:space="0" w:color="000000"/>
              <w:left w:val="single" w:sz="8" w:space="0" w:color="000000"/>
              <w:bottom w:val="nil"/>
              <w:right w:val="single" w:sz="8" w:space="0" w:color="000000"/>
            </w:tcBorders>
            <w:shd w:val="clear" w:color="auto" w:fill="auto"/>
            <w:vAlign w:val="center"/>
          </w:tcPr>
          <w:p w14:paraId="0436DD3B">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进度款结算款质保金支付审核</w:t>
            </w:r>
          </w:p>
        </w:tc>
      </w:tr>
      <w:tr w14:paraId="36774941">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2547BA21">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0B274D10">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3D5FEE09">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变更签证费用预估、</w:t>
            </w:r>
          </w:p>
        </w:tc>
      </w:tr>
      <w:tr w14:paraId="25E39C21">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0376BBA1">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4203F314">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48230B88">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成本检查（变更签证收集审查、月清白条、甲供材台账、开闭口台账、往来函件台账）</w:t>
            </w:r>
          </w:p>
        </w:tc>
      </w:tr>
      <w:tr w14:paraId="61AEA418">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489302B5">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2BE8B000">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777442E1">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④ 结算办理包含资料收集、复审沟通、书面资料归档</w:t>
            </w:r>
          </w:p>
        </w:tc>
      </w:tr>
      <w:tr w14:paraId="39DFF796">
        <w:tblPrEx>
          <w:tblW w:w="5000" w:type="pct"/>
          <w:tblInd w:w="93" w:type="dxa"/>
          <w:shd w:val="clear" w:color="auto" w:fill="auto"/>
          <w:tblLayout w:type="fixed"/>
          <w:tblCellMar>
            <w:top w:w="0" w:type="dxa"/>
            <w:left w:w="108" w:type="dxa"/>
            <w:bottom w:w="0" w:type="dxa"/>
            <w:right w:w="108" w:type="dxa"/>
          </w:tblCellMar>
        </w:tblPrEx>
        <w:trPr>
          <w:trHeight w:val="412"/>
        </w:trPr>
        <w:tc>
          <w:tcPr>
            <w:tcW w:w="773" w:type="dxa"/>
            <w:vMerge/>
            <w:tcBorders>
              <w:top w:val="nil"/>
              <w:left w:val="single" w:sz="8" w:space="0" w:color="000000"/>
              <w:bottom w:val="single" w:sz="8" w:space="0" w:color="000000"/>
              <w:right w:val="nil"/>
            </w:tcBorders>
            <w:shd w:val="clear" w:color="auto" w:fill="auto"/>
            <w:vAlign w:val="center"/>
          </w:tcPr>
          <w:p w14:paraId="6B3905F4">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4DA227BF">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single" w:sz="8" w:space="0" w:color="000000"/>
              <w:right w:val="single" w:sz="8" w:space="0" w:color="000000"/>
            </w:tcBorders>
            <w:shd w:val="clear" w:color="auto" w:fill="auto"/>
            <w:vAlign w:val="center"/>
          </w:tcPr>
          <w:p w14:paraId="278D6E82">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⑤ 其他事项工作（资料整理归档、配合现场收方）等</w:t>
            </w:r>
          </w:p>
        </w:tc>
      </w:tr>
      <w:tr w14:paraId="285CF020">
        <w:tblPrEx>
          <w:tblW w:w="5000" w:type="pct"/>
          <w:tblInd w:w="93" w:type="dxa"/>
          <w:shd w:val="clear" w:color="auto" w:fill="auto"/>
          <w:tblLayout w:type="fixed"/>
          <w:tblCellMar>
            <w:top w:w="0" w:type="dxa"/>
            <w:left w:w="108" w:type="dxa"/>
            <w:bottom w:w="0" w:type="dxa"/>
            <w:right w:w="108" w:type="dxa"/>
          </w:tblCellMar>
        </w:tblPrEx>
        <w:trPr>
          <w:trHeight w:val="412"/>
        </w:trPr>
        <w:tc>
          <w:tcPr>
            <w:tcW w:w="1846" w:type="dxa"/>
            <w:gridSpan w:val="2"/>
            <w:tcBorders>
              <w:top w:val="nil"/>
              <w:left w:val="single" w:sz="8" w:space="0" w:color="000000"/>
              <w:bottom w:val="single" w:sz="8" w:space="0" w:color="000000"/>
              <w:right w:val="nil"/>
            </w:tcBorders>
            <w:shd w:val="clear" w:color="auto" w:fill="CCFFFF"/>
            <w:vAlign w:val="center"/>
          </w:tcPr>
          <w:p w14:paraId="20F35C93">
            <w:pPr>
              <w:keepNext w:val="0"/>
              <w:keepLines w:val="0"/>
              <w:widowControl/>
              <w:suppressLineNumbers w:val="0"/>
              <w:jc w:val="left"/>
              <w:textAlignment w:val="center"/>
              <w:rPr>
                <w:rFonts w:ascii="仿宋" w:eastAsia="仿宋" w:hAnsi="仿宋" w:cs="仿宋" w:hint="eastAsia"/>
                <w:b/>
                <w:bCs/>
                <w:color w:val="000000"/>
                <w:kern w:val="2"/>
                <w:sz w:val="20"/>
                <w:szCs w:val="20"/>
                <w:lang w:eastAsia="zh-CN"/>
              </w:rPr>
            </w:pPr>
            <w:r>
              <w:rPr>
                <w:rFonts w:ascii="仿宋" w:eastAsia="仿宋" w:hAnsi="仿宋" w:cs="仿宋" w:hint="eastAsia"/>
                <w:b/>
                <w:bCs/>
                <w:color w:val="000000"/>
                <w:sz w:val="20"/>
                <w:szCs w:val="20"/>
                <w:lang w:eastAsia="zh-CN" w:bidi="ar"/>
              </w:rPr>
              <w:t>五、其它</w:t>
            </w:r>
          </w:p>
        </w:tc>
        <w:tc>
          <w:tcPr>
            <w:tcW w:w="7553" w:type="dxa"/>
            <w:tcBorders>
              <w:top w:val="nil"/>
              <w:left w:val="single" w:sz="8" w:space="0" w:color="000000"/>
              <w:bottom w:val="single" w:sz="8" w:space="0" w:color="000000"/>
              <w:right w:val="single" w:sz="8" w:space="0" w:color="000000"/>
            </w:tcBorders>
            <w:shd w:val="clear" w:color="auto" w:fill="CCFFFF"/>
            <w:vAlign w:val="center"/>
          </w:tcPr>
          <w:p w14:paraId="7AFE9E6F">
            <w:pPr>
              <w:widowControl w:val="0"/>
              <w:jc w:val="center"/>
              <w:rPr>
                <w:rFonts w:ascii="仿宋" w:eastAsia="仿宋" w:hAnsi="仿宋" w:cs="仿宋" w:hint="eastAsia"/>
                <w:b/>
                <w:bCs/>
                <w:color w:val="000000"/>
                <w:kern w:val="2"/>
                <w:sz w:val="20"/>
                <w:szCs w:val="20"/>
                <w:lang w:eastAsia="zh-CN"/>
              </w:rPr>
            </w:pPr>
          </w:p>
        </w:tc>
      </w:tr>
      <w:tr w14:paraId="0FEDAC0A">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val="restart"/>
            <w:tcBorders>
              <w:top w:val="nil"/>
              <w:left w:val="single" w:sz="8" w:space="0" w:color="000000"/>
              <w:bottom w:val="single" w:sz="8" w:space="0" w:color="000000"/>
              <w:right w:val="nil"/>
            </w:tcBorders>
            <w:shd w:val="clear" w:color="auto" w:fill="auto"/>
            <w:vAlign w:val="center"/>
          </w:tcPr>
          <w:p w14:paraId="533804EE">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1</w:t>
            </w:r>
          </w:p>
        </w:tc>
        <w:tc>
          <w:tcPr>
            <w:tcW w:w="1073" w:type="dxa"/>
            <w:vMerge w:val="restart"/>
            <w:tcBorders>
              <w:top w:val="nil"/>
              <w:left w:val="single" w:sz="8" w:space="0" w:color="000000"/>
              <w:bottom w:val="single" w:sz="8" w:space="0" w:color="000000"/>
              <w:right w:val="nil"/>
            </w:tcBorders>
            <w:shd w:val="clear" w:color="auto" w:fill="auto"/>
            <w:vAlign w:val="center"/>
          </w:tcPr>
          <w:p w14:paraId="3BFDB667">
            <w:pPr>
              <w:keepNext w:val="0"/>
              <w:keepLines w:val="0"/>
              <w:widowControl/>
              <w:suppressLineNumbers w:val="0"/>
              <w:jc w:val="left"/>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其他</w:t>
            </w:r>
          </w:p>
        </w:tc>
        <w:tc>
          <w:tcPr>
            <w:tcW w:w="7553" w:type="dxa"/>
            <w:tcBorders>
              <w:top w:val="nil"/>
              <w:left w:val="single" w:sz="8" w:space="0" w:color="000000"/>
              <w:bottom w:val="nil"/>
              <w:right w:val="single" w:sz="8" w:space="0" w:color="000000"/>
            </w:tcBorders>
            <w:shd w:val="clear" w:color="auto" w:fill="auto"/>
            <w:vAlign w:val="center"/>
          </w:tcPr>
          <w:p w14:paraId="67DB1BE1">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① 收集国家及地方有关工程造价的法律法规、相关文件，及时通知甲方，对于可能影响项目造价的情况要做出影响分析，向甲方预警。协助甲方编制大宗材料价格分析趋势。</w:t>
            </w:r>
          </w:p>
        </w:tc>
      </w:tr>
      <w:tr w14:paraId="7B4B2946">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45FD8D7F">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086B3C70">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37D691BE">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② 提供材料、设备、工程等造价信息的咨询，协助甲方获取、分析房地产公司的成本指标。</w:t>
            </w:r>
          </w:p>
        </w:tc>
      </w:tr>
      <w:tr w14:paraId="288F9D0F">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nil"/>
            </w:tcBorders>
            <w:shd w:val="clear" w:color="auto" w:fill="auto"/>
            <w:vAlign w:val="center"/>
          </w:tcPr>
          <w:p w14:paraId="72526850">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5E385AF1">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290153E8">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③ 甲方布置的工作，存在加班的情况下，咨询公司需全力配合甲方的安排，相关费用中标人在合同总价中已经考虑。</w:t>
            </w:r>
          </w:p>
        </w:tc>
      </w:tr>
      <w:tr w14:paraId="6263A6B0">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32DB94EE">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2126E716">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66F47901">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④ 甲方提供专业管理的相关培训及接受甲方关于制度等方面的培训。</w:t>
            </w:r>
          </w:p>
        </w:tc>
      </w:tr>
      <w:tr w14:paraId="0980C5D8">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6153DE13">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3A1DFE15">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0757F027">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⑤ 咨询公司需每月28日填报《咨询公司现场管理月报》。</w:t>
            </w:r>
          </w:p>
        </w:tc>
      </w:tr>
      <w:tr w14:paraId="334AE196">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nil"/>
            </w:tcBorders>
            <w:shd w:val="clear" w:color="auto" w:fill="auto"/>
            <w:vAlign w:val="center"/>
          </w:tcPr>
          <w:p w14:paraId="41685861">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13FAF7A9">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7FB2EDF1">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⑥ 咨询公司提交的成果，必须要有明确的过程计算文件、底稿。未经甲方允许，不得同施工单位私下接触。</w:t>
            </w:r>
          </w:p>
        </w:tc>
      </w:tr>
      <w:tr w14:paraId="5518EB5D">
        <w:tblPrEx>
          <w:tblW w:w="5000" w:type="pct"/>
          <w:tblInd w:w="93" w:type="dxa"/>
          <w:shd w:val="clear" w:color="auto" w:fill="auto"/>
          <w:tblLayout w:type="fixed"/>
          <w:tblCellMar>
            <w:top w:w="0" w:type="dxa"/>
            <w:left w:w="108" w:type="dxa"/>
            <w:bottom w:w="0" w:type="dxa"/>
            <w:right w:w="108" w:type="dxa"/>
          </w:tblCellMar>
        </w:tblPrEx>
        <w:trPr>
          <w:trHeight w:val="693"/>
        </w:trPr>
        <w:tc>
          <w:tcPr>
            <w:tcW w:w="773" w:type="dxa"/>
            <w:vMerge/>
            <w:tcBorders>
              <w:top w:val="nil"/>
              <w:left w:val="single" w:sz="8" w:space="0" w:color="000000"/>
              <w:bottom w:val="single" w:sz="8" w:space="0" w:color="000000"/>
              <w:right w:val="nil"/>
            </w:tcBorders>
            <w:shd w:val="clear" w:color="auto" w:fill="auto"/>
            <w:vAlign w:val="center"/>
          </w:tcPr>
          <w:p w14:paraId="76AB5597">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14335038">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5DCD9D59">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⑦ 现场驻场人员的上班时间，必须严格满足招标文件要求，若有相应情况，需提前一天请假，未经甲方现场造价师同意，不得私自请假。</w:t>
            </w:r>
          </w:p>
        </w:tc>
      </w:tr>
      <w:tr w14:paraId="05C795F6">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03E1A3FA">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2EA4CA80">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6E4A4A7C">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⑧ 咨询公司接受甲方的评估， 评估结果作为是否继续合作的参考依据。</w:t>
            </w:r>
          </w:p>
        </w:tc>
      </w:tr>
      <w:tr w14:paraId="67B83882">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26D0A900">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40B95833">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2759DED3">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⑨ 甲方交办的其他造价咨询服务。</w:t>
            </w:r>
          </w:p>
        </w:tc>
      </w:tr>
      <w:tr w14:paraId="79370C9B">
        <w:tblPrEx>
          <w:tblW w:w="5000" w:type="pct"/>
          <w:tblInd w:w="93" w:type="dxa"/>
          <w:shd w:val="clear" w:color="auto" w:fill="auto"/>
          <w:tblLayout w:type="fixed"/>
          <w:tblCellMar>
            <w:top w:w="0" w:type="dxa"/>
            <w:left w:w="108" w:type="dxa"/>
            <w:bottom w:w="0" w:type="dxa"/>
            <w:right w:w="108" w:type="dxa"/>
          </w:tblCellMar>
        </w:tblPrEx>
        <w:trPr>
          <w:trHeight w:val="393"/>
        </w:trPr>
        <w:tc>
          <w:tcPr>
            <w:tcW w:w="773" w:type="dxa"/>
            <w:vMerge/>
            <w:tcBorders>
              <w:top w:val="nil"/>
              <w:left w:val="single" w:sz="8" w:space="0" w:color="000000"/>
              <w:bottom w:val="single" w:sz="8" w:space="0" w:color="000000"/>
              <w:right w:val="nil"/>
            </w:tcBorders>
            <w:shd w:val="clear" w:color="auto" w:fill="auto"/>
            <w:vAlign w:val="center"/>
          </w:tcPr>
          <w:p w14:paraId="03E78585">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67A0B86D">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nil"/>
              <w:right w:val="single" w:sz="8" w:space="0" w:color="000000"/>
            </w:tcBorders>
            <w:shd w:val="clear" w:color="auto" w:fill="auto"/>
            <w:vAlign w:val="center"/>
          </w:tcPr>
          <w:p w14:paraId="654624BC">
            <w:pPr>
              <w:keepNext w:val="0"/>
              <w:keepLines w:val="0"/>
              <w:widowControl/>
              <w:suppressLineNumbers w:val="0"/>
              <w:jc w:val="both"/>
              <w:textAlignment w:val="center"/>
              <w:rPr>
                <w:rFonts w:ascii="仿宋" w:eastAsia="仿宋" w:hAnsi="仿宋" w:cs="仿宋" w:hint="eastAsia"/>
                <w:color w:val="000000"/>
                <w:kern w:val="2"/>
                <w:sz w:val="20"/>
                <w:szCs w:val="20"/>
                <w:lang w:eastAsia="zh-CN"/>
              </w:rPr>
            </w:pPr>
            <w:r>
              <w:rPr>
                <w:rFonts w:ascii="仿宋" w:eastAsia="仿宋" w:hAnsi="仿宋" w:cs="仿宋" w:hint="eastAsia"/>
                <w:color w:val="000000"/>
                <w:sz w:val="20"/>
                <w:szCs w:val="20"/>
                <w:lang w:eastAsia="zh-CN" w:bidi="ar"/>
              </w:rPr>
              <w:t>⑩ 咨询公司相关人员态度恶劣或拒不配合者甲方有权拒绝支付酬金且责令咨询公司更换人员。</w:t>
            </w:r>
          </w:p>
        </w:tc>
      </w:tr>
      <w:tr w14:paraId="415CF204">
        <w:tblPrEx>
          <w:tblW w:w="5000" w:type="pct"/>
          <w:tblInd w:w="93" w:type="dxa"/>
          <w:shd w:val="clear" w:color="auto" w:fill="auto"/>
          <w:tblLayout w:type="fixed"/>
          <w:tblCellMar>
            <w:top w:w="0" w:type="dxa"/>
            <w:left w:w="108" w:type="dxa"/>
            <w:bottom w:w="0" w:type="dxa"/>
            <w:right w:w="108" w:type="dxa"/>
          </w:tblCellMar>
        </w:tblPrEx>
        <w:trPr>
          <w:trHeight w:val="438"/>
        </w:trPr>
        <w:tc>
          <w:tcPr>
            <w:tcW w:w="773" w:type="dxa"/>
            <w:vMerge/>
            <w:tcBorders>
              <w:top w:val="nil"/>
              <w:left w:val="single" w:sz="8" w:space="0" w:color="000000"/>
              <w:bottom w:val="single" w:sz="8" w:space="0" w:color="000000"/>
              <w:right w:val="nil"/>
            </w:tcBorders>
            <w:shd w:val="clear" w:color="auto" w:fill="auto"/>
            <w:vAlign w:val="center"/>
          </w:tcPr>
          <w:p w14:paraId="2C2BBEDA">
            <w:pPr>
              <w:widowControl w:val="0"/>
              <w:jc w:val="left"/>
              <w:rPr>
                <w:rFonts w:ascii="仿宋" w:eastAsia="仿宋" w:hAnsi="仿宋" w:cs="仿宋" w:hint="eastAsia"/>
                <w:color w:val="000000"/>
                <w:kern w:val="2"/>
                <w:sz w:val="20"/>
                <w:szCs w:val="20"/>
                <w:lang w:eastAsia="zh-CN"/>
              </w:rPr>
            </w:pPr>
          </w:p>
        </w:tc>
        <w:tc>
          <w:tcPr>
            <w:tcW w:w="1073" w:type="dxa"/>
            <w:vMerge/>
            <w:tcBorders>
              <w:top w:val="nil"/>
              <w:left w:val="single" w:sz="8" w:space="0" w:color="000000"/>
              <w:bottom w:val="single" w:sz="8" w:space="0" w:color="000000"/>
              <w:right w:val="nil"/>
            </w:tcBorders>
            <w:shd w:val="clear" w:color="auto" w:fill="auto"/>
            <w:vAlign w:val="center"/>
          </w:tcPr>
          <w:p w14:paraId="0D40F5FE">
            <w:pPr>
              <w:widowControl w:val="0"/>
              <w:jc w:val="left"/>
              <w:rPr>
                <w:rFonts w:ascii="仿宋" w:eastAsia="仿宋" w:hAnsi="仿宋" w:cs="仿宋" w:hint="eastAsia"/>
                <w:color w:val="000000"/>
                <w:kern w:val="2"/>
                <w:sz w:val="20"/>
                <w:szCs w:val="20"/>
                <w:lang w:eastAsia="zh-CN"/>
              </w:rPr>
            </w:pPr>
          </w:p>
        </w:tc>
        <w:tc>
          <w:tcPr>
            <w:tcW w:w="7553" w:type="dxa"/>
            <w:tcBorders>
              <w:top w:val="nil"/>
              <w:left w:val="single" w:sz="8" w:space="0" w:color="000000"/>
              <w:bottom w:val="single" w:sz="8" w:space="0" w:color="000000"/>
              <w:right w:val="single" w:sz="8" w:space="0" w:color="000000"/>
            </w:tcBorders>
            <w:shd w:val="clear" w:color="auto" w:fill="auto"/>
            <w:vAlign w:val="center"/>
          </w:tcPr>
          <w:p w14:paraId="0F99E78D">
            <w:pPr>
              <w:keepNext w:val="0"/>
              <w:keepLines w:val="0"/>
              <w:widowControl/>
              <w:suppressLineNumbers w:val="0"/>
              <w:jc w:val="both"/>
              <w:textAlignment w:val="center"/>
              <w:rPr>
                <w:rFonts w:ascii="宋体" w:eastAsia="宋体" w:hAnsi="宋体" w:cs="宋体" w:hint="eastAsia"/>
                <w:color w:val="000000"/>
                <w:kern w:val="2"/>
                <w:sz w:val="20"/>
                <w:szCs w:val="20"/>
                <w:lang w:eastAsia="zh-CN"/>
              </w:rPr>
            </w:pPr>
            <w:r>
              <w:rPr>
                <w:rFonts w:ascii="宋体" w:eastAsia="宋体" w:hAnsi="宋体" w:cs="宋体"/>
                <w:color w:val="000000"/>
                <w:kern w:val="2"/>
                <w:sz w:val="20"/>
                <w:szCs w:val="20"/>
                <w:lang w:eastAsia="zh-CN" w:bidi="ar"/>
              </w:rPr>
              <w:t>⑪</w:t>
            </w:r>
            <w:r>
              <w:rPr>
                <w:rFonts w:ascii="仿宋" w:eastAsia="仿宋" w:hAnsi="仿宋" w:cs="仿宋" w:hint="eastAsia"/>
                <w:color w:val="000000"/>
                <w:sz w:val="20"/>
                <w:szCs w:val="20"/>
                <w:lang w:eastAsia="zh-CN" w:bidi="ar"/>
              </w:rPr>
              <w:t xml:space="preserve"> 本任务书未详尽事宜或与有冲突的，以深圳市龙新开发建设有限公司相关规章制度执行。</w:t>
            </w:r>
          </w:p>
        </w:tc>
      </w:tr>
    </w:tbl>
    <w:p w14:paraId="6E986747">
      <w:pPr>
        <w:widowControl w:val="0"/>
        <w:jc w:val="both"/>
        <w:outlineLvl w:val="9"/>
        <w:rPr>
          <w:rFonts w:ascii="黑体" w:eastAsia="黑体" w:hAnsi="黑体" w:cs="黑体" w:hint="eastAsia"/>
          <w:b/>
          <w:bCs/>
          <w:kern w:val="2"/>
          <w:sz w:val="21"/>
          <w:szCs w:val="21"/>
          <w:lang w:eastAsia="zh-CN"/>
        </w:rPr>
      </w:pPr>
      <w:r>
        <w:rPr>
          <w:rFonts w:ascii="黑体" w:eastAsia="黑体" w:hAnsi="黑体" w:cs="黑体" w:hint="eastAsia"/>
          <w:b/>
          <w:bCs/>
          <w:kern w:val="2"/>
          <w:sz w:val="21"/>
          <w:szCs w:val="21"/>
          <w:lang w:eastAsia="zh-CN"/>
        </w:rPr>
        <w:br w:type="page"/>
      </w:r>
    </w:p>
    <w:p w14:paraId="376312EC">
      <w:pPr>
        <w:widowControl w:val="0"/>
        <w:jc w:val="both"/>
        <w:outlineLvl w:val="1"/>
        <w:rPr>
          <w:rFonts w:ascii="黑体" w:eastAsia="黑体" w:hAnsi="黑体" w:cs="黑体" w:hint="eastAsia"/>
          <w:b/>
          <w:bCs/>
          <w:kern w:val="2"/>
          <w:sz w:val="21"/>
          <w:szCs w:val="21"/>
          <w:lang w:eastAsia="zh-CN"/>
        </w:rPr>
      </w:pPr>
      <w:r>
        <w:rPr>
          <w:rFonts w:ascii="黑体" w:eastAsia="黑体" w:hAnsi="黑体" w:cs="黑体" w:hint="eastAsia"/>
          <w:b/>
          <w:bCs/>
          <w:kern w:val="2"/>
          <w:sz w:val="21"/>
          <w:szCs w:val="21"/>
          <w:lang w:eastAsia="zh-CN"/>
        </w:rPr>
        <w:t>附件四《</w:t>
      </w:r>
      <w:r>
        <w:rPr>
          <w:rFonts w:ascii="黑体" w:eastAsia="黑体" w:hAnsi="黑体" w:cs="黑体" w:hint="eastAsia"/>
          <w:color w:val="000000"/>
          <w:kern w:val="2"/>
          <w:sz w:val="21"/>
          <w:szCs w:val="21"/>
          <w:lang w:eastAsia="zh-CN"/>
        </w:rPr>
        <w:t>投标报价清单</w:t>
      </w:r>
      <w:r>
        <w:rPr>
          <w:rFonts w:ascii="黑体" w:eastAsia="黑体" w:hAnsi="黑体" w:cs="黑体" w:hint="eastAsia"/>
          <w:b/>
          <w:bCs/>
          <w:kern w:val="2"/>
          <w:sz w:val="21"/>
          <w:szCs w:val="21"/>
          <w:lang w:eastAsia="zh-CN"/>
        </w:rPr>
        <w:t>》</w:t>
      </w:r>
    </w:p>
    <w:p w14:paraId="01F296C8">
      <w:pPr>
        <w:widowControl w:val="0"/>
        <w:jc w:val="both"/>
        <w:outlineLvl w:val="9"/>
        <w:rPr>
          <w:rFonts w:ascii="黑体" w:eastAsia="黑体" w:hAnsi="黑体" w:cs="黑体" w:hint="eastAsia"/>
          <w:b/>
          <w:bCs/>
          <w:kern w:val="2"/>
          <w:sz w:val="21"/>
          <w:szCs w:val="21"/>
          <w:lang w:eastAsia="zh-CN"/>
        </w:rPr>
      </w:pPr>
      <w:r>
        <w:rPr>
          <w:rFonts w:ascii="黑体" w:eastAsia="黑体" w:hAnsi="黑体" w:cs="黑体" w:hint="eastAsia"/>
          <w:b/>
          <w:bCs/>
          <w:kern w:val="2"/>
          <w:sz w:val="21"/>
          <w:szCs w:val="21"/>
          <w:lang w:eastAsia="zh-CN"/>
        </w:rPr>
        <w:br w:type="page"/>
      </w:r>
    </w:p>
    <w:p w14:paraId="0B3F221F">
      <w:pPr>
        <w:widowControl w:val="0"/>
        <w:jc w:val="both"/>
        <w:outlineLvl w:val="1"/>
        <w:rPr>
          <w:rFonts w:ascii="等线" w:eastAsia="等线" w:hAnsi="等线"/>
          <w:kern w:val="2"/>
          <w:sz w:val="21"/>
          <w:szCs w:val="22"/>
          <w:lang w:eastAsia="zh-CN"/>
        </w:rPr>
      </w:pPr>
      <w:r>
        <w:rPr>
          <w:rFonts w:ascii="黑体" w:eastAsia="黑体" w:hAnsi="黑体" w:cs="黑体" w:hint="eastAsia"/>
          <w:b/>
          <w:bCs/>
          <w:kern w:val="2"/>
          <w:sz w:val="21"/>
          <w:szCs w:val="21"/>
          <w:lang w:eastAsia="zh-CN"/>
        </w:rPr>
        <w:t>附件五《</w:t>
      </w:r>
      <w:r>
        <w:rPr>
          <w:rFonts w:ascii="黑体" w:eastAsia="黑体" w:hAnsi="黑体" w:cs="黑体" w:hint="eastAsia"/>
          <w:color w:val="000000"/>
          <w:kern w:val="2"/>
          <w:sz w:val="21"/>
          <w:szCs w:val="21"/>
          <w:lang w:eastAsia="zh-CN"/>
        </w:rPr>
        <w:t>项目人员组成</w:t>
      </w:r>
      <w:r>
        <w:rPr>
          <w:rFonts w:ascii="黑体" w:eastAsia="黑体" w:hAnsi="黑体" w:cs="黑体" w:hint="eastAsia"/>
          <w:b/>
          <w:bCs/>
          <w:kern w:val="2"/>
          <w:sz w:val="21"/>
          <w:szCs w:val="21"/>
          <w:lang w:eastAsia="zh-CN"/>
        </w:rPr>
        <w:t>》</w:t>
      </w:r>
    </w:p>
    <w:p w14:paraId="2DC52258">
      <w:pPr>
        <w:widowControl w:val="0"/>
        <w:jc w:val="both"/>
        <w:outlineLvl w:val="1"/>
        <w:rPr>
          <w:rFonts w:ascii="等线" w:eastAsia="等线" w:hAnsi="等线"/>
          <w:kern w:val="2"/>
          <w:sz w:val="21"/>
          <w:szCs w:val="22"/>
          <w:lang w:eastAsia="zh-CN"/>
        </w:rPr>
      </w:pPr>
    </w:p>
    <w:p w14:paraId="79350DD9">
      <w:pPr>
        <w:widowControl w:val="0"/>
        <w:jc w:val="both"/>
        <w:outlineLvl w:val="1"/>
        <w:rPr>
          <w:rFonts w:ascii="等线" w:eastAsia="等线" w:hAnsi="等线"/>
          <w:kern w:val="2"/>
          <w:sz w:val="21"/>
          <w:szCs w:val="22"/>
          <w:lang w:eastAsia="zh-CN"/>
        </w:rPr>
      </w:pPr>
    </w:p>
    <w:bookmarkEnd w:id="82"/>
    <w:bookmarkEnd w:id="83"/>
    <w:bookmarkEnd w:id="84"/>
    <w:p w14:paraId="6EE112F5">
      <w:pPr>
        <w:widowControl w:val="0"/>
        <w:jc w:val="both"/>
        <w:rPr>
          <w:rFonts w:ascii="宋体" w:eastAsia="宋体" w:hAnsi="宋体" w:cs="宋体" w:hint="eastAsia"/>
          <w:kern w:val="2"/>
          <w:sz w:val="21"/>
          <w:szCs w:val="22"/>
          <w:lang w:eastAsia="zh-CN"/>
        </w:rPr>
      </w:pPr>
    </w:p>
    <w:sectPr>
      <w:headerReference w:type="default" r:id="rId12"/>
      <w:footerReference w:type="default" r:id="rId13"/>
      <w:pgSz w:w="11907" w:h="16839"/>
      <w:pgMar w:top="1361" w:right="1304" w:bottom="1304" w:left="1304" w:header="1247" w:footer="737" w:gutter="0"/>
      <w:pgNumType w:fmt="decimal"/>
      <w:cols w:num="1" w:space="0"/>
      <w:rtlGutter w:val="0"/>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yyb"/>
    <w:panose1 w:val="00000000000000000000"/>
    <w:charset w:val="00"/>
    <w:family w:val="roman"/>
    <w:pitch w:val="default"/>
    <w:sig w:usb0="00000000" w:usb1="00000000" w:usb2="00000000" w:usb3="00000000" w:csb0="00040001" w:csb1="00000000"/>
  </w:font>
  <w:font w:name="yyb">
    <w:panose1 w:val="020B0200000000000000"/>
    <w:charset w:val="86"/>
    <w:family w:val="auto"/>
    <w:pitch w:val="default"/>
    <w:sig w:usb0="20000083" w:usb1="10000000" w:usb2="00000016" w:usb3="00000000" w:csb0="60060107"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swiss"/>
    <w:pitch w:val="default"/>
    <w:sig w:usb0="F7FFAEFF" w:usb1="F9DFFFFF" w:usb2="0000007F" w:usb3="00000000" w:csb0="203F01FF" w:csb1="D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1B87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0DFAD2F">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7493290">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EBB023">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CE90253">
    <w:pPr>
      <w:spacing w:line="168" w:lineRule="auto"/>
      <w:ind w:left="6009"/>
      <w:rPr>
        <w:rFonts w:ascii="宋体" w:eastAsia="宋体" w:hAnsi="宋体" w:cs="宋体"/>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spacing w:after="0" w:line="240" w:lineRule="auto"/>
      </w:pPr>
      <w:r>
        <w:separator/>
      </w:r>
    </w:p>
  </w:footnote>
  <w:footnote w:type="continuationSeparator" w:id="1">
    <w:p>
      <w:pPr>
        <w:spacing w:after="0" w:line="240" w:lineRule="auto"/>
      </w:pPr>
      <w:r>
        <w:continuationSeparator/>
      </w:r>
    </w:p>
  </w:footnote>
  <w:footnote w:id="2">
    <w:p w14:paraId="0029AA97">
      <w:pPr>
        <w:adjustRightInd w:val="0"/>
        <w:snapToGrid w:val="0"/>
        <w:ind w:firstLine="480" w:firstLineChars="200"/>
      </w:pPr>
      <w:r>
        <w:rPr>
          <w:rFonts w:ascii="宋体" w:eastAsia="宋体" w:hAnsi="宋体" w:cs="宋体" w:hint="eastAsia"/>
          <w:color w:val="000000" w:themeColor="text1"/>
          <w:szCs w:val="21"/>
          <w:lang w:val="en-US" w:eastAsia="zh-CN"/>
          <w14:textFill>
            <w14:solidFill>
              <w14:schemeClr w14:val="tx1"/>
            </w14:solidFill>
          </w14:textFill>
        </w:rPr>
        <w:t>[2]、[3]的具体要求源自《深圳市人民政府关于进一步规范建设工程招标投标活动的通知》(深府规〔2024〕8号)第三、四条。</w:t>
      </w:r>
    </w:p>
  </w:footnote>
  <w:footnote w:id="3">
    <w:p w14:paraId="21A3AFB0">
      <w:pPr>
        <w:pStyle w:val="FootnoteText"/>
        <w:snapToGrid w:val="0"/>
      </w:pPr>
    </w:p>
  </w:footnote>
  <w:footnote w:id="4">
    <w:p w14:paraId="0E532169">
      <w:pPr>
        <w:adjustRightInd w:val="0"/>
        <w:snapToGrid w:val="0"/>
        <w:ind w:firstLine="480" w:firstLineChars="200"/>
        <w:rPr>
          <w:rFonts w:ascii="宋体" w:eastAsia="宋体" w:hAnsi="宋体" w:cs="宋体" w:hint="default"/>
          <w:color w:val="000000" w:themeColor="text1"/>
          <w:szCs w:val="21"/>
          <w:lang w:val="en-US" w:eastAsia="zh-CN"/>
          <w14:textFill>
            <w14:solidFill>
              <w14:schemeClr w14:val="tx1"/>
            </w14:solidFill>
          </w14:textFill>
        </w:rPr>
      </w:pPr>
      <w:r>
        <w:rPr>
          <w:rFonts w:ascii="宋体" w:eastAsia="宋体" w:hAnsi="宋体" w:cs="宋体" w:hint="eastAsia"/>
          <w:color w:val="000000" w:themeColor="text1"/>
          <w:szCs w:val="21"/>
          <w:lang w:val="en-US" w:eastAsia="zh-CN"/>
          <w14:textFill>
            <w14:solidFill>
              <w14:schemeClr w14:val="tx1"/>
            </w14:solidFill>
          </w14:textFill>
        </w:rPr>
        <w:t>[4]的具体要求源自《深圳市人民政府关于进一步规范建设工程招标投标活动的通知》(深府规〔2024〕8号)第七条。</w:t>
      </w:r>
    </w:p>
    <w:p w14:paraId="37026D36">
      <w:pPr>
        <w:pStyle w:val="FootnoteText"/>
        <w:snapToGrid w:val="0"/>
      </w:pPr>
    </w:p>
  </w:footnote>
  <w:footnote w:id="5">
    <w:p w14:paraId="50697981">
      <w:pPr>
        <w:adjustRightInd w:val="0"/>
        <w:snapToGrid w:val="0"/>
        <w:ind w:firstLine="480" w:firstLineChars="200"/>
      </w:pPr>
      <w:r>
        <w:rPr>
          <w:rFonts w:ascii="宋体" w:eastAsia="宋体" w:hAnsi="宋体" w:cs="宋体" w:hint="eastAsia"/>
          <w:color w:val="000000" w:themeColor="text1"/>
          <w:szCs w:val="21"/>
          <w:lang w:val="en-US" w:eastAsia="zh-CN"/>
          <w14:textFill>
            <w14:solidFill>
              <w14:schemeClr w14:val="tx1"/>
            </w14:solidFill>
          </w14:textFill>
        </w:rPr>
        <w:t>[5]的具体要求源自《深圳市住房和建设局关于进一步规范招标投标有关事宜的通知》（深建市场〔2022〕4号）第三条。</w:t>
      </w:r>
    </w:p>
    <w:p w14:paraId="28DEA54D">
      <w:pPr>
        <w:pStyle w:val="FootnoteText"/>
        <w:snapToGrid w:val="0"/>
      </w:pPr>
    </w:p>
  </w:footnote>
  <w:footnote w:id="6">
    <w:p w14:paraId="6155D751">
      <w:pPr>
        <w:adjustRightInd w:val="0"/>
        <w:snapToGrid w:val="0"/>
        <w:ind w:firstLine="0" w:firstLineChars="0"/>
      </w:pPr>
      <w:r>
        <w:rPr>
          <w:rFonts w:ascii="宋体" w:eastAsia="宋体" w:hAnsi="宋体" w:cs="宋体" w:hint="eastAsia"/>
          <w:color w:val="000000" w:themeColor="text1"/>
          <w:szCs w:val="21"/>
          <w:lang w:val="en-US" w:eastAsia="zh-CN"/>
          <w14:textFill>
            <w14:solidFill>
              <w14:schemeClr w14:val="tx1"/>
            </w14:solidFill>
          </w14:textFill>
        </w:rPr>
        <w:t>[6]-[8]的具体要求源自《深圳市人民政府关于进一步规范建设工程招标投标活动的通知》(深府规〔2024〕8号)第五、七、九条，以及《深圳市人民政府印发关于建设工程招标投标改革若干规定的通</w:t>
      </w:r>
    </w:p>
  </w:footnote>
  <w:footnote w:id="7">
    <w:p w14:paraId="6A6AF5B2">
      <w:pPr>
        <w:adjustRightInd w:val="0"/>
        <w:snapToGrid w:val="0"/>
        <w:ind w:firstLine="0" w:firstLineChars="0"/>
        <w:rPr>
          <w:rFonts w:ascii="宋体" w:eastAsia="宋体" w:hAnsi="宋体" w:cs="宋体" w:hint="default"/>
          <w:color w:val="000000" w:themeColor="text1"/>
          <w:szCs w:val="21"/>
          <w:lang w:val="en-US"/>
          <w14:textFill>
            <w14:solidFill>
              <w14:schemeClr w14:val="tx1"/>
            </w14:solidFill>
          </w14:textFill>
        </w:rPr>
      </w:pPr>
      <w:r>
        <w:rPr>
          <w:rFonts w:ascii="宋体" w:eastAsia="宋体" w:hAnsi="宋体" w:cs="宋体" w:hint="eastAsia"/>
          <w:color w:val="000000" w:themeColor="text1"/>
          <w:szCs w:val="21"/>
          <w:lang w:val="en-US" w:eastAsia="zh-CN"/>
          <w14:textFill>
            <w14:solidFill>
              <w14:schemeClr w14:val="tx1"/>
            </w14:solidFill>
          </w14:textFill>
        </w:rPr>
        <w:t>知》（深府〔2015〕73号）第四十七条。</w:t>
      </w:r>
    </w:p>
  </w:footnote>
  <w:footnote w:id="8">
    <w:p w14:paraId="55EE332D">
      <w:pPr>
        <w:pStyle w:val="FootnoteText"/>
        <w:snapToGrid w:val="0"/>
      </w:pPr>
    </w:p>
  </w:footnote>
  <w:footnote w:id="9">
    <w:p w14:paraId="7D67CAC0">
      <w:pPr>
        <w:adjustRightInd w:val="0"/>
        <w:snapToGrid w:val="0"/>
        <w:ind w:firstLine="480" w:firstLineChars="200"/>
        <w:rPr>
          <w:rFonts w:ascii="宋体" w:eastAsia="宋体" w:hAnsi="宋体" w:cs="宋体" w:hint="default"/>
          <w:color w:val="000000" w:themeColor="text1"/>
          <w:szCs w:val="21"/>
          <w:lang w:val="en-US" w:eastAsia="zh-CN"/>
          <w14:textFill>
            <w14:solidFill>
              <w14:schemeClr w14:val="tx1"/>
            </w14:solidFill>
          </w14:textFill>
        </w:rPr>
      </w:pPr>
      <w:r>
        <w:t xml:space="preserve"> </w:t>
      </w:r>
      <w:r>
        <w:rPr>
          <w:rFonts w:ascii="宋体" w:eastAsia="宋体" w:hAnsi="宋体" w:cs="宋体" w:hint="eastAsia"/>
          <w:color w:val="000000" w:themeColor="text1"/>
          <w:szCs w:val="21"/>
          <w:lang w:val="en-US" w:eastAsia="zh-CN"/>
          <w14:textFill>
            <w14:solidFill>
              <w14:schemeClr w14:val="tx1"/>
            </w14:solidFill>
          </w14:textFill>
        </w:rPr>
        <w:t>[9]的具体要求源自《深圳市人民政府关于进一步规范建设工程招标投标活动的通知》(深府规〔2024〕8号)第九条。</w:t>
      </w:r>
    </w:p>
    <w:p w14:paraId="68C1129D">
      <w:pPr>
        <w:pStyle w:val="FootnoteText"/>
        <w:snapToGrid w:val="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B25454B">
    <w:pPr>
      <w:ind w:left="560" w:firstLine="0" w:firstLineChars="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8451BD2">
    <w:pPr>
      <w:pStyle w:val="BodyText"/>
      <w:spacing w:line="12"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EA1915F"/>
    <w:multiLevelType w:val="singleLevel"/>
    <w:tmpl w:val="8EA1915F"/>
    <w:lvl w:ilvl="0">
      <w:start w:val="2"/>
      <w:numFmt w:val="chineseCounting"/>
      <w:suff w:val="nothing"/>
      <w:lvlText w:val="（%1）"/>
      <w:lvlJc w:val="left"/>
      <w:rPr>
        <w:rFonts w:hint="eastAsia"/>
      </w:rPr>
    </w:lvl>
  </w:abstractNum>
  <w:abstractNum w:abstractNumId="1">
    <w:nsid w:val="9BBB972C"/>
    <w:multiLevelType w:val="singleLevel"/>
    <w:tmpl w:val="9BBB972C"/>
    <w:lvl w:ilvl="0">
      <w:start w:val="1"/>
      <w:numFmt w:val="chineseCounting"/>
      <w:suff w:val="nothing"/>
      <w:lvlText w:val="（%1）"/>
      <w:lvlJc w:val="left"/>
      <w:pPr>
        <w:ind w:left="0" w:firstLine="420"/>
      </w:pPr>
      <w:rPr>
        <w:rFonts w:ascii="宋体" w:eastAsia="宋体" w:hAnsi="宋体" w:cs="宋体" w:hint="eastAsia"/>
        <w:sz w:val="28"/>
        <w:szCs w:val="28"/>
      </w:rPr>
    </w:lvl>
  </w:abstractNum>
  <w:abstractNum w:abstractNumId="2">
    <w:nsid w:val="A7D3D116"/>
    <w:multiLevelType w:val="singleLevel"/>
    <w:tmpl w:val="A7D3D116"/>
    <w:lvl w:ilvl="0">
      <w:start w:val="1"/>
      <w:numFmt w:val="chineseCounting"/>
      <w:suff w:val="nothing"/>
      <w:lvlText w:val="（%1）"/>
      <w:lvlJc w:val="left"/>
      <w:pPr>
        <w:ind w:left="0" w:firstLine="420"/>
      </w:pPr>
      <w:rPr>
        <w:rFonts w:hint="eastAsia"/>
      </w:rPr>
    </w:lvl>
  </w:abstractNum>
  <w:abstractNum w:abstractNumId="3">
    <w:nsid w:val="AFE530EA"/>
    <w:multiLevelType w:val="singleLevel"/>
    <w:tmpl w:val="AFE530EA"/>
    <w:lvl w:ilvl="0">
      <w:start w:val="1"/>
      <w:numFmt w:val="chineseCounting"/>
      <w:suff w:val="nothing"/>
      <w:lvlText w:val="（%1）"/>
      <w:lvlJc w:val="left"/>
      <w:pPr>
        <w:ind w:left="0" w:firstLine="420"/>
      </w:pPr>
      <w:rPr>
        <w:rFonts w:hint="eastAsia"/>
      </w:rPr>
    </w:lvl>
  </w:abstractNum>
  <w:abstractNum w:abstractNumId="4">
    <w:nsid w:val="DB70A3D5"/>
    <w:multiLevelType w:val="singleLevel"/>
    <w:tmpl w:val="DB70A3D5"/>
    <w:lvl w:ilvl="0">
      <w:start w:val="1"/>
      <w:numFmt w:val="chineseCounting"/>
      <w:suff w:val="nothing"/>
      <w:lvlText w:val="（%1）"/>
      <w:lvlJc w:val="left"/>
      <w:pPr>
        <w:ind w:left="0" w:firstLine="420"/>
      </w:pPr>
      <w:rPr>
        <w:rFonts w:hint="eastAsia"/>
      </w:rPr>
    </w:lvl>
  </w:abstractNum>
  <w:abstractNum w:abstractNumId="5">
    <w:nsid w:val="F83F41ED"/>
    <w:multiLevelType w:val="singleLevel"/>
    <w:tmpl w:val="F83F41ED"/>
    <w:lvl w:ilvl="0">
      <w:start w:val="1"/>
      <w:numFmt w:val="decimal"/>
      <w:suff w:val="nothing"/>
      <w:lvlText w:val="%1．"/>
      <w:lvlJc w:val="left"/>
      <w:pPr>
        <w:ind w:left="0" w:firstLine="400"/>
      </w:pPr>
      <w:rPr>
        <w:rFonts w:hint="default"/>
      </w:rPr>
    </w:lvl>
  </w:abstractNum>
  <w:abstractNum w:abstractNumId="6">
    <w:nsid w:val="FA235228"/>
    <w:multiLevelType w:val="singleLevel"/>
    <w:tmpl w:val="FA235228"/>
    <w:lvl w:ilvl="0">
      <w:start w:val="2"/>
      <w:numFmt w:val="chineseCounting"/>
      <w:suff w:val="nothing"/>
      <w:lvlText w:val="（%1）"/>
      <w:lvlJc w:val="left"/>
      <w:rPr>
        <w:rFonts w:hint="eastAsia"/>
      </w:rPr>
    </w:lvl>
  </w:abstractNum>
  <w:abstractNum w:abstractNumId="7">
    <w:nsid w:val="FFFFFF80"/>
    <w:multiLevelType w:val="singleLevel"/>
    <w:tmpl w:val="FFFFFF80"/>
    <w:lvl w:ilvl="0">
      <w:start w:val="1"/>
      <w:numFmt w:val="bullet"/>
      <w:lvlText w:val=""/>
      <w:lvlJc w:val="left"/>
      <w:pPr>
        <w:tabs>
          <w:tab w:val="left" w:pos="2040"/>
        </w:tabs>
        <w:ind w:left="2040" w:hanging="360"/>
      </w:pPr>
      <w:rPr>
        <w:rFonts w:ascii="Wingdings" w:hAnsi="Wingdings" w:hint="default"/>
      </w:rPr>
    </w:lvl>
  </w:abstractNum>
  <w:abstractNum w:abstractNumId="8">
    <w:nsid w:val="14FBEF83"/>
    <w:multiLevelType w:val="singleLevel"/>
    <w:tmpl w:val="14FBEF83"/>
    <w:lvl w:ilvl="0">
      <w:start w:val="1"/>
      <w:numFmt w:val="chineseCounting"/>
      <w:suff w:val="nothing"/>
      <w:lvlText w:val="（%1）"/>
      <w:lvlJc w:val="left"/>
      <w:rPr>
        <w:rFonts w:hint="eastAsia"/>
      </w:rPr>
    </w:lvl>
  </w:abstractNum>
  <w:abstractNum w:abstractNumId="9">
    <w:nsid w:val="20D514CB"/>
    <w:multiLevelType w:val="singleLevel"/>
    <w:tmpl w:val="20D514CB"/>
    <w:lvl w:ilvl="0">
      <w:start w:val="1"/>
      <w:numFmt w:val="chineseCounting"/>
      <w:suff w:val="nothing"/>
      <w:lvlText w:val="（%1）"/>
      <w:lvlJc w:val="left"/>
      <w:pPr>
        <w:ind w:left="0" w:firstLine="420"/>
      </w:pPr>
      <w:rPr>
        <w:rFonts w:hint="eastAsia"/>
      </w:rPr>
    </w:lvl>
  </w:abstractNum>
  <w:abstractNum w:abstractNumId="10">
    <w:nsid w:val="39B864AE"/>
    <w:multiLevelType w:val="singleLevel"/>
    <w:tmpl w:val="39B864AE"/>
    <w:lvl w:ilvl="0">
      <w:start w:val="9"/>
      <w:numFmt w:val="chineseCounting"/>
      <w:suff w:val="nothing"/>
      <w:lvlText w:val="%1、"/>
      <w:lvlJc w:val="left"/>
      <w:rPr>
        <w:rFonts w:hint="eastAsia"/>
      </w:rPr>
    </w:lvl>
  </w:abstractNum>
  <w:abstractNum w:abstractNumId="11">
    <w:nsid w:val="628BE10E"/>
    <w:multiLevelType w:val="singleLevel"/>
    <w:tmpl w:val="628BE10E"/>
    <w:lvl w:ilvl="0">
      <w:start w:val="1"/>
      <w:numFmt w:val="chineseCounting"/>
      <w:suff w:val="nothing"/>
      <w:lvlText w:val="%1、"/>
      <w:lvlJc w:val="left"/>
      <w:rPr>
        <w:rFonts w:hint="eastAsia"/>
      </w:rPr>
    </w:lvl>
  </w:abstractNum>
  <w:abstractNum w:abstractNumId="12">
    <w:nsid w:val="79E20EB8"/>
    <w:multiLevelType w:val="singleLevel"/>
    <w:tmpl w:val="79E20EB8"/>
    <w:lvl w:ilvl="0">
      <w:start w:val="1"/>
      <w:numFmt w:val="chineseCounting"/>
      <w:suff w:val="nothing"/>
      <w:lvlText w:val="（%1）"/>
      <w:lvlJc w:val="left"/>
      <w:pPr>
        <w:ind w:left="0" w:firstLine="420"/>
      </w:pPr>
      <w:rPr>
        <w:rFonts w:hint="eastAsia"/>
      </w:rPr>
    </w:lvl>
  </w:abstractNum>
  <w:num w:numId="1">
    <w:abstractNumId w:val="11"/>
  </w:num>
  <w:num w:numId="2">
    <w:abstractNumId w:val="10"/>
  </w:num>
  <w:num w:numId="3">
    <w:abstractNumId w:val="6"/>
  </w:num>
  <w:num w:numId="4">
    <w:abstractNumId w:val="7"/>
  </w:num>
  <w:num w:numId="5">
    <w:abstractNumId w:val="0"/>
  </w:num>
  <w:num w:numId="6">
    <w:abstractNumId w:val="9"/>
  </w:num>
  <w:num w:numId="7">
    <w:abstractNumId w:val="3"/>
  </w:num>
  <w:num w:numId="8">
    <w:abstractNumId w:val="4"/>
  </w:num>
  <w:num w:numId="9">
    <w:abstractNumId w:val="12"/>
  </w:num>
  <w:num w:numId="10">
    <w:abstractNumId w:val="2"/>
  </w:num>
  <w:num w:numId="11">
    <w:abstractNumId w:val="5"/>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footnotePr>
    <w:footnote w:id="0"/>
    <w:footnote w:id="1"/>
  </w:foot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1"/>
    <w:qFormat/>
    <w:pPr>
      <w:widowControl w:val="0"/>
      <w:jc w:val="center"/>
      <w:outlineLvl w:val="0"/>
    </w:pPr>
    <w:rPr>
      <w:rFonts w:eastAsia="宋体" w:cs="Calibri"/>
      <w:b/>
      <w:sz w:val="32"/>
      <w:szCs w:val="20"/>
      <w:lang w:eastAsia="zh-CN"/>
    </w:rPr>
  </w:style>
  <w:style w:type="paragraph" w:styleId="Heading2">
    <w:name w:val="heading 2"/>
    <w:basedOn w:val="Normal"/>
    <w:next w:val="Normal"/>
    <w:link w:val="20"/>
    <w:qFormat/>
    <w:pPr>
      <w:widowControl w:val="0"/>
      <w:numPr>
        <w:ilvl w:val="1"/>
        <w:numId w:val="4"/>
      </w:numPr>
      <w:spacing w:before="240" w:after="240" w:line="480" w:lineRule="auto"/>
      <w:ind w:left="0" w:firstLine="0"/>
      <w:jc w:val="center"/>
      <w:outlineLvl w:val="1"/>
    </w:pPr>
    <w:rPr>
      <w:rFonts w:eastAsia="宋体" w:cs="Calibri"/>
      <w:b/>
      <w:sz w:val="28"/>
      <w:szCs w:val="20"/>
      <w:lang w:eastAsia="zh-CN"/>
    </w:rPr>
  </w:style>
  <w:style w:type="paragraph" w:styleId="Heading3">
    <w:name w:val="heading 3"/>
    <w:basedOn w:val="Normal"/>
    <w:next w:val="Normal"/>
    <w:link w:val="3"/>
    <w:qFormat/>
    <w:pPr>
      <w:widowControl w:val="0"/>
      <w:numPr>
        <w:ilvl w:val="2"/>
        <w:numId w:val="4"/>
      </w:numPr>
      <w:spacing w:before="240" w:after="240"/>
      <w:ind w:left="720" w:hanging="432"/>
      <w:jc w:val="both"/>
      <w:outlineLvl w:val="2"/>
    </w:pPr>
    <w:rPr>
      <w:rFonts w:eastAsia="宋体" w:cs="Calibri"/>
      <w:b/>
      <w:szCs w:val="20"/>
      <w:lang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a"/>
    <w:uiPriority w:val="99"/>
    <w:unhideWhenUsed/>
    <w:qFormat/>
    <w:pPr>
      <w:widowControl w:val="0"/>
      <w:tabs>
        <w:tab w:val="center" w:pos="4153"/>
        <w:tab w:val="right" w:pos="8306"/>
      </w:tabs>
      <w:snapToGrid w:val="0"/>
    </w:pPr>
    <w:rPr>
      <w:rFonts w:eastAsia="宋体"/>
      <w:kern w:val="2"/>
      <w:sz w:val="18"/>
      <w:szCs w:val="18"/>
      <w:lang w:eastAsia="zh-CN"/>
    </w:rPr>
  </w:style>
  <w:style w:type="character" w:customStyle="1" w:styleId="a">
    <w:name w:val="页脚 字符"/>
    <w:link w:val="Footer"/>
    <w:uiPriority w:val="99"/>
    <w:qFormat/>
    <w:rPr>
      <w:rFonts w:eastAsia="宋体"/>
      <w:sz w:val="18"/>
      <w:szCs w:val="18"/>
    </w:rPr>
  </w:style>
  <w:style w:type="paragraph" w:styleId="TOC1">
    <w:name w:val="toc 1"/>
    <w:basedOn w:val="Normal"/>
    <w:next w:val="Normal"/>
    <w:semiHidden/>
    <w:qFormat/>
    <w:pPr>
      <w:widowControl w:val="0"/>
      <w:jc w:val="both"/>
    </w:pPr>
    <w:rPr>
      <w:rFonts w:ascii="Calibri" w:eastAsia="宋体" w:hAnsi="Calibri" w:cs="Calibri"/>
      <w:kern w:val="2"/>
      <w:sz w:val="21"/>
      <w:szCs w:val="22"/>
      <w:lang w:eastAsia="zh-CN"/>
    </w:rPr>
  </w:style>
  <w:style w:type="paragraph" w:styleId="TOC2">
    <w:name w:val="toc 2"/>
    <w:basedOn w:val="Normal"/>
    <w:next w:val="Normal"/>
    <w:semiHidden/>
    <w:qFormat/>
    <w:pPr>
      <w:widowControl w:val="0"/>
      <w:ind w:left="420" w:leftChars="200"/>
      <w:jc w:val="both"/>
    </w:pPr>
    <w:rPr>
      <w:rFonts w:ascii="Calibri" w:eastAsia="宋体" w:hAnsi="Calibri" w:cs="Calibri"/>
      <w:kern w:val="2"/>
      <w:sz w:val="21"/>
      <w:szCs w:val="22"/>
      <w:lang w:eastAsia="zh-CN"/>
    </w:rPr>
  </w:style>
  <w:style w:type="paragraph" w:styleId="TOC3">
    <w:name w:val="toc 3"/>
    <w:basedOn w:val="Normal"/>
    <w:next w:val="Normal"/>
    <w:semiHidden/>
    <w:qFormat/>
    <w:pPr>
      <w:widowControl w:val="0"/>
      <w:ind w:left="840" w:leftChars="400"/>
      <w:jc w:val="both"/>
    </w:pPr>
    <w:rPr>
      <w:rFonts w:ascii="Calibri" w:eastAsia="宋体" w:hAnsi="Calibri" w:cs="Calibri"/>
      <w:kern w:val="2"/>
      <w:sz w:val="21"/>
      <w:szCs w:val="22"/>
      <w:lang w:eastAsia="zh-CN"/>
    </w:rPr>
  </w:style>
  <w:style w:type="character" w:customStyle="1" w:styleId="1">
    <w:name w:val="标题 1 字符"/>
    <w:basedOn w:val="DefaultParagraphFont"/>
    <w:link w:val="Heading1"/>
    <w:qFormat/>
    <w:rPr>
      <w:rFonts w:eastAsia="宋体" w:cs="Calibri"/>
      <w:b/>
      <w:sz w:val="32"/>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qFormat/>
    <w:pPr>
      <w:widowControl w:val="0"/>
      <w:snapToGrid w:val="0"/>
    </w:pPr>
    <w:rPr>
      <w:rFonts w:eastAsiaTheme="minorEastAsia"/>
      <w:kern w:val="2"/>
      <w:sz w:val="18"/>
      <w:szCs w:val="22"/>
      <w:lang w:eastAsia="zh-CN"/>
    </w:rPr>
  </w:style>
  <w:style w:type="character" w:styleId="Hyperlink">
    <w:name w:val="Hyperlink"/>
    <w:basedOn w:val="DefaultParagraphFont"/>
    <w:uiPriority w:val="99"/>
    <w:unhideWhenUsed/>
    <w:qFormat/>
    <w:rPr>
      <w:color w:val="0000FF"/>
      <w:u w:val="single"/>
    </w:rPr>
  </w:style>
  <w:style w:type="paragraph" w:styleId="BodyTextIndent">
    <w:name w:val="Body Text Indent"/>
    <w:basedOn w:val="Normal"/>
    <w:next w:val="CommentText"/>
    <w:link w:val="a1"/>
    <w:uiPriority w:val="99"/>
    <w:unhideWhenUsed/>
    <w:qFormat/>
    <w:pPr>
      <w:widowControl w:val="0"/>
      <w:spacing w:after="120"/>
      <w:ind w:left="420" w:leftChars="200"/>
      <w:jc w:val="both"/>
    </w:pPr>
    <w:rPr>
      <w:rFonts w:asciiTheme="minorHAnsi" w:eastAsiaTheme="minorEastAsia" w:hAnsiTheme="minorHAnsi" w:cstheme="minorBidi"/>
      <w:kern w:val="2"/>
      <w:sz w:val="21"/>
      <w:szCs w:val="22"/>
      <w:lang w:eastAsia="zh-CN"/>
    </w:rPr>
  </w:style>
  <w:style w:type="paragraph" w:styleId="CommentText">
    <w:name w:val="annotation text"/>
    <w:basedOn w:val="Normal"/>
    <w:next w:val="TOC8"/>
    <w:link w:val="a0"/>
    <w:qFormat/>
    <w:pPr>
      <w:widowControl w:val="0"/>
    </w:pPr>
    <w:rPr>
      <w:rFonts w:eastAsia="宋体"/>
      <w:kern w:val="2"/>
      <w:sz w:val="21"/>
      <w:szCs w:val="20"/>
      <w:lang w:eastAsia="zh-CN"/>
    </w:rPr>
  </w:style>
  <w:style w:type="paragraph" w:styleId="TOC8">
    <w:name w:val="toc 8"/>
    <w:basedOn w:val="Normal"/>
    <w:next w:val="Normal"/>
    <w:semiHidden/>
    <w:qFormat/>
    <w:pPr>
      <w:widowControl w:val="0"/>
      <w:ind w:left="2940" w:leftChars="1400"/>
      <w:jc w:val="both"/>
    </w:pPr>
    <w:rPr>
      <w:rFonts w:ascii="Calibri" w:eastAsia="宋体" w:hAnsi="Calibri" w:cs="Calibri"/>
      <w:kern w:val="2"/>
      <w:sz w:val="21"/>
      <w:szCs w:val="22"/>
      <w:lang w:eastAsia="zh-CN"/>
    </w:rPr>
  </w:style>
  <w:style w:type="character" w:customStyle="1" w:styleId="a0">
    <w:name w:val="批注文字 字符"/>
    <w:link w:val="CommentText"/>
    <w:qFormat/>
    <w:rPr>
      <w:rFonts w:eastAsia="宋体"/>
    </w:rPr>
  </w:style>
  <w:style w:type="character" w:customStyle="1" w:styleId="a1">
    <w:name w:val="正文文本缩进 字符"/>
    <w:basedOn w:val="DefaultParagraphFont"/>
    <w:link w:val="BodyTextIndent"/>
    <w:uiPriority w:val="99"/>
    <w:qFormat/>
    <w:rPr>
      <w:rFonts w:eastAsia="宋体"/>
    </w:rPr>
  </w:style>
  <w:style w:type="paragraph" w:styleId="BodyTextFirstIndent2">
    <w:name w:val="Body Text First Indent 2"/>
    <w:basedOn w:val="BodyTextIndent"/>
    <w:next w:val="BodyTextFirstIndent"/>
    <w:link w:val="2"/>
    <w:semiHidden/>
    <w:qFormat/>
    <w:pPr>
      <w:ind w:firstLine="420" w:firstLineChars="200"/>
    </w:pPr>
    <w:rPr>
      <w:rFonts w:ascii="Times New Roman" w:eastAsia="宋体" w:hAnsi="Times New Roman" w:cs="Times New Roman"/>
      <w:szCs w:val="24"/>
    </w:rPr>
  </w:style>
  <w:style w:type="paragraph" w:styleId="BodyText">
    <w:name w:val="Body Text"/>
    <w:basedOn w:val="Normal"/>
    <w:next w:val="Normal"/>
    <w:link w:val="a2"/>
    <w:uiPriority w:val="99"/>
    <w:unhideWhenUsed/>
    <w:qFormat/>
    <w:pPr>
      <w:widowControl w:val="0"/>
      <w:spacing w:after="120"/>
      <w:jc w:val="both"/>
    </w:pPr>
    <w:rPr>
      <w:rFonts w:asciiTheme="minorHAnsi" w:eastAsiaTheme="minorEastAsia" w:hAnsiTheme="minorHAnsi" w:cstheme="minorBidi"/>
      <w:kern w:val="2"/>
      <w:sz w:val="21"/>
      <w:szCs w:val="22"/>
      <w:lang w:eastAsia="zh-CN"/>
    </w:rPr>
  </w:style>
  <w:style w:type="character" w:customStyle="1" w:styleId="a2">
    <w:name w:val="正文文本 字符"/>
    <w:basedOn w:val="DefaultParagraphFont"/>
    <w:link w:val="BodyText"/>
    <w:uiPriority w:val="99"/>
    <w:qFormat/>
    <w:rPr>
      <w:rFonts w:eastAsia="宋体"/>
    </w:rPr>
  </w:style>
  <w:style w:type="paragraph" w:styleId="BodyTextFirstIndent">
    <w:name w:val="Body Text First Indent"/>
    <w:basedOn w:val="BodyText"/>
    <w:semiHidden/>
    <w:qFormat/>
    <w:pPr>
      <w:ind w:firstLine="420" w:firstLineChars="100"/>
    </w:pPr>
    <w:rPr>
      <w:rFonts w:ascii="Times New Roman" w:eastAsia="宋体" w:hAnsi="Times New Roman"/>
      <w:kern w:val="0"/>
      <w:sz w:val="20"/>
      <w:szCs w:val="24"/>
    </w:rPr>
  </w:style>
  <w:style w:type="character" w:customStyle="1" w:styleId="2">
    <w:name w:val="正文首行缩进 2 字符"/>
    <w:link w:val="BodyTextFirstIndent2"/>
    <w:semiHidden/>
    <w:qFormat/>
    <w:rPr>
      <w:rFonts w:eastAsia="宋体"/>
      <w:szCs w:val="24"/>
    </w:rPr>
  </w:style>
  <w:style w:type="paragraph" w:styleId="NormalIndent">
    <w:name w:val="Normal Indent"/>
    <w:basedOn w:val="Normal"/>
    <w:next w:val="Normal"/>
    <w:qFormat/>
    <w:pPr>
      <w:widowControl w:val="0"/>
      <w:adjustRightInd w:val="0"/>
      <w:spacing w:line="360" w:lineRule="atLeast"/>
      <w:ind w:firstLine="482"/>
      <w:jc w:val="both"/>
      <w:textAlignment w:val="baseline"/>
    </w:pPr>
    <w:rPr>
      <w:rFonts w:eastAsia="宋体" w:asciiTheme="minorHAnsi" w:hAnsiTheme="minorHAnsi" w:cstheme="minorBidi"/>
      <w:kern w:val="2"/>
      <w:sz w:val="21"/>
      <w:szCs w:val="20"/>
      <w:lang w:eastAsia="zh-CN"/>
    </w:rPr>
  </w:style>
  <w:style w:type="character" w:customStyle="1" w:styleId="3">
    <w:name w:val="标题 3 字符"/>
    <w:basedOn w:val="DefaultParagraphFont"/>
    <w:link w:val="Heading3"/>
    <w:qFormat/>
    <w:rPr>
      <w:rFonts w:eastAsia="宋体" w:cs="Calibri"/>
      <w:b/>
      <w:sz w:val="24"/>
    </w:rPr>
  </w:style>
  <w:style w:type="paragraph" w:customStyle="1" w:styleId="style93">
    <w:name w:val="style93"/>
    <w:basedOn w:val="Normal"/>
    <w:qFormat/>
    <w:pPr>
      <w:spacing w:before="100" w:beforeAutospacing="1" w:after="100" w:afterAutospacing="1"/>
    </w:pPr>
    <w:rPr>
      <w:rFonts w:ascii="宋体" w:eastAsia="宋体" w:hAnsi="宋体" w:cs="宋体"/>
      <w:lang w:eastAsia="zh-CN"/>
    </w:rPr>
  </w:style>
  <w:style w:type="paragraph" w:styleId="ListParagraph">
    <w:name w:val="List Paragraph"/>
    <w:basedOn w:val="Normal"/>
    <w:autoRedefine/>
    <w:uiPriority w:val="34"/>
    <w:qFormat/>
    <w:pPr>
      <w:widowControl w:val="0"/>
      <w:ind w:firstLine="420"/>
      <w:jc w:val="both"/>
    </w:pPr>
    <w:rPr>
      <w:rFonts w:asciiTheme="minorHAnsi" w:eastAsiaTheme="minorEastAsia" w:hAnsiTheme="minorHAnsi" w:cstheme="minorBidi"/>
      <w:kern w:val="2"/>
      <w:sz w:val="21"/>
      <w:szCs w:val="22"/>
      <w:lang w:eastAsia="zh-CN"/>
    </w:rPr>
  </w:style>
  <w:style w:type="paragraph" w:customStyle="1" w:styleId="Default">
    <w:name w:val="Default"/>
    <w:autoRedefine/>
    <w:qFormat/>
    <w:pPr>
      <w:widowControl w:val="0"/>
      <w:autoSpaceDE w:val="0"/>
      <w:autoSpaceDN w:val="0"/>
      <w:adjustRightInd w:val="0"/>
      <w:spacing w:line="360" w:lineRule="auto"/>
      <w:ind w:firstLine="420"/>
      <w:jc w:val="both"/>
    </w:pPr>
    <w:rPr>
      <w:rFonts w:eastAsia="宋体"/>
      <w:color w:val="000000"/>
      <w:sz w:val="24"/>
      <w:szCs w:val="24"/>
      <w:lang w:eastAsia="zh-CN"/>
    </w:rPr>
  </w:style>
  <w:style w:type="table" w:styleId="TableGrid">
    <w:name w:val="Table Grid"/>
    <w:basedOn w:val="TableNormal"/>
    <w:qFormat/>
    <w:pPr>
      <w:widowControl w:val="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Char">
    <w:name w:val="标题 2 Char Char"/>
    <w:autoRedefine/>
    <w:qFormat/>
    <w:rPr>
      <w:rFonts w:ascii="Arial" w:eastAsia="宋体" w:hAnsi="Arial"/>
      <w:b/>
      <w:color w:val="000000"/>
      <w:kern w:val="2"/>
      <w:sz w:val="32"/>
      <w:lang w:val="en-US" w:eastAsia="zh-CN"/>
    </w:rPr>
  </w:style>
  <w:style w:type="character" w:customStyle="1" w:styleId="20">
    <w:name w:val="标题 2 字符"/>
    <w:basedOn w:val="DefaultParagraphFont"/>
    <w:link w:val="Heading2"/>
    <w:qFormat/>
    <w:rPr>
      <w:rFonts w:eastAsia="宋体" w:cs="Calibri"/>
      <w:b/>
      <w:sz w:val="28"/>
    </w:rPr>
  </w:style>
  <w:style w:type="table" w:customStyle="1" w:styleId="TableNormal0">
    <w:name w:val="Table Normal_0"/>
    <w:autoRedefine/>
    <w:semiHidden/>
    <w:unhideWhenUsed/>
    <w:qFormat/>
    <w:rPr>
      <w:rFonts w:eastAsia="宋体"/>
    </w:rPr>
    <w:tblPr>
      <w:tblCellMar>
        <w:top w:w="0" w:type="dxa"/>
        <w:left w:w="0" w:type="dxa"/>
        <w:bottom w:w="0" w:type="dxa"/>
        <w:right w:w="0" w:type="dxa"/>
      </w:tblCellMar>
    </w:tblPr>
  </w:style>
  <w:style w:type="character" w:customStyle="1" w:styleId="font11">
    <w:name w:val="font11"/>
    <w:basedOn w:val="DefaultParagraphFont"/>
    <w:qFormat/>
    <w:rPr>
      <w:rFonts w:ascii="仿宋" w:eastAsia="仿宋" w:hAnsi="仿宋" w:cs="仿宋"/>
      <w:b/>
      <w:bCs/>
      <w:color w:val="000000"/>
      <w:sz w:val="20"/>
      <w:szCs w:val="20"/>
      <w:u w:val="none"/>
    </w:rPr>
  </w:style>
  <w:style w:type="character" w:customStyle="1" w:styleId="font41">
    <w:name w:val="font41"/>
    <w:basedOn w:val="DefaultParagraphFont"/>
    <w:qFormat/>
    <w:rPr>
      <w:rFonts w:ascii="宋体" w:eastAsia="宋体" w:hAnsi="宋体" w:cs="宋体"/>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4.xml" /><Relationship Id="rId12" Type="http://schemas.openxmlformats.org/officeDocument/2006/relationships/header" Target="header2.xml" /><Relationship Id="rId13" Type="http://schemas.openxmlformats.org/officeDocument/2006/relationships/footer" Target="footer5.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customXml" Target="ink/ink1.xml" /><Relationship Id="rId8" Type="http://schemas.openxmlformats.org/officeDocument/2006/relationships/image" Target="media/image1.png" /><Relationship Id="rId9" Type="http://schemas.openxmlformats.org/officeDocument/2006/relationships/footer" Target="footer3.xml" /></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cm"/>
        </inkml:traceFormat>
        <inkml:channelProperties>
          <inkml:channelProperty channel="X" name="resolution" value="28.3464566929134" units="1/cm"/>
          <inkml:channelProperty channel="Y" name="resolution" value="28.3464566929134" units="1/cm"/>
          <inkml:channelProperty channel="F" name="resolution" value="2.84167" units="1/cm"/>
        </inkml:channelProperties>
      </inkml:inkSource>
      <inkml:timestamp xml:id="ts0" timeString="2024-11-20T08:26:57"/>
    </inkml:context>
    <inkml:brush xml:id="br0">
      <inkml:brushProperty name="width" value="0.0529194456206428" units="cm"/>
      <inkml:brushProperty name="height" value="0.0529194456206428" units="cm"/>
      <inkml:brushProperty name="color" value="#f80600"/>
      <inkml:brushProperty name="ignorePressure" value="0"/>
    </inkml:brush>
  </inkml:definitions>
  <inkml:trace contextRef="#ctx0" brushRef="#br0">6557.000 433841.000 767</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