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5C6736">
      <w:pPr>
        <w:keepNext w:val="0"/>
        <w:keepLines w:val="0"/>
        <w:widowControl w:val="0"/>
        <w:suppressLineNumbers w:val="0"/>
        <w:spacing w:before="0" w:beforeAutospacing="0" w:after="0" w:afterAutospacing="0"/>
        <w:ind w:left="0" w:right="0" w:firstLine="3654" w:firstLineChars="1300"/>
        <w:jc w:val="both"/>
        <w:rPr>
          <w:rFonts w:hint="eastAsia" w:ascii="宋体" w:hAnsi="宋体" w:eastAsia="宋体" w:cs="宋体"/>
          <w:color w:val="FF0000"/>
          <w:kern w:val="2"/>
          <w:sz w:val="21"/>
          <w:szCs w:val="21"/>
          <w:lang w:eastAsia="zh-CN"/>
        </w:rPr>
      </w:pPr>
      <w:r>
        <w:rPr>
          <w:rFonts w:hint="eastAsia" w:ascii="宋体" w:hAnsi="宋体" w:eastAsia="黑体" w:cs="黑体"/>
          <w:b/>
          <w:bCs/>
          <w:color w:val="FF0000"/>
          <w:kern w:val="44"/>
          <w:sz w:val="28"/>
          <w:szCs w:val="44"/>
          <w:lang w:eastAsia="zh-CN" w:bidi="ar"/>
        </w:rPr>
        <w:t>特别警示条款</w:t>
      </w:r>
    </w:p>
    <w:p w14:paraId="6C74E4E9">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240" w:afterLines="100" w:afterAutospacing="0" w:line="400" w:lineRule="exact"/>
        <w:ind w:left="0" w:right="0" w:firstLine="422" w:firstLineChars="200"/>
        <w:jc w:val="both"/>
        <w:rPr>
          <w:rFonts w:hint="eastAsia" w:ascii="宋体" w:hAnsi="宋体" w:eastAsia="宋体" w:cs="宋体"/>
          <w:b/>
          <w:bCs/>
          <w:color w:val="FF0000"/>
          <w:kern w:val="2"/>
          <w:sz w:val="21"/>
          <w:szCs w:val="21"/>
          <w:lang w:eastAsia="zh-CN"/>
        </w:rPr>
      </w:pPr>
      <w:r>
        <w:rPr>
          <w:rFonts w:hint="eastAsia" w:ascii="宋体" w:hAnsi="宋体" w:eastAsia="宋体" w:cs="宋体"/>
          <w:b/>
          <w:bCs/>
          <w:color w:val="FF0000"/>
          <w:kern w:val="2"/>
          <w:sz w:val="21"/>
          <w:szCs w:val="21"/>
          <w:lang w:eastAsia="zh-CN" w:bidi="ar"/>
        </w:rPr>
        <w:t>本项目为自行采购项目，参照《深圳经济特区政府采购条例》、《深圳经济特区政府采购条例实施细则》及政府采购其他法律法规，按照采购人内控制度，通过公开招标方式确定中标供应商。参与本项目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09"/>
        <w:gridCol w:w="8195"/>
      </w:tblGrid>
      <w:tr w14:paraId="38F09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E9CB82C">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序号</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5FDB325F">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kern w:val="2"/>
                <w:sz w:val="21"/>
                <w:szCs w:val="21"/>
                <w:lang w:eastAsia="zh-CN"/>
              </w:rPr>
            </w:pPr>
            <w:r>
              <w:rPr>
                <w:rFonts w:hint="eastAsia" w:ascii="宋体" w:hAnsi="宋体" w:eastAsia="宋体" w:cs="宋体"/>
                <w:b/>
                <w:bCs/>
                <w:color w:val="FF0000"/>
                <w:kern w:val="2"/>
                <w:sz w:val="21"/>
                <w:szCs w:val="21"/>
                <w:lang w:eastAsia="zh-CN" w:bidi="ar"/>
              </w:rPr>
              <w:t>供应商参与投标禁止情形</w:t>
            </w:r>
          </w:p>
        </w:tc>
      </w:tr>
      <w:tr w14:paraId="456D5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08CE6CD">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1</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145C0D7E">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与其他投标供应商的法定代表人、主要经营负责人、投标授权代表人、项目负责人、主要技术人员为</w:t>
            </w:r>
            <w:r>
              <w:rPr>
                <w:rFonts w:hint="eastAsia" w:ascii="宋体" w:hAnsi="宋体" w:eastAsia="宋体" w:cs="宋体"/>
                <w:b/>
                <w:bCs/>
                <w:color w:val="FF0000"/>
                <w:kern w:val="2"/>
                <w:sz w:val="21"/>
                <w:szCs w:val="21"/>
                <w:lang w:eastAsia="zh-CN" w:bidi="ar"/>
              </w:rPr>
              <w:t>同一人、属同一单位或者在同一单位缴纳社会保险</w:t>
            </w:r>
            <w:r>
              <w:rPr>
                <w:rFonts w:hint="eastAsia" w:ascii="宋体" w:hAnsi="宋体" w:eastAsia="宋体" w:cs="宋体"/>
                <w:color w:val="FF0000"/>
                <w:kern w:val="2"/>
                <w:sz w:val="21"/>
                <w:szCs w:val="21"/>
                <w:lang w:eastAsia="zh-CN" w:bidi="ar"/>
              </w:rPr>
              <w:t>。</w:t>
            </w:r>
          </w:p>
        </w:tc>
      </w:tr>
      <w:tr w14:paraId="5978C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5041D719">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2</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5FD4E7B3">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参与本项目采购活动时，与其他投标供应商存在单位负责人为</w:t>
            </w:r>
            <w:r>
              <w:rPr>
                <w:rFonts w:hint="eastAsia" w:ascii="宋体" w:hAnsi="宋体" w:eastAsia="宋体" w:cs="宋体"/>
                <w:b/>
                <w:bCs/>
                <w:color w:val="FF0000"/>
                <w:kern w:val="2"/>
                <w:sz w:val="21"/>
                <w:szCs w:val="21"/>
                <w:lang w:eastAsia="zh-CN" w:bidi="ar"/>
              </w:rPr>
              <w:t>同一人或直接控股、管理关系</w:t>
            </w:r>
            <w:r>
              <w:rPr>
                <w:rFonts w:hint="eastAsia" w:ascii="宋体" w:hAnsi="宋体" w:eastAsia="宋体" w:cs="宋体"/>
                <w:color w:val="FF0000"/>
                <w:kern w:val="2"/>
                <w:sz w:val="21"/>
                <w:szCs w:val="21"/>
                <w:lang w:eastAsia="zh-CN" w:bidi="ar"/>
              </w:rPr>
              <w:t>。</w:t>
            </w:r>
          </w:p>
        </w:tc>
      </w:tr>
      <w:tr w14:paraId="17FD4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3BB874B9">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3</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50253F91">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与其他投标供应商的投标文件或部分投标文件</w:t>
            </w:r>
            <w:r>
              <w:rPr>
                <w:rFonts w:hint="eastAsia" w:ascii="宋体" w:hAnsi="宋体" w:eastAsia="宋体" w:cs="宋体"/>
                <w:b/>
                <w:bCs/>
                <w:color w:val="FF0000"/>
                <w:kern w:val="2"/>
                <w:sz w:val="21"/>
                <w:szCs w:val="21"/>
                <w:lang w:eastAsia="zh-CN" w:bidi="ar"/>
              </w:rPr>
              <w:t>相互混装或存在非正常一致</w:t>
            </w:r>
            <w:r>
              <w:rPr>
                <w:rFonts w:hint="eastAsia" w:ascii="宋体" w:hAnsi="宋体" w:eastAsia="宋体" w:cs="宋体"/>
                <w:color w:val="FF0000"/>
                <w:kern w:val="2"/>
                <w:sz w:val="21"/>
                <w:szCs w:val="21"/>
                <w:lang w:eastAsia="zh-CN" w:bidi="ar"/>
              </w:rPr>
              <w:t>。</w:t>
            </w:r>
          </w:p>
        </w:tc>
      </w:tr>
      <w:tr w14:paraId="53AF4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2ACFAE79">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4</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7141E668">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与其他投标供应商的投标文件由</w:t>
            </w:r>
            <w:r>
              <w:rPr>
                <w:rFonts w:hint="eastAsia" w:ascii="宋体" w:hAnsi="宋体" w:eastAsia="宋体" w:cs="宋体"/>
                <w:b/>
                <w:bCs/>
                <w:color w:val="FF0000"/>
                <w:kern w:val="2"/>
                <w:sz w:val="21"/>
                <w:szCs w:val="21"/>
                <w:lang w:eastAsia="zh-CN" w:bidi="ar"/>
              </w:rPr>
              <w:t>同一单位或者同一人编制</w:t>
            </w:r>
            <w:r>
              <w:rPr>
                <w:rFonts w:hint="eastAsia" w:ascii="宋体" w:hAnsi="宋体" w:eastAsia="宋体" w:cs="宋体"/>
                <w:color w:val="FF0000"/>
                <w:kern w:val="2"/>
                <w:sz w:val="21"/>
                <w:szCs w:val="21"/>
                <w:lang w:eastAsia="zh-CN" w:bidi="ar"/>
              </w:rPr>
              <w:t>，或者使用</w:t>
            </w:r>
            <w:r>
              <w:rPr>
                <w:rFonts w:hint="eastAsia" w:ascii="宋体" w:hAnsi="宋体" w:eastAsia="宋体" w:cs="宋体"/>
                <w:b/>
                <w:bCs/>
                <w:color w:val="FF0000"/>
                <w:kern w:val="2"/>
                <w:sz w:val="21"/>
                <w:szCs w:val="21"/>
                <w:lang w:eastAsia="zh-CN" w:bidi="ar"/>
              </w:rPr>
              <w:t>同一设备编制</w:t>
            </w:r>
            <w:r>
              <w:rPr>
                <w:rFonts w:hint="eastAsia" w:ascii="宋体" w:hAnsi="宋体" w:eastAsia="宋体" w:cs="宋体"/>
                <w:color w:val="FF0000"/>
                <w:kern w:val="2"/>
                <w:sz w:val="21"/>
                <w:szCs w:val="21"/>
                <w:lang w:eastAsia="zh-CN" w:bidi="ar"/>
              </w:rPr>
              <w:t>。</w:t>
            </w:r>
          </w:p>
        </w:tc>
      </w:tr>
      <w:tr w14:paraId="45F06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7EA8F87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5</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4B342912">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提供</w:t>
            </w:r>
            <w:r>
              <w:rPr>
                <w:rFonts w:hint="eastAsia" w:ascii="宋体" w:hAnsi="宋体" w:eastAsia="宋体" w:cs="宋体"/>
                <w:b/>
                <w:bCs/>
                <w:color w:val="FF0000"/>
                <w:kern w:val="2"/>
                <w:sz w:val="21"/>
                <w:szCs w:val="21"/>
                <w:lang w:eastAsia="zh-CN" w:bidi="ar"/>
              </w:rPr>
              <w:t>未经出具机构核实</w:t>
            </w:r>
            <w:r>
              <w:rPr>
                <w:rFonts w:hint="eastAsia" w:ascii="宋体" w:hAnsi="宋体" w:eastAsia="宋体" w:cs="宋体"/>
                <w:color w:val="FF0000"/>
                <w:kern w:val="2"/>
                <w:sz w:val="21"/>
                <w:szCs w:val="21"/>
                <w:lang w:eastAsia="zh-CN" w:bidi="ar"/>
              </w:rPr>
              <w:t>的虚假的检验检测报告、业绩材料、社保缴纳证明、学历学位证书、职称认证证书等材料。</w:t>
            </w:r>
          </w:p>
        </w:tc>
      </w:tr>
      <w:tr w14:paraId="014C8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7CC1E339">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6</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0BD96B1C">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擅自将投标密钥或电子营业执照出借他人使用或未妥善保管。</w:t>
            </w:r>
          </w:p>
        </w:tc>
      </w:tr>
    </w:tbl>
    <w:p w14:paraId="10610861">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kern w:val="2"/>
          <w:sz w:val="21"/>
          <w:szCs w:val="21"/>
          <w:lang w:eastAsia="zh-CN"/>
        </w:rPr>
      </w:pPr>
    </w:p>
    <w:p w14:paraId="40E3702D">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一、</w:t>
      </w:r>
      <w:r>
        <w:rPr>
          <w:rFonts w:hint="eastAsia" w:ascii="宋体" w:hAnsi="宋体" w:eastAsia="宋体" w:cs="宋体"/>
          <w:b/>
          <w:bCs/>
          <w:color w:val="FF0000"/>
          <w:kern w:val="2"/>
          <w:sz w:val="21"/>
          <w:szCs w:val="21"/>
          <w:lang w:eastAsia="zh-CN" w:bidi="ar"/>
        </w:rPr>
        <w:t>《深圳经济特区政府采购条例》第五十七条</w:t>
      </w:r>
      <w:r>
        <w:rPr>
          <w:rFonts w:hint="eastAsia" w:ascii="宋体" w:hAnsi="宋体" w:eastAsia="宋体" w:cs="宋体"/>
          <w:color w:val="FF0000"/>
          <w:kern w:val="2"/>
          <w:sz w:val="21"/>
          <w:szCs w:val="21"/>
          <w:lang w:eastAsia="zh-CN" w:bidi="ar"/>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2BA83CFF">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（一）在采购活动中应当回避而未回避的；</w:t>
      </w:r>
    </w:p>
    <w:p w14:paraId="721B8138">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（二）未按本条例规定签订、履行采购合同，造成严重后果的；</w:t>
      </w:r>
    </w:p>
    <w:p w14:paraId="1DEF609D">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（三）隐瞒真实情况，提供虚假资料的；</w:t>
      </w:r>
    </w:p>
    <w:p w14:paraId="01A4491F">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（四）以非法手段排斥其他供应商参与竞争的；</w:t>
      </w:r>
    </w:p>
    <w:p w14:paraId="2C37566A">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（五）与其他采购参加人串通投标的；</w:t>
      </w:r>
    </w:p>
    <w:p w14:paraId="52D2CF31">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（六）恶意投诉的；</w:t>
      </w:r>
    </w:p>
    <w:p w14:paraId="52111F5D">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（七）向采购项目相关人行贿或者提供其他不当利益的；</w:t>
      </w:r>
    </w:p>
    <w:p w14:paraId="63048D20">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（八）阻碍、抗拒主管部门监督检查的；</w:t>
      </w:r>
    </w:p>
    <w:p w14:paraId="19F30793">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（九）其他违反本条例规定的行为。</w:t>
      </w:r>
    </w:p>
    <w:p w14:paraId="5621336B">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both"/>
        <w:rPr>
          <w:rFonts w:hint="eastAsia" w:ascii="宋体" w:hAnsi="宋体" w:eastAsia="宋体" w:cs="宋体"/>
          <w:color w:val="FF0000"/>
          <w:kern w:val="2"/>
          <w:sz w:val="21"/>
          <w:szCs w:val="21"/>
          <w:lang w:eastAsia="zh-CN"/>
        </w:rPr>
      </w:pPr>
      <w:r>
        <w:rPr>
          <w:rFonts w:hint="eastAsia" w:ascii="宋体" w:hAnsi="宋体" w:eastAsia="宋体" w:cs="宋体"/>
          <w:b/>
          <w:bCs/>
          <w:color w:val="FF0000"/>
          <w:kern w:val="2"/>
          <w:sz w:val="21"/>
          <w:szCs w:val="21"/>
          <w:lang w:eastAsia="zh-CN" w:bidi="ar"/>
        </w:rPr>
        <w:t xml:space="preserve">二、《深圳经济特区政府采购条例实施细则》第七十五条 </w:t>
      </w:r>
      <w:r>
        <w:rPr>
          <w:rFonts w:hint="eastAsia" w:ascii="宋体" w:hAnsi="宋体" w:eastAsia="宋体" w:cs="宋体"/>
          <w:color w:val="FF0000"/>
          <w:kern w:val="2"/>
          <w:sz w:val="21"/>
          <w:szCs w:val="21"/>
          <w:lang w:eastAsia="zh-CN" w:bidi="ar"/>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222FF5D0">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both"/>
        <w:rPr>
          <w:rFonts w:hint="eastAsia" w:ascii="宋体" w:hAnsi="宋体" w:eastAsia="宋体" w:cs="宋体"/>
          <w:color w:val="FF0000"/>
          <w:kern w:val="2"/>
          <w:sz w:val="21"/>
          <w:szCs w:val="21"/>
          <w:lang w:eastAsia="zh-CN"/>
        </w:rPr>
      </w:pPr>
      <w:r>
        <w:rPr>
          <w:rFonts w:hint="eastAsia" w:ascii="宋体" w:hAnsi="宋体" w:eastAsia="宋体" w:cs="宋体"/>
          <w:b/>
          <w:bCs/>
          <w:color w:val="FF0000"/>
          <w:kern w:val="2"/>
          <w:sz w:val="21"/>
          <w:szCs w:val="21"/>
          <w:lang w:eastAsia="zh-CN" w:bidi="ar"/>
        </w:rPr>
        <w:t xml:space="preserve">三、《深圳经济特区政府采购条例实施细则》第七十七条 </w:t>
      </w:r>
      <w:r>
        <w:rPr>
          <w:rFonts w:hint="eastAsia" w:ascii="宋体" w:hAnsi="宋体" w:eastAsia="宋体" w:cs="宋体"/>
          <w:color w:val="FF0000"/>
          <w:kern w:val="2"/>
          <w:sz w:val="21"/>
          <w:szCs w:val="21"/>
          <w:lang w:eastAsia="zh-CN" w:bidi="ar"/>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5D82C66A">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投标供应商不能提供项目负责人或者主要技术人员的劳动合同、社会保险等劳动关系证明材料的，视为存在前款第（三）项规定的情形。</w:t>
      </w:r>
    </w:p>
    <w:p w14:paraId="09C76456">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both"/>
        <w:rPr>
          <w:rFonts w:eastAsia="宋体"/>
          <w:bCs/>
          <w:color w:val="FF0000"/>
          <w:kern w:val="2"/>
          <w:sz w:val="21"/>
          <w:szCs w:val="21"/>
          <w:lang w:eastAsia="zh-CN"/>
        </w:rPr>
      </w:pPr>
      <w:r>
        <w:rPr>
          <w:rFonts w:hint="eastAsia" w:eastAsia="宋体" w:cs="宋体"/>
          <w:b/>
          <w:color w:val="FF0000"/>
          <w:kern w:val="2"/>
          <w:sz w:val="21"/>
          <w:szCs w:val="21"/>
          <w:lang w:eastAsia="zh-CN" w:bidi="ar"/>
        </w:rPr>
        <w:t>四、根据《深圳经济特区政府采购条例实施细则》第七十五条规定</w:t>
      </w:r>
      <w:r>
        <w:rPr>
          <w:rFonts w:hint="eastAsia" w:eastAsia="宋体" w:cs="宋体"/>
          <w:bCs/>
          <w:color w:val="FF0000"/>
          <w:kern w:val="2"/>
          <w:sz w:val="21"/>
          <w:szCs w:val="21"/>
          <w:lang w:eastAsia="zh-CN" w:bidi="ar"/>
        </w:rPr>
        <w:t>，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eastAsia="宋体" w:cs="宋体"/>
          <w:color w:val="FF0000"/>
          <w:kern w:val="2"/>
          <w:sz w:val="21"/>
          <w:szCs w:val="21"/>
          <w:lang w:eastAsia="zh-CN" w:bidi="ar"/>
        </w:rPr>
        <w:t>取消参与本市政府采购资格</w:t>
      </w:r>
      <w:r>
        <w:rPr>
          <w:rFonts w:hint="eastAsia" w:hAnsi="宋体" w:eastAsia="宋体" w:cs="宋体"/>
          <w:color w:val="FF0000"/>
          <w:kern w:val="2"/>
          <w:sz w:val="21"/>
          <w:szCs w:val="21"/>
          <w:lang w:eastAsia="zh-CN" w:bidi="ar"/>
        </w:rPr>
        <w:t>、</w:t>
      </w:r>
      <w:r>
        <w:rPr>
          <w:rFonts w:hint="eastAsia" w:ascii="宋体" w:hAnsi="宋体" w:eastAsia="宋体" w:cs="宋体"/>
          <w:color w:val="FF0000"/>
          <w:kern w:val="2"/>
          <w:sz w:val="21"/>
          <w:szCs w:val="21"/>
          <w:lang w:eastAsia="zh-CN" w:bidi="ar"/>
        </w:rPr>
        <w:t>依法吊销其营业</w:t>
      </w:r>
      <w:r>
        <w:rPr>
          <w:rFonts w:hint="eastAsia" w:hAnsi="宋体" w:eastAsia="宋体" w:cs="宋体"/>
          <w:color w:val="FF0000"/>
          <w:kern w:val="2"/>
          <w:sz w:val="21"/>
          <w:szCs w:val="21"/>
          <w:lang w:eastAsia="zh-CN" w:bidi="ar"/>
        </w:rPr>
        <w:t>执照等行政处罚，</w:t>
      </w:r>
      <w:r>
        <w:rPr>
          <w:rFonts w:hint="eastAsia" w:ascii="宋体" w:hAnsi="宋体" w:eastAsia="宋体" w:cs="宋体"/>
          <w:color w:val="FF0000"/>
          <w:kern w:val="2"/>
          <w:sz w:val="21"/>
          <w:szCs w:val="21"/>
          <w:lang w:eastAsia="zh-CN" w:bidi="ar"/>
        </w:rPr>
        <w:t>构成犯罪的，依法追究刑事责任</w:t>
      </w:r>
      <w:r>
        <w:rPr>
          <w:rFonts w:hint="eastAsia" w:eastAsia="宋体" w:cs="宋体"/>
          <w:bCs/>
          <w:color w:val="FF0000"/>
          <w:kern w:val="2"/>
          <w:sz w:val="21"/>
          <w:szCs w:val="21"/>
          <w:lang w:eastAsia="zh-CN" w:bidi="ar"/>
        </w:rPr>
        <w:t>，请各供应商独立编制、上传投标文件，妥善保管和使用电子秘钥。</w:t>
      </w:r>
    </w:p>
    <w:p w14:paraId="3BDD8C33">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both"/>
        <w:rPr>
          <w:rFonts w:eastAsia="宋体"/>
          <w:kern w:val="2"/>
          <w:sz w:val="21"/>
          <w:szCs w:val="21"/>
          <w:lang w:eastAsia="zh-CN"/>
        </w:rPr>
      </w:pPr>
      <w:r>
        <w:rPr>
          <w:rFonts w:hint="eastAsia" w:eastAsia="宋体" w:cs="宋体"/>
          <w:b/>
          <w:color w:val="FF0000"/>
          <w:kern w:val="2"/>
          <w:sz w:val="21"/>
          <w:szCs w:val="21"/>
          <w:lang w:eastAsia="zh-CN" w:bidi="ar"/>
        </w:rPr>
        <w:t>五、请投标供应商阅读《采购违法行为风险知悉确认书》（内容详见“投标文件”中节点“投标人认为需要加以说明的其他内容”），并经各投标供应商负责人签字并加盖单位公章后，扫描上传至投标文件一并提交。</w:t>
      </w:r>
    </w:p>
    <w:p w14:paraId="35DDFD17">
      <w:pPr>
        <w:keepNext w:val="0"/>
        <w:keepLines w:val="0"/>
        <w:widowControl/>
        <w:suppressLineNumbers w:val="0"/>
        <w:spacing w:before="0" w:beforeAutospacing="1" w:after="0" w:afterAutospacing="1"/>
        <w:ind w:left="0" w:right="0"/>
        <w:jc w:val="left"/>
        <w:outlineLvl w:val="1"/>
        <w:rPr>
          <w:rFonts w:hint="eastAsia" w:ascii="黑体" w:hAnsi="宋体" w:eastAsia="黑体" w:cs="黑体"/>
          <w:sz w:val="21"/>
          <w:szCs w:val="21"/>
          <w:lang w:eastAsia="zh-CN"/>
        </w:rPr>
      </w:pPr>
      <w:r>
        <w:rPr>
          <w:rFonts w:hint="eastAsia" w:eastAsia="宋体" w:cs="宋体"/>
          <w:b/>
          <w:color w:val="FF0000"/>
          <w:kern w:val="2"/>
          <w:sz w:val="21"/>
          <w:szCs w:val="21"/>
          <w:lang w:eastAsia="zh-CN" w:bidi="ar"/>
        </w:rPr>
        <w:t>注：“特别警示条款”和《采购违法行为风险知悉确认书》用于对供应商违法行为的提醒，不作为供应商资格性审查及符合性审查条件。</w:t>
      </w:r>
    </w:p>
    <w:p w14:paraId="5CC0C303">
      <w:pPr>
        <w:widowControl w:val="0"/>
        <w:jc w:val="both"/>
        <w:rPr>
          <w:rFonts w:hint="eastAsia" w:ascii="方正小标宋简体" w:hAnsi="方正小标宋简体" w:eastAsia="方正小标宋简体" w:cs="方正小标宋简体"/>
          <w:bCs/>
          <w:color w:val="000000"/>
          <w:kern w:val="2"/>
          <w:sz w:val="21"/>
          <w:szCs w:val="21"/>
          <w:lang w:eastAsia="zh-CN"/>
        </w:rPr>
      </w:pPr>
      <w:r>
        <w:rPr>
          <w:rFonts w:hint="eastAsia" w:ascii="方正小标宋简体" w:hAnsi="方正小标宋简体" w:eastAsia="方正小标宋简体" w:cs="方正小标宋简体"/>
          <w:bCs/>
          <w:color w:val="000000"/>
          <w:kern w:val="2"/>
          <w:sz w:val="21"/>
          <w:szCs w:val="21"/>
          <w:lang w:eastAsia="zh-CN"/>
        </w:rPr>
        <w:br w:type="page"/>
      </w:r>
    </w:p>
    <w:p w14:paraId="793A7F3A">
      <w:pPr>
        <w:widowControl/>
        <w:spacing w:before="100" w:beforeAutospacing="1" w:after="100" w:afterAutospacing="1"/>
        <w:jc w:val="center"/>
        <w:outlineLvl w:val="1"/>
        <w:rPr>
          <w:rFonts w:ascii="方正小标宋简体" w:hAnsi="方正小标宋简体" w:eastAsia="方正小标宋简体" w:cs="方正小标宋简体"/>
          <w:bCs/>
          <w:color w:val="000000"/>
          <w:kern w:val="2"/>
          <w:sz w:val="44"/>
          <w:szCs w:val="44"/>
          <w:lang w:eastAsia="zh-CN"/>
        </w:rPr>
      </w:pPr>
      <w:r>
        <w:rPr>
          <w:rFonts w:hint="eastAsia" w:ascii="方正小标宋简体" w:hAnsi="方正小标宋简体" w:eastAsia="方正小标宋简体" w:cs="方正小标宋简体"/>
          <w:bCs/>
          <w:color w:val="000000"/>
          <w:kern w:val="2"/>
          <w:sz w:val="44"/>
          <w:szCs w:val="44"/>
          <w:lang w:eastAsia="zh-CN"/>
        </w:rPr>
        <w:t>招标文件信息</w:t>
      </w:r>
    </w:p>
    <w:tbl>
      <w:tblPr>
        <w:tblStyle w:val="13"/>
        <w:tblW w:w="5000" w:type="pct"/>
        <w:jc w:val="center"/>
        <w:tblCellSpacing w:w="0" w:type="dxa"/>
        <w:tblLayout w:type="fixed"/>
        <w:tblCellMar>
          <w:top w:w="45" w:type="dxa"/>
          <w:left w:w="45" w:type="dxa"/>
          <w:bottom w:w="45" w:type="dxa"/>
          <w:right w:w="45" w:type="dxa"/>
        </w:tblCellMar>
      </w:tblPr>
      <w:tblGrid>
        <w:gridCol w:w="3044"/>
        <w:gridCol w:w="5834"/>
      </w:tblGrid>
      <w:tr w14:paraId="4FAE7CD3">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41DC4527">
            <w:pPr>
              <w:keepNext w:val="0"/>
              <w:keepLines w:val="0"/>
              <w:widowControl/>
              <w:suppressLineNumbers w:val="0"/>
              <w:spacing w:before="0" w:beforeAutospacing="0" w:after="0" w:afterAutospacing="0"/>
              <w:ind w:left="0" w:right="0"/>
              <w:jc w:val="right"/>
              <w:rPr>
                <w:rFonts w:eastAsia="宋体"/>
                <w:kern w:val="2"/>
                <w:sz w:val="30"/>
                <w:szCs w:val="30"/>
                <w:lang w:eastAsia="zh-CN"/>
              </w:rPr>
            </w:pPr>
            <w:r>
              <w:rPr>
                <w:rFonts w:ascii="宋体" w:hAnsi="宋体" w:eastAsia="宋体" w:cs="宋体"/>
                <w:sz w:val="30"/>
                <w:szCs w:val="30"/>
                <w:lang w:eastAsia="zh-CN"/>
              </w:rPr>
              <w:t>项目编号：</w:t>
            </w:r>
          </w:p>
        </w:tc>
        <w:tc>
          <w:tcPr>
            <w:tcW w:w="5220" w:type="dxa"/>
            <w:shd w:val="clear" w:color="auto" w:fill="auto"/>
            <w:vAlign w:val="center"/>
          </w:tcPr>
          <w:p w14:paraId="4F237227">
            <w:pPr>
              <w:keepNext w:val="0"/>
              <w:keepLines w:val="0"/>
              <w:widowControl/>
              <w:suppressLineNumbers w:val="0"/>
              <w:spacing w:before="0" w:beforeAutospacing="0" w:after="0" w:afterAutospacing="0"/>
              <w:ind w:left="0" w:right="0"/>
              <w:jc w:val="left"/>
              <w:rPr>
                <w:rFonts w:eastAsia="宋体"/>
                <w:kern w:val="2"/>
                <w:sz w:val="30"/>
                <w:szCs w:val="30"/>
                <w:lang w:eastAsia="zh-CN"/>
              </w:rPr>
            </w:pPr>
            <w:r>
              <w:rPr>
                <w:rFonts w:eastAsia="宋体"/>
                <w:kern w:val="2"/>
                <w:sz w:val="30"/>
                <w:szCs w:val="30"/>
                <w:lang w:eastAsia="zh-CN"/>
              </w:rPr>
              <w:t>SZZXCG-2025-00327</w:t>
            </w:r>
          </w:p>
        </w:tc>
      </w:tr>
      <w:tr w14:paraId="7D400576">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3AF9BBB6">
            <w:pPr>
              <w:keepNext w:val="0"/>
              <w:keepLines w:val="0"/>
              <w:widowControl/>
              <w:suppressLineNumbers w:val="0"/>
              <w:spacing w:before="0" w:beforeAutospacing="0" w:after="0" w:afterAutospacing="0"/>
              <w:ind w:left="0" w:right="0"/>
              <w:jc w:val="right"/>
              <w:rPr>
                <w:rFonts w:eastAsia="宋体"/>
                <w:kern w:val="2"/>
                <w:sz w:val="30"/>
                <w:szCs w:val="30"/>
                <w:lang w:eastAsia="zh-CN"/>
              </w:rPr>
            </w:pPr>
            <w:r>
              <w:rPr>
                <w:rFonts w:ascii="宋体" w:hAnsi="宋体" w:eastAsia="宋体" w:cs="宋体"/>
                <w:sz w:val="30"/>
                <w:szCs w:val="30"/>
                <w:lang w:eastAsia="zh-CN"/>
              </w:rPr>
              <w:t>项目名称：</w:t>
            </w:r>
          </w:p>
        </w:tc>
        <w:tc>
          <w:tcPr>
            <w:tcW w:w="5220" w:type="dxa"/>
            <w:shd w:val="clear" w:color="auto" w:fill="auto"/>
            <w:vAlign w:val="center"/>
          </w:tcPr>
          <w:p w14:paraId="47DD6B12">
            <w:pPr>
              <w:keepNext w:val="0"/>
              <w:keepLines w:val="0"/>
              <w:widowControl/>
              <w:suppressLineNumbers w:val="0"/>
              <w:spacing w:before="0" w:beforeAutospacing="0" w:after="0" w:afterAutospacing="0"/>
              <w:ind w:left="0" w:right="0"/>
              <w:jc w:val="left"/>
              <w:rPr>
                <w:rFonts w:eastAsia="宋体"/>
                <w:kern w:val="2"/>
                <w:sz w:val="30"/>
                <w:szCs w:val="30"/>
                <w:lang w:eastAsia="zh-CN"/>
              </w:rPr>
            </w:pPr>
            <w:r>
              <w:rPr>
                <w:rFonts w:eastAsia="宋体"/>
                <w:kern w:val="2"/>
                <w:sz w:val="30"/>
                <w:szCs w:val="30"/>
                <w:lang w:eastAsia="zh-CN"/>
              </w:rPr>
              <w:t>市急救中心综合楼及园区公共部分气体消防设备检测维护项目</w:t>
            </w:r>
          </w:p>
        </w:tc>
      </w:tr>
      <w:tr w14:paraId="65D8884E">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29392AFD">
            <w:pPr>
              <w:keepNext w:val="0"/>
              <w:keepLines w:val="0"/>
              <w:widowControl/>
              <w:suppressLineNumbers w:val="0"/>
              <w:spacing w:before="0" w:beforeAutospacing="0" w:after="0" w:afterAutospacing="0"/>
              <w:ind w:left="0" w:right="0"/>
              <w:jc w:val="right"/>
              <w:rPr>
                <w:rFonts w:eastAsia="宋体"/>
                <w:kern w:val="2"/>
                <w:sz w:val="30"/>
                <w:szCs w:val="30"/>
                <w:lang w:eastAsia="zh-CN"/>
              </w:rPr>
            </w:pPr>
            <w:r>
              <w:rPr>
                <w:rFonts w:ascii="宋体" w:hAnsi="宋体" w:eastAsia="宋体" w:cs="宋体"/>
                <w:sz w:val="30"/>
                <w:szCs w:val="30"/>
                <w:lang w:eastAsia="zh-CN"/>
              </w:rPr>
              <w:t>包 号：</w:t>
            </w:r>
          </w:p>
        </w:tc>
        <w:tc>
          <w:tcPr>
            <w:tcW w:w="5220" w:type="dxa"/>
            <w:shd w:val="clear" w:color="auto" w:fill="auto"/>
            <w:vAlign w:val="center"/>
          </w:tcPr>
          <w:p w14:paraId="71CF0C66">
            <w:pPr>
              <w:keepNext w:val="0"/>
              <w:keepLines w:val="0"/>
              <w:widowControl/>
              <w:suppressLineNumbers w:val="0"/>
              <w:spacing w:before="0" w:beforeAutospacing="0" w:after="0" w:afterAutospacing="0"/>
              <w:ind w:left="0" w:right="0"/>
              <w:jc w:val="left"/>
              <w:rPr>
                <w:rFonts w:eastAsia="宋体"/>
                <w:kern w:val="2"/>
                <w:sz w:val="30"/>
                <w:szCs w:val="30"/>
                <w:lang w:eastAsia="zh-CN"/>
              </w:rPr>
            </w:pPr>
            <w:r>
              <w:rPr>
                <w:rFonts w:ascii="宋体" w:hAnsi="宋体" w:eastAsia="宋体" w:cs="宋体"/>
                <w:sz w:val="30"/>
                <w:szCs w:val="30"/>
                <w:lang w:eastAsia="zh-CN"/>
              </w:rPr>
              <w:t>A</w:t>
            </w:r>
          </w:p>
        </w:tc>
      </w:tr>
      <w:tr w14:paraId="338BF0B6">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519CB0C5">
            <w:pPr>
              <w:keepNext w:val="0"/>
              <w:keepLines w:val="0"/>
              <w:widowControl/>
              <w:suppressLineNumbers w:val="0"/>
              <w:spacing w:before="0" w:beforeAutospacing="0" w:after="0" w:afterAutospacing="0"/>
              <w:ind w:left="0" w:right="0"/>
              <w:jc w:val="right"/>
              <w:rPr>
                <w:rFonts w:eastAsia="宋体"/>
                <w:kern w:val="2"/>
                <w:sz w:val="30"/>
                <w:szCs w:val="30"/>
                <w:lang w:eastAsia="zh-CN"/>
              </w:rPr>
            </w:pPr>
            <w:r>
              <w:rPr>
                <w:rFonts w:ascii="宋体" w:hAnsi="宋体" w:eastAsia="宋体" w:cs="宋体"/>
                <w:sz w:val="30"/>
                <w:szCs w:val="30"/>
                <w:lang w:eastAsia="zh-CN"/>
              </w:rPr>
              <w:t>项目类型：</w:t>
            </w:r>
          </w:p>
        </w:tc>
        <w:tc>
          <w:tcPr>
            <w:tcW w:w="5220" w:type="dxa"/>
            <w:shd w:val="clear" w:color="auto" w:fill="auto"/>
            <w:vAlign w:val="center"/>
          </w:tcPr>
          <w:p w14:paraId="3CB7B347">
            <w:pPr>
              <w:keepNext w:val="0"/>
              <w:keepLines w:val="0"/>
              <w:widowControl/>
              <w:suppressLineNumbers w:val="0"/>
              <w:spacing w:before="0" w:beforeAutospacing="0" w:after="0" w:afterAutospacing="0"/>
              <w:ind w:left="0" w:right="0"/>
              <w:jc w:val="left"/>
              <w:rPr>
                <w:rFonts w:eastAsia="宋体"/>
                <w:kern w:val="2"/>
                <w:sz w:val="30"/>
                <w:szCs w:val="30"/>
                <w:lang w:eastAsia="zh-CN"/>
              </w:rPr>
            </w:pPr>
            <w:r>
              <w:rPr>
                <w:rFonts w:hint="eastAsia" w:ascii="宋体" w:hAnsi="宋体" w:eastAsia="宋体" w:cs="宋体"/>
                <w:sz w:val="30"/>
                <w:szCs w:val="30"/>
                <w:lang w:eastAsia="zh-CN"/>
              </w:rPr>
              <w:t>服务类</w:t>
            </w:r>
          </w:p>
        </w:tc>
      </w:tr>
      <w:tr w14:paraId="1E58F3FF">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6F4E95E9">
            <w:pPr>
              <w:keepNext w:val="0"/>
              <w:keepLines w:val="0"/>
              <w:widowControl/>
              <w:suppressLineNumbers w:val="0"/>
              <w:spacing w:before="0" w:beforeAutospacing="0" w:after="0" w:afterAutospacing="0"/>
              <w:ind w:left="0" w:right="0"/>
              <w:jc w:val="right"/>
              <w:rPr>
                <w:rFonts w:eastAsia="宋体"/>
                <w:kern w:val="2"/>
                <w:sz w:val="30"/>
                <w:szCs w:val="30"/>
                <w:lang w:eastAsia="zh-CN"/>
              </w:rPr>
            </w:pPr>
            <w:r>
              <w:rPr>
                <w:rFonts w:ascii="宋体" w:hAnsi="宋体" w:eastAsia="宋体" w:cs="宋体"/>
                <w:sz w:val="30"/>
                <w:szCs w:val="30"/>
                <w:lang w:eastAsia="zh-CN"/>
              </w:rPr>
              <w:t>采购方式：</w:t>
            </w:r>
          </w:p>
        </w:tc>
        <w:tc>
          <w:tcPr>
            <w:tcW w:w="5220" w:type="dxa"/>
            <w:shd w:val="clear" w:color="auto" w:fill="auto"/>
            <w:vAlign w:val="center"/>
          </w:tcPr>
          <w:p w14:paraId="6B5B68F0">
            <w:pPr>
              <w:keepNext w:val="0"/>
              <w:keepLines w:val="0"/>
              <w:widowControl/>
              <w:suppressLineNumbers w:val="0"/>
              <w:spacing w:before="0" w:beforeAutospacing="0" w:after="0" w:afterAutospacing="0"/>
              <w:ind w:left="0" w:right="0"/>
              <w:jc w:val="left"/>
              <w:rPr>
                <w:rFonts w:eastAsia="宋体"/>
                <w:kern w:val="2"/>
                <w:sz w:val="30"/>
                <w:szCs w:val="30"/>
                <w:lang w:eastAsia="zh-CN"/>
              </w:rPr>
            </w:pPr>
            <w:r>
              <w:rPr>
                <w:rFonts w:ascii="宋体" w:hAnsi="宋体" w:eastAsia="宋体" w:cs="宋体"/>
                <w:sz w:val="30"/>
                <w:szCs w:val="30"/>
                <w:lang w:eastAsia="zh-CN"/>
              </w:rPr>
              <w:t>公开</w:t>
            </w:r>
            <w:r>
              <w:rPr>
                <w:rFonts w:hint="eastAsia" w:ascii="宋体" w:hAnsi="宋体" w:eastAsia="宋体" w:cs="宋体"/>
                <w:sz w:val="30"/>
                <w:szCs w:val="30"/>
                <w:lang w:eastAsia="zh-CN"/>
              </w:rPr>
              <w:t>招标</w:t>
            </w:r>
          </w:p>
        </w:tc>
      </w:tr>
      <w:tr w14:paraId="0CD696C2">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378E8BEE">
            <w:pPr>
              <w:keepNext w:val="0"/>
              <w:keepLines w:val="0"/>
              <w:widowControl/>
              <w:suppressLineNumbers w:val="0"/>
              <w:spacing w:before="0" w:beforeAutospacing="0" w:after="0" w:afterAutospacing="0"/>
              <w:ind w:left="0" w:right="0"/>
              <w:jc w:val="right"/>
              <w:rPr>
                <w:rFonts w:eastAsia="宋体"/>
                <w:kern w:val="2"/>
                <w:sz w:val="30"/>
                <w:szCs w:val="30"/>
                <w:lang w:eastAsia="zh-CN"/>
              </w:rPr>
            </w:pPr>
            <w:r>
              <w:rPr>
                <w:rFonts w:ascii="宋体" w:hAnsi="宋体" w:eastAsia="宋体" w:cs="宋体"/>
                <w:sz w:val="30"/>
                <w:szCs w:val="30"/>
                <w:lang w:eastAsia="zh-CN"/>
              </w:rPr>
              <w:t>货币类型：</w:t>
            </w:r>
          </w:p>
        </w:tc>
        <w:tc>
          <w:tcPr>
            <w:tcW w:w="5220" w:type="dxa"/>
            <w:shd w:val="clear" w:color="auto" w:fill="auto"/>
            <w:vAlign w:val="center"/>
          </w:tcPr>
          <w:p w14:paraId="613FAD89">
            <w:pPr>
              <w:keepNext w:val="0"/>
              <w:keepLines w:val="0"/>
              <w:widowControl/>
              <w:suppressLineNumbers w:val="0"/>
              <w:spacing w:before="0" w:beforeAutospacing="0" w:after="0" w:afterAutospacing="0"/>
              <w:ind w:left="0" w:right="0"/>
              <w:jc w:val="left"/>
              <w:rPr>
                <w:rFonts w:eastAsia="宋体"/>
                <w:kern w:val="2"/>
                <w:sz w:val="30"/>
                <w:szCs w:val="30"/>
                <w:lang w:eastAsia="zh-CN"/>
              </w:rPr>
            </w:pPr>
            <w:r>
              <w:rPr>
                <w:rFonts w:ascii="宋体" w:hAnsi="宋体" w:eastAsia="宋体" w:cs="宋体"/>
                <w:sz w:val="30"/>
                <w:szCs w:val="30"/>
                <w:lang w:eastAsia="zh-CN"/>
              </w:rPr>
              <w:t>人民币</w:t>
            </w:r>
          </w:p>
        </w:tc>
      </w:tr>
      <w:tr w14:paraId="1282D78A">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4740B649">
            <w:pPr>
              <w:keepNext w:val="0"/>
              <w:keepLines w:val="0"/>
              <w:widowControl/>
              <w:suppressLineNumbers w:val="0"/>
              <w:spacing w:before="0" w:beforeAutospacing="0" w:after="0" w:afterAutospacing="0"/>
              <w:ind w:left="0" w:right="0"/>
              <w:jc w:val="right"/>
              <w:rPr>
                <w:rFonts w:eastAsia="宋体"/>
                <w:kern w:val="2"/>
                <w:sz w:val="30"/>
                <w:szCs w:val="30"/>
                <w:lang w:eastAsia="zh-CN"/>
              </w:rPr>
            </w:pPr>
            <w:r>
              <w:rPr>
                <w:rFonts w:ascii="宋体" w:hAnsi="宋体" w:eastAsia="宋体" w:cs="宋体"/>
                <w:sz w:val="30"/>
                <w:szCs w:val="30"/>
                <w:lang w:eastAsia="zh-CN"/>
              </w:rPr>
              <w:t>评标方法：</w:t>
            </w:r>
          </w:p>
        </w:tc>
        <w:tc>
          <w:tcPr>
            <w:tcW w:w="5220" w:type="dxa"/>
            <w:shd w:val="clear" w:color="auto" w:fill="auto"/>
            <w:vAlign w:val="center"/>
          </w:tcPr>
          <w:p w14:paraId="31EE90D3">
            <w:pPr>
              <w:keepNext w:val="0"/>
              <w:keepLines w:val="0"/>
              <w:widowControl/>
              <w:suppressLineNumbers w:val="0"/>
              <w:spacing w:before="0" w:beforeAutospacing="0" w:after="0" w:afterAutospacing="0"/>
              <w:ind w:left="0" w:right="0"/>
              <w:jc w:val="left"/>
              <w:rPr>
                <w:rFonts w:eastAsia="宋体"/>
                <w:kern w:val="2"/>
                <w:sz w:val="30"/>
                <w:szCs w:val="30"/>
                <w:lang w:eastAsia="zh-CN"/>
              </w:rPr>
            </w:pPr>
            <w:r>
              <w:rPr>
                <w:rFonts w:ascii="宋体" w:hAnsi="宋体" w:eastAsia="宋体" w:cs="宋体"/>
                <w:sz w:val="30"/>
                <w:szCs w:val="30"/>
                <w:lang w:eastAsia="zh-CN" w:bidi="ar"/>
              </w:rPr>
              <w:t>综合评分法</w:t>
            </w:r>
          </w:p>
        </w:tc>
      </w:tr>
    </w:tbl>
    <w:p w14:paraId="7FA790B3">
      <w:pPr>
        <w:widowControl w:val="0"/>
        <w:spacing w:before="0" w:beforeAutospacing="1" w:after="0" w:afterAutospacing="1"/>
        <w:ind w:left="0" w:right="0"/>
        <w:jc w:val="center"/>
        <w:outlineLvl w:val="1"/>
        <w:rPr>
          <w:rFonts w:ascii="黑体" w:hAnsi="黑体" w:eastAsia="黑体"/>
          <w:sz w:val="40"/>
          <w:szCs w:val="40"/>
          <w:lang w:eastAsia="zh-CN" w:bidi="ar"/>
        </w:rPr>
      </w:pPr>
    </w:p>
    <w:p w14:paraId="5636C6E0">
      <w:pPr>
        <w:widowControl w:val="0"/>
        <w:spacing w:line="360" w:lineRule="auto"/>
        <w:jc w:val="center"/>
        <w:rPr>
          <w:rFonts w:ascii="黑体" w:hAnsi="黑体" w:eastAsia="黑体"/>
          <w:sz w:val="40"/>
          <w:szCs w:val="40"/>
          <w:lang w:eastAsia="zh-CN" w:bidi="ar"/>
        </w:rPr>
      </w:pPr>
      <w:r>
        <w:rPr>
          <w:rFonts w:eastAsia="宋体"/>
          <w:b/>
          <w:bCs/>
          <w:kern w:val="2"/>
          <w:lang w:eastAsia="zh-CN"/>
        </w:rPr>
        <w:br w:type="page"/>
      </w:r>
      <w:r>
        <w:rPr>
          <w:rFonts w:hint="eastAsia" w:ascii="黑体" w:hAnsi="黑体" w:eastAsia="黑体"/>
          <w:sz w:val="40"/>
          <w:szCs w:val="40"/>
          <w:lang w:eastAsia="zh-CN" w:bidi="ar"/>
        </w:rPr>
        <w:t>资格性审查表</w:t>
      </w:r>
    </w:p>
    <w:tbl>
      <w:tblPr>
        <w:tblStyle w:val="13"/>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62"/>
        <w:gridCol w:w="8342"/>
      </w:tblGrid>
      <w:tr w14:paraId="456D43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64" w:type="dxa"/>
            <w:tcBorders>
              <w:top w:val="single" w:color="000000" w:sz="8" w:space="0"/>
              <w:left w:val="single" w:color="000000" w:sz="8" w:space="0"/>
              <w:bottom w:val="single" w:color="000000" w:sz="8" w:space="0"/>
              <w:right w:val="single" w:color="000000" w:sz="8" w:space="0"/>
            </w:tcBorders>
            <w:shd w:val="clear" w:color="auto" w:fill="E6EFFA"/>
            <w:vAlign w:val="top"/>
          </w:tcPr>
          <w:p w14:paraId="22C0A33F">
            <w:pPr>
              <w:keepNext w:val="0"/>
              <w:keepLines w:val="0"/>
              <w:widowControl w:val="0"/>
              <w:suppressLineNumbers w:val="0"/>
              <w:spacing w:before="0" w:beforeAutospacing="0" w:after="0" w:afterAutospacing="0"/>
              <w:ind w:left="0" w:leftChars="0" w:right="0" w:rightChars="0"/>
              <w:jc w:val="center"/>
              <w:rPr>
                <w:rFonts w:ascii="宋体" w:hAnsi="宋体" w:eastAsia="宋体"/>
                <w:kern w:val="2"/>
                <w:sz w:val="21"/>
                <w:szCs w:val="21"/>
                <w:lang w:eastAsia="zh-CN"/>
              </w:rPr>
            </w:pPr>
            <w:r>
              <w:rPr>
                <w:rFonts w:ascii="宋体" w:hAnsi="宋体" w:eastAsia="宋体"/>
                <w:kern w:val="2"/>
                <w:sz w:val="21"/>
                <w:szCs w:val="21"/>
                <w:lang w:eastAsia="zh-CN"/>
              </w:rPr>
              <w:t>序号</w:t>
            </w:r>
          </w:p>
        </w:tc>
        <w:tc>
          <w:tcPr>
            <w:tcW w:w="8382"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3E0AFA96">
            <w:pPr>
              <w:keepNext w:val="0"/>
              <w:keepLines w:val="0"/>
              <w:widowControl w:val="0"/>
              <w:suppressLineNumbers w:val="0"/>
              <w:spacing w:before="0" w:beforeAutospacing="0" w:after="0" w:afterAutospacing="0"/>
              <w:ind w:left="0" w:right="0"/>
              <w:jc w:val="center"/>
              <w:rPr>
                <w:rFonts w:ascii="宋体" w:hAnsi="宋体" w:eastAsia="宋体" w:cs="宋体"/>
                <w:kern w:val="2"/>
                <w:sz w:val="21"/>
                <w:szCs w:val="21"/>
                <w:lang w:eastAsia="zh-CN"/>
              </w:rPr>
            </w:pPr>
            <w:r>
              <w:rPr>
                <w:rFonts w:ascii="宋体" w:hAnsi="宋体" w:eastAsia="宋体"/>
                <w:kern w:val="2"/>
                <w:sz w:val="21"/>
                <w:szCs w:val="21"/>
                <w:lang w:eastAsia="zh-CN"/>
              </w:rPr>
              <w:t>内容</w:t>
            </w:r>
          </w:p>
        </w:tc>
      </w:tr>
      <w:tr w14:paraId="1B9383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64" w:type="dxa"/>
            <w:tcBorders>
              <w:top w:val="single" w:color="000000" w:sz="8" w:space="0"/>
              <w:left w:val="single" w:color="000000" w:sz="8" w:space="0"/>
              <w:bottom w:val="single" w:color="000000" w:sz="8" w:space="0"/>
              <w:right w:val="single" w:color="000000" w:sz="8" w:space="0"/>
            </w:tcBorders>
            <w:vAlign w:val="top"/>
          </w:tcPr>
          <w:p w14:paraId="0517B15A">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1</w:t>
            </w:r>
          </w:p>
        </w:tc>
        <w:tc>
          <w:tcPr>
            <w:tcW w:w="8382" w:type="dxa"/>
            <w:tcBorders>
              <w:top w:val="single" w:color="000000" w:sz="8" w:space="0"/>
              <w:left w:val="single" w:color="000000" w:sz="8" w:space="0"/>
              <w:bottom w:val="single" w:color="000000" w:sz="8" w:space="0"/>
              <w:right w:val="single" w:color="000000" w:sz="8" w:space="0"/>
            </w:tcBorders>
          </w:tcPr>
          <w:p w14:paraId="678D1072">
            <w:pPr>
              <w:keepNext w:val="0"/>
              <w:keepLines w:val="0"/>
              <w:widowControl w:val="0"/>
              <w:suppressLineNumbers w:val="0"/>
              <w:spacing w:before="0" w:beforeAutospacing="0" w:after="0" w:afterAutospacing="0"/>
              <w:ind w:left="0" w:right="0"/>
              <w:jc w:val="both"/>
              <w:rPr>
                <w:rFonts w:ascii="宋体" w:hAnsi="宋体" w:eastAsia="宋体" w:cs="宋体"/>
                <w:kern w:val="2"/>
                <w:sz w:val="21"/>
                <w:szCs w:val="21"/>
                <w:lang w:eastAsia="zh-CN"/>
              </w:rPr>
            </w:pPr>
            <w:r>
              <w:rPr>
                <w:rFonts w:ascii="宋体" w:hAnsi="宋体" w:eastAsia="宋体" w:cs="宋体"/>
                <w:sz w:val="21"/>
                <w:szCs w:val="21"/>
                <w:lang w:eastAsia="zh-CN"/>
              </w:rPr>
              <w:t>投标人不</w:t>
            </w:r>
            <w:r>
              <w:rPr>
                <w:rFonts w:hint="eastAsia" w:ascii="宋体" w:hAnsi="宋体" w:eastAsia="宋体" w:cs="宋体"/>
                <w:sz w:val="21"/>
                <w:szCs w:val="21"/>
                <w:lang w:eastAsia="zh-CN"/>
              </w:rPr>
              <w:t>符合</w:t>
            </w:r>
            <w:r>
              <w:rPr>
                <w:rFonts w:ascii="宋体" w:hAnsi="宋体" w:eastAsia="宋体" w:cs="宋体"/>
                <w:sz w:val="21"/>
                <w:szCs w:val="21"/>
                <w:lang w:eastAsia="zh-CN"/>
              </w:rPr>
              <w:t>资格要求，或未提交相应的资格证明资料（详见</w:t>
            </w:r>
            <w:r>
              <w:rPr>
                <w:rFonts w:hint="eastAsia" w:ascii="宋体" w:hAnsi="宋体" w:eastAsia="宋体" w:cs="宋体"/>
                <w:sz w:val="21"/>
                <w:szCs w:val="21"/>
                <w:lang w:eastAsia="zh-CN"/>
              </w:rPr>
              <w:t>招标</w:t>
            </w:r>
            <w:r>
              <w:rPr>
                <w:rFonts w:ascii="宋体" w:hAnsi="宋体" w:eastAsia="宋体" w:cs="宋体"/>
                <w:sz w:val="21"/>
                <w:szCs w:val="21"/>
                <w:lang w:eastAsia="zh-CN"/>
              </w:rPr>
              <w:t>公告</w:t>
            </w:r>
            <w:r>
              <w:rPr>
                <w:rFonts w:hint="eastAsia" w:ascii="宋体" w:hAnsi="宋体" w:eastAsia="宋体"/>
                <w:kern w:val="2"/>
                <w:sz w:val="21"/>
                <w:szCs w:val="21"/>
                <w:lang w:eastAsia="zh-CN"/>
              </w:rPr>
              <w:t>投标人资格要求</w:t>
            </w:r>
            <w:r>
              <w:rPr>
                <w:rFonts w:ascii="宋体" w:hAnsi="宋体" w:eastAsia="宋体" w:cs="宋体"/>
                <w:sz w:val="21"/>
                <w:szCs w:val="21"/>
                <w:lang w:eastAsia="zh-CN"/>
              </w:rPr>
              <w:t>）</w:t>
            </w:r>
          </w:p>
        </w:tc>
      </w:tr>
    </w:tbl>
    <w:p w14:paraId="5EAF8F95">
      <w:pPr>
        <w:widowControl w:val="0"/>
        <w:spacing w:before="280" w:beforeAutospacing="1" w:after="0" w:afterAutospacing="1"/>
        <w:ind w:left="0" w:right="0"/>
        <w:jc w:val="center"/>
        <w:outlineLvl w:val="1"/>
        <w:rPr>
          <w:rFonts w:ascii="黑体" w:hAnsi="黑体" w:eastAsia="黑体"/>
          <w:sz w:val="40"/>
          <w:szCs w:val="40"/>
          <w:lang w:eastAsia="zh-CN" w:bidi="ar"/>
        </w:rPr>
      </w:pPr>
      <w:r>
        <w:rPr>
          <w:rFonts w:hint="eastAsia" w:ascii="黑体" w:hAnsi="黑体" w:eastAsia="黑体"/>
          <w:sz w:val="40"/>
          <w:szCs w:val="40"/>
          <w:lang w:eastAsia="zh-CN" w:bidi="ar"/>
        </w:rPr>
        <w:t>符合性审查表</w:t>
      </w:r>
    </w:p>
    <w:tbl>
      <w:tblPr>
        <w:tblStyle w:val="13"/>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72"/>
        <w:gridCol w:w="8332"/>
      </w:tblGrid>
      <w:tr w14:paraId="58C85B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shd w:val="clear" w:color="auto" w:fill="E6EFFA"/>
          </w:tcPr>
          <w:p w14:paraId="6FE1C43B">
            <w:pPr>
              <w:keepNext w:val="0"/>
              <w:keepLines w:val="0"/>
              <w:widowControl/>
              <w:suppressLineNumbers w:val="0"/>
              <w:spacing w:before="0" w:beforeAutospacing="0" w:after="0" w:afterAutospacing="0"/>
              <w:ind w:left="0" w:right="0"/>
              <w:jc w:val="center"/>
              <w:rPr>
                <w:rFonts w:ascii="宋体" w:hAnsi="宋体" w:eastAsia="宋体" w:cs="宋体"/>
                <w:sz w:val="21"/>
                <w:szCs w:val="21"/>
                <w:lang w:eastAsia="zh-CN"/>
              </w:rPr>
            </w:pPr>
            <w:r>
              <w:rPr>
                <w:rFonts w:ascii="宋体" w:hAnsi="宋体" w:eastAsia="宋体" w:cs="宋体"/>
                <w:sz w:val="21"/>
                <w:szCs w:val="21"/>
                <w:lang w:eastAsia="zh-CN"/>
              </w:rPr>
              <w:t>序号</w:t>
            </w:r>
          </w:p>
        </w:tc>
        <w:tc>
          <w:tcPr>
            <w:tcW w:w="8386"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09868BE">
            <w:pPr>
              <w:keepNext w:val="0"/>
              <w:keepLines w:val="0"/>
              <w:widowControl/>
              <w:suppressLineNumbers w:val="0"/>
              <w:spacing w:before="0" w:beforeAutospacing="0" w:after="0" w:afterAutospacing="0"/>
              <w:ind w:left="0" w:right="0"/>
              <w:jc w:val="center"/>
              <w:rPr>
                <w:rFonts w:ascii="宋体" w:hAnsi="宋体" w:eastAsia="宋体"/>
                <w:kern w:val="2"/>
                <w:sz w:val="21"/>
                <w:szCs w:val="21"/>
                <w:lang w:eastAsia="zh-CN"/>
              </w:rPr>
            </w:pPr>
            <w:r>
              <w:rPr>
                <w:rFonts w:ascii="宋体" w:hAnsi="宋体" w:eastAsia="宋体" w:cs="宋体"/>
                <w:sz w:val="21"/>
                <w:szCs w:val="21"/>
                <w:lang w:eastAsia="zh-CN"/>
              </w:rPr>
              <w:t>内容</w:t>
            </w:r>
          </w:p>
        </w:tc>
      </w:tr>
      <w:tr w14:paraId="2ED3F6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74780ED2">
            <w:pPr>
              <w:keepNext w:val="0"/>
              <w:keepLines w:val="0"/>
              <w:widowControl/>
              <w:suppressLineNumbers w:val="0"/>
              <w:spacing w:before="0" w:beforeAutospacing="0" w:after="0" w:afterAutospacing="0"/>
              <w:ind w:left="0" w:right="0"/>
              <w:jc w:val="center"/>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1</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65442904">
            <w:pPr>
              <w:keepNext w:val="0"/>
              <w:keepLines w:val="0"/>
              <w:widowControl/>
              <w:suppressLineNumbers w:val="0"/>
              <w:spacing w:before="0" w:beforeAutospacing="0" w:after="0" w:afterAutospacing="0"/>
              <w:ind w:left="0" w:right="0"/>
              <w:jc w:val="left"/>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不得将一个包内容拆开投标；</w:t>
            </w:r>
          </w:p>
        </w:tc>
      </w:tr>
      <w:tr w14:paraId="7BE194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46F4765D">
            <w:pPr>
              <w:keepNext w:val="0"/>
              <w:keepLines w:val="0"/>
              <w:widowControl/>
              <w:suppressLineNumbers w:val="0"/>
              <w:spacing w:before="0" w:beforeAutospacing="0" w:after="0" w:afterAutospacing="0"/>
              <w:ind w:left="0" w:right="0"/>
              <w:jc w:val="center"/>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2</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561405E5">
            <w:pPr>
              <w:keepNext w:val="0"/>
              <w:keepLines w:val="0"/>
              <w:widowControl/>
              <w:suppressLineNumbers w:val="0"/>
              <w:spacing w:before="0" w:beforeAutospacing="0" w:after="0" w:afterAutospacing="0"/>
              <w:ind w:left="0" w:right="0"/>
              <w:jc w:val="left"/>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对同一项目投标时，不得提供两套以上的投标方案（招标文件另有规定的除外）；</w:t>
            </w:r>
          </w:p>
        </w:tc>
      </w:tr>
      <w:tr w14:paraId="6A56F4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570B3687">
            <w:pPr>
              <w:keepNext w:val="0"/>
              <w:keepLines w:val="0"/>
              <w:widowControl/>
              <w:suppressLineNumbers w:val="0"/>
              <w:spacing w:before="0" w:beforeAutospacing="0" w:after="0" w:afterAutospacing="0"/>
              <w:ind w:left="0" w:right="0"/>
              <w:jc w:val="center"/>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3</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7181FD94">
            <w:pPr>
              <w:keepNext w:val="0"/>
              <w:keepLines w:val="0"/>
              <w:widowControl/>
              <w:suppressLineNumbers w:val="0"/>
              <w:spacing w:before="0" w:beforeAutospacing="0" w:after="0" w:afterAutospacing="0"/>
              <w:ind w:left="0" w:right="0"/>
              <w:jc w:val="left"/>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分项报价或投标总价不得高于相应预算金额（或设定的预算金额下的最高限价）；</w:t>
            </w:r>
          </w:p>
        </w:tc>
      </w:tr>
      <w:tr w14:paraId="6DFD9A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436" w:hRule="atLeast"/>
          <w:jc w:val="center"/>
        </w:trPr>
        <w:tc>
          <w:tcPr>
            <w:tcW w:w="675" w:type="dxa"/>
            <w:tcBorders>
              <w:top w:val="single" w:color="000000" w:sz="8" w:space="0"/>
              <w:left w:val="single" w:color="000000" w:sz="8" w:space="0"/>
              <w:bottom w:val="single" w:color="000000" w:sz="8" w:space="0"/>
              <w:right w:val="single" w:color="000000" w:sz="8" w:space="0"/>
            </w:tcBorders>
          </w:tcPr>
          <w:p w14:paraId="4B27597D">
            <w:pPr>
              <w:keepNext w:val="0"/>
              <w:keepLines w:val="0"/>
              <w:widowControl/>
              <w:suppressLineNumbers w:val="0"/>
              <w:spacing w:before="0" w:beforeAutospacing="0" w:after="0" w:afterAutospacing="0"/>
              <w:ind w:left="0" w:right="0"/>
              <w:jc w:val="center"/>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4</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24595964">
            <w:pPr>
              <w:keepNext w:val="0"/>
              <w:keepLines w:val="0"/>
              <w:widowControl/>
              <w:suppressLineNumbers w:val="0"/>
              <w:spacing w:before="0" w:beforeAutospacing="0" w:after="0" w:afterAutospacing="0"/>
              <w:ind w:left="0" w:right="0"/>
              <w:jc w:val="left"/>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77121F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vAlign w:val="top"/>
          </w:tcPr>
          <w:p w14:paraId="4B4ECAC1">
            <w:pPr>
              <w:keepNext w:val="0"/>
              <w:keepLines w:val="0"/>
              <w:widowControl w:val="0"/>
              <w:suppressLineNumbers w:val="0"/>
              <w:spacing w:before="0" w:beforeAutospacing="0" w:after="0" w:afterAutospacing="0"/>
              <w:ind w:left="0" w:right="0"/>
              <w:jc w:val="center"/>
              <w:rPr>
                <w:rFonts w:ascii="宋体" w:hAnsi="宋体" w:eastAsia="宋体"/>
                <w:kern w:val="2"/>
                <w:sz w:val="21"/>
                <w:szCs w:val="21"/>
                <w:highlight w:val="yellow"/>
                <w:lang w:eastAsia="zh-CN"/>
              </w:rPr>
            </w:pPr>
            <w:r>
              <w:rPr>
                <w:rFonts w:eastAsia="宋体"/>
                <w:kern w:val="2"/>
                <w:sz w:val="21"/>
                <w:szCs w:val="21"/>
                <w:lang w:eastAsia="zh-CN"/>
              </w:rPr>
              <w:t>5</w:t>
            </w:r>
          </w:p>
        </w:tc>
        <w:tc>
          <w:tcPr>
            <w:tcW w:w="8386" w:type="dxa"/>
            <w:tcBorders>
              <w:top w:val="single" w:color="000000" w:sz="8" w:space="0"/>
              <w:left w:val="single" w:color="000000" w:sz="8" w:space="0"/>
              <w:bottom w:val="single" w:color="000000" w:sz="8" w:space="0"/>
              <w:right w:val="single" w:color="000000" w:sz="8" w:space="0"/>
            </w:tcBorders>
            <w:shd w:val="clear" w:color="auto" w:fill="auto"/>
            <w:vAlign w:val="top"/>
          </w:tcPr>
          <w:p w14:paraId="6FB8A389">
            <w:pPr>
              <w:keepNext w:val="0"/>
              <w:keepLines w:val="0"/>
              <w:widowControl w:val="0"/>
              <w:suppressLineNumbers w:val="0"/>
              <w:spacing w:before="0" w:beforeAutospacing="0" w:after="0" w:afterAutospacing="0"/>
              <w:ind w:left="0" w:right="0"/>
              <w:jc w:val="both"/>
              <w:rPr>
                <w:rFonts w:ascii="宋体" w:hAnsi="宋体" w:eastAsia="宋体"/>
                <w:kern w:val="2"/>
                <w:sz w:val="21"/>
                <w:szCs w:val="21"/>
                <w:lang w:eastAsia="zh-CN"/>
              </w:rPr>
            </w:pPr>
            <w:r>
              <w:rPr>
                <w:rFonts w:hint="eastAsia" w:eastAsia="宋体"/>
                <w:kern w:val="2"/>
                <w:sz w:val="21"/>
                <w:lang w:eastAsia="zh-C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40E661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vAlign w:val="top"/>
          </w:tcPr>
          <w:p w14:paraId="2D84F737">
            <w:pPr>
              <w:keepNext w:val="0"/>
              <w:keepLines w:val="0"/>
              <w:widowControl w:val="0"/>
              <w:suppressLineNumbers w:val="0"/>
              <w:spacing w:before="0" w:beforeAutospacing="0" w:after="0" w:afterAutospacing="0"/>
              <w:ind w:left="0" w:right="0"/>
              <w:jc w:val="center"/>
              <w:rPr>
                <w:rFonts w:ascii="宋体" w:hAnsi="宋体" w:eastAsia="宋体"/>
                <w:kern w:val="2"/>
                <w:sz w:val="21"/>
                <w:szCs w:val="21"/>
                <w:lang w:eastAsia="zh-CN"/>
              </w:rPr>
            </w:pPr>
            <w:r>
              <w:rPr>
                <w:rFonts w:eastAsia="宋体"/>
                <w:kern w:val="2"/>
                <w:sz w:val="21"/>
                <w:szCs w:val="21"/>
                <w:lang w:eastAsia="zh-CN"/>
              </w:rPr>
              <w:t>6</w:t>
            </w:r>
          </w:p>
        </w:tc>
        <w:tc>
          <w:tcPr>
            <w:tcW w:w="8386" w:type="dxa"/>
            <w:tcBorders>
              <w:top w:val="single" w:color="000000" w:sz="8" w:space="0"/>
              <w:left w:val="single" w:color="000000" w:sz="8" w:space="0"/>
              <w:bottom w:val="single" w:color="000000" w:sz="8" w:space="0"/>
              <w:right w:val="single" w:color="000000" w:sz="8" w:space="0"/>
            </w:tcBorders>
            <w:shd w:val="clear" w:color="auto" w:fill="auto"/>
            <w:vAlign w:val="top"/>
          </w:tcPr>
          <w:p w14:paraId="05E27C84">
            <w:pPr>
              <w:keepNext w:val="0"/>
              <w:keepLines w:val="0"/>
              <w:widowControl w:val="0"/>
              <w:suppressLineNumbers w:val="0"/>
              <w:spacing w:before="0" w:beforeAutospacing="0" w:after="0" w:afterAutospacing="0"/>
              <w:ind w:left="0" w:right="0"/>
              <w:jc w:val="both"/>
              <w:rPr>
                <w:rFonts w:ascii="宋体" w:hAnsi="宋体" w:eastAsia="宋体"/>
                <w:kern w:val="2"/>
                <w:sz w:val="21"/>
                <w:szCs w:val="21"/>
                <w:lang w:eastAsia="zh-CN"/>
              </w:rPr>
            </w:pPr>
            <w:r>
              <w:rPr>
                <w:rFonts w:hint="eastAsia" w:eastAsia="宋体"/>
                <w:kern w:val="2"/>
                <w:sz w:val="21"/>
                <w:lang w:eastAsia="zh-CN"/>
              </w:rPr>
              <w:t>未按招标文件所提供的样式填写《投标函》；未按招标文件所提供的《采购投标及履约承诺函》进行承诺；未按招标文件对投标文件组成的要求提供投标文件；</w:t>
            </w:r>
          </w:p>
        </w:tc>
      </w:tr>
      <w:tr w14:paraId="774106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vAlign w:val="top"/>
          </w:tcPr>
          <w:p w14:paraId="3A89CA81">
            <w:pPr>
              <w:keepNext w:val="0"/>
              <w:keepLines w:val="0"/>
              <w:widowControl w:val="0"/>
              <w:suppressLineNumbers w:val="0"/>
              <w:spacing w:before="0" w:beforeAutospacing="0" w:after="0" w:afterAutospacing="0"/>
              <w:ind w:left="0" w:right="0"/>
              <w:jc w:val="center"/>
              <w:rPr>
                <w:rFonts w:ascii="宋体" w:hAnsi="宋体" w:eastAsia="宋体"/>
                <w:kern w:val="2"/>
                <w:sz w:val="21"/>
                <w:szCs w:val="21"/>
                <w:highlight w:val="yellow"/>
                <w:lang w:eastAsia="zh-CN"/>
              </w:rPr>
            </w:pPr>
            <w:r>
              <w:rPr>
                <w:rFonts w:eastAsia="宋体"/>
                <w:kern w:val="2"/>
                <w:sz w:val="21"/>
                <w:szCs w:val="21"/>
                <w:lang w:eastAsia="zh-CN"/>
              </w:rPr>
              <w:t>7</w:t>
            </w:r>
          </w:p>
        </w:tc>
        <w:tc>
          <w:tcPr>
            <w:tcW w:w="8386" w:type="dxa"/>
            <w:tcBorders>
              <w:top w:val="single" w:color="000000" w:sz="8" w:space="0"/>
              <w:left w:val="single" w:color="000000" w:sz="8" w:space="0"/>
              <w:bottom w:val="single" w:color="000000" w:sz="8" w:space="0"/>
              <w:right w:val="single" w:color="000000" w:sz="8" w:space="0"/>
            </w:tcBorders>
            <w:shd w:val="clear" w:color="auto" w:fill="auto"/>
            <w:vAlign w:val="top"/>
          </w:tcPr>
          <w:p w14:paraId="1BCA1EC2">
            <w:pPr>
              <w:keepNext w:val="0"/>
              <w:keepLines w:val="0"/>
              <w:widowControl w:val="0"/>
              <w:suppressLineNumbers w:val="0"/>
              <w:spacing w:before="0" w:beforeAutospacing="0" w:after="0" w:afterAutospacing="0"/>
              <w:ind w:left="0" w:right="0"/>
              <w:jc w:val="both"/>
              <w:rPr>
                <w:rFonts w:ascii="宋体" w:hAnsi="宋体" w:eastAsia="宋体"/>
                <w:kern w:val="2"/>
                <w:sz w:val="21"/>
                <w:szCs w:val="21"/>
                <w:lang w:eastAsia="zh-CN"/>
              </w:rPr>
            </w:pPr>
            <w:r>
              <w:rPr>
                <w:rFonts w:hint="eastAsia" w:eastAsia="宋体"/>
                <w:kern w:val="2"/>
                <w:sz w:val="21"/>
                <w:lang w:eastAsia="zh-CN"/>
              </w:rPr>
              <w:t>采购标的/服务清单/报价等任意一类有缺漏项或响应不全，或者对招标文件规定的项目需求内容或者需求数量进行修改</w:t>
            </w:r>
            <w:r>
              <w:rPr>
                <w:rFonts w:hint="eastAsia" w:eastAsia="宋体"/>
                <w:kern w:val="2"/>
                <w:sz w:val="21"/>
                <w:szCs w:val="21"/>
                <w:lang w:eastAsia="zh-CN"/>
              </w:rPr>
              <w:t>，评审委员会判定投标响应不满足采购需求</w:t>
            </w:r>
            <w:r>
              <w:rPr>
                <w:rFonts w:hint="eastAsia" w:eastAsia="宋体"/>
                <w:kern w:val="2"/>
                <w:sz w:val="21"/>
                <w:lang w:eastAsia="zh-CN"/>
              </w:rPr>
              <w:t>；</w:t>
            </w:r>
          </w:p>
        </w:tc>
      </w:tr>
      <w:tr w14:paraId="4A13E2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772BC54C">
            <w:pPr>
              <w:keepNext w:val="0"/>
              <w:keepLines w:val="0"/>
              <w:widowControl/>
              <w:suppressLineNumbers w:val="0"/>
              <w:spacing w:before="0" w:beforeAutospacing="0" w:after="0" w:afterAutospacing="0"/>
              <w:ind w:left="0" w:right="0"/>
              <w:jc w:val="center"/>
              <w:textAlignment w:val="top"/>
              <w:rPr>
                <w:rFonts w:hint="eastAsia" w:ascii="宋体" w:hAnsi="宋体" w:eastAsia="宋体"/>
                <w:kern w:val="2"/>
                <w:sz w:val="21"/>
                <w:szCs w:val="21"/>
                <w:lang w:eastAsia="zh-CN"/>
              </w:rPr>
            </w:pPr>
            <w:r>
              <w:rPr>
                <w:rFonts w:hint="eastAsia" w:ascii="宋体" w:hAnsi="宋体" w:eastAsia="宋体"/>
                <w:kern w:val="2"/>
                <w:sz w:val="21"/>
                <w:szCs w:val="21"/>
                <w:lang w:eastAsia="zh-CN"/>
              </w:rPr>
              <w:t>8</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5ACA111D">
            <w:pPr>
              <w:keepNext w:val="0"/>
              <w:keepLines w:val="0"/>
              <w:widowControl/>
              <w:suppressLineNumbers w:val="0"/>
              <w:spacing w:before="0" w:beforeAutospacing="0" w:after="0" w:afterAutospacing="0"/>
              <w:ind w:left="0" w:right="0"/>
              <w:jc w:val="left"/>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投标文件电子文档不得带病毒；</w:t>
            </w:r>
          </w:p>
        </w:tc>
      </w:tr>
      <w:tr w14:paraId="4E84FC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19DDD90A">
            <w:pPr>
              <w:keepNext w:val="0"/>
              <w:keepLines w:val="0"/>
              <w:widowControl/>
              <w:suppressLineNumbers w:val="0"/>
              <w:spacing w:before="0" w:beforeAutospacing="0" w:after="0" w:afterAutospacing="0"/>
              <w:ind w:left="0" w:right="0"/>
              <w:jc w:val="center"/>
              <w:textAlignment w:val="top"/>
              <w:rPr>
                <w:rFonts w:hint="eastAsia" w:ascii="宋体" w:hAnsi="宋体" w:eastAsia="宋体"/>
                <w:kern w:val="2"/>
                <w:sz w:val="21"/>
                <w:szCs w:val="21"/>
                <w:lang w:eastAsia="zh-CN"/>
              </w:rPr>
            </w:pPr>
            <w:r>
              <w:rPr>
                <w:rFonts w:hint="eastAsia" w:ascii="宋体" w:hAnsi="宋体" w:eastAsia="宋体"/>
                <w:kern w:val="2"/>
                <w:sz w:val="21"/>
                <w:szCs w:val="21"/>
                <w:lang w:eastAsia="zh-CN"/>
              </w:rPr>
              <w:t>9</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059F7A72">
            <w:pPr>
              <w:keepNext w:val="0"/>
              <w:keepLines w:val="0"/>
              <w:widowControl/>
              <w:suppressLineNumbers w:val="0"/>
              <w:spacing w:before="0" w:beforeAutospacing="0" w:after="0" w:afterAutospacing="0"/>
              <w:ind w:left="0" w:right="0"/>
              <w:jc w:val="left"/>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投标文件用不属于本公司的电子密钥进行加密；</w:t>
            </w:r>
          </w:p>
        </w:tc>
      </w:tr>
      <w:tr w14:paraId="159EEF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6CDE6B56">
            <w:pPr>
              <w:keepNext w:val="0"/>
              <w:keepLines w:val="0"/>
              <w:widowControl/>
              <w:suppressLineNumbers w:val="0"/>
              <w:spacing w:before="0" w:beforeAutospacing="0" w:after="0" w:afterAutospacing="0"/>
              <w:ind w:left="0" w:right="0"/>
              <w:jc w:val="center"/>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10</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6EB15DF5">
            <w:pPr>
              <w:keepNext w:val="0"/>
              <w:keepLines w:val="0"/>
              <w:widowControl/>
              <w:suppressLineNumbers w:val="0"/>
              <w:spacing w:before="0" w:beforeAutospacing="0" w:after="0" w:afterAutospacing="0"/>
              <w:ind w:left="0" w:right="0"/>
              <w:jc w:val="left"/>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法律、法规、规章、规范性文件规定的其他情形。</w:t>
            </w:r>
          </w:p>
        </w:tc>
      </w:tr>
    </w:tbl>
    <w:p w14:paraId="0F6127B5">
      <w:pPr>
        <w:widowControl w:val="0"/>
        <w:spacing w:before="0" w:beforeAutospacing="1" w:after="0" w:afterAutospacing="1"/>
        <w:ind w:left="0" w:right="0"/>
        <w:jc w:val="center"/>
        <w:outlineLvl w:val="1"/>
        <w:rPr>
          <w:rFonts w:ascii="黑体" w:hAnsi="黑体" w:eastAsia="黑体"/>
          <w:sz w:val="40"/>
          <w:szCs w:val="40"/>
          <w:lang w:eastAsia="zh-CN" w:bidi="ar"/>
        </w:rPr>
      </w:pPr>
    </w:p>
    <w:p w14:paraId="1C930FDF">
      <w:pPr>
        <w:widowControl w:val="0"/>
        <w:spacing w:line="360" w:lineRule="auto"/>
        <w:jc w:val="center"/>
        <w:rPr>
          <w:rFonts w:ascii="黑体" w:hAnsi="黑体" w:eastAsia="黑体"/>
          <w:sz w:val="40"/>
          <w:szCs w:val="40"/>
          <w:lang w:eastAsia="zh-CN" w:bidi="ar"/>
        </w:rPr>
      </w:pPr>
      <w:r>
        <w:rPr>
          <w:rFonts w:eastAsia="宋体"/>
          <w:b/>
          <w:bCs/>
          <w:kern w:val="2"/>
          <w:lang w:eastAsia="zh-CN"/>
        </w:rPr>
        <w:br w:type="page"/>
      </w:r>
      <w:r>
        <w:rPr>
          <w:rFonts w:hint="eastAsia" w:ascii="黑体" w:hAnsi="黑体" w:eastAsia="黑体"/>
          <w:sz w:val="40"/>
          <w:szCs w:val="40"/>
          <w:lang w:eastAsia="zh-CN" w:bidi="ar"/>
        </w:rPr>
        <w:t>评标信息</w:t>
      </w:r>
    </w:p>
    <w:tbl>
      <w:tblPr>
        <w:tblStyle w:val="13"/>
        <w:tblW w:w="5000"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713"/>
        <w:gridCol w:w="700"/>
        <w:gridCol w:w="1837"/>
        <w:gridCol w:w="695"/>
        <w:gridCol w:w="4953"/>
      </w:tblGrid>
      <w:tr w14:paraId="4D7D0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9225" w:type="dxa"/>
            <w:gridSpan w:val="5"/>
            <w:vAlign w:val="center"/>
          </w:tcPr>
          <w:p w14:paraId="730FA217">
            <w:pPr>
              <w:keepNext w:val="0"/>
              <w:keepLines w:val="0"/>
              <w:widowControl/>
              <w:suppressLineNumbers w:val="0"/>
              <w:spacing w:before="0" w:beforeAutospacing="0" w:after="0" w:afterAutospacing="0"/>
              <w:ind w:left="0" w:right="0"/>
              <w:jc w:val="left"/>
              <w:rPr>
                <w:rFonts w:ascii="宋体" w:hAnsi="宋体" w:eastAsia="宋体"/>
                <w:b/>
                <w:bCs/>
                <w:kern w:val="2"/>
                <w:lang w:eastAsia="zh-CN"/>
              </w:rPr>
            </w:pPr>
            <w:r>
              <w:rPr>
                <w:rFonts w:ascii="宋体" w:hAnsi="宋体" w:eastAsia="宋体"/>
                <w:b/>
                <w:bCs/>
                <w:kern w:val="2"/>
                <w:sz w:val="21"/>
                <w:lang w:eastAsia="zh-CN"/>
              </w:rPr>
              <w:t>评标方法：综合评分法</w:t>
            </w:r>
          </w:p>
        </w:tc>
      </w:tr>
      <w:tr w14:paraId="37FA7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9225" w:type="dxa"/>
            <w:gridSpan w:val="5"/>
            <w:vAlign w:val="center"/>
          </w:tcPr>
          <w:p w14:paraId="62A17D9E">
            <w:pPr>
              <w:keepNext w:val="0"/>
              <w:keepLines w:val="0"/>
              <w:widowControl w:val="0"/>
              <w:suppressLineNumbers w:val="0"/>
              <w:spacing w:before="0" w:beforeAutospacing="0" w:after="0" w:afterAutospacing="0"/>
              <w:ind w:left="0" w:right="0" w:firstLine="420"/>
              <w:jc w:val="both"/>
              <w:rPr>
                <w:rFonts w:ascii="宋体" w:hAnsi="宋体" w:eastAsia="宋体"/>
                <w:kern w:val="2"/>
                <w:sz w:val="21"/>
                <w:szCs w:val="21"/>
                <w:lang w:eastAsia="zh-CN"/>
              </w:rPr>
            </w:pPr>
            <w:r>
              <w:rPr>
                <w:rFonts w:ascii="宋体" w:hAnsi="宋体" w:eastAsia="宋体"/>
                <w:kern w:val="2"/>
                <w:sz w:val="21"/>
                <w:szCs w:val="21"/>
                <w:lang w:eastAsia="zh-CN"/>
              </w:rPr>
              <w:t>综合评分法，是指</w:t>
            </w:r>
            <w:r>
              <w:rPr>
                <w:rFonts w:hint="eastAsia" w:ascii="宋体" w:hAnsi="宋体" w:eastAsia="宋体"/>
                <w:sz w:val="21"/>
                <w:szCs w:val="21"/>
                <w:lang w:eastAsia="zh-CN"/>
              </w:rPr>
              <w:t>投标文件满足招标文件全部实质性要求</w:t>
            </w:r>
            <w:r>
              <w:rPr>
                <w:rFonts w:ascii="宋体" w:hAnsi="宋体" w:eastAsia="宋体"/>
                <w:kern w:val="2"/>
                <w:sz w:val="21"/>
                <w:szCs w:val="21"/>
                <w:lang w:eastAsia="zh-CN"/>
              </w:rPr>
              <w:t>，且按照</w:t>
            </w:r>
            <w:r>
              <w:rPr>
                <w:rFonts w:hint="eastAsia" w:ascii="宋体" w:hAnsi="宋体" w:eastAsia="宋体"/>
                <w:kern w:val="2"/>
                <w:sz w:val="21"/>
                <w:szCs w:val="21"/>
                <w:lang w:eastAsia="zh-CN"/>
              </w:rPr>
              <w:t>招标文件规定的各项因素进行综合评审，评标总得分排名前列</w:t>
            </w:r>
            <w:r>
              <w:rPr>
                <w:rFonts w:ascii="宋体" w:hAnsi="宋体" w:eastAsia="宋体"/>
                <w:kern w:val="2"/>
                <w:sz w:val="21"/>
                <w:szCs w:val="21"/>
                <w:lang w:eastAsia="zh-CN"/>
              </w:rPr>
              <w:t>的投标人为中标候选人的评标方法。</w:t>
            </w:r>
            <w:r>
              <w:rPr>
                <w:rFonts w:hint="eastAsia" w:ascii="宋体" w:hAnsi="宋体" w:eastAsia="宋体"/>
                <w:kern w:val="2"/>
                <w:sz w:val="21"/>
                <w:szCs w:val="21"/>
                <w:lang w:eastAsia="zh-CN"/>
              </w:rPr>
              <w:t>（适用于中标候选人为2家或以上的情形）</w:t>
            </w:r>
          </w:p>
          <w:p w14:paraId="692BFBFC">
            <w:pPr>
              <w:keepNext w:val="0"/>
              <w:keepLines w:val="0"/>
              <w:widowControl w:val="0"/>
              <w:suppressLineNumbers w:val="0"/>
              <w:spacing w:before="0" w:beforeAutospacing="0" w:after="0" w:afterAutospacing="0"/>
              <w:ind w:left="0" w:right="0" w:firstLine="420"/>
              <w:jc w:val="both"/>
              <w:rPr>
                <w:rFonts w:ascii="宋体" w:hAnsi="宋体" w:eastAsia="宋体"/>
                <w:kern w:val="2"/>
                <w:sz w:val="21"/>
                <w:szCs w:val="21"/>
                <w:lang w:eastAsia="zh-CN"/>
              </w:rPr>
            </w:pPr>
          </w:p>
          <w:p w14:paraId="4D25DB2B">
            <w:pPr>
              <w:keepNext w:val="0"/>
              <w:keepLines w:val="0"/>
              <w:widowControl w:val="0"/>
              <w:suppressLineNumbers w:val="0"/>
              <w:spacing w:before="0" w:beforeAutospacing="0" w:after="0" w:afterAutospacing="0"/>
              <w:ind w:left="0" w:right="0" w:firstLine="420"/>
              <w:jc w:val="both"/>
              <w:rPr>
                <w:rFonts w:ascii="宋体" w:hAnsi="宋体" w:eastAsia="宋体"/>
                <w:kern w:val="2"/>
                <w:sz w:val="21"/>
                <w:szCs w:val="21"/>
                <w:lang w:eastAsia="zh-CN"/>
              </w:rPr>
            </w:pPr>
            <w:r>
              <w:rPr>
                <w:rFonts w:ascii="宋体" w:hAnsi="宋体" w:eastAsia="宋体"/>
                <w:kern w:val="2"/>
                <w:sz w:val="21"/>
                <w:szCs w:val="21"/>
                <w:lang w:eastAsia="zh-CN"/>
              </w:rPr>
              <w:t>价格分计算方法：</w:t>
            </w:r>
          </w:p>
          <w:p w14:paraId="118C18AC">
            <w:pPr>
              <w:keepNext w:val="0"/>
              <w:keepLines w:val="0"/>
              <w:widowControl/>
              <w:suppressLineNumbers w:val="0"/>
              <w:spacing w:before="0" w:beforeAutospacing="0" w:after="0" w:afterAutospacing="0"/>
              <w:ind w:left="420" w:right="0"/>
              <w:jc w:val="left"/>
              <w:rPr>
                <w:rFonts w:ascii="宋体" w:hAnsi="宋体" w:eastAsia="宋体"/>
                <w:kern w:val="2"/>
                <w:sz w:val="21"/>
                <w:szCs w:val="21"/>
                <w:lang w:eastAsia="zh-CN"/>
              </w:rPr>
            </w:pPr>
            <w:r>
              <w:rPr>
                <w:rFonts w:ascii="宋体" w:hAnsi="宋体" w:eastAsia="宋体"/>
                <w:kern w:val="2"/>
                <w:sz w:val="21"/>
                <w:szCs w:val="21"/>
                <w:lang w:eastAsia="zh-CN"/>
              </w:rPr>
              <w:t xml:space="preserve">采用低价优先法计算，即满足招标文件要求且投标价格最低的投标报价为评标基准价，其价格分为满分。其他投标人的价格分统一按照下列公式计算： </w:t>
            </w:r>
            <w:r>
              <w:rPr>
                <w:rFonts w:ascii="宋体" w:hAnsi="宋体" w:eastAsia="宋体"/>
                <w:kern w:val="2"/>
                <w:sz w:val="21"/>
                <w:szCs w:val="21"/>
                <w:lang w:eastAsia="zh-CN"/>
              </w:rPr>
              <w:br w:type="textWrapping"/>
            </w:r>
            <w:r>
              <w:rPr>
                <w:rFonts w:ascii="宋体" w:hAnsi="宋体" w:eastAsia="宋体"/>
                <w:kern w:val="2"/>
                <w:sz w:val="21"/>
                <w:szCs w:val="21"/>
                <w:lang w:eastAsia="zh-CN"/>
              </w:rPr>
              <w:t xml:space="preserve">投标报价得分=(评标基准价／投标报价)×100 </w:t>
            </w:r>
            <w:r>
              <w:rPr>
                <w:rFonts w:ascii="宋体" w:hAnsi="宋体" w:eastAsia="宋体"/>
                <w:kern w:val="2"/>
                <w:sz w:val="21"/>
                <w:szCs w:val="21"/>
                <w:lang w:eastAsia="zh-CN"/>
              </w:rPr>
              <w:br w:type="textWrapping"/>
            </w:r>
            <w:r>
              <w:rPr>
                <w:rFonts w:ascii="宋体" w:hAnsi="宋体" w:eastAsia="宋体"/>
                <w:kern w:val="2"/>
                <w:sz w:val="21"/>
                <w:szCs w:val="21"/>
                <w:lang w:eastAsia="zh-CN"/>
              </w:rPr>
              <w:t xml:space="preserve">评标总得分＝F1×A1＋F2×A2＋……＋Fn×An </w:t>
            </w:r>
            <w:r>
              <w:rPr>
                <w:rFonts w:ascii="宋体" w:hAnsi="宋体" w:eastAsia="宋体"/>
                <w:kern w:val="2"/>
                <w:sz w:val="21"/>
                <w:szCs w:val="21"/>
                <w:lang w:eastAsia="zh-CN"/>
              </w:rPr>
              <w:br w:type="textWrapping"/>
            </w:r>
            <w:r>
              <w:rPr>
                <w:rFonts w:ascii="宋体" w:hAnsi="宋体" w:eastAsia="宋体"/>
                <w:kern w:val="2"/>
                <w:sz w:val="21"/>
                <w:szCs w:val="21"/>
                <w:lang w:eastAsia="zh-CN"/>
              </w:rPr>
              <w:t xml:space="preserve">F1、F2……Fn分别为各项评审因素的得分； </w:t>
            </w:r>
            <w:r>
              <w:rPr>
                <w:rFonts w:ascii="宋体" w:hAnsi="宋体" w:eastAsia="宋体"/>
                <w:kern w:val="2"/>
                <w:sz w:val="21"/>
                <w:szCs w:val="21"/>
                <w:lang w:eastAsia="zh-CN"/>
              </w:rPr>
              <w:br w:type="textWrapping"/>
            </w:r>
            <w:r>
              <w:rPr>
                <w:rFonts w:ascii="宋体" w:hAnsi="宋体" w:eastAsia="宋体"/>
                <w:kern w:val="2"/>
                <w:sz w:val="21"/>
                <w:szCs w:val="21"/>
                <w:lang w:eastAsia="zh-CN"/>
              </w:rPr>
              <w:t xml:space="preserve">A1、A2、……An 分别为各项评审因素所占的权重(A1＋A2＋……＋An＝1)。 </w:t>
            </w:r>
            <w:r>
              <w:rPr>
                <w:rFonts w:ascii="宋体" w:hAnsi="宋体" w:eastAsia="宋体"/>
                <w:kern w:val="2"/>
                <w:sz w:val="21"/>
                <w:szCs w:val="21"/>
                <w:lang w:eastAsia="zh-CN"/>
              </w:rPr>
              <w:br w:type="textWrapping"/>
            </w:r>
            <w:r>
              <w:rPr>
                <w:rFonts w:ascii="宋体" w:hAnsi="宋体" w:eastAsia="宋体"/>
                <w:kern w:val="2"/>
                <w:sz w:val="21"/>
                <w:szCs w:val="21"/>
                <w:lang w:eastAsia="zh-CN"/>
              </w:rPr>
              <w:t>评标过程中，不得去掉报价中的最高报价和最低报价。</w:t>
            </w:r>
          </w:p>
          <w:p w14:paraId="03A20067">
            <w:pPr>
              <w:keepNext w:val="0"/>
              <w:keepLines w:val="0"/>
              <w:widowControl/>
              <w:suppressLineNumbers w:val="0"/>
              <w:spacing w:before="0" w:beforeAutospacing="0" w:after="0" w:afterAutospacing="0"/>
              <w:ind w:left="420" w:right="0"/>
              <w:jc w:val="left"/>
              <w:rPr>
                <w:rFonts w:ascii="宋体" w:hAnsi="宋体" w:eastAsia="宋体"/>
                <w:kern w:val="2"/>
                <w:sz w:val="21"/>
                <w:szCs w:val="21"/>
                <w:lang w:eastAsia="zh-CN"/>
              </w:rPr>
            </w:pPr>
            <w:r>
              <w:rPr>
                <w:rFonts w:hint="eastAsia" w:ascii="宋体" w:hAnsi="宋体" w:eastAsia="宋体"/>
                <w:kern w:val="2"/>
                <w:sz w:val="21"/>
                <w:szCs w:val="21"/>
                <w:lang w:eastAsia="zh-CN"/>
              </w:rPr>
              <w:t>因落实政府采购政策进行价格调整的，以调整后的价格计算评标基准价和投标报价。</w:t>
            </w:r>
          </w:p>
          <w:p w14:paraId="1FA729EC">
            <w:pPr>
              <w:keepNext w:val="0"/>
              <w:keepLines w:val="0"/>
              <w:widowControl/>
              <w:suppressLineNumbers w:val="0"/>
              <w:spacing w:before="0" w:beforeAutospacing="0" w:after="0" w:afterAutospacing="0"/>
              <w:ind w:left="420" w:right="0"/>
              <w:jc w:val="left"/>
              <w:rPr>
                <w:rFonts w:ascii="宋体" w:hAnsi="宋体" w:eastAsia="宋体"/>
                <w:lang w:eastAsia="zh-CN"/>
              </w:rPr>
            </w:pPr>
          </w:p>
          <w:p w14:paraId="617651B0">
            <w:pPr>
              <w:keepNext w:val="0"/>
              <w:keepLines w:val="0"/>
              <w:widowControl w:val="0"/>
              <w:suppressLineNumbers w:val="0"/>
              <w:spacing w:before="0" w:beforeAutospacing="0" w:after="0" w:afterAutospacing="0" w:line="360" w:lineRule="auto"/>
              <w:ind w:left="0" w:right="0"/>
              <w:jc w:val="both"/>
              <w:rPr>
                <w:rFonts w:ascii="宋体" w:hAnsi="宋体" w:eastAsia="宋体"/>
                <w:b/>
                <w:bCs/>
                <w:kern w:val="2"/>
                <w:lang w:eastAsia="zh-CN"/>
              </w:rPr>
            </w:pPr>
            <w:r>
              <w:rPr>
                <w:rFonts w:hint="eastAsia" w:ascii="宋体" w:hAnsi="宋体" w:eastAsia="宋体"/>
                <w:b/>
                <w:bCs/>
                <w:kern w:val="2"/>
                <w:sz w:val="21"/>
                <w:szCs w:val="22"/>
                <w:lang w:eastAsia="zh-CN"/>
              </w:rPr>
              <w:t>注：投标人的“投标技术响应”“技术要求偏离表中偏离情况”等必须与客观实际保持一致，响应不实且情节严重的，经查实，将依法记入供应商诚信档案或受到行政处罚。</w:t>
            </w:r>
          </w:p>
        </w:tc>
      </w:tr>
      <w:tr w14:paraId="0FA87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32" w:type="dxa"/>
            <w:shd w:val="clear" w:color="auto" w:fill="E6EFFA"/>
            <w:noWrap w:val="0"/>
            <w:vAlign w:val="center"/>
          </w:tcPr>
          <w:p w14:paraId="336AE743">
            <w:pPr>
              <w:keepNext w:val="0"/>
              <w:keepLines w:val="0"/>
              <w:pageBreakBefore w:val="0"/>
              <w:widowControl w:val="0"/>
              <w:suppressLineNumbers w:val="0"/>
              <w:kinsoku/>
              <w:wordWrap w:val="0"/>
              <w:overflowPunct/>
              <w:topLinePunct w:val="0"/>
              <w:bidi w:val="0"/>
              <w:spacing w:before="0" w:beforeAutospacing="0" w:after="0" w:afterAutospacing="0"/>
              <w:ind w:left="0" w:right="0" w:firstLine="0" w:firstLineChars="0"/>
              <w:jc w:val="center"/>
              <w:textAlignment w:val="auto"/>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序号</w:t>
            </w:r>
          </w:p>
        </w:tc>
        <w:tc>
          <w:tcPr>
            <w:tcW w:w="3338" w:type="dxa"/>
            <w:gridSpan w:val="3"/>
            <w:shd w:val="clear" w:color="auto" w:fill="E6EFFA"/>
            <w:noWrap w:val="0"/>
            <w:vAlign w:val="center"/>
          </w:tcPr>
          <w:p w14:paraId="2FA7B398">
            <w:pPr>
              <w:keepNext w:val="0"/>
              <w:keepLines w:val="0"/>
              <w:pageBreakBefore w:val="0"/>
              <w:widowControl w:val="0"/>
              <w:suppressLineNumbers w:val="0"/>
              <w:kinsoku/>
              <w:wordWrap w:val="0"/>
              <w:overflowPunct/>
              <w:topLinePunct w:val="0"/>
              <w:bidi w:val="0"/>
              <w:spacing w:before="0" w:beforeAutospacing="0" w:after="0" w:afterAutospacing="0"/>
              <w:ind w:left="0" w:right="0" w:firstLine="0" w:firstLineChars="0"/>
              <w:jc w:val="center"/>
              <w:textAlignment w:val="auto"/>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评分项</w:t>
            </w:r>
          </w:p>
        </w:tc>
        <w:tc>
          <w:tcPr>
            <w:tcW w:w="5155" w:type="dxa"/>
            <w:shd w:val="clear" w:color="auto" w:fill="E6EFFA"/>
            <w:noWrap w:val="0"/>
            <w:vAlign w:val="center"/>
          </w:tcPr>
          <w:p w14:paraId="4A854E62">
            <w:pPr>
              <w:keepNext w:val="0"/>
              <w:keepLines w:val="0"/>
              <w:pageBreakBefore w:val="0"/>
              <w:widowControl w:val="0"/>
              <w:suppressLineNumbers w:val="0"/>
              <w:kinsoku/>
              <w:wordWrap w:val="0"/>
              <w:overflowPunct/>
              <w:topLinePunct w:val="0"/>
              <w:bidi w:val="0"/>
              <w:spacing w:before="0" w:beforeAutospacing="0" w:after="0" w:afterAutospacing="0"/>
              <w:ind w:left="0" w:right="0" w:firstLine="0" w:firstLineChars="0"/>
              <w:jc w:val="center"/>
              <w:textAlignment w:val="auto"/>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权重(%)</w:t>
            </w:r>
          </w:p>
        </w:tc>
      </w:tr>
      <w:tr w14:paraId="18E74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32" w:type="dxa"/>
            <w:noWrap w:val="0"/>
            <w:vAlign w:val="top"/>
          </w:tcPr>
          <w:p w14:paraId="020213D8">
            <w:pPr>
              <w:keepNext w:val="0"/>
              <w:keepLines w:val="0"/>
              <w:pageBreakBefore w:val="0"/>
              <w:widowControl w:val="0"/>
              <w:suppressLineNumbers w:val="0"/>
              <w:kinsoku/>
              <w:wordWrap w:val="0"/>
              <w:overflowPunct/>
              <w:topLinePunct w:val="0"/>
              <w:bidi w:val="0"/>
              <w:spacing w:before="0" w:beforeAutospacing="0" w:after="0" w:afterAutospacing="0"/>
              <w:ind w:left="0" w:right="0" w:firstLine="0" w:firstLineChars="0"/>
              <w:jc w:val="center"/>
              <w:textAlignment w:val="auto"/>
              <w:rPr>
                <w:rFonts w:hint="eastAsia" w:ascii="宋体" w:hAnsi="宋体" w:eastAsia="宋体" w:cs="宋体"/>
                <w:b/>
                <w:bCs/>
                <w:color w:val="0000FF"/>
                <w:kern w:val="2"/>
                <w:sz w:val="21"/>
                <w:szCs w:val="21"/>
                <w:lang w:eastAsia="zh-CN"/>
              </w:rPr>
            </w:pPr>
            <w:r>
              <w:rPr>
                <w:rFonts w:hint="eastAsia" w:ascii="宋体" w:hAnsi="宋体" w:eastAsia="宋体" w:cs="宋体"/>
                <w:b/>
                <w:bCs/>
                <w:color w:val="0000FF"/>
                <w:kern w:val="2"/>
                <w:sz w:val="21"/>
                <w:szCs w:val="21"/>
                <w:lang w:eastAsia="zh-CN"/>
              </w:rPr>
              <w:t>1</w:t>
            </w:r>
          </w:p>
        </w:tc>
        <w:tc>
          <w:tcPr>
            <w:tcW w:w="3338" w:type="dxa"/>
            <w:gridSpan w:val="3"/>
            <w:noWrap w:val="0"/>
            <w:vAlign w:val="top"/>
          </w:tcPr>
          <w:p w14:paraId="218BF425">
            <w:pPr>
              <w:keepNext w:val="0"/>
              <w:keepLines w:val="0"/>
              <w:pageBreakBefore w:val="0"/>
              <w:widowControl w:val="0"/>
              <w:suppressLineNumbers w:val="0"/>
              <w:kinsoku/>
              <w:wordWrap w:val="0"/>
              <w:overflowPunct/>
              <w:topLinePunct w:val="0"/>
              <w:bidi w:val="0"/>
              <w:spacing w:before="0" w:beforeAutospacing="0" w:after="0" w:afterAutospacing="0"/>
              <w:ind w:left="0" w:right="0" w:firstLine="0" w:firstLineChars="0"/>
              <w:jc w:val="center"/>
              <w:textAlignment w:val="auto"/>
              <w:rPr>
                <w:rFonts w:hint="eastAsia" w:ascii="宋体" w:hAnsi="宋体" w:eastAsia="宋体" w:cs="宋体"/>
                <w:b/>
                <w:bCs/>
                <w:color w:val="0000FF"/>
                <w:kern w:val="2"/>
                <w:sz w:val="21"/>
                <w:szCs w:val="21"/>
                <w:lang w:eastAsia="zh-CN"/>
              </w:rPr>
            </w:pPr>
            <w:r>
              <w:rPr>
                <w:rFonts w:hint="eastAsia" w:ascii="宋体" w:hAnsi="宋体" w:eastAsia="宋体" w:cs="宋体"/>
                <w:b/>
                <w:bCs/>
                <w:color w:val="0000FF"/>
                <w:kern w:val="2"/>
                <w:sz w:val="21"/>
                <w:szCs w:val="21"/>
                <w:lang w:eastAsia="zh-CN"/>
              </w:rPr>
              <w:t>价格</w:t>
            </w:r>
          </w:p>
        </w:tc>
        <w:tc>
          <w:tcPr>
            <w:tcW w:w="5155" w:type="dxa"/>
            <w:noWrap w:val="0"/>
            <w:vAlign w:val="top"/>
          </w:tcPr>
          <w:p w14:paraId="6AD8FE0D">
            <w:pPr>
              <w:keepNext w:val="0"/>
              <w:keepLines w:val="0"/>
              <w:pageBreakBefore w:val="0"/>
              <w:widowControl w:val="0"/>
              <w:suppressLineNumbers w:val="0"/>
              <w:kinsoku/>
              <w:wordWrap w:val="0"/>
              <w:overflowPunct/>
              <w:topLinePunct w:val="0"/>
              <w:bidi w:val="0"/>
              <w:spacing w:before="0" w:beforeAutospacing="0" w:after="0" w:afterAutospacing="0"/>
              <w:ind w:left="0" w:right="0" w:firstLine="0" w:firstLineChars="0"/>
              <w:jc w:val="center"/>
              <w:textAlignment w:val="auto"/>
              <w:rPr>
                <w:rFonts w:hint="eastAsia" w:ascii="宋体" w:hAnsi="宋体" w:eastAsia="宋体" w:cs="宋体"/>
                <w:b/>
                <w:bCs/>
                <w:color w:val="0000FF"/>
                <w:kern w:val="2"/>
                <w:sz w:val="21"/>
                <w:szCs w:val="21"/>
                <w:lang w:eastAsia="zh-CN"/>
              </w:rPr>
            </w:pPr>
            <w:r>
              <w:rPr>
                <w:rFonts w:hint="eastAsia" w:ascii="宋体" w:hAnsi="宋体" w:eastAsia="宋体" w:cs="宋体"/>
                <w:b/>
                <w:bCs/>
                <w:color w:val="0000FF"/>
                <w:kern w:val="2"/>
                <w:sz w:val="21"/>
                <w:szCs w:val="21"/>
                <w:lang w:eastAsia="zh-CN"/>
              </w:rPr>
              <w:t>30</w:t>
            </w:r>
          </w:p>
        </w:tc>
      </w:tr>
      <w:tr w14:paraId="6A279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32" w:type="dxa"/>
            <w:vMerge w:val="restart"/>
            <w:noWrap w:val="0"/>
            <w:vAlign w:val="top"/>
          </w:tcPr>
          <w:p w14:paraId="00FAC7B3">
            <w:pPr>
              <w:keepNext w:val="0"/>
              <w:keepLines w:val="0"/>
              <w:pageBreakBefore w:val="0"/>
              <w:widowControl w:val="0"/>
              <w:suppressLineNumbers w:val="0"/>
              <w:kinsoku/>
              <w:wordWrap w:val="0"/>
              <w:overflowPunct/>
              <w:topLinePunct w:val="0"/>
              <w:bidi w:val="0"/>
              <w:spacing w:before="0" w:beforeAutospacing="0" w:after="0" w:afterAutospacing="0"/>
              <w:ind w:left="0" w:right="0" w:firstLine="0" w:firstLineChars="0"/>
              <w:jc w:val="center"/>
              <w:textAlignment w:val="auto"/>
              <w:rPr>
                <w:rFonts w:hint="eastAsia" w:ascii="宋体" w:hAnsi="宋体" w:eastAsia="宋体" w:cs="宋体"/>
                <w:b/>
                <w:bCs/>
                <w:color w:val="0000FF"/>
                <w:kern w:val="2"/>
                <w:sz w:val="21"/>
                <w:szCs w:val="21"/>
                <w:lang w:eastAsia="zh-CN"/>
              </w:rPr>
            </w:pPr>
            <w:r>
              <w:rPr>
                <w:rFonts w:hint="eastAsia" w:ascii="宋体" w:hAnsi="宋体" w:eastAsia="宋体" w:cs="宋体"/>
                <w:b/>
                <w:bCs/>
                <w:color w:val="0000FF"/>
                <w:kern w:val="2"/>
                <w:sz w:val="21"/>
                <w:szCs w:val="21"/>
                <w:lang w:eastAsia="zh-CN"/>
              </w:rPr>
              <w:t>2</w:t>
            </w:r>
          </w:p>
        </w:tc>
        <w:tc>
          <w:tcPr>
            <w:tcW w:w="3338" w:type="dxa"/>
            <w:gridSpan w:val="3"/>
            <w:noWrap w:val="0"/>
            <w:vAlign w:val="top"/>
          </w:tcPr>
          <w:p w14:paraId="46B72D08">
            <w:pPr>
              <w:keepNext w:val="0"/>
              <w:keepLines w:val="0"/>
              <w:pageBreakBefore w:val="0"/>
              <w:widowControl w:val="0"/>
              <w:suppressLineNumbers w:val="0"/>
              <w:kinsoku/>
              <w:wordWrap w:val="0"/>
              <w:overflowPunct/>
              <w:topLinePunct w:val="0"/>
              <w:bidi w:val="0"/>
              <w:spacing w:before="0" w:beforeAutospacing="0" w:after="0" w:afterAutospacing="0"/>
              <w:ind w:left="0" w:right="0" w:firstLine="0" w:firstLineChars="0"/>
              <w:jc w:val="center"/>
              <w:textAlignment w:val="auto"/>
              <w:rPr>
                <w:rFonts w:hint="eastAsia" w:ascii="宋体" w:hAnsi="宋体" w:eastAsia="宋体" w:cs="宋体"/>
                <w:b/>
                <w:bCs/>
                <w:color w:val="0000FF"/>
                <w:kern w:val="2"/>
                <w:sz w:val="21"/>
                <w:szCs w:val="21"/>
                <w:lang w:eastAsia="zh-CN"/>
              </w:rPr>
            </w:pPr>
            <w:r>
              <w:rPr>
                <w:rFonts w:hint="eastAsia" w:ascii="宋体" w:hAnsi="宋体" w:eastAsia="宋体" w:cs="宋体"/>
                <w:b/>
                <w:bCs/>
                <w:color w:val="0000FF"/>
                <w:kern w:val="2"/>
                <w:sz w:val="21"/>
                <w:szCs w:val="21"/>
                <w:lang w:eastAsia="zh-CN"/>
              </w:rPr>
              <w:t>技术部分</w:t>
            </w:r>
          </w:p>
        </w:tc>
        <w:tc>
          <w:tcPr>
            <w:tcW w:w="5155" w:type="dxa"/>
            <w:noWrap w:val="0"/>
            <w:vAlign w:val="top"/>
          </w:tcPr>
          <w:p w14:paraId="7ADAE183">
            <w:pPr>
              <w:keepNext w:val="0"/>
              <w:keepLines w:val="0"/>
              <w:pageBreakBefore w:val="0"/>
              <w:widowControl w:val="0"/>
              <w:suppressLineNumbers w:val="0"/>
              <w:kinsoku/>
              <w:wordWrap w:val="0"/>
              <w:overflowPunct/>
              <w:topLinePunct w:val="0"/>
              <w:bidi w:val="0"/>
              <w:spacing w:before="0" w:beforeAutospacing="0" w:after="0" w:afterAutospacing="0"/>
              <w:ind w:left="0" w:right="0" w:firstLine="0" w:firstLineChars="0"/>
              <w:jc w:val="center"/>
              <w:textAlignment w:val="auto"/>
              <w:rPr>
                <w:rFonts w:hint="eastAsia" w:ascii="宋体" w:hAnsi="宋体" w:eastAsia="宋体" w:cs="宋体"/>
                <w:b/>
                <w:bCs/>
                <w:color w:val="0000FF"/>
                <w:kern w:val="2"/>
                <w:sz w:val="21"/>
                <w:szCs w:val="21"/>
                <w:lang w:eastAsia="zh-CN"/>
              </w:rPr>
            </w:pPr>
            <w:r>
              <w:rPr>
                <w:rFonts w:hint="eastAsia" w:ascii="宋体" w:hAnsi="宋体" w:eastAsia="宋体" w:cs="宋体"/>
                <w:b/>
                <w:bCs/>
                <w:color w:val="0000FF"/>
                <w:kern w:val="2"/>
                <w:sz w:val="21"/>
                <w:szCs w:val="21"/>
                <w:lang w:eastAsia="zh-CN"/>
              </w:rPr>
              <w:t>45</w:t>
            </w:r>
          </w:p>
        </w:tc>
      </w:tr>
      <w:tr w14:paraId="2DC8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32" w:type="dxa"/>
            <w:vMerge w:val="continue"/>
            <w:shd w:val="clear" w:color="auto" w:fill="E6EFFA"/>
            <w:noWrap w:val="0"/>
            <w:vAlign w:val="center"/>
          </w:tcPr>
          <w:p w14:paraId="1E55DF77">
            <w:pPr>
              <w:keepNext w:val="0"/>
              <w:keepLines w:val="0"/>
              <w:pageBreakBefore w:val="0"/>
              <w:widowControl w:val="0"/>
              <w:suppressLineNumbers w:val="0"/>
              <w:kinsoku/>
              <w:overflowPunct/>
              <w:topLinePunct w:val="0"/>
              <w:bidi w:val="0"/>
              <w:spacing w:before="0" w:beforeAutospacing="0" w:after="0" w:afterAutospacing="0"/>
              <w:ind w:left="0" w:right="0" w:firstLine="0" w:firstLineChars="0"/>
              <w:jc w:val="both"/>
              <w:textAlignment w:val="auto"/>
              <w:rPr>
                <w:rFonts w:hint="eastAsia" w:ascii="宋体" w:hAnsi="宋体" w:eastAsia="宋体" w:cs="宋体"/>
                <w:b/>
                <w:bCs/>
                <w:color w:val="0000FF"/>
                <w:kern w:val="2"/>
                <w:sz w:val="21"/>
                <w:szCs w:val="21"/>
                <w:lang w:eastAsia="zh-CN"/>
              </w:rPr>
            </w:pPr>
          </w:p>
        </w:tc>
        <w:tc>
          <w:tcPr>
            <w:tcW w:w="719" w:type="dxa"/>
            <w:shd w:val="clear" w:color="auto" w:fill="E6EFFA"/>
            <w:noWrap w:val="0"/>
            <w:vAlign w:val="center"/>
          </w:tcPr>
          <w:p w14:paraId="038231F6">
            <w:pPr>
              <w:keepNext w:val="0"/>
              <w:keepLines w:val="0"/>
              <w:pageBreakBefore w:val="0"/>
              <w:widowControl w:val="0"/>
              <w:suppressLineNumbers w:val="0"/>
              <w:kinsoku/>
              <w:wordWrap w:val="0"/>
              <w:overflowPunct/>
              <w:topLinePunct w:val="0"/>
              <w:bidi w:val="0"/>
              <w:spacing w:before="0" w:beforeAutospacing="0" w:after="0" w:afterAutospacing="0"/>
              <w:ind w:left="0" w:right="0" w:firstLine="0" w:firstLineChars="0"/>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序号</w:t>
            </w:r>
          </w:p>
        </w:tc>
        <w:tc>
          <w:tcPr>
            <w:tcW w:w="1905" w:type="dxa"/>
            <w:shd w:val="clear" w:color="auto" w:fill="E6EFFA"/>
            <w:noWrap w:val="0"/>
            <w:vAlign w:val="center"/>
          </w:tcPr>
          <w:p w14:paraId="553E5D03">
            <w:pPr>
              <w:keepNext w:val="0"/>
              <w:keepLines w:val="0"/>
              <w:pageBreakBefore w:val="0"/>
              <w:widowControl w:val="0"/>
              <w:suppressLineNumbers w:val="0"/>
              <w:kinsoku/>
              <w:wordWrap w:val="0"/>
              <w:overflowPunct/>
              <w:topLinePunct w:val="0"/>
              <w:bidi w:val="0"/>
              <w:spacing w:before="0" w:beforeAutospacing="0" w:after="0" w:afterAutospacing="0"/>
              <w:ind w:left="0" w:right="0" w:firstLine="0" w:firstLineChars="0"/>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评审因素</w:t>
            </w:r>
          </w:p>
        </w:tc>
        <w:tc>
          <w:tcPr>
            <w:tcW w:w="714" w:type="dxa"/>
            <w:shd w:val="clear" w:color="auto" w:fill="E6EFFA"/>
            <w:noWrap w:val="0"/>
            <w:vAlign w:val="center"/>
          </w:tcPr>
          <w:p w14:paraId="27299725">
            <w:pPr>
              <w:keepNext w:val="0"/>
              <w:keepLines w:val="0"/>
              <w:pageBreakBefore w:val="0"/>
              <w:widowControl w:val="0"/>
              <w:suppressLineNumbers w:val="0"/>
              <w:kinsoku/>
              <w:wordWrap w:val="0"/>
              <w:overflowPunct/>
              <w:topLinePunct w:val="0"/>
              <w:bidi w:val="0"/>
              <w:spacing w:before="0" w:beforeAutospacing="0" w:after="0" w:afterAutospacing="0"/>
              <w:ind w:left="0" w:right="0" w:firstLine="0" w:firstLineChars="0"/>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权重(%)</w:t>
            </w:r>
          </w:p>
        </w:tc>
        <w:tc>
          <w:tcPr>
            <w:tcW w:w="5155" w:type="dxa"/>
            <w:shd w:val="clear" w:color="auto" w:fill="E6EFFA"/>
            <w:noWrap w:val="0"/>
            <w:vAlign w:val="center"/>
          </w:tcPr>
          <w:p w14:paraId="2E9380C0">
            <w:pPr>
              <w:keepNext w:val="0"/>
              <w:keepLines w:val="0"/>
              <w:pageBreakBefore w:val="0"/>
              <w:widowControl w:val="0"/>
              <w:suppressLineNumbers w:val="0"/>
              <w:kinsoku/>
              <w:wordWrap w:val="0"/>
              <w:overflowPunct/>
              <w:topLinePunct w:val="0"/>
              <w:bidi w:val="0"/>
              <w:spacing w:before="0" w:beforeAutospacing="0" w:after="0" w:afterAutospacing="0"/>
              <w:ind w:left="0" w:right="0" w:firstLine="0" w:firstLineChars="0"/>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评分准则</w:t>
            </w:r>
          </w:p>
        </w:tc>
      </w:tr>
      <w:tr w14:paraId="450E5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32" w:type="dxa"/>
            <w:vMerge w:val="continue"/>
            <w:noWrap w:val="0"/>
            <w:vAlign w:val="center"/>
          </w:tcPr>
          <w:p w14:paraId="7B2C3EE7">
            <w:pPr>
              <w:keepNext w:val="0"/>
              <w:keepLines w:val="0"/>
              <w:pageBreakBefore w:val="0"/>
              <w:widowControl w:val="0"/>
              <w:suppressLineNumbers w:val="0"/>
              <w:kinsoku/>
              <w:overflowPunct/>
              <w:topLinePunct w:val="0"/>
              <w:bidi w:val="0"/>
              <w:spacing w:before="0" w:beforeAutospacing="0" w:after="0" w:afterAutospacing="0"/>
              <w:ind w:left="0" w:right="0" w:firstLine="0" w:firstLineChars="0"/>
              <w:jc w:val="both"/>
              <w:textAlignment w:val="auto"/>
              <w:rPr>
                <w:rFonts w:hint="eastAsia" w:ascii="宋体" w:hAnsi="宋体" w:eastAsia="宋体" w:cs="宋体"/>
                <w:b/>
                <w:bCs/>
                <w:color w:val="0000FF"/>
                <w:kern w:val="2"/>
                <w:sz w:val="21"/>
                <w:szCs w:val="21"/>
                <w:lang w:eastAsia="zh-CN"/>
              </w:rPr>
            </w:pPr>
          </w:p>
        </w:tc>
        <w:tc>
          <w:tcPr>
            <w:tcW w:w="719" w:type="dxa"/>
            <w:noWrap w:val="0"/>
            <w:vAlign w:val="center"/>
          </w:tcPr>
          <w:p w14:paraId="6352B80E">
            <w:pPr>
              <w:keepNext w:val="0"/>
              <w:keepLines w:val="0"/>
              <w:pageBreakBefore w:val="0"/>
              <w:widowControl w:val="0"/>
              <w:suppressLineNumbers w:val="0"/>
              <w:kinsoku/>
              <w:wordWrap w:val="0"/>
              <w:overflowPunct/>
              <w:topLinePunct w:val="0"/>
              <w:bidi w:val="0"/>
              <w:spacing w:before="0" w:beforeAutospacing="0" w:after="0" w:afterAutospacing="0"/>
              <w:ind w:left="0" w:right="0" w:firstLine="0" w:firstLineChars="0"/>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1905" w:type="dxa"/>
            <w:noWrap w:val="0"/>
            <w:vAlign w:val="center"/>
          </w:tcPr>
          <w:p w14:paraId="5DD2D423">
            <w:pPr>
              <w:keepNext w:val="0"/>
              <w:keepLines w:val="0"/>
              <w:pageBreakBefore w:val="0"/>
              <w:widowControl w:val="0"/>
              <w:suppressLineNumbers w:val="0"/>
              <w:kinsoku/>
              <w:wordWrap w:val="0"/>
              <w:overflowPunct/>
              <w:topLinePunct w:val="0"/>
              <w:bidi w:val="0"/>
              <w:spacing w:before="0" w:beforeAutospacing="0" w:after="0" w:afterAutospacing="0"/>
              <w:ind w:left="0" w:right="0" w:firstLine="0" w:firstLineChars="0"/>
              <w:jc w:val="center"/>
              <w:textAlignment w:val="auto"/>
              <w:rPr>
                <w:rFonts w:hint="eastAsia" w:ascii="宋体" w:hAnsi="宋体" w:eastAsia="宋体" w:cs="宋体"/>
                <w:kern w:val="2"/>
                <w:sz w:val="21"/>
                <w:szCs w:val="21"/>
                <w:lang w:eastAsia="zh-CN"/>
              </w:rPr>
            </w:pPr>
            <w:r>
              <w:rPr>
                <w:rFonts w:hint="eastAsia" w:ascii="宋体" w:hAnsi="宋体" w:eastAsia="宋体" w:cs="宋体"/>
                <w:sz w:val="21"/>
                <w:szCs w:val="21"/>
                <w:lang w:eastAsia="zh-CN"/>
              </w:rPr>
              <w:t>实施方案</w:t>
            </w:r>
          </w:p>
        </w:tc>
        <w:tc>
          <w:tcPr>
            <w:tcW w:w="714" w:type="dxa"/>
            <w:noWrap w:val="0"/>
            <w:vAlign w:val="center"/>
          </w:tcPr>
          <w:p w14:paraId="1BFE49FC">
            <w:pPr>
              <w:keepNext w:val="0"/>
              <w:keepLines w:val="0"/>
              <w:pageBreakBefore w:val="0"/>
              <w:widowControl w:val="0"/>
              <w:suppressLineNumbers w:val="0"/>
              <w:kinsoku/>
              <w:wordWrap w:val="0"/>
              <w:overflowPunct/>
              <w:topLinePunct w:val="0"/>
              <w:bidi w:val="0"/>
              <w:spacing w:before="0" w:beforeAutospacing="0" w:after="0" w:afterAutospacing="0"/>
              <w:ind w:left="0" w:right="0" w:firstLine="0" w:firstLineChars="0"/>
              <w:jc w:val="center"/>
              <w:textAlignment w:val="auto"/>
              <w:rPr>
                <w:rFonts w:hint="eastAsia" w:ascii="宋体" w:hAnsi="宋体" w:eastAsia="宋体" w:cs="宋体"/>
                <w:kern w:val="2"/>
                <w:sz w:val="21"/>
                <w:szCs w:val="21"/>
                <w:lang w:eastAsia="zh-CN"/>
              </w:rPr>
            </w:pPr>
            <w:r>
              <w:rPr>
                <w:rFonts w:hint="eastAsia" w:ascii="宋体" w:hAnsi="宋体" w:eastAsia="宋体" w:cs="宋体"/>
                <w:sz w:val="21"/>
                <w:szCs w:val="21"/>
                <w:lang w:eastAsia="zh-CN"/>
              </w:rPr>
              <w:t>15</w:t>
            </w:r>
          </w:p>
        </w:tc>
        <w:tc>
          <w:tcPr>
            <w:tcW w:w="5155" w:type="dxa"/>
            <w:noWrap w:val="0"/>
            <w:vAlign w:val="top"/>
          </w:tcPr>
          <w:p w14:paraId="0A2436DA">
            <w:pPr>
              <w:keepNext w:val="0"/>
              <w:keepLines w:val="0"/>
              <w:pageBreakBefore w:val="0"/>
              <w:widowControl/>
              <w:suppressLineNumbers w:val="0"/>
              <w:kinsoku/>
              <w:overflowPunct/>
              <w:topLinePunct w:val="0"/>
              <w:bidi w:val="0"/>
              <w:snapToGrid w:val="0"/>
              <w:spacing w:before="0" w:beforeAutospacing="0" w:after="0" w:afterAutospacing="0"/>
              <w:ind w:left="0" w:right="0" w:firstLine="0" w:firstLineChars="0"/>
              <w:jc w:val="both"/>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（一）评分内容：</w:t>
            </w:r>
          </w:p>
          <w:p w14:paraId="3951E79A">
            <w:pPr>
              <w:keepNext w:val="0"/>
              <w:keepLines w:val="0"/>
              <w:pageBreakBefore w:val="0"/>
              <w:widowControl/>
              <w:suppressLineNumbers w:val="0"/>
              <w:kinsoku/>
              <w:overflowPunct/>
              <w:topLinePunct w:val="0"/>
              <w:bidi w:val="0"/>
              <w:snapToGrid w:val="0"/>
              <w:spacing w:before="0" w:beforeAutospacing="0" w:after="0" w:afterAutospacing="0"/>
              <w:ind w:left="0" w:right="0" w:firstLine="0" w:firstLineChars="0"/>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针对本项目的需求制定实施方案，内容包括：</w:t>
            </w:r>
          </w:p>
          <w:p w14:paraId="30B5E88C">
            <w:pPr>
              <w:keepNext w:val="0"/>
              <w:keepLines w:val="0"/>
              <w:pageBreakBefore w:val="0"/>
              <w:widowControl/>
              <w:suppressLineNumbers w:val="0"/>
              <w:kinsoku/>
              <w:overflowPunct/>
              <w:topLinePunct w:val="0"/>
              <w:bidi w:val="0"/>
              <w:snapToGrid w:val="0"/>
              <w:spacing w:before="0" w:beforeAutospacing="0" w:after="0" w:afterAutospacing="0"/>
              <w:ind w:left="0" w:right="0" w:firstLine="0" w:firstLineChars="0"/>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（1）整体设想及策划；</w:t>
            </w:r>
          </w:p>
          <w:p w14:paraId="5D7E4920">
            <w:pPr>
              <w:keepNext w:val="0"/>
              <w:keepLines w:val="0"/>
              <w:pageBreakBefore w:val="0"/>
              <w:widowControl/>
              <w:suppressLineNumbers w:val="0"/>
              <w:kinsoku/>
              <w:overflowPunct/>
              <w:topLinePunct w:val="0"/>
              <w:bidi w:val="0"/>
              <w:snapToGrid w:val="0"/>
              <w:spacing w:before="0" w:beforeAutospacing="0" w:after="0" w:afterAutospacing="0"/>
              <w:ind w:left="0" w:right="0" w:firstLine="0" w:firstLineChars="0"/>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（2）管理措施；</w:t>
            </w:r>
          </w:p>
          <w:p w14:paraId="4ADD55A4">
            <w:pPr>
              <w:keepNext w:val="0"/>
              <w:keepLines w:val="0"/>
              <w:pageBreakBefore w:val="0"/>
              <w:widowControl/>
              <w:suppressLineNumbers w:val="0"/>
              <w:kinsoku/>
              <w:overflowPunct/>
              <w:topLinePunct w:val="0"/>
              <w:bidi w:val="0"/>
              <w:snapToGrid w:val="0"/>
              <w:spacing w:before="0" w:beforeAutospacing="0" w:after="0" w:afterAutospacing="0"/>
              <w:ind w:left="0" w:right="0" w:firstLine="0" w:firstLineChars="0"/>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（3）服务质量保障措施。</w:t>
            </w:r>
          </w:p>
          <w:p w14:paraId="4A1FCC3C">
            <w:pPr>
              <w:keepNext w:val="0"/>
              <w:keepLines w:val="0"/>
              <w:pageBreakBefore w:val="0"/>
              <w:widowControl/>
              <w:suppressLineNumbers w:val="0"/>
              <w:kinsoku/>
              <w:overflowPunct/>
              <w:topLinePunct w:val="0"/>
              <w:bidi w:val="0"/>
              <w:snapToGrid w:val="0"/>
              <w:spacing w:before="0" w:beforeAutospacing="0" w:after="0" w:afterAutospacing="0"/>
              <w:ind w:left="0" w:right="0" w:firstLine="0" w:firstLineChars="0"/>
              <w:jc w:val="both"/>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（二）评分依据：</w:t>
            </w:r>
          </w:p>
          <w:p w14:paraId="3E81ED90">
            <w:pPr>
              <w:keepNext w:val="0"/>
              <w:keepLines w:val="0"/>
              <w:pageBreakBefore w:val="0"/>
              <w:widowControl/>
              <w:suppressLineNumbers w:val="0"/>
              <w:kinsoku/>
              <w:overflowPunct/>
              <w:topLinePunct w:val="0"/>
              <w:bidi w:val="0"/>
              <w:snapToGrid w:val="0"/>
              <w:spacing w:before="0" w:beforeAutospacing="0" w:after="0" w:afterAutospacing="0"/>
              <w:ind w:left="0" w:right="0" w:firstLine="0" w:firstLineChars="0"/>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满足三点得80分，满足任意二点得40分，满足任意一点得20分，其它情况得0分。</w:t>
            </w:r>
          </w:p>
          <w:p w14:paraId="038765B6">
            <w:pPr>
              <w:keepNext w:val="0"/>
              <w:keepLines w:val="0"/>
              <w:pageBreakBefore w:val="0"/>
              <w:widowControl/>
              <w:suppressLineNumbers w:val="0"/>
              <w:kinsoku/>
              <w:overflowPunct/>
              <w:topLinePunct w:val="0"/>
              <w:bidi w:val="0"/>
              <w:snapToGrid w:val="0"/>
              <w:spacing w:before="0" w:beforeAutospacing="0" w:after="0" w:afterAutospacing="0"/>
              <w:ind w:left="0" w:right="0" w:firstLine="0" w:firstLineChars="0"/>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在此基础上，专家根据各投标人的具体响应内容按照量化的评审因素指标进一步评审:</w:t>
            </w:r>
          </w:p>
          <w:p w14:paraId="1CBB80BF">
            <w:pPr>
              <w:keepNext w:val="0"/>
              <w:keepLines w:val="0"/>
              <w:pageBreakBefore w:val="0"/>
              <w:widowControl/>
              <w:suppressLineNumbers w:val="0"/>
              <w:kinsoku/>
              <w:overflowPunct/>
              <w:topLinePunct w:val="0"/>
              <w:bidi w:val="0"/>
              <w:snapToGrid w:val="0"/>
              <w:spacing w:before="0" w:beforeAutospacing="0" w:after="0" w:afterAutospacing="0"/>
              <w:ind w:left="0" w:right="0" w:firstLine="0" w:firstLineChars="0"/>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评审为优:方案内容完整准确、思路清晰，紧密贴合实际的加20分；</w:t>
            </w:r>
          </w:p>
          <w:p w14:paraId="1AC88C18">
            <w:pPr>
              <w:keepNext w:val="0"/>
              <w:keepLines w:val="0"/>
              <w:pageBreakBefore w:val="0"/>
              <w:widowControl/>
              <w:suppressLineNumbers w:val="0"/>
              <w:kinsoku/>
              <w:overflowPunct/>
              <w:topLinePunct w:val="0"/>
              <w:bidi w:val="0"/>
              <w:snapToGrid w:val="0"/>
              <w:spacing w:before="0" w:beforeAutospacing="0" w:after="0" w:afterAutospacing="0"/>
              <w:ind w:left="0" w:right="0" w:firstLine="0" w:firstLineChars="0"/>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评审为良:方案内容比较准确、思路较为清晰，贴合实际的加15分；</w:t>
            </w:r>
          </w:p>
          <w:p w14:paraId="59045C58">
            <w:pPr>
              <w:keepNext w:val="0"/>
              <w:keepLines w:val="0"/>
              <w:pageBreakBefore w:val="0"/>
              <w:widowControl/>
              <w:suppressLineNumbers w:val="0"/>
              <w:kinsoku/>
              <w:overflowPunct/>
              <w:topLinePunct w:val="0"/>
              <w:bidi w:val="0"/>
              <w:snapToGrid w:val="0"/>
              <w:spacing w:before="0" w:beforeAutospacing="0" w:after="0" w:afterAutospacing="0"/>
              <w:ind w:left="0" w:right="0" w:firstLine="0" w:firstLineChars="0"/>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评审为中:方案内容比较准确、思路较为清晰，但与本项目贴合不够紧密的加10分；</w:t>
            </w:r>
          </w:p>
          <w:p w14:paraId="7EF1A780">
            <w:pPr>
              <w:keepNext w:val="0"/>
              <w:keepLines w:val="0"/>
              <w:pageBreakBefore w:val="0"/>
              <w:widowControl/>
              <w:suppressLineNumbers w:val="0"/>
              <w:kinsoku/>
              <w:overflowPunct/>
              <w:topLinePunct w:val="0"/>
              <w:bidi w:val="0"/>
              <w:snapToGrid w:val="0"/>
              <w:spacing w:before="0" w:beforeAutospacing="0" w:after="0" w:afterAutospacing="0"/>
              <w:ind w:left="0" w:right="0" w:firstLine="0" w:firstLineChars="0"/>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评审为差：</w:t>
            </w:r>
            <w:r>
              <w:rPr>
                <w:rFonts w:hint="eastAsia" w:ascii="宋体" w:hAnsi="宋体" w:eastAsia="宋体" w:cs="宋体"/>
                <w:kern w:val="2"/>
                <w:sz w:val="21"/>
                <w:szCs w:val="21"/>
                <w:lang w:val="zh-CN" w:eastAsia="zh-CN"/>
              </w:rPr>
              <w:t>方案不合理、无针对性、无可操作性的</w:t>
            </w:r>
            <w:r>
              <w:rPr>
                <w:rFonts w:hint="eastAsia" w:ascii="宋体" w:hAnsi="宋体" w:eastAsia="宋体" w:cs="宋体"/>
                <w:sz w:val="21"/>
                <w:szCs w:val="21"/>
                <w:lang w:eastAsia="zh-CN"/>
              </w:rPr>
              <w:t>得0分。</w:t>
            </w:r>
          </w:p>
          <w:p w14:paraId="399323F4">
            <w:pPr>
              <w:keepNext w:val="0"/>
              <w:keepLines w:val="0"/>
              <w:pageBreakBefore w:val="0"/>
              <w:widowControl w:val="0"/>
              <w:suppressLineNumbers w:val="0"/>
              <w:kinsoku/>
              <w:overflowPunct/>
              <w:topLinePunct w:val="0"/>
              <w:bidi w:val="0"/>
              <w:spacing w:before="0" w:beforeAutospacing="0" w:after="0" w:afterAutospacing="0"/>
              <w:ind w:left="0" w:right="0" w:firstLine="0" w:firstLineChars="0"/>
              <w:jc w:val="both"/>
              <w:textAlignment w:val="auto"/>
              <w:rPr>
                <w:rFonts w:hint="eastAsia" w:ascii="宋体" w:hAnsi="宋体" w:eastAsia="宋体" w:cs="宋体"/>
                <w:kern w:val="2"/>
                <w:sz w:val="21"/>
                <w:szCs w:val="21"/>
                <w:lang w:eastAsia="zh-CN"/>
              </w:rPr>
            </w:pPr>
            <w:r>
              <w:rPr>
                <w:rFonts w:hint="eastAsia" w:ascii="宋体" w:hAnsi="宋体" w:eastAsia="宋体" w:cs="宋体"/>
                <w:sz w:val="21"/>
                <w:szCs w:val="21"/>
                <w:lang w:eastAsia="zh-CN"/>
              </w:rPr>
              <w:t>如果评审为差，要求专家书面说明理由，并记录在档。</w:t>
            </w:r>
          </w:p>
        </w:tc>
      </w:tr>
      <w:tr w14:paraId="05DAC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32" w:type="dxa"/>
            <w:vMerge w:val="restart"/>
            <w:noWrap w:val="0"/>
            <w:vAlign w:val="center"/>
          </w:tcPr>
          <w:p w14:paraId="070485A6">
            <w:pPr>
              <w:keepNext w:val="0"/>
              <w:keepLines w:val="0"/>
              <w:pageBreakBefore w:val="0"/>
              <w:widowControl w:val="0"/>
              <w:suppressLineNumbers w:val="0"/>
              <w:kinsoku/>
              <w:overflowPunct/>
              <w:topLinePunct w:val="0"/>
              <w:bidi w:val="0"/>
              <w:spacing w:before="0" w:beforeAutospacing="0" w:after="0" w:afterAutospacing="0"/>
              <w:ind w:left="0" w:right="0" w:firstLine="0" w:firstLineChars="0"/>
              <w:jc w:val="both"/>
              <w:textAlignment w:val="auto"/>
              <w:rPr>
                <w:rFonts w:hint="eastAsia" w:ascii="宋体" w:hAnsi="宋体" w:eastAsia="宋体" w:cs="宋体"/>
                <w:b/>
                <w:bCs/>
                <w:color w:val="0000FF"/>
                <w:kern w:val="2"/>
                <w:sz w:val="21"/>
                <w:szCs w:val="21"/>
                <w:lang w:eastAsia="zh-CN"/>
              </w:rPr>
            </w:pPr>
          </w:p>
        </w:tc>
        <w:tc>
          <w:tcPr>
            <w:tcW w:w="719" w:type="dxa"/>
            <w:noWrap w:val="0"/>
            <w:vAlign w:val="center"/>
          </w:tcPr>
          <w:p w14:paraId="00BF33DB">
            <w:pPr>
              <w:keepNext w:val="0"/>
              <w:keepLines w:val="0"/>
              <w:pageBreakBefore w:val="0"/>
              <w:widowControl w:val="0"/>
              <w:suppressLineNumbers w:val="0"/>
              <w:kinsoku/>
              <w:wordWrap w:val="0"/>
              <w:overflowPunct/>
              <w:topLinePunct w:val="0"/>
              <w:bidi w:val="0"/>
              <w:spacing w:before="0" w:beforeAutospacing="0" w:after="0" w:afterAutospacing="0"/>
              <w:ind w:left="0" w:right="0" w:firstLine="0" w:firstLineChars="0"/>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w:t>
            </w:r>
          </w:p>
        </w:tc>
        <w:tc>
          <w:tcPr>
            <w:tcW w:w="1905" w:type="dxa"/>
            <w:noWrap w:val="0"/>
            <w:vAlign w:val="center"/>
          </w:tcPr>
          <w:p w14:paraId="523053BF">
            <w:pPr>
              <w:keepNext w:val="0"/>
              <w:keepLines w:val="0"/>
              <w:pageBreakBefore w:val="0"/>
              <w:widowControl w:val="0"/>
              <w:suppressLineNumbers w:val="0"/>
              <w:kinsoku/>
              <w:wordWrap w:val="0"/>
              <w:overflowPunct/>
              <w:topLinePunct w:val="0"/>
              <w:bidi w:val="0"/>
              <w:spacing w:before="0" w:beforeAutospacing="0" w:after="0" w:afterAutospacing="0"/>
              <w:ind w:left="0" w:right="0" w:firstLine="0" w:firstLineChars="0"/>
              <w:jc w:val="center"/>
              <w:textAlignment w:val="auto"/>
              <w:rPr>
                <w:rFonts w:hint="eastAsia" w:ascii="宋体" w:hAnsi="宋体" w:eastAsia="宋体" w:cs="宋体"/>
                <w:kern w:val="2"/>
                <w:sz w:val="21"/>
                <w:szCs w:val="21"/>
                <w:lang w:eastAsia="zh-CN"/>
              </w:rPr>
            </w:pPr>
            <w:r>
              <w:rPr>
                <w:rFonts w:hint="eastAsia" w:ascii="宋体" w:hAnsi="宋体" w:eastAsia="宋体" w:cs="宋体"/>
                <w:sz w:val="21"/>
                <w:szCs w:val="21"/>
                <w:lang w:eastAsia="zh-CN"/>
              </w:rPr>
              <w:t>项目重点难点分析、应对措施及相关的合理化建议</w:t>
            </w:r>
          </w:p>
        </w:tc>
        <w:tc>
          <w:tcPr>
            <w:tcW w:w="714" w:type="dxa"/>
            <w:noWrap w:val="0"/>
            <w:vAlign w:val="center"/>
          </w:tcPr>
          <w:p w14:paraId="512AB411">
            <w:pPr>
              <w:keepNext w:val="0"/>
              <w:keepLines w:val="0"/>
              <w:pageBreakBefore w:val="0"/>
              <w:widowControl w:val="0"/>
              <w:suppressLineNumbers w:val="0"/>
              <w:kinsoku/>
              <w:wordWrap w:val="0"/>
              <w:overflowPunct/>
              <w:topLinePunct w:val="0"/>
              <w:bidi w:val="0"/>
              <w:spacing w:before="0" w:beforeAutospacing="0" w:after="0" w:afterAutospacing="0"/>
              <w:ind w:left="0" w:right="0" w:firstLine="0" w:firstLineChars="0"/>
              <w:jc w:val="center"/>
              <w:textAlignment w:val="auto"/>
              <w:rPr>
                <w:rFonts w:hint="eastAsia" w:ascii="宋体" w:hAnsi="宋体" w:eastAsia="宋体" w:cs="宋体"/>
                <w:kern w:val="2"/>
                <w:sz w:val="21"/>
                <w:szCs w:val="21"/>
                <w:lang w:eastAsia="zh-CN"/>
              </w:rPr>
            </w:pPr>
            <w:r>
              <w:rPr>
                <w:rFonts w:hint="eastAsia" w:ascii="宋体" w:hAnsi="宋体" w:eastAsia="宋体" w:cs="宋体"/>
                <w:sz w:val="21"/>
                <w:szCs w:val="21"/>
                <w:lang w:eastAsia="zh-CN"/>
              </w:rPr>
              <w:t>15</w:t>
            </w:r>
          </w:p>
        </w:tc>
        <w:tc>
          <w:tcPr>
            <w:tcW w:w="5155" w:type="dxa"/>
            <w:noWrap w:val="0"/>
            <w:vAlign w:val="top"/>
          </w:tcPr>
          <w:p w14:paraId="3F3FF5F8">
            <w:pPr>
              <w:keepNext w:val="0"/>
              <w:keepLines w:val="0"/>
              <w:pageBreakBefore w:val="0"/>
              <w:widowControl/>
              <w:suppressLineNumbers w:val="0"/>
              <w:kinsoku/>
              <w:overflowPunct/>
              <w:topLinePunct w:val="0"/>
              <w:bidi w:val="0"/>
              <w:snapToGrid w:val="0"/>
              <w:spacing w:before="0" w:beforeAutospacing="0" w:after="0" w:afterAutospacing="0"/>
              <w:ind w:left="0" w:right="0" w:firstLine="0" w:firstLineChars="0"/>
              <w:jc w:val="both"/>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（一）评分内容：</w:t>
            </w:r>
          </w:p>
          <w:p w14:paraId="6C121349">
            <w:pPr>
              <w:keepNext w:val="0"/>
              <w:keepLines w:val="0"/>
              <w:pageBreakBefore w:val="0"/>
              <w:widowControl/>
              <w:suppressLineNumbers w:val="0"/>
              <w:kinsoku/>
              <w:overflowPunct/>
              <w:topLinePunct w:val="0"/>
              <w:bidi w:val="0"/>
              <w:snapToGrid w:val="0"/>
              <w:spacing w:before="0" w:beforeAutospacing="0" w:after="0" w:afterAutospacing="0"/>
              <w:ind w:left="0" w:right="0" w:firstLine="0" w:firstLineChars="0"/>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考察针对本项目重点难点、应对措施及相关的合理化建议，内容包括：</w:t>
            </w:r>
          </w:p>
          <w:p w14:paraId="74C23BB6">
            <w:pPr>
              <w:keepNext w:val="0"/>
              <w:keepLines w:val="0"/>
              <w:pageBreakBefore w:val="0"/>
              <w:widowControl/>
              <w:suppressLineNumbers w:val="0"/>
              <w:kinsoku/>
              <w:overflowPunct/>
              <w:topLinePunct w:val="0"/>
              <w:bidi w:val="0"/>
              <w:snapToGrid w:val="0"/>
              <w:spacing w:before="0" w:beforeAutospacing="0" w:after="0" w:afterAutospacing="0"/>
              <w:ind w:left="0" w:right="0" w:firstLine="0" w:firstLineChars="0"/>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（1）重点难点分析；</w:t>
            </w:r>
          </w:p>
          <w:p w14:paraId="3B5E7C4A">
            <w:pPr>
              <w:keepNext w:val="0"/>
              <w:keepLines w:val="0"/>
              <w:pageBreakBefore w:val="0"/>
              <w:widowControl/>
              <w:suppressLineNumbers w:val="0"/>
              <w:kinsoku/>
              <w:overflowPunct/>
              <w:topLinePunct w:val="0"/>
              <w:bidi w:val="0"/>
              <w:snapToGrid w:val="0"/>
              <w:spacing w:before="0" w:beforeAutospacing="0" w:after="0" w:afterAutospacing="0"/>
              <w:ind w:left="0" w:right="0" w:firstLine="0" w:firstLineChars="0"/>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（2）应对措施；</w:t>
            </w:r>
          </w:p>
          <w:p w14:paraId="14A53E40">
            <w:pPr>
              <w:keepNext w:val="0"/>
              <w:keepLines w:val="0"/>
              <w:pageBreakBefore w:val="0"/>
              <w:widowControl/>
              <w:suppressLineNumbers w:val="0"/>
              <w:kinsoku/>
              <w:overflowPunct/>
              <w:topLinePunct w:val="0"/>
              <w:bidi w:val="0"/>
              <w:snapToGrid w:val="0"/>
              <w:spacing w:before="0" w:beforeAutospacing="0" w:after="0" w:afterAutospacing="0"/>
              <w:ind w:left="0" w:right="0" w:firstLine="0" w:firstLineChars="0"/>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（3）相关合理化建议；</w:t>
            </w:r>
          </w:p>
          <w:p w14:paraId="4754461B">
            <w:pPr>
              <w:keepNext w:val="0"/>
              <w:keepLines w:val="0"/>
              <w:pageBreakBefore w:val="0"/>
              <w:widowControl/>
              <w:suppressLineNumbers w:val="0"/>
              <w:kinsoku/>
              <w:overflowPunct/>
              <w:topLinePunct w:val="0"/>
              <w:bidi w:val="0"/>
              <w:snapToGrid w:val="0"/>
              <w:spacing w:before="0" w:beforeAutospacing="0" w:after="0" w:afterAutospacing="0"/>
              <w:ind w:left="0" w:right="0" w:firstLine="0" w:firstLineChars="0"/>
              <w:jc w:val="both"/>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（二）评审依据：</w:t>
            </w:r>
          </w:p>
          <w:p w14:paraId="400E08E1">
            <w:pPr>
              <w:keepNext w:val="0"/>
              <w:keepLines w:val="0"/>
              <w:pageBreakBefore w:val="0"/>
              <w:widowControl/>
              <w:suppressLineNumbers w:val="0"/>
              <w:kinsoku/>
              <w:overflowPunct/>
              <w:topLinePunct w:val="0"/>
              <w:bidi w:val="0"/>
              <w:snapToGrid w:val="0"/>
              <w:spacing w:before="0" w:beforeAutospacing="0" w:after="0" w:afterAutospacing="0"/>
              <w:ind w:left="0" w:right="0" w:firstLine="0" w:firstLineChars="0"/>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1.考察以上内容，满足上述三项内容的得80分；满足上述任意二项的得40分；满足上述任意一项的得20分；其他不得分。</w:t>
            </w:r>
          </w:p>
          <w:p w14:paraId="5A755689">
            <w:pPr>
              <w:keepNext w:val="0"/>
              <w:keepLines w:val="0"/>
              <w:pageBreakBefore w:val="0"/>
              <w:widowControl/>
              <w:suppressLineNumbers w:val="0"/>
              <w:kinsoku/>
              <w:overflowPunct/>
              <w:topLinePunct w:val="0"/>
              <w:bidi w:val="0"/>
              <w:snapToGrid w:val="0"/>
              <w:spacing w:before="0" w:beforeAutospacing="0" w:after="0" w:afterAutospacing="0"/>
              <w:ind w:left="0" w:right="0" w:firstLine="0" w:firstLineChars="0"/>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在上述基础上，专家根据各投标人的具体响应内容按照量化的评审因素指标进一步评审。</w:t>
            </w:r>
          </w:p>
          <w:p w14:paraId="49DBE82C">
            <w:pPr>
              <w:keepNext w:val="0"/>
              <w:keepLines w:val="0"/>
              <w:pageBreakBefore w:val="0"/>
              <w:widowControl/>
              <w:suppressLineNumbers w:val="0"/>
              <w:kinsoku/>
              <w:overflowPunct/>
              <w:topLinePunct w:val="0"/>
              <w:bidi w:val="0"/>
              <w:snapToGrid w:val="0"/>
              <w:spacing w:before="0" w:beforeAutospacing="0" w:after="0" w:afterAutospacing="0"/>
              <w:ind w:left="0" w:right="0" w:firstLine="0" w:firstLineChars="0"/>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评审为优:方案内容完整准确、思路清晰，紧密贴合实际的加20分；</w:t>
            </w:r>
          </w:p>
          <w:p w14:paraId="71F1402E">
            <w:pPr>
              <w:keepNext w:val="0"/>
              <w:keepLines w:val="0"/>
              <w:pageBreakBefore w:val="0"/>
              <w:widowControl/>
              <w:suppressLineNumbers w:val="0"/>
              <w:kinsoku/>
              <w:overflowPunct/>
              <w:topLinePunct w:val="0"/>
              <w:bidi w:val="0"/>
              <w:snapToGrid w:val="0"/>
              <w:spacing w:before="0" w:beforeAutospacing="0" w:after="0" w:afterAutospacing="0"/>
              <w:ind w:left="0" w:right="0" w:firstLine="0" w:firstLineChars="0"/>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评审为良:方案内容比较准确、思路较为清晰，贴合实际的加15分；</w:t>
            </w:r>
          </w:p>
          <w:p w14:paraId="47BAD2E1">
            <w:pPr>
              <w:keepNext w:val="0"/>
              <w:keepLines w:val="0"/>
              <w:pageBreakBefore w:val="0"/>
              <w:widowControl/>
              <w:suppressLineNumbers w:val="0"/>
              <w:kinsoku/>
              <w:overflowPunct/>
              <w:topLinePunct w:val="0"/>
              <w:bidi w:val="0"/>
              <w:snapToGrid w:val="0"/>
              <w:spacing w:before="0" w:beforeAutospacing="0" w:after="0" w:afterAutospacing="0"/>
              <w:ind w:left="0" w:right="0" w:firstLine="0" w:firstLineChars="0"/>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评审为中:方案内容比较准确、思路较为清晰，但与本项目贴合不够紧密的加10分；</w:t>
            </w:r>
          </w:p>
          <w:p w14:paraId="15F93F12">
            <w:pPr>
              <w:keepNext w:val="0"/>
              <w:keepLines w:val="0"/>
              <w:pageBreakBefore w:val="0"/>
              <w:widowControl/>
              <w:suppressLineNumbers w:val="0"/>
              <w:kinsoku/>
              <w:overflowPunct/>
              <w:topLinePunct w:val="0"/>
              <w:bidi w:val="0"/>
              <w:snapToGrid w:val="0"/>
              <w:spacing w:before="0" w:beforeAutospacing="0" w:after="0" w:afterAutospacing="0"/>
              <w:ind w:left="0" w:right="0" w:firstLine="0" w:firstLineChars="0"/>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评审为差：</w:t>
            </w:r>
            <w:r>
              <w:rPr>
                <w:rFonts w:hint="eastAsia" w:ascii="宋体" w:hAnsi="宋体" w:eastAsia="宋体" w:cs="宋体"/>
                <w:kern w:val="2"/>
                <w:sz w:val="21"/>
                <w:szCs w:val="21"/>
                <w:lang w:val="zh-CN" w:eastAsia="zh-CN"/>
              </w:rPr>
              <w:t>方案不合理、无针对性、无可操作性的</w:t>
            </w:r>
            <w:r>
              <w:rPr>
                <w:rFonts w:hint="eastAsia" w:ascii="宋体" w:hAnsi="宋体" w:eastAsia="宋体" w:cs="宋体"/>
                <w:sz w:val="21"/>
                <w:szCs w:val="21"/>
                <w:lang w:eastAsia="zh-CN"/>
              </w:rPr>
              <w:t>得0分。</w:t>
            </w:r>
          </w:p>
          <w:p w14:paraId="0D8A2C0C">
            <w:pPr>
              <w:keepNext w:val="0"/>
              <w:keepLines w:val="0"/>
              <w:pageBreakBefore w:val="0"/>
              <w:widowControl w:val="0"/>
              <w:suppressLineNumbers w:val="0"/>
              <w:kinsoku/>
              <w:overflowPunct/>
              <w:topLinePunct w:val="0"/>
              <w:bidi w:val="0"/>
              <w:spacing w:before="0" w:beforeAutospacing="0" w:after="0" w:afterAutospacing="0"/>
              <w:ind w:left="0" w:right="0" w:firstLine="0" w:firstLineChars="0"/>
              <w:jc w:val="both"/>
              <w:textAlignment w:val="auto"/>
              <w:rPr>
                <w:rFonts w:hint="eastAsia" w:ascii="宋体" w:hAnsi="宋体" w:eastAsia="宋体" w:cs="宋体"/>
                <w:kern w:val="2"/>
                <w:sz w:val="21"/>
                <w:szCs w:val="21"/>
                <w:lang w:eastAsia="zh-CN"/>
              </w:rPr>
            </w:pPr>
            <w:r>
              <w:rPr>
                <w:rFonts w:hint="eastAsia" w:ascii="宋体" w:hAnsi="宋体" w:eastAsia="宋体" w:cs="宋体"/>
                <w:sz w:val="21"/>
                <w:szCs w:val="21"/>
                <w:lang w:eastAsia="zh-CN"/>
              </w:rPr>
              <w:t>如果评审为差，要求专家书面说明理由，并记录在档。</w:t>
            </w:r>
          </w:p>
        </w:tc>
      </w:tr>
      <w:tr w14:paraId="3429E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32" w:type="dxa"/>
            <w:vMerge w:val="continue"/>
            <w:noWrap w:val="0"/>
            <w:vAlign w:val="center"/>
          </w:tcPr>
          <w:p w14:paraId="68B151E6">
            <w:pPr>
              <w:keepNext w:val="0"/>
              <w:keepLines w:val="0"/>
              <w:pageBreakBefore w:val="0"/>
              <w:widowControl w:val="0"/>
              <w:suppressLineNumbers w:val="0"/>
              <w:kinsoku/>
              <w:overflowPunct/>
              <w:topLinePunct w:val="0"/>
              <w:bidi w:val="0"/>
              <w:spacing w:before="0" w:beforeAutospacing="0" w:after="0" w:afterAutospacing="0"/>
              <w:ind w:left="0" w:right="0" w:firstLine="0" w:firstLineChars="0"/>
              <w:jc w:val="both"/>
              <w:textAlignment w:val="auto"/>
              <w:rPr>
                <w:rFonts w:hint="eastAsia" w:ascii="宋体" w:hAnsi="宋体" w:eastAsia="宋体" w:cs="宋体"/>
                <w:b/>
                <w:bCs/>
                <w:color w:val="0000FF"/>
                <w:kern w:val="2"/>
                <w:sz w:val="21"/>
                <w:szCs w:val="21"/>
                <w:lang w:eastAsia="zh-CN"/>
              </w:rPr>
            </w:pPr>
          </w:p>
        </w:tc>
        <w:tc>
          <w:tcPr>
            <w:tcW w:w="719" w:type="dxa"/>
            <w:noWrap w:val="0"/>
            <w:vAlign w:val="center"/>
          </w:tcPr>
          <w:p w14:paraId="21C41E11">
            <w:pPr>
              <w:keepNext w:val="0"/>
              <w:keepLines w:val="0"/>
              <w:pageBreakBefore w:val="0"/>
              <w:widowControl w:val="0"/>
              <w:suppressLineNumbers w:val="0"/>
              <w:kinsoku/>
              <w:wordWrap w:val="0"/>
              <w:overflowPunct/>
              <w:topLinePunct w:val="0"/>
              <w:bidi w:val="0"/>
              <w:spacing w:before="0" w:beforeAutospacing="0" w:after="0" w:afterAutospacing="0"/>
              <w:ind w:left="0" w:right="0" w:firstLine="0" w:firstLineChars="0"/>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w:t>
            </w:r>
          </w:p>
        </w:tc>
        <w:tc>
          <w:tcPr>
            <w:tcW w:w="1905" w:type="dxa"/>
            <w:noWrap w:val="0"/>
            <w:vAlign w:val="center"/>
          </w:tcPr>
          <w:p w14:paraId="13DDE1F6">
            <w:pPr>
              <w:keepNext w:val="0"/>
              <w:keepLines w:val="0"/>
              <w:pageBreakBefore w:val="0"/>
              <w:widowControl w:val="0"/>
              <w:suppressLineNumbers w:val="0"/>
              <w:kinsoku/>
              <w:wordWrap w:val="0"/>
              <w:overflowPunct/>
              <w:topLinePunct w:val="0"/>
              <w:bidi w:val="0"/>
              <w:spacing w:before="0" w:beforeAutospacing="0" w:after="0" w:afterAutospacing="0"/>
              <w:ind w:left="0" w:right="0" w:firstLine="0" w:firstLineChars="0"/>
              <w:jc w:val="center"/>
              <w:textAlignment w:val="auto"/>
              <w:rPr>
                <w:rFonts w:hint="eastAsia" w:ascii="宋体" w:hAnsi="宋体" w:eastAsia="宋体" w:cs="宋体"/>
                <w:kern w:val="2"/>
                <w:sz w:val="21"/>
                <w:szCs w:val="21"/>
                <w:lang w:eastAsia="zh-CN"/>
              </w:rPr>
            </w:pPr>
            <w:r>
              <w:rPr>
                <w:rFonts w:hint="eastAsia" w:ascii="宋体" w:hAnsi="宋体" w:eastAsia="宋体" w:cs="宋体"/>
                <w:sz w:val="21"/>
                <w:szCs w:val="21"/>
                <w:lang w:eastAsia="zh-CN"/>
              </w:rPr>
              <w:t>质量（完成时间、安全、环保）保障措施及方案</w:t>
            </w:r>
          </w:p>
        </w:tc>
        <w:tc>
          <w:tcPr>
            <w:tcW w:w="714" w:type="dxa"/>
            <w:noWrap w:val="0"/>
            <w:vAlign w:val="center"/>
          </w:tcPr>
          <w:p w14:paraId="4D10F152">
            <w:pPr>
              <w:keepNext w:val="0"/>
              <w:keepLines w:val="0"/>
              <w:pageBreakBefore w:val="0"/>
              <w:widowControl w:val="0"/>
              <w:suppressLineNumbers w:val="0"/>
              <w:kinsoku/>
              <w:wordWrap w:val="0"/>
              <w:overflowPunct/>
              <w:topLinePunct w:val="0"/>
              <w:bidi w:val="0"/>
              <w:spacing w:before="0" w:beforeAutospacing="0" w:after="0" w:afterAutospacing="0"/>
              <w:ind w:left="0" w:right="0" w:firstLine="0" w:firstLineChars="0"/>
              <w:jc w:val="center"/>
              <w:textAlignment w:val="auto"/>
              <w:rPr>
                <w:rFonts w:hint="eastAsia" w:ascii="宋体" w:hAnsi="宋体" w:eastAsia="宋体" w:cs="宋体"/>
                <w:kern w:val="2"/>
                <w:sz w:val="21"/>
                <w:szCs w:val="21"/>
                <w:lang w:eastAsia="zh-CN"/>
              </w:rPr>
            </w:pPr>
            <w:r>
              <w:rPr>
                <w:rFonts w:hint="eastAsia" w:ascii="宋体" w:hAnsi="宋体" w:eastAsia="宋体" w:cs="宋体"/>
                <w:sz w:val="21"/>
                <w:szCs w:val="21"/>
                <w:lang w:eastAsia="zh-CN"/>
              </w:rPr>
              <w:t>10</w:t>
            </w:r>
          </w:p>
        </w:tc>
        <w:tc>
          <w:tcPr>
            <w:tcW w:w="5155" w:type="dxa"/>
            <w:noWrap w:val="0"/>
            <w:vAlign w:val="top"/>
          </w:tcPr>
          <w:p w14:paraId="07BA5FD1">
            <w:pPr>
              <w:keepNext w:val="0"/>
              <w:keepLines w:val="0"/>
              <w:pageBreakBefore w:val="0"/>
              <w:widowControl/>
              <w:suppressLineNumbers w:val="0"/>
              <w:kinsoku/>
              <w:overflowPunct/>
              <w:topLinePunct w:val="0"/>
              <w:bidi w:val="0"/>
              <w:snapToGrid w:val="0"/>
              <w:spacing w:before="0" w:beforeAutospacing="0" w:after="0" w:afterAutospacing="0"/>
              <w:ind w:left="0" w:right="0" w:firstLine="0" w:firstLineChars="0"/>
              <w:jc w:val="both"/>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（一）评分内容：</w:t>
            </w:r>
          </w:p>
          <w:p w14:paraId="3F81B828">
            <w:pPr>
              <w:keepNext w:val="0"/>
              <w:keepLines w:val="0"/>
              <w:pageBreakBefore w:val="0"/>
              <w:widowControl/>
              <w:suppressLineNumbers w:val="0"/>
              <w:kinsoku/>
              <w:overflowPunct/>
              <w:topLinePunct w:val="0"/>
              <w:bidi w:val="0"/>
              <w:snapToGrid w:val="0"/>
              <w:spacing w:before="0" w:beforeAutospacing="0" w:after="0" w:afterAutospacing="0"/>
              <w:ind w:left="0" w:right="0" w:firstLine="0" w:firstLineChars="0"/>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考察针对本项目的质量保障措施及方案，内容包括：</w:t>
            </w:r>
          </w:p>
          <w:p w14:paraId="64C5DE36">
            <w:pPr>
              <w:keepNext w:val="0"/>
              <w:keepLines w:val="0"/>
              <w:pageBreakBefore w:val="0"/>
              <w:widowControl/>
              <w:suppressLineNumbers w:val="0"/>
              <w:kinsoku/>
              <w:overflowPunct/>
              <w:topLinePunct w:val="0"/>
              <w:bidi w:val="0"/>
              <w:snapToGrid w:val="0"/>
              <w:spacing w:before="0" w:beforeAutospacing="0" w:after="0" w:afterAutospacing="0"/>
              <w:ind w:left="0" w:right="0" w:firstLine="0" w:firstLineChars="0"/>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（1）各项服务内容的保障措施；</w:t>
            </w:r>
          </w:p>
          <w:p w14:paraId="366CF5F9">
            <w:pPr>
              <w:keepNext w:val="0"/>
              <w:keepLines w:val="0"/>
              <w:pageBreakBefore w:val="0"/>
              <w:widowControl/>
              <w:suppressLineNumbers w:val="0"/>
              <w:kinsoku/>
              <w:overflowPunct/>
              <w:topLinePunct w:val="0"/>
              <w:bidi w:val="0"/>
              <w:snapToGrid w:val="0"/>
              <w:spacing w:before="0" w:beforeAutospacing="0" w:after="0" w:afterAutospacing="0"/>
              <w:ind w:left="0" w:right="0" w:firstLine="0" w:firstLineChars="0"/>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（2）突发事件应急预案；</w:t>
            </w:r>
          </w:p>
          <w:p w14:paraId="74148E0B">
            <w:pPr>
              <w:keepNext w:val="0"/>
              <w:keepLines w:val="0"/>
              <w:pageBreakBefore w:val="0"/>
              <w:widowControl/>
              <w:suppressLineNumbers w:val="0"/>
              <w:kinsoku/>
              <w:overflowPunct/>
              <w:topLinePunct w:val="0"/>
              <w:bidi w:val="0"/>
              <w:snapToGrid w:val="0"/>
              <w:spacing w:before="0" w:beforeAutospacing="0" w:after="0" w:afterAutospacing="0"/>
              <w:ind w:left="0" w:right="0" w:firstLine="0" w:firstLineChars="0"/>
              <w:jc w:val="both"/>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 xml:space="preserve">（二）评分依据： </w:t>
            </w:r>
          </w:p>
          <w:p w14:paraId="7E8E779A">
            <w:pPr>
              <w:keepNext w:val="0"/>
              <w:keepLines w:val="0"/>
              <w:pageBreakBefore w:val="0"/>
              <w:widowControl/>
              <w:suppressLineNumbers w:val="0"/>
              <w:kinsoku/>
              <w:overflowPunct/>
              <w:topLinePunct w:val="0"/>
              <w:bidi w:val="0"/>
              <w:snapToGrid w:val="0"/>
              <w:spacing w:before="0" w:beforeAutospacing="0" w:after="0" w:afterAutospacing="0"/>
              <w:ind w:left="0" w:right="0" w:firstLine="0" w:firstLineChars="0"/>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1.考察以上内容，满足上述两项内容的得80分；满足上述任意一项的得40分；其他不得分。</w:t>
            </w:r>
          </w:p>
          <w:p w14:paraId="44F17AC2">
            <w:pPr>
              <w:keepNext w:val="0"/>
              <w:keepLines w:val="0"/>
              <w:pageBreakBefore w:val="0"/>
              <w:widowControl/>
              <w:suppressLineNumbers w:val="0"/>
              <w:kinsoku/>
              <w:overflowPunct/>
              <w:topLinePunct w:val="0"/>
              <w:bidi w:val="0"/>
              <w:snapToGrid w:val="0"/>
              <w:spacing w:before="0" w:beforeAutospacing="0" w:after="0" w:afterAutospacing="0"/>
              <w:ind w:left="0" w:right="0" w:firstLine="0" w:firstLineChars="0"/>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在上述基础上，专家根据各投标人的具体响应内容按照量化的评审因素指标进一步评审。</w:t>
            </w:r>
          </w:p>
          <w:p w14:paraId="20936E3C">
            <w:pPr>
              <w:keepNext w:val="0"/>
              <w:keepLines w:val="0"/>
              <w:pageBreakBefore w:val="0"/>
              <w:widowControl/>
              <w:suppressLineNumbers w:val="0"/>
              <w:kinsoku/>
              <w:overflowPunct/>
              <w:topLinePunct w:val="0"/>
              <w:bidi w:val="0"/>
              <w:snapToGrid w:val="0"/>
              <w:spacing w:before="0" w:beforeAutospacing="0" w:after="0" w:afterAutospacing="0"/>
              <w:ind w:left="0" w:right="0" w:firstLine="0" w:firstLineChars="0"/>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评审为优:方案内容完整准确、思路清晰，紧密贴合实际的加20分；</w:t>
            </w:r>
          </w:p>
          <w:p w14:paraId="7ACD74AA">
            <w:pPr>
              <w:keepNext w:val="0"/>
              <w:keepLines w:val="0"/>
              <w:pageBreakBefore w:val="0"/>
              <w:widowControl/>
              <w:suppressLineNumbers w:val="0"/>
              <w:kinsoku/>
              <w:overflowPunct/>
              <w:topLinePunct w:val="0"/>
              <w:bidi w:val="0"/>
              <w:snapToGrid w:val="0"/>
              <w:spacing w:before="0" w:beforeAutospacing="0" w:after="0" w:afterAutospacing="0"/>
              <w:ind w:left="0" w:right="0" w:firstLine="0" w:firstLineChars="0"/>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评审为良:方案内容比较准确、思路较为清晰，贴合实际的加15分；</w:t>
            </w:r>
          </w:p>
          <w:p w14:paraId="676C9815">
            <w:pPr>
              <w:keepNext w:val="0"/>
              <w:keepLines w:val="0"/>
              <w:pageBreakBefore w:val="0"/>
              <w:widowControl/>
              <w:suppressLineNumbers w:val="0"/>
              <w:kinsoku/>
              <w:overflowPunct/>
              <w:topLinePunct w:val="0"/>
              <w:bidi w:val="0"/>
              <w:snapToGrid w:val="0"/>
              <w:spacing w:before="0" w:beforeAutospacing="0" w:after="0" w:afterAutospacing="0"/>
              <w:ind w:left="0" w:right="0" w:firstLine="0" w:firstLineChars="0"/>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评审为中:方案内容比较准确、思路较为清晰，但与本项目贴合不够紧密的加10分；</w:t>
            </w:r>
          </w:p>
          <w:p w14:paraId="51CCE0CF">
            <w:pPr>
              <w:keepNext w:val="0"/>
              <w:keepLines w:val="0"/>
              <w:pageBreakBefore w:val="0"/>
              <w:widowControl/>
              <w:suppressLineNumbers w:val="0"/>
              <w:kinsoku/>
              <w:overflowPunct/>
              <w:topLinePunct w:val="0"/>
              <w:bidi w:val="0"/>
              <w:snapToGrid w:val="0"/>
              <w:spacing w:before="0" w:beforeAutospacing="0" w:after="0" w:afterAutospacing="0"/>
              <w:ind w:left="0" w:right="0" w:firstLine="0" w:firstLineChars="0"/>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评审为差：</w:t>
            </w:r>
            <w:r>
              <w:rPr>
                <w:rFonts w:hint="eastAsia" w:ascii="宋体" w:hAnsi="宋体" w:eastAsia="宋体" w:cs="宋体"/>
                <w:kern w:val="2"/>
                <w:sz w:val="21"/>
                <w:szCs w:val="21"/>
                <w:lang w:val="zh-CN" w:eastAsia="zh-CN"/>
              </w:rPr>
              <w:t>方案不合理、无针对性、无可操作性的</w:t>
            </w:r>
            <w:r>
              <w:rPr>
                <w:rFonts w:hint="eastAsia" w:ascii="宋体" w:hAnsi="宋体" w:eastAsia="宋体" w:cs="宋体"/>
                <w:sz w:val="21"/>
                <w:szCs w:val="21"/>
                <w:lang w:eastAsia="zh-CN"/>
              </w:rPr>
              <w:t>得0分。</w:t>
            </w:r>
          </w:p>
          <w:p w14:paraId="54A30E39">
            <w:pPr>
              <w:keepNext w:val="0"/>
              <w:keepLines w:val="0"/>
              <w:pageBreakBefore w:val="0"/>
              <w:widowControl w:val="0"/>
              <w:suppressLineNumbers w:val="0"/>
              <w:kinsoku/>
              <w:overflowPunct/>
              <w:topLinePunct w:val="0"/>
              <w:bidi w:val="0"/>
              <w:spacing w:before="0" w:beforeAutospacing="0" w:after="0" w:afterAutospacing="0"/>
              <w:ind w:left="0" w:right="0" w:firstLine="0" w:firstLineChars="0"/>
              <w:jc w:val="both"/>
              <w:textAlignment w:val="auto"/>
              <w:rPr>
                <w:rFonts w:hint="eastAsia" w:ascii="宋体" w:hAnsi="宋体" w:eastAsia="宋体" w:cs="宋体"/>
                <w:kern w:val="2"/>
                <w:sz w:val="21"/>
                <w:szCs w:val="21"/>
                <w:lang w:eastAsia="zh-CN"/>
              </w:rPr>
            </w:pPr>
            <w:r>
              <w:rPr>
                <w:rFonts w:hint="eastAsia" w:ascii="宋体" w:hAnsi="宋体" w:eastAsia="宋体" w:cs="宋体"/>
                <w:sz w:val="21"/>
                <w:szCs w:val="21"/>
                <w:lang w:eastAsia="zh-CN"/>
              </w:rPr>
              <w:t>如果评审为差，要求专家书面说明理由，并记录在档。</w:t>
            </w:r>
          </w:p>
        </w:tc>
      </w:tr>
      <w:tr w14:paraId="13245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32" w:type="dxa"/>
            <w:vMerge w:val="continue"/>
            <w:noWrap w:val="0"/>
            <w:vAlign w:val="center"/>
          </w:tcPr>
          <w:p w14:paraId="68097924">
            <w:pPr>
              <w:keepNext w:val="0"/>
              <w:keepLines w:val="0"/>
              <w:pageBreakBefore w:val="0"/>
              <w:widowControl w:val="0"/>
              <w:suppressLineNumbers w:val="0"/>
              <w:kinsoku/>
              <w:overflowPunct/>
              <w:topLinePunct w:val="0"/>
              <w:bidi w:val="0"/>
              <w:spacing w:before="0" w:beforeAutospacing="0" w:after="0" w:afterAutospacing="0"/>
              <w:ind w:left="0" w:right="0" w:firstLine="0" w:firstLineChars="0"/>
              <w:jc w:val="both"/>
              <w:textAlignment w:val="auto"/>
              <w:rPr>
                <w:rFonts w:hint="eastAsia" w:ascii="宋体" w:hAnsi="宋体" w:eastAsia="宋体" w:cs="宋体"/>
                <w:b/>
                <w:bCs/>
                <w:color w:val="0000FF"/>
                <w:kern w:val="2"/>
                <w:sz w:val="21"/>
                <w:szCs w:val="21"/>
                <w:lang w:eastAsia="zh-CN"/>
              </w:rPr>
            </w:pPr>
          </w:p>
        </w:tc>
        <w:tc>
          <w:tcPr>
            <w:tcW w:w="719" w:type="dxa"/>
            <w:noWrap w:val="0"/>
            <w:vAlign w:val="center"/>
          </w:tcPr>
          <w:p w14:paraId="3CBE4D81">
            <w:pPr>
              <w:keepNext w:val="0"/>
              <w:keepLines w:val="0"/>
              <w:pageBreakBefore w:val="0"/>
              <w:widowControl w:val="0"/>
              <w:suppressLineNumbers w:val="0"/>
              <w:kinsoku/>
              <w:wordWrap w:val="0"/>
              <w:overflowPunct/>
              <w:topLinePunct w:val="0"/>
              <w:bidi w:val="0"/>
              <w:spacing w:before="0" w:beforeAutospacing="0" w:after="0" w:afterAutospacing="0"/>
              <w:ind w:left="0" w:right="0" w:firstLine="0" w:firstLineChars="0"/>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4</w:t>
            </w:r>
          </w:p>
        </w:tc>
        <w:tc>
          <w:tcPr>
            <w:tcW w:w="1905" w:type="dxa"/>
            <w:noWrap w:val="0"/>
            <w:vAlign w:val="center"/>
          </w:tcPr>
          <w:p w14:paraId="5886F693">
            <w:pPr>
              <w:keepNext w:val="0"/>
              <w:keepLines w:val="0"/>
              <w:pageBreakBefore w:val="0"/>
              <w:widowControl w:val="0"/>
              <w:suppressLineNumbers w:val="0"/>
              <w:kinsoku/>
              <w:wordWrap w:val="0"/>
              <w:overflowPunct/>
              <w:topLinePunct w:val="0"/>
              <w:bidi w:val="0"/>
              <w:spacing w:before="0" w:beforeAutospacing="0" w:after="0" w:afterAutospacing="0"/>
              <w:ind w:left="0" w:right="0" w:firstLine="0" w:firstLineChars="0"/>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项目完成（服务期满）后的服务承诺</w:t>
            </w:r>
          </w:p>
        </w:tc>
        <w:tc>
          <w:tcPr>
            <w:tcW w:w="714" w:type="dxa"/>
            <w:noWrap w:val="0"/>
            <w:vAlign w:val="center"/>
          </w:tcPr>
          <w:p w14:paraId="13DA5628">
            <w:pPr>
              <w:keepNext w:val="0"/>
              <w:keepLines w:val="0"/>
              <w:pageBreakBefore w:val="0"/>
              <w:widowControl w:val="0"/>
              <w:suppressLineNumbers w:val="0"/>
              <w:kinsoku/>
              <w:wordWrap w:val="0"/>
              <w:overflowPunct/>
              <w:topLinePunct w:val="0"/>
              <w:bidi w:val="0"/>
              <w:spacing w:before="0" w:beforeAutospacing="0" w:after="0" w:afterAutospacing="0"/>
              <w:ind w:left="0" w:right="0" w:firstLine="0" w:firstLineChars="0"/>
              <w:jc w:val="center"/>
              <w:textAlignment w:val="auto"/>
              <w:rPr>
                <w:rFonts w:hint="eastAsia" w:ascii="宋体" w:hAnsi="宋体" w:eastAsia="宋体" w:cs="宋体"/>
                <w:kern w:val="2"/>
                <w:sz w:val="21"/>
                <w:szCs w:val="21"/>
                <w:lang w:eastAsia="zh-CN"/>
              </w:rPr>
            </w:pPr>
            <w:r>
              <w:rPr>
                <w:rFonts w:hint="eastAsia" w:ascii="宋体" w:hAnsi="宋体" w:eastAsia="宋体" w:cs="宋体"/>
                <w:sz w:val="21"/>
                <w:szCs w:val="21"/>
                <w:lang w:eastAsia="zh-CN"/>
              </w:rPr>
              <w:t>5</w:t>
            </w:r>
          </w:p>
        </w:tc>
        <w:tc>
          <w:tcPr>
            <w:tcW w:w="5155" w:type="dxa"/>
            <w:noWrap w:val="0"/>
            <w:vAlign w:val="top"/>
          </w:tcPr>
          <w:p w14:paraId="088C0DF0">
            <w:pPr>
              <w:keepNext w:val="0"/>
              <w:keepLines w:val="0"/>
              <w:pageBreakBefore w:val="0"/>
              <w:widowControl/>
              <w:suppressLineNumbers w:val="0"/>
              <w:kinsoku/>
              <w:overflowPunct/>
              <w:topLinePunct w:val="0"/>
              <w:bidi w:val="0"/>
              <w:snapToGrid w:val="0"/>
              <w:spacing w:before="0" w:beforeAutospacing="0" w:after="0" w:afterAutospacing="0"/>
              <w:ind w:left="0" w:right="0" w:firstLine="0" w:firstLineChars="0"/>
              <w:jc w:val="both"/>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（一）评分内容：</w:t>
            </w:r>
          </w:p>
          <w:p w14:paraId="494F8F85">
            <w:pPr>
              <w:keepNext w:val="0"/>
              <w:keepLines w:val="0"/>
              <w:pageBreakBefore w:val="0"/>
              <w:widowControl/>
              <w:suppressLineNumbers w:val="0"/>
              <w:kinsoku/>
              <w:overflowPunct/>
              <w:topLinePunct w:val="0"/>
              <w:bidi w:val="0"/>
              <w:snapToGrid w:val="0"/>
              <w:spacing w:before="0" w:beforeAutospacing="0" w:after="0" w:afterAutospacing="0"/>
              <w:ind w:left="0" w:right="0" w:firstLine="0" w:firstLineChars="0"/>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投标人承诺以下三项的得100分，否则不得分。 </w:t>
            </w:r>
          </w:p>
          <w:p w14:paraId="08BB0746">
            <w:pPr>
              <w:keepNext w:val="0"/>
              <w:keepLines w:val="0"/>
              <w:pageBreakBefore w:val="0"/>
              <w:widowControl/>
              <w:suppressLineNumbers w:val="0"/>
              <w:kinsoku/>
              <w:overflowPunct/>
              <w:topLinePunct w:val="0"/>
              <w:bidi w:val="0"/>
              <w:snapToGrid w:val="0"/>
              <w:spacing w:before="0" w:beforeAutospacing="0" w:after="0" w:afterAutospacing="0"/>
              <w:ind w:left="0" w:right="0" w:firstLine="0" w:firstLineChars="0"/>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（1）人员严格按照招标文件及投标承诺配置；</w:t>
            </w:r>
          </w:p>
          <w:p w14:paraId="16F12576">
            <w:pPr>
              <w:keepNext w:val="0"/>
              <w:keepLines w:val="0"/>
              <w:pageBreakBefore w:val="0"/>
              <w:widowControl/>
              <w:suppressLineNumbers w:val="0"/>
              <w:kinsoku/>
              <w:overflowPunct/>
              <w:topLinePunct w:val="0"/>
              <w:bidi w:val="0"/>
              <w:snapToGrid w:val="0"/>
              <w:spacing w:before="0" w:beforeAutospacing="0" w:after="0" w:afterAutospacing="0"/>
              <w:ind w:left="0" w:right="0" w:firstLine="0" w:firstLineChars="0"/>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（2）服务质量达到招标文件要求； </w:t>
            </w:r>
          </w:p>
          <w:p w14:paraId="03AE8A7D">
            <w:pPr>
              <w:keepNext w:val="0"/>
              <w:keepLines w:val="0"/>
              <w:pageBreakBefore w:val="0"/>
              <w:widowControl/>
              <w:suppressLineNumbers w:val="0"/>
              <w:kinsoku/>
              <w:overflowPunct/>
              <w:topLinePunct w:val="0"/>
              <w:bidi w:val="0"/>
              <w:snapToGrid w:val="0"/>
              <w:spacing w:before="0" w:beforeAutospacing="0" w:after="0" w:afterAutospacing="0"/>
              <w:ind w:left="0" w:right="0" w:firstLine="0" w:firstLineChars="0"/>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（3）对未能达到管理要求承担相应管理责任。</w:t>
            </w:r>
          </w:p>
          <w:p w14:paraId="10D33BDD">
            <w:pPr>
              <w:keepNext w:val="0"/>
              <w:keepLines w:val="0"/>
              <w:pageBreakBefore w:val="0"/>
              <w:widowControl/>
              <w:suppressLineNumbers w:val="0"/>
              <w:kinsoku/>
              <w:overflowPunct/>
              <w:topLinePunct w:val="0"/>
              <w:bidi w:val="0"/>
              <w:snapToGrid w:val="0"/>
              <w:spacing w:before="0" w:beforeAutospacing="0" w:after="0" w:afterAutospacing="0"/>
              <w:ind w:left="0" w:right="0" w:firstLine="0" w:firstLineChars="0"/>
              <w:jc w:val="both"/>
              <w:textAlignment w:val="auto"/>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 xml:space="preserve">（二）评分依据： </w:t>
            </w:r>
          </w:p>
          <w:p w14:paraId="41B588C0">
            <w:pPr>
              <w:keepNext w:val="0"/>
              <w:keepLines w:val="0"/>
              <w:pageBreakBefore w:val="0"/>
              <w:widowControl w:val="0"/>
              <w:suppressLineNumbers w:val="0"/>
              <w:kinsoku/>
              <w:overflowPunct/>
              <w:topLinePunct w:val="0"/>
              <w:bidi w:val="0"/>
              <w:spacing w:before="0" w:beforeAutospacing="0" w:after="0" w:afterAutospacing="0"/>
              <w:ind w:left="0" w:right="0" w:firstLine="0" w:firstLineChars="0"/>
              <w:jc w:val="both"/>
              <w:textAlignment w:val="auto"/>
              <w:rPr>
                <w:rFonts w:hint="eastAsia" w:ascii="宋体" w:hAnsi="宋体" w:eastAsia="宋体" w:cs="宋体"/>
                <w:kern w:val="2"/>
                <w:sz w:val="21"/>
                <w:szCs w:val="21"/>
                <w:lang w:eastAsia="zh-CN"/>
              </w:rPr>
            </w:pPr>
            <w:r>
              <w:rPr>
                <w:rFonts w:hint="eastAsia" w:ascii="宋体" w:hAnsi="宋体" w:eastAsia="宋体" w:cs="宋体"/>
                <w:sz w:val="21"/>
                <w:szCs w:val="21"/>
                <w:lang w:eastAsia="zh-CN"/>
              </w:rPr>
              <w:t>要求提供承诺函（格式自拟）作为得分依据。（未提供或未按要求提供或提供的不清晰导致专家无法判断的，不得分）</w:t>
            </w:r>
          </w:p>
        </w:tc>
      </w:tr>
      <w:tr w14:paraId="3290B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32" w:type="dxa"/>
            <w:vMerge w:val="restart"/>
            <w:noWrap w:val="0"/>
            <w:vAlign w:val="top"/>
          </w:tcPr>
          <w:p w14:paraId="136BA97A">
            <w:pPr>
              <w:keepNext w:val="0"/>
              <w:keepLines w:val="0"/>
              <w:pageBreakBefore w:val="0"/>
              <w:widowControl w:val="0"/>
              <w:suppressLineNumbers w:val="0"/>
              <w:kinsoku/>
              <w:wordWrap w:val="0"/>
              <w:overflowPunct/>
              <w:topLinePunct w:val="0"/>
              <w:bidi w:val="0"/>
              <w:spacing w:before="0" w:beforeAutospacing="0" w:after="0" w:afterAutospacing="0"/>
              <w:ind w:left="0" w:right="0" w:firstLine="0" w:firstLineChars="0"/>
              <w:jc w:val="center"/>
              <w:textAlignment w:val="auto"/>
              <w:rPr>
                <w:rFonts w:hint="eastAsia" w:ascii="宋体" w:hAnsi="宋体" w:eastAsia="宋体" w:cs="宋体"/>
                <w:b/>
                <w:bCs/>
                <w:color w:val="0000FF"/>
                <w:kern w:val="2"/>
                <w:sz w:val="21"/>
                <w:szCs w:val="21"/>
                <w:lang w:eastAsia="zh-CN"/>
              </w:rPr>
            </w:pPr>
            <w:r>
              <w:rPr>
                <w:rFonts w:hint="eastAsia" w:ascii="宋体" w:hAnsi="宋体" w:eastAsia="宋体" w:cs="宋体"/>
                <w:b/>
                <w:bCs/>
                <w:color w:val="0000FF"/>
                <w:kern w:val="2"/>
                <w:sz w:val="21"/>
                <w:szCs w:val="21"/>
                <w:lang w:eastAsia="zh-CN"/>
              </w:rPr>
              <w:t>3</w:t>
            </w:r>
          </w:p>
        </w:tc>
        <w:tc>
          <w:tcPr>
            <w:tcW w:w="3338" w:type="dxa"/>
            <w:gridSpan w:val="3"/>
            <w:noWrap w:val="0"/>
            <w:vAlign w:val="top"/>
          </w:tcPr>
          <w:p w14:paraId="40CFBC90">
            <w:pPr>
              <w:keepNext w:val="0"/>
              <w:keepLines w:val="0"/>
              <w:pageBreakBefore w:val="0"/>
              <w:widowControl w:val="0"/>
              <w:suppressLineNumbers w:val="0"/>
              <w:kinsoku/>
              <w:wordWrap w:val="0"/>
              <w:overflowPunct/>
              <w:topLinePunct w:val="0"/>
              <w:bidi w:val="0"/>
              <w:spacing w:before="0" w:beforeAutospacing="0" w:after="0" w:afterAutospacing="0"/>
              <w:ind w:left="0" w:right="0" w:firstLine="0" w:firstLineChars="0"/>
              <w:jc w:val="center"/>
              <w:textAlignment w:val="auto"/>
              <w:rPr>
                <w:rFonts w:hint="eastAsia" w:ascii="宋体" w:hAnsi="宋体" w:eastAsia="宋体" w:cs="宋体"/>
                <w:b/>
                <w:bCs/>
                <w:color w:val="0000FF"/>
                <w:kern w:val="2"/>
                <w:sz w:val="21"/>
                <w:szCs w:val="21"/>
                <w:lang w:eastAsia="zh-CN"/>
              </w:rPr>
            </w:pPr>
            <w:r>
              <w:rPr>
                <w:rFonts w:hint="eastAsia" w:ascii="宋体" w:hAnsi="宋体" w:eastAsia="宋体" w:cs="宋体"/>
                <w:b/>
                <w:bCs/>
                <w:color w:val="0000FF"/>
                <w:kern w:val="2"/>
                <w:sz w:val="21"/>
                <w:szCs w:val="21"/>
                <w:lang w:eastAsia="zh-CN"/>
              </w:rPr>
              <w:t>商务部分</w:t>
            </w:r>
          </w:p>
        </w:tc>
        <w:tc>
          <w:tcPr>
            <w:tcW w:w="5155" w:type="dxa"/>
            <w:noWrap w:val="0"/>
            <w:vAlign w:val="top"/>
          </w:tcPr>
          <w:p w14:paraId="1CC64445">
            <w:pPr>
              <w:keepNext w:val="0"/>
              <w:keepLines w:val="0"/>
              <w:pageBreakBefore w:val="0"/>
              <w:widowControl w:val="0"/>
              <w:suppressLineNumbers w:val="0"/>
              <w:kinsoku/>
              <w:wordWrap w:val="0"/>
              <w:overflowPunct/>
              <w:topLinePunct w:val="0"/>
              <w:bidi w:val="0"/>
              <w:spacing w:before="0" w:beforeAutospacing="0" w:after="0" w:afterAutospacing="0"/>
              <w:ind w:left="0" w:right="0" w:firstLine="0" w:firstLineChars="0"/>
              <w:jc w:val="center"/>
              <w:textAlignment w:val="auto"/>
              <w:rPr>
                <w:rFonts w:hint="eastAsia" w:ascii="宋体" w:hAnsi="宋体" w:eastAsia="宋体" w:cs="宋体"/>
                <w:b/>
                <w:bCs/>
                <w:color w:val="0000FF"/>
                <w:kern w:val="2"/>
                <w:sz w:val="21"/>
                <w:szCs w:val="21"/>
                <w:lang w:eastAsia="zh-CN"/>
              </w:rPr>
            </w:pPr>
            <w:r>
              <w:rPr>
                <w:rFonts w:hint="eastAsia" w:ascii="宋体" w:hAnsi="宋体" w:eastAsia="宋体" w:cs="宋体"/>
                <w:b/>
                <w:bCs/>
                <w:color w:val="0000FF"/>
                <w:kern w:val="2"/>
                <w:sz w:val="21"/>
                <w:szCs w:val="21"/>
                <w:lang w:eastAsia="zh-CN"/>
              </w:rPr>
              <w:t>20</w:t>
            </w:r>
          </w:p>
        </w:tc>
      </w:tr>
      <w:tr w14:paraId="4AD1E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32" w:type="dxa"/>
            <w:vMerge w:val="continue"/>
            <w:shd w:val="clear" w:color="auto" w:fill="E6EFFA"/>
            <w:noWrap w:val="0"/>
            <w:vAlign w:val="center"/>
          </w:tcPr>
          <w:p w14:paraId="2770EEF2">
            <w:pPr>
              <w:keepNext w:val="0"/>
              <w:keepLines w:val="0"/>
              <w:pageBreakBefore w:val="0"/>
              <w:widowControl w:val="0"/>
              <w:suppressLineNumbers w:val="0"/>
              <w:kinsoku/>
              <w:overflowPunct/>
              <w:topLinePunct w:val="0"/>
              <w:bidi w:val="0"/>
              <w:spacing w:before="0" w:beforeAutospacing="0" w:after="0" w:afterAutospacing="0"/>
              <w:ind w:left="0" w:right="0" w:firstLine="0" w:firstLineChars="0"/>
              <w:jc w:val="both"/>
              <w:textAlignment w:val="auto"/>
              <w:rPr>
                <w:rFonts w:hint="eastAsia" w:ascii="宋体" w:hAnsi="宋体" w:eastAsia="宋体" w:cs="宋体"/>
                <w:b/>
                <w:bCs/>
                <w:color w:val="0000FF"/>
                <w:kern w:val="2"/>
                <w:sz w:val="21"/>
                <w:szCs w:val="21"/>
                <w:lang w:eastAsia="zh-CN"/>
              </w:rPr>
            </w:pPr>
          </w:p>
        </w:tc>
        <w:tc>
          <w:tcPr>
            <w:tcW w:w="719" w:type="dxa"/>
            <w:shd w:val="clear" w:color="auto" w:fill="E6EFFA"/>
            <w:noWrap w:val="0"/>
            <w:vAlign w:val="center"/>
          </w:tcPr>
          <w:p w14:paraId="10DBDE20">
            <w:pPr>
              <w:keepNext w:val="0"/>
              <w:keepLines w:val="0"/>
              <w:pageBreakBefore w:val="0"/>
              <w:widowControl w:val="0"/>
              <w:suppressLineNumbers w:val="0"/>
              <w:kinsoku/>
              <w:wordWrap w:val="0"/>
              <w:overflowPunct/>
              <w:topLinePunct w:val="0"/>
              <w:bidi w:val="0"/>
              <w:spacing w:before="0" w:beforeAutospacing="0" w:after="0" w:afterAutospacing="0"/>
              <w:ind w:left="0" w:right="0" w:firstLine="0" w:firstLineChars="0"/>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序号</w:t>
            </w:r>
          </w:p>
        </w:tc>
        <w:tc>
          <w:tcPr>
            <w:tcW w:w="1905" w:type="dxa"/>
            <w:shd w:val="clear" w:color="auto" w:fill="E6EFFA"/>
            <w:noWrap w:val="0"/>
            <w:vAlign w:val="center"/>
          </w:tcPr>
          <w:p w14:paraId="44F85F18">
            <w:pPr>
              <w:keepNext w:val="0"/>
              <w:keepLines w:val="0"/>
              <w:pageBreakBefore w:val="0"/>
              <w:widowControl w:val="0"/>
              <w:suppressLineNumbers w:val="0"/>
              <w:kinsoku/>
              <w:wordWrap w:val="0"/>
              <w:overflowPunct/>
              <w:topLinePunct w:val="0"/>
              <w:bidi w:val="0"/>
              <w:spacing w:before="0" w:beforeAutospacing="0" w:after="0" w:afterAutospacing="0"/>
              <w:ind w:left="0" w:right="0" w:firstLine="0" w:firstLineChars="0"/>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评审因素</w:t>
            </w:r>
          </w:p>
        </w:tc>
        <w:tc>
          <w:tcPr>
            <w:tcW w:w="714" w:type="dxa"/>
            <w:shd w:val="clear" w:color="auto" w:fill="E6EFFA"/>
            <w:noWrap w:val="0"/>
            <w:vAlign w:val="center"/>
          </w:tcPr>
          <w:p w14:paraId="1820091C">
            <w:pPr>
              <w:keepNext w:val="0"/>
              <w:keepLines w:val="0"/>
              <w:pageBreakBefore w:val="0"/>
              <w:widowControl w:val="0"/>
              <w:suppressLineNumbers w:val="0"/>
              <w:kinsoku/>
              <w:wordWrap w:val="0"/>
              <w:overflowPunct/>
              <w:topLinePunct w:val="0"/>
              <w:bidi w:val="0"/>
              <w:spacing w:before="0" w:beforeAutospacing="0" w:after="0" w:afterAutospacing="0"/>
              <w:ind w:left="0" w:right="0" w:firstLine="0" w:firstLineChars="0"/>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权重(%)</w:t>
            </w:r>
          </w:p>
        </w:tc>
        <w:tc>
          <w:tcPr>
            <w:tcW w:w="5155" w:type="dxa"/>
            <w:shd w:val="clear" w:color="auto" w:fill="E6EFFA"/>
            <w:noWrap w:val="0"/>
            <w:vAlign w:val="center"/>
          </w:tcPr>
          <w:p w14:paraId="1E96E2B6">
            <w:pPr>
              <w:keepNext w:val="0"/>
              <w:keepLines w:val="0"/>
              <w:pageBreakBefore w:val="0"/>
              <w:widowControl w:val="0"/>
              <w:suppressLineNumbers w:val="0"/>
              <w:kinsoku/>
              <w:wordWrap w:val="0"/>
              <w:overflowPunct/>
              <w:topLinePunct w:val="0"/>
              <w:bidi w:val="0"/>
              <w:spacing w:before="0" w:beforeAutospacing="0" w:after="0" w:afterAutospacing="0"/>
              <w:ind w:left="0" w:right="0" w:firstLine="0" w:firstLineChars="0"/>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评分准则</w:t>
            </w:r>
          </w:p>
        </w:tc>
      </w:tr>
      <w:tr w14:paraId="225D7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32" w:type="dxa"/>
            <w:vMerge w:val="continue"/>
            <w:noWrap w:val="0"/>
            <w:vAlign w:val="center"/>
          </w:tcPr>
          <w:p w14:paraId="09601638">
            <w:pPr>
              <w:keepNext w:val="0"/>
              <w:keepLines w:val="0"/>
              <w:pageBreakBefore w:val="0"/>
              <w:widowControl w:val="0"/>
              <w:suppressLineNumbers w:val="0"/>
              <w:kinsoku/>
              <w:overflowPunct/>
              <w:topLinePunct w:val="0"/>
              <w:bidi w:val="0"/>
              <w:spacing w:before="0" w:beforeAutospacing="0" w:after="0" w:afterAutospacing="0"/>
              <w:ind w:left="0" w:right="0" w:firstLine="0" w:firstLineChars="0"/>
              <w:jc w:val="both"/>
              <w:textAlignment w:val="auto"/>
              <w:rPr>
                <w:rFonts w:hint="eastAsia" w:ascii="宋体" w:hAnsi="宋体" w:eastAsia="宋体" w:cs="宋体"/>
                <w:b/>
                <w:bCs/>
                <w:color w:val="0000FF"/>
                <w:kern w:val="2"/>
                <w:sz w:val="21"/>
                <w:szCs w:val="21"/>
                <w:lang w:eastAsia="zh-CN"/>
              </w:rPr>
            </w:pPr>
          </w:p>
        </w:tc>
        <w:tc>
          <w:tcPr>
            <w:tcW w:w="719" w:type="dxa"/>
            <w:noWrap w:val="0"/>
            <w:vAlign w:val="center"/>
          </w:tcPr>
          <w:p w14:paraId="0BEAC622">
            <w:pPr>
              <w:keepNext w:val="0"/>
              <w:keepLines w:val="0"/>
              <w:pageBreakBefore w:val="0"/>
              <w:widowControl w:val="0"/>
              <w:suppressLineNumbers w:val="0"/>
              <w:kinsoku/>
              <w:wordWrap w:val="0"/>
              <w:overflowPunct/>
              <w:topLinePunct w:val="0"/>
              <w:bidi w:val="0"/>
              <w:spacing w:before="0" w:beforeAutospacing="0" w:after="0" w:afterAutospacing="0"/>
              <w:ind w:left="0" w:right="0" w:firstLine="0" w:firstLineChars="0"/>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1905" w:type="dxa"/>
            <w:noWrap w:val="0"/>
            <w:vAlign w:val="center"/>
          </w:tcPr>
          <w:p w14:paraId="5B1349DB">
            <w:pPr>
              <w:keepNext w:val="0"/>
              <w:keepLines w:val="0"/>
              <w:pageBreakBefore w:val="0"/>
              <w:widowControl w:val="0"/>
              <w:suppressLineNumbers w:val="0"/>
              <w:kinsoku/>
              <w:wordWrap w:val="0"/>
              <w:overflowPunct/>
              <w:topLinePunct w:val="0"/>
              <w:bidi w:val="0"/>
              <w:spacing w:before="0" w:beforeAutospacing="0" w:after="0" w:afterAutospacing="0"/>
              <w:ind w:left="0" w:right="0" w:firstLine="0" w:firstLineChars="0"/>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供应商认证情况</w:t>
            </w:r>
          </w:p>
        </w:tc>
        <w:tc>
          <w:tcPr>
            <w:tcW w:w="714" w:type="dxa"/>
            <w:noWrap w:val="0"/>
            <w:vAlign w:val="center"/>
          </w:tcPr>
          <w:p w14:paraId="6EE93E35">
            <w:pPr>
              <w:keepNext w:val="0"/>
              <w:keepLines w:val="0"/>
              <w:pageBreakBefore w:val="0"/>
              <w:widowControl w:val="0"/>
              <w:suppressLineNumbers w:val="0"/>
              <w:kinsoku/>
              <w:wordWrap w:val="0"/>
              <w:overflowPunct/>
              <w:topLinePunct w:val="0"/>
              <w:bidi w:val="0"/>
              <w:spacing w:before="0" w:beforeAutospacing="0" w:after="0" w:afterAutospacing="0"/>
              <w:ind w:left="0" w:right="0" w:firstLine="0" w:firstLineChars="0"/>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10</w:t>
            </w:r>
          </w:p>
        </w:tc>
        <w:tc>
          <w:tcPr>
            <w:tcW w:w="5155" w:type="dxa"/>
            <w:noWrap w:val="0"/>
            <w:vAlign w:val="top"/>
          </w:tcPr>
          <w:p w14:paraId="7B14695A">
            <w:pPr>
              <w:keepNext w:val="0"/>
              <w:keepLines w:val="0"/>
              <w:pageBreakBefore w:val="0"/>
              <w:widowControl w:val="0"/>
              <w:suppressLineNumbers w:val="0"/>
              <w:kinsoku/>
              <w:overflowPunct/>
              <w:topLinePunct w:val="0"/>
              <w:bidi w:val="0"/>
              <w:spacing w:before="0" w:beforeAutospacing="0" w:after="0" w:afterAutospacing="0"/>
              <w:ind w:left="0" w:right="0" w:firstLine="0" w:firstLineChars="0"/>
              <w:jc w:val="both"/>
              <w:textAlignment w:val="auto"/>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（一）评分内容：</w:t>
            </w:r>
          </w:p>
          <w:p w14:paraId="521A7264">
            <w:pPr>
              <w:keepNext w:val="0"/>
              <w:keepLines w:val="0"/>
              <w:pageBreakBefore w:val="0"/>
              <w:widowControl w:val="0"/>
              <w:suppressLineNumbers w:val="0"/>
              <w:kinsoku/>
              <w:overflowPunct/>
              <w:topLinePunct w:val="0"/>
              <w:bidi w:val="0"/>
              <w:spacing w:before="0" w:beforeAutospacing="0" w:after="0" w:afterAutospacing="0"/>
              <w:ind w:left="0" w:right="0" w:firstLine="0" w:firstLineChars="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供应商具有有效的：</w:t>
            </w:r>
          </w:p>
          <w:p w14:paraId="6C4AC01D">
            <w:pPr>
              <w:keepNext w:val="0"/>
              <w:keepLines w:val="0"/>
              <w:pageBreakBefore w:val="0"/>
              <w:widowControl w:val="0"/>
              <w:suppressLineNumbers w:val="0"/>
              <w:kinsoku/>
              <w:overflowPunct/>
              <w:topLinePunct w:val="0"/>
              <w:bidi w:val="0"/>
              <w:spacing w:before="0" w:beforeAutospacing="0" w:after="0" w:afterAutospacing="0"/>
              <w:ind w:left="0" w:right="0" w:firstLine="0" w:firstLineChars="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（1）质量管理体系认证证书；</w:t>
            </w:r>
          </w:p>
          <w:p w14:paraId="1FA24F8B">
            <w:pPr>
              <w:keepNext w:val="0"/>
              <w:keepLines w:val="0"/>
              <w:pageBreakBefore w:val="0"/>
              <w:widowControl w:val="0"/>
              <w:suppressLineNumbers w:val="0"/>
              <w:kinsoku/>
              <w:overflowPunct/>
              <w:topLinePunct w:val="0"/>
              <w:bidi w:val="0"/>
              <w:spacing w:before="0" w:beforeAutospacing="0" w:after="0" w:afterAutospacing="0"/>
              <w:ind w:left="0" w:right="0" w:firstLine="0" w:firstLineChars="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（2）职业健康安全管理体系认证证书；</w:t>
            </w:r>
          </w:p>
          <w:p w14:paraId="366E148B">
            <w:pPr>
              <w:keepNext w:val="0"/>
              <w:keepLines w:val="0"/>
              <w:pageBreakBefore w:val="0"/>
              <w:widowControl w:val="0"/>
              <w:suppressLineNumbers w:val="0"/>
              <w:kinsoku/>
              <w:overflowPunct/>
              <w:topLinePunct w:val="0"/>
              <w:bidi w:val="0"/>
              <w:spacing w:before="0" w:beforeAutospacing="0" w:after="0" w:afterAutospacing="0"/>
              <w:ind w:left="0" w:right="0" w:firstLine="0" w:firstLineChars="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（3）环境管理体系认证证书；</w:t>
            </w:r>
          </w:p>
          <w:p w14:paraId="1027CB57">
            <w:pPr>
              <w:keepNext w:val="0"/>
              <w:keepLines w:val="0"/>
              <w:pageBreakBefore w:val="0"/>
              <w:widowControl w:val="0"/>
              <w:suppressLineNumbers w:val="0"/>
              <w:kinsoku/>
              <w:overflowPunct/>
              <w:topLinePunct w:val="0"/>
              <w:bidi w:val="0"/>
              <w:spacing w:before="0" w:beforeAutospacing="0" w:after="0" w:afterAutospacing="0"/>
              <w:ind w:left="0" w:right="0" w:firstLine="0" w:firstLineChars="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以上证书提供三个的得100分，提供两个的得50分；其余不得分。</w:t>
            </w:r>
          </w:p>
          <w:p w14:paraId="43E8F8EB">
            <w:pPr>
              <w:keepNext w:val="0"/>
              <w:keepLines w:val="0"/>
              <w:pageBreakBefore w:val="0"/>
              <w:widowControl w:val="0"/>
              <w:suppressLineNumbers w:val="0"/>
              <w:kinsoku/>
              <w:overflowPunct/>
              <w:topLinePunct w:val="0"/>
              <w:bidi w:val="0"/>
              <w:spacing w:before="0" w:beforeAutospacing="0" w:after="0" w:afterAutospacing="0"/>
              <w:ind w:left="0" w:right="0" w:firstLine="0" w:firstLineChars="0"/>
              <w:jc w:val="both"/>
              <w:textAlignment w:val="auto"/>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（二）评分依据：</w:t>
            </w:r>
          </w:p>
          <w:p w14:paraId="0FDA9C58">
            <w:pPr>
              <w:keepNext w:val="0"/>
              <w:keepLines w:val="0"/>
              <w:pageBreakBefore w:val="0"/>
              <w:widowControl w:val="0"/>
              <w:suppressLineNumbers w:val="0"/>
              <w:kinsoku/>
              <w:overflowPunct/>
              <w:topLinePunct w:val="0"/>
              <w:bidi w:val="0"/>
              <w:spacing w:before="0" w:beforeAutospacing="0" w:after="0" w:afterAutospacing="0"/>
              <w:ind w:left="0" w:right="0" w:firstLine="0" w:firstLineChars="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要求提供所有有效的认证证书扫描件，及出具证书官网或全国认证认可信息公共服务平台（http://cx.cnca.cn/）的证书查询记录。认证证书在公开渠道无法查询的，需提供颁发机构的证明材料，证明证书真实有效。评分中出现无证明资料或专家无法凭所提供资料判断是否得分的情况，一律作不得分处理。</w:t>
            </w:r>
          </w:p>
        </w:tc>
      </w:tr>
      <w:tr w14:paraId="100AC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3633" w:hRule="atLeast"/>
          <w:tblCellSpacing w:w="0" w:type="dxa"/>
          <w:jc w:val="center"/>
        </w:trPr>
        <w:tc>
          <w:tcPr>
            <w:tcW w:w="732" w:type="dxa"/>
            <w:vMerge w:val="continue"/>
            <w:noWrap w:val="0"/>
            <w:vAlign w:val="center"/>
          </w:tcPr>
          <w:p w14:paraId="38EDF66B">
            <w:pPr>
              <w:keepNext w:val="0"/>
              <w:keepLines w:val="0"/>
              <w:pageBreakBefore w:val="0"/>
              <w:widowControl w:val="0"/>
              <w:suppressLineNumbers w:val="0"/>
              <w:kinsoku/>
              <w:overflowPunct/>
              <w:topLinePunct w:val="0"/>
              <w:bidi w:val="0"/>
              <w:spacing w:before="0" w:beforeAutospacing="0" w:after="0" w:afterAutospacing="0"/>
              <w:ind w:left="0" w:right="0" w:firstLine="0" w:firstLineChars="0"/>
              <w:jc w:val="both"/>
              <w:textAlignment w:val="auto"/>
              <w:rPr>
                <w:rFonts w:hint="eastAsia" w:ascii="宋体" w:hAnsi="宋体" w:eastAsia="宋体" w:cs="宋体"/>
                <w:b/>
                <w:bCs/>
                <w:color w:val="0000FF"/>
                <w:kern w:val="2"/>
                <w:sz w:val="21"/>
                <w:szCs w:val="21"/>
                <w:lang w:eastAsia="zh-CN"/>
              </w:rPr>
            </w:pPr>
          </w:p>
        </w:tc>
        <w:tc>
          <w:tcPr>
            <w:tcW w:w="719" w:type="dxa"/>
            <w:noWrap w:val="0"/>
            <w:vAlign w:val="center"/>
          </w:tcPr>
          <w:p w14:paraId="19C8E3BA">
            <w:pPr>
              <w:keepNext w:val="0"/>
              <w:keepLines w:val="0"/>
              <w:pageBreakBefore w:val="0"/>
              <w:widowControl w:val="0"/>
              <w:suppressLineNumbers w:val="0"/>
              <w:kinsoku/>
              <w:wordWrap w:val="0"/>
              <w:overflowPunct/>
              <w:topLinePunct w:val="0"/>
              <w:bidi w:val="0"/>
              <w:spacing w:before="0" w:beforeAutospacing="0" w:after="0" w:afterAutospacing="0"/>
              <w:ind w:left="0" w:right="0" w:firstLine="0" w:firstLineChars="0"/>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w:t>
            </w:r>
          </w:p>
        </w:tc>
        <w:tc>
          <w:tcPr>
            <w:tcW w:w="1905" w:type="dxa"/>
            <w:noWrap w:val="0"/>
            <w:vAlign w:val="center"/>
          </w:tcPr>
          <w:p w14:paraId="57A07B78">
            <w:pPr>
              <w:keepNext w:val="0"/>
              <w:keepLines w:val="0"/>
              <w:pageBreakBefore w:val="0"/>
              <w:widowControl w:val="0"/>
              <w:suppressLineNumbers w:val="0"/>
              <w:kinsoku/>
              <w:wordWrap w:val="0"/>
              <w:overflowPunct/>
              <w:topLinePunct w:val="0"/>
              <w:bidi w:val="0"/>
              <w:spacing w:before="0" w:beforeAutospacing="0" w:after="0" w:afterAutospacing="0"/>
              <w:ind w:left="0" w:right="0" w:firstLine="0" w:firstLineChars="0"/>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供应商同类项目业绩情况</w:t>
            </w:r>
          </w:p>
        </w:tc>
        <w:tc>
          <w:tcPr>
            <w:tcW w:w="714" w:type="dxa"/>
            <w:noWrap w:val="0"/>
            <w:vAlign w:val="center"/>
          </w:tcPr>
          <w:p w14:paraId="716C591F">
            <w:pPr>
              <w:keepNext w:val="0"/>
              <w:keepLines w:val="0"/>
              <w:pageBreakBefore w:val="0"/>
              <w:widowControl w:val="0"/>
              <w:suppressLineNumbers w:val="0"/>
              <w:kinsoku/>
              <w:wordWrap w:val="0"/>
              <w:overflowPunct/>
              <w:topLinePunct w:val="0"/>
              <w:bidi w:val="0"/>
              <w:spacing w:before="0" w:beforeAutospacing="0" w:after="0" w:afterAutospacing="0"/>
              <w:ind w:left="0" w:right="0" w:firstLine="0" w:firstLineChars="0"/>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10</w:t>
            </w:r>
          </w:p>
        </w:tc>
        <w:tc>
          <w:tcPr>
            <w:tcW w:w="5155" w:type="dxa"/>
            <w:noWrap w:val="0"/>
            <w:vAlign w:val="top"/>
          </w:tcPr>
          <w:p w14:paraId="59F993A0">
            <w:pPr>
              <w:keepNext w:val="0"/>
              <w:keepLines w:val="0"/>
              <w:pageBreakBefore w:val="0"/>
              <w:widowControl w:val="0"/>
              <w:suppressLineNumbers w:val="0"/>
              <w:kinsoku/>
              <w:overflowPunct/>
              <w:topLinePunct w:val="0"/>
              <w:bidi w:val="0"/>
              <w:spacing w:before="0" w:beforeAutospacing="0" w:after="0" w:afterAutospacing="0"/>
              <w:ind w:left="0" w:right="0" w:firstLine="0" w:firstLineChars="0"/>
              <w:jc w:val="both"/>
              <w:textAlignment w:val="auto"/>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（一）评分内容：</w:t>
            </w:r>
          </w:p>
          <w:p w14:paraId="35D1C114">
            <w:pPr>
              <w:keepNext w:val="0"/>
              <w:keepLines w:val="0"/>
              <w:pageBreakBefore w:val="0"/>
              <w:widowControl/>
              <w:suppressLineNumbers w:val="0"/>
              <w:kinsoku/>
              <w:overflowPunct/>
              <w:topLinePunct w:val="0"/>
              <w:autoSpaceDE w:val="0"/>
              <w:autoSpaceDN w:val="0"/>
              <w:bidi w:val="0"/>
              <w:adjustRightInd w:val="0"/>
              <w:snapToGrid w:val="0"/>
              <w:spacing w:before="0" w:beforeAutospacing="0" w:after="0" w:afterAutospacing="0"/>
              <w:ind w:left="0" w:right="0" w:firstLine="0" w:firstLineChars="0"/>
              <w:jc w:val="both"/>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投标人每提供1个同类业绩</w:t>
            </w:r>
            <w:r>
              <w:rPr>
                <w:rFonts w:hint="eastAsia" w:ascii="宋体" w:hAnsi="宋体" w:eastAsia="宋体" w:cs="宋体"/>
                <w:kern w:val="2"/>
                <w:sz w:val="21"/>
                <w:szCs w:val="21"/>
                <w:lang w:eastAsia="zh-CN"/>
              </w:rPr>
              <w:t>（自2019年7月1日至投标截止时间前，以合同签订时间为准</w:t>
            </w:r>
            <w:r>
              <w:rPr>
                <w:rFonts w:hint="eastAsia" w:ascii="宋体" w:hAnsi="宋体" w:eastAsia="宋体" w:cs="宋体"/>
                <w:sz w:val="21"/>
                <w:szCs w:val="21"/>
                <w:lang w:eastAsia="zh-CN"/>
              </w:rPr>
              <w:t>)（七氟丙烷气瓶检测项目）的得</w:t>
            </w:r>
            <w:r>
              <w:rPr>
                <w:rFonts w:ascii="宋体" w:hAnsi="宋体" w:eastAsia="宋体" w:cs="宋体"/>
                <w:sz w:val="21"/>
                <w:szCs w:val="21"/>
                <w:lang w:eastAsia="zh-CN"/>
              </w:rPr>
              <w:t>50</w:t>
            </w:r>
            <w:r>
              <w:rPr>
                <w:rFonts w:hint="eastAsia" w:ascii="宋体" w:hAnsi="宋体" w:eastAsia="宋体" w:cs="宋体"/>
                <w:sz w:val="21"/>
                <w:szCs w:val="21"/>
                <w:lang w:eastAsia="zh-CN"/>
              </w:rPr>
              <w:t>分，提供2个业绩的得100分，本项最高得100分。</w:t>
            </w:r>
          </w:p>
          <w:p w14:paraId="303594F7">
            <w:pPr>
              <w:keepNext w:val="0"/>
              <w:keepLines w:val="0"/>
              <w:pageBreakBefore w:val="0"/>
              <w:widowControl w:val="0"/>
              <w:suppressLineNumbers w:val="0"/>
              <w:kinsoku/>
              <w:overflowPunct/>
              <w:topLinePunct w:val="0"/>
              <w:bidi w:val="0"/>
              <w:spacing w:before="0" w:beforeAutospacing="0" w:after="0" w:afterAutospacing="0"/>
              <w:ind w:left="0" w:right="0" w:firstLine="0" w:firstLineChars="0"/>
              <w:jc w:val="both"/>
              <w:textAlignment w:val="auto"/>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（二）评分依据：</w:t>
            </w:r>
          </w:p>
          <w:p w14:paraId="404CD206">
            <w:pPr>
              <w:keepNext w:val="0"/>
              <w:keepLines w:val="0"/>
              <w:pageBreakBefore w:val="0"/>
              <w:widowControl w:val="0"/>
              <w:suppressLineNumbers w:val="0"/>
              <w:kinsoku/>
              <w:overflowPunct/>
              <w:topLinePunct w:val="0"/>
              <w:bidi w:val="0"/>
              <w:spacing w:before="0" w:beforeAutospacing="0" w:after="0" w:afterAutospacing="0"/>
              <w:ind w:left="0" w:right="0" w:firstLine="0" w:firstLineChars="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1.要求同时提供合同关键信息，且履约评价合格或以上（或者验收合格证明文件）作为得分依据，履约评价（或者验收证明文件）需加盖</w:t>
            </w:r>
            <w:r>
              <w:rPr>
                <w:rFonts w:hint="eastAsia" w:eastAsia="宋体"/>
                <w:kern w:val="2"/>
                <w:sz w:val="21"/>
                <w:szCs w:val="21"/>
                <w:lang w:eastAsia="zh-CN"/>
              </w:rPr>
              <w:t>合同甲方公章（或合同甲方业务章）</w:t>
            </w:r>
            <w:r>
              <w:rPr>
                <w:rFonts w:hint="eastAsia" w:ascii="宋体" w:hAnsi="宋体" w:eastAsia="宋体" w:cs="宋体"/>
                <w:kern w:val="2"/>
                <w:sz w:val="21"/>
                <w:szCs w:val="21"/>
                <w:lang w:eastAsia="zh-CN"/>
              </w:rPr>
              <w:t>。</w:t>
            </w:r>
          </w:p>
          <w:p w14:paraId="669FA51C">
            <w:pPr>
              <w:keepNext w:val="0"/>
              <w:keepLines w:val="0"/>
              <w:pageBreakBefore w:val="0"/>
              <w:widowControl w:val="0"/>
              <w:suppressLineNumbers w:val="0"/>
              <w:kinsoku/>
              <w:overflowPunct/>
              <w:topLinePunct w:val="0"/>
              <w:bidi w:val="0"/>
              <w:spacing w:before="0" w:beforeAutospacing="0" w:after="0" w:afterAutospacing="0"/>
              <w:ind w:left="0" w:right="0" w:firstLine="0" w:firstLineChars="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2.以上资料均要求提供扫描件。评分中出现无证明资料或专家无法凭所提供资料判断是否得分的情况，一律作不得分处理。</w:t>
            </w:r>
          </w:p>
        </w:tc>
      </w:tr>
      <w:tr w14:paraId="25D84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32" w:type="dxa"/>
            <w:vMerge w:val="restart"/>
            <w:noWrap w:val="0"/>
            <w:vAlign w:val="top"/>
          </w:tcPr>
          <w:p w14:paraId="68A2779F">
            <w:pPr>
              <w:keepNext w:val="0"/>
              <w:keepLines w:val="0"/>
              <w:pageBreakBefore w:val="0"/>
              <w:widowControl w:val="0"/>
              <w:suppressLineNumbers w:val="0"/>
              <w:kinsoku/>
              <w:wordWrap w:val="0"/>
              <w:overflowPunct/>
              <w:topLinePunct w:val="0"/>
              <w:bidi w:val="0"/>
              <w:spacing w:before="0" w:beforeAutospacing="0" w:after="0" w:afterAutospacing="0"/>
              <w:ind w:left="0" w:right="0" w:firstLine="0" w:firstLineChars="0"/>
              <w:jc w:val="center"/>
              <w:textAlignment w:val="auto"/>
              <w:rPr>
                <w:rFonts w:hint="eastAsia" w:ascii="宋体" w:hAnsi="宋体" w:eastAsia="宋体" w:cs="宋体"/>
                <w:b/>
                <w:bCs/>
                <w:color w:val="0000FF"/>
                <w:kern w:val="2"/>
                <w:sz w:val="21"/>
                <w:szCs w:val="21"/>
                <w:lang w:eastAsia="zh-CN"/>
              </w:rPr>
            </w:pPr>
            <w:r>
              <w:rPr>
                <w:rFonts w:hint="eastAsia" w:ascii="宋体" w:hAnsi="宋体" w:eastAsia="宋体" w:cs="宋体"/>
                <w:b/>
                <w:bCs/>
                <w:color w:val="0000FF"/>
                <w:kern w:val="2"/>
                <w:sz w:val="21"/>
                <w:szCs w:val="21"/>
                <w:lang w:eastAsia="zh-CN"/>
              </w:rPr>
              <w:t>4</w:t>
            </w:r>
          </w:p>
        </w:tc>
        <w:tc>
          <w:tcPr>
            <w:tcW w:w="3338" w:type="dxa"/>
            <w:gridSpan w:val="3"/>
            <w:noWrap w:val="0"/>
            <w:vAlign w:val="top"/>
          </w:tcPr>
          <w:p w14:paraId="367ECC62">
            <w:pPr>
              <w:keepNext w:val="0"/>
              <w:keepLines w:val="0"/>
              <w:pageBreakBefore w:val="0"/>
              <w:widowControl w:val="0"/>
              <w:suppressLineNumbers w:val="0"/>
              <w:kinsoku/>
              <w:wordWrap w:val="0"/>
              <w:overflowPunct/>
              <w:topLinePunct w:val="0"/>
              <w:bidi w:val="0"/>
              <w:spacing w:before="0" w:beforeAutospacing="0" w:after="0" w:afterAutospacing="0"/>
              <w:ind w:left="0" w:right="0" w:firstLine="0" w:firstLineChars="0"/>
              <w:jc w:val="center"/>
              <w:textAlignment w:val="auto"/>
              <w:rPr>
                <w:rFonts w:hint="eastAsia" w:ascii="宋体" w:hAnsi="宋体" w:eastAsia="宋体" w:cs="宋体"/>
                <w:b/>
                <w:bCs/>
                <w:color w:val="0000FF"/>
                <w:kern w:val="2"/>
                <w:sz w:val="21"/>
                <w:szCs w:val="21"/>
                <w:lang w:eastAsia="zh-CN"/>
              </w:rPr>
            </w:pPr>
            <w:r>
              <w:rPr>
                <w:rFonts w:hint="eastAsia" w:ascii="宋体" w:hAnsi="宋体" w:eastAsia="宋体" w:cs="宋体"/>
                <w:b/>
                <w:bCs/>
                <w:color w:val="0000FF"/>
                <w:kern w:val="2"/>
                <w:sz w:val="21"/>
                <w:szCs w:val="21"/>
                <w:lang w:eastAsia="zh-CN"/>
              </w:rPr>
              <w:t>诚信情况</w:t>
            </w:r>
          </w:p>
        </w:tc>
        <w:tc>
          <w:tcPr>
            <w:tcW w:w="5155" w:type="dxa"/>
            <w:noWrap w:val="0"/>
            <w:vAlign w:val="top"/>
          </w:tcPr>
          <w:p w14:paraId="455725BF">
            <w:pPr>
              <w:keepNext w:val="0"/>
              <w:keepLines w:val="0"/>
              <w:pageBreakBefore w:val="0"/>
              <w:widowControl w:val="0"/>
              <w:suppressLineNumbers w:val="0"/>
              <w:kinsoku/>
              <w:wordWrap w:val="0"/>
              <w:overflowPunct/>
              <w:topLinePunct w:val="0"/>
              <w:bidi w:val="0"/>
              <w:spacing w:before="0" w:beforeAutospacing="0" w:after="0" w:afterAutospacing="0"/>
              <w:ind w:left="0" w:right="0" w:firstLine="0" w:firstLineChars="0"/>
              <w:jc w:val="center"/>
              <w:textAlignment w:val="auto"/>
              <w:rPr>
                <w:rFonts w:hint="eastAsia" w:ascii="宋体" w:hAnsi="宋体" w:eastAsia="宋体" w:cs="宋体"/>
                <w:b/>
                <w:bCs/>
                <w:color w:val="0000FF"/>
                <w:kern w:val="2"/>
                <w:sz w:val="21"/>
                <w:szCs w:val="21"/>
                <w:lang w:eastAsia="zh-CN"/>
              </w:rPr>
            </w:pPr>
            <w:r>
              <w:rPr>
                <w:rFonts w:hint="eastAsia" w:ascii="宋体" w:hAnsi="宋体" w:eastAsia="宋体" w:cs="宋体"/>
                <w:b/>
                <w:bCs/>
                <w:color w:val="0000FF"/>
                <w:kern w:val="2"/>
                <w:sz w:val="21"/>
                <w:szCs w:val="21"/>
                <w:lang w:eastAsia="zh-CN"/>
              </w:rPr>
              <w:t>5</w:t>
            </w:r>
          </w:p>
        </w:tc>
      </w:tr>
      <w:tr w14:paraId="180D8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32" w:type="dxa"/>
            <w:vMerge w:val="continue"/>
            <w:shd w:val="clear" w:color="auto" w:fill="auto"/>
            <w:noWrap w:val="0"/>
            <w:vAlign w:val="center"/>
          </w:tcPr>
          <w:p w14:paraId="76A1AA98">
            <w:pPr>
              <w:keepNext w:val="0"/>
              <w:keepLines w:val="0"/>
              <w:pageBreakBefore w:val="0"/>
              <w:widowControl w:val="0"/>
              <w:suppressLineNumbers w:val="0"/>
              <w:kinsoku/>
              <w:overflowPunct/>
              <w:topLinePunct w:val="0"/>
              <w:bidi w:val="0"/>
              <w:spacing w:before="0" w:beforeAutospacing="0" w:after="0" w:afterAutospacing="0"/>
              <w:ind w:left="0" w:right="0" w:firstLine="0" w:firstLineChars="0"/>
              <w:jc w:val="both"/>
              <w:textAlignment w:val="auto"/>
              <w:rPr>
                <w:rFonts w:hint="eastAsia" w:ascii="宋体" w:hAnsi="宋体" w:eastAsia="宋体" w:cs="宋体"/>
                <w:b/>
                <w:bCs/>
                <w:color w:val="0000FF"/>
                <w:kern w:val="2"/>
                <w:sz w:val="21"/>
                <w:szCs w:val="21"/>
                <w:lang w:eastAsia="zh-CN"/>
              </w:rPr>
            </w:pPr>
          </w:p>
        </w:tc>
        <w:tc>
          <w:tcPr>
            <w:tcW w:w="719" w:type="dxa"/>
            <w:shd w:val="clear" w:color="auto" w:fill="E6EFFA"/>
            <w:noWrap w:val="0"/>
            <w:vAlign w:val="center"/>
          </w:tcPr>
          <w:p w14:paraId="07A02B5A">
            <w:pPr>
              <w:keepNext w:val="0"/>
              <w:keepLines w:val="0"/>
              <w:pageBreakBefore w:val="0"/>
              <w:widowControl w:val="0"/>
              <w:suppressLineNumbers w:val="0"/>
              <w:kinsoku/>
              <w:wordWrap w:val="0"/>
              <w:overflowPunct/>
              <w:topLinePunct w:val="0"/>
              <w:bidi w:val="0"/>
              <w:spacing w:before="0" w:beforeAutospacing="0" w:after="0" w:afterAutospacing="0"/>
              <w:ind w:left="0" w:right="0" w:firstLine="0" w:firstLineChars="0"/>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序号</w:t>
            </w:r>
          </w:p>
        </w:tc>
        <w:tc>
          <w:tcPr>
            <w:tcW w:w="1905" w:type="dxa"/>
            <w:shd w:val="clear" w:color="auto" w:fill="E6EFFA"/>
            <w:noWrap w:val="0"/>
            <w:vAlign w:val="center"/>
          </w:tcPr>
          <w:p w14:paraId="7A598D57">
            <w:pPr>
              <w:keepNext w:val="0"/>
              <w:keepLines w:val="0"/>
              <w:pageBreakBefore w:val="0"/>
              <w:widowControl w:val="0"/>
              <w:suppressLineNumbers w:val="0"/>
              <w:kinsoku/>
              <w:wordWrap w:val="0"/>
              <w:overflowPunct/>
              <w:topLinePunct w:val="0"/>
              <w:bidi w:val="0"/>
              <w:spacing w:before="0" w:beforeAutospacing="0" w:after="0" w:afterAutospacing="0"/>
              <w:ind w:left="0" w:right="0" w:firstLine="0" w:firstLineChars="0"/>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评审因素</w:t>
            </w:r>
          </w:p>
        </w:tc>
        <w:tc>
          <w:tcPr>
            <w:tcW w:w="714" w:type="dxa"/>
            <w:shd w:val="clear" w:color="auto" w:fill="E6EFFA"/>
            <w:noWrap w:val="0"/>
            <w:vAlign w:val="center"/>
          </w:tcPr>
          <w:p w14:paraId="2ED20848">
            <w:pPr>
              <w:keepNext w:val="0"/>
              <w:keepLines w:val="0"/>
              <w:pageBreakBefore w:val="0"/>
              <w:widowControl w:val="0"/>
              <w:suppressLineNumbers w:val="0"/>
              <w:kinsoku/>
              <w:wordWrap w:val="0"/>
              <w:overflowPunct/>
              <w:topLinePunct w:val="0"/>
              <w:bidi w:val="0"/>
              <w:spacing w:before="0" w:beforeAutospacing="0" w:after="0" w:afterAutospacing="0"/>
              <w:ind w:left="0" w:right="0" w:firstLine="0" w:firstLineChars="0"/>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权重(%)</w:t>
            </w:r>
          </w:p>
        </w:tc>
        <w:tc>
          <w:tcPr>
            <w:tcW w:w="5155" w:type="dxa"/>
            <w:shd w:val="clear" w:color="auto" w:fill="E6EFFA"/>
            <w:noWrap w:val="0"/>
            <w:vAlign w:val="center"/>
          </w:tcPr>
          <w:p w14:paraId="747CC281">
            <w:pPr>
              <w:keepNext w:val="0"/>
              <w:keepLines w:val="0"/>
              <w:pageBreakBefore w:val="0"/>
              <w:widowControl w:val="0"/>
              <w:suppressLineNumbers w:val="0"/>
              <w:kinsoku/>
              <w:wordWrap w:val="0"/>
              <w:overflowPunct/>
              <w:topLinePunct w:val="0"/>
              <w:bidi w:val="0"/>
              <w:spacing w:before="0" w:beforeAutospacing="0" w:after="0" w:afterAutospacing="0"/>
              <w:ind w:left="0" w:right="0" w:firstLine="0" w:firstLineChars="0"/>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评分准则</w:t>
            </w:r>
          </w:p>
        </w:tc>
      </w:tr>
      <w:tr w14:paraId="1AF64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32" w:type="dxa"/>
            <w:vMerge w:val="continue"/>
            <w:shd w:val="clear" w:color="auto" w:fill="auto"/>
            <w:noWrap w:val="0"/>
            <w:vAlign w:val="center"/>
          </w:tcPr>
          <w:p w14:paraId="4B8CCF2A">
            <w:pPr>
              <w:keepNext w:val="0"/>
              <w:keepLines w:val="0"/>
              <w:pageBreakBefore w:val="0"/>
              <w:widowControl w:val="0"/>
              <w:suppressLineNumbers w:val="0"/>
              <w:kinsoku/>
              <w:overflowPunct/>
              <w:topLinePunct w:val="0"/>
              <w:bidi w:val="0"/>
              <w:spacing w:before="0" w:beforeAutospacing="0" w:after="0" w:afterAutospacing="0"/>
              <w:ind w:left="0" w:right="0" w:firstLine="0" w:firstLineChars="0"/>
              <w:jc w:val="both"/>
              <w:textAlignment w:val="auto"/>
              <w:rPr>
                <w:rFonts w:hint="eastAsia" w:ascii="宋体" w:hAnsi="宋体" w:eastAsia="宋体" w:cs="宋体"/>
                <w:b/>
                <w:bCs/>
                <w:color w:val="0000FF"/>
                <w:kern w:val="2"/>
                <w:sz w:val="21"/>
                <w:szCs w:val="21"/>
                <w:lang w:eastAsia="zh-CN"/>
              </w:rPr>
            </w:pPr>
          </w:p>
        </w:tc>
        <w:tc>
          <w:tcPr>
            <w:tcW w:w="719" w:type="dxa"/>
            <w:noWrap w:val="0"/>
            <w:vAlign w:val="center"/>
          </w:tcPr>
          <w:p w14:paraId="4268BFB8">
            <w:pPr>
              <w:keepNext w:val="0"/>
              <w:keepLines w:val="0"/>
              <w:pageBreakBefore w:val="0"/>
              <w:widowControl w:val="0"/>
              <w:suppressLineNumbers w:val="0"/>
              <w:kinsoku/>
              <w:wordWrap w:val="0"/>
              <w:overflowPunct/>
              <w:topLinePunct w:val="0"/>
              <w:bidi w:val="0"/>
              <w:spacing w:before="0" w:beforeAutospacing="0" w:after="0" w:afterAutospacing="0"/>
              <w:ind w:left="0" w:right="0" w:firstLine="0" w:firstLineChars="0"/>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1905" w:type="dxa"/>
            <w:noWrap w:val="0"/>
            <w:vAlign w:val="center"/>
          </w:tcPr>
          <w:p w14:paraId="3958EBD7">
            <w:pPr>
              <w:keepNext w:val="0"/>
              <w:keepLines w:val="0"/>
              <w:pageBreakBefore w:val="0"/>
              <w:widowControl w:val="0"/>
              <w:suppressLineNumbers w:val="0"/>
              <w:kinsoku/>
              <w:wordWrap w:val="0"/>
              <w:overflowPunct/>
              <w:topLinePunct w:val="0"/>
              <w:bidi w:val="0"/>
              <w:spacing w:before="0" w:beforeAutospacing="0" w:after="0" w:afterAutospacing="0"/>
              <w:ind w:left="0" w:right="0" w:firstLine="0" w:firstLineChars="0"/>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诚信情况</w:t>
            </w:r>
          </w:p>
        </w:tc>
        <w:tc>
          <w:tcPr>
            <w:tcW w:w="714" w:type="dxa"/>
            <w:noWrap w:val="0"/>
            <w:vAlign w:val="center"/>
          </w:tcPr>
          <w:p w14:paraId="0D548E33">
            <w:pPr>
              <w:keepNext w:val="0"/>
              <w:keepLines w:val="0"/>
              <w:pageBreakBefore w:val="0"/>
              <w:widowControl w:val="0"/>
              <w:suppressLineNumbers w:val="0"/>
              <w:kinsoku/>
              <w:wordWrap w:val="0"/>
              <w:overflowPunct/>
              <w:topLinePunct w:val="0"/>
              <w:bidi w:val="0"/>
              <w:spacing w:before="0" w:beforeAutospacing="0" w:after="0" w:afterAutospacing="0"/>
              <w:ind w:left="0" w:right="0" w:firstLine="0" w:firstLineChars="0"/>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5</w:t>
            </w:r>
          </w:p>
        </w:tc>
        <w:tc>
          <w:tcPr>
            <w:tcW w:w="5155" w:type="dxa"/>
            <w:noWrap w:val="0"/>
            <w:vAlign w:val="top"/>
          </w:tcPr>
          <w:p w14:paraId="34287683">
            <w:pPr>
              <w:keepNext w:val="0"/>
              <w:keepLines w:val="0"/>
              <w:widowControl w:val="0"/>
              <w:suppressLineNumbers w:val="0"/>
              <w:spacing w:before="0" w:beforeAutospacing="0" w:after="0" w:afterAutospacing="0"/>
              <w:ind w:left="0" w:right="0"/>
              <w:jc w:val="both"/>
              <w:rPr>
                <w:rFonts w:ascii="宋体" w:hAnsi="宋体" w:eastAsia="宋体"/>
                <w:kern w:val="2"/>
                <w:sz w:val="21"/>
                <w:szCs w:val="21"/>
                <w:lang w:eastAsia="zh-CN"/>
              </w:rPr>
            </w:pPr>
            <w:r>
              <w:rPr>
                <w:rFonts w:hint="eastAsia" w:ascii="宋体" w:hAnsi="宋体" w:eastAsia="宋体"/>
                <w:kern w:val="2"/>
                <w:sz w:val="21"/>
                <w:szCs w:val="21"/>
                <w:lang w:eastAsia="zh-CN"/>
              </w:rPr>
              <w:t>（一）评分内容：</w:t>
            </w:r>
          </w:p>
          <w:p w14:paraId="6FE16FA9">
            <w:pPr>
              <w:keepNext w:val="0"/>
              <w:keepLines w:val="0"/>
              <w:widowControl w:val="0"/>
              <w:suppressLineNumbers w:val="0"/>
              <w:spacing w:before="0" w:beforeAutospacing="0" w:after="0" w:afterAutospacing="0"/>
              <w:ind w:left="0" w:right="0"/>
              <w:jc w:val="both"/>
              <w:rPr>
                <w:rFonts w:ascii="宋体" w:hAnsi="宋体" w:eastAsia="宋体"/>
                <w:kern w:val="2"/>
                <w:sz w:val="21"/>
                <w:szCs w:val="21"/>
                <w:lang w:eastAsia="zh-CN"/>
              </w:rPr>
            </w:pPr>
            <w:r>
              <w:rPr>
                <w:rFonts w:hint="eastAsia" w:ascii="宋体" w:hAnsi="宋体" w:eastAsia="宋体"/>
                <w:kern w:val="2"/>
                <w:sz w:val="21"/>
                <w:szCs w:val="21"/>
                <w:lang w:eastAsia="zh-CN"/>
              </w:rPr>
              <w:t>供应商存在《深圳市财政局政府采购供应商信用信息管理办法》（深财规〔2023〕3号）列明的一般行政处罚信息、一般违法失信记录信息的，本项不得分，不存在上述情形的本项得100分。供应商无需提供任何证明材料，评标过程中由工作人员向评审委员会提供有关供应商诚信查询结果。</w:t>
            </w:r>
          </w:p>
          <w:p w14:paraId="439766FF">
            <w:pPr>
              <w:keepNext w:val="0"/>
              <w:keepLines w:val="0"/>
              <w:widowControl w:val="0"/>
              <w:suppressLineNumbers w:val="0"/>
              <w:spacing w:before="0" w:beforeAutospacing="0" w:after="0" w:afterAutospacing="0"/>
              <w:ind w:left="0" w:right="0"/>
              <w:jc w:val="both"/>
              <w:rPr>
                <w:rFonts w:ascii="宋体" w:hAnsi="宋体" w:eastAsia="宋体"/>
                <w:kern w:val="2"/>
                <w:sz w:val="21"/>
                <w:szCs w:val="21"/>
                <w:lang w:eastAsia="zh-CN"/>
              </w:rPr>
            </w:pPr>
            <w:r>
              <w:rPr>
                <w:rFonts w:hint="eastAsia" w:ascii="宋体" w:hAnsi="宋体" w:eastAsia="宋体"/>
                <w:kern w:val="2"/>
                <w:sz w:val="21"/>
                <w:szCs w:val="21"/>
                <w:lang w:eastAsia="zh-CN"/>
              </w:rPr>
              <w:t>（二）评分依据：</w:t>
            </w:r>
          </w:p>
          <w:p w14:paraId="5997B962">
            <w:pPr>
              <w:keepNext w:val="0"/>
              <w:keepLines w:val="0"/>
              <w:pageBreakBefore w:val="0"/>
              <w:widowControl w:val="0"/>
              <w:suppressLineNumbers w:val="0"/>
              <w:kinsoku/>
              <w:wordWrap w:val="0"/>
              <w:overflowPunct/>
              <w:topLinePunct w:val="0"/>
              <w:bidi w:val="0"/>
              <w:spacing w:before="0" w:beforeAutospacing="0" w:after="0" w:afterAutospacing="0"/>
              <w:ind w:left="0" w:right="0" w:firstLine="0" w:firstLineChars="0"/>
              <w:jc w:val="both"/>
              <w:textAlignment w:val="auto"/>
              <w:rPr>
                <w:rFonts w:hint="eastAsia" w:ascii="宋体" w:hAnsi="宋体" w:eastAsia="宋体" w:cs="宋体"/>
                <w:kern w:val="2"/>
                <w:sz w:val="21"/>
                <w:szCs w:val="21"/>
                <w:lang w:eastAsia="zh-CN"/>
              </w:rPr>
            </w:pPr>
            <w:r>
              <w:rPr>
                <w:rFonts w:hint="eastAsia" w:ascii="宋体" w:hAnsi="宋体" w:eastAsia="宋体"/>
                <w:kern w:val="2"/>
                <w:sz w:val="21"/>
                <w:szCs w:val="21"/>
                <w:lang w:eastAsia="zh-CN"/>
              </w:rPr>
              <w:t>查询渠道：通过“信用中国”（www.creditchina.gov.cn，</w:t>
            </w:r>
            <w:r>
              <w:rPr>
                <w:rFonts w:hint="eastAsia" w:ascii="宋体" w:hAnsi="宋体" w:eastAsia="宋体"/>
                <w:b/>
                <w:bCs/>
                <w:kern w:val="2"/>
                <w:sz w:val="21"/>
                <w:szCs w:val="21"/>
                <w:lang w:eastAsia="zh-CN"/>
              </w:rPr>
              <w:t>下载信用信息报告</w:t>
            </w:r>
            <w:r>
              <w:rPr>
                <w:rFonts w:hint="eastAsia" w:ascii="宋体" w:hAnsi="宋体" w:eastAsia="宋体"/>
                <w:kern w:val="2"/>
                <w:sz w:val="21"/>
                <w:szCs w:val="21"/>
                <w:lang w:eastAsia="zh-CN"/>
              </w:rPr>
              <w:t>）、“中国政府采购网”（www.ccgp.gov.cn）以及“深圳市政府采购监管网”（http://zfcg.sz.gov.cn）查询供应商信用信息，信用信息以开标当日的查询结果为准。</w:t>
            </w:r>
          </w:p>
        </w:tc>
      </w:tr>
    </w:tbl>
    <w:p w14:paraId="5763A5E5">
      <w:pPr>
        <w:keepNext w:val="0"/>
        <w:keepLines w:val="0"/>
        <w:pageBreakBefore w:val="0"/>
        <w:widowControl/>
        <w:kinsoku/>
        <w:overflowPunct/>
        <w:topLinePunct w:val="0"/>
        <w:bidi w:val="0"/>
        <w:ind w:firstLine="0" w:firstLineChars="0"/>
        <w:jc w:val="left"/>
        <w:textAlignment w:val="auto"/>
        <w:rPr>
          <w:rFonts w:eastAsia="宋体"/>
          <w:b/>
          <w:kern w:val="2"/>
          <w:sz w:val="120"/>
          <w:szCs w:val="120"/>
          <w:lang w:eastAsia="zh-CN"/>
        </w:rPr>
      </w:pPr>
      <w:r>
        <w:rPr>
          <w:rFonts w:eastAsia="宋体"/>
          <w:b/>
          <w:kern w:val="2"/>
          <w:sz w:val="21"/>
          <w:szCs w:val="21"/>
          <w:lang w:eastAsia="zh-CN"/>
        </w:rPr>
        <w:br w:type="page"/>
      </w:r>
    </w:p>
    <w:p w14:paraId="1E3ABEAD">
      <w:pPr>
        <w:widowControl w:val="0"/>
        <w:jc w:val="center"/>
        <w:rPr>
          <w:rFonts w:hint="eastAsia" w:eastAsia="宋体"/>
          <w:b/>
          <w:kern w:val="2"/>
          <w:sz w:val="120"/>
          <w:szCs w:val="120"/>
          <w:lang w:eastAsia="zh-CN"/>
        </w:rPr>
      </w:pPr>
    </w:p>
    <w:p w14:paraId="216D5DEB">
      <w:pPr>
        <w:widowControl w:val="0"/>
        <w:jc w:val="center"/>
        <w:rPr>
          <w:rFonts w:eastAsia="宋体"/>
          <w:b/>
          <w:kern w:val="2"/>
          <w:sz w:val="120"/>
          <w:szCs w:val="120"/>
          <w:lang w:eastAsia="zh-CN"/>
        </w:rPr>
      </w:pPr>
      <w:r>
        <w:rPr>
          <w:rFonts w:hint="eastAsia" w:eastAsia="宋体"/>
          <w:b/>
          <w:kern w:val="2"/>
          <w:sz w:val="120"/>
          <w:szCs w:val="120"/>
          <w:lang w:eastAsia="zh-CN"/>
        </w:rPr>
        <w:t>自行采购</w:t>
      </w:r>
    </w:p>
    <w:p w14:paraId="134CFD58">
      <w:pPr>
        <w:widowControl w:val="0"/>
        <w:jc w:val="center"/>
        <w:rPr>
          <w:rFonts w:eastAsia="宋体"/>
          <w:b/>
          <w:kern w:val="2"/>
          <w:sz w:val="120"/>
          <w:szCs w:val="120"/>
          <w:lang w:eastAsia="zh-CN"/>
        </w:rPr>
      </w:pPr>
      <w:r>
        <w:rPr>
          <w:rFonts w:hint="eastAsia" w:eastAsia="宋体"/>
          <w:b/>
          <w:kern w:val="2"/>
          <w:sz w:val="120"/>
          <w:szCs w:val="120"/>
          <w:lang w:eastAsia="zh-CN"/>
        </w:rPr>
        <w:t>招标文件</w:t>
      </w:r>
    </w:p>
    <w:p w14:paraId="6FDF8394">
      <w:pPr>
        <w:widowControl w:val="0"/>
        <w:jc w:val="center"/>
        <w:rPr>
          <w:rFonts w:eastAsia="宋体"/>
          <w:b/>
          <w:kern w:val="2"/>
          <w:sz w:val="52"/>
          <w:szCs w:val="52"/>
          <w:lang w:eastAsia="zh-CN"/>
        </w:rPr>
      </w:pPr>
      <w:r>
        <w:rPr>
          <w:rFonts w:hint="eastAsia" w:eastAsia="宋体"/>
          <w:b/>
          <w:kern w:val="2"/>
          <w:sz w:val="52"/>
          <w:szCs w:val="52"/>
          <w:lang w:eastAsia="zh-CN"/>
        </w:rPr>
        <w:t>（服务类）</w:t>
      </w:r>
    </w:p>
    <w:p w14:paraId="3B56BAA0">
      <w:pPr>
        <w:widowControl w:val="0"/>
        <w:jc w:val="center"/>
        <w:rPr>
          <w:rFonts w:eastAsia="宋体"/>
          <w:kern w:val="2"/>
          <w:sz w:val="21"/>
          <w:lang w:eastAsia="zh-CN"/>
        </w:rPr>
      </w:pPr>
    </w:p>
    <w:p w14:paraId="3E07AB36">
      <w:pPr>
        <w:widowControl w:val="0"/>
        <w:jc w:val="center"/>
        <w:rPr>
          <w:rFonts w:eastAsia="宋体"/>
          <w:kern w:val="2"/>
          <w:sz w:val="21"/>
          <w:lang w:eastAsia="zh-CN"/>
        </w:rPr>
      </w:pPr>
    </w:p>
    <w:p w14:paraId="48200D58">
      <w:pPr>
        <w:widowControl w:val="0"/>
        <w:jc w:val="center"/>
        <w:rPr>
          <w:rFonts w:eastAsia="宋体"/>
          <w:kern w:val="2"/>
          <w:sz w:val="21"/>
          <w:lang w:eastAsia="zh-CN"/>
        </w:rPr>
      </w:pPr>
    </w:p>
    <w:p w14:paraId="631BFA70">
      <w:pPr>
        <w:widowControl w:val="0"/>
        <w:jc w:val="center"/>
        <w:rPr>
          <w:rFonts w:eastAsia="宋体"/>
          <w:kern w:val="2"/>
          <w:sz w:val="21"/>
          <w:lang w:eastAsia="zh-CN"/>
        </w:rPr>
      </w:pPr>
    </w:p>
    <w:p w14:paraId="5A597A8D">
      <w:pPr>
        <w:widowControl w:val="0"/>
        <w:spacing w:line="360" w:lineRule="auto"/>
        <w:jc w:val="both"/>
        <w:rPr>
          <w:rFonts w:eastAsia="宋体"/>
          <w:kern w:val="2"/>
          <w:lang w:eastAsia="zh-CN"/>
        </w:rPr>
      </w:pPr>
    </w:p>
    <w:p w14:paraId="06FBE80B">
      <w:pPr>
        <w:widowControl w:val="0"/>
        <w:spacing w:line="360" w:lineRule="auto"/>
        <w:jc w:val="both"/>
        <w:rPr>
          <w:rFonts w:eastAsia="宋体"/>
          <w:kern w:val="2"/>
          <w:lang w:eastAsia="zh-CN"/>
        </w:rPr>
      </w:pPr>
    </w:p>
    <w:p w14:paraId="01A3BEA7">
      <w:pPr>
        <w:widowControl w:val="0"/>
        <w:spacing w:line="360" w:lineRule="auto"/>
        <w:jc w:val="both"/>
        <w:rPr>
          <w:rFonts w:eastAsia="宋体"/>
          <w:kern w:val="2"/>
          <w:lang w:eastAsia="zh-CN"/>
        </w:rPr>
      </w:pPr>
    </w:p>
    <w:p w14:paraId="3E466639">
      <w:pPr>
        <w:widowControl w:val="0"/>
        <w:spacing w:line="360" w:lineRule="auto"/>
        <w:jc w:val="both"/>
        <w:rPr>
          <w:rFonts w:eastAsia="宋体"/>
          <w:kern w:val="2"/>
          <w:lang w:eastAsia="zh-CN"/>
        </w:rPr>
      </w:pPr>
    </w:p>
    <w:p w14:paraId="61CCFAF9">
      <w:pPr>
        <w:widowControl w:val="0"/>
        <w:spacing w:line="360" w:lineRule="auto"/>
        <w:jc w:val="both"/>
        <w:rPr>
          <w:rFonts w:eastAsia="宋体"/>
          <w:kern w:val="2"/>
          <w:lang w:eastAsia="zh-CN"/>
        </w:rPr>
      </w:pPr>
    </w:p>
    <w:p w14:paraId="61B46ACD">
      <w:pPr>
        <w:widowControl w:val="0"/>
        <w:jc w:val="center"/>
        <w:rPr>
          <w:rFonts w:eastAsia="宋体"/>
          <w:b/>
          <w:kern w:val="2"/>
          <w:sz w:val="44"/>
          <w:szCs w:val="44"/>
          <w:lang w:eastAsia="zh-CN"/>
        </w:rPr>
      </w:pPr>
    </w:p>
    <w:p w14:paraId="7F2C39D2">
      <w:pPr>
        <w:widowControl w:val="0"/>
        <w:jc w:val="center"/>
        <w:rPr>
          <w:rFonts w:eastAsia="宋体"/>
          <w:b/>
          <w:kern w:val="2"/>
          <w:sz w:val="44"/>
          <w:szCs w:val="44"/>
          <w:lang w:eastAsia="zh-CN"/>
        </w:rPr>
      </w:pPr>
      <w:bookmarkStart w:id="0" w:name="_Hlk71465316"/>
      <w:r>
        <w:rPr>
          <w:rFonts w:hint="eastAsia" w:eastAsia="宋体"/>
          <w:b/>
          <w:kern w:val="2"/>
          <w:sz w:val="44"/>
          <w:szCs w:val="44"/>
          <w:lang w:eastAsia="zh-CN"/>
        </w:rPr>
        <w:t>深圳公共资源交易中心</w:t>
      </w:r>
    </w:p>
    <w:p w14:paraId="22E44186">
      <w:pPr>
        <w:widowControl w:val="0"/>
        <w:jc w:val="center"/>
        <w:rPr>
          <w:rFonts w:eastAsia="宋体"/>
          <w:kern w:val="2"/>
          <w:sz w:val="28"/>
          <w:szCs w:val="28"/>
          <w:lang w:eastAsia="zh-CN"/>
        </w:rPr>
      </w:pPr>
      <w:r>
        <w:rPr>
          <w:rFonts w:hint="eastAsia" w:eastAsia="宋体"/>
          <w:b/>
          <w:kern w:val="2"/>
          <w:sz w:val="28"/>
          <w:szCs w:val="28"/>
          <w:lang w:eastAsia="zh-CN"/>
        </w:rPr>
        <w:t>（</w:t>
      </w:r>
      <w:r>
        <w:rPr>
          <w:rFonts w:eastAsia="宋体"/>
          <w:b/>
          <w:kern w:val="2"/>
          <w:sz w:val="28"/>
          <w:szCs w:val="28"/>
          <w:lang w:eastAsia="zh-CN"/>
        </w:rPr>
        <w:t>20</w:t>
      </w:r>
      <w:r>
        <w:rPr>
          <w:rFonts w:hint="eastAsia" w:eastAsia="宋体"/>
          <w:b/>
          <w:kern w:val="2"/>
          <w:sz w:val="28"/>
          <w:szCs w:val="28"/>
          <w:lang w:eastAsia="zh-CN"/>
        </w:rPr>
        <w:t>25年）</w:t>
      </w:r>
      <w:bookmarkEnd w:id="0"/>
    </w:p>
    <w:p w14:paraId="720CCB8A">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240" w:afterLines="100" w:afterAutospacing="0" w:line="400" w:lineRule="exact"/>
        <w:ind w:left="0" w:right="0" w:firstLine="420" w:firstLineChars="200"/>
        <w:jc w:val="center"/>
        <w:rPr>
          <w:rFonts w:ascii="宋体" w:hAnsi="宋体" w:eastAsia="黑体"/>
          <w:b/>
          <w:bCs/>
          <w:kern w:val="44"/>
          <w:sz w:val="28"/>
          <w:szCs w:val="44"/>
          <w:lang w:eastAsia="zh-CN"/>
        </w:rPr>
      </w:pPr>
      <w:r>
        <w:rPr>
          <w:rFonts w:hint="eastAsia" w:eastAsia="宋体"/>
          <w:kern w:val="2"/>
          <w:sz w:val="21"/>
          <w:lang w:eastAsia="zh-CN"/>
        </w:rPr>
        <w:br w:type="page"/>
      </w:r>
      <w:r>
        <w:rPr>
          <w:rFonts w:hint="eastAsia" w:ascii="宋体" w:hAnsi="宋体" w:eastAsia="黑体"/>
          <w:b/>
          <w:bCs/>
          <w:kern w:val="44"/>
          <w:sz w:val="28"/>
          <w:szCs w:val="44"/>
          <w:lang w:eastAsia="zh-CN"/>
        </w:rPr>
        <w:t>目   录</w:t>
      </w:r>
    </w:p>
    <w:p w14:paraId="4A19BC8F">
      <w:pPr>
        <w:widowControl w:val="0"/>
        <w:jc w:val="both"/>
        <w:outlineLvl w:val="0"/>
        <w:rPr>
          <w:rFonts w:eastAsia="宋体"/>
          <w:b/>
          <w:kern w:val="2"/>
          <w:lang w:eastAsia="zh-CN"/>
        </w:rPr>
      </w:pPr>
      <w:r>
        <w:rPr>
          <w:rFonts w:hint="eastAsia" w:eastAsia="宋体"/>
          <w:b/>
          <w:kern w:val="2"/>
          <w:lang w:eastAsia="zh-CN"/>
        </w:rPr>
        <w:t>第一册  专用条款</w:t>
      </w:r>
    </w:p>
    <w:p w14:paraId="1033DD70">
      <w:pPr>
        <w:widowControl w:val="0"/>
        <w:jc w:val="both"/>
        <w:rPr>
          <w:rFonts w:eastAsia="宋体"/>
          <w:kern w:val="2"/>
          <w:lang w:eastAsia="zh-CN"/>
        </w:rPr>
      </w:pPr>
      <w:r>
        <w:rPr>
          <w:rFonts w:hint="eastAsia" w:eastAsia="宋体"/>
          <w:kern w:val="2"/>
          <w:lang w:eastAsia="zh-CN"/>
        </w:rPr>
        <w:t xml:space="preserve">          关键信息</w:t>
      </w:r>
    </w:p>
    <w:p w14:paraId="1E83DE83">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第一章  招标公告</w:t>
      </w:r>
    </w:p>
    <w:p w14:paraId="6DD981EF">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第二章  </w:t>
      </w:r>
      <w:bookmarkStart w:id="1" w:name="_Hlk71994379"/>
      <w:r>
        <w:rPr>
          <w:rFonts w:hint="eastAsia" w:ascii="宋体" w:hAnsi="宋体" w:eastAsia="宋体"/>
          <w:kern w:val="2"/>
          <w:sz w:val="21"/>
          <w:szCs w:val="21"/>
          <w:lang w:eastAsia="zh-CN"/>
        </w:rPr>
        <w:t>对通用条款的补充内容及其他关键信息</w:t>
      </w:r>
      <w:bookmarkEnd w:id="1"/>
    </w:p>
    <w:p w14:paraId="554C4AF9">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第三章 </w:t>
      </w:r>
      <w:r>
        <w:rPr>
          <w:rFonts w:ascii="宋体" w:hAnsi="宋体" w:eastAsia="宋体"/>
          <w:kern w:val="2"/>
          <w:sz w:val="21"/>
          <w:szCs w:val="21"/>
          <w:lang w:eastAsia="zh-CN"/>
        </w:rPr>
        <w:t xml:space="preserve"> </w:t>
      </w:r>
      <w:r>
        <w:rPr>
          <w:rFonts w:hint="eastAsia" w:ascii="宋体" w:hAnsi="宋体" w:eastAsia="宋体"/>
          <w:kern w:val="2"/>
          <w:sz w:val="21"/>
          <w:szCs w:val="21"/>
          <w:lang w:eastAsia="zh-CN"/>
        </w:rPr>
        <w:t>用户需求书</w:t>
      </w:r>
    </w:p>
    <w:p w14:paraId="6CB28F7D">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第四章 </w:t>
      </w:r>
      <w:r>
        <w:rPr>
          <w:rFonts w:ascii="宋体" w:hAnsi="宋体" w:eastAsia="宋体"/>
          <w:kern w:val="2"/>
          <w:sz w:val="21"/>
          <w:szCs w:val="21"/>
          <w:lang w:eastAsia="zh-CN"/>
        </w:rPr>
        <w:t xml:space="preserve"> </w:t>
      </w:r>
      <w:r>
        <w:rPr>
          <w:rFonts w:hint="eastAsia" w:ascii="宋体" w:hAnsi="宋体" w:eastAsia="宋体"/>
          <w:kern w:val="2"/>
          <w:sz w:val="21"/>
          <w:szCs w:val="21"/>
          <w:lang w:eastAsia="zh-CN"/>
        </w:rPr>
        <w:t>投标文件组成要求及格式</w:t>
      </w:r>
    </w:p>
    <w:p w14:paraId="1410EDEE">
      <w:pPr>
        <w:widowControl w:val="0"/>
        <w:ind w:left="720" w:leftChars="300" w:firstLine="630" w:firstLineChars="300"/>
        <w:jc w:val="both"/>
        <w:rPr>
          <w:rFonts w:hint="eastAsia" w:eastAsia="宋体"/>
          <w:b/>
          <w:kern w:val="2"/>
          <w:lang w:eastAsia="zh-CN"/>
        </w:rPr>
      </w:pPr>
      <w:r>
        <w:rPr>
          <w:rFonts w:hint="eastAsia" w:ascii="宋体" w:hAnsi="宋体" w:eastAsia="宋体"/>
          <w:kern w:val="2"/>
          <w:sz w:val="21"/>
          <w:szCs w:val="21"/>
          <w:lang w:eastAsia="zh-CN"/>
        </w:rPr>
        <w:t>第五章  合同条款及格式</w:t>
      </w:r>
    </w:p>
    <w:p w14:paraId="3A39A0AF">
      <w:pPr>
        <w:widowControl w:val="0"/>
        <w:jc w:val="both"/>
        <w:outlineLvl w:val="0"/>
        <w:rPr>
          <w:rFonts w:eastAsia="宋体"/>
          <w:b/>
          <w:kern w:val="2"/>
          <w:lang w:eastAsia="zh-CN"/>
        </w:rPr>
      </w:pPr>
      <w:r>
        <w:rPr>
          <w:rFonts w:hint="eastAsia" w:eastAsia="宋体"/>
          <w:b/>
          <w:kern w:val="2"/>
          <w:lang w:eastAsia="zh-CN"/>
        </w:rPr>
        <w:t>第二册  通用条款</w:t>
      </w:r>
    </w:p>
    <w:p w14:paraId="2C7E7C22">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第一章  总则</w:t>
      </w:r>
    </w:p>
    <w:p w14:paraId="5CD4EF9D">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第二章  招标文件</w:t>
      </w:r>
    </w:p>
    <w:p w14:paraId="3121EDBC">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第三章  投标文件的编制</w:t>
      </w:r>
    </w:p>
    <w:p w14:paraId="467B987B">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第四章  投标文件的递交</w:t>
      </w:r>
    </w:p>
    <w:p w14:paraId="344ADB35">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第五章  开标</w:t>
      </w:r>
    </w:p>
    <w:p w14:paraId="42F49E39">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第六章  评审要求</w:t>
      </w:r>
    </w:p>
    <w:p w14:paraId="43106390">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第七章  评审程序及评审方法</w:t>
      </w:r>
    </w:p>
    <w:p w14:paraId="71CF5739">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第八章  定标及公示</w:t>
      </w:r>
    </w:p>
    <w:p w14:paraId="325CB251">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第九章  公开招标失败的后续处理</w:t>
      </w:r>
    </w:p>
    <w:p w14:paraId="6FF1F8A2">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第十章  合同的授予与备案</w:t>
      </w:r>
    </w:p>
    <w:p w14:paraId="18DC84B6">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第十一章  质疑处理</w:t>
      </w:r>
    </w:p>
    <w:p w14:paraId="71246348">
      <w:pPr>
        <w:widowControl w:val="0"/>
        <w:jc w:val="both"/>
        <w:rPr>
          <w:rFonts w:eastAsia="宋体"/>
          <w:b/>
          <w:kern w:val="2"/>
          <w:lang w:eastAsia="zh-CN"/>
        </w:rPr>
      </w:pPr>
    </w:p>
    <w:p w14:paraId="5EB87D51">
      <w:pPr>
        <w:widowControl w:val="0"/>
        <w:jc w:val="center"/>
        <w:rPr>
          <w:rFonts w:hint="eastAsia" w:ascii="宋体" w:hAnsi="宋体" w:eastAsia="宋体"/>
          <w:b/>
          <w:bCs/>
          <w:sz w:val="28"/>
          <w:szCs w:val="28"/>
          <w:lang w:eastAsia="zh-CN"/>
        </w:rPr>
      </w:pPr>
      <w:r>
        <w:rPr>
          <w:rFonts w:hint="eastAsia" w:eastAsia="宋体"/>
          <w:kern w:val="2"/>
          <w:sz w:val="28"/>
          <w:szCs w:val="28"/>
          <w:lang w:eastAsia="zh-CN"/>
        </w:rPr>
        <w:br w:type="page"/>
      </w:r>
      <w:r>
        <w:rPr>
          <w:rFonts w:hint="eastAsia" w:ascii="宋体" w:hAnsi="宋体" w:eastAsia="宋体"/>
          <w:b/>
          <w:bCs/>
          <w:sz w:val="28"/>
          <w:szCs w:val="28"/>
          <w:lang w:eastAsia="zh-CN"/>
        </w:rPr>
        <w:t>第一册专用条款</w:t>
      </w:r>
    </w:p>
    <w:p w14:paraId="2E5DCBF0">
      <w:pPr>
        <w:keepNext/>
        <w:keepLines/>
        <w:widowControl w:val="0"/>
        <w:adjustRightInd w:val="0"/>
        <w:spacing w:before="0" w:after="0" w:line="240" w:lineRule="auto"/>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第一章  招标公告</w:t>
      </w:r>
    </w:p>
    <w:p w14:paraId="23C1B769">
      <w:pPr>
        <w:widowControl w:val="0"/>
        <w:jc w:val="both"/>
        <w:rPr>
          <w:rFonts w:ascii="宋体" w:hAnsi="宋体" w:eastAsia="宋体" w:cs="宋体"/>
          <w:b/>
          <w:bCs/>
          <w:sz w:val="21"/>
          <w:szCs w:val="21"/>
          <w:lang w:eastAsia="zh-CN"/>
        </w:rPr>
      </w:pPr>
      <w:r>
        <w:rPr>
          <w:rFonts w:hint="eastAsia" w:ascii="宋体" w:hAnsi="宋体" w:eastAsia="宋体" w:cs="宋体"/>
          <w:b/>
          <w:bCs/>
          <w:sz w:val="21"/>
          <w:szCs w:val="21"/>
          <w:lang w:eastAsia="zh-CN"/>
        </w:rPr>
        <w:t>（一）投标人的资格要求：</w:t>
      </w:r>
    </w:p>
    <w:p w14:paraId="78405A3F">
      <w:pPr>
        <w:widowControl w:val="0"/>
        <w:ind w:firstLine="630" w:firstLineChars="300"/>
        <w:jc w:val="both"/>
        <w:rPr>
          <w:rFonts w:ascii="宋体" w:hAnsi="宋体" w:eastAsia="宋体" w:cs="宋体"/>
          <w:sz w:val="21"/>
          <w:szCs w:val="21"/>
          <w:lang w:eastAsia="zh-CN"/>
        </w:rPr>
      </w:pPr>
      <w:r>
        <w:rPr>
          <w:rFonts w:hint="eastAsia" w:ascii="宋体" w:hAnsi="宋体" w:eastAsia="宋体" w:cs="宋体"/>
          <w:sz w:val="21"/>
          <w:szCs w:val="21"/>
          <w:lang w:eastAsia="zh-CN"/>
        </w:rPr>
        <w:t>1</w:t>
      </w:r>
      <w:r>
        <w:rPr>
          <w:rFonts w:ascii="宋体" w:hAnsi="宋体" w:eastAsia="宋体" w:cs="宋体"/>
          <w:sz w:val="21"/>
          <w:szCs w:val="21"/>
          <w:lang w:eastAsia="zh-CN"/>
        </w:rPr>
        <w:t>.</w:t>
      </w:r>
      <w:r>
        <w:rPr>
          <w:rFonts w:hint="eastAsia" w:ascii="宋体" w:hAnsi="宋体" w:eastAsia="宋体" w:cs="宋体"/>
          <w:sz w:val="21"/>
          <w:szCs w:val="21"/>
          <w:lang w:eastAsia="zh-CN"/>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6EFA6F1C">
      <w:pPr>
        <w:widowControl w:val="0"/>
        <w:ind w:firstLine="630" w:firstLineChars="300"/>
        <w:jc w:val="both"/>
        <w:rPr>
          <w:rFonts w:ascii="宋体" w:hAnsi="宋体" w:eastAsia="宋体" w:cs="宋体"/>
          <w:sz w:val="21"/>
          <w:szCs w:val="21"/>
          <w:lang w:eastAsia="zh-CN"/>
        </w:rPr>
      </w:pPr>
      <w:r>
        <w:rPr>
          <w:rFonts w:hint="eastAsia" w:ascii="宋体" w:hAnsi="宋体" w:eastAsia="宋体" w:cs="宋体"/>
          <w:sz w:val="21"/>
          <w:szCs w:val="21"/>
          <w:lang w:eastAsia="zh-CN"/>
        </w:rPr>
        <w:t>2.本项目不接受联合体投标，不接受投标人选用进口产品参与投标（由供应商在《采购投标及履约承诺函》中作出声明）；</w:t>
      </w:r>
    </w:p>
    <w:p w14:paraId="4E578F85">
      <w:pPr>
        <w:widowControl w:val="0"/>
        <w:ind w:firstLine="630" w:firstLineChars="300"/>
        <w:jc w:val="both"/>
        <w:rPr>
          <w:rFonts w:ascii="宋体" w:hAnsi="宋体" w:eastAsia="宋体" w:cs="宋体"/>
          <w:sz w:val="21"/>
          <w:szCs w:val="21"/>
          <w:lang w:eastAsia="zh-CN"/>
        </w:rPr>
      </w:pPr>
      <w:r>
        <w:rPr>
          <w:rFonts w:hint="eastAsia" w:ascii="宋体" w:hAnsi="宋体" w:eastAsia="宋体" w:cs="宋体"/>
          <w:sz w:val="21"/>
          <w:szCs w:val="21"/>
          <w:lang w:eastAsia="zh-CN"/>
        </w:rPr>
        <w:t>3</w:t>
      </w:r>
      <w:r>
        <w:rPr>
          <w:rFonts w:ascii="宋体" w:hAnsi="宋体" w:eastAsia="宋体" w:cs="宋体"/>
          <w:sz w:val="21"/>
          <w:szCs w:val="21"/>
          <w:lang w:eastAsia="zh-CN"/>
        </w:rPr>
        <w:t>.</w:t>
      </w:r>
      <w:r>
        <w:rPr>
          <w:rFonts w:hint="eastAsia" w:ascii="宋体" w:hAnsi="宋体" w:eastAsia="宋体" w:cs="宋体"/>
          <w:sz w:val="21"/>
          <w:szCs w:val="21"/>
          <w:lang w:eastAsia="zh-CN"/>
        </w:rPr>
        <w:t>参与本项目采购活动时不存在被有关部门禁止参与政府采购活动且在有效期内的情况（由供应商在《采购投标及履约承诺函》中作出声明）；</w:t>
      </w:r>
    </w:p>
    <w:p w14:paraId="2EE7E517">
      <w:pPr>
        <w:widowControl w:val="0"/>
        <w:ind w:firstLine="630" w:firstLineChars="300"/>
        <w:jc w:val="both"/>
        <w:rPr>
          <w:rFonts w:ascii="宋体" w:hAnsi="宋体" w:eastAsia="宋体" w:cs="宋体"/>
          <w:sz w:val="21"/>
          <w:szCs w:val="21"/>
          <w:lang w:eastAsia="zh-CN"/>
        </w:rPr>
      </w:pPr>
      <w:r>
        <w:rPr>
          <w:rFonts w:hint="eastAsia" w:ascii="宋体" w:hAnsi="宋体" w:eastAsia="宋体" w:cs="宋体"/>
          <w:sz w:val="21"/>
          <w:szCs w:val="21"/>
          <w:lang w:eastAsia="zh-CN"/>
        </w:rPr>
        <w:t>4</w:t>
      </w:r>
      <w:r>
        <w:rPr>
          <w:rFonts w:ascii="宋体" w:hAnsi="宋体" w:eastAsia="宋体" w:cs="宋体"/>
          <w:sz w:val="21"/>
          <w:szCs w:val="21"/>
          <w:lang w:eastAsia="zh-CN"/>
        </w:rPr>
        <w:t>.</w:t>
      </w:r>
      <w:r>
        <w:rPr>
          <w:rFonts w:hint="eastAsia" w:ascii="宋体" w:hAnsi="宋体" w:eastAsia="宋体" w:cs="宋体"/>
          <w:sz w:val="21"/>
          <w:szCs w:val="21"/>
          <w:lang w:eastAsia="zh-CN"/>
        </w:rPr>
        <w:t>具备《中华人民共和国政府采购法》第二十二条第一款的条件（由供应商在《采购投标及履约承诺函》中作出声明）；</w:t>
      </w:r>
    </w:p>
    <w:p w14:paraId="5C5B4FE2">
      <w:pPr>
        <w:widowControl w:val="0"/>
        <w:ind w:firstLine="630" w:firstLineChars="300"/>
        <w:jc w:val="both"/>
        <w:rPr>
          <w:rFonts w:ascii="宋体" w:hAnsi="宋体" w:eastAsia="宋体" w:cs="宋体"/>
          <w:sz w:val="21"/>
          <w:szCs w:val="21"/>
          <w:lang w:eastAsia="zh-CN"/>
        </w:rPr>
      </w:pPr>
      <w:r>
        <w:rPr>
          <w:rFonts w:hint="eastAsia" w:ascii="宋体" w:hAnsi="宋体" w:eastAsia="宋体" w:cs="宋体"/>
          <w:sz w:val="21"/>
          <w:szCs w:val="21"/>
          <w:lang w:eastAsia="zh-CN"/>
        </w:rPr>
        <w:t>5</w:t>
      </w:r>
      <w:r>
        <w:rPr>
          <w:rFonts w:ascii="宋体" w:hAnsi="宋体" w:eastAsia="宋体" w:cs="宋体"/>
          <w:sz w:val="21"/>
          <w:szCs w:val="21"/>
          <w:lang w:eastAsia="zh-CN"/>
        </w:rPr>
        <w:t>.</w:t>
      </w:r>
      <w:r>
        <w:rPr>
          <w:rFonts w:hint="eastAsia" w:ascii="宋体" w:hAnsi="宋体" w:eastAsia="宋体" w:cs="宋体"/>
          <w:sz w:val="21"/>
          <w:szCs w:val="21"/>
          <w:lang w:eastAsia="zh-CN"/>
        </w:rPr>
        <w:t>未被列入失信被执行人、重大税收违法案件当事人名单、政府采购严重违法失信行为记录名单（由供应商在《采购投标及履约承诺函》中作出声明）；</w:t>
      </w:r>
    </w:p>
    <w:p w14:paraId="7106049B">
      <w:pPr>
        <w:widowControl w:val="0"/>
        <w:ind w:firstLine="630" w:firstLineChars="300"/>
        <w:jc w:val="both"/>
        <w:rPr>
          <w:rFonts w:ascii="宋体" w:hAnsi="宋体" w:eastAsia="宋体" w:cs="宋体"/>
          <w:color w:val="FF0000"/>
          <w:sz w:val="21"/>
          <w:szCs w:val="21"/>
          <w:lang w:eastAsia="zh-CN"/>
        </w:rPr>
      </w:pPr>
      <w:r>
        <w:rPr>
          <w:rFonts w:hint="eastAsia" w:ascii="宋体" w:hAnsi="宋体" w:eastAsia="宋体" w:cs="宋体"/>
          <w:color w:val="FF0000"/>
          <w:sz w:val="21"/>
          <w:szCs w:val="21"/>
          <w:lang w:eastAsia="zh-CN"/>
        </w:rPr>
        <w:t>6.不存在《深圳市财政局政府采购供应商信用信息管理办法》（深财规〔2023〕3号）列明的严重违法失信行为（由供应商在《采购投标及履约承诺函》中作出声明）；</w:t>
      </w:r>
    </w:p>
    <w:p w14:paraId="10E8A41D">
      <w:pPr>
        <w:widowControl w:val="0"/>
        <w:ind w:firstLine="630" w:firstLineChars="300"/>
        <w:jc w:val="both"/>
        <w:rPr>
          <w:rFonts w:ascii="宋体" w:hAnsi="宋体" w:eastAsia="宋体" w:cs="宋体"/>
          <w:sz w:val="21"/>
          <w:szCs w:val="21"/>
          <w:lang w:eastAsia="zh-CN"/>
        </w:rPr>
      </w:pPr>
      <w:r>
        <w:rPr>
          <w:rFonts w:hint="eastAsia" w:ascii="宋体" w:hAnsi="宋体" w:eastAsia="宋体" w:cs="宋体"/>
          <w:sz w:val="21"/>
          <w:szCs w:val="21"/>
          <w:lang w:eastAsia="zh-CN"/>
        </w:rPr>
        <w:t>7.为采购项目提供整体设计、规范编制或者项目管理、监理、检测等服务的供应商，不得再参加该采购项目的其他采购活动（由供应商在《采购投标及履约承诺函》中作出声明）；</w:t>
      </w:r>
    </w:p>
    <w:p w14:paraId="2AC413F5">
      <w:pPr>
        <w:widowControl w:val="0"/>
        <w:ind w:firstLine="630" w:firstLineChars="300"/>
        <w:jc w:val="both"/>
        <w:rPr>
          <w:rFonts w:ascii="宋体" w:hAnsi="宋体" w:eastAsia="宋体" w:cs="宋体"/>
          <w:color w:val="FF0000"/>
          <w:sz w:val="21"/>
          <w:szCs w:val="21"/>
          <w:lang w:eastAsia="zh-CN"/>
        </w:rPr>
      </w:pPr>
      <w:r>
        <w:rPr>
          <w:rFonts w:hint="eastAsia" w:ascii="宋体" w:hAnsi="宋体" w:eastAsia="宋体" w:cs="宋体"/>
          <w:color w:val="FF0000"/>
          <w:sz w:val="21"/>
          <w:szCs w:val="21"/>
          <w:lang w:eastAsia="zh-CN"/>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采购活动</w:t>
      </w:r>
      <w:r>
        <w:rPr>
          <w:rFonts w:hint="eastAsia" w:ascii="宋体" w:hAnsi="宋体" w:eastAsia="宋体" w:cs="宋体"/>
          <w:b/>
          <w:color w:val="FF0000"/>
          <w:sz w:val="21"/>
          <w:szCs w:val="21"/>
          <w:lang w:eastAsia="zh-CN"/>
        </w:rPr>
        <w:t>（由供应商提供《供应商基本情况表》并加盖公章扫描件）。</w:t>
      </w:r>
    </w:p>
    <w:p w14:paraId="74EA2C87">
      <w:pPr>
        <w:widowControl w:val="0"/>
        <w:ind w:firstLine="630" w:firstLineChars="300"/>
        <w:jc w:val="both"/>
        <w:rPr>
          <w:rFonts w:eastAsia="宋体"/>
          <w:kern w:val="2"/>
          <w:sz w:val="21"/>
          <w:lang w:eastAsia="zh-CN"/>
        </w:rPr>
      </w:pPr>
      <w:r>
        <w:rPr>
          <w:rFonts w:hint="eastAsia" w:ascii="宋体" w:hAnsi="宋体" w:eastAsia="宋体" w:cs="宋体"/>
          <w:sz w:val="21"/>
          <w:szCs w:val="21"/>
          <w:lang w:eastAsia="zh-CN"/>
        </w:rPr>
        <w:t>9.本项目为非专门面向中小企业采购项目。</w:t>
      </w:r>
    </w:p>
    <w:p w14:paraId="2A584A5E">
      <w:pPr>
        <w:widowControl w:val="0"/>
        <w:ind w:firstLine="632" w:firstLineChars="300"/>
        <w:jc w:val="both"/>
        <w:rPr>
          <w:rFonts w:hint="eastAsia" w:eastAsia="宋体"/>
          <w:b/>
          <w:bCs/>
          <w:color w:val="FF0000"/>
          <w:kern w:val="2"/>
          <w:sz w:val="21"/>
          <w:lang w:eastAsia="zh-CN"/>
        </w:rPr>
      </w:pPr>
      <w:r>
        <w:rPr>
          <w:rFonts w:hint="eastAsia" w:eastAsia="宋体"/>
          <w:b/>
          <w:bCs/>
          <w:color w:val="FF0000"/>
          <w:kern w:val="2"/>
          <w:sz w:val="21"/>
          <w:lang w:eastAsia="zh-CN"/>
        </w:rPr>
        <w:t>10.供应商具有行政主管部门核准颁发的《中华人民共和国特种设备检验检测机构核准证》，检测范围包含：PD1（无缝气瓶检测）和PD2（焊接气瓶检测）（提供对应证书扫描件）。</w:t>
      </w:r>
    </w:p>
    <w:p w14:paraId="66BBD048">
      <w:pPr>
        <w:widowControl w:val="0"/>
        <w:jc w:val="both"/>
        <w:rPr>
          <w:rFonts w:ascii="宋体" w:hAnsi="宋体" w:eastAsia="宋体" w:cs="宋体"/>
          <w:sz w:val="21"/>
          <w:szCs w:val="21"/>
          <w:lang w:eastAsia="zh-CN"/>
        </w:rPr>
      </w:pPr>
      <w:r>
        <w:rPr>
          <w:rFonts w:hint="eastAsia" w:ascii="宋体" w:hAnsi="宋体" w:eastAsia="宋体" w:cs="宋体"/>
          <w:sz w:val="21"/>
          <w:szCs w:val="21"/>
          <w:lang w:eastAsia="zh-CN"/>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4C3710AE">
      <w:pPr>
        <w:widowControl w:val="0"/>
        <w:numPr>
          <w:ilvl w:val="0"/>
          <w:numId w:val="1"/>
        </w:numPr>
        <w:jc w:val="both"/>
        <w:rPr>
          <w:rFonts w:hint="eastAsia" w:ascii="宋体" w:hAnsi="宋体" w:eastAsia="宋体"/>
          <w:kern w:val="2"/>
          <w:sz w:val="21"/>
          <w:lang w:eastAsia="zh-CN"/>
        </w:rPr>
      </w:pPr>
      <w:r>
        <w:rPr>
          <w:rFonts w:hint="eastAsia" w:ascii="宋体" w:hAnsi="宋体" w:eastAsia="宋体"/>
          <w:kern w:val="2"/>
          <w:sz w:val="21"/>
          <w:lang w:eastAsia="zh-CN"/>
        </w:rPr>
        <w:t>供应商投标（上传投标文件）必须先行办理注册手续，具体操作指引请按照深圳公共资源交易网/交易服务指南/资料下载/深圳自行采购系统用户操作指引（供应商）相关内容指引办理。</w:t>
      </w:r>
    </w:p>
    <w:p w14:paraId="3F4FCFCC">
      <w:pPr>
        <w:widowControl w:val="0"/>
        <w:spacing w:line="280" w:lineRule="exact"/>
        <w:jc w:val="both"/>
        <w:rPr>
          <w:rFonts w:ascii="宋体" w:hAnsi="宋体" w:eastAsia="宋体" w:cs="宋体"/>
          <w:b/>
          <w:bCs/>
          <w:sz w:val="21"/>
          <w:szCs w:val="21"/>
          <w:lang w:eastAsia="zh-CN"/>
        </w:rPr>
      </w:pPr>
      <w:r>
        <w:rPr>
          <w:rFonts w:hint="eastAsia" w:ascii="宋体" w:hAnsi="宋体" w:eastAsia="宋体" w:cs="宋体"/>
          <w:b/>
          <w:bCs/>
          <w:sz w:val="21"/>
          <w:szCs w:val="21"/>
          <w:lang w:eastAsia="zh-CN"/>
        </w:rPr>
        <w:t>（二）现场踏勘：</w:t>
      </w:r>
    </w:p>
    <w:p w14:paraId="6062DED1">
      <w:pPr>
        <w:widowControl w:val="0"/>
        <w:spacing w:line="280" w:lineRule="exact"/>
        <w:ind w:firstLine="420" w:firstLineChars="200"/>
        <w:jc w:val="both"/>
        <w:rPr>
          <w:rFonts w:ascii="宋体" w:hAnsi="宋体" w:eastAsia="宋体" w:cs="宋体"/>
          <w:kern w:val="2"/>
          <w:sz w:val="21"/>
          <w:lang w:eastAsia="zh-CN"/>
        </w:rPr>
      </w:pPr>
      <w:r>
        <w:rPr>
          <w:rFonts w:hint="eastAsia" w:ascii="宋体" w:hAnsi="宋体" w:eastAsia="宋体" w:cs="宋体"/>
          <w:kern w:val="2"/>
          <w:sz w:val="21"/>
          <w:lang w:eastAsia="zh-CN"/>
        </w:rPr>
        <w:t>为供应商充分了解本项目需求设置现场统一踏勘，具体要求如下：</w:t>
      </w:r>
    </w:p>
    <w:p w14:paraId="245673CC">
      <w:pPr>
        <w:widowControl w:val="0"/>
        <w:spacing w:line="280" w:lineRule="exact"/>
        <w:ind w:firstLine="420" w:firstLineChars="200"/>
        <w:jc w:val="both"/>
        <w:rPr>
          <w:rFonts w:ascii="宋体" w:hAnsi="宋体" w:eastAsia="宋体" w:cs="宋体"/>
          <w:kern w:val="2"/>
          <w:sz w:val="21"/>
          <w:lang w:eastAsia="zh-CN"/>
        </w:rPr>
      </w:pPr>
      <w:r>
        <w:rPr>
          <w:rFonts w:hint="eastAsia" w:ascii="宋体" w:hAnsi="宋体" w:eastAsia="宋体" w:cs="宋体"/>
          <w:kern w:val="2"/>
          <w:sz w:val="21"/>
          <w:lang w:eastAsia="zh-CN"/>
        </w:rPr>
        <w:t>1.供应商踏勘时需提供（1）营业执照复印件（盖公章）（2）法定代表人（负责人）授权委托书原件及被委托人身份证复印件（均盖公章）。</w:t>
      </w:r>
    </w:p>
    <w:p w14:paraId="35F2FCED">
      <w:pPr>
        <w:widowControl w:val="0"/>
        <w:spacing w:line="280" w:lineRule="exact"/>
        <w:ind w:firstLine="422" w:firstLineChars="200"/>
        <w:jc w:val="both"/>
        <w:rPr>
          <w:rFonts w:ascii="宋体" w:hAnsi="宋体" w:eastAsia="宋体" w:cs="宋体"/>
          <w:b/>
          <w:bCs/>
          <w:color w:val="FF0000"/>
          <w:kern w:val="2"/>
          <w:sz w:val="21"/>
          <w:lang w:eastAsia="zh-CN"/>
        </w:rPr>
      </w:pPr>
      <w:r>
        <w:rPr>
          <w:rFonts w:hint="eastAsia" w:ascii="宋体" w:hAnsi="宋体" w:eastAsia="宋体" w:cs="宋体"/>
          <w:b/>
          <w:bCs/>
          <w:color w:val="FF0000"/>
          <w:kern w:val="2"/>
          <w:sz w:val="21"/>
          <w:lang w:eastAsia="zh-CN"/>
        </w:rPr>
        <w:t>2.踏勘时间：2025年8月21号上午9:00（北京时间），过期不候。</w:t>
      </w:r>
    </w:p>
    <w:p w14:paraId="461926DC">
      <w:pPr>
        <w:widowControl w:val="0"/>
        <w:spacing w:line="280" w:lineRule="exact"/>
        <w:ind w:firstLine="420" w:firstLineChars="200"/>
        <w:jc w:val="both"/>
        <w:rPr>
          <w:rFonts w:ascii="宋体" w:hAnsi="宋体" w:eastAsia="宋体" w:cs="宋体"/>
          <w:kern w:val="2"/>
          <w:sz w:val="21"/>
          <w:lang w:eastAsia="zh-CN"/>
        </w:rPr>
      </w:pPr>
      <w:r>
        <w:rPr>
          <w:rFonts w:hint="eastAsia" w:ascii="宋体" w:hAnsi="宋体" w:eastAsia="宋体" w:cs="宋体"/>
          <w:kern w:val="2"/>
          <w:sz w:val="21"/>
          <w:lang w:eastAsia="zh-CN"/>
        </w:rPr>
        <w:t>3.踏勘地点：深圳市福田区安托山一路2号深圳市急救中心</w:t>
      </w:r>
    </w:p>
    <w:p w14:paraId="00A2694F">
      <w:pPr>
        <w:widowControl w:val="0"/>
        <w:spacing w:line="280" w:lineRule="exact"/>
        <w:ind w:firstLine="420" w:firstLineChars="200"/>
        <w:jc w:val="both"/>
        <w:rPr>
          <w:rFonts w:ascii="宋体" w:hAnsi="宋体" w:eastAsia="宋体" w:cs="宋体"/>
          <w:kern w:val="2"/>
          <w:sz w:val="21"/>
          <w:lang w:eastAsia="zh-CN"/>
        </w:rPr>
      </w:pPr>
      <w:r>
        <w:rPr>
          <w:rFonts w:hint="eastAsia" w:ascii="宋体" w:hAnsi="宋体" w:eastAsia="宋体" w:cs="宋体"/>
          <w:kern w:val="2"/>
          <w:sz w:val="21"/>
          <w:lang w:eastAsia="zh-CN"/>
        </w:rPr>
        <w:t>4.联系人：康晓伟，联系电话：13713939837，</w:t>
      </w:r>
      <w:r>
        <w:rPr>
          <w:rFonts w:hint="eastAsia" w:eastAsia="宋体"/>
          <w:kern w:val="2"/>
          <w:sz w:val="21"/>
          <w:lang w:eastAsia="zh-CN"/>
        </w:rPr>
        <w:t>踏勘</w:t>
      </w:r>
      <w:r>
        <w:rPr>
          <w:rFonts w:hint="eastAsia" w:ascii="宋体" w:hAnsi="宋体" w:eastAsia="宋体" w:cs="宋体"/>
          <w:kern w:val="2"/>
          <w:sz w:val="21"/>
          <w:lang w:eastAsia="zh-CN"/>
        </w:rPr>
        <w:t>预约邮箱：szem120zwcg02@wjw.sz.gov.cn</w:t>
      </w:r>
      <w:r>
        <w:rPr>
          <w:rFonts w:hint="eastAsia" w:eastAsia="宋体"/>
          <w:kern w:val="2"/>
          <w:sz w:val="21"/>
          <w:lang w:eastAsia="zh-CN"/>
        </w:rPr>
        <w:t>，需在踏勘时间提前1个工作日发邮件至</w:t>
      </w:r>
      <w:r>
        <w:rPr>
          <w:rFonts w:hint="eastAsia" w:ascii="宋体" w:hAnsi="宋体" w:eastAsia="宋体" w:cs="宋体"/>
          <w:kern w:val="2"/>
          <w:sz w:val="21"/>
          <w:lang w:eastAsia="zh-CN"/>
        </w:rPr>
        <w:t>szem120zwcg02@wjw.sz.gov.cn</w:t>
      </w:r>
      <w:r>
        <w:rPr>
          <w:rFonts w:hint="eastAsia" w:eastAsia="宋体"/>
          <w:kern w:val="2"/>
          <w:sz w:val="21"/>
          <w:lang w:eastAsia="zh-CN"/>
        </w:rPr>
        <w:t>进行踏勘</w:t>
      </w:r>
      <w:r>
        <w:rPr>
          <w:rFonts w:hint="eastAsia" w:ascii="宋体" w:hAnsi="宋体" w:eastAsia="宋体" w:cs="宋体"/>
          <w:kern w:val="2"/>
          <w:sz w:val="21"/>
          <w:lang w:eastAsia="zh-CN"/>
        </w:rPr>
        <w:t>预约</w:t>
      </w:r>
      <w:r>
        <w:rPr>
          <w:rFonts w:hint="eastAsia" w:eastAsia="宋体"/>
          <w:kern w:val="2"/>
          <w:sz w:val="21"/>
          <w:lang w:eastAsia="zh-CN"/>
        </w:rPr>
        <w:t>，邮件标题格式：【项目踏勘预约】XX公司——踏勘人员姓名，因未按要求进行踏勘预约而导致的不利后果由供应商自行承担！</w:t>
      </w:r>
    </w:p>
    <w:p w14:paraId="0C590275">
      <w:pPr>
        <w:widowControl w:val="0"/>
        <w:numPr>
          <w:ilvl w:val="0"/>
          <w:numId w:val="0"/>
        </w:numPr>
        <w:spacing w:line="360" w:lineRule="auto"/>
        <w:ind w:left="0" w:firstLine="0"/>
        <w:jc w:val="both"/>
        <w:rPr>
          <w:rFonts w:hint="eastAsia" w:eastAsia="宋体"/>
          <w:b/>
          <w:bCs/>
          <w:kern w:val="2"/>
          <w:lang w:eastAsia="zh-CN"/>
        </w:rPr>
      </w:pPr>
    </w:p>
    <w:p w14:paraId="207D0AE2">
      <w:pPr>
        <w:widowControl w:val="0"/>
        <w:jc w:val="left"/>
        <w:rPr>
          <w:rFonts w:eastAsia="宋体"/>
          <w:b/>
          <w:kern w:val="2"/>
          <w:sz w:val="22"/>
          <w:szCs w:val="18"/>
          <w:lang w:eastAsia="zh-CN"/>
        </w:rPr>
      </w:pPr>
      <w:r>
        <w:rPr>
          <w:rFonts w:hint="eastAsia" w:eastAsia="宋体"/>
          <w:b/>
          <w:kern w:val="2"/>
          <w:sz w:val="22"/>
          <w:szCs w:val="18"/>
          <w:lang w:eastAsia="zh-CN"/>
        </w:rPr>
        <w:t>完整公告内容详见：深圳交易集团（深圳公共资源交易中心）官网https://www.szexgrp.com/jyfw/zfcg-view.html?id=zfcg</w:t>
      </w:r>
    </w:p>
    <w:p w14:paraId="1D615C02">
      <w:pPr>
        <w:widowControl w:val="0"/>
        <w:jc w:val="center"/>
        <w:rPr>
          <w:rFonts w:ascii="宋体" w:hAnsi="宋体" w:eastAsia="宋体"/>
          <w:b/>
          <w:bCs/>
          <w:sz w:val="28"/>
          <w:szCs w:val="28"/>
          <w:lang w:eastAsia="zh-CN"/>
        </w:rPr>
      </w:pPr>
      <w:bookmarkStart w:id="2" w:name="bt合同条款"/>
      <w:bookmarkEnd w:id="2"/>
      <w:bookmarkStart w:id="3" w:name="bt合同条款及格式"/>
      <w:bookmarkEnd w:id="3"/>
      <w:bookmarkStart w:id="4" w:name="bt其他资料2"/>
      <w:bookmarkEnd w:id="4"/>
      <w:bookmarkStart w:id="5" w:name="bt其他资料由投标人自定"/>
      <w:bookmarkEnd w:id="5"/>
      <w:bookmarkStart w:id="6" w:name="bt技术标投标文件格式"/>
      <w:bookmarkEnd w:id="6"/>
      <w:bookmarkStart w:id="7" w:name="bt投标报价汇总表"/>
      <w:bookmarkEnd w:id="7"/>
      <w:bookmarkStart w:id="8" w:name="bt项目管理班子配备情况"/>
      <w:bookmarkEnd w:id="8"/>
      <w:bookmarkStart w:id="9" w:name="bt投标人须知"/>
      <w:bookmarkEnd w:id="9"/>
      <w:bookmarkStart w:id="10" w:name="bt合同格式"/>
      <w:bookmarkEnd w:id="10"/>
      <w:bookmarkStart w:id="11" w:name="bt开标一览表"/>
      <w:bookmarkEnd w:id="11"/>
      <w:bookmarkStart w:id="12" w:name="bt本工程承诺书"/>
      <w:bookmarkEnd w:id="12"/>
      <w:bookmarkStart w:id="13" w:name="bt商务标投标文件格式"/>
      <w:bookmarkEnd w:id="13"/>
      <w:bookmarkStart w:id="14" w:name="bt投标函"/>
      <w:bookmarkEnd w:id="14"/>
      <w:bookmarkStart w:id="15" w:name="合同格式"/>
      <w:bookmarkEnd w:id="15"/>
      <w:bookmarkStart w:id="16" w:name="bt投标人情况介绍"/>
      <w:bookmarkEnd w:id="16"/>
      <w:bookmarkStart w:id="17" w:name="bt说明"/>
      <w:bookmarkEnd w:id="17"/>
      <w:bookmarkStart w:id="18" w:name="bt投标文件签署授权委托书"/>
      <w:bookmarkEnd w:id="18"/>
      <w:r>
        <w:rPr>
          <w:rFonts w:hint="eastAsia" w:eastAsia="宋体"/>
          <w:kern w:val="2"/>
          <w:sz w:val="28"/>
          <w:szCs w:val="28"/>
          <w:lang w:eastAsia="zh-CN"/>
        </w:rPr>
        <w:br w:type="page"/>
      </w:r>
      <w:r>
        <w:rPr>
          <w:rFonts w:hint="eastAsia" w:ascii="宋体" w:hAnsi="宋体" w:eastAsia="宋体"/>
          <w:b/>
          <w:bCs/>
          <w:sz w:val="28"/>
          <w:szCs w:val="28"/>
          <w:lang w:eastAsia="zh-CN"/>
        </w:rPr>
        <w:t>第二章 对通用条款的补充内容及其他关键信息</w:t>
      </w:r>
    </w:p>
    <w:p w14:paraId="0AAE6D1E">
      <w:pPr>
        <w:keepNext/>
        <w:keepLines/>
        <w:widowControl w:val="0"/>
        <w:adjustRightInd w:val="0"/>
        <w:spacing w:before="156" w:beforeLines="50" w:after="156" w:afterLines="50" w:line="240" w:lineRule="auto"/>
        <w:jc w:val="center"/>
        <w:textAlignment w:val="baseline"/>
        <w:outlineLvl w:val="1"/>
        <w:rPr>
          <w:rFonts w:ascii="宋体" w:hAnsi="宋体" w:eastAsia="宋体"/>
          <w:b/>
          <w:bCs/>
          <w:sz w:val="28"/>
          <w:szCs w:val="28"/>
          <w:lang w:eastAsia="zh-CN"/>
        </w:rPr>
      </w:pPr>
      <w:bookmarkStart w:id="19" w:name="_Toc73517639"/>
      <w:bookmarkStart w:id="20" w:name="_Toc73521547"/>
      <w:bookmarkStart w:id="21" w:name="_Toc100052364"/>
      <w:bookmarkStart w:id="22" w:name="_Toc101074876"/>
      <w:bookmarkStart w:id="23" w:name="_Toc73518117"/>
      <w:bookmarkStart w:id="24" w:name="_Toc60560625"/>
      <w:bookmarkStart w:id="25" w:name="_Toc73521635"/>
      <w:bookmarkStart w:id="26" w:name="_Toc60631620"/>
      <w:r>
        <w:rPr>
          <w:rFonts w:hint="eastAsia" w:ascii="宋体" w:hAnsi="宋体" w:eastAsia="宋体"/>
          <w:b/>
          <w:bCs/>
          <w:lang w:eastAsia="zh-CN"/>
        </w:rPr>
        <w:t>一、对通用条款的补充内容</w:t>
      </w:r>
    </w:p>
    <w:bookmarkEnd w:id="19"/>
    <w:bookmarkEnd w:id="20"/>
    <w:bookmarkEnd w:id="21"/>
    <w:bookmarkEnd w:id="22"/>
    <w:bookmarkEnd w:id="23"/>
    <w:bookmarkEnd w:id="24"/>
    <w:bookmarkEnd w:id="25"/>
    <w:bookmarkEnd w:id="26"/>
    <w:tbl>
      <w:tblPr>
        <w:tblStyle w:val="13"/>
        <w:tblW w:w="5000"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50"/>
        <w:gridCol w:w="2106"/>
        <w:gridCol w:w="5948"/>
      </w:tblGrid>
      <w:tr w14:paraId="376C49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7B79C202">
            <w:pPr>
              <w:keepNext w:val="0"/>
              <w:keepLines w:val="0"/>
              <w:widowControl w:val="0"/>
              <w:suppressLineNumbers w:val="0"/>
              <w:spacing w:before="0" w:beforeAutospacing="0" w:after="0" w:afterAutospacing="0"/>
              <w:ind w:left="0" w:right="0"/>
              <w:jc w:val="center"/>
              <w:rPr>
                <w:rFonts w:ascii="宋体" w:hAnsi="宋体" w:eastAsia="宋体"/>
                <w:b/>
                <w:bCs/>
                <w:kern w:val="2"/>
                <w:sz w:val="21"/>
                <w:lang w:eastAsia="zh-CN"/>
              </w:rPr>
            </w:pPr>
            <w:r>
              <w:rPr>
                <w:rFonts w:hint="eastAsia" w:ascii="宋体" w:hAnsi="宋体" w:eastAsia="宋体"/>
                <w:b/>
                <w:bCs/>
                <w:kern w:val="2"/>
                <w:sz w:val="21"/>
                <w:lang w:eastAsia="zh-CN"/>
              </w:rPr>
              <w:t>通用条款序号</w:t>
            </w:r>
          </w:p>
        </w:tc>
        <w:tc>
          <w:tcPr>
            <w:tcW w:w="2158" w:type="dxa"/>
            <w:vAlign w:val="center"/>
          </w:tcPr>
          <w:p w14:paraId="710776DF">
            <w:pPr>
              <w:keepNext w:val="0"/>
              <w:keepLines w:val="0"/>
              <w:widowControl w:val="0"/>
              <w:suppressLineNumbers w:val="0"/>
              <w:spacing w:before="0" w:beforeAutospacing="0" w:after="0" w:afterAutospacing="0"/>
              <w:ind w:left="0" w:right="0"/>
              <w:jc w:val="center"/>
              <w:rPr>
                <w:rFonts w:ascii="宋体" w:hAnsi="宋体" w:eastAsia="宋体"/>
                <w:b/>
                <w:bCs/>
                <w:kern w:val="2"/>
                <w:sz w:val="21"/>
                <w:lang w:eastAsia="zh-CN"/>
              </w:rPr>
            </w:pPr>
            <w:r>
              <w:rPr>
                <w:rFonts w:hint="eastAsia" w:ascii="宋体" w:hAnsi="宋体" w:eastAsia="宋体"/>
                <w:b/>
                <w:bCs/>
                <w:kern w:val="2"/>
                <w:sz w:val="21"/>
                <w:lang w:eastAsia="zh-CN"/>
              </w:rPr>
              <w:t>涉及事项</w:t>
            </w:r>
          </w:p>
        </w:tc>
        <w:tc>
          <w:tcPr>
            <w:tcW w:w="6107" w:type="dxa"/>
            <w:vAlign w:val="center"/>
          </w:tcPr>
          <w:p w14:paraId="3DC941E6">
            <w:pPr>
              <w:keepNext w:val="0"/>
              <w:keepLines w:val="0"/>
              <w:widowControl w:val="0"/>
              <w:suppressLineNumbers w:val="0"/>
              <w:spacing w:before="0" w:beforeAutospacing="0" w:after="0" w:afterAutospacing="0"/>
              <w:ind w:left="0" w:right="0"/>
              <w:jc w:val="center"/>
              <w:rPr>
                <w:rFonts w:ascii="宋体" w:hAnsi="宋体" w:eastAsia="宋体"/>
                <w:b/>
                <w:bCs/>
                <w:kern w:val="2"/>
                <w:sz w:val="21"/>
                <w:lang w:eastAsia="zh-CN"/>
              </w:rPr>
            </w:pPr>
            <w:r>
              <w:rPr>
                <w:rFonts w:hint="eastAsia" w:ascii="宋体" w:hAnsi="宋体" w:eastAsia="宋体"/>
                <w:b/>
                <w:bCs/>
                <w:kern w:val="2"/>
                <w:sz w:val="21"/>
                <w:lang w:eastAsia="zh-CN"/>
              </w:rPr>
              <w:t xml:space="preserve">具 </w:t>
            </w:r>
            <w:r>
              <w:rPr>
                <w:rFonts w:ascii="宋体" w:hAnsi="宋体" w:eastAsia="宋体"/>
                <w:b/>
                <w:bCs/>
                <w:kern w:val="2"/>
                <w:sz w:val="21"/>
                <w:lang w:eastAsia="zh-CN"/>
              </w:rPr>
              <w:t xml:space="preserve"> </w:t>
            </w:r>
            <w:r>
              <w:rPr>
                <w:rFonts w:hint="eastAsia" w:ascii="宋体" w:hAnsi="宋体" w:eastAsia="宋体"/>
                <w:b/>
                <w:bCs/>
                <w:kern w:val="2"/>
                <w:sz w:val="21"/>
                <w:lang w:eastAsia="zh-CN"/>
              </w:rPr>
              <w:t xml:space="preserve">体 </w:t>
            </w:r>
            <w:r>
              <w:rPr>
                <w:rFonts w:ascii="宋体" w:hAnsi="宋体" w:eastAsia="宋体"/>
                <w:b/>
                <w:bCs/>
                <w:kern w:val="2"/>
                <w:sz w:val="21"/>
                <w:lang w:eastAsia="zh-CN"/>
              </w:rPr>
              <w:t xml:space="preserve"> </w:t>
            </w:r>
            <w:r>
              <w:rPr>
                <w:rFonts w:hint="eastAsia" w:ascii="宋体" w:hAnsi="宋体" w:eastAsia="宋体"/>
                <w:b/>
                <w:bCs/>
                <w:kern w:val="2"/>
                <w:sz w:val="21"/>
                <w:lang w:eastAsia="zh-CN"/>
              </w:rPr>
              <w:t xml:space="preserve">补 </w:t>
            </w:r>
            <w:r>
              <w:rPr>
                <w:rFonts w:ascii="宋体" w:hAnsi="宋体" w:eastAsia="宋体"/>
                <w:b/>
                <w:bCs/>
                <w:kern w:val="2"/>
                <w:sz w:val="21"/>
                <w:lang w:eastAsia="zh-CN"/>
              </w:rPr>
              <w:t xml:space="preserve"> </w:t>
            </w:r>
            <w:r>
              <w:rPr>
                <w:rFonts w:hint="eastAsia" w:ascii="宋体" w:hAnsi="宋体" w:eastAsia="宋体"/>
                <w:b/>
                <w:bCs/>
                <w:kern w:val="2"/>
                <w:sz w:val="21"/>
                <w:lang w:eastAsia="zh-CN"/>
              </w:rPr>
              <w:t xml:space="preserve">充 </w:t>
            </w:r>
            <w:r>
              <w:rPr>
                <w:rFonts w:ascii="宋体" w:hAnsi="宋体" w:eastAsia="宋体"/>
                <w:b/>
                <w:bCs/>
                <w:kern w:val="2"/>
                <w:sz w:val="21"/>
                <w:lang w:eastAsia="zh-CN"/>
              </w:rPr>
              <w:t xml:space="preserve"> </w:t>
            </w:r>
            <w:r>
              <w:rPr>
                <w:rFonts w:hint="eastAsia" w:ascii="宋体" w:hAnsi="宋体" w:eastAsia="宋体"/>
                <w:b/>
                <w:bCs/>
                <w:kern w:val="2"/>
                <w:sz w:val="21"/>
                <w:lang w:eastAsia="zh-CN"/>
              </w:rPr>
              <w:t xml:space="preserve">内 </w:t>
            </w:r>
            <w:r>
              <w:rPr>
                <w:rFonts w:ascii="宋体" w:hAnsi="宋体" w:eastAsia="宋体"/>
                <w:b/>
                <w:bCs/>
                <w:kern w:val="2"/>
                <w:sz w:val="21"/>
                <w:lang w:eastAsia="zh-CN"/>
              </w:rPr>
              <w:t xml:space="preserve"> </w:t>
            </w:r>
            <w:r>
              <w:rPr>
                <w:rFonts w:hint="eastAsia" w:ascii="宋体" w:hAnsi="宋体" w:eastAsia="宋体"/>
                <w:b/>
                <w:bCs/>
                <w:kern w:val="2"/>
                <w:sz w:val="21"/>
                <w:lang w:eastAsia="zh-CN"/>
              </w:rPr>
              <w:t>容</w:t>
            </w:r>
          </w:p>
        </w:tc>
      </w:tr>
      <w:tr w14:paraId="056698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235" w:type="dxa"/>
            <w:gridSpan w:val="3"/>
            <w:vAlign w:val="center"/>
          </w:tcPr>
          <w:p w14:paraId="372346E3">
            <w:pPr>
              <w:keepNext w:val="0"/>
              <w:keepLines w:val="0"/>
              <w:widowControl w:val="0"/>
              <w:suppressLineNumbers w:val="0"/>
              <w:spacing w:before="0" w:beforeAutospacing="0" w:after="0" w:afterAutospacing="0"/>
              <w:ind w:left="0" w:right="0"/>
              <w:jc w:val="center"/>
              <w:rPr>
                <w:rFonts w:ascii="宋体" w:hAnsi="宋体" w:eastAsia="宋体"/>
                <w:b/>
                <w:bCs/>
                <w:kern w:val="2"/>
                <w:sz w:val="21"/>
                <w:lang w:eastAsia="zh-CN"/>
              </w:rPr>
            </w:pPr>
            <w:r>
              <w:rPr>
                <w:rFonts w:hint="eastAsia" w:ascii="宋体" w:hAnsi="宋体" w:eastAsia="宋体"/>
                <w:kern w:val="2"/>
                <w:sz w:val="21"/>
                <w:lang w:eastAsia="zh-CN"/>
              </w:rPr>
              <w:t>本项目为自行采购项目，相关事宜按照招标文件要求及采购单位内控制度执行。</w:t>
            </w:r>
          </w:p>
        </w:tc>
      </w:tr>
      <w:tr w14:paraId="50111B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0667AE4C">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.1</w:t>
            </w:r>
          </w:p>
        </w:tc>
        <w:tc>
          <w:tcPr>
            <w:tcW w:w="2158" w:type="dxa"/>
            <w:vAlign w:val="center"/>
          </w:tcPr>
          <w:p w14:paraId="02DF2840">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采购人</w:t>
            </w:r>
          </w:p>
        </w:tc>
        <w:tc>
          <w:tcPr>
            <w:tcW w:w="6107" w:type="dxa"/>
            <w:vAlign w:val="center"/>
          </w:tcPr>
          <w:p w14:paraId="33DE7347">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ascii="宋体" w:hAnsi="宋体" w:eastAsia="宋体"/>
                <w:kern w:val="2"/>
                <w:sz w:val="21"/>
                <w:lang w:eastAsia="zh-CN"/>
              </w:rPr>
              <w:t>深圳市急救中心</w:t>
            </w:r>
          </w:p>
        </w:tc>
      </w:tr>
      <w:tr w14:paraId="6F04F3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5584071">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.2</w:t>
            </w:r>
          </w:p>
        </w:tc>
        <w:tc>
          <w:tcPr>
            <w:tcW w:w="2158" w:type="dxa"/>
            <w:vAlign w:val="center"/>
          </w:tcPr>
          <w:p w14:paraId="7A063859">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采购代理机构</w:t>
            </w:r>
          </w:p>
        </w:tc>
        <w:tc>
          <w:tcPr>
            <w:tcW w:w="6107" w:type="dxa"/>
            <w:vAlign w:val="center"/>
          </w:tcPr>
          <w:p w14:paraId="23057EBC">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深圳公共资源交易中心</w:t>
            </w:r>
          </w:p>
          <w:p w14:paraId="1F04A2B7">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（深圳交易集团有限公司政府采购业务分公司）</w:t>
            </w:r>
          </w:p>
        </w:tc>
      </w:tr>
      <w:tr w14:paraId="7889D2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3D932ED8">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9</w:t>
            </w:r>
          </w:p>
        </w:tc>
        <w:tc>
          <w:tcPr>
            <w:tcW w:w="2158" w:type="dxa"/>
            <w:vAlign w:val="center"/>
          </w:tcPr>
          <w:p w14:paraId="51D0AB76">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踏勘现场</w:t>
            </w:r>
          </w:p>
        </w:tc>
        <w:tc>
          <w:tcPr>
            <w:tcW w:w="6107" w:type="dxa"/>
            <w:vAlign w:val="center"/>
          </w:tcPr>
          <w:p w14:paraId="137247E1">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不组织</w:t>
            </w:r>
          </w:p>
        </w:tc>
      </w:tr>
      <w:tr w14:paraId="7A59CC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64E46FC7">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1</w:t>
            </w:r>
            <w:r>
              <w:rPr>
                <w:rFonts w:ascii="宋体" w:hAnsi="宋体" w:eastAsia="宋体"/>
                <w:kern w:val="2"/>
                <w:sz w:val="21"/>
                <w:lang w:eastAsia="zh-CN"/>
              </w:rPr>
              <w:t>0</w:t>
            </w:r>
          </w:p>
        </w:tc>
        <w:tc>
          <w:tcPr>
            <w:tcW w:w="2158" w:type="dxa"/>
            <w:vAlign w:val="center"/>
          </w:tcPr>
          <w:p w14:paraId="233B6339">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标前会议</w:t>
            </w:r>
          </w:p>
        </w:tc>
        <w:tc>
          <w:tcPr>
            <w:tcW w:w="6107" w:type="dxa"/>
            <w:vAlign w:val="center"/>
          </w:tcPr>
          <w:p w14:paraId="4ECA2874">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不组织</w:t>
            </w:r>
          </w:p>
        </w:tc>
      </w:tr>
      <w:tr w14:paraId="561141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0C1634A">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1</w:t>
            </w:r>
            <w:r>
              <w:rPr>
                <w:rFonts w:ascii="宋体" w:hAnsi="宋体" w:eastAsia="宋体"/>
                <w:kern w:val="2"/>
                <w:sz w:val="21"/>
                <w:lang w:eastAsia="zh-CN"/>
              </w:rPr>
              <w:t>2</w:t>
            </w:r>
            <w:r>
              <w:rPr>
                <w:rFonts w:hint="eastAsia" w:ascii="宋体" w:hAnsi="宋体" w:eastAsia="宋体"/>
                <w:kern w:val="2"/>
                <w:sz w:val="21"/>
                <w:lang w:eastAsia="zh-CN"/>
              </w:rPr>
              <w:t>/1</w:t>
            </w:r>
            <w:r>
              <w:rPr>
                <w:rFonts w:ascii="宋体" w:hAnsi="宋体" w:eastAsia="宋体"/>
                <w:kern w:val="2"/>
                <w:sz w:val="21"/>
                <w:lang w:eastAsia="zh-CN"/>
              </w:rPr>
              <w:t>3</w:t>
            </w:r>
          </w:p>
        </w:tc>
        <w:tc>
          <w:tcPr>
            <w:tcW w:w="2158" w:type="dxa"/>
            <w:vAlign w:val="center"/>
          </w:tcPr>
          <w:p w14:paraId="12FF0449">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招标文件的澄清和修改</w:t>
            </w:r>
          </w:p>
        </w:tc>
        <w:tc>
          <w:tcPr>
            <w:tcW w:w="6107" w:type="dxa"/>
            <w:vAlign w:val="center"/>
          </w:tcPr>
          <w:p w14:paraId="15C1C14F">
            <w:pPr>
              <w:keepNext w:val="0"/>
              <w:keepLines w:val="0"/>
              <w:widowControl w:val="0"/>
              <w:suppressLineNumbers w:val="0"/>
              <w:spacing w:before="0" w:beforeAutospacing="0" w:after="0" w:afterAutospacing="0"/>
              <w:ind w:left="0" w:right="0"/>
              <w:jc w:val="left"/>
              <w:rPr>
                <w:rFonts w:ascii="宋体" w:hAnsi="宋体" w:eastAsia="宋体"/>
                <w:kern w:val="2"/>
                <w:sz w:val="21"/>
                <w:lang w:eastAsia="zh-CN"/>
              </w:rPr>
            </w:pPr>
            <w:r>
              <w:rPr>
                <w:rFonts w:hint="eastAsia" w:ascii="宋体" w:hAnsi="宋体" w:eastAsia="宋体"/>
                <w:kern w:val="2"/>
                <w:sz w:val="21"/>
                <w:lang w:eastAsia="zh-CN"/>
              </w:rPr>
              <w:t>投标截止日三日前，投标人有义务在招标期间在深圳交易集团（深圳公共资源交易中心）网站浏览与本项目有关的澄清和修改信息</w:t>
            </w:r>
          </w:p>
        </w:tc>
      </w:tr>
      <w:tr w14:paraId="2BDB08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2674A459">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0</w:t>
            </w:r>
          </w:p>
        </w:tc>
        <w:tc>
          <w:tcPr>
            <w:tcW w:w="2158" w:type="dxa"/>
            <w:vAlign w:val="center"/>
          </w:tcPr>
          <w:p w14:paraId="0C3DAEFB">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投标有效期</w:t>
            </w:r>
          </w:p>
        </w:tc>
        <w:tc>
          <w:tcPr>
            <w:tcW w:w="6107" w:type="dxa"/>
            <w:vAlign w:val="center"/>
          </w:tcPr>
          <w:p w14:paraId="2EC5E29E">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120个日历日</w:t>
            </w:r>
          </w:p>
        </w:tc>
      </w:tr>
      <w:tr w14:paraId="7AF649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0E11CEB7">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2</w:t>
            </w:r>
          </w:p>
        </w:tc>
        <w:tc>
          <w:tcPr>
            <w:tcW w:w="2158" w:type="dxa"/>
            <w:vAlign w:val="center"/>
          </w:tcPr>
          <w:p w14:paraId="0F94030D">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投标人的替代方案</w:t>
            </w:r>
          </w:p>
        </w:tc>
        <w:tc>
          <w:tcPr>
            <w:tcW w:w="6107" w:type="dxa"/>
            <w:vAlign w:val="center"/>
          </w:tcPr>
          <w:p w14:paraId="16F423EC">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不接受</w:t>
            </w:r>
          </w:p>
        </w:tc>
      </w:tr>
      <w:tr w14:paraId="178BA8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C1EA17F">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5</w:t>
            </w:r>
          </w:p>
        </w:tc>
        <w:tc>
          <w:tcPr>
            <w:tcW w:w="2158" w:type="dxa"/>
            <w:vAlign w:val="center"/>
          </w:tcPr>
          <w:p w14:paraId="2CDB625C">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投标文件的大小</w:t>
            </w:r>
          </w:p>
        </w:tc>
        <w:tc>
          <w:tcPr>
            <w:tcW w:w="6107" w:type="dxa"/>
            <w:vAlign w:val="center"/>
          </w:tcPr>
          <w:p w14:paraId="1D8820DC">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投标文件大小不得超过</w:t>
            </w:r>
            <w:r>
              <w:rPr>
                <w:rFonts w:ascii="宋体" w:hAnsi="宋体" w:eastAsia="宋体"/>
                <w:kern w:val="2"/>
                <w:sz w:val="21"/>
                <w:lang w:eastAsia="zh-CN"/>
              </w:rPr>
              <w:t>1</w:t>
            </w:r>
            <w:r>
              <w:rPr>
                <w:rFonts w:hint="eastAsia" w:ascii="宋体" w:hAnsi="宋体" w:eastAsia="宋体"/>
                <w:kern w:val="2"/>
                <w:sz w:val="21"/>
                <w:lang w:eastAsia="zh-CN"/>
              </w:rPr>
              <w:t>00MB</w:t>
            </w:r>
          </w:p>
        </w:tc>
      </w:tr>
      <w:tr w14:paraId="36E1CC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1C86F4A0">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6</w:t>
            </w:r>
          </w:p>
        </w:tc>
        <w:tc>
          <w:tcPr>
            <w:tcW w:w="2158" w:type="dxa"/>
            <w:vAlign w:val="center"/>
          </w:tcPr>
          <w:p w14:paraId="02A95DA5">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bookmarkStart w:id="27" w:name="_Hlk71664860"/>
            <w:r>
              <w:rPr>
                <w:rFonts w:hint="eastAsia" w:ascii="宋体" w:hAnsi="宋体" w:eastAsia="宋体"/>
                <w:kern w:val="2"/>
                <w:sz w:val="21"/>
                <w:lang w:eastAsia="zh-CN"/>
              </w:rPr>
              <w:t>样品、演示、方案讲解</w:t>
            </w:r>
            <w:bookmarkEnd w:id="27"/>
          </w:p>
        </w:tc>
        <w:tc>
          <w:tcPr>
            <w:tcW w:w="6107" w:type="dxa"/>
            <w:vAlign w:val="center"/>
          </w:tcPr>
          <w:p w14:paraId="58106ED4">
            <w:pPr>
              <w:keepNext w:val="0"/>
              <w:keepLines w:val="0"/>
              <w:widowControl w:val="0"/>
              <w:suppressLineNumbers w:val="0"/>
              <w:spacing w:before="0" w:beforeAutospacing="0" w:after="0" w:afterAutospacing="0"/>
              <w:ind w:left="0" w:right="0"/>
              <w:jc w:val="center"/>
              <w:rPr>
                <w:rFonts w:hint="eastAsia" w:ascii="宋体" w:hAnsi="宋体" w:eastAsia="宋体"/>
                <w:kern w:val="2"/>
                <w:sz w:val="21"/>
                <w:lang w:eastAsia="zh-CN"/>
              </w:rPr>
            </w:pPr>
            <w:r>
              <w:rPr>
                <w:rFonts w:hint="eastAsia" w:ascii="宋体" w:hAnsi="宋体" w:eastAsia="宋体"/>
                <w:kern w:val="2"/>
                <w:sz w:val="21"/>
                <w:lang w:eastAsia="zh-CN"/>
              </w:rPr>
              <w:t>无</w:t>
            </w:r>
          </w:p>
        </w:tc>
      </w:tr>
      <w:tr w14:paraId="0140B1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3F9C0234">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7</w:t>
            </w:r>
          </w:p>
        </w:tc>
        <w:tc>
          <w:tcPr>
            <w:tcW w:w="2158" w:type="dxa"/>
            <w:vAlign w:val="center"/>
          </w:tcPr>
          <w:p w14:paraId="20F6375D">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评审方法</w:t>
            </w:r>
          </w:p>
        </w:tc>
        <w:tc>
          <w:tcPr>
            <w:tcW w:w="6107" w:type="dxa"/>
            <w:vAlign w:val="center"/>
          </w:tcPr>
          <w:p w14:paraId="622A9245">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综合评分法</w:t>
            </w:r>
          </w:p>
        </w:tc>
      </w:tr>
      <w:tr w14:paraId="500D2D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9" w:hRule="atLeast"/>
          <w:jc w:val="center"/>
        </w:trPr>
        <w:tc>
          <w:tcPr>
            <w:tcW w:w="970" w:type="dxa"/>
            <w:vAlign w:val="center"/>
          </w:tcPr>
          <w:p w14:paraId="34DB3A02">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8</w:t>
            </w:r>
          </w:p>
        </w:tc>
        <w:tc>
          <w:tcPr>
            <w:tcW w:w="2158" w:type="dxa"/>
            <w:vAlign w:val="center"/>
          </w:tcPr>
          <w:p w14:paraId="648F0FCD">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定标方法</w:t>
            </w:r>
          </w:p>
        </w:tc>
        <w:tc>
          <w:tcPr>
            <w:tcW w:w="6107" w:type="dxa"/>
            <w:vAlign w:val="center"/>
          </w:tcPr>
          <w:p w14:paraId="34D55F3E">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非评定分离</w:t>
            </w:r>
          </w:p>
        </w:tc>
      </w:tr>
      <w:tr w14:paraId="2EF618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4D5FD4B">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42</w:t>
            </w:r>
          </w:p>
        </w:tc>
        <w:tc>
          <w:tcPr>
            <w:tcW w:w="2158" w:type="dxa"/>
            <w:vAlign w:val="center"/>
          </w:tcPr>
          <w:p w14:paraId="5A015614">
            <w:pPr>
              <w:keepNext w:val="0"/>
              <w:keepLines w:val="0"/>
              <w:widowControl w:val="0"/>
              <w:suppressLineNumbers w:val="0"/>
              <w:spacing w:before="0" w:beforeAutospacing="0" w:after="0" w:afterAutospacing="0"/>
              <w:ind w:left="0" w:right="0"/>
              <w:jc w:val="both"/>
              <w:rPr>
                <w:rFonts w:ascii="宋体" w:hAnsi="宋体" w:eastAsia="宋体"/>
                <w:kern w:val="2"/>
                <w:sz w:val="21"/>
                <w:lang w:eastAsia="zh-CN"/>
              </w:rPr>
            </w:pPr>
            <w:r>
              <w:rPr>
                <w:rFonts w:hint="eastAsia" w:ascii="宋体" w:hAnsi="宋体" w:eastAsia="宋体"/>
                <w:kern w:val="2"/>
                <w:sz w:val="21"/>
                <w:lang w:eastAsia="zh-CN"/>
              </w:rPr>
              <w:t>公开招标失败的处理</w:t>
            </w:r>
          </w:p>
        </w:tc>
        <w:tc>
          <w:tcPr>
            <w:tcW w:w="6107" w:type="dxa"/>
            <w:vAlign w:val="center"/>
          </w:tcPr>
          <w:p w14:paraId="3C46EBB7">
            <w:pPr>
              <w:keepNext w:val="0"/>
              <w:keepLines w:val="0"/>
              <w:widowControl w:val="0"/>
              <w:suppressLineNumbers w:val="0"/>
              <w:spacing w:before="0" w:beforeAutospacing="0" w:after="0" w:afterAutospacing="0"/>
              <w:ind w:left="0" w:right="0"/>
              <w:jc w:val="both"/>
              <w:rPr>
                <w:rFonts w:ascii="宋体" w:hAnsi="宋体" w:eastAsia="宋体"/>
                <w:kern w:val="2"/>
                <w:sz w:val="21"/>
                <w:lang w:eastAsia="zh-CN"/>
              </w:rPr>
            </w:pPr>
            <w:r>
              <w:rPr>
                <w:rFonts w:hint="eastAsia" w:ascii="宋体" w:hAnsi="宋体" w:eastAsia="宋体"/>
                <w:kern w:val="2"/>
                <w:sz w:val="21"/>
                <w:lang w:eastAsia="zh-CN"/>
              </w:rPr>
              <w:t>公开招标有效供应商不足三家的，项目根据以下情况开展：</w:t>
            </w:r>
          </w:p>
          <w:p w14:paraId="6EE82569">
            <w:pPr>
              <w:keepNext w:val="0"/>
              <w:keepLines w:val="0"/>
              <w:widowControl w:val="0"/>
              <w:suppressLineNumbers w:val="0"/>
              <w:spacing w:before="0" w:beforeAutospacing="0" w:after="0" w:afterAutospacing="0"/>
              <w:ind w:left="0" w:right="0"/>
              <w:jc w:val="left"/>
              <w:rPr>
                <w:rFonts w:ascii="宋体" w:hAnsi="宋体" w:eastAsia="宋体"/>
                <w:b/>
                <w:kern w:val="2"/>
                <w:sz w:val="21"/>
                <w:lang w:eastAsia="zh-CN"/>
              </w:rPr>
            </w:pPr>
            <w:r>
              <w:rPr>
                <w:rFonts w:hint="eastAsia" w:ascii="宋体" w:hAnsi="宋体" w:eastAsia="宋体"/>
                <w:kern w:val="2"/>
                <w:sz w:val="21"/>
                <w:lang w:eastAsia="zh-CN"/>
              </w:rPr>
              <w:t>项目公开招标失败，重新采购。</w:t>
            </w:r>
          </w:p>
        </w:tc>
      </w:tr>
      <w:tr w14:paraId="4311EB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74AB438D">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4</w:t>
            </w:r>
            <w:r>
              <w:rPr>
                <w:rFonts w:ascii="宋体" w:hAnsi="宋体" w:eastAsia="宋体"/>
                <w:kern w:val="2"/>
                <w:sz w:val="21"/>
                <w:lang w:eastAsia="zh-CN"/>
              </w:rPr>
              <w:t>6</w:t>
            </w:r>
          </w:p>
        </w:tc>
        <w:tc>
          <w:tcPr>
            <w:tcW w:w="2158" w:type="dxa"/>
            <w:vAlign w:val="center"/>
          </w:tcPr>
          <w:p w14:paraId="7A4C28F0">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履约担保</w:t>
            </w:r>
          </w:p>
        </w:tc>
        <w:tc>
          <w:tcPr>
            <w:tcW w:w="6107" w:type="dxa"/>
            <w:vAlign w:val="center"/>
          </w:tcPr>
          <w:p w14:paraId="65255A5A">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不需要</w:t>
            </w:r>
          </w:p>
        </w:tc>
      </w:tr>
      <w:tr w14:paraId="58DF6C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3481FEAA">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52.8</w:t>
            </w:r>
          </w:p>
        </w:tc>
        <w:tc>
          <w:tcPr>
            <w:tcW w:w="2158" w:type="dxa"/>
            <w:vAlign w:val="center"/>
          </w:tcPr>
          <w:p w14:paraId="71980931">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投诉</w:t>
            </w:r>
          </w:p>
        </w:tc>
        <w:tc>
          <w:tcPr>
            <w:tcW w:w="6107" w:type="dxa"/>
            <w:vAlign w:val="center"/>
          </w:tcPr>
          <w:p w14:paraId="37C43CFC">
            <w:pPr>
              <w:keepNext w:val="0"/>
              <w:keepLines w:val="0"/>
              <w:widowControl w:val="0"/>
              <w:suppressLineNumbers w:val="0"/>
              <w:spacing w:before="0" w:beforeAutospacing="0" w:after="0" w:afterAutospacing="0"/>
              <w:ind w:left="0" w:right="0"/>
              <w:jc w:val="left"/>
              <w:rPr>
                <w:rFonts w:ascii="宋体" w:hAnsi="宋体" w:eastAsia="宋体"/>
                <w:b/>
                <w:kern w:val="2"/>
                <w:sz w:val="21"/>
                <w:lang w:eastAsia="zh-CN"/>
              </w:rPr>
            </w:pPr>
            <w:r>
              <w:rPr>
                <w:rFonts w:hint="eastAsia" w:ascii="宋体" w:hAnsi="宋体" w:eastAsia="宋体"/>
                <w:kern w:val="2"/>
                <w:sz w:val="21"/>
                <w:lang w:eastAsia="zh-CN"/>
              </w:rPr>
              <w:t>对被质疑人的答复不满意或者被质疑人未在规定时间内答复的，提出质疑的供应商可以在答复期满后十五个工作日内向本项目采购单位投诉。供应商投诉的事项应当是经过质疑的事项。</w:t>
            </w:r>
          </w:p>
        </w:tc>
      </w:tr>
    </w:tbl>
    <w:p w14:paraId="5BF24AEC">
      <w:pPr>
        <w:widowControl w:val="0"/>
        <w:jc w:val="both"/>
        <w:rPr>
          <w:rFonts w:eastAsia="宋体"/>
          <w:b/>
          <w:kern w:val="2"/>
          <w:sz w:val="21"/>
          <w:lang w:eastAsia="zh-CN"/>
        </w:rPr>
      </w:pPr>
      <w:r>
        <w:rPr>
          <w:rFonts w:hint="eastAsia" w:eastAsia="宋体"/>
          <w:kern w:val="2"/>
          <w:sz w:val="21"/>
          <w:szCs w:val="21"/>
          <w:lang w:eastAsia="zh-CN"/>
        </w:rPr>
        <w:t>备注：本表是通用条款相关条款的补充和明确，如与通用条款内容相冲突的，以本表为准。</w:t>
      </w:r>
    </w:p>
    <w:p w14:paraId="164ABC05">
      <w:pPr>
        <w:widowControl w:val="0"/>
        <w:jc w:val="both"/>
        <w:rPr>
          <w:rFonts w:eastAsia="宋体"/>
          <w:b/>
          <w:kern w:val="2"/>
          <w:sz w:val="21"/>
          <w:lang w:eastAsia="zh-CN"/>
        </w:rPr>
      </w:pPr>
    </w:p>
    <w:p w14:paraId="074DF423">
      <w:pPr>
        <w:keepNext/>
        <w:keepLines/>
        <w:widowControl w:val="0"/>
        <w:adjustRightInd w:val="0"/>
        <w:spacing w:before="156" w:beforeLines="50" w:after="156" w:afterLines="50" w:line="240" w:lineRule="auto"/>
        <w:jc w:val="center"/>
        <w:textAlignment w:val="baseline"/>
        <w:outlineLvl w:val="1"/>
        <w:rPr>
          <w:rFonts w:ascii="宋体" w:hAnsi="宋体" w:eastAsia="宋体"/>
          <w:b/>
          <w:bCs/>
          <w:lang w:eastAsia="zh-CN"/>
        </w:rPr>
      </w:pPr>
      <w:r>
        <w:rPr>
          <w:rFonts w:hint="eastAsia" w:ascii="宋体" w:hAnsi="宋体" w:eastAsia="宋体"/>
          <w:b/>
          <w:bCs/>
          <w:lang w:eastAsia="zh-CN"/>
        </w:rPr>
        <w:t>二、其他关键信息</w:t>
      </w:r>
    </w:p>
    <w:p w14:paraId="3FE1EDE0">
      <w:pPr>
        <w:widowControl w:val="0"/>
        <w:ind w:firstLine="422" w:firstLineChars="200"/>
        <w:jc w:val="both"/>
        <w:rPr>
          <w:rFonts w:eastAsia="宋体"/>
          <w:b/>
          <w:bCs/>
          <w:kern w:val="2"/>
          <w:sz w:val="21"/>
          <w:lang w:eastAsia="zh-CN"/>
        </w:rPr>
      </w:pPr>
      <w:r>
        <w:rPr>
          <w:rFonts w:hint="eastAsia" w:eastAsia="宋体"/>
          <w:b/>
          <w:bCs/>
          <w:kern w:val="2"/>
          <w:sz w:val="21"/>
          <w:lang w:eastAsia="zh-CN"/>
        </w:rPr>
        <w:t>（一）与“对通用条款的补充内容”章节相关的事项</w:t>
      </w:r>
    </w:p>
    <w:p w14:paraId="0B0C2A5E">
      <w:pPr>
        <w:widowControl w:val="0"/>
        <w:spacing w:line="276" w:lineRule="auto"/>
        <w:ind w:firstLine="422" w:firstLineChars="200"/>
        <w:jc w:val="left"/>
        <w:rPr>
          <w:rFonts w:ascii="宋体" w:hAnsi="宋体" w:eastAsia="宋体"/>
          <w:b/>
          <w:sz w:val="21"/>
          <w:szCs w:val="20"/>
          <w:lang w:eastAsia="zh-CN"/>
        </w:rPr>
      </w:pPr>
      <w:bookmarkStart w:id="28" w:name="_Hlk72579465"/>
      <w:r>
        <w:rPr>
          <w:rFonts w:hint="eastAsia" w:ascii="宋体" w:hAnsi="宋体" w:eastAsia="宋体"/>
          <w:b/>
          <w:sz w:val="21"/>
          <w:szCs w:val="20"/>
          <w:lang w:eastAsia="zh-CN"/>
        </w:rPr>
        <w:t>1、评标定标信息</w:t>
      </w:r>
    </w:p>
    <w:p w14:paraId="0A850064">
      <w:pPr>
        <w:widowControl w:val="0"/>
        <w:jc w:val="center"/>
        <w:rPr>
          <w:rFonts w:eastAsia="宋体"/>
          <w:kern w:val="2"/>
          <w:sz w:val="21"/>
          <w:lang w:eastAsia="zh-CN"/>
        </w:rPr>
      </w:pPr>
      <w:r>
        <w:rPr>
          <w:rFonts w:hint="eastAsia" w:eastAsia="宋体"/>
          <w:b/>
          <w:kern w:val="2"/>
          <w:sz w:val="21"/>
          <w:lang w:eastAsia="zh-CN"/>
        </w:rPr>
        <w:t>非评定分离项目</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8"/>
        <w:gridCol w:w="6096"/>
      </w:tblGrid>
      <w:tr w14:paraId="3F6FB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1" w:type="dxa"/>
          </w:tcPr>
          <w:p w14:paraId="6F38F2ED">
            <w:pPr>
              <w:keepNext w:val="0"/>
              <w:keepLines w:val="0"/>
              <w:widowControl w:val="0"/>
              <w:suppressLineNumbers w:val="0"/>
              <w:spacing w:before="0" w:beforeAutospacing="0" w:after="0" w:afterAutospacing="0"/>
              <w:ind w:left="0" w:right="0"/>
              <w:jc w:val="center"/>
              <w:rPr>
                <w:rFonts w:eastAsia="宋体"/>
                <w:kern w:val="2"/>
                <w:sz w:val="21"/>
                <w:lang w:eastAsia="zh-CN"/>
              </w:rPr>
            </w:pPr>
            <w:r>
              <w:rPr>
                <w:rFonts w:hint="eastAsia" w:eastAsia="宋体"/>
                <w:kern w:val="2"/>
                <w:sz w:val="21"/>
                <w:lang w:eastAsia="zh-CN"/>
              </w:rPr>
              <w:t>评标方法</w:t>
            </w:r>
          </w:p>
        </w:tc>
        <w:tc>
          <w:tcPr>
            <w:tcW w:w="5599" w:type="dxa"/>
          </w:tcPr>
          <w:p w14:paraId="298134D6">
            <w:pPr>
              <w:keepNext w:val="0"/>
              <w:keepLines w:val="0"/>
              <w:widowControl w:val="0"/>
              <w:suppressLineNumbers w:val="0"/>
              <w:spacing w:before="0" w:beforeAutospacing="0" w:after="0" w:afterAutospacing="0"/>
              <w:ind w:left="0" w:right="0"/>
              <w:jc w:val="center"/>
              <w:rPr>
                <w:rFonts w:eastAsia="宋体"/>
                <w:kern w:val="2"/>
                <w:sz w:val="21"/>
                <w:lang w:eastAsia="zh-CN"/>
              </w:rPr>
            </w:pPr>
            <w:r>
              <w:rPr>
                <w:rFonts w:hint="eastAsia" w:eastAsia="宋体"/>
                <w:kern w:val="2"/>
                <w:sz w:val="21"/>
                <w:lang w:eastAsia="zh-CN"/>
              </w:rPr>
              <w:t>综合评分法</w:t>
            </w:r>
          </w:p>
        </w:tc>
      </w:tr>
      <w:tr w14:paraId="685AA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1" w:type="dxa"/>
          </w:tcPr>
          <w:p w14:paraId="143C6191">
            <w:pPr>
              <w:keepNext w:val="0"/>
              <w:keepLines w:val="0"/>
              <w:widowControl w:val="0"/>
              <w:suppressLineNumbers w:val="0"/>
              <w:spacing w:before="0" w:beforeAutospacing="0" w:after="0" w:afterAutospacing="0"/>
              <w:ind w:left="0" w:right="0"/>
              <w:jc w:val="center"/>
              <w:rPr>
                <w:rFonts w:eastAsia="宋体"/>
                <w:kern w:val="2"/>
                <w:sz w:val="21"/>
                <w:lang w:eastAsia="zh-CN"/>
              </w:rPr>
            </w:pPr>
            <w:r>
              <w:rPr>
                <w:rFonts w:hint="eastAsia" w:eastAsia="宋体"/>
                <w:kern w:val="2"/>
                <w:sz w:val="21"/>
                <w:lang w:eastAsia="zh-CN"/>
              </w:rPr>
              <w:t>候选中标供应商家数</w:t>
            </w:r>
          </w:p>
        </w:tc>
        <w:tc>
          <w:tcPr>
            <w:tcW w:w="5599" w:type="dxa"/>
          </w:tcPr>
          <w:p w14:paraId="5CC1ADB6">
            <w:pPr>
              <w:keepNext w:val="0"/>
              <w:keepLines w:val="0"/>
              <w:widowControl w:val="0"/>
              <w:suppressLineNumbers w:val="0"/>
              <w:spacing w:before="0" w:beforeAutospacing="0" w:after="0" w:afterAutospacing="0"/>
              <w:ind w:left="0" w:right="0"/>
              <w:jc w:val="center"/>
              <w:rPr>
                <w:rFonts w:eastAsia="宋体"/>
                <w:kern w:val="2"/>
                <w:sz w:val="21"/>
                <w:lang w:eastAsia="zh-CN"/>
              </w:rPr>
            </w:pPr>
            <w:r>
              <w:rPr>
                <w:rFonts w:hint="eastAsia" w:eastAsia="宋体"/>
                <w:kern w:val="2"/>
                <w:sz w:val="21"/>
                <w:lang w:eastAsia="zh-CN"/>
              </w:rPr>
              <w:t>3</w:t>
            </w:r>
          </w:p>
        </w:tc>
      </w:tr>
      <w:tr w14:paraId="7D0F3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71" w:type="dxa"/>
          </w:tcPr>
          <w:p w14:paraId="20339192">
            <w:pPr>
              <w:keepNext w:val="0"/>
              <w:keepLines w:val="0"/>
              <w:widowControl w:val="0"/>
              <w:suppressLineNumbers w:val="0"/>
              <w:spacing w:before="0" w:beforeAutospacing="0" w:after="0" w:afterAutospacing="0"/>
              <w:ind w:left="0" w:right="0"/>
              <w:jc w:val="center"/>
              <w:rPr>
                <w:rFonts w:eastAsia="宋体"/>
                <w:kern w:val="2"/>
                <w:sz w:val="21"/>
                <w:lang w:eastAsia="zh-CN"/>
              </w:rPr>
            </w:pPr>
            <w:r>
              <w:rPr>
                <w:rFonts w:hint="eastAsia" w:eastAsia="宋体"/>
                <w:kern w:val="2"/>
                <w:sz w:val="21"/>
                <w:lang w:eastAsia="zh-CN"/>
              </w:rPr>
              <w:t>中标供应商家数</w:t>
            </w:r>
          </w:p>
        </w:tc>
        <w:tc>
          <w:tcPr>
            <w:tcW w:w="5599" w:type="dxa"/>
          </w:tcPr>
          <w:p w14:paraId="42577B2D">
            <w:pPr>
              <w:keepNext w:val="0"/>
              <w:keepLines w:val="0"/>
              <w:widowControl w:val="0"/>
              <w:suppressLineNumbers w:val="0"/>
              <w:spacing w:before="0" w:beforeAutospacing="0" w:after="0" w:afterAutospacing="0"/>
              <w:ind w:left="0" w:right="0"/>
              <w:jc w:val="center"/>
              <w:rPr>
                <w:rFonts w:eastAsia="宋体"/>
                <w:kern w:val="2"/>
                <w:sz w:val="21"/>
                <w:lang w:eastAsia="zh-CN"/>
              </w:rPr>
            </w:pPr>
            <w:r>
              <w:rPr>
                <w:rFonts w:hint="eastAsia" w:eastAsia="宋体"/>
                <w:kern w:val="2"/>
                <w:sz w:val="21"/>
                <w:lang w:eastAsia="zh-CN"/>
              </w:rPr>
              <w:t>1</w:t>
            </w:r>
          </w:p>
        </w:tc>
      </w:tr>
    </w:tbl>
    <w:p w14:paraId="5B8985DF">
      <w:pPr>
        <w:widowControl w:val="0"/>
        <w:spacing w:line="360" w:lineRule="auto"/>
        <w:jc w:val="both"/>
        <w:rPr>
          <w:rFonts w:eastAsia="宋体"/>
          <w:kern w:val="2"/>
          <w:lang w:eastAsia="zh-CN"/>
        </w:rPr>
      </w:pPr>
    </w:p>
    <w:bookmarkEnd w:id="28"/>
    <w:p w14:paraId="4D6ABD99">
      <w:pPr>
        <w:widowControl w:val="0"/>
        <w:ind w:firstLine="422" w:firstLineChars="200"/>
        <w:jc w:val="both"/>
        <w:rPr>
          <w:rFonts w:eastAsia="宋体"/>
          <w:b/>
          <w:kern w:val="2"/>
          <w:sz w:val="21"/>
          <w:lang w:eastAsia="zh-CN"/>
        </w:rPr>
      </w:pPr>
      <w:r>
        <w:rPr>
          <w:rFonts w:hint="eastAsia" w:eastAsia="宋体"/>
          <w:b/>
          <w:kern w:val="2"/>
          <w:sz w:val="21"/>
          <w:lang w:eastAsia="zh-CN"/>
        </w:rPr>
        <w:t>（二）其他事项</w:t>
      </w:r>
    </w:p>
    <w:p w14:paraId="203B686C">
      <w:pPr>
        <w:widowControl w:val="0"/>
        <w:ind w:firstLine="422" w:firstLineChars="200"/>
        <w:jc w:val="both"/>
        <w:rPr>
          <w:rFonts w:eastAsia="宋体"/>
          <w:b/>
          <w:bCs/>
          <w:kern w:val="2"/>
          <w:sz w:val="21"/>
          <w:lang w:eastAsia="zh-CN"/>
        </w:rPr>
      </w:pPr>
      <w:r>
        <w:rPr>
          <w:rFonts w:eastAsia="宋体"/>
          <w:b/>
          <w:bCs/>
          <w:kern w:val="2"/>
          <w:sz w:val="21"/>
          <w:lang w:eastAsia="zh-CN"/>
        </w:rPr>
        <w:t>1</w:t>
      </w:r>
      <w:r>
        <w:rPr>
          <w:rFonts w:hint="eastAsia" w:eastAsia="宋体"/>
          <w:b/>
          <w:bCs/>
          <w:kern w:val="2"/>
          <w:sz w:val="21"/>
          <w:lang w:eastAsia="zh-CN"/>
        </w:rPr>
        <w:t>、关于享受优惠政策的主体及价格扣除比例</w:t>
      </w:r>
    </w:p>
    <w:p w14:paraId="0A110E68">
      <w:pPr>
        <w:widowControl w:val="0"/>
        <w:ind w:firstLine="420" w:firstLineChars="200"/>
        <w:jc w:val="both"/>
        <w:rPr>
          <w:rFonts w:ascii="宋体" w:hAnsi="宋体" w:eastAsia="宋体" w:cs="宋体"/>
          <w:kern w:val="2"/>
          <w:sz w:val="21"/>
          <w:lang w:eastAsia="zh-CN"/>
        </w:rPr>
      </w:pPr>
      <w:r>
        <w:rPr>
          <w:rFonts w:hint="eastAsia" w:ascii="宋体" w:hAnsi="宋体" w:eastAsia="宋体" w:cs="宋体"/>
          <w:kern w:val="2"/>
          <w:sz w:val="21"/>
          <w:lang w:eastAsia="zh-CN"/>
        </w:rPr>
        <w:t>（1）专门面向中小企业采购的项目，不再执行价格扣除比例。</w:t>
      </w:r>
    </w:p>
    <w:p w14:paraId="3A35DDE5">
      <w:pPr>
        <w:widowControl w:val="0"/>
        <w:ind w:firstLine="420" w:firstLineChars="200"/>
        <w:jc w:val="both"/>
        <w:rPr>
          <w:rFonts w:ascii="宋体" w:hAnsi="宋体" w:eastAsia="宋体" w:cs="宋体"/>
          <w:kern w:val="2"/>
          <w:sz w:val="21"/>
          <w:lang w:eastAsia="zh-CN"/>
        </w:rPr>
      </w:pPr>
      <w:r>
        <w:rPr>
          <w:rFonts w:hint="eastAsia" w:ascii="宋体" w:hAnsi="宋体" w:eastAsia="宋体" w:cs="宋体"/>
          <w:kern w:val="2"/>
          <w:sz w:val="21"/>
          <w:lang w:eastAsia="zh-CN"/>
        </w:rPr>
        <w:t>（2）非专门面向中小企业采购的项目，应执行价格扣除比例：供应商提供的服务全部由优惠主体承接，则对其投标总价给予</w:t>
      </w:r>
      <w:r>
        <w:rPr>
          <w:rFonts w:hint="eastAsia" w:ascii="宋体" w:hAnsi="宋体" w:eastAsia="宋体" w:cs="宋体"/>
          <w:b/>
          <w:bCs/>
          <w:color w:val="FF0000"/>
          <w:kern w:val="2"/>
          <w:sz w:val="21"/>
          <w:lang w:eastAsia="zh-CN"/>
        </w:rPr>
        <w:t>10%</w:t>
      </w:r>
      <w:r>
        <w:rPr>
          <w:rFonts w:hint="eastAsia" w:ascii="宋体" w:hAnsi="宋体" w:eastAsia="宋体" w:cs="宋体"/>
          <w:color w:val="000000"/>
          <w:kern w:val="2"/>
          <w:sz w:val="21"/>
          <w:lang w:eastAsia="zh-CN"/>
        </w:rPr>
        <w:t>（10%~20%）</w:t>
      </w:r>
      <w:r>
        <w:rPr>
          <w:rFonts w:hint="eastAsia" w:ascii="宋体" w:hAnsi="宋体" w:eastAsia="宋体" w:cs="宋体"/>
          <w:kern w:val="2"/>
          <w:sz w:val="21"/>
          <w:lang w:eastAsia="zh-CN"/>
        </w:rPr>
        <w:t>的扣除，用扣除后的价格参与评审。满足多项优惠政策的企业，不重复享受多项价格扣除政策。</w:t>
      </w:r>
    </w:p>
    <w:p w14:paraId="7CF71C72">
      <w:pPr>
        <w:widowControl w:val="0"/>
        <w:ind w:firstLine="420" w:firstLineChars="200"/>
        <w:jc w:val="both"/>
        <w:rPr>
          <w:rFonts w:ascii="宋体" w:hAnsi="宋体" w:eastAsia="宋体" w:cs="宋体"/>
          <w:kern w:val="2"/>
          <w:sz w:val="21"/>
          <w:lang w:eastAsia="zh-CN"/>
        </w:rPr>
      </w:pPr>
      <w:r>
        <w:rPr>
          <w:rFonts w:hint="eastAsia" w:ascii="宋体" w:hAnsi="宋体" w:eastAsia="宋体" w:cs="宋体"/>
          <w:kern w:val="2"/>
          <w:sz w:val="21"/>
          <w:lang w:eastAsia="zh-CN"/>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采购活动中视同中小企业；(b)优惠主体承接是指提供服务的人员为中小企业依照《中华人民共和国劳动合同法》订立劳动合同的从业人员。</w:t>
      </w:r>
    </w:p>
    <w:p w14:paraId="4029867C">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（3）中小企业参加采购活动，应当按照国务院批准的《中小企业划型标准规定》（工信部联企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hint="eastAsia" w:ascii="宋体" w:hAnsi="宋体" w:eastAsia="宋体" w:cs="宋体"/>
          <w:b/>
          <w:bCs/>
          <w:color w:val="FF0000"/>
          <w:kern w:val="2"/>
          <w:sz w:val="21"/>
          <w:szCs w:val="21"/>
          <w:lang w:eastAsia="zh-CN" w:bidi="ar"/>
        </w:rPr>
        <w:t>《中小企业声明函》中相关企业（服务承接商）所属行业应当与采购标的所属行业相一致</w:t>
      </w:r>
      <w:r>
        <w:rPr>
          <w:rFonts w:hint="eastAsia" w:ascii="宋体" w:hAnsi="宋体" w:eastAsia="宋体" w:cs="宋体"/>
          <w:b/>
          <w:bCs/>
          <w:color w:val="FF0000"/>
          <w:kern w:val="2"/>
          <w:sz w:val="21"/>
          <w:lang w:eastAsia="zh-CN" w:bidi="ar"/>
        </w:rPr>
        <w:t>，标的所属行业以招标文件第一册第三章用户需求书“</w:t>
      </w:r>
      <w:r>
        <w:rPr>
          <w:rFonts w:hint="eastAsia" w:ascii="宋体" w:hAnsi="宋体" w:eastAsia="宋体" w:cs="宋体"/>
          <w:b/>
          <w:bCs/>
          <w:color w:val="FF0000"/>
          <w:kern w:val="2"/>
          <w:sz w:val="21"/>
          <w:lang w:eastAsia="zh-CN"/>
        </w:rPr>
        <w:t>服务需求明细”的“标的所属行业”一栏为准</w:t>
      </w:r>
      <w:r>
        <w:rPr>
          <w:rFonts w:hint="eastAsia" w:ascii="宋体" w:hAnsi="宋体" w:eastAsia="宋体" w:cs="宋体"/>
          <w:b/>
          <w:bCs/>
          <w:color w:val="FF0000"/>
          <w:kern w:val="2"/>
          <w:sz w:val="21"/>
          <w:szCs w:val="21"/>
          <w:lang w:eastAsia="zh-CN"/>
        </w:rPr>
        <w:t>。</w:t>
      </w:r>
    </w:p>
    <w:p w14:paraId="624707AD">
      <w:pPr>
        <w:widowControl w:val="0"/>
        <w:ind w:firstLine="420" w:firstLineChars="200"/>
        <w:jc w:val="both"/>
        <w:rPr>
          <w:rFonts w:ascii="宋体" w:hAnsi="宋体" w:eastAsia="宋体" w:cs="宋体"/>
          <w:kern w:val="2"/>
          <w:sz w:val="21"/>
          <w:lang w:eastAsia="zh-CN"/>
        </w:rPr>
      </w:pPr>
      <w:r>
        <w:rPr>
          <w:rFonts w:hint="eastAsia" w:ascii="宋体" w:hAnsi="宋体" w:eastAsia="宋体" w:cs="宋体"/>
          <w:kern w:val="2"/>
          <w:sz w:val="21"/>
          <w:szCs w:val="21"/>
          <w:lang w:eastAsia="zh-CN"/>
        </w:rPr>
        <w:t>（4）小型企业、微</w:t>
      </w:r>
      <w:r>
        <w:rPr>
          <w:rFonts w:hint="eastAsia" w:ascii="宋体" w:hAnsi="宋体" w:eastAsia="宋体" w:cs="宋体"/>
          <w:kern w:val="2"/>
          <w:sz w:val="21"/>
          <w:lang w:eastAsia="zh-CN"/>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三、投标人情况介绍及资格证明文件”章节提供的格式）。</w:t>
      </w:r>
    </w:p>
    <w:p w14:paraId="40F5C8E7">
      <w:pPr>
        <w:widowControl w:val="0"/>
        <w:ind w:firstLine="420" w:firstLineChars="200"/>
        <w:jc w:val="both"/>
        <w:rPr>
          <w:rFonts w:ascii="宋体" w:hAnsi="宋体" w:eastAsia="宋体" w:cs="宋体"/>
          <w:kern w:val="2"/>
          <w:sz w:val="21"/>
          <w:lang w:eastAsia="zh-CN"/>
        </w:rPr>
      </w:pPr>
      <w:r>
        <w:rPr>
          <w:rFonts w:hint="eastAsia" w:ascii="宋体" w:hAnsi="宋体" w:eastAsia="宋体" w:cs="宋体"/>
          <w:kern w:val="2"/>
          <w:sz w:val="21"/>
          <w:lang w:eastAsia="zh-CN"/>
        </w:rPr>
        <w:t>（5）享受价格扣除获得采购合同的，小微企业不得将合同分包给大中型企业。</w:t>
      </w:r>
    </w:p>
    <w:p w14:paraId="3692D21D">
      <w:pPr>
        <w:widowControl w:val="0"/>
        <w:ind w:firstLine="422" w:firstLineChars="200"/>
        <w:jc w:val="both"/>
        <w:rPr>
          <w:rFonts w:eastAsia="宋体"/>
          <w:b/>
          <w:kern w:val="2"/>
          <w:sz w:val="21"/>
          <w:lang w:eastAsia="zh-CN"/>
        </w:rPr>
      </w:pPr>
      <w:r>
        <w:rPr>
          <w:rFonts w:hint="eastAsia" w:eastAsia="宋体"/>
          <w:b/>
          <w:kern w:val="2"/>
          <w:sz w:val="21"/>
          <w:lang w:eastAsia="zh-CN"/>
        </w:rPr>
        <w:t>2、</w:t>
      </w:r>
      <w:bookmarkStart w:id="29" w:name="_Hlk76855768"/>
      <w:bookmarkStart w:id="30" w:name="_Hlk72594729"/>
      <w:r>
        <w:rPr>
          <w:rFonts w:hint="eastAsia" w:eastAsia="宋体"/>
          <w:b/>
          <w:kern w:val="2"/>
          <w:sz w:val="21"/>
          <w:lang w:eastAsia="zh-CN"/>
        </w:rPr>
        <w:t>本项目为代理服务项目，将向中标（成交）供应商收取代理服务费。</w:t>
      </w:r>
    </w:p>
    <w:bookmarkEnd w:id="29"/>
    <w:bookmarkEnd w:id="30"/>
    <w:p w14:paraId="77A20F13">
      <w:pPr>
        <w:widowControl w:val="0"/>
        <w:ind w:firstLine="420" w:firstLineChars="200"/>
        <w:jc w:val="both"/>
        <w:rPr>
          <w:rFonts w:eastAsia="宋体"/>
          <w:kern w:val="2"/>
          <w:sz w:val="21"/>
          <w:lang w:eastAsia="zh-CN"/>
        </w:rPr>
      </w:pPr>
      <w:r>
        <w:rPr>
          <w:rFonts w:hint="eastAsia" w:eastAsia="宋体"/>
          <w:kern w:val="2"/>
          <w:sz w:val="21"/>
          <w:lang w:eastAsia="zh-CN"/>
        </w:rPr>
        <w:t>中标（成交）供应商在领取《中标（成交）通知书》之前须向深圳公共资源交易中心（深圳交易集团有限公司政府采购业务分公司）交纳代理服务费。若因中标（成交）供应商交纳代理服务费所产生的时间影响到合同签订的，由中标（成交）供应商自行承担责任。代理服务费标准参照下列标准</w:t>
      </w:r>
      <w:r>
        <w:rPr>
          <w:rFonts w:hint="eastAsia" w:eastAsia="宋体"/>
          <w:b/>
          <w:bCs/>
          <w:color w:val="FF0000"/>
          <w:kern w:val="2"/>
          <w:sz w:val="21"/>
          <w:lang w:eastAsia="zh-CN"/>
        </w:rPr>
        <w:t>下浮20%</w:t>
      </w:r>
      <w:r>
        <w:rPr>
          <w:rFonts w:hint="eastAsia" w:eastAsia="宋体"/>
          <w:kern w:val="2"/>
          <w:sz w:val="21"/>
          <w:lang w:eastAsia="zh-CN"/>
        </w:rPr>
        <w:t>收取。</w:t>
      </w:r>
      <w:r>
        <w:rPr>
          <w:rFonts w:hint="eastAsia" w:eastAsia="宋体"/>
          <w:b/>
          <w:color w:val="FF0000"/>
          <w:kern w:val="2"/>
          <w:sz w:val="21"/>
          <w:lang w:eastAsia="zh-CN"/>
        </w:rPr>
        <w:t>本项目类型为服务采购：</w:t>
      </w:r>
    </w:p>
    <w:p w14:paraId="351D4E8F">
      <w:pPr>
        <w:widowControl w:val="0"/>
        <w:ind w:firstLine="420" w:firstLineChars="200"/>
        <w:jc w:val="both"/>
        <w:rPr>
          <w:rFonts w:eastAsia="宋体"/>
          <w:kern w:val="2"/>
          <w:sz w:val="21"/>
          <w:lang w:eastAsia="zh-CN"/>
        </w:rPr>
      </w:pPr>
      <w:r>
        <w:rPr>
          <w:rFonts w:hint="eastAsia" w:eastAsia="宋体"/>
          <w:kern w:val="2"/>
          <w:sz w:val="21"/>
          <w:lang w:eastAsia="zh-CN"/>
        </w:rPr>
        <w:t>（1）代理服务费以《中标（成交）通知书》确定的中标（成交）金额作为计算基数，按差额定率累进法计算。</w:t>
      </w:r>
    </w:p>
    <w:p w14:paraId="56F7D1AF">
      <w:pPr>
        <w:widowControl w:val="0"/>
        <w:ind w:firstLine="420" w:firstLineChars="200"/>
        <w:jc w:val="both"/>
        <w:rPr>
          <w:rFonts w:eastAsia="宋体"/>
          <w:kern w:val="2"/>
          <w:sz w:val="21"/>
          <w:lang w:eastAsia="zh-CN"/>
        </w:rPr>
      </w:pPr>
      <w:r>
        <w:rPr>
          <w:rFonts w:hint="eastAsia" w:eastAsia="宋体"/>
          <w:kern w:val="2"/>
          <w:sz w:val="21"/>
          <w:lang w:eastAsia="zh-CN"/>
        </w:rPr>
        <w:t>（2）中标（成交）金额的各部分费率如下表：</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1"/>
        <w:gridCol w:w="1901"/>
        <w:gridCol w:w="1901"/>
        <w:gridCol w:w="1901"/>
      </w:tblGrid>
      <w:tr w14:paraId="47643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077E1A54">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中标（成交）金额</w:t>
            </w:r>
          </w:p>
        </w:tc>
        <w:tc>
          <w:tcPr>
            <w:tcW w:w="1799" w:type="dxa"/>
            <w:vAlign w:val="center"/>
          </w:tcPr>
          <w:p w14:paraId="338CA084">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货物采购</w:t>
            </w:r>
          </w:p>
        </w:tc>
        <w:tc>
          <w:tcPr>
            <w:tcW w:w="1799" w:type="dxa"/>
            <w:vAlign w:val="center"/>
          </w:tcPr>
          <w:p w14:paraId="1167E914">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服务采购</w:t>
            </w:r>
          </w:p>
        </w:tc>
        <w:tc>
          <w:tcPr>
            <w:tcW w:w="1799" w:type="dxa"/>
            <w:vAlign w:val="center"/>
          </w:tcPr>
          <w:p w14:paraId="785AEB8F">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工程采购</w:t>
            </w:r>
          </w:p>
        </w:tc>
      </w:tr>
      <w:tr w14:paraId="1EF5C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30E5A50">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100万元以下</w:t>
            </w:r>
          </w:p>
        </w:tc>
        <w:tc>
          <w:tcPr>
            <w:tcW w:w="1799" w:type="dxa"/>
            <w:vAlign w:val="center"/>
          </w:tcPr>
          <w:p w14:paraId="2FE300BB">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1.5%</w:t>
            </w:r>
          </w:p>
        </w:tc>
        <w:tc>
          <w:tcPr>
            <w:tcW w:w="1799" w:type="dxa"/>
            <w:vAlign w:val="center"/>
          </w:tcPr>
          <w:p w14:paraId="4CC2D045">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1.5%</w:t>
            </w:r>
          </w:p>
        </w:tc>
        <w:tc>
          <w:tcPr>
            <w:tcW w:w="1799" w:type="dxa"/>
            <w:vAlign w:val="center"/>
          </w:tcPr>
          <w:p w14:paraId="6D064102">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1.0%</w:t>
            </w:r>
          </w:p>
        </w:tc>
      </w:tr>
      <w:tr w14:paraId="348F8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2CD8184">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100万元（含）-500万元</w:t>
            </w:r>
          </w:p>
        </w:tc>
        <w:tc>
          <w:tcPr>
            <w:tcW w:w="1799" w:type="dxa"/>
            <w:vAlign w:val="center"/>
          </w:tcPr>
          <w:p w14:paraId="42F343D6">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1.1%</w:t>
            </w:r>
          </w:p>
        </w:tc>
        <w:tc>
          <w:tcPr>
            <w:tcW w:w="1799" w:type="dxa"/>
            <w:vAlign w:val="center"/>
          </w:tcPr>
          <w:p w14:paraId="0762E42C">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0.8%</w:t>
            </w:r>
          </w:p>
        </w:tc>
        <w:tc>
          <w:tcPr>
            <w:tcW w:w="1799" w:type="dxa"/>
            <w:vAlign w:val="center"/>
          </w:tcPr>
          <w:p w14:paraId="47A5B9F9">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0.7%</w:t>
            </w:r>
          </w:p>
        </w:tc>
      </w:tr>
      <w:tr w14:paraId="36DC6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E3692DA">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500万元（含）-1000万元</w:t>
            </w:r>
          </w:p>
        </w:tc>
        <w:tc>
          <w:tcPr>
            <w:tcW w:w="1799" w:type="dxa"/>
            <w:vAlign w:val="center"/>
          </w:tcPr>
          <w:p w14:paraId="204418AF">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0.8%</w:t>
            </w:r>
          </w:p>
        </w:tc>
        <w:tc>
          <w:tcPr>
            <w:tcW w:w="1799" w:type="dxa"/>
            <w:vAlign w:val="center"/>
          </w:tcPr>
          <w:p w14:paraId="4337C65C">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0.45%</w:t>
            </w:r>
          </w:p>
        </w:tc>
        <w:tc>
          <w:tcPr>
            <w:tcW w:w="1799" w:type="dxa"/>
            <w:vAlign w:val="center"/>
          </w:tcPr>
          <w:p w14:paraId="7884D47D">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0.55%</w:t>
            </w:r>
          </w:p>
        </w:tc>
      </w:tr>
      <w:tr w14:paraId="557D7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708BDCB">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1000万元（含）-5000万元</w:t>
            </w:r>
          </w:p>
        </w:tc>
        <w:tc>
          <w:tcPr>
            <w:tcW w:w="1799" w:type="dxa"/>
            <w:vAlign w:val="center"/>
          </w:tcPr>
          <w:p w14:paraId="2D941AB3">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0.5%</w:t>
            </w:r>
          </w:p>
        </w:tc>
        <w:tc>
          <w:tcPr>
            <w:tcW w:w="1799" w:type="dxa"/>
            <w:vAlign w:val="center"/>
          </w:tcPr>
          <w:p w14:paraId="1BAAEB68">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0.25%</w:t>
            </w:r>
          </w:p>
        </w:tc>
        <w:tc>
          <w:tcPr>
            <w:tcW w:w="1799" w:type="dxa"/>
            <w:vAlign w:val="center"/>
          </w:tcPr>
          <w:p w14:paraId="03D8416E">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0.35%</w:t>
            </w:r>
          </w:p>
        </w:tc>
      </w:tr>
      <w:tr w14:paraId="0E1A3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FFBC490">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5000万元（含）-1亿元</w:t>
            </w:r>
          </w:p>
        </w:tc>
        <w:tc>
          <w:tcPr>
            <w:tcW w:w="1799" w:type="dxa"/>
            <w:vAlign w:val="center"/>
          </w:tcPr>
          <w:p w14:paraId="7E2FA819">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0.25%</w:t>
            </w:r>
          </w:p>
        </w:tc>
        <w:tc>
          <w:tcPr>
            <w:tcW w:w="1799" w:type="dxa"/>
            <w:vAlign w:val="center"/>
          </w:tcPr>
          <w:p w14:paraId="7FF28E72">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0.1%</w:t>
            </w:r>
          </w:p>
        </w:tc>
        <w:tc>
          <w:tcPr>
            <w:tcW w:w="1799" w:type="dxa"/>
            <w:vAlign w:val="center"/>
          </w:tcPr>
          <w:p w14:paraId="05EED3A7">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0.2%</w:t>
            </w:r>
          </w:p>
        </w:tc>
      </w:tr>
      <w:tr w14:paraId="2263B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9ECF687">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1亿元（含）-5亿元</w:t>
            </w:r>
          </w:p>
        </w:tc>
        <w:tc>
          <w:tcPr>
            <w:tcW w:w="1799" w:type="dxa"/>
            <w:vAlign w:val="center"/>
          </w:tcPr>
          <w:p w14:paraId="7D9D723D">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0.05%</w:t>
            </w:r>
          </w:p>
        </w:tc>
        <w:tc>
          <w:tcPr>
            <w:tcW w:w="1799" w:type="dxa"/>
            <w:vAlign w:val="center"/>
          </w:tcPr>
          <w:p w14:paraId="5241AB10">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0.05%</w:t>
            </w:r>
          </w:p>
        </w:tc>
        <w:tc>
          <w:tcPr>
            <w:tcW w:w="1799" w:type="dxa"/>
            <w:vAlign w:val="center"/>
          </w:tcPr>
          <w:p w14:paraId="1A87A14F">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0.05%</w:t>
            </w:r>
          </w:p>
        </w:tc>
      </w:tr>
      <w:tr w14:paraId="13DBA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BA43496">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5亿元（含）-10亿元</w:t>
            </w:r>
          </w:p>
        </w:tc>
        <w:tc>
          <w:tcPr>
            <w:tcW w:w="1799" w:type="dxa"/>
            <w:vAlign w:val="center"/>
          </w:tcPr>
          <w:p w14:paraId="4AE79705">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0.035%</w:t>
            </w:r>
          </w:p>
        </w:tc>
        <w:tc>
          <w:tcPr>
            <w:tcW w:w="1799" w:type="dxa"/>
            <w:vAlign w:val="center"/>
          </w:tcPr>
          <w:p w14:paraId="22B99528">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0.035%</w:t>
            </w:r>
          </w:p>
        </w:tc>
        <w:tc>
          <w:tcPr>
            <w:tcW w:w="1799" w:type="dxa"/>
            <w:vAlign w:val="center"/>
          </w:tcPr>
          <w:p w14:paraId="619E72E5">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0.035%</w:t>
            </w:r>
          </w:p>
        </w:tc>
      </w:tr>
      <w:tr w14:paraId="6503F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3036AFE8">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10亿元（含）-50亿元</w:t>
            </w:r>
          </w:p>
        </w:tc>
        <w:tc>
          <w:tcPr>
            <w:tcW w:w="1799" w:type="dxa"/>
            <w:vAlign w:val="center"/>
          </w:tcPr>
          <w:p w14:paraId="6C884CE7">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0.008%</w:t>
            </w:r>
          </w:p>
        </w:tc>
        <w:tc>
          <w:tcPr>
            <w:tcW w:w="1799" w:type="dxa"/>
            <w:vAlign w:val="center"/>
          </w:tcPr>
          <w:p w14:paraId="68150C23">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0.008%</w:t>
            </w:r>
          </w:p>
        </w:tc>
        <w:tc>
          <w:tcPr>
            <w:tcW w:w="1799" w:type="dxa"/>
            <w:vAlign w:val="center"/>
          </w:tcPr>
          <w:p w14:paraId="0743A7FA">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0.008%</w:t>
            </w:r>
          </w:p>
        </w:tc>
      </w:tr>
      <w:tr w14:paraId="7B612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D08D080">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50亿元（含）-100亿元</w:t>
            </w:r>
          </w:p>
        </w:tc>
        <w:tc>
          <w:tcPr>
            <w:tcW w:w="1799" w:type="dxa"/>
            <w:vAlign w:val="center"/>
          </w:tcPr>
          <w:p w14:paraId="1C86047F">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0.006%</w:t>
            </w:r>
          </w:p>
        </w:tc>
        <w:tc>
          <w:tcPr>
            <w:tcW w:w="1799" w:type="dxa"/>
            <w:vAlign w:val="center"/>
          </w:tcPr>
          <w:p w14:paraId="4D8754AB">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0.006%</w:t>
            </w:r>
          </w:p>
        </w:tc>
        <w:tc>
          <w:tcPr>
            <w:tcW w:w="1799" w:type="dxa"/>
            <w:vAlign w:val="center"/>
          </w:tcPr>
          <w:p w14:paraId="5BEECFF4">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0.006%</w:t>
            </w:r>
          </w:p>
        </w:tc>
      </w:tr>
      <w:tr w14:paraId="43C07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944632E">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100亿元（含）以上</w:t>
            </w:r>
          </w:p>
        </w:tc>
        <w:tc>
          <w:tcPr>
            <w:tcW w:w="1799" w:type="dxa"/>
            <w:vAlign w:val="center"/>
          </w:tcPr>
          <w:p w14:paraId="69FF3502">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0.004%</w:t>
            </w:r>
          </w:p>
        </w:tc>
        <w:tc>
          <w:tcPr>
            <w:tcW w:w="1799" w:type="dxa"/>
            <w:vAlign w:val="center"/>
          </w:tcPr>
          <w:p w14:paraId="77045FC5">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0.004%</w:t>
            </w:r>
          </w:p>
        </w:tc>
        <w:tc>
          <w:tcPr>
            <w:tcW w:w="1799" w:type="dxa"/>
            <w:vAlign w:val="center"/>
          </w:tcPr>
          <w:p w14:paraId="7FB6BE17">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0.004%</w:t>
            </w:r>
          </w:p>
        </w:tc>
      </w:tr>
    </w:tbl>
    <w:p w14:paraId="23A1F7AA">
      <w:pPr>
        <w:widowControl w:val="0"/>
        <w:ind w:firstLine="420" w:firstLineChars="200"/>
        <w:jc w:val="both"/>
        <w:rPr>
          <w:rFonts w:eastAsia="宋体"/>
          <w:kern w:val="2"/>
          <w:sz w:val="21"/>
          <w:lang w:eastAsia="zh-CN"/>
        </w:rPr>
      </w:pPr>
      <w:r>
        <w:rPr>
          <w:rFonts w:hint="eastAsia" w:eastAsia="宋体"/>
          <w:kern w:val="2"/>
          <w:sz w:val="21"/>
          <w:lang w:eastAsia="zh-CN"/>
        </w:rPr>
        <w:t>备注：1.每宗交易代理服务费不低于 5000 元；</w:t>
      </w:r>
    </w:p>
    <w:p w14:paraId="07F28D35">
      <w:pPr>
        <w:widowControl w:val="0"/>
        <w:ind w:firstLine="420" w:firstLineChars="200"/>
        <w:jc w:val="both"/>
        <w:rPr>
          <w:rFonts w:eastAsia="宋体"/>
          <w:kern w:val="2"/>
          <w:sz w:val="21"/>
          <w:lang w:eastAsia="zh-CN"/>
        </w:rPr>
      </w:pPr>
      <w:r>
        <w:rPr>
          <w:rFonts w:hint="eastAsia" w:eastAsia="宋体"/>
          <w:kern w:val="2"/>
          <w:sz w:val="21"/>
          <w:lang w:eastAsia="zh-CN"/>
        </w:rPr>
        <w:t>2.对于报总价的采购类项目，中标（成交）价为中标（成交）金额；对于报单价、折扣或费率的采购类项目，中标（成交）价为预算上限金额或经委托方与代理方确定的支付上限金额；</w:t>
      </w:r>
    </w:p>
    <w:p w14:paraId="15D33241">
      <w:pPr>
        <w:widowControl w:val="0"/>
        <w:ind w:firstLine="420" w:firstLineChars="200"/>
        <w:jc w:val="both"/>
        <w:rPr>
          <w:rFonts w:eastAsia="宋体"/>
          <w:kern w:val="2"/>
          <w:sz w:val="21"/>
          <w:lang w:eastAsia="zh-CN"/>
        </w:rPr>
      </w:pPr>
      <w:r>
        <w:rPr>
          <w:rFonts w:hint="eastAsia" w:eastAsia="宋体"/>
          <w:kern w:val="2"/>
          <w:sz w:val="21"/>
          <w:lang w:eastAsia="zh-CN"/>
        </w:rPr>
        <w:t>如某货物采购项目，中标（成交）金额为600万元，总共交纳的代理服务费的具体计算过程如下：</w:t>
      </w:r>
    </w:p>
    <w:p w14:paraId="5EBB73C0">
      <w:pPr>
        <w:widowControl w:val="0"/>
        <w:ind w:firstLine="420" w:firstLineChars="200"/>
        <w:jc w:val="both"/>
        <w:rPr>
          <w:rFonts w:eastAsia="宋体"/>
          <w:kern w:val="2"/>
          <w:sz w:val="21"/>
          <w:lang w:eastAsia="zh-CN"/>
        </w:rPr>
      </w:pPr>
      <w:r>
        <w:rPr>
          <w:rFonts w:hint="eastAsia" w:eastAsia="宋体"/>
          <w:kern w:val="2"/>
          <w:sz w:val="21"/>
          <w:lang w:eastAsia="zh-CN"/>
        </w:rPr>
        <w:t>标准代理服务费＝（100万以下部分的代理服务费）+（100万～500万部分的代理服务费）+（500万～600万部分的代理服务费）＝100万元×1.5%+（500-100）万元×1.1%+（600-500）万元×0.8%=1.5万元+4.4万元+0.8万元＝6.7万元</w:t>
      </w:r>
    </w:p>
    <w:p w14:paraId="20439215">
      <w:pPr>
        <w:widowControl w:val="0"/>
        <w:ind w:firstLine="420" w:firstLineChars="200"/>
        <w:jc w:val="both"/>
        <w:rPr>
          <w:rFonts w:eastAsia="宋体"/>
          <w:kern w:val="2"/>
          <w:sz w:val="21"/>
          <w:lang w:eastAsia="zh-CN"/>
        </w:rPr>
      </w:pPr>
      <w:r>
        <w:rPr>
          <w:rFonts w:hint="eastAsia" w:eastAsia="宋体"/>
          <w:kern w:val="2"/>
          <w:sz w:val="21"/>
          <w:lang w:eastAsia="zh-CN"/>
        </w:rPr>
        <w:t>（3）中标（成交）供应商中标（成交）后，必须按规定采用银行对公转账方式向深圳交易集团有限公司直接交纳代理服务费，交纳信息及要求：</w:t>
      </w:r>
    </w:p>
    <w:p w14:paraId="7C3ECAD7">
      <w:pPr>
        <w:widowControl w:val="0"/>
        <w:ind w:firstLine="422" w:firstLineChars="200"/>
        <w:jc w:val="both"/>
        <w:rPr>
          <w:rFonts w:ascii="宋体" w:hAnsi="宋体" w:eastAsia="宋体" w:cs="宋体"/>
          <w:bCs/>
          <w:color w:val="FF0000"/>
          <w:kern w:val="2"/>
          <w:sz w:val="21"/>
          <w:szCs w:val="21"/>
          <w:lang w:eastAsia="zh-CN"/>
        </w:rPr>
      </w:pPr>
      <w:r>
        <w:rPr>
          <w:rFonts w:hint="eastAsia" w:ascii="宋体" w:hAnsi="宋体" w:eastAsia="宋体" w:cs="宋体"/>
          <w:b/>
          <w:bCs/>
          <w:color w:val="FF0000"/>
          <w:kern w:val="2"/>
          <w:sz w:val="21"/>
          <w:szCs w:val="21"/>
          <w:lang w:eastAsia="zh-CN"/>
        </w:rPr>
        <w:t>基本户信息：</w:t>
      </w:r>
    </w:p>
    <w:p w14:paraId="4BE00733">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账户名：深圳交易集团有限公司</w:t>
      </w:r>
    </w:p>
    <w:p w14:paraId="14D8DFA2">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账号：632765883</w:t>
      </w:r>
    </w:p>
    <w:p w14:paraId="51E9CDCE">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开户行：民生银行深圳五洲支行</w:t>
      </w:r>
    </w:p>
    <w:p w14:paraId="3F006CBC">
      <w:pPr>
        <w:widowControl w:val="0"/>
        <w:ind w:firstLine="422" w:firstLineChars="200"/>
        <w:jc w:val="both"/>
        <w:rPr>
          <w:rFonts w:ascii="宋体" w:hAnsi="宋体" w:eastAsia="宋体" w:cs="宋体"/>
          <w:bCs/>
          <w:color w:val="FF0000"/>
          <w:kern w:val="2"/>
          <w:sz w:val="21"/>
          <w:szCs w:val="21"/>
          <w:lang w:eastAsia="zh-CN"/>
        </w:rPr>
      </w:pPr>
      <w:r>
        <w:rPr>
          <w:rFonts w:hint="eastAsia" w:ascii="宋体" w:hAnsi="宋体" w:eastAsia="宋体" w:cs="宋体"/>
          <w:b/>
          <w:bCs/>
          <w:color w:val="FF0000"/>
          <w:kern w:val="2"/>
          <w:sz w:val="21"/>
          <w:szCs w:val="21"/>
          <w:lang w:eastAsia="zh-CN"/>
        </w:rPr>
        <w:t>转账备注：</w:t>
      </w:r>
    </w:p>
    <w:p w14:paraId="4DE416C4">
      <w:pPr>
        <w:widowControl w:val="0"/>
        <w:ind w:firstLine="420" w:firstLineChars="200"/>
        <w:jc w:val="both"/>
        <w:rPr>
          <w:rFonts w:ascii="宋体" w:hAnsi="宋体" w:eastAsia="宋体" w:cs="宋体"/>
          <w:bCs/>
          <w:color w:val="FF0000"/>
          <w:kern w:val="2"/>
          <w:sz w:val="21"/>
          <w:szCs w:val="21"/>
          <w:lang w:eastAsia="zh-CN"/>
        </w:rPr>
      </w:pPr>
      <w:r>
        <w:rPr>
          <w:rFonts w:hint="eastAsia" w:ascii="宋体" w:hAnsi="宋体" w:eastAsia="宋体" w:cs="宋体"/>
          <w:bCs/>
          <w:color w:val="FF0000"/>
          <w:kern w:val="2"/>
          <w:sz w:val="21"/>
          <w:szCs w:val="21"/>
          <w:lang w:eastAsia="zh-CN"/>
        </w:rPr>
        <w:t>项目编号+项目名称</w:t>
      </w:r>
    </w:p>
    <w:p w14:paraId="3276F978">
      <w:pPr>
        <w:widowControl w:val="0"/>
        <w:ind w:firstLine="422" w:firstLineChars="200"/>
        <w:jc w:val="left"/>
        <w:rPr>
          <w:rFonts w:eastAsia="宋体"/>
          <w:b/>
          <w:bCs/>
          <w:kern w:val="2"/>
          <w:sz w:val="21"/>
          <w:lang w:eastAsia="zh-CN"/>
        </w:rPr>
      </w:pPr>
      <w:r>
        <w:rPr>
          <w:rFonts w:hint="eastAsia" w:eastAsia="宋体"/>
          <w:b/>
          <w:bCs/>
          <w:kern w:val="2"/>
          <w:sz w:val="21"/>
          <w:lang w:eastAsia="zh-CN"/>
        </w:rPr>
        <w:t>3、长期服务采购项目</w:t>
      </w:r>
    </w:p>
    <w:p w14:paraId="46BCA160">
      <w:pPr>
        <w:widowControl w:val="0"/>
        <w:ind w:firstLine="420" w:firstLineChars="200"/>
        <w:jc w:val="left"/>
        <w:rPr>
          <w:rFonts w:eastAsia="宋体"/>
          <w:kern w:val="2"/>
          <w:sz w:val="21"/>
          <w:lang w:eastAsia="zh-CN"/>
        </w:rPr>
      </w:pPr>
      <w:r>
        <w:rPr>
          <w:rFonts w:hint="eastAsia" w:eastAsia="宋体"/>
          <w:kern w:val="2"/>
          <w:sz w:val="21"/>
          <w:lang w:eastAsia="zh-CN"/>
        </w:rPr>
        <w:t>本项目为长期服务项目，合同期满可以续签，但合同履行期限最长不得超过三十六个月。如甲方对履约情况不满意，甲方不再续约。</w:t>
      </w:r>
    </w:p>
    <w:p w14:paraId="1EA13934">
      <w:pPr>
        <w:widowControl w:val="0"/>
        <w:jc w:val="center"/>
        <w:rPr>
          <w:rFonts w:ascii="宋体" w:hAnsi="宋体" w:eastAsia="宋体"/>
          <w:b/>
          <w:bCs/>
          <w:sz w:val="28"/>
          <w:szCs w:val="28"/>
          <w:lang w:eastAsia="zh-CN"/>
        </w:rPr>
      </w:pPr>
      <w:bookmarkStart w:id="31" w:name="_Toc128884461"/>
      <w:r>
        <w:rPr>
          <w:rFonts w:hint="eastAsia" w:eastAsia="宋体"/>
          <w:kern w:val="2"/>
          <w:sz w:val="28"/>
          <w:szCs w:val="28"/>
          <w:lang w:eastAsia="zh-CN"/>
        </w:rPr>
        <w:br w:type="page"/>
      </w:r>
      <w:r>
        <w:rPr>
          <w:rFonts w:hint="eastAsia" w:ascii="宋体" w:hAnsi="宋体" w:eastAsia="宋体"/>
          <w:b/>
          <w:bCs/>
          <w:sz w:val="28"/>
          <w:szCs w:val="28"/>
          <w:lang w:eastAsia="zh-CN"/>
        </w:rPr>
        <w:t>第三章 用户需求书</w:t>
      </w:r>
    </w:p>
    <w:p w14:paraId="4FEDB967">
      <w:pPr>
        <w:keepNext/>
        <w:keepLines/>
        <w:widowControl w:val="0"/>
        <w:adjustRightInd w:val="0"/>
        <w:spacing w:before="156" w:beforeLines="50" w:after="156" w:afterLines="50" w:line="240" w:lineRule="auto"/>
        <w:jc w:val="center"/>
        <w:textAlignment w:val="baseline"/>
        <w:outlineLvl w:val="1"/>
        <w:rPr>
          <w:rFonts w:ascii="宋体" w:hAnsi="宋体" w:eastAsia="宋体"/>
          <w:b/>
          <w:bCs/>
          <w:lang w:eastAsia="zh-CN"/>
        </w:rPr>
      </w:pPr>
      <w:r>
        <w:rPr>
          <w:rFonts w:hint="eastAsia" w:ascii="宋体" w:hAnsi="宋体" w:eastAsia="宋体"/>
          <w:b/>
          <w:bCs/>
          <w:lang w:eastAsia="zh-CN"/>
        </w:rPr>
        <w:t>一、项目基本信息</w:t>
      </w:r>
    </w:p>
    <w:tbl>
      <w:tblPr>
        <w:tblStyle w:val="13"/>
        <w:tblW w:w="5000" w:type="pct"/>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6084"/>
        <w:gridCol w:w="2104"/>
      </w:tblGrid>
      <w:tr w14:paraId="0000D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14" w:type="dxa"/>
            <w:vAlign w:val="center"/>
          </w:tcPr>
          <w:p w14:paraId="685BB332">
            <w:pPr>
              <w:keepNext w:val="0"/>
              <w:keepLines w:val="0"/>
              <w:widowControl w:val="0"/>
              <w:suppressLineNumbers w:val="0"/>
              <w:spacing w:before="0" w:beforeAutospacing="0" w:after="0" w:afterAutospacing="0"/>
              <w:ind w:left="0" w:right="0"/>
              <w:jc w:val="center"/>
              <w:rPr>
                <w:rFonts w:eastAsia="宋体"/>
                <w:bCs/>
                <w:kern w:val="2"/>
                <w:sz w:val="21"/>
                <w:szCs w:val="21"/>
                <w:lang w:eastAsia="zh-CN"/>
              </w:rPr>
            </w:pPr>
            <w:r>
              <w:rPr>
                <w:rFonts w:hint="eastAsia" w:eastAsia="宋体"/>
                <w:bCs/>
                <w:kern w:val="2"/>
                <w:sz w:val="21"/>
                <w:szCs w:val="21"/>
                <w:lang w:eastAsia="zh-CN"/>
              </w:rPr>
              <w:t>序号</w:t>
            </w:r>
          </w:p>
        </w:tc>
        <w:tc>
          <w:tcPr>
            <w:tcW w:w="6071" w:type="dxa"/>
            <w:vAlign w:val="center"/>
          </w:tcPr>
          <w:p w14:paraId="07471399">
            <w:pPr>
              <w:keepNext w:val="0"/>
              <w:keepLines w:val="0"/>
              <w:widowControl w:val="0"/>
              <w:suppressLineNumbers w:val="0"/>
              <w:spacing w:before="0" w:beforeAutospacing="0" w:after="0" w:afterAutospacing="0"/>
              <w:ind w:left="0" w:right="0"/>
              <w:jc w:val="center"/>
              <w:rPr>
                <w:rFonts w:eastAsia="宋体"/>
                <w:bCs/>
                <w:kern w:val="2"/>
                <w:sz w:val="21"/>
                <w:szCs w:val="21"/>
                <w:lang w:eastAsia="zh-CN"/>
              </w:rPr>
            </w:pPr>
            <w:r>
              <w:rPr>
                <w:rFonts w:hint="eastAsia" w:eastAsia="宋体"/>
                <w:bCs/>
                <w:kern w:val="2"/>
                <w:sz w:val="21"/>
                <w:szCs w:val="21"/>
                <w:lang w:eastAsia="zh-CN"/>
              </w:rPr>
              <w:t>采购项目名称</w:t>
            </w:r>
          </w:p>
        </w:tc>
        <w:tc>
          <w:tcPr>
            <w:tcW w:w="2100" w:type="dxa"/>
            <w:vAlign w:val="center"/>
          </w:tcPr>
          <w:p w14:paraId="4203C557">
            <w:pPr>
              <w:keepNext w:val="0"/>
              <w:keepLines w:val="0"/>
              <w:widowControl w:val="0"/>
              <w:suppressLineNumbers w:val="0"/>
              <w:spacing w:before="0" w:beforeAutospacing="0" w:after="0" w:afterAutospacing="0"/>
              <w:ind w:left="0" w:right="0"/>
              <w:jc w:val="center"/>
              <w:rPr>
                <w:rFonts w:eastAsia="宋体"/>
                <w:b/>
                <w:bCs/>
                <w:color w:val="FF0000"/>
                <w:kern w:val="2"/>
                <w:sz w:val="21"/>
                <w:szCs w:val="21"/>
                <w:lang w:eastAsia="zh-CN"/>
              </w:rPr>
            </w:pPr>
            <w:r>
              <w:rPr>
                <w:rFonts w:hint="eastAsia" w:eastAsia="宋体"/>
                <w:b/>
                <w:bCs/>
                <w:color w:val="FF0000"/>
                <w:kern w:val="2"/>
                <w:sz w:val="21"/>
                <w:szCs w:val="21"/>
                <w:lang w:eastAsia="zh-CN"/>
              </w:rPr>
              <w:t>预算金额（元）</w:t>
            </w:r>
          </w:p>
        </w:tc>
      </w:tr>
      <w:tr w14:paraId="7350B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814" w:type="dxa"/>
            <w:vAlign w:val="center"/>
          </w:tcPr>
          <w:p w14:paraId="55FBE528">
            <w:pPr>
              <w:keepNext w:val="0"/>
              <w:keepLines w:val="0"/>
              <w:widowControl w:val="0"/>
              <w:suppressLineNumbers w:val="0"/>
              <w:spacing w:before="0" w:beforeAutospacing="0" w:after="0" w:afterAutospacing="0"/>
              <w:ind w:left="0" w:right="0"/>
              <w:jc w:val="center"/>
              <w:rPr>
                <w:rFonts w:eastAsia="宋体"/>
                <w:bCs/>
                <w:kern w:val="2"/>
                <w:sz w:val="21"/>
                <w:szCs w:val="21"/>
                <w:lang w:eastAsia="zh-CN"/>
              </w:rPr>
            </w:pPr>
            <w:r>
              <w:rPr>
                <w:rFonts w:hint="eastAsia" w:eastAsia="宋体"/>
                <w:bCs/>
                <w:kern w:val="2"/>
                <w:sz w:val="21"/>
                <w:szCs w:val="21"/>
                <w:lang w:eastAsia="zh-CN"/>
              </w:rPr>
              <w:t>1</w:t>
            </w:r>
          </w:p>
        </w:tc>
        <w:tc>
          <w:tcPr>
            <w:tcW w:w="6071" w:type="dxa"/>
            <w:vAlign w:val="center"/>
          </w:tcPr>
          <w:p w14:paraId="632F4932">
            <w:pPr>
              <w:keepNext w:val="0"/>
              <w:keepLines w:val="0"/>
              <w:widowControl w:val="0"/>
              <w:suppressLineNumbers w:val="0"/>
              <w:spacing w:before="0" w:beforeAutospacing="0" w:after="0" w:afterAutospacing="0"/>
              <w:ind w:left="0" w:right="0"/>
              <w:jc w:val="center"/>
              <w:rPr>
                <w:rFonts w:eastAsia="宋体"/>
                <w:bCs/>
                <w:kern w:val="2"/>
                <w:sz w:val="21"/>
                <w:szCs w:val="21"/>
                <w:lang w:eastAsia="zh-CN"/>
              </w:rPr>
            </w:pPr>
            <w:r>
              <w:rPr>
                <w:rFonts w:eastAsia="宋体"/>
                <w:bCs/>
                <w:kern w:val="2"/>
                <w:sz w:val="21"/>
                <w:szCs w:val="21"/>
                <w:lang w:eastAsia="zh-CN"/>
              </w:rPr>
              <w:t>市急救中心综合楼及园区公共部分气体消防设备检测维护项目</w:t>
            </w:r>
          </w:p>
        </w:tc>
        <w:tc>
          <w:tcPr>
            <w:tcW w:w="2100" w:type="dxa"/>
            <w:vAlign w:val="center"/>
          </w:tcPr>
          <w:p w14:paraId="144F067D">
            <w:pPr>
              <w:keepNext w:val="0"/>
              <w:keepLines w:val="0"/>
              <w:widowControl w:val="0"/>
              <w:suppressLineNumbers w:val="0"/>
              <w:spacing w:before="0" w:beforeAutospacing="0" w:after="0" w:afterAutospacing="0"/>
              <w:ind w:left="0" w:right="0"/>
              <w:jc w:val="center"/>
              <w:rPr>
                <w:rFonts w:eastAsia="宋体"/>
                <w:bCs/>
                <w:color w:val="FF0000"/>
                <w:kern w:val="2"/>
                <w:sz w:val="21"/>
                <w:szCs w:val="21"/>
                <w:lang w:eastAsia="zh-CN"/>
              </w:rPr>
            </w:pPr>
            <w:r>
              <w:rPr>
                <w:rFonts w:eastAsia="宋体"/>
                <w:bCs/>
                <w:color w:val="FF0000"/>
                <w:kern w:val="2"/>
                <w:sz w:val="21"/>
                <w:szCs w:val="21"/>
                <w:lang w:eastAsia="zh-CN"/>
              </w:rPr>
              <w:t>200000</w:t>
            </w:r>
          </w:p>
        </w:tc>
      </w:tr>
    </w:tbl>
    <w:p w14:paraId="6EDCC774">
      <w:pPr>
        <w:widowControl w:val="0"/>
        <w:bidi w:val="0"/>
        <w:jc w:val="both"/>
        <w:rPr>
          <w:rFonts w:hint="eastAsia" w:eastAsia="宋体"/>
          <w:kern w:val="2"/>
          <w:sz w:val="21"/>
          <w:lang w:eastAsia="zh-CN"/>
        </w:rPr>
      </w:pPr>
    </w:p>
    <w:p w14:paraId="58EF70D0">
      <w:pPr>
        <w:keepNext/>
        <w:keepLines/>
        <w:widowControl w:val="0"/>
        <w:numPr>
          <w:ilvl w:val="0"/>
          <w:numId w:val="0"/>
        </w:numPr>
        <w:adjustRightInd w:val="0"/>
        <w:spacing w:before="156" w:beforeLines="50" w:after="156" w:afterLines="50" w:line="240" w:lineRule="auto"/>
        <w:ind w:left="0" w:firstLine="0"/>
        <w:jc w:val="center"/>
        <w:textAlignment w:val="baseline"/>
        <w:outlineLvl w:val="1"/>
        <w:rPr>
          <w:rFonts w:ascii="宋体" w:hAnsi="宋体" w:eastAsia="宋体"/>
          <w:b/>
          <w:bCs/>
          <w:lang w:eastAsia="zh-CN"/>
        </w:rPr>
      </w:pPr>
      <w:r>
        <w:rPr>
          <w:rFonts w:hint="eastAsia" w:eastAsia="宋体"/>
          <w:b/>
          <w:bCs/>
          <w:kern w:val="2"/>
          <w:lang w:eastAsia="zh-CN" w:bidi="ar"/>
        </w:rPr>
        <w:t>二、项目概况</w:t>
      </w:r>
    </w:p>
    <w:p w14:paraId="02BDE207">
      <w:pPr>
        <w:widowControl/>
        <w:ind w:firstLine="420" w:firstLineChars="200"/>
        <w:jc w:val="left"/>
        <w:rPr>
          <w:rFonts w:ascii="宋体" w:hAnsi="宋体" w:eastAsia="宋体"/>
          <w:sz w:val="21"/>
          <w:szCs w:val="21"/>
          <w:lang w:eastAsia="zh-CN"/>
        </w:rPr>
      </w:pPr>
      <w:r>
        <w:rPr>
          <w:rFonts w:hint="eastAsia" w:ascii="宋体" w:hAnsi="宋体" w:eastAsia="宋体"/>
          <w:sz w:val="21"/>
          <w:szCs w:val="21"/>
          <w:lang w:eastAsia="zh-CN"/>
        </w:rPr>
        <w:t>根据特种设备安全技术规范 TSG23-2021《气瓶安全技术规程》有关气瓶定期检验周期的规定，氮气钢瓶检验周期为5年，其他气体为3年。</w:t>
      </w:r>
    </w:p>
    <w:p w14:paraId="2ED578CC">
      <w:pPr>
        <w:widowControl/>
        <w:ind w:firstLine="420" w:firstLineChars="200"/>
        <w:jc w:val="left"/>
        <w:rPr>
          <w:rFonts w:hint="eastAsia" w:ascii="宋体" w:hAnsi="宋体" w:eastAsia="宋体"/>
          <w:sz w:val="21"/>
          <w:szCs w:val="21"/>
          <w:lang w:eastAsia="zh-CN"/>
        </w:rPr>
      </w:pPr>
      <w:r>
        <w:rPr>
          <w:rFonts w:hint="eastAsia" w:ascii="宋体" w:hAnsi="宋体" w:eastAsia="宋体"/>
          <w:sz w:val="21"/>
          <w:szCs w:val="21"/>
          <w:lang w:eastAsia="zh-CN"/>
        </w:rPr>
        <w:t>为确保中心消防系统的正常运行，申请对气体灭火系统的相关气瓶做检测。</w:t>
      </w:r>
    </w:p>
    <w:p w14:paraId="40B7979F">
      <w:pPr>
        <w:widowControl w:val="0"/>
        <w:spacing w:line="360" w:lineRule="auto"/>
        <w:jc w:val="both"/>
        <w:rPr>
          <w:rFonts w:eastAsia="宋体"/>
          <w:b/>
          <w:bCs/>
          <w:kern w:val="2"/>
          <w:lang w:eastAsia="zh-CN"/>
        </w:rPr>
      </w:pPr>
    </w:p>
    <w:p w14:paraId="5BE3F1D7">
      <w:pPr>
        <w:keepNext/>
        <w:keepLines/>
        <w:widowControl w:val="0"/>
        <w:adjustRightInd w:val="0"/>
        <w:spacing w:before="156" w:beforeLines="50" w:after="156" w:afterLines="50" w:line="240" w:lineRule="auto"/>
        <w:jc w:val="center"/>
        <w:textAlignment w:val="baseline"/>
        <w:outlineLvl w:val="1"/>
        <w:rPr>
          <w:rFonts w:ascii="宋体" w:hAnsi="宋体" w:eastAsia="宋体"/>
          <w:b/>
          <w:bCs/>
          <w:lang w:eastAsia="zh-CN"/>
        </w:rPr>
      </w:pPr>
      <w:r>
        <w:rPr>
          <w:rFonts w:hint="eastAsia" w:ascii="宋体" w:hAnsi="宋体" w:eastAsia="宋体"/>
          <w:b/>
          <w:bCs/>
          <w:lang w:eastAsia="zh-CN"/>
        </w:rPr>
        <w:t>三、</w:t>
      </w:r>
      <w:bookmarkStart w:id="32" w:name="_Hlk72073432"/>
      <w:r>
        <w:rPr>
          <w:rFonts w:hint="eastAsia" w:ascii="宋体" w:hAnsi="宋体" w:eastAsia="宋体"/>
          <w:b/>
          <w:bCs/>
          <w:lang w:eastAsia="zh-CN"/>
        </w:rPr>
        <w:t>服务需求明细</w:t>
      </w:r>
      <w:bookmarkEnd w:id="32"/>
    </w:p>
    <w:tbl>
      <w:tblPr>
        <w:tblStyle w:val="13"/>
        <w:tblpPr w:leftFromText="180" w:rightFromText="180" w:vertAnchor="text" w:horzAnchor="margin" w:tblpX="139" w:tblpY="17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4874"/>
        <w:gridCol w:w="685"/>
        <w:gridCol w:w="726"/>
        <w:gridCol w:w="1945"/>
      </w:tblGrid>
      <w:tr w14:paraId="2B0BC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76" w:type="dxa"/>
            <w:vAlign w:val="center"/>
          </w:tcPr>
          <w:p w14:paraId="5881191F">
            <w:pPr>
              <w:keepNext w:val="0"/>
              <w:keepLines w:val="0"/>
              <w:widowControl w:val="0"/>
              <w:suppressLineNumbers w:val="0"/>
              <w:spacing w:before="0" w:beforeAutospacing="0" w:after="0" w:afterAutospacing="0"/>
              <w:ind w:left="0" w:right="0"/>
              <w:jc w:val="center"/>
              <w:rPr>
                <w:rFonts w:eastAsia="宋体"/>
                <w:bCs/>
                <w:kern w:val="2"/>
                <w:sz w:val="21"/>
                <w:szCs w:val="21"/>
                <w:lang w:eastAsia="zh-CN"/>
              </w:rPr>
            </w:pPr>
            <w:r>
              <w:rPr>
                <w:rFonts w:hint="eastAsia" w:eastAsia="宋体"/>
                <w:bCs/>
                <w:kern w:val="2"/>
                <w:sz w:val="21"/>
                <w:szCs w:val="21"/>
                <w:lang w:eastAsia="zh-CN"/>
              </w:rPr>
              <w:t>序号</w:t>
            </w:r>
          </w:p>
        </w:tc>
        <w:tc>
          <w:tcPr>
            <w:tcW w:w="4888" w:type="dxa"/>
            <w:vAlign w:val="center"/>
          </w:tcPr>
          <w:p w14:paraId="59B0802E">
            <w:pPr>
              <w:keepNext w:val="0"/>
              <w:keepLines w:val="0"/>
              <w:widowControl w:val="0"/>
              <w:suppressLineNumbers w:val="0"/>
              <w:spacing w:before="0" w:beforeAutospacing="0" w:after="0" w:afterAutospacing="0"/>
              <w:ind w:left="0" w:right="0"/>
              <w:jc w:val="center"/>
              <w:rPr>
                <w:rFonts w:eastAsia="宋体"/>
                <w:bCs/>
                <w:kern w:val="2"/>
                <w:sz w:val="21"/>
                <w:szCs w:val="21"/>
                <w:lang w:eastAsia="zh-CN"/>
              </w:rPr>
            </w:pPr>
            <w:r>
              <w:rPr>
                <w:rFonts w:hint="eastAsia" w:eastAsia="宋体"/>
                <w:bCs/>
                <w:kern w:val="2"/>
                <w:sz w:val="21"/>
                <w:szCs w:val="21"/>
                <w:lang w:eastAsia="zh-CN"/>
              </w:rPr>
              <w:t>服务需求名称（标的名称）</w:t>
            </w:r>
          </w:p>
        </w:tc>
        <w:tc>
          <w:tcPr>
            <w:tcW w:w="686" w:type="dxa"/>
            <w:vAlign w:val="center"/>
          </w:tcPr>
          <w:p w14:paraId="4155FD64">
            <w:pPr>
              <w:keepNext w:val="0"/>
              <w:keepLines w:val="0"/>
              <w:widowControl w:val="0"/>
              <w:suppressLineNumbers w:val="0"/>
              <w:spacing w:before="0" w:beforeAutospacing="0" w:after="0" w:afterAutospacing="0"/>
              <w:ind w:left="0" w:right="0"/>
              <w:jc w:val="center"/>
              <w:rPr>
                <w:rFonts w:eastAsia="宋体"/>
                <w:bCs/>
                <w:kern w:val="2"/>
                <w:sz w:val="21"/>
                <w:szCs w:val="21"/>
                <w:lang w:eastAsia="zh-CN"/>
              </w:rPr>
            </w:pPr>
            <w:r>
              <w:rPr>
                <w:rFonts w:hint="eastAsia" w:eastAsia="宋体"/>
                <w:bCs/>
                <w:kern w:val="2"/>
                <w:sz w:val="21"/>
                <w:szCs w:val="21"/>
                <w:lang w:eastAsia="zh-CN"/>
              </w:rPr>
              <w:t>数量</w:t>
            </w:r>
          </w:p>
        </w:tc>
        <w:tc>
          <w:tcPr>
            <w:tcW w:w="728" w:type="dxa"/>
            <w:vAlign w:val="center"/>
          </w:tcPr>
          <w:p w14:paraId="667D3824">
            <w:pPr>
              <w:keepNext w:val="0"/>
              <w:keepLines w:val="0"/>
              <w:widowControl w:val="0"/>
              <w:suppressLineNumbers w:val="0"/>
              <w:spacing w:before="0" w:beforeAutospacing="0" w:after="0" w:afterAutospacing="0"/>
              <w:ind w:left="0" w:right="0"/>
              <w:jc w:val="center"/>
              <w:rPr>
                <w:rFonts w:eastAsia="宋体"/>
                <w:bCs/>
                <w:kern w:val="2"/>
                <w:sz w:val="21"/>
                <w:szCs w:val="21"/>
                <w:lang w:eastAsia="zh-CN"/>
              </w:rPr>
            </w:pPr>
            <w:r>
              <w:rPr>
                <w:rFonts w:hint="eastAsia" w:eastAsia="宋体"/>
                <w:bCs/>
                <w:kern w:val="2"/>
                <w:sz w:val="21"/>
                <w:szCs w:val="21"/>
                <w:lang w:eastAsia="zh-CN"/>
              </w:rPr>
              <w:t>单位</w:t>
            </w:r>
          </w:p>
        </w:tc>
        <w:tc>
          <w:tcPr>
            <w:tcW w:w="1950" w:type="dxa"/>
            <w:vAlign w:val="center"/>
          </w:tcPr>
          <w:p w14:paraId="33BA34B9">
            <w:pPr>
              <w:keepNext w:val="0"/>
              <w:keepLines w:val="0"/>
              <w:widowControl w:val="0"/>
              <w:suppressLineNumbers w:val="0"/>
              <w:spacing w:before="0" w:beforeAutospacing="0" w:after="0" w:afterAutospacing="0"/>
              <w:ind w:left="0" w:right="0"/>
              <w:jc w:val="center"/>
              <w:rPr>
                <w:rFonts w:eastAsia="宋体"/>
                <w:b/>
                <w:color w:val="FF0000"/>
                <w:kern w:val="2"/>
                <w:sz w:val="21"/>
                <w:szCs w:val="21"/>
                <w:lang w:eastAsia="zh-CN"/>
              </w:rPr>
            </w:pPr>
            <w:r>
              <w:rPr>
                <w:rFonts w:hint="eastAsia" w:eastAsia="宋体" w:cs="宋体"/>
                <w:b/>
                <w:color w:val="FF0000"/>
                <w:kern w:val="2"/>
                <w:sz w:val="21"/>
                <w:szCs w:val="21"/>
                <w:lang w:eastAsia="zh-CN"/>
              </w:rPr>
              <w:t>标的所属行业</w:t>
            </w:r>
          </w:p>
        </w:tc>
      </w:tr>
      <w:tr w14:paraId="74711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776" w:type="dxa"/>
            <w:vAlign w:val="center"/>
          </w:tcPr>
          <w:p w14:paraId="6B831049">
            <w:pPr>
              <w:keepNext w:val="0"/>
              <w:keepLines w:val="0"/>
              <w:widowControl w:val="0"/>
              <w:suppressLineNumbers w:val="0"/>
              <w:spacing w:before="0" w:beforeAutospacing="0" w:after="0" w:afterAutospacing="0"/>
              <w:ind w:left="0" w:right="0"/>
              <w:jc w:val="center"/>
              <w:rPr>
                <w:rFonts w:eastAsia="宋体"/>
                <w:bCs/>
                <w:kern w:val="2"/>
                <w:sz w:val="21"/>
                <w:szCs w:val="21"/>
                <w:lang w:eastAsia="zh-CN"/>
              </w:rPr>
            </w:pPr>
            <w:r>
              <w:rPr>
                <w:rFonts w:hint="eastAsia" w:eastAsia="宋体"/>
                <w:bCs/>
                <w:kern w:val="2"/>
                <w:sz w:val="21"/>
                <w:szCs w:val="21"/>
                <w:lang w:eastAsia="zh-CN"/>
              </w:rPr>
              <w:t>1</w:t>
            </w:r>
          </w:p>
        </w:tc>
        <w:tc>
          <w:tcPr>
            <w:tcW w:w="4888" w:type="dxa"/>
            <w:vAlign w:val="center"/>
          </w:tcPr>
          <w:p w14:paraId="4E6A7940">
            <w:pPr>
              <w:keepNext w:val="0"/>
              <w:keepLines w:val="0"/>
              <w:widowControl w:val="0"/>
              <w:suppressLineNumbers w:val="0"/>
              <w:spacing w:before="0" w:beforeAutospacing="0" w:after="0" w:afterAutospacing="0"/>
              <w:ind w:left="0" w:right="0"/>
              <w:jc w:val="center"/>
              <w:rPr>
                <w:rFonts w:eastAsia="宋体"/>
                <w:bCs/>
                <w:kern w:val="2"/>
                <w:sz w:val="21"/>
                <w:szCs w:val="21"/>
                <w:lang w:eastAsia="zh-CN"/>
              </w:rPr>
            </w:pPr>
            <w:r>
              <w:rPr>
                <w:rFonts w:eastAsia="宋体"/>
                <w:bCs/>
                <w:kern w:val="2"/>
                <w:sz w:val="21"/>
                <w:szCs w:val="21"/>
                <w:lang w:eastAsia="zh-CN"/>
              </w:rPr>
              <w:t>综合楼及园区公共部分气体消防设备检测维护项目</w:t>
            </w:r>
          </w:p>
        </w:tc>
        <w:tc>
          <w:tcPr>
            <w:tcW w:w="686" w:type="dxa"/>
            <w:vAlign w:val="center"/>
          </w:tcPr>
          <w:p w14:paraId="36786D71">
            <w:pPr>
              <w:keepNext w:val="0"/>
              <w:keepLines w:val="0"/>
              <w:widowControl w:val="0"/>
              <w:suppressLineNumbers w:val="0"/>
              <w:spacing w:before="0" w:beforeAutospacing="0" w:after="0" w:afterAutospacing="0"/>
              <w:ind w:left="0" w:right="0"/>
              <w:jc w:val="center"/>
              <w:rPr>
                <w:rFonts w:hint="eastAsia" w:eastAsia="宋体"/>
                <w:bCs/>
                <w:kern w:val="2"/>
                <w:sz w:val="21"/>
                <w:szCs w:val="21"/>
                <w:lang w:eastAsia="zh-CN"/>
              </w:rPr>
            </w:pPr>
            <w:r>
              <w:rPr>
                <w:rFonts w:hint="eastAsia" w:eastAsia="宋体"/>
                <w:bCs/>
                <w:kern w:val="2"/>
                <w:sz w:val="21"/>
                <w:szCs w:val="21"/>
                <w:lang w:eastAsia="zh-CN"/>
              </w:rPr>
              <w:t>1</w:t>
            </w:r>
          </w:p>
        </w:tc>
        <w:tc>
          <w:tcPr>
            <w:tcW w:w="728" w:type="dxa"/>
            <w:vAlign w:val="center"/>
          </w:tcPr>
          <w:p w14:paraId="7EA356E5">
            <w:pPr>
              <w:keepNext w:val="0"/>
              <w:keepLines w:val="0"/>
              <w:widowControl w:val="0"/>
              <w:suppressLineNumbers w:val="0"/>
              <w:spacing w:before="0" w:beforeAutospacing="0" w:after="0" w:afterAutospacing="0"/>
              <w:ind w:left="0" w:right="0"/>
              <w:jc w:val="center"/>
              <w:rPr>
                <w:rFonts w:eastAsia="宋体"/>
                <w:bCs/>
                <w:kern w:val="2"/>
                <w:sz w:val="21"/>
                <w:szCs w:val="21"/>
                <w:lang w:eastAsia="zh-CN"/>
              </w:rPr>
            </w:pPr>
            <w:r>
              <w:rPr>
                <w:rFonts w:hint="eastAsia" w:eastAsia="宋体"/>
                <w:bCs/>
                <w:kern w:val="2"/>
                <w:sz w:val="21"/>
                <w:szCs w:val="21"/>
                <w:lang w:eastAsia="zh-CN"/>
              </w:rPr>
              <w:t>项</w:t>
            </w:r>
          </w:p>
        </w:tc>
        <w:tc>
          <w:tcPr>
            <w:tcW w:w="1950" w:type="dxa"/>
            <w:vAlign w:val="center"/>
          </w:tcPr>
          <w:p w14:paraId="08C318B6">
            <w:pPr>
              <w:keepNext w:val="0"/>
              <w:keepLines w:val="0"/>
              <w:widowControl w:val="0"/>
              <w:suppressLineNumbers w:val="0"/>
              <w:spacing w:before="0" w:beforeAutospacing="0" w:after="0" w:afterAutospacing="0"/>
              <w:ind w:left="0" w:right="0"/>
              <w:jc w:val="center"/>
              <w:rPr>
                <w:rFonts w:eastAsia="宋体"/>
                <w:b/>
                <w:color w:val="FF0000"/>
                <w:kern w:val="2"/>
                <w:sz w:val="21"/>
                <w:szCs w:val="21"/>
                <w:lang w:eastAsia="zh-CN"/>
              </w:rPr>
            </w:pPr>
            <w:r>
              <w:rPr>
                <w:rFonts w:hint="eastAsia" w:eastAsia="宋体"/>
                <w:b/>
                <w:color w:val="FF0000"/>
                <w:kern w:val="2"/>
                <w:sz w:val="21"/>
                <w:szCs w:val="21"/>
                <w:lang w:eastAsia="zh-CN"/>
              </w:rPr>
              <w:t>建筑业</w:t>
            </w:r>
          </w:p>
        </w:tc>
      </w:tr>
    </w:tbl>
    <w:p w14:paraId="05219F47">
      <w:pPr>
        <w:widowControl w:val="0"/>
        <w:jc w:val="both"/>
        <w:rPr>
          <w:rFonts w:ascii="宋体" w:hAnsi="宋体" w:eastAsia="宋体"/>
          <w:b/>
          <w:color w:val="FF0000"/>
          <w:kern w:val="2"/>
          <w:sz w:val="21"/>
          <w:szCs w:val="21"/>
          <w:lang w:eastAsia="zh-CN"/>
        </w:rPr>
      </w:pPr>
    </w:p>
    <w:p w14:paraId="2DE77749">
      <w:pPr>
        <w:keepNext/>
        <w:keepLines/>
        <w:widowControl w:val="0"/>
        <w:adjustRightInd w:val="0"/>
        <w:spacing w:before="156" w:beforeLines="50" w:after="156" w:afterLines="50" w:line="240" w:lineRule="auto"/>
        <w:jc w:val="center"/>
        <w:textAlignment w:val="baseline"/>
        <w:outlineLvl w:val="1"/>
        <w:rPr>
          <w:rFonts w:ascii="宋体" w:hAnsi="宋体" w:eastAsia="宋体"/>
          <w:b/>
          <w:bCs/>
          <w:lang w:eastAsia="zh-CN"/>
        </w:rPr>
      </w:pPr>
      <w:r>
        <w:rPr>
          <w:rFonts w:hint="eastAsia" w:ascii="宋体" w:hAnsi="宋体" w:eastAsia="宋体"/>
          <w:b/>
          <w:bCs/>
          <w:lang w:eastAsia="zh-CN"/>
        </w:rPr>
        <w:t>四、实质性条款</w:t>
      </w:r>
    </w:p>
    <w:tbl>
      <w:tblPr>
        <w:tblStyle w:val="13"/>
        <w:tblW w:w="5000" w:type="pct"/>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8269"/>
      </w:tblGrid>
      <w:tr w14:paraId="2D866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1A5AC652">
            <w:pPr>
              <w:keepNext w:val="0"/>
              <w:keepLines w:val="0"/>
              <w:widowControl w:val="0"/>
              <w:suppressLineNumbers w:val="0"/>
              <w:adjustRightInd w:val="0"/>
              <w:snapToGrid w:val="0"/>
              <w:spacing w:before="0" w:beforeAutospacing="0" w:after="0" w:afterAutospacing="0" w:line="360" w:lineRule="auto"/>
              <w:ind w:left="0" w:right="0"/>
              <w:jc w:val="center"/>
              <w:rPr>
                <w:rFonts w:ascii="宋体" w:hAnsi="宋体" w:eastAsia="宋体"/>
                <w:sz w:val="21"/>
                <w:szCs w:val="21"/>
                <w:lang w:eastAsia="zh-CN"/>
              </w:rPr>
            </w:pPr>
            <w:r>
              <w:rPr>
                <w:rFonts w:hint="eastAsia" w:ascii="宋体" w:hAnsi="宋体" w:eastAsia="宋体"/>
                <w:sz w:val="21"/>
                <w:szCs w:val="21"/>
                <w:lang w:eastAsia="zh-CN"/>
              </w:rPr>
              <w:t>序号</w:t>
            </w:r>
          </w:p>
        </w:tc>
        <w:tc>
          <w:tcPr>
            <w:tcW w:w="8272" w:type="dxa"/>
            <w:vAlign w:val="center"/>
          </w:tcPr>
          <w:p w14:paraId="052B1861">
            <w:pPr>
              <w:keepNext w:val="0"/>
              <w:keepLines w:val="0"/>
              <w:widowControl w:val="0"/>
              <w:suppressLineNumbers w:val="0"/>
              <w:adjustRightInd w:val="0"/>
              <w:snapToGrid w:val="0"/>
              <w:spacing w:before="0" w:beforeAutospacing="0" w:after="0" w:afterAutospacing="0" w:line="360" w:lineRule="auto"/>
              <w:ind w:left="0" w:right="0"/>
              <w:jc w:val="center"/>
              <w:rPr>
                <w:rFonts w:ascii="宋体" w:hAnsi="宋体" w:eastAsia="宋体"/>
                <w:sz w:val="21"/>
                <w:szCs w:val="21"/>
                <w:lang w:eastAsia="zh-CN"/>
              </w:rPr>
            </w:pPr>
            <w:r>
              <w:rPr>
                <w:rFonts w:hint="eastAsia" w:ascii="宋体" w:hAnsi="宋体" w:eastAsia="宋体"/>
                <w:kern w:val="2"/>
                <w:sz w:val="21"/>
                <w:szCs w:val="21"/>
                <w:lang w:eastAsia="zh-CN" w:bidi="ar"/>
              </w:rPr>
              <w:t>实质性条款具体内容</w:t>
            </w:r>
          </w:p>
        </w:tc>
      </w:tr>
      <w:tr w14:paraId="65D61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3631D71F">
            <w:pPr>
              <w:keepNext w:val="0"/>
              <w:keepLines w:val="0"/>
              <w:widowControl w:val="0"/>
              <w:suppressLineNumbers w:val="0"/>
              <w:adjustRightInd w:val="0"/>
              <w:snapToGrid w:val="0"/>
              <w:spacing w:before="0" w:beforeAutospacing="0" w:after="0" w:afterAutospacing="0" w:line="360" w:lineRule="auto"/>
              <w:ind w:left="0" w:right="0"/>
              <w:jc w:val="center"/>
              <w:rPr>
                <w:rFonts w:ascii="宋体" w:hAnsi="宋体" w:eastAsia="宋体"/>
                <w:sz w:val="21"/>
                <w:szCs w:val="21"/>
                <w:lang w:eastAsia="zh-CN"/>
              </w:rPr>
            </w:pPr>
            <w:r>
              <w:rPr>
                <w:rFonts w:hint="eastAsia" w:ascii="宋体" w:hAnsi="宋体" w:eastAsia="宋体"/>
                <w:sz w:val="21"/>
                <w:szCs w:val="21"/>
                <w:lang w:eastAsia="zh-CN"/>
              </w:rPr>
              <w:t>1</w:t>
            </w:r>
          </w:p>
        </w:tc>
        <w:tc>
          <w:tcPr>
            <w:tcW w:w="8272" w:type="dxa"/>
            <w:vAlign w:val="top"/>
          </w:tcPr>
          <w:p w14:paraId="05CFD111">
            <w:pPr>
              <w:keepNext w:val="0"/>
              <w:keepLines w:val="0"/>
              <w:widowControl w:val="0"/>
              <w:suppressLineNumbers w:val="0"/>
              <w:spacing w:before="0" w:beforeAutospacing="0" w:after="0" w:afterAutospacing="0"/>
              <w:ind w:left="0" w:right="0"/>
              <w:jc w:val="both"/>
              <w:rPr>
                <w:rFonts w:hint="eastAsia" w:ascii="宋体" w:hAnsi="宋体" w:eastAsia="宋体" w:cs="宋体"/>
                <w:sz w:val="21"/>
                <w:szCs w:val="21"/>
                <w:lang w:eastAsia="zh-CN"/>
              </w:rPr>
            </w:pPr>
            <w:r>
              <w:rPr>
                <w:rFonts w:hint="eastAsia" w:ascii="宋体" w:hAnsi="宋体" w:eastAsia="宋体" w:cs="宋体"/>
                <w:kern w:val="2"/>
                <w:sz w:val="21"/>
                <w:lang w:eastAsia="zh-CN"/>
              </w:rPr>
              <w:t>满足本项目标★的条款要求。</w:t>
            </w:r>
          </w:p>
        </w:tc>
      </w:tr>
      <w:tr w14:paraId="0A38B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2618F749">
            <w:pPr>
              <w:keepNext w:val="0"/>
              <w:keepLines w:val="0"/>
              <w:widowControl w:val="0"/>
              <w:suppressLineNumbers w:val="0"/>
              <w:adjustRightInd w:val="0"/>
              <w:snapToGrid w:val="0"/>
              <w:spacing w:before="0" w:beforeAutospacing="0" w:after="0" w:afterAutospacing="0" w:line="360" w:lineRule="auto"/>
              <w:ind w:left="0" w:right="0"/>
              <w:jc w:val="center"/>
              <w:rPr>
                <w:rFonts w:ascii="宋体" w:hAnsi="宋体" w:eastAsia="宋体" w:cs="宋体"/>
                <w:b/>
                <w:bCs/>
                <w:color w:val="FF0000"/>
                <w:sz w:val="21"/>
                <w:szCs w:val="21"/>
                <w:lang w:eastAsia="zh-CN" w:bidi="ar"/>
              </w:rPr>
            </w:pPr>
            <w:r>
              <w:rPr>
                <w:rFonts w:hint="eastAsia" w:ascii="宋体" w:hAnsi="宋体" w:eastAsia="宋体" w:cs="宋体"/>
                <w:b/>
                <w:bCs/>
                <w:color w:val="FF0000"/>
                <w:sz w:val="21"/>
                <w:szCs w:val="21"/>
                <w:lang w:eastAsia="zh-CN" w:bidi="ar"/>
              </w:rPr>
              <w:t>1.1</w:t>
            </w:r>
          </w:p>
        </w:tc>
        <w:tc>
          <w:tcPr>
            <w:tcW w:w="8272" w:type="dxa"/>
            <w:vAlign w:val="top"/>
          </w:tcPr>
          <w:p w14:paraId="0EB62528">
            <w:pPr>
              <w:keepNext w:val="0"/>
              <w:keepLines w:val="0"/>
              <w:widowControl w:val="0"/>
              <w:suppressLineNumbers w:val="0"/>
              <w:spacing w:before="0" w:beforeAutospacing="0" w:after="0" w:afterAutospacing="0"/>
              <w:ind w:left="0" w:right="0"/>
              <w:jc w:val="both"/>
              <w:rPr>
                <w:rFonts w:hint="eastAsia" w:ascii="宋体" w:hAnsi="宋体" w:eastAsia="宋体" w:cs="宋体"/>
                <w:b/>
                <w:bCs/>
                <w:color w:val="FF0000"/>
                <w:kern w:val="2"/>
                <w:sz w:val="21"/>
                <w:lang w:eastAsia="zh-CN"/>
              </w:rPr>
            </w:pPr>
            <w:r>
              <w:rPr>
                <w:rFonts w:hint="eastAsia" w:ascii="宋体" w:hAnsi="宋体" w:eastAsia="宋体" w:cs="宋体"/>
                <w:b/>
                <w:bCs/>
                <w:color w:val="FF0000"/>
                <w:kern w:val="2"/>
                <w:sz w:val="21"/>
                <w:lang w:eastAsia="zh-CN"/>
              </w:rPr>
              <w:t>★</w:t>
            </w:r>
            <w:r>
              <w:rPr>
                <w:rFonts w:hint="eastAsia" w:ascii="宋体" w:hAnsi="宋体" w:eastAsia="宋体"/>
                <w:b/>
                <w:bCs/>
                <w:color w:val="FF0000"/>
                <w:sz w:val="21"/>
                <w:szCs w:val="21"/>
                <w:lang w:eastAsia="zh-CN"/>
              </w:rPr>
              <w:t>供应商负责在检测完成后，对氮气和七氟丙烷进行全新气体充装，充装重量、压力应符合系统要求。</w:t>
            </w:r>
          </w:p>
        </w:tc>
      </w:tr>
      <w:tr w14:paraId="4D91E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6F3BD5D3">
            <w:pPr>
              <w:keepNext w:val="0"/>
              <w:keepLines w:val="0"/>
              <w:widowControl w:val="0"/>
              <w:suppressLineNumbers w:val="0"/>
              <w:adjustRightInd w:val="0"/>
              <w:snapToGrid w:val="0"/>
              <w:spacing w:before="0" w:beforeAutospacing="0" w:after="0" w:afterAutospacing="0" w:line="360" w:lineRule="auto"/>
              <w:ind w:left="0" w:right="0"/>
              <w:jc w:val="center"/>
              <w:rPr>
                <w:rFonts w:ascii="宋体" w:hAnsi="宋体" w:eastAsia="宋体"/>
                <w:b/>
                <w:bCs/>
                <w:color w:val="FF0000"/>
                <w:sz w:val="21"/>
                <w:szCs w:val="21"/>
                <w:lang w:eastAsia="zh-CN"/>
              </w:rPr>
            </w:pPr>
            <w:r>
              <w:rPr>
                <w:rFonts w:hint="eastAsia" w:ascii="宋体" w:hAnsi="宋体" w:eastAsia="宋体" w:cs="宋体"/>
                <w:b/>
                <w:bCs/>
                <w:color w:val="FF0000"/>
                <w:sz w:val="21"/>
                <w:szCs w:val="21"/>
                <w:lang w:eastAsia="zh-CN" w:bidi="ar"/>
              </w:rPr>
              <w:t>1.2</w:t>
            </w:r>
          </w:p>
        </w:tc>
        <w:tc>
          <w:tcPr>
            <w:tcW w:w="8272" w:type="dxa"/>
            <w:vAlign w:val="top"/>
          </w:tcPr>
          <w:p w14:paraId="309C7547">
            <w:pPr>
              <w:keepNext w:val="0"/>
              <w:keepLines w:val="0"/>
              <w:widowControl w:val="0"/>
              <w:suppressLineNumbers w:val="0"/>
              <w:spacing w:before="0" w:beforeAutospacing="0" w:after="0" w:afterAutospacing="0"/>
              <w:ind w:left="0" w:right="0"/>
              <w:jc w:val="both"/>
              <w:rPr>
                <w:rFonts w:hint="eastAsia" w:ascii="宋体" w:hAnsi="宋体" w:eastAsia="宋体" w:cs="宋体"/>
                <w:b/>
                <w:bCs/>
                <w:color w:val="FF0000"/>
                <w:kern w:val="2"/>
                <w:sz w:val="21"/>
                <w:szCs w:val="21"/>
                <w:lang w:eastAsia="zh-CN" w:bidi="ar"/>
              </w:rPr>
            </w:pPr>
            <w:r>
              <w:rPr>
                <w:rFonts w:hint="eastAsia" w:ascii="宋体" w:hAnsi="宋体" w:eastAsia="宋体" w:cs="宋体"/>
                <w:b/>
                <w:bCs/>
                <w:color w:val="FF0000"/>
                <w:kern w:val="2"/>
                <w:sz w:val="21"/>
                <w:lang w:eastAsia="zh-CN"/>
              </w:rPr>
              <w:t>★</w:t>
            </w:r>
            <w:r>
              <w:rPr>
                <w:rFonts w:hint="eastAsia" w:ascii="宋体" w:hAnsi="宋体" w:eastAsia="宋体"/>
                <w:b/>
                <w:bCs/>
                <w:color w:val="FF0000"/>
                <w:sz w:val="21"/>
                <w:szCs w:val="21"/>
                <w:lang w:eastAsia="zh-CN"/>
              </w:rPr>
              <w:t>供应商承诺因设备系统的安装质量和设备本身质量造成的安全损失（含人身安全、采购方的设备运行安全），由供应商承担。供应商须出具承诺函（格式自拟）。</w:t>
            </w:r>
          </w:p>
        </w:tc>
      </w:tr>
      <w:tr w14:paraId="73DE3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Align w:val="center"/>
          </w:tcPr>
          <w:p w14:paraId="3713C5C5">
            <w:pPr>
              <w:keepNext w:val="0"/>
              <w:keepLines w:val="0"/>
              <w:widowControl w:val="0"/>
              <w:suppressLineNumbers w:val="0"/>
              <w:adjustRightInd w:val="0"/>
              <w:snapToGrid w:val="0"/>
              <w:spacing w:before="0" w:beforeAutospacing="0" w:after="0" w:afterAutospacing="0" w:line="360" w:lineRule="auto"/>
              <w:ind w:left="0" w:right="0"/>
              <w:jc w:val="center"/>
              <w:rPr>
                <w:rFonts w:ascii="宋体" w:hAnsi="宋体" w:eastAsia="宋体" w:cs="宋体"/>
                <w:b/>
                <w:bCs/>
                <w:color w:val="FF0000"/>
                <w:sz w:val="21"/>
                <w:szCs w:val="21"/>
                <w:lang w:eastAsia="zh-CN" w:bidi="ar"/>
              </w:rPr>
            </w:pPr>
            <w:r>
              <w:rPr>
                <w:rFonts w:hint="eastAsia" w:ascii="宋体" w:hAnsi="宋体" w:eastAsia="宋体" w:cs="宋体"/>
                <w:b/>
                <w:bCs/>
                <w:color w:val="FF0000"/>
                <w:sz w:val="21"/>
                <w:szCs w:val="21"/>
                <w:lang w:eastAsia="zh-CN" w:bidi="ar"/>
              </w:rPr>
              <w:t>1.3</w:t>
            </w:r>
          </w:p>
        </w:tc>
        <w:tc>
          <w:tcPr>
            <w:tcW w:w="8272" w:type="dxa"/>
            <w:vAlign w:val="center"/>
          </w:tcPr>
          <w:p w14:paraId="5EECE55A">
            <w:pPr>
              <w:keepNext w:val="0"/>
              <w:keepLines w:val="0"/>
              <w:widowControl w:val="0"/>
              <w:suppressLineNumbers w:val="0"/>
              <w:spacing w:before="0" w:beforeAutospacing="0" w:after="0" w:afterAutospacing="0"/>
              <w:ind w:left="0" w:right="0"/>
              <w:jc w:val="both"/>
              <w:rPr>
                <w:rFonts w:hint="eastAsia" w:ascii="宋体" w:hAnsi="宋体" w:eastAsia="宋体" w:cs="宋体"/>
                <w:b/>
                <w:bCs/>
                <w:color w:val="FF0000"/>
                <w:kern w:val="2"/>
                <w:sz w:val="21"/>
                <w:lang w:eastAsia="zh-CN"/>
              </w:rPr>
            </w:pPr>
            <w:r>
              <w:rPr>
                <w:rFonts w:hint="eastAsia" w:ascii="宋体" w:hAnsi="宋体" w:eastAsia="宋体" w:cs="宋体"/>
                <w:b/>
                <w:bCs/>
                <w:color w:val="FF0000"/>
                <w:kern w:val="2"/>
                <w:sz w:val="21"/>
                <w:lang w:eastAsia="zh-CN"/>
              </w:rPr>
              <w:t>★</w:t>
            </w:r>
            <w:r>
              <w:rPr>
                <w:rFonts w:ascii="宋体" w:hAnsi="宋体" w:eastAsia="宋体"/>
                <w:b/>
                <w:bCs/>
                <w:color w:val="FF0000"/>
                <w:sz w:val="21"/>
                <w:szCs w:val="21"/>
                <w:lang w:eastAsia="zh-CN"/>
              </w:rPr>
              <w:t>签</w:t>
            </w:r>
            <w:r>
              <w:rPr>
                <w:rFonts w:hint="eastAsia" w:ascii="宋体" w:hAnsi="宋体" w:eastAsia="宋体" w:cs="宋体"/>
                <w:b/>
                <w:bCs/>
                <w:color w:val="FF0000"/>
                <w:sz w:val="21"/>
                <w:szCs w:val="21"/>
                <w:lang w:eastAsia="zh-CN"/>
              </w:rPr>
              <w:t>订合同后30个自然日完成检测工作。</w:t>
            </w:r>
          </w:p>
        </w:tc>
      </w:tr>
      <w:bookmarkEnd w:id="31"/>
    </w:tbl>
    <w:p w14:paraId="1383C8D9">
      <w:pPr>
        <w:widowControl w:val="0"/>
        <w:jc w:val="both"/>
        <w:rPr>
          <w:rFonts w:ascii="宋体" w:eastAsia="宋体"/>
          <w:b/>
          <w:szCs w:val="20"/>
          <w:lang w:eastAsia="zh-CN"/>
        </w:rPr>
      </w:pPr>
      <w:r>
        <w:rPr>
          <w:rFonts w:ascii="宋体" w:eastAsia="宋体"/>
          <w:b/>
          <w:szCs w:val="20"/>
          <w:lang w:eastAsia="zh-CN"/>
        </w:rPr>
        <w:t>注：上表所列内容为不可负偏离条款，负偏离将视为未实质性满足</w:t>
      </w:r>
      <w:r>
        <w:rPr>
          <w:rFonts w:hint="eastAsia" w:ascii="宋体" w:eastAsia="宋体"/>
          <w:b/>
          <w:szCs w:val="20"/>
          <w:lang w:eastAsia="zh-CN"/>
        </w:rPr>
        <w:t>招标</w:t>
      </w:r>
      <w:r>
        <w:rPr>
          <w:rFonts w:ascii="宋体" w:eastAsia="宋体"/>
          <w:b/>
          <w:szCs w:val="20"/>
          <w:lang w:eastAsia="zh-CN"/>
        </w:rPr>
        <w:t>文件要求和条件作投标无效处理。</w:t>
      </w:r>
    </w:p>
    <w:p w14:paraId="2037B051">
      <w:pPr>
        <w:widowControl w:val="0"/>
        <w:spacing w:line="360" w:lineRule="auto"/>
        <w:jc w:val="both"/>
        <w:rPr>
          <w:rFonts w:eastAsia="宋体"/>
          <w:b/>
          <w:bCs/>
          <w:kern w:val="2"/>
          <w:lang w:eastAsia="zh-CN"/>
        </w:rPr>
      </w:pPr>
    </w:p>
    <w:p w14:paraId="49DFD9FA">
      <w:pPr>
        <w:keepNext/>
        <w:keepLines/>
        <w:widowControl/>
        <w:adjustRightInd w:val="0"/>
        <w:spacing w:before="156" w:beforeLines="50" w:after="156" w:afterLines="50" w:line="240" w:lineRule="auto"/>
        <w:jc w:val="center"/>
        <w:textAlignment w:val="baseline"/>
        <w:outlineLvl w:val="1"/>
        <w:rPr>
          <w:rFonts w:ascii="宋体" w:hAnsi="宋体" w:eastAsia="宋体"/>
          <w:b/>
          <w:bCs/>
          <w:szCs w:val="21"/>
          <w:lang w:eastAsia="zh-CN"/>
        </w:rPr>
      </w:pPr>
      <w:r>
        <w:rPr>
          <w:rFonts w:ascii="宋体" w:hAnsi="宋体" w:eastAsia="宋体"/>
          <w:b/>
          <w:bCs/>
          <w:lang w:eastAsia="zh-CN"/>
        </w:rPr>
        <w:t>五、技术要求</w:t>
      </w:r>
    </w:p>
    <w:p w14:paraId="7AFA1B16">
      <w:pPr>
        <w:widowControl/>
        <w:ind w:firstLine="420" w:firstLineChars="200"/>
        <w:jc w:val="left"/>
        <w:rPr>
          <w:rFonts w:ascii="宋体" w:hAnsi="宋体" w:eastAsia="宋体"/>
          <w:sz w:val="21"/>
          <w:szCs w:val="21"/>
          <w:lang w:eastAsia="zh-CN"/>
        </w:rPr>
      </w:pPr>
      <w:r>
        <w:rPr>
          <w:rFonts w:hint="eastAsia" w:ascii="宋体" w:hAnsi="宋体" w:eastAsia="宋体"/>
          <w:kern w:val="2"/>
          <w:sz w:val="21"/>
          <w:szCs w:val="21"/>
          <w:lang w:eastAsia="zh-CN"/>
        </w:rPr>
        <w:t>1.</w:t>
      </w:r>
      <w:r>
        <w:rPr>
          <w:rFonts w:hint="eastAsia" w:ascii="宋体" w:hAnsi="宋体" w:eastAsia="宋体"/>
          <w:sz w:val="21"/>
          <w:szCs w:val="21"/>
          <w:lang w:eastAsia="zh-CN"/>
        </w:rPr>
        <w:t>供应商负责对气瓶及附属配件进行拆卸、充装及往返运输。</w:t>
      </w:r>
    </w:p>
    <w:p w14:paraId="1560FC79">
      <w:pPr>
        <w:widowControl/>
        <w:ind w:firstLine="420" w:firstLineChars="200"/>
        <w:jc w:val="left"/>
        <w:rPr>
          <w:rFonts w:ascii="宋体" w:hAnsi="宋体" w:eastAsia="宋体"/>
          <w:sz w:val="21"/>
          <w:szCs w:val="21"/>
          <w:lang w:eastAsia="zh-CN"/>
        </w:rPr>
      </w:pPr>
      <w:r>
        <w:rPr>
          <w:rFonts w:hint="eastAsia" w:ascii="宋体" w:hAnsi="宋体" w:eastAsia="宋体"/>
          <w:sz w:val="21"/>
          <w:szCs w:val="21"/>
          <w:lang w:eastAsia="zh-CN"/>
        </w:rPr>
        <w:t>2.供应商现场勘查、拆装气瓶应严格执行采购人装修施工的相关管理规定，服从采购人物业现场管理要求。</w:t>
      </w:r>
    </w:p>
    <w:p w14:paraId="03D1869A">
      <w:pPr>
        <w:widowControl/>
        <w:ind w:firstLine="420" w:firstLineChars="200"/>
        <w:jc w:val="left"/>
        <w:rPr>
          <w:rFonts w:ascii="宋体" w:hAnsi="宋体" w:eastAsia="宋体"/>
          <w:sz w:val="21"/>
          <w:szCs w:val="21"/>
          <w:lang w:eastAsia="zh-CN"/>
        </w:rPr>
      </w:pPr>
      <w:r>
        <w:rPr>
          <w:rFonts w:hint="eastAsia" w:ascii="宋体" w:hAnsi="宋体" w:eastAsia="宋体"/>
          <w:sz w:val="21"/>
          <w:szCs w:val="21"/>
          <w:lang w:eastAsia="zh-CN"/>
        </w:rPr>
        <w:t>3.供应商分批次对气瓶进行返厂检测，并与采购人消防维保单位充分配合，不得因检测工作引起消防系统误动作。供应商在对气瓶进行拆除前，须出具拆除计划并得到采购人许可，提供备用气瓶。</w:t>
      </w:r>
    </w:p>
    <w:p w14:paraId="69472D24">
      <w:pPr>
        <w:widowControl/>
        <w:ind w:firstLine="420" w:firstLineChars="200"/>
        <w:jc w:val="left"/>
        <w:rPr>
          <w:rFonts w:ascii="宋体" w:hAnsi="宋体" w:eastAsia="宋体"/>
          <w:sz w:val="21"/>
          <w:szCs w:val="21"/>
          <w:lang w:eastAsia="zh-CN"/>
        </w:rPr>
      </w:pPr>
      <w:r>
        <w:rPr>
          <w:rFonts w:hint="eastAsia" w:ascii="宋体" w:hAnsi="宋体" w:eastAsia="宋体"/>
          <w:sz w:val="21"/>
          <w:szCs w:val="21"/>
          <w:lang w:eastAsia="zh-CN"/>
        </w:rPr>
        <w:t>4.供应商须做好周边设施防护措施，经采购人同意后方可实施。对采购人设备、设施正常运行造成任何损坏的，供应商须承担相应赔偿或彻底修复。</w:t>
      </w:r>
    </w:p>
    <w:p w14:paraId="00908D34">
      <w:pPr>
        <w:widowControl/>
        <w:ind w:firstLine="420" w:firstLineChars="200"/>
        <w:jc w:val="left"/>
        <w:rPr>
          <w:rFonts w:ascii="宋体" w:hAnsi="宋体" w:eastAsia="宋体"/>
          <w:sz w:val="21"/>
          <w:szCs w:val="21"/>
          <w:lang w:eastAsia="zh-CN"/>
        </w:rPr>
      </w:pPr>
      <w:r>
        <w:rPr>
          <w:rFonts w:hint="eastAsia" w:ascii="宋体" w:hAnsi="宋体" w:eastAsia="宋体"/>
          <w:sz w:val="21"/>
          <w:szCs w:val="21"/>
          <w:lang w:eastAsia="zh-CN"/>
        </w:rPr>
        <w:t>5.供应商检测、安装工作不得影响采购人业务的正常运营，经与采购人协商后方可实施。</w:t>
      </w:r>
    </w:p>
    <w:p w14:paraId="5049C6BF">
      <w:pPr>
        <w:widowControl w:val="0"/>
        <w:ind w:firstLine="420" w:firstLineChars="200"/>
        <w:jc w:val="both"/>
        <w:rPr>
          <w:rFonts w:eastAsia="宋体"/>
          <w:kern w:val="2"/>
          <w:sz w:val="21"/>
          <w:szCs w:val="22"/>
          <w:lang w:eastAsia="zh-CN"/>
        </w:rPr>
      </w:pPr>
      <w:r>
        <w:rPr>
          <w:rFonts w:hint="eastAsia" w:ascii="宋体" w:hAnsi="宋体" w:eastAsia="宋体"/>
          <w:sz w:val="21"/>
          <w:szCs w:val="21"/>
          <w:lang w:eastAsia="zh-CN"/>
        </w:rPr>
        <w:t>6.供应商工作人员应采取安全防范措施，确保人身安全。采购人不承担任何由供应商引起的安全事故的责任。</w:t>
      </w:r>
    </w:p>
    <w:p w14:paraId="65CAD543">
      <w:pPr>
        <w:widowControl/>
        <w:ind w:firstLine="420" w:firstLineChars="200"/>
        <w:jc w:val="left"/>
        <w:rPr>
          <w:rFonts w:ascii="宋体" w:hAnsi="宋体" w:eastAsia="宋体"/>
          <w:sz w:val="21"/>
          <w:szCs w:val="21"/>
          <w:lang w:eastAsia="zh-CN"/>
        </w:rPr>
      </w:pPr>
      <w:r>
        <w:rPr>
          <w:rFonts w:hint="eastAsia" w:ascii="宋体" w:hAnsi="宋体" w:eastAsia="宋体"/>
          <w:sz w:val="21"/>
          <w:szCs w:val="21"/>
          <w:lang w:eastAsia="zh-CN"/>
        </w:rPr>
        <w:t>7.供应商负责</w:t>
      </w:r>
      <w:r>
        <w:rPr>
          <w:rFonts w:ascii="宋体" w:hAnsi="宋体" w:eastAsia="宋体"/>
          <w:sz w:val="21"/>
          <w:szCs w:val="21"/>
          <w:lang w:eastAsia="zh-CN"/>
        </w:rPr>
        <w:t>对气瓶、启动瓶头阀</w:t>
      </w:r>
      <w:r>
        <w:rPr>
          <w:rFonts w:hint="eastAsia" w:ascii="宋体" w:hAnsi="宋体" w:eastAsia="宋体"/>
          <w:sz w:val="21"/>
          <w:szCs w:val="21"/>
          <w:lang w:eastAsia="zh-CN"/>
        </w:rPr>
        <w:t>、安全阀、气控管路、金属软管</w:t>
      </w:r>
      <w:r>
        <w:rPr>
          <w:rFonts w:ascii="宋体" w:hAnsi="宋体" w:eastAsia="宋体"/>
          <w:sz w:val="21"/>
          <w:szCs w:val="21"/>
          <w:lang w:eastAsia="zh-CN"/>
        </w:rPr>
        <w:t>进行</w:t>
      </w:r>
      <w:r>
        <w:rPr>
          <w:rFonts w:hint="eastAsia" w:ascii="宋体" w:hAnsi="宋体" w:eastAsia="宋体"/>
          <w:sz w:val="21"/>
          <w:szCs w:val="21"/>
          <w:lang w:eastAsia="zh-CN"/>
        </w:rPr>
        <w:t>相应的试验，开启试验、气密性试验、强度试验等应符合《气瓶安全技术规程》、《钢质焊接气瓶定期检验与评定》的要求。</w:t>
      </w:r>
    </w:p>
    <w:p w14:paraId="0A42E2AF">
      <w:pPr>
        <w:widowControl/>
        <w:ind w:firstLine="420" w:firstLineChars="200"/>
        <w:jc w:val="left"/>
        <w:rPr>
          <w:rFonts w:ascii="宋体" w:hAnsi="宋体" w:eastAsia="宋体"/>
          <w:sz w:val="21"/>
          <w:szCs w:val="21"/>
          <w:lang w:eastAsia="zh-CN"/>
        </w:rPr>
      </w:pPr>
      <w:r>
        <w:rPr>
          <w:rFonts w:hint="eastAsia" w:ascii="宋体" w:hAnsi="宋体" w:eastAsia="宋体"/>
          <w:sz w:val="21"/>
          <w:szCs w:val="21"/>
          <w:lang w:eastAsia="zh-CN"/>
        </w:rPr>
        <w:t>8.供应商负责对电磁阀、安全阀、释放阀、金属软管、连接铜管、螺丝口、失重报警装置、信号线进行检查、清洁，并更换易损件、老化零部件，确保系统正常运行。</w:t>
      </w:r>
    </w:p>
    <w:p w14:paraId="443E76E0">
      <w:pPr>
        <w:widowControl/>
        <w:ind w:firstLine="420" w:firstLineChars="200"/>
        <w:jc w:val="left"/>
        <w:rPr>
          <w:rFonts w:ascii="宋体" w:hAnsi="宋体" w:eastAsia="宋体"/>
          <w:sz w:val="21"/>
          <w:szCs w:val="21"/>
          <w:lang w:eastAsia="zh-CN"/>
        </w:rPr>
      </w:pPr>
      <w:r>
        <w:rPr>
          <w:rFonts w:hint="eastAsia" w:eastAsia="宋体"/>
          <w:color w:val="FF0000"/>
          <w:kern w:val="2"/>
          <w:sz w:val="21"/>
          <w:lang w:eastAsia="zh-CN"/>
        </w:rPr>
        <w:t>★</w:t>
      </w:r>
      <w:r>
        <w:rPr>
          <w:rFonts w:hint="eastAsia" w:ascii="宋体" w:hAnsi="宋体" w:eastAsia="宋体"/>
          <w:b/>
          <w:bCs/>
          <w:color w:val="FF0000"/>
          <w:sz w:val="21"/>
          <w:szCs w:val="21"/>
          <w:lang w:eastAsia="zh-CN"/>
        </w:rPr>
        <w:t>9.供应商负责在检测完成后，对氮气和七氟丙烷进行全新气体充装，充装重量、压力应符合系统要求。</w:t>
      </w:r>
    </w:p>
    <w:p w14:paraId="33B9BFE4">
      <w:pPr>
        <w:widowControl/>
        <w:ind w:firstLine="420" w:firstLineChars="200"/>
        <w:jc w:val="left"/>
        <w:rPr>
          <w:rFonts w:ascii="宋体" w:hAnsi="宋体" w:eastAsia="宋体"/>
          <w:sz w:val="21"/>
          <w:szCs w:val="21"/>
          <w:lang w:eastAsia="zh-CN"/>
        </w:rPr>
      </w:pPr>
      <w:r>
        <w:rPr>
          <w:rFonts w:hint="eastAsia" w:ascii="宋体" w:hAnsi="宋体" w:eastAsia="宋体"/>
          <w:sz w:val="21"/>
          <w:szCs w:val="21"/>
          <w:lang w:eastAsia="zh-CN"/>
        </w:rPr>
        <w:t>10.供应商负责对气瓶进行外观检测，采取除锈、清洗、防腐和打油或重新喷漆的措施，全部检测合格后在瓶体上的明显部位打钢印并贴上合格证。</w:t>
      </w:r>
    </w:p>
    <w:p w14:paraId="6EC1D9BC">
      <w:pPr>
        <w:widowControl/>
        <w:ind w:firstLine="420" w:firstLineChars="200"/>
        <w:jc w:val="left"/>
        <w:rPr>
          <w:rFonts w:ascii="宋体" w:hAnsi="宋体" w:eastAsia="宋体"/>
          <w:sz w:val="21"/>
          <w:szCs w:val="21"/>
          <w:lang w:eastAsia="zh-CN"/>
        </w:rPr>
      </w:pPr>
      <w:r>
        <w:rPr>
          <w:rFonts w:hint="eastAsia" w:ascii="宋体" w:hAnsi="宋体" w:eastAsia="宋体"/>
          <w:sz w:val="21"/>
          <w:szCs w:val="21"/>
          <w:lang w:eastAsia="zh-CN"/>
        </w:rPr>
        <w:t>11.供应商负责检测范围内设备、附属件及管道的安装、整体测试和调试。</w:t>
      </w:r>
    </w:p>
    <w:p w14:paraId="7B89F12E">
      <w:pPr>
        <w:widowControl/>
        <w:ind w:firstLine="420" w:firstLineChars="200"/>
        <w:jc w:val="left"/>
        <w:rPr>
          <w:rFonts w:ascii="宋体" w:hAnsi="宋体" w:eastAsia="宋体"/>
          <w:sz w:val="21"/>
          <w:szCs w:val="21"/>
          <w:lang w:eastAsia="zh-CN"/>
        </w:rPr>
      </w:pPr>
      <w:r>
        <w:rPr>
          <w:rFonts w:hint="eastAsia" w:ascii="宋体" w:hAnsi="宋体" w:eastAsia="宋体"/>
          <w:sz w:val="21"/>
          <w:szCs w:val="21"/>
          <w:lang w:eastAsia="zh-CN"/>
        </w:rPr>
        <w:t>12.项目完成后提供检验报告。</w:t>
      </w:r>
    </w:p>
    <w:p w14:paraId="5C5FE32A">
      <w:pPr>
        <w:widowControl/>
        <w:ind w:firstLine="420" w:firstLineChars="200"/>
        <w:jc w:val="left"/>
        <w:rPr>
          <w:rFonts w:ascii="宋体" w:hAnsi="宋体" w:eastAsia="宋体"/>
          <w:sz w:val="21"/>
          <w:szCs w:val="21"/>
          <w:lang w:eastAsia="zh-CN"/>
        </w:rPr>
      </w:pPr>
      <w:r>
        <w:rPr>
          <w:rFonts w:hint="eastAsia" w:ascii="宋体" w:hAnsi="宋体" w:eastAsia="宋体"/>
          <w:sz w:val="21"/>
          <w:szCs w:val="21"/>
          <w:lang w:eastAsia="zh-CN"/>
        </w:rPr>
        <w:t>13.供应商应维持施工现场清洁、材料摆放有序，施工完毕须自行清理施工垃圾。</w:t>
      </w:r>
    </w:p>
    <w:p w14:paraId="29307FCF">
      <w:pPr>
        <w:widowControl w:val="0"/>
        <w:ind w:firstLine="420" w:firstLineChars="200"/>
        <w:jc w:val="both"/>
        <w:rPr>
          <w:rFonts w:ascii="宋体" w:hAnsi="宋体" w:eastAsia="宋体"/>
          <w:sz w:val="21"/>
          <w:szCs w:val="21"/>
          <w:lang w:eastAsia="zh-CN"/>
        </w:rPr>
      </w:pPr>
      <w:r>
        <w:rPr>
          <w:rFonts w:hint="eastAsia" w:ascii="宋体" w:hAnsi="宋体" w:eastAsia="宋体"/>
          <w:sz w:val="21"/>
          <w:szCs w:val="21"/>
          <w:lang w:eastAsia="zh-CN"/>
        </w:rPr>
        <w:t>14.供应商完成本项目过程中所形成的资料文件、数据（如有）在项目完成后，汇总交接给采购人。</w:t>
      </w:r>
    </w:p>
    <w:p w14:paraId="379C7C9F">
      <w:pPr>
        <w:widowControl/>
        <w:ind w:firstLine="420" w:firstLineChars="200"/>
        <w:jc w:val="left"/>
        <w:rPr>
          <w:rFonts w:hint="eastAsia" w:ascii="宋体" w:hAnsi="宋体" w:eastAsia="宋体"/>
          <w:b/>
          <w:bCs/>
          <w:color w:val="FF0000"/>
          <w:sz w:val="21"/>
          <w:szCs w:val="21"/>
          <w:lang w:eastAsia="zh-CN"/>
        </w:rPr>
      </w:pPr>
      <w:r>
        <w:rPr>
          <w:rFonts w:hint="eastAsia" w:eastAsia="宋体"/>
          <w:color w:val="FF0000"/>
          <w:kern w:val="2"/>
          <w:sz w:val="21"/>
          <w:lang w:eastAsia="zh-CN"/>
        </w:rPr>
        <w:t>★</w:t>
      </w:r>
      <w:r>
        <w:rPr>
          <w:rFonts w:hint="eastAsia" w:ascii="宋体" w:hAnsi="宋体" w:eastAsia="宋体"/>
          <w:b/>
          <w:bCs/>
          <w:color w:val="FF0000"/>
          <w:sz w:val="21"/>
          <w:szCs w:val="21"/>
          <w:lang w:eastAsia="zh-CN"/>
        </w:rPr>
        <w:t>15.供应商承诺因设备系统的安装质量和设备本身质量造成的安全损失（含人身安全、采购方的设备运行安全），由供应商承担。供应商须出具承诺函（格式自拟）。</w:t>
      </w:r>
    </w:p>
    <w:p w14:paraId="222FEE6B">
      <w:pPr>
        <w:widowControl w:val="0"/>
        <w:spacing w:line="360" w:lineRule="auto"/>
        <w:jc w:val="both"/>
        <w:rPr>
          <w:rFonts w:hint="eastAsia" w:eastAsia="宋体"/>
          <w:b/>
          <w:bCs/>
          <w:kern w:val="2"/>
          <w:lang w:eastAsia="zh-CN"/>
        </w:rPr>
      </w:pPr>
    </w:p>
    <w:tbl>
      <w:tblPr>
        <w:tblStyle w:val="13"/>
        <w:tblW w:w="5000" w:type="pct"/>
        <w:jc w:val="center"/>
        <w:tblLayout w:type="fixed"/>
        <w:tblCellMar>
          <w:top w:w="0" w:type="dxa"/>
          <w:left w:w="108" w:type="dxa"/>
          <w:bottom w:w="0" w:type="dxa"/>
          <w:right w:w="108" w:type="dxa"/>
        </w:tblCellMar>
      </w:tblPr>
      <w:tblGrid>
        <w:gridCol w:w="724"/>
        <w:gridCol w:w="1395"/>
        <w:gridCol w:w="1444"/>
        <w:gridCol w:w="784"/>
        <w:gridCol w:w="957"/>
        <w:gridCol w:w="801"/>
        <w:gridCol w:w="1356"/>
        <w:gridCol w:w="1303"/>
        <w:gridCol w:w="1807"/>
      </w:tblGrid>
      <w:tr w14:paraId="1C208860">
        <w:tblPrEx>
          <w:tblCellMar>
            <w:top w:w="0" w:type="dxa"/>
            <w:left w:w="108" w:type="dxa"/>
            <w:bottom w:w="0" w:type="dxa"/>
            <w:right w:w="108" w:type="dxa"/>
          </w:tblCellMar>
        </w:tblPrEx>
        <w:trPr>
          <w:trHeight w:val="658" w:hRule="atLeast"/>
          <w:jc w:val="center"/>
        </w:trPr>
        <w:tc>
          <w:tcPr>
            <w:tcW w:w="10572" w:type="dxa"/>
            <w:gridSpan w:val="9"/>
            <w:tcBorders>
              <w:top w:val="nil"/>
              <w:left w:val="nil"/>
              <w:bottom w:val="nil"/>
              <w:right w:val="nil"/>
            </w:tcBorders>
            <w:noWrap/>
            <w:vAlign w:val="center"/>
          </w:tcPr>
          <w:p w14:paraId="58A57EE9">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sz w:val="22"/>
                <w:szCs w:val="22"/>
                <w:lang w:eastAsia="zh-CN"/>
              </w:rPr>
            </w:pPr>
            <w:r>
              <w:rPr>
                <w:rFonts w:hint="eastAsia" w:ascii="宋体" w:hAnsi="宋体" w:eastAsia="宋体" w:cs="宋体"/>
                <w:b/>
                <w:bCs/>
                <w:color w:val="000000"/>
                <w:sz w:val="32"/>
                <w:szCs w:val="32"/>
                <w:lang w:eastAsia="zh-CN"/>
              </w:rPr>
              <w:t>项目待检测瓶/瓶组清单</w:t>
            </w:r>
          </w:p>
        </w:tc>
      </w:tr>
      <w:tr w14:paraId="51CAF70C">
        <w:tblPrEx>
          <w:tblCellMar>
            <w:top w:w="0" w:type="dxa"/>
            <w:left w:w="108" w:type="dxa"/>
            <w:bottom w:w="0" w:type="dxa"/>
            <w:right w:w="108" w:type="dxa"/>
          </w:tblCellMar>
        </w:tblPrEx>
        <w:trPr>
          <w:trHeight w:val="727" w:hRule="atLeast"/>
          <w:jc w:val="center"/>
        </w:trPr>
        <w:tc>
          <w:tcPr>
            <w:tcW w:w="704" w:type="dxa"/>
            <w:tcBorders>
              <w:top w:val="single" w:color="000000" w:sz="4" w:space="0"/>
              <w:left w:val="single" w:color="000000" w:sz="4" w:space="0"/>
              <w:bottom w:val="single" w:color="000000" w:sz="4" w:space="0"/>
              <w:right w:val="single" w:color="000000" w:sz="4" w:space="0"/>
            </w:tcBorders>
            <w:noWrap w:val="0"/>
            <w:vAlign w:val="center"/>
          </w:tcPr>
          <w:p w14:paraId="5EF1220B">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kern w:val="2"/>
                <w:sz w:val="22"/>
                <w:szCs w:val="22"/>
                <w:lang w:eastAsia="zh-CN"/>
              </w:rPr>
            </w:pPr>
            <w:r>
              <w:rPr>
                <w:rFonts w:hint="eastAsia" w:ascii="宋体" w:hAnsi="宋体" w:eastAsia="宋体" w:cs="宋体"/>
                <w:color w:val="000000"/>
                <w:sz w:val="22"/>
                <w:szCs w:val="22"/>
                <w:lang w:eastAsia="zh-CN"/>
              </w:rPr>
              <w:t>序号</w:t>
            </w:r>
          </w:p>
        </w:tc>
        <w:tc>
          <w:tcPr>
            <w:tcW w:w="1405" w:type="dxa"/>
            <w:tcBorders>
              <w:top w:val="single" w:color="000000" w:sz="4" w:space="0"/>
              <w:left w:val="single" w:color="000000" w:sz="4" w:space="0"/>
              <w:bottom w:val="single" w:color="000000" w:sz="4" w:space="0"/>
              <w:right w:val="single" w:color="000000" w:sz="4" w:space="0"/>
            </w:tcBorders>
            <w:noWrap w:val="0"/>
            <w:vAlign w:val="center"/>
          </w:tcPr>
          <w:p w14:paraId="448D8154">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kern w:val="2"/>
                <w:sz w:val="22"/>
                <w:szCs w:val="22"/>
                <w:lang w:eastAsia="zh-CN"/>
              </w:rPr>
            </w:pPr>
            <w:r>
              <w:rPr>
                <w:rFonts w:hint="eastAsia" w:ascii="宋体" w:hAnsi="宋体" w:eastAsia="宋体" w:cs="宋体"/>
                <w:color w:val="000000"/>
                <w:sz w:val="22"/>
                <w:szCs w:val="22"/>
                <w:lang w:eastAsia="zh-CN"/>
              </w:rPr>
              <w:t>设备名称</w:t>
            </w:r>
          </w:p>
        </w:tc>
        <w:tc>
          <w:tcPr>
            <w:tcW w:w="1456" w:type="dxa"/>
            <w:tcBorders>
              <w:top w:val="single" w:color="000000" w:sz="4" w:space="0"/>
              <w:left w:val="single" w:color="000000" w:sz="4" w:space="0"/>
              <w:bottom w:val="single" w:color="000000" w:sz="4" w:space="0"/>
              <w:right w:val="single" w:color="000000" w:sz="4" w:space="0"/>
            </w:tcBorders>
            <w:noWrap w:val="0"/>
            <w:vAlign w:val="center"/>
          </w:tcPr>
          <w:p w14:paraId="0D021818">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kern w:val="2"/>
                <w:sz w:val="22"/>
                <w:szCs w:val="22"/>
                <w:lang w:eastAsia="zh-CN"/>
              </w:rPr>
            </w:pPr>
            <w:r>
              <w:rPr>
                <w:rFonts w:hint="eastAsia" w:ascii="宋体" w:hAnsi="宋体" w:eastAsia="宋体" w:cs="宋体"/>
                <w:color w:val="000000"/>
                <w:sz w:val="22"/>
                <w:szCs w:val="22"/>
                <w:lang w:eastAsia="zh-CN"/>
              </w:rPr>
              <w:t>型号</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1444DD08">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kern w:val="2"/>
                <w:sz w:val="22"/>
                <w:szCs w:val="22"/>
                <w:lang w:eastAsia="zh-CN"/>
              </w:rPr>
            </w:pPr>
            <w:r>
              <w:rPr>
                <w:rFonts w:hint="eastAsia" w:ascii="宋体" w:hAnsi="宋体" w:eastAsia="宋体" w:cs="宋体"/>
                <w:color w:val="000000"/>
                <w:sz w:val="22"/>
                <w:szCs w:val="22"/>
                <w:lang w:eastAsia="zh-CN"/>
              </w:rPr>
              <w:t>充装量（kg）</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7918F303">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kern w:val="2"/>
                <w:sz w:val="22"/>
                <w:szCs w:val="22"/>
                <w:lang w:eastAsia="zh-CN"/>
              </w:rPr>
            </w:pPr>
            <w:r>
              <w:rPr>
                <w:rFonts w:hint="eastAsia" w:ascii="宋体" w:hAnsi="宋体" w:eastAsia="宋体" w:cs="宋体"/>
                <w:color w:val="000000"/>
                <w:sz w:val="22"/>
                <w:szCs w:val="22"/>
                <w:lang w:eastAsia="zh-CN"/>
              </w:rPr>
              <w:t>贮存压力（MPa)</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14:paraId="6F5B3E7D">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kern w:val="2"/>
                <w:sz w:val="22"/>
                <w:szCs w:val="22"/>
                <w:lang w:eastAsia="zh-CN"/>
              </w:rPr>
            </w:pPr>
            <w:r>
              <w:rPr>
                <w:rFonts w:hint="eastAsia" w:ascii="宋体" w:hAnsi="宋体" w:eastAsia="宋体" w:cs="宋体"/>
                <w:color w:val="000000"/>
                <w:sz w:val="22"/>
                <w:szCs w:val="22"/>
                <w:lang w:eastAsia="zh-CN"/>
              </w:rPr>
              <w:t>数量(瓶)</w:t>
            </w:r>
          </w:p>
        </w:tc>
        <w:tc>
          <w:tcPr>
            <w:tcW w:w="1364" w:type="dxa"/>
            <w:tcBorders>
              <w:top w:val="single" w:color="000000" w:sz="4" w:space="0"/>
              <w:left w:val="single" w:color="000000" w:sz="4" w:space="0"/>
              <w:bottom w:val="single" w:color="000000" w:sz="4" w:space="0"/>
              <w:right w:val="single" w:color="000000" w:sz="4" w:space="0"/>
            </w:tcBorders>
            <w:noWrap w:val="0"/>
            <w:vAlign w:val="center"/>
          </w:tcPr>
          <w:p w14:paraId="1EE2203D">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kern w:val="2"/>
                <w:sz w:val="22"/>
                <w:szCs w:val="22"/>
                <w:lang w:eastAsia="zh-CN"/>
              </w:rPr>
            </w:pPr>
            <w:r>
              <w:rPr>
                <w:rFonts w:hint="eastAsia" w:ascii="宋体" w:hAnsi="宋体" w:eastAsia="宋体" w:cs="宋体"/>
                <w:color w:val="000000"/>
                <w:sz w:val="22"/>
                <w:szCs w:val="22"/>
                <w:lang w:eastAsia="zh-CN"/>
              </w:rPr>
              <w:t>充装时间</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2F086E0B">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sz w:val="22"/>
                <w:szCs w:val="22"/>
                <w:lang w:eastAsia="zh-CN"/>
              </w:rPr>
            </w:pPr>
            <w:r>
              <w:rPr>
                <w:rFonts w:hint="eastAsia" w:ascii="宋体" w:hAnsi="宋体" w:eastAsia="宋体" w:cs="宋体"/>
                <w:color w:val="000000"/>
                <w:sz w:val="22"/>
                <w:szCs w:val="22"/>
                <w:lang w:eastAsia="zh-CN"/>
              </w:rPr>
              <w:t>钢瓶检测时间</w:t>
            </w:r>
          </w:p>
        </w:tc>
        <w:tc>
          <w:tcPr>
            <w:tcW w:w="1836" w:type="dxa"/>
            <w:tcBorders>
              <w:top w:val="single" w:color="000000" w:sz="4" w:space="0"/>
              <w:left w:val="single" w:color="000000" w:sz="4" w:space="0"/>
              <w:bottom w:val="single" w:color="000000" w:sz="4" w:space="0"/>
              <w:right w:val="single" w:color="000000" w:sz="4" w:space="0"/>
            </w:tcBorders>
            <w:noWrap w:val="0"/>
            <w:vAlign w:val="center"/>
          </w:tcPr>
          <w:p w14:paraId="362475B1">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sz w:val="22"/>
                <w:szCs w:val="22"/>
                <w:lang w:eastAsia="zh-CN"/>
              </w:rPr>
            </w:pPr>
            <w:r>
              <w:rPr>
                <w:rFonts w:hint="eastAsia" w:ascii="宋体" w:hAnsi="宋体" w:eastAsia="宋体" w:cs="宋体"/>
                <w:color w:val="000000"/>
                <w:sz w:val="22"/>
                <w:szCs w:val="22"/>
                <w:lang w:eastAsia="zh-CN"/>
              </w:rPr>
              <w:t>保护区域</w:t>
            </w:r>
          </w:p>
        </w:tc>
      </w:tr>
      <w:tr w14:paraId="5D16FD4F">
        <w:tblPrEx>
          <w:tblCellMar>
            <w:top w:w="0" w:type="dxa"/>
            <w:left w:w="108" w:type="dxa"/>
            <w:bottom w:w="0" w:type="dxa"/>
            <w:right w:w="108" w:type="dxa"/>
          </w:tblCellMar>
        </w:tblPrEx>
        <w:trPr>
          <w:trHeight w:val="632" w:hRule="atLeast"/>
          <w:jc w:val="center"/>
        </w:trPr>
        <w:tc>
          <w:tcPr>
            <w:tcW w:w="704" w:type="dxa"/>
            <w:tcBorders>
              <w:top w:val="single" w:color="000000" w:sz="4" w:space="0"/>
              <w:left w:val="single" w:color="000000" w:sz="4" w:space="0"/>
              <w:bottom w:val="single" w:color="000000" w:sz="4" w:space="0"/>
              <w:right w:val="single" w:color="000000" w:sz="4" w:space="0"/>
            </w:tcBorders>
            <w:noWrap/>
            <w:vAlign w:val="center"/>
          </w:tcPr>
          <w:p w14:paraId="7FF29569">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kern w:val="2"/>
                <w:sz w:val="22"/>
                <w:szCs w:val="22"/>
                <w:lang w:eastAsia="zh-CN"/>
              </w:rPr>
            </w:pPr>
            <w:r>
              <w:rPr>
                <w:rFonts w:hint="eastAsia" w:ascii="宋体" w:hAnsi="宋体" w:eastAsia="宋体" w:cs="宋体"/>
                <w:color w:val="000000"/>
                <w:sz w:val="22"/>
                <w:szCs w:val="22"/>
                <w:lang w:eastAsia="zh-CN"/>
              </w:rPr>
              <w:t>1</w:t>
            </w:r>
          </w:p>
        </w:tc>
        <w:tc>
          <w:tcPr>
            <w:tcW w:w="1405" w:type="dxa"/>
            <w:tcBorders>
              <w:top w:val="single" w:color="000000" w:sz="4" w:space="0"/>
              <w:left w:val="single" w:color="000000" w:sz="4" w:space="0"/>
              <w:bottom w:val="single" w:color="000000" w:sz="4" w:space="0"/>
              <w:right w:val="single" w:color="000000" w:sz="4" w:space="0"/>
            </w:tcBorders>
            <w:noWrap/>
            <w:vAlign w:val="center"/>
          </w:tcPr>
          <w:p w14:paraId="564D4A56">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kern w:val="2"/>
                <w:sz w:val="22"/>
                <w:szCs w:val="22"/>
                <w:lang w:eastAsia="zh-CN"/>
              </w:rPr>
            </w:pPr>
            <w:r>
              <w:rPr>
                <w:rFonts w:hint="eastAsia" w:ascii="宋体" w:hAnsi="宋体" w:eastAsia="宋体" w:cs="宋体"/>
                <w:color w:val="000000"/>
                <w:sz w:val="22"/>
                <w:szCs w:val="22"/>
                <w:lang w:eastAsia="zh-CN"/>
              </w:rPr>
              <w:t>灭火剂瓶</w:t>
            </w:r>
          </w:p>
        </w:tc>
        <w:tc>
          <w:tcPr>
            <w:tcW w:w="1456" w:type="dxa"/>
            <w:tcBorders>
              <w:top w:val="single" w:color="000000" w:sz="4" w:space="0"/>
              <w:left w:val="single" w:color="000000" w:sz="4" w:space="0"/>
              <w:bottom w:val="single" w:color="000000" w:sz="4" w:space="0"/>
              <w:right w:val="single" w:color="000000" w:sz="4" w:space="0"/>
            </w:tcBorders>
            <w:noWrap/>
            <w:vAlign w:val="center"/>
          </w:tcPr>
          <w:p w14:paraId="7637A8B3">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kern w:val="2"/>
                <w:sz w:val="22"/>
                <w:szCs w:val="22"/>
                <w:lang w:eastAsia="zh-CN"/>
              </w:rPr>
            </w:pPr>
            <w:r>
              <w:rPr>
                <w:rFonts w:hint="eastAsia" w:ascii="宋体" w:hAnsi="宋体" w:eastAsia="宋体" w:cs="宋体"/>
                <w:color w:val="000000"/>
                <w:kern w:val="2"/>
                <w:sz w:val="22"/>
                <w:szCs w:val="22"/>
                <w:lang w:eastAsia="zh-CN"/>
              </w:rPr>
              <w:t>QMP100/2.5</w:t>
            </w:r>
          </w:p>
        </w:tc>
        <w:tc>
          <w:tcPr>
            <w:tcW w:w="767" w:type="dxa"/>
            <w:tcBorders>
              <w:top w:val="single" w:color="000000" w:sz="4" w:space="0"/>
              <w:left w:val="single" w:color="000000" w:sz="4" w:space="0"/>
              <w:bottom w:val="single" w:color="000000" w:sz="4" w:space="0"/>
              <w:right w:val="single" w:color="000000" w:sz="4" w:space="0"/>
            </w:tcBorders>
            <w:noWrap/>
            <w:vAlign w:val="center"/>
          </w:tcPr>
          <w:p w14:paraId="136D1DA5">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kern w:val="2"/>
                <w:sz w:val="22"/>
                <w:szCs w:val="22"/>
                <w:lang w:eastAsia="zh-CN"/>
              </w:rPr>
            </w:pPr>
            <w:r>
              <w:rPr>
                <w:rFonts w:hint="eastAsia" w:ascii="宋体" w:hAnsi="宋体" w:eastAsia="宋体" w:cs="宋体"/>
                <w:color w:val="000000"/>
                <w:sz w:val="22"/>
                <w:szCs w:val="22"/>
                <w:lang w:eastAsia="zh-CN"/>
              </w:rPr>
              <w:t>103</w:t>
            </w:r>
          </w:p>
        </w:tc>
        <w:tc>
          <w:tcPr>
            <w:tcW w:w="947" w:type="dxa"/>
            <w:tcBorders>
              <w:top w:val="single" w:color="000000" w:sz="4" w:space="0"/>
              <w:left w:val="single" w:color="000000" w:sz="4" w:space="0"/>
              <w:bottom w:val="single" w:color="000000" w:sz="4" w:space="0"/>
              <w:right w:val="single" w:color="000000" w:sz="4" w:space="0"/>
            </w:tcBorders>
            <w:noWrap/>
            <w:vAlign w:val="center"/>
          </w:tcPr>
          <w:p w14:paraId="159099AD">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kern w:val="2"/>
                <w:sz w:val="22"/>
                <w:szCs w:val="22"/>
                <w:lang w:eastAsia="zh-CN"/>
              </w:rPr>
            </w:pPr>
            <w:r>
              <w:rPr>
                <w:rFonts w:hint="eastAsia" w:ascii="宋体" w:hAnsi="宋体" w:eastAsia="宋体" w:cs="宋体"/>
                <w:color w:val="000000"/>
                <w:kern w:val="2"/>
                <w:sz w:val="22"/>
                <w:szCs w:val="22"/>
                <w:lang w:eastAsia="zh-CN"/>
              </w:rPr>
              <w:t>2.5</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4DA0F6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2"/>
                <w:szCs w:val="22"/>
                <w:lang w:eastAsia="zh-CN"/>
              </w:rPr>
            </w:pPr>
            <w:r>
              <w:rPr>
                <w:rFonts w:hint="eastAsia" w:ascii="宋体" w:hAnsi="宋体" w:eastAsia="宋体" w:cs="宋体"/>
                <w:color w:val="000000"/>
                <w:sz w:val="22"/>
                <w:szCs w:val="22"/>
                <w:lang w:eastAsia="zh-CN"/>
              </w:rPr>
              <w:t>1</w:t>
            </w: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7BF15159">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kern w:val="2"/>
                <w:sz w:val="22"/>
                <w:szCs w:val="22"/>
                <w:lang w:eastAsia="zh-CN"/>
              </w:rPr>
            </w:pPr>
            <w:r>
              <w:rPr>
                <w:rFonts w:hint="eastAsia" w:ascii="宋体" w:hAnsi="宋体" w:eastAsia="宋体" w:cs="宋体"/>
                <w:color w:val="000000"/>
                <w:sz w:val="22"/>
                <w:szCs w:val="22"/>
                <w:lang w:eastAsia="zh-CN"/>
              </w:rPr>
              <w:t>2022年6月</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5DC32491">
            <w:pPr>
              <w:keepNext w:val="0"/>
              <w:keepLines w:val="0"/>
              <w:widowControl w:val="0"/>
              <w:suppressLineNumbers w:val="0"/>
              <w:spacing w:before="0" w:beforeAutospacing="0" w:after="0" w:afterAutospacing="0"/>
              <w:ind w:left="0" w:right="0"/>
              <w:jc w:val="center"/>
              <w:rPr>
                <w:rFonts w:ascii="宋体" w:hAnsi="宋体" w:eastAsia="宋体" w:cs="宋体"/>
                <w:color w:val="000000"/>
                <w:kern w:val="2"/>
                <w:sz w:val="22"/>
                <w:szCs w:val="22"/>
                <w:lang w:eastAsia="zh-CN"/>
              </w:rPr>
            </w:pPr>
            <w:r>
              <w:rPr>
                <w:rFonts w:hint="eastAsia" w:ascii="宋体" w:hAnsi="宋体" w:eastAsia="宋体" w:cs="宋体"/>
                <w:color w:val="000000"/>
                <w:sz w:val="22"/>
                <w:szCs w:val="22"/>
                <w:lang w:eastAsia="zh-CN"/>
              </w:rPr>
              <w:t>2022年5月</w:t>
            </w:r>
          </w:p>
        </w:tc>
        <w:tc>
          <w:tcPr>
            <w:tcW w:w="1836" w:type="dxa"/>
            <w:tcBorders>
              <w:top w:val="single" w:color="000000" w:sz="4" w:space="0"/>
              <w:left w:val="single" w:color="000000" w:sz="4" w:space="0"/>
              <w:bottom w:val="single" w:color="000000" w:sz="4" w:space="0"/>
              <w:right w:val="single" w:color="000000" w:sz="4" w:space="0"/>
            </w:tcBorders>
            <w:noWrap w:val="0"/>
            <w:vAlign w:val="center"/>
          </w:tcPr>
          <w:p w14:paraId="51BFE9B5">
            <w:pPr>
              <w:keepNext w:val="0"/>
              <w:keepLines w:val="0"/>
              <w:widowControl w:val="0"/>
              <w:suppressLineNumbers w:val="0"/>
              <w:spacing w:before="0" w:beforeAutospacing="0" w:after="0" w:afterAutospacing="0"/>
              <w:ind w:left="0" w:right="0"/>
              <w:jc w:val="center"/>
              <w:rPr>
                <w:rFonts w:ascii="宋体" w:hAnsi="宋体" w:eastAsia="宋体" w:cs="宋体"/>
                <w:color w:val="000000"/>
                <w:kern w:val="2"/>
                <w:sz w:val="22"/>
                <w:szCs w:val="22"/>
                <w:lang w:eastAsia="zh-CN"/>
              </w:rPr>
            </w:pPr>
            <w:r>
              <w:rPr>
                <w:rFonts w:hint="eastAsia" w:ascii="宋体" w:hAnsi="宋体" w:eastAsia="宋体" w:cs="宋体"/>
                <w:color w:val="000000"/>
                <w:kern w:val="2"/>
                <w:sz w:val="22"/>
                <w:szCs w:val="22"/>
                <w:lang w:eastAsia="zh-CN"/>
              </w:rPr>
              <w:t>12楼调度大厅配电间</w:t>
            </w:r>
          </w:p>
        </w:tc>
      </w:tr>
      <w:tr w14:paraId="419C90CF">
        <w:tblPrEx>
          <w:tblCellMar>
            <w:top w:w="0" w:type="dxa"/>
            <w:left w:w="108" w:type="dxa"/>
            <w:bottom w:w="0" w:type="dxa"/>
            <w:right w:w="108" w:type="dxa"/>
          </w:tblCellMar>
        </w:tblPrEx>
        <w:trPr>
          <w:trHeight w:val="632" w:hRule="atLeast"/>
          <w:jc w:val="center"/>
        </w:trPr>
        <w:tc>
          <w:tcPr>
            <w:tcW w:w="704" w:type="dxa"/>
            <w:tcBorders>
              <w:top w:val="single" w:color="000000" w:sz="4" w:space="0"/>
              <w:left w:val="single" w:color="000000" w:sz="4" w:space="0"/>
              <w:bottom w:val="single" w:color="000000" w:sz="4" w:space="0"/>
              <w:right w:val="single" w:color="000000" w:sz="4" w:space="0"/>
            </w:tcBorders>
            <w:noWrap/>
            <w:vAlign w:val="center"/>
          </w:tcPr>
          <w:p w14:paraId="10829100">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kern w:val="2"/>
                <w:sz w:val="22"/>
                <w:szCs w:val="22"/>
                <w:lang w:eastAsia="zh-CN"/>
              </w:rPr>
            </w:pPr>
            <w:r>
              <w:rPr>
                <w:rFonts w:hint="eastAsia" w:ascii="宋体" w:hAnsi="宋体" w:eastAsia="宋体" w:cs="宋体"/>
                <w:color w:val="000000"/>
                <w:sz w:val="22"/>
                <w:szCs w:val="22"/>
                <w:lang w:eastAsia="zh-CN"/>
              </w:rPr>
              <w:t>2</w:t>
            </w:r>
          </w:p>
        </w:tc>
        <w:tc>
          <w:tcPr>
            <w:tcW w:w="1405" w:type="dxa"/>
            <w:tcBorders>
              <w:top w:val="single" w:color="000000" w:sz="4" w:space="0"/>
              <w:left w:val="single" w:color="000000" w:sz="4" w:space="0"/>
              <w:bottom w:val="single" w:color="000000" w:sz="4" w:space="0"/>
              <w:right w:val="single" w:color="000000" w:sz="4" w:space="0"/>
            </w:tcBorders>
            <w:noWrap/>
            <w:vAlign w:val="center"/>
          </w:tcPr>
          <w:p w14:paraId="2CE69E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2"/>
                <w:szCs w:val="22"/>
                <w:lang w:eastAsia="zh-CN"/>
              </w:rPr>
            </w:pPr>
            <w:r>
              <w:rPr>
                <w:rFonts w:hint="eastAsia" w:ascii="宋体" w:hAnsi="宋体" w:eastAsia="宋体" w:cs="宋体"/>
                <w:color w:val="000000"/>
                <w:sz w:val="22"/>
                <w:szCs w:val="22"/>
                <w:lang w:eastAsia="zh-CN"/>
              </w:rPr>
              <w:t>灭火剂瓶</w:t>
            </w:r>
          </w:p>
        </w:tc>
        <w:tc>
          <w:tcPr>
            <w:tcW w:w="1456" w:type="dxa"/>
            <w:tcBorders>
              <w:top w:val="single" w:color="000000" w:sz="4" w:space="0"/>
              <w:left w:val="single" w:color="000000" w:sz="4" w:space="0"/>
              <w:bottom w:val="single" w:color="000000" w:sz="4" w:space="0"/>
              <w:right w:val="single" w:color="000000" w:sz="4" w:space="0"/>
            </w:tcBorders>
            <w:noWrap/>
            <w:vAlign w:val="center"/>
          </w:tcPr>
          <w:p w14:paraId="74867C7F">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kern w:val="2"/>
                <w:sz w:val="22"/>
                <w:szCs w:val="22"/>
                <w:lang w:eastAsia="zh-CN"/>
              </w:rPr>
            </w:pPr>
            <w:r>
              <w:rPr>
                <w:rFonts w:hint="eastAsia" w:ascii="宋体" w:hAnsi="宋体" w:eastAsia="宋体" w:cs="宋体"/>
                <w:color w:val="000000"/>
                <w:kern w:val="2"/>
                <w:sz w:val="22"/>
                <w:szCs w:val="22"/>
                <w:lang w:eastAsia="zh-CN"/>
              </w:rPr>
              <w:t>QMP150/2.5</w:t>
            </w:r>
          </w:p>
        </w:tc>
        <w:tc>
          <w:tcPr>
            <w:tcW w:w="767" w:type="dxa"/>
            <w:tcBorders>
              <w:top w:val="single" w:color="000000" w:sz="4" w:space="0"/>
              <w:left w:val="single" w:color="000000" w:sz="4" w:space="0"/>
              <w:bottom w:val="single" w:color="000000" w:sz="4" w:space="0"/>
              <w:right w:val="single" w:color="000000" w:sz="4" w:space="0"/>
            </w:tcBorders>
            <w:noWrap/>
            <w:vAlign w:val="center"/>
          </w:tcPr>
          <w:p w14:paraId="7AFD3846">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kern w:val="2"/>
                <w:sz w:val="22"/>
                <w:szCs w:val="22"/>
                <w:lang w:eastAsia="zh-CN"/>
              </w:rPr>
            </w:pPr>
            <w:r>
              <w:rPr>
                <w:rFonts w:hint="eastAsia" w:ascii="宋体" w:hAnsi="宋体" w:eastAsia="宋体" w:cs="宋体"/>
                <w:color w:val="000000"/>
                <w:kern w:val="2"/>
                <w:sz w:val="22"/>
                <w:szCs w:val="22"/>
                <w:lang w:eastAsia="zh-CN"/>
              </w:rPr>
              <w:t>149</w:t>
            </w:r>
          </w:p>
        </w:tc>
        <w:tc>
          <w:tcPr>
            <w:tcW w:w="947" w:type="dxa"/>
            <w:tcBorders>
              <w:top w:val="single" w:color="000000" w:sz="4" w:space="0"/>
              <w:left w:val="single" w:color="000000" w:sz="4" w:space="0"/>
              <w:bottom w:val="single" w:color="000000" w:sz="4" w:space="0"/>
              <w:right w:val="single" w:color="000000" w:sz="4" w:space="0"/>
            </w:tcBorders>
            <w:noWrap/>
            <w:vAlign w:val="center"/>
          </w:tcPr>
          <w:p w14:paraId="642A99D9">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kern w:val="2"/>
                <w:sz w:val="22"/>
                <w:szCs w:val="22"/>
                <w:lang w:eastAsia="zh-CN"/>
              </w:rPr>
            </w:pPr>
            <w:r>
              <w:rPr>
                <w:rFonts w:hint="eastAsia" w:ascii="宋体" w:hAnsi="宋体" w:eastAsia="宋体" w:cs="宋体"/>
                <w:color w:val="000000"/>
                <w:kern w:val="2"/>
                <w:sz w:val="22"/>
                <w:szCs w:val="22"/>
                <w:lang w:eastAsia="zh-CN"/>
              </w:rPr>
              <w:t>2.5</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19DAE4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2"/>
                <w:szCs w:val="22"/>
                <w:lang w:eastAsia="zh-CN"/>
              </w:rPr>
            </w:pPr>
            <w:r>
              <w:rPr>
                <w:rFonts w:hint="eastAsia" w:ascii="宋体" w:hAnsi="宋体" w:eastAsia="宋体" w:cs="宋体"/>
                <w:color w:val="000000"/>
                <w:sz w:val="22"/>
                <w:szCs w:val="22"/>
                <w:lang w:eastAsia="zh-CN"/>
              </w:rPr>
              <w:t>1</w:t>
            </w: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2B03C555">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kern w:val="2"/>
                <w:sz w:val="22"/>
                <w:szCs w:val="22"/>
                <w:lang w:eastAsia="zh-CN"/>
              </w:rPr>
            </w:pPr>
            <w:r>
              <w:rPr>
                <w:rFonts w:hint="eastAsia" w:ascii="宋体" w:hAnsi="宋体" w:eastAsia="宋体" w:cs="宋体"/>
                <w:color w:val="000000"/>
                <w:sz w:val="22"/>
                <w:szCs w:val="22"/>
                <w:lang w:eastAsia="zh-CN"/>
              </w:rPr>
              <w:t>2022年6月</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3E69FFA">
            <w:pPr>
              <w:keepNext w:val="0"/>
              <w:keepLines w:val="0"/>
              <w:widowControl w:val="0"/>
              <w:suppressLineNumbers w:val="0"/>
              <w:spacing w:before="0" w:beforeAutospacing="0" w:after="0" w:afterAutospacing="0"/>
              <w:ind w:left="0" w:right="0"/>
              <w:jc w:val="center"/>
              <w:rPr>
                <w:rFonts w:ascii="宋体" w:hAnsi="宋体" w:eastAsia="宋体" w:cs="宋体"/>
                <w:color w:val="000000"/>
                <w:kern w:val="2"/>
                <w:sz w:val="22"/>
                <w:szCs w:val="22"/>
                <w:lang w:eastAsia="zh-CN"/>
              </w:rPr>
            </w:pPr>
            <w:r>
              <w:rPr>
                <w:rFonts w:hint="eastAsia" w:ascii="宋体" w:hAnsi="宋体" w:eastAsia="宋体" w:cs="宋体"/>
                <w:color w:val="000000"/>
                <w:sz w:val="22"/>
                <w:szCs w:val="22"/>
                <w:lang w:eastAsia="zh-CN"/>
              </w:rPr>
              <w:t>2022年5月</w:t>
            </w:r>
          </w:p>
        </w:tc>
        <w:tc>
          <w:tcPr>
            <w:tcW w:w="1836" w:type="dxa"/>
            <w:tcBorders>
              <w:top w:val="single" w:color="000000" w:sz="4" w:space="0"/>
              <w:left w:val="single" w:color="000000" w:sz="4" w:space="0"/>
              <w:bottom w:val="single" w:color="000000" w:sz="4" w:space="0"/>
              <w:right w:val="single" w:color="000000" w:sz="4" w:space="0"/>
            </w:tcBorders>
            <w:noWrap w:val="0"/>
            <w:vAlign w:val="center"/>
          </w:tcPr>
          <w:p w14:paraId="1C48B745">
            <w:pPr>
              <w:keepNext w:val="0"/>
              <w:keepLines w:val="0"/>
              <w:widowControl w:val="0"/>
              <w:suppressLineNumbers w:val="0"/>
              <w:spacing w:before="0" w:beforeAutospacing="0" w:after="0" w:afterAutospacing="0"/>
              <w:ind w:left="0" w:right="0"/>
              <w:jc w:val="center"/>
              <w:rPr>
                <w:rFonts w:ascii="宋体" w:hAnsi="宋体" w:eastAsia="宋体" w:cs="宋体"/>
                <w:color w:val="000000"/>
                <w:kern w:val="2"/>
                <w:sz w:val="22"/>
                <w:szCs w:val="22"/>
                <w:lang w:eastAsia="zh-CN"/>
              </w:rPr>
            </w:pPr>
            <w:r>
              <w:rPr>
                <w:rFonts w:hint="eastAsia" w:ascii="宋体" w:hAnsi="宋体" w:eastAsia="宋体" w:cs="宋体"/>
                <w:color w:val="000000"/>
                <w:kern w:val="2"/>
                <w:sz w:val="22"/>
                <w:szCs w:val="22"/>
                <w:lang w:eastAsia="zh-CN"/>
              </w:rPr>
              <w:t>11楼配电间</w:t>
            </w:r>
          </w:p>
        </w:tc>
      </w:tr>
      <w:tr w14:paraId="5720D6E6">
        <w:tblPrEx>
          <w:tblCellMar>
            <w:top w:w="0" w:type="dxa"/>
            <w:left w:w="108" w:type="dxa"/>
            <w:bottom w:w="0" w:type="dxa"/>
            <w:right w:w="108" w:type="dxa"/>
          </w:tblCellMar>
        </w:tblPrEx>
        <w:trPr>
          <w:trHeight w:val="632" w:hRule="atLeast"/>
          <w:jc w:val="center"/>
        </w:trPr>
        <w:tc>
          <w:tcPr>
            <w:tcW w:w="704" w:type="dxa"/>
            <w:tcBorders>
              <w:top w:val="single" w:color="000000" w:sz="4" w:space="0"/>
              <w:left w:val="single" w:color="000000" w:sz="4" w:space="0"/>
              <w:bottom w:val="single" w:color="000000" w:sz="4" w:space="0"/>
              <w:right w:val="single" w:color="000000" w:sz="4" w:space="0"/>
            </w:tcBorders>
            <w:noWrap/>
            <w:vAlign w:val="center"/>
          </w:tcPr>
          <w:p w14:paraId="70673343">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kern w:val="2"/>
                <w:sz w:val="22"/>
                <w:szCs w:val="22"/>
                <w:lang w:eastAsia="zh-CN"/>
              </w:rPr>
            </w:pPr>
            <w:r>
              <w:rPr>
                <w:rFonts w:hint="eastAsia" w:ascii="宋体" w:hAnsi="宋体" w:eastAsia="宋体" w:cs="宋体"/>
                <w:color w:val="000000"/>
                <w:sz w:val="22"/>
                <w:szCs w:val="22"/>
                <w:lang w:eastAsia="zh-CN"/>
              </w:rPr>
              <w:t>3</w:t>
            </w:r>
          </w:p>
        </w:tc>
        <w:tc>
          <w:tcPr>
            <w:tcW w:w="1405" w:type="dxa"/>
            <w:tcBorders>
              <w:top w:val="single" w:color="000000" w:sz="4" w:space="0"/>
              <w:left w:val="single" w:color="000000" w:sz="4" w:space="0"/>
              <w:bottom w:val="single" w:color="000000" w:sz="4" w:space="0"/>
              <w:right w:val="single" w:color="000000" w:sz="4" w:space="0"/>
            </w:tcBorders>
            <w:noWrap/>
            <w:vAlign w:val="center"/>
          </w:tcPr>
          <w:p w14:paraId="6EBEC3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灭火剂瓶组</w:t>
            </w:r>
          </w:p>
        </w:tc>
        <w:tc>
          <w:tcPr>
            <w:tcW w:w="1456" w:type="dxa"/>
            <w:tcBorders>
              <w:top w:val="single" w:color="000000" w:sz="4" w:space="0"/>
              <w:left w:val="single" w:color="000000" w:sz="4" w:space="0"/>
              <w:bottom w:val="single" w:color="000000" w:sz="4" w:space="0"/>
              <w:right w:val="single" w:color="000000" w:sz="4" w:space="0"/>
            </w:tcBorders>
            <w:noWrap/>
            <w:vAlign w:val="center"/>
          </w:tcPr>
          <w:p w14:paraId="22ACE6CA">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kern w:val="2"/>
                <w:sz w:val="22"/>
                <w:szCs w:val="22"/>
                <w:lang w:eastAsia="zh-CN"/>
              </w:rPr>
            </w:pPr>
            <w:r>
              <w:rPr>
                <w:rFonts w:hint="eastAsia" w:ascii="宋体" w:hAnsi="宋体" w:eastAsia="宋体" w:cs="宋体"/>
                <w:color w:val="000000"/>
                <w:kern w:val="2"/>
                <w:sz w:val="22"/>
                <w:szCs w:val="22"/>
                <w:lang w:eastAsia="zh-CN"/>
              </w:rPr>
              <w:t>QMP120/4.2</w:t>
            </w:r>
          </w:p>
        </w:tc>
        <w:tc>
          <w:tcPr>
            <w:tcW w:w="767" w:type="dxa"/>
            <w:tcBorders>
              <w:top w:val="single" w:color="000000" w:sz="4" w:space="0"/>
              <w:left w:val="single" w:color="000000" w:sz="4" w:space="0"/>
              <w:bottom w:val="single" w:color="000000" w:sz="4" w:space="0"/>
              <w:right w:val="single" w:color="000000" w:sz="4" w:space="0"/>
            </w:tcBorders>
            <w:noWrap/>
            <w:vAlign w:val="center"/>
          </w:tcPr>
          <w:p w14:paraId="797EC0AE">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kern w:val="2"/>
                <w:sz w:val="22"/>
                <w:szCs w:val="22"/>
                <w:lang w:eastAsia="zh-CN"/>
              </w:rPr>
            </w:pPr>
            <w:r>
              <w:rPr>
                <w:rFonts w:hint="eastAsia" w:ascii="宋体" w:hAnsi="宋体" w:eastAsia="宋体" w:cs="宋体"/>
                <w:color w:val="000000"/>
                <w:kern w:val="2"/>
                <w:sz w:val="22"/>
                <w:szCs w:val="22"/>
                <w:lang w:eastAsia="zh-CN"/>
              </w:rPr>
              <w:t>70</w:t>
            </w:r>
          </w:p>
        </w:tc>
        <w:tc>
          <w:tcPr>
            <w:tcW w:w="947" w:type="dxa"/>
            <w:tcBorders>
              <w:top w:val="single" w:color="000000" w:sz="4" w:space="0"/>
              <w:left w:val="single" w:color="000000" w:sz="4" w:space="0"/>
              <w:bottom w:val="single" w:color="auto" w:sz="4" w:space="0"/>
              <w:right w:val="single" w:color="000000" w:sz="4" w:space="0"/>
            </w:tcBorders>
            <w:noWrap/>
            <w:vAlign w:val="center"/>
          </w:tcPr>
          <w:p w14:paraId="76C184FB">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kern w:val="2"/>
                <w:sz w:val="22"/>
                <w:szCs w:val="22"/>
                <w:lang w:eastAsia="zh-CN"/>
              </w:rPr>
            </w:pPr>
            <w:r>
              <w:rPr>
                <w:rFonts w:hint="eastAsia" w:ascii="宋体" w:hAnsi="宋体" w:eastAsia="宋体" w:cs="宋体"/>
                <w:color w:val="000000"/>
                <w:kern w:val="2"/>
                <w:sz w:val="22"/>
                <w:szCs w:val="22"/>
                <w:lang w:eastAsia="zh-CN"/>
              </w:rPr>
              <w:t>4.2</w:t>
            </w:r>
          </w:p>
        </w:tc>
        <w:tc>
          <w:tcPr>
            <w:tcW w:w="784" w:type="dxa"/>
            <w:tcBorders>
              <w:top w:val="single" w:color="000000" w:sz="4" w:space="0"/>
              <w:left w:val="single" w:color="000000" w:sz="4" w:space="0"/>
              <w:bottom w:val="single" w:color="auto" w:sz="4" w:space="0"/>
              <w:right w:val="single" w:color="000000" w:sz="4" w:space="0"/>
            </w:tcBorders>
            <w:noWrap/>
            <w:vAlign w:val="center"/>
          </w:tcPr>
          <w:p w14:paraId="7D6EA3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12</w:t>
            </w:r>
          </w:p>
        </w:tc>
        <w:tc>
          <w:tcPr>
            <w:tcW w:w="1364" w:type="dxa"/>
            <w:tcBorders>
              <w:top w:val="single" w:color="000000" w:sz="4" w:space="0"/>
              <w:left w:val="single" w:color="000000" w:sz="4" w:space="0"/>
              <w:bottom w:val="single" w:color="auto" w:sz="4" w:space="0"/>
              <w:right w:val="single" w:color="000000" w:sz="4" w:space="0"/>
            </w:tcBorders>
            <w:noWrap/>
            <w:vAlign w:val="center"/>
          </w:tcPr>
          <w:p w14:paraId="0FC4AF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2022年6月</w:t>
            </w:r>
          </w:p>
        </w:tc>
        <w:tc>
          <w:tcPr>
            <w:tcW w:w="1309" w:type="dxa"/>
            <w:tcBorders>
              <w:top w:val="single" w:color="000000" w:sz="4" w:space="0"/>
              <w:left w:val="single" w:color="000000" w:sz="4" w:space="0"/>
              <w:bottom w:val="single" w:color="auto" w:sz="4" w:space="0"/>
              <w:right w:val="single" w:color="000000" w:sz="4" w:space="0"/>
            </w:tcBorders>
            <w:noWrap w:val="0"/>
            <w:vAlign w:val="center"/>
          </w:tcPr>
          <w:p w14:paraId="3B1B91B9">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2022年5月</w:t>
            </w:r>
          </w:p>
        </w:tc>
        <w:tc>
          <w:tcPr>
            <w:tcW w:w="1836" w:type="dxa"/>
            <w:tcBorders>
              <w:top w:val="single" w:color="000000" w:sz="4" w:space="0"/>
              <w:left w:val="single" w:color="000000" w:sz="4" w:space="0"/>
              <w:bottom w:val="single" w:color="auto" w:sz="4" w:space="0"/>
              <w:right w:val="single" w:color="000000" w:sz="4" w:space="0"/>
            </w:tcBorders>
            <w:noWrap w:val="0"/>
            <w:vAlign w:val="center"/>
          </w:tcPr>
          <w:p w14:paraId="3F6C2B01">
            <w:pPr>
              <w:keepNext w:val="0"/>
              <w:keepLines w:val="0"/>
              <w:widowControl w:val="0"/>
              <w:suppressLineNumbers w:val="0"/>
              <w:spacing w:before="0" w:beforeAutospacing="0" w:after="0" w:afterAutospacing="0"/>
              <w:ind w:left="0" w:right="0"/>
              <w:jc w:val="center"/>
              <w:rPr>
                <w:rFonts w:ascii="宋体" w:hAnsi="宋体" w:eastAsia="宋体" w:cs="宋体"/>
                <w:color w:val="000000"/>
                <w:kern w:val="2"/>
                <w:sz w:val="22"/>
                <w:szCs w:val="22"/>
                <w:lang w:eastAsia="zh-CN"/>
              </w:rPr>
            </w:pPr>
            <w:r>
              <w:rPr>
                <w:rFonts w:hint="eastAsia" w:ascii="宋体" w:hAnsi="宋体" w:eastAsia="宋体" w:cs="宋体"/>
                <w:color w:val="000000"/>
                <w:kern w:val="2"/>
                <w:sz w:val="22"/>
                <w:szCs w:val="22"/>
                <w:lang w:eastAsia="zh-CN"/>
              </w:rPr>
              <w:t>913气瓶间</w:t>
            </w:r>
          </w:p>
        </w:tc>
      </w:tr>
      <w:tr w14:paraId="791BA9A4">
        <w:tblPrEx>
          <w:tblCellMar>
            <w:top w:w="0" w:type="dxa"/>
            <w:left w:w="108" w:type="dxa"/>
            <w:bottom w:w="0" w:type="dxa"/>
            <w:right w:w="108" w:type="dxa"/>
          </w:tblCellMar>
        </w:tblPrEx>
        <w:trPr>
          <w:trHeight w:val="632" w:hRule="atLeast"/>
          <w:jc w:val="center"/>
        </w:trPr>
        <w:tc>
          <w:tcPr>
            <w:tcW w:w="704" w:type="dxa"/>
            <w:tcBorders>
              <w:top w:val="single" w:color="000000" w:sz="4" w:space="0"/>
              <w:left w:val="single" w:color="000000" w:sz="4" w:space="0"/>
              <w:bottom w:val="single" w:color="000000" w:sz="4" w:space="0"/>
              <w:right w:val="single" w:color="000000" w:sz="4" w:space="0"/>
            </w:tcBorders>
            <w:noWrap/>
            <w:vAlign w:val="center"/>
          </w:tcPr>
          <w:p w14:paraId="59ADE6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4</w:t>
            </w:r>
          </w:p>
        </w:tc>
        <w:tc>
          <w:tcPr>
            <w:tcW w:w="1405" w:type="dxa"/>
            <w:tcBorders>
              <w:top w:val="single" w:color="000000" w:sz="4" w:space="0"/>
              <w:left w:val="single" w:color="000000" w:sz="4" w:space="0"/>
              <w:bottom w:val="single" w:color="000000" w:sz="4" w:space="0"/>
              <w:right w:val="single" w:color="000000" w:sz="4" w:space="0"/>
            </w:tcBorders>
            <w:noWrap/>
            <w:vAlign w:val="center"/>
          </w:tcPr>
          <w:p w14:paraId="1925EA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启动瓶组</w:t>
            </w:r>
          </w:p>
        </w:tc>
        <w:tc>
          <w:tcPr>
            <w:tcW w:w="1456" w:type="dxa"/>
            <w:tcBorders>
              <w:top w:val="single" w:color="000000" w:sz="4" w:space="0"/>
              <w:left w:val="single" w:color="000000" w:sz="4" w:space="0"/>
              <w:bottom w:val="single" w:color="000000" w:sz="4" w:space="0"/>
              <w:right w:val="single" w:color="000000" w:sz="4" w:space="0"/>
            </w:tcBorders>
            <w:noWrap/>
            <w:vAlign w:val="center"/>
          </w:tcPr>
          <w:p w14:paraId="7D640C8D">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kern w:val="2"/>
                <w:sz w:val="22"/>
                <w:szCs w:val="22"/>
                <w:lang w:eastAsia="zh-CN"/>
              </w:rPr>
            </w:pPr>
            <w:r>
              <w:rPr>
                <w:rFonts w:hint="eastAsia" w:ascii="宋体" w:hAnsi="宋体" w:eastAsia="宋体" w:cs="宋体"/>
                <w:color w:val="000000"/>
                <w:kern w:val="2"/>
                <w:sz w:val="22"/>
                <w:szCs w:val="22"/>
                <w:lang w:eastAsia="zh-CN"/>
              </w:rPr>
              <w:t>DQ80</w:t>
            </w:r>
          </w:p>
        </w:tc>
        <w:tc>
          <w:tcPr>
            <w:tcW w:w="767" w:type="dxa"/>
            <w:tcBorders>
              <w:top w:val="single" w:color="000000" w:sz="4" w:space="0"/>
              <w:left w:val="single" w:color="000000" w:sz="4" w:space="0"/>
              <w:bottom w:val="single" w:color="000000" w:sz="4" w:space="0"/>
              <w:right w:val="single" w:color="auto" w:sz="4" w:space="0"/>
            </w:tcBorders>
            <w:noWrap/>
            <w:vAlign w:val="center"/>
          </w:tcPr>
          <w:p w14:paraId="4345CD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2"/>
                <w:szCs w:val="22"/>
                <w:lang w:eastAsia="zh-CN"/>
              </w:rPr>
            </w:pPr>
            <w:r>
              <w:rPr>
                <w:rFonts w:hint="eastAsia" w:ascii="宋体" w:hAnsi="宋体" w:eastAsia="宋体" w:cs="宋体"/>
                <w:color w:val="000000"/>
                <w:kern w:val="2"/>
                <w:sz w:val="22"/>
                <w:szCs w:val="22"/>
                <w:lang w:eastAsia="zh-CN"/>
              </w:rPr>
              <w:t>/</w:t>
            </w:r>
          </w:p>
        </w:tc>
        <w:tc>
          <w:tcPr>
            <w:tcW w:w="947" w:type="dxa"/>
            <w:tcBorders>
              <w:top w:val="single" w:color="auto" w:sz="4" w:space="0"/>
              <w:left w:val="single" w:color="auto" w:sz="4" w:space="0"/>
              <w:bottom w:val="single" w:color="auto" w:sz="4" w:space="0"/>
              <w:right w:val="single" w:color="auto" w:sz="4" w:space="0"/>
            </w:tcBorders>
            <w:noWrap/>
            <w:vAlign w:val="center"/>
          </w:tcPr>
          <w:p w14:paraId="18899B24">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kern w:val="2"/>
                <w:sz w:val="22"/>
                <w:szCs w:val="22"/>
                <w:lang w:eastAsia="zh-CN"/>
              </w:rPr>
            </w:pPr>
            <w:r>
              <w:rPr>
                <w:rFonts w:hint="eastAsia" w:ascii="宋体" w:hAnsi="宋体" w:eastAsia="宋体" w:cs="宋体"/>
                <w:color w:val="000000"/>
                <w:kern w:val="2"/>
                <w:sz w:val="22"/>
                <w:szCs w:val="22"/>
                <w:lang w:eastAsia="zh-CN"/>
              </w:rPr>
              <w:t>/</w:t>
            </w:r>
          </w:p>
        </w:tc>
        <w:tc>
          <w:tcPr>
            <w:tcW w:w="784" w:type="dxa"/>
            <w:tcBorders>
              <w:top w:val="single" w:color="auto" w:sz="4" w:space="0"/>
              <w:left w:val="single" w:color="auto" w:sz="4" w:space="0"/>
              <w:bottom w:val="single" w:color="auto" w:sz="4" w:space="0"/>
              <w:right w:val="single" w:color="auto" w:sz="4" w:space="0"/>
            </w:tcBorders>
            <w:noWrap/>
            <w:vAlign w:val="center"/>
          </w:tcPr>
          <w:p w14:paraId="0469E8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2</w:t>
            </w:r>
          </w:p>
        </w:tc>
        <w:tc>
          <w:tcPr>
            <w:tcW w:w="1364" w:type="dxa"/>
            <w:tcBorders>
              <w:top w:val="single" w:color="auto" w:sz="4" w:space="0"/>
              <w:left w:val="single" w:color="auto" w:sz="4" w:space="0"/>
              <w:bottom w:val="single" w:color="auto" w:sz="4" w:space="0"/>
              <w:right w:val="single" w:color="auto" w:sz="4" w:space="0"/>
            </w:tcBorders>
            <w:noWrap/>
            <w:vAlign w:val="center"/>
          </w:tcPr>
          <w:p w14:paraId="23CB52A6">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sz w:val="22"/>
                <w:szCs w:val="22"/>
                <w:lang w:eastAsia="zh-CN"/>
              </w:rPr>
            </w:pPr>
          </w:p>
        </w:tc>
        <w:tc>
          <w:tcPr>
            <w:tcW w:w="1309" w:type="dxa"/>
            <w:tcBorders>
              <w:top w:val="single" w:color="auto" w:sz="4" w:space="0"/>
              <w:left w:val="single" w:color="auto" w:sz="4" w:space="0"/>
              <w:bottom w:val="single" w:color="auto" w:sz="4" w:space="0"/>
              <w:right w:val="single" w:color="auto" w:sz="4" w:space="0"/>
            </w:tcBorders>
            <w:noWrap w:val="0"/>
            <w:vAlign w:val="center"/>
          </w:tcPr>
          <w:p w14:paraId="18A7E1D9">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2"/>
                <w:lang w:eastAsia="zh-CN"/>
              </w:rPr>
            </w:pPr>
          </w:p>
        </w:tc>
        <w:tc>
          <w:tcPr>
            <w:tcW w:w="1836" w:type="dxa"/>
            <w:tcBorders>
              <w:top w:val="single" w:color="auto" w:sz="4" w:space="0"/>
              <w:left w:val="single" w:color="auto" w:sz="4" w:space="0"/>
              <w:bottom w:val="single" w:color="auto" w:sz="4" w:space="0"/>
              <w:right w:val="single" w:color="auto" w:sz="4" w:space="0"/>
            </w:tcBorders>
            <w:noWrap w:val="0"/>
            <w:vAlign w:val="center"/>
          </w:tcPr>
          <w:p w14:paraId="3EEA7BAC">
            <w:pPr>
              <w:keepNext w:val="0"/>
              <w:keepLines w:val="0"/>
              <w:widowControl w:val="0"/>
              <w:suppressLineNumbers w:val="0"/>
              <w:spacing w:before="0" w:beforeAutospacing="0" w:after="0" w:afterAutospacing="0"/>
              <w:ind w:left="0" w:right="0"/>
              <w:jc w:val="center"/>
              <w:rPr>
                <w:rFonts w:ascii="宋体" w:hAnsi="宋体" w:eastAsia="宋体" w:cs="宋体"/>
                <w:color w:val="000000"/>
                <w:kern w:val="2"/>
                <w:sz w:val="22"/>
                <w:szCs w:val="22"/>
                <w:lang w:eastAsia="zh-CN"/>
              </w:rPr>
            </w:pPr>
          </w:p>
        </w:tc>
      </w:tr>
      <w:tr w14:paraId="6796066D">
        <w:tblPrEx>
          <w:tblCellMar>
            <w:top w:w="0" w:type="dxa"/>
            <w:left w:w="108" w:type="dxa"/>
            <w:bottom w:w="0" w:type="dxa"/>
            <w:right w:w="108" w:type="dxa"/>
          </w:tblCellMar>
        </w:tblPrEx>
        <w:trPr>
          <w:trHeight w:val="632" w:hRule="atLeast"/>
          <w:jc w:val="center"/>
        </w:trPr>
        <w:tc>
          <w:tcPr>
            <w:tcW w:w="704" w:type="dxa"/>
            <w:tcBorders>
              <w:top w:val="single" w:color="000000" w:sz="4" w:space="0"/>
              <w:left w:val="single" w:color="000000" w:sz="4" w:space="0"/>
              <w:bottom w:val="single" w:color="000000" w:sz="4" w:space="0"/>
              <w:right w:val="single" w:color="000000" w:sz="4" w:space="0"/>
            </w:tcBorders>
            <w:noWrap/>
            <w:vAlign w:val="center"/>
          </w:tcPr>
          <w:p w14:paraId="60FE08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5</w:t>
            </w:r>
          </w:p>
        </w:tc>
        <w:tc>
          <w:tcPr>
            <w:tcW w:w="1405" w:type="dxa"/>
            <w:tcBorders>
              <w:top w:val="single" w:color="000000" w:sz="4" w:space="0"/>
              <w:left w:val="single" w:color="000000" w:sz="4" w:space="0"/>
              <w:bottom w:val="single" w:color="000000" w:sz="4" w:space="0"/>
              <w:right w:val="single" w:color="000000" w:sz="4" w:space="0"/>
            </w:tcBorders>
            <w:noWrap/>
            <w:vAlign w:val="center"/>
          </w:tcPr>
          <w:p w14:paraId="2016BD89">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sz w:val="22"/>
                <w:szCs w:val="22"/>
                <w:lang w:eastAsia="zh-CN"/>
              </w:rPr>
            </w:pPr>
            <w:r>
              <w:rPr>
                <w:rFonts w:hint="eastAsia" w:ascii="宋体" w:hAnsi="宋体" w:eastAsia="宋体" w:cs="宋体"/>
                <w:color w:val="000000"/>
                <w:sz w:val="22"/>
                <w:szCs w:val="22"/>
                <w:lang w:eastAsia="zh-CN"/>
              </w:rPr>
              <w:t>灭火剂瓶</w:t>
            </w:r>
          </w:p>
        </w:tc>
        <w:tc>
          <w:tcPr>
            <w:tcW w:w="1456" w:type="dxa"/>
            <w:tcBorders>
              <w:top w:val="single" w:color="000000" w:sz="4" w:space="0"/>
              <w:left w:val="single" w:color="000000" w:sz="4" w:space="0"/>
              <w:bottom w:val="single" w:color="000000" w:sz="4" w:space="0"/>
              <w:right w:val="single" w:color="000000" w:sz="4" w:space="0"/>
            </w:tcBorders>
            <w:noWrap/>
            <w:vAlign w:val="center"/>
          </w:tcPr>
          <w:p w14:paraId="2CCF3FD1">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kern w:val="2"/>
                <w:sz w:val="22"/>
                <w:szCs w:val="22"/>
                <w:lang w:eastAsia="zh-CN"/>
              </w:rPr>
            </w:pPr>
            <w:r>
              <w:rPr>
                <w:rFonts w:hint="eastAsia" w:ascii="宋体" w:hAnsi="宋体" w:eastAsia="宋体" w:cs="宋体"/>
                <w:color w:val="000000"/>
                <w:kern w:val="2"/>
                <w:sz w:val="22"/>
                <w:szCs w:val="22"/>
                <w:lang w:eastAsia="zh-CN"/>
              </w:rPr>
              <w:t>QMP40/2.5</w:t>
            </w:r>
          </w:p>
        </w:tc>
        <w:tc>
          <w:tcPr>
            <w:tcW w:w="767" w:type="dxa"/>
            <w:tcBorders>
              <w:top w:val="single" w:color="000000" w:sz="4" w:space="0"/>
              <w:left w:val="single" w:color="000000" w:sz="4" w:space="0"/>
              <w:bottom w:val="single" w:color="000000" w:sz="4" w:space="0"/>
              <w:right w:val="single" w:color="auto" w:sz="4" w:space="0"/>
            </w:tcBorders>
            <w:noWrap/>
            <w:vAlign w:val="center"/>
          </w:tcPr>
          <w:p w14:paraId="5AA183FA">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kern w:val="2"/>
                <w:sz w:val="22"/>
                <w:szCs w:val="22"/>
                <w:lang w:eastAsia="zh-CN"/>
              </w:rPr>
            </w:pPr>
            <w:r>
              <w:rPr>
                <w:rFonts w:hint="eastAsia" w:ascii="宋体" w:hAnsi="宋体" w:eastAsia="宋体" w:cs="宋体"/>
                <w:color w:val="000000"/>
                <w:kern w:val="2"/>
                <w:sz w:val="22"/>
                <w:szCs w:val="22"/>
                <w:lang w:eastAsia="zh-CN"/>
              </w:rPr>
              <w:t>16</w:t>
            </w:r>
          </w:p>
        </w:tc>
        <w:tc>
          <w:tcPr>
            <w:tcW w:w="947" w:type="dxa"/>
            <w:tcBorders>
              <w:top w:val="single" w:color="auto" w:sz="4" w:space="0"/>
              <w:left w:val="single" w:color="auto" w:sz="4" w:space="0"/>
              <w:bottom w:val="single" w:color="auto" w:sz="4" w:space="0"/>
              <w:right w:val="single" w:color="auto" w:sz="4" w:space="0"/>
            </w:tcBorders>
            <w:noWrap/>
            <w:vAlign w:val="center"/>
          </w:tcPr>
          <w:p w14:paraId="6F4E86D7">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kern w:val="2"/>
                <w:sz w:val="22"/>
                <w:szCs w:val="22"/>
                <w:lang w:eastAsia="zh-CN"/>
              </w:rPr>
            </w:pPr>
            <w:r>
              <w:rPr>
                <w:rFonts w:hint="eastAsia" w:ascii="宋体" w:hAnsi="宋体" w:eastAsia="宋体" w:cs="宋体"/>
                <w:color w:val="000000"/>
                <w:kern w:val="2"/>
                <w:sz w:val="22"/>
                <w:szCs w:val="22"/>
                <w:lang w:eastAsia="zh-CN"/>
              </w:rPr>
              <w:t>2.5</w:t>
            </w:r>
          </w:p>
        </w:tc>
        <w:tc>
          <w:tcPr>
            <w:tcW w:w="784" w:type="dxa"/>
            <w:tcBorders>
              <w:top w:val="single" w:color="auto" w:sz="4" w:space="0"/>
              <w:left w:val="single" w:color="auto" w:sz="4" w:space="0"/>
              <w:bottom w:val="single" w:color="auto" w:sz="4" w:space="0"/>
              <w:right w:val="single" w:color="auto" w:sz="4" w:space="0"/>
            </w:tcBorders>
            <w:noWrap/>
            <w:vAlign w:val="center"/>
          </w:tcPr>
          <w:p w14:paraId="69B7037A">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sz w:val="22"/>
                <w:szCs w:val="22"/>
                <w:lang w:eastAsia="zh-CN"/>
              </w:rPr>
            </w:pPr>
            <w:r>
              <w:rPr>
                <w:rFonts w:hint="eastAsia" w:ascii="宋体" w:hAnsi="宋体" w:eastAsia="宋体" w:cs="宋体"/>
                <w:color w:val="000000"/>
                <w:sz w:val="22"/>
                <w:szCs w:val="22"/>
                <w:lang w:eastAsia="zh-CN"/>
              </w:rPr>
              <w:t>1</w:t>
            </w:r>
          </w:p>
        </w:tc>
        <w:tc>
          <w:tcPr>
            <w:tcW w:w="1364" w:type="dxa"/>
            <w:vMerge w:val="restart"/>
            <w:tcBorders>
              <w:top w:val="single" w:color="auto" w:sz="4" w:space="0"/>
              <w:left w:val="single" w:color="auto" w:sz="4" w:space="0"/>
              <w:bottom w:val="single" w:color="auto" w:sz="4" w:space="0"/>
              <w:right w:val="single" w:color="auto" w:sz="4" w:space="0"/>
            </w:tcBorders>
            <w:noWrap/>
            <w:vAlign w:val="center"/>
          </w:tcPr>
          <w:p w14:paraId="7E56EB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2022年6月</w:t>
            </w:r>
          </w:p>
          <w:p w14:paraId="4D21F6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2022年6月</w:t>
            </w:r>
          </w:p>
        </w:tc>
        <w:tc>
          <w:tcPr>
            <w:tcW w:w="1309" w:type="dxa"/>
            <w:vMerge w:val="restart"/>
            <w:tcBorders>
              <w:top w:val="single" w:color="auto" w:sz="4" w:space="0"/>
              <w:left w:val="single" w:color="auto" w:sz="4" w:space="0"/>
              <w:bottom w:val="single" w:color="auto" w:sz="4" w:space="0"/>
              <w:right w:val="single" w:color="auto" w:sz="4" w:space="0"/>
            </w:tcBorders>
            <w:noWrap w:val="0"/>
            <w:vAlign w:val="center"/>
          </w:tcPr>
          <w:p w14:paraId="04A9425B">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2022年5月</w:t>
            </w:r>
          </w:p>
          <w:p w14:paraId="560245AA">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2022年5月</w:t>
            </w:r>
          </w:p>
        </w:tc>
        <w:tc>
          <w:tcPr>
            <w:tcW w:w="1836" w:type="dxa"/>
            <w:vMerge w:val="restart"/>
            <w:tcBorders>
              <w:top w:val="single" w:color="auto" w:sz="4" w:space="0"/>
              <w:left w:val="single" w:color="auto" w:sz="4" w:space="0"/>
              <w:bottom w:val="single" w:color="auto" w:sz="4" w:space="0"/>
              <w:right w:val="single" w:color="auto" w:sz="4" w:space="0"/>
            </w:tcBorders>
            <w:noWrap w:val="0"/>
            <w:vAlign w:val="center"/>
          </w:tcPr>
          <w:p w14:paraId="35E41A1E">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lang w:eastAsia="zh-CN"/>
              </w:rPr>
            </w:pPr>
            <w:r>
              <w:rPr>
                <w:rFonts w:hint="eastAsia" w:ascii="宋体" w:hAnsi="宋体" w:eastAsia="宋体" w:cs="宋体"/>
                <w:color w:val="000000"/>
                <w:sz w:val="22"/>
                <w:szCs w:val="22"/>
                <w:lang w:eastAsia="zh-CN"/>
              </w:rPr>
              <w:t>B1层发电机房储油间</w:t>
            </w:r>
          </w:p>
          <w:p w14:paraId="228353E8">
            <w:pPr>
              <w:keepNext w:val="0"/>
              <w:keepLines w:val="0"/>
              <w:widowControl w:val="0"/>
              <w:suppressLineNumbers w:val="0"/>
              <w:spacing w:before="0" w:beforeAutospacing="0" w:after="0" w:afterAutospacing="0"/>
              <w:ind w:left="0" w:right="0"/>
              <w:jc w:val="center"/>
              <w:rPr>
                <w:rFonts w:ascii="宋体" w:hAnsi="宋体" w:eastAsia="宋体" w:cs="宋体"/>
                <w:color w:val="000000"/>
                <w:kern w:val="2"/>
                <w:sz w:val="22"/>
                <w:szCs w:val="22"/>
                <w:lang w:eastAsia="zh-CN"/>
              </w:rPr>
            </w:pPr>
            <w:r>
              <w:rPr>
                <w:rFonts w:hint="eastAsia" w:ascii="宋体" w:hAnsi="宋体" w:eastAsia="宋体" w:cs="宋体"/>
                <w:color w:val="000000"/>
                <w:kern w:val="2"/>
                <w:sz w:val="22"/>
                <w:szCs w:val="22"/>
                <w:lang w:eastAsia="zh-CN"/>
              </w:rPr>
              <w:t>B108电讯房</w:t>
            </w:r>
          </w:p>
        </w:tc>
      </w:tr>
      <w:tr w14:paraId="60D8066F">
        <w:tblPrEx>
          <w:tblCellMar>
            <w:top w:w="0" w:type="dxa"/>
            <w:left w:w="108" w:type="dxa"/>
            <w:bottom w:w="0" w:type="dxa"/>
            <w:right w:w="108" w:type="dxa"/>
          </w:tblCellMar>
        </w:tblPrEx>
        <w:trPr>
          <w:trHeight w:val="632" w:hRule="atLeast"/>
          <w:jc w:val="center"/>
        </w:trPr>
        <w:tc>
          <w:tcPr>
            <w:tcW w:w="704" w:type="dxa"/>
            <w:tcBorders>
              <w:top w:val="single" w:color="000000" w:sz="4" w:space="0"/>
              <w:left w:val="single" w:color="000000" w:sz="4" w:space="0"/>
              <w:bottom w:val="single" w:color="000000" w:sz="4" w:space="0"/>
              <w:right w:val="single" w:color="000000" w:sz="4" w:space="0"/>
            </w:tcBorders>
            <w:noWrap/>
            <w:vAlign w:val="center"/>
          </w:tcPr>
          <w:p w14:paraId="323B24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6</w:t>
            </w:r>
          </w:p>
        </w:tc>
        <w:tc>
          <w:tcPr>
            <w:tcW w:w="1405" w:type="dxa"/>
            <w:tcBorders>
              <w:top w:val="single" w:color="000000" w:sz="4" w:space="0"/>
              <w:left w:val="single" w:color="000000" w:sz="4" w:space="0"/>
              <w:bottom w:val="single" w:color="000000" w:sz="4" w:space="0"/>
              <w:right w:val="single" w:color="000000" w:sz="4" w:space="0"/>
            </w:tcBorders>
            <w:noWrap/>
            <w:vAlign w:val="center"/>
          </w:tcPr>
          <w:p w14:paraId="68255592">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sz w:val="22"/>
                <w:szCs w:val="22"/>
                <w:lang w:eastAsia="zh-CN"/>
              </w:rPr>
            </w:pPr>
            <w:r>
              <w:rPr>
                <w:rFonts w:hint="eastAsia" w:ascii="宋体" w:hAnsi="宋体" w:eastAsia="宋体" w:cs="宋体"/>
                <w:color w:val="000000"/>
                <w:sz w:val="22"/>
                <w:szCs w:val="22"/>
                <w:lang w:eastAsia="zh-CN"/>
              </w:rPr>
              <w:t>灭火剂瓶</w:t>
            </w:r>
          </w:p>
        </w:tc>
        <w:tc>
          <w:tcPr>
            <w:tcW w:w="1456" w:type="dxa"/>
            <w:tcBorders>
              <w:top w:val="single" w:color="000000" w:sz="4" w:space="0"/>
              <w:left w:val="single" w:color="000000" w:sz="4" w:space="0"/>
              <w:bottom w:val="single" w:color="000000" w:sz="4" w:space="0"/>
              <w:right w:val="single" w:color="000000" w:sz="4" w:space="0"/>
            </w:tcBorders>
            <w:noWrap/>
            <w:vAlign w:val="center"/>
          </w:tcPr>
          <w:p w14:paraId="4F085558">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kern w:val="2"/>
                <w:sz w:val="22"/>
                <w:szCs w:val="22"/>
                <w:lang w:eastAsia="zh-CN"/>
              </w:rPr>
            </w:pPr>
            <w:r>
              <w:rPr>
                <w:rFonts w:hint="eastAsia" w:ascii="宋体" w:hAnsi="宋体" w:eastAsia="宋体" w:cs="宋体"/>
                <w:color w:val="000000"/>
                <w:kern w:val="2"/>
                <w:sz w:val="22"/>
                <w:szCs w:val="22"/>
                <w:lang w:eastAsia="zh-CN"/>
              </w:rPr>
              <w:t>QMP150/2.5</w:t>
            </w:r>
          </w:p>
        </w:tc>
        <w:tc>
          <w:tcPr>
            <w:tcW w:w="767" w:type="dxa"/>
            <w:tcBorders>
              <w:top w:val="single" w:color="000000" w:sz="4" w:space="0"/>
              <w:left w:val="single" w:color="000000" w:sz="4" w:space="0"/>
              <w:bottom w:val="single" w:color="000000" w:sz="4" w:space="0"/>
              <w:right w:val="single" w:color="000000" w:sz="4" w:space="0"/>
            </w:tcBorders>
            <w:noWrap/>
            <w:vAlign w:val="center"/>
          </w:tcPr>
          <w:p w14:paraId="33B4822D">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kern w:val="2"/>
                <w:sz w:val="22"/>
                <w:szCs w:val="22"/>
                <w:lang w:eastAsia="zh-CN"/>
              </w:rPr>
            </w:pPr>
            <w:r>
              <w:rPr>
                <w:rFonts w:hint="eastAsia" w:ascii="宋体" w:hAnsi="宋体" w:eastAsia="宋体" w:cs="宋体"/>
                <w:color w:val="000000"/>
                <w:kern w:val="2"/>
                <w:sz w:val="22"/>
                <w:szCs w:val="22"/>
                <w:lang w:eastAsia="zh-CN"/>
              </w:rPr>
              <w:t>142</w:t>
            </w:r>
          </w:p>
        </w:tc>
        <w:tc>
          <w:tcPr>
            <w:tcW w:w="947" w:type="dxa"/>
            <w:tcBorders>
              <w:top w:val="single" w:color="auto" w:sz="4" w:space="0"/>
              <w:left w:val="single" w:color="000000" w:sz="4" w:space="0"/>
              <w:bottom w:val="single" w:color="000000" w:sz="4" w:space="0"/>
              <w:right w:val="single" w:color="000000" w:sz="4" w:space="0"/>
            </w:tcBorders>
            <w:noWrap/>
            <w:vAlign w:val="center"/>
          </w:tcPr>
          <w:p w14:paraId="47745D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2"/>
                <w:szCs w:val="22"/>
                <w:lang w:eastAsia="zh-CN"/>
              </w:rPr>
            </w:pPr>
            <w:r>
              <w:rPr>
                <w:rFonts w:hint="eastAsia" w:ascii="宋体" w:hAnsi="宋体" w:eastAsia="宋体" w:cs="宋体"/>
                <w:color w:val="000000"/>
                <w:kern w:val="2"/>
                <w:sz w:val="22"/>
                <w:szCs w:val="22"/>
                <w:lang w:eastAsia="zh-CN"/>
              </w:rPr>
              <w:t>2.5</w:t>
            </w:r>
          </w:p>
        </w:tc>
        <w:tc>
          <w:tcPr>
            <w:tcW w:w="784" w:type="dxa"/>
            <w:tcBorders>
              <w:top w:val="single" w:color="auto" w:sz="4" w:space="0"/>
              <w:left w:val="single" w:color="000000" w:sz="4" w:space="0"/>
              <w:bottom w:val="single" w:color="000000" w:sz="4" w:space="0"/>
              <w:right w:val="single" w:color="000000" w:sz="4" w:space="0"/>
            </w:tcBorders>
            <w:noWrap/>
            <w:vAlign w:val="center"/>
          </w:tcPr>
          <w:p w14:paraId="034C8BA9">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sz w:val="22"/>
                <w:szCs w:val="22"/>
                <w:lang w:eastAsia="zh-CN"/>
              </w:rPr>
            </w:pPr>
            <w:r>
              <w:rPr>
                <w:rFonts w:hint="eastAsia" w:ascii="宋体" w:hAnsi="宋体" w:eastAsia="宋体" w:cs="宋体"/>
                <w:color w:val="000000"/>
                <w:sz w:val="22"/>
                <w:szCs w:val="22"/>
                <w:lang w:eastAsia="zh-CN"/>
              </w:rPr>
              <w:t>1</w:t>
            </w:r>
          </w:p>
        </w:tc>
        <w:tc>
          <w:tcPr>
            <w:tcW w:w="1364" w:type="dxa"/>
            <w:vMerge w:val="continue"/>
            <w:tcBorders>
              <w:top w:val="single" w:color="auto" w:sz="4" w:space="0"/>
              <w:left w:val="single" w:color="000000" w:sz="4" w:space="0"/>
              <w:bottom w:val="single" w:color="000000" w:sz="4" w:space="0"/>
              <w:right w:val="single" w:color="000000" w:sz="4" w:space="0"/>
            </w:tcBorders>
            <w:noWrap/>
            <w:vAlign w:val="center"/>
          </w:tcPr>
          <w:p w14:paraId="7D40B4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eastAsia="zh-CN"/>
              </w:rPr>
            </w:pPr>
          </w:p>
        </w:tc>
        <w:tc>
          <w:tcPr>
            <w:tcW w:w="1309" w:type="dxa"/>
            <w:vMerge w:val="continue"/>
            <w:tcBorders>
              <w:top w:val="single" w:color="auto" w:sz="4" w:space="0"/>
              <w:left w:val="single" w:color="000000" w:sz="4" w:space="0"/>
              <w:bottom w:val="single" w:color="000000" w:sz="4" w:space="0"/>
              <w:right w:val="single" w:color="000000" w:sz="4" w:space="0"/>
            </w:tcBorders>
            <w:noWrap w:val="0"/>
            <w:vAlign w:val="center"/>
          </w:tcPr>
          <w:p w14:paraId="5CAA8DAA">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2"/>
                <w:lang w:eastAsia="zh-CN"/>
              </w:rPr>
            </w:pPr>
          </w:p>
        </w:tc>
        <w:tc>
          <w:tcPr>
            <w:tcW w:w="1836" w:type="dxa"/>
            <w:vMerge w:val="continue"/>
            <w:tcBorders>
              <w:top w:val="single" w:color="auto" w:sz="4" w:space="0"/>
              <w:left w:val="single" w:color="000000" w:sz="4" w:space="0"/>
              <w:bottom w:val="single" w:color="000000" w:sz="4" w:space="0"/>
              <w:right w:val="single" w:color="auto" w:sz="4" w:space="0"/>
            </w:tcBorders>
            <w:noWrap w:val="0"/>
            <w:vAlign w:val="center"/>
          </w:tcPr>
          <w:p w14:paraId="276CD387">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lang w:eastAsia="zh-CN"/>
              </w:rPr>
            </w:pPr>
          </w:p>
        </w:tc>
      </w:tr>
      <w:tr w14:paraId="54896A16">
        <w:tblPrEx>
          <w:tblCellMar>
            <w:top w:w="0" w:type="dxa"/>
            <w:left w:w="108" w:type="dxa"/>
            <w:bottom w:w="0" w:type="dxa"/>
            <w:right w:w="108" w:type="dxa"/>
          </w:tblCellMar>
        </w:tblPrEx>
        <w:trPr>
          <w:trHeight w:val="632" w:hRule="atLeast"/>
          <w:jc w:val="center"/>
        </w:trPr>
        <w:tc>
          <w:tcPr>
            <w:tcW w:w="704" w:type="dxa"/>
            <w:tcBorders>
              <w:top w:val="single" w:color="000000" w:sz="4" w:space="0"/>
              <w:left w:val="single" w:color="000000" w:sz="4" w:space="0"/>
              <w:bottom w:val="single" w:color="000000" w:sz="4" w:space="0"/>
              <w:right w:val="single" w:color="000000" w:sz="4" w:space="0"/>
            </w:tcBorders>
            <w:noWrap/>
            <w:vAlign w:val="center"/>
          </w:tcPr>
          <w:p w14:paraId="2C571B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7</w:t>
            </w:r>
          </w:p>
        </w:tc>
        <w:tc>
          <w:tcPr>
            <w:tcW w:w="1405" w:type="dxa"/>
            <w:tcBorders>
              <w:top w:val="single" w:color="000000" w:sz="4" w:space="0"/>
              <w:left w:val="single" w:color="000000" w:sz="4" w:space="0"/>
              <w:bottom w:val="single" w:color="000000" w:sz="4" w:space="0"/>
              <w:right w:val="single" w:color="000000" w:sz="4" w:space="0"/>
            </w:tcBorders>
            <w:noWrap/>
            <w:vAlign w:val="center"/>
          </w:tcPr>
          <w:p w14:paraId="5989786B">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sz w:val="22"/>
                <w:szCs w:val="22"/>
                <w:lang w:eastAsia="zh-CN"/>
              </w:rPr>
            </w:pPr>
            <w:r>
              <w:rPr>
                <w:rFonts w:hint="eastAsia" w:ascii="宋体" w:hAnsi="宋体" w:eastAsia="宋体" w:cs="宋体"/>
                <w:color w:val="000000"/>
                <w:sz w:val="22"/>
                <w:szCs w:val="22"/>
                <w:lang w:eastAsia="zh-CN"/>
              </w:rPr>
              <w:t>灭火剂瓶</w:t>
            </w:r>
          </w:p>
        </w:tc>
        <w:tc>
          <w:tcPr>
            <w:tcW w:w="1456" w:type="dxa"/>
            <w:tcBorders>
              <w:top w:val="single" w:color="000000" w:sz="4" w:space="0"/>
              <w:left w:val="single" w:color="000000" w:sz="4" w:space="0"/>
              <w:bottom w:val="single" w:color="000000" w:sz="4" w:space="0"/>
              <w:right w:val="single" w:color="000000" w:sz="4" w:space="0"/>
            </w:tcBorders>
            <w:noWrap/>
            <w:vAlign w:val="center"/>
          </w:tcPr>
          <w:p w14:paraId="5DF16C4B">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kern w:val="2"/>
                <w:sz w:val="22"/>
                <w:szCs w:val="22"/>
                <w:lang w:eastAsia="zh-CN"/>
              </w:rPr>
            </w:pPr>
            <w:r>
              <w:rPr>
                <w:rFonts w:hint="eastAsia" w:ascii="宋体" w:hAnsi="宋体" w:eastAsia="宋体" w:cs="宋体"/>
                <w:color w:val="000000"/>
                <w:kern w:val="2"/>
                <w:sz w:val="22"/>
                <w:szCs w:val="22"/>
                <w:lang w:eastAsia="zh-CN"/>
              </w:rPr>
              <w:t>QMP70/2.5</w:t>
            </w:r>
          </w:p>
        </w:tc>
        <w:tc>
          <w:tcPr>
            <w:tcW w:w="767" w:type="dxa"/>
            <w:tcBorders>
              <w:top w:val="single" w:color="000000" w:sz="4" w:space="0"/>
              <w:left w:val="single" w:color="000000" w:sz="4" w:space="0"/>
              <w:bottom w:val="single" w:color="000000" w:sz="4" w:space="0"/>
              <w:right w:val="single" w:color="000000" w:sz="4" w:space="0"/>
            </w:tcBorders>
            <w:noWrap/>
            <w:vAlign w:val="center"/>
          </w:tcPr>
          <w:p w14:paraId="4C382F7E">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kern w:val="2"/>
                <w:sz w:val="22"/>
                <w:szCs w:val="22"/>
                <w:lang w:eastAsia="zh-CN"/>
              </w:rPr>
            </w:pPr>
            <w:r>
              <w:rPr>
                <w:rFonts w:hint="eastAsia" w:ascii="宋体" w:hAnsi="宋体" w:eastAsia="宋体" w:cs="宋体"/>
                <w:color w:val="000000"/>
                <w:kern w:val="2"/>
                <w:sz w:val="22"/>
                <w:szCs w:val="22"/>
                <w:lang w:eastAsia="zh-CN"/>
              </w:rPr>
              <w:t>50</w:t>
            </w:r>
          </w:p>
        </w:tc>
        <w:tc>
          <w:tcPr>
            <w:tcW w:w="947" w:type="dxa"/>
            <w:tcBorders>
              <w:top w:val="single" w:color="000000" w:sz="4" w:space="0"/>
              <w:left w:val="single" w:color="000000" w:sz="4" w:space="0"/>
              <w:bottom w:val="single" w:color="000000" w:sz="4" w:space="0"/>
              <w:right w:val="single" w:color="000000" w:sz="4" w:space="0"/>
            </w:tcBorders>
            <w:noWrap/>
            <w:vAlign w:val="center"/>
          </w:tcPr>
          <w:p w14:paraId="4F97BDBE">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kern w:val="2"/>
                <w:sz w:val="22"/>
                <w:szCs w:val="22"/>
                <w:lang w:eastAsia="zh-CN"/>
              </w:rPr>
            </w:pPr>
            <w:r>
              <w:rPr>
                <w:rFonts w:hint="eastAsia" w:ascii="宋体" w:hAnsi="宋体" w:eastAsia="宋体" w:cs="宋体"/>
                <w:color w:val="000000"/>
                <w:kern w:val="2"/>
                <w:sz w:val="22"/>
                <w:szCs w:val="22"/>
                <w:lang w:eastAsia="zh-CN"/>
              </w:rPr>
              <w:t>2.5</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62A80140">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sz w:val="22"/>
                <w:szCs w:val="22"/>
                <w:lang w:eastAsia="zh-CN"/>
              </w:rPr>
            </w:pPr>
            <w:r>
              <w:rPr>
                <w:rFonts w:hint="eastAsia" w:ascii="宋体" w:hAnsi="宋体" w:eastAsia="宋体" w:cs="宋体"/>
                <w:color w:val="000000"/>
                <w:sz w:val="22"/>
                <w:szCs w:val="22"/>
                <w:lang w:eastAsia="zh-CN"/>
              </w:rPr>
              <w:t>1</w:t>
            </w: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1BF2E3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2022年6月</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376A60E">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2022年5月</w:t>
            </w:r>
          </w:p>
        </w:tc>
        <w:tc>
          <w:tcPr>
            <w:tcW w:w="1836" w:type="dxa"/>
            <w:tcBorders>
              <w:top w:val="single" w:color="000000" w:sz="4" w:space="0"/>
              <w:left w:val="single" w:color="000000" w:sz="4" w:space="0"/>
              <w:bottom w:val="single" w:color="000000" w:sz="4" w:space="0"/>
              <w:right w:val="single" w:color="000000" w:sz="4" w:space="0"/>
            </w:tcBorders>
            <w:noWrap w:val="0"/>
            <w:vAlign w:val="center"/>
          </w:tcPr>
          <w:p w14:paraId="0E4401D7">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lang w:eastAsia="zh-CN"/>
              </w:rPr>
            </w:pPr>
            <w:r>
              <w:rPr>
                <w:rFonts w:hint="eastAsia" w:ascii="宋体" w:hAnsi="宋体" w:eastAsia="宋体" w:cs="宋体"/>
                <w:color w:val="000000"/>
                <w:kern w:val="2"/>
                <w:sz w:val="22"/>
                <w:szCs w:val="22"/>
                <w:lang w:eastAsia="zh-CN"/>
              </w:rPr>
              <w:t>B106电讯房</w:t>
            </w:r>
          </w:p>
        </w:tc>
      </w:tr>
      <w:tr w14:paraId="463620D3">
        <w:tblPrEx>
          <w:tblCellMar>
            <w:top w:w="0" w:type="dxa"/>
            <w:left w:w="108" w:type="dxa"/>
            <w:bottom w:w="0" w:type="dxa"/>
            <w:right w:w="108" w:type="dxa"/>
          </w:tblCellMar>
        </w:tblPrEx>
        <w:trPr>
          <w:trHeight w:val="632" w:hRule="atLeast"/>
          <w:jc w:val="center"/>
        </w:trPr>
        <w:tc>
          <w:tcPr>
            <w:tcW w:w="704" w:type="dxa"/>
            <w:tcBorders>
              <w:top w:val="single" w:color="000000" w:sz="4" w:space="0"/>
              <w:left w:val="single" w:color="000000" w:sz="4" w:space="0"/>
              <w:bottom w:val="single" w:color="000000" w:sz="4" w:space="0"/>
              <w:right w:val="single" w:color="000000" w:sz="4" w:space="0"/>
            </w:tcBorders>
            <w:noWrap/>
            <w:vAlign w:val="center"/>
          </w:tcPr>
          <w:p w14:paraId="610FB0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8</w:t>
            </w:r>
          </w:p>
        </w:tc>
        <w:tc>
          <w:tcPr>
            <w:tcW w:w="1405" w:type="dxa"/>
            <w:tcBorders>
              <w:top w:val="single" w:color="000000" w:sz="4" w:space="0"/>
              <w:left w:val="single" w:color="000000" w:sz="4" w:space="0"/>
              <w:bottom w:val="single" w:color="000000" w:sz="4" w:space="0"/>
              <w:right w:val="single" w:color="000000" w:sz="4" w:space="0"/>
            </w:tcBorders>
            <w:noWrap/>
            <w:vAlign w:val="center"/>
          </w:tcPr>
          <w:p w14:paraId="75FABE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灭火剂瓶</w:t>
            </w:r>
          </w:p>
        </w:tc>
        <w:tc>
          <w:tcPr>
            <w:tcW w:w="1456" w:type="dxa"/>
            <w:tcBorders>
              <w:top w:val="single" w:color="000000" w:sz="4" w:space="0"/>
              <w:left w:val="single" w:color="000000" w:sz="4" w:space="0"/>
              <w:bottom w:val="single" w:color="000000" w:sz="4" w:space="0"/>
              <w:right w:val="single" w:color="000000" w:sz="4" w:space="0"/>
            </w:tcBorders>
            <w:noWrap/>
            <w:vAlign w:val="center"/>
          </w:tcPr>
          <w:p w14:paraId="5591F991">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kern w:val="2"/>
                <w:sz w:val="22"/>
                <w:szCs w:val="22"/>
                <w:lang w:eastAsia="zh-CN"/>
              </w:rPr>
            </w:pPr>
            <w:r>
              <w:rPr>
                <w:rFonts w:hint="eastAsia" w:ascii="宋体" w:hAnsi="宋体" w:eastAsia="宋体" w:cs="宋体"/>
                <w:color w:val="000000"/>
                <w:kern w:val="2"/>
                <w:sz w:val="22"/>
                <w:szCs w:val="22"/>
                <w:lang w:eastAsia="zh-CN"/>
              </w:rPr>
              <w:t>QMP70/2.5</w:t>
            </w:r>
          </w:p>
        </w:tc>
        <w:tc>
          <w:tcPr>
            <w:tcW w:w="767" w:type="dxa"/>
            <w:tcBorders>
              <w:top w:val="single" w:color="000000" w:sz="4" w:space="0"/>
              <w:left w:val="single" w:color="000000" w:sz="4" w:space="0"/>
              <w:bottom w:val="single" w:color="000000" w:sz="4" w:space="0"/>
              <w:right w:val="single" w:color="000000" w:sz="4" w:space="0"/>
            </w:tcBorders>
            <w:noWrap/>
            <w:vAlign w:val="center"/>
          </w:tcPr>
          <w:p w14:paraId="5D78DFCE">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kern w:val="2"/>
                <w:sz w:val="22"/>
                <w:szCs w:val="22"/>
                <w:lang w:eastAsia="zh-CN"/>
              </w:rPr>
            </w:pPr>
            <w:r>
              <w:rPr>
                <w:rFonts w:hint="eastAsia" w:ascii="宋体" w:hAnsi="宋体" w:eastAsia="宋体" w:cs="宋体"/>
                <w:color w:val="000000"/>
                <w:kern w:val="2"/>
                <w:sz w:val="22"/>
                <w:szCs w:val="22"/>
                <w:lang w:eastAsia="zh-CN"/>
              </w:rPr>
              <w:t>65</w:t>
            </w:r>
          </w:p>
        </w:tc>
        <w:tc>
          <w:tcPr>
            <w:tcW w:w="947" w:type="dxa"/>
            <w:tcBorders>
              <w:top w:val="single" w:color="000000" w:sz="4" w:space="0"/>
              <w:left w:val="single" w:color="000000" w:sz="4" w:space="0"/>
              <w:bottom w:val="single" w:color="000000" w:sz="4" w:space="0"/>
              <w:right w:val="single" w:color="000000" w:sz="4" w:space="0"/>
            </w:tcBorders>
            <w:noWrap/>
            <w:vAlign w:val="center"/>
          </w:tcPr>
          <w:p w14:paraId="21675B90">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kern w:val="2"/>
                <w:sz w:val="22"/>
                <w:szCs w:val="22"/>
                <w:lang w:eastAsia="zh-CN"/>
              </w:rPr>
            </w:pPr>
            <w:r>
              <w:rPr>
                <w:rFonts w:hint="eastAsia" w:ascii="宋体" w:hAnsi="宋体" w:eastAsia="宋体" w:cs="宋体"/>
                <w:color w:val="000000"/>
                <w:kern w:val="2"/>
                <w:sz w:val="22"/>
                <w:szCs w:val="22"/>
                <w:lang w:eastAsia="zh-CN"/>
              </w:rPr>
              <w:t>2.5</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3338C1F8">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sz w:val="22"/>
                <w:szCs w:val="22"/>
                <w:lang w:eastAsia="zh-CN"/>
              </w:rPr>
            </w:pPr>
            <w:r>
              <w:rPr>
                <w:rFonts w:hint="eastAsia" w:ascii="宋体" w:hAnsi="宋体" w:eastAsia="宋体" w:cs="宋体"/>
                <w:color w:val="000000"/>
                <w:sz w:val="22"/>
                <w:szCs w:val="22"/>
                <w:lang w:eastAsia="zh-CN"/>
              </w:rPr>
              <w:t>1</w:t>
            </w: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1C8A07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2022年6月</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0EF48482">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2022年5月</w:t>
            </w:r>
          </w:p>
        </w:tc>
        <w:tc>
          <w:tcPr>
            <w:tcW w:w="1836" w:type="dxa"/>
            <w:tcBorders>
              <w:top w:val="single" w:color="000000" w:sz="4" w:space="0"/>
              <w:left w:val="single" w:color="000000" w:sz="4" w:space="0"/>
              <w:bottom w:val="single" w:color="000000" w:sz="4" w:space="0"/>
              <w:right w:val="single" w:color="000000" w:sz="4" w:space="0"/>
            </w:tcBorders>
            <w:noWrap w:val="0"/>
            <w:vAlign w:val="center"/>
          </w:tcPr>
          <w:p w14:paraId="4C2BF933">
            <w:pPr>
              <w:keepNext w:val="0"/>
              <w:keepLines w:val="0"/>
              <w:widowControl w:val="0"/>
              <w:suppressLineNumbers w:val="0"/>
              <w:spacing w:before="0" w:beforeAutospacing="0" w:after="0" w:afterAutospacing="0"/>
              <w:ind w:left="0" w:right="0"/>
              <w:jc w:val="center"/>
              <w:rPr>
                <w:rFonts w:ascii="宋体" w:hAnsi="宋体" w:eastAsia="宋体" w:cs="宋体"/>
                <w:color w:val="000000"/>
                <w:kern w:val="2"/>
                <w:sz w:val="22"/>
                <w:szCs w:val="22"/>
                <w:lang w:eastAsia="zh-CN"/>
              </w:rPr>
            </w:pPr>
            <w:r>
              <w:rPr>
                <w:rFonts w:hint="eastAsia" w:ascii="宋体" w:hAnsi="宋体" w:eastAsia="宋体" w:cs="宋体"/>
                <w:color w:val="000000"/>
                <w:kern w:val="2"/>
                <w:sz w:val="22"/>
                <w:szCs w:val="22"/>
                <w:lang w:eastAsia="zh-CN"/>
              </w:rPr>
              <w:t>B105电讯房</w:t>
            </w:r>
          </w:p>
        </w:tc>
      </w:tr>
      <w:tr w14:paraId="7F3EA5FA">
        <w:tblPrEx>
          <w:tblCellMar>
            <w:top w:w="0" w:type="dxa"/>
            <w:left w:w="108" w:type="dxa"/>
            <w:bottom w:w="0" w:type="dxa"/>
            <w:right w:w="108" w:type="dxa"/>
          </w:tblCellMar>
        </w:tblPrEx>
        <w:trPr>
          <w:trHeight w:val="632" w:hRule="atLeast"/>
          <w:jc w:val="center"/>
        </w:trPr>
        <w:tc>
          <w:tcPr>
            <w:tcW w:w="704" w:type="dxa"/>
            <w:tcBorders>
              <w:top w:val="single" w:color="000000" w:sz="4" w:space="0"/>
              <w:left w:val="single" w:color="000000" w:sz="4" w:space="0"/>
              <w:bottom w:val="single" w:color="000000" w:sz="4" w:space="0"/>
              <w:right w:val="single" w:color="000000" w:sz="4" w:space="0"/>
            </w:tcBorders>
            <w:noWrap/>
            <w:vAlign w:val="center"/>
          </w:tcPr>
          <w:p w14:paraId="109D82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9</w:t>
            </w:r>
          </w:p>
        </w:tc>
        <w:tc>
          <w:tcPr>
            <w:tcW w:w="1405" w:type="dxa"/>
            <w:tcBorders>
              <w:top w:val="single" w:color="000000" w:sz="4" w:space="0"/>
              <w:left w:val="single" w:color="000000" w:sz="4" w:space="0"/>
              <w:bottom w:val="single" w:color="000000" w:sz="4" w:space="0"/>
              <w:right w:val="single" w:color="000000" w:sz="4" w:space="0"/>
            </w:tcBorders>
            <w:noWrap/>
            <w:vAlign w:val="center"/>
          </w:tcPr>
          <w:p w14:paraId="5C1ABE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灭火剂瓶</w:t>
            </w:r>
          </w:p>
        </w:tc>
        <w:tc>
          <w:tcPr>
            <w:tcW w:w="1456" w:type="dxa"/>
            <w:tcBorders>
              <w:top w:val="single" w:color="000000" w:sz="4" w:space="0"/>
              <w:left w:val="single" w:color="000000" w:sz="4" w:space="0"/>
              <w:bottom w:val="single" w:color="000000" w:sz="4" w:space="0"/>
              <w:right w:val="single" w:color="000000" w:sz="4" w:space="0"/>
            </w:tcBorders>
            <w:noWrap/>
            <w:vAlign w:val="center"/>
          </w:tcPr>
          <w:p w14:paraId="7EC4F9BD">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kern w:val="2"/>
                <w:sz w:val="22"/>
                <w:szCs w:val="22"/>
                <w:lang w:eastAsia="zh-CN"/>
              </w:rPr>
            </w:pPr>
            <w:r>
              <w:rPr>
                <w:rFonts w:hint="eastAsia" w:ascii="宋体" w:hAnsi="宋体" w:eastAsia="宋体" w:cs="宋体"/>
                <w:color w:val="000000"/>
                <w:kern w:val="2"/>
                <w:sz w:val="22"/>
                <w:szCs w:val="22"/>
                <w:lang w:eastAsia="zh-CN"/>
              </w:rPr>
              <w:t>QMP40/2.5</w:t>
            </w:r>
          </w:p>
        </w:tc>
        <w:tc>
          <w:tcPr>
            <w:tcW w:w="767" w:type="dxa"/>
            <w:tcBorders>
              <w:top w:val="single" w:color="000000" w:sz="4" w:space="0"/>
              <w:left w:val="single" w:color="000000" w:sz="4" w:space="0"/>
              <w:bottom w:val="single" w:color="000000" w:sz="4" w:space="0"/>
              <w:right w:val="single" w:color="000000" w:sz="4" w:space="0"/>
            </w:tcBorders>
            <w:noWrap/>
            <w:vAlign w:val="center"/>
          </w:tcPr>
          <w:p w14:paraId="4440FF81">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kern w:val="2"/>
                <w:sz w:val="22"/>
                <w:szCs w:val="22"/>
                <w:lang w:eastAsia="zh-CN"/>
              </w:rPr>
            </w:pPr>
            <w:r>
              <w:rPr>
                <w:rFonts w:hint="eastAsia" w:ascii="宋体" w:hAnsi="宋体" w:eastAsia="宋体" w:cs="宋体"/>
                <w:color w:val="000000"/>
                <w:kern w:val="2"/>
                <w:sz w:val="22"/>
                <w:szCs w:val="22"/>
                <w:lang w:eastAsia="zh-CN"/>
              </w:rPr>
              <w:t>31</w:t>
            </w:r>
          </w:p>
        </w:tc>
        <w:tc>
          <w:tcPr>
            <w:tcW w:w="947" w:type="dxa"/>
            <w:tcBorders>
              <w:top w:val="single" w:color="000000" w:sz="4" w:space="0"/>
              <w:left w:val="single" w:color="000000" w:sz="4" w:space="0"/>
              <w:bottom w:val="single" w:color="000000" w:sz="4" w:space="0"/>
              <w:right w:val="single" w:color="000000" w:sz="4" w:space="0"/>
            </w:tcBorders>
            <w:noWrap/>
            <w:vAlign w:val="center"/>
          </w:tcPr>
          <w:p w14:paraId="0A52A195">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kern w:val="2"/>
                <w:sz w:val="22"/>
                <w:szCs w:val="22"/>
                <w:lang w:eastAsia="zh-CN"/>
              </w:rPr>
            </w:pPr>
            <w:r>
              <w:rPr>
                <w:rFonts w:hint="eastAsia" w:ascii="宋体" w:hAnsi="宋体" w:eastAsia="宋体" w:cs="宋体"/>
                <w:color w:val="000000"/>
                <w:kern w:val="2"/>
                <w:sz w:val="22"/>
                <w:szCs w:val="22"/>
                <w:lang w:eastAsia="zh-CN"/>
              </w:rPr>
              <w:t>2.5</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5C0DF7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1</w:t>
            </w: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2A2510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2022年6月</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1D11E862">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2022年5月</w:t>
            </w:r>
          </w:p>
        </w:tc>
        <w:tc>
          <w:tcPr>
            <w:tcW w:w="1836" w:type="dxa"/>
            <w:tcBorders>
              <w:top w:val="single" w:color="000000" w:sz="4" w:space="0"/>
              <w:left w:val="single" w:color="000000" w:sz="4" w:space="0"/>
              <w:bottom w:val="single" w:color="000000" w:sz="4" w:space="0"/>
              <w:right w:val="single" w:color="000000" w:sz="4" w:space="0"/>
            </w:tcBorders>
            <w:noWrap w:val="0"/>
            <w:vAlign w:val="center"/>
          </w:tcPr>
          <w:p w14:paraId="500E2212">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lang w:eastAsia="zh-CN"/>
              </w:rPr>
            </w:pPr>
            <w:r>
              <w:rPr>
                <w:rFonts w:hint="eastAsia" w:ascii="宋体" w:hAnsi="宋体" w:eastAsia="宋体" w:cs="宋体"/>
                <w:color w:val="000000"/>
                <w:kern w:val="2"/>
                <w:sz w:val="22"/>
                <w:szCs w:val="22"/>
                <w:lang w:eastAsia="zh-CN"/>
              </w:rPr>
              <w:t>B104电讯房</w:t>
            </w:r>
          </w:p>
        </w:tc>
      </w:tr>
      <w:tr w14:paraId="57D68A71">
        <w:tblPrEx>
          <w:tblCellMar>
            <w:top w:w="0" w:type="dxa"/>
            <w:left w:w="108" w:type="dxa"/>
            <w:bottom w:w="0" w:type="dxa"/>
            <w:right w:w="108" w:type="dxa"/>
          </w:tblCellMar>
        </w:tblPrEx>
        <w:trPr>
          <w:trHeight w:val="727" w:hRule="atLeast"/>
          <w:jc w:val="center"/>
        </w:trPr>
        <w:tc>
          <w:tcPr>
            <w:tcW w:w="704" w:type="dxa"/>
            <w:tcBorders>
              <w:top w:val="single" w:color="000000" w:sz="4" w:space="0"/>
              <w:left w:val="single" w:color="000000" w:sz="4" w:space="0"/>
              <w:bottom w:val="single" w:color="000000" w:sz="4" w:space="0"/>
              <w:right w:val="single" w:color="000000" w:sz="4" w:space="0"/>
            </w:tcBorders>
            <w:noWrap/>
            <w:vAlign w:val="center"/>
          </w:tcPr>
          <w:p w14:paraId="72F6271D">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sz w:val="22"/>
                <w:szCs w:val="22"/>
                <w:lang w:eastAsia="zh-CN"/>
              </w:rPr>
            </w:pPr>
            <w:r>
              <w:rPr>
                <w:rFonts w:hint="eastAsia" w:ascii="宋体" w:hAnsi="宋体" w:eastAsia="宋体" w:cs="宋体"/>
                <w:color w:val="000000"/>
                <w:sz w:val="22"/>
                <w:szCs w:val="22"/>
                <w:lang w:eastAsia="zh-CN"/>
              </w:rPr>
              <w:t>10</w:t>
            </w:r>
          </w:p>
        </w:tc>
        <w:tc>
          <w:tcPr>
            <w:tcW w:w="1405" w:type="dxa"/>
            <w:tcBorders>
              <w:top w:val="single" w:color="000000" w:sz="4" w:space="0"/>
              <w:left w:val="single" w:color="000000" w:sz="4" w:space="0"/>
              <w:bottom w:val="single" w:color="000000" w:sz="4" w:space="0"/>
              <w:right w:val="single" w:color="000000" w:sz="4" w:space="0"/>
            </w:tcBorders>
            <w:noWrap/>
            <w:vAlign w:val="center"/>
          </w:tcPr>
          <w:p w14:paraId="4D922D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灭火剂瓶</w:t>
            </w:r>
          </w:p>
        </w:tc>
        <w:tc>
          <w:tcPr>
            <w:tcW w:w="1456" w:type="dxa"/>
            <w:tcBorders>
              <w:top w:val="single" w:color="000000" w:sz="4" w:space="0"/>
              <w:left w:val="single" w:color="000000" w:sz="4" w:space="0"/>
              <w:bottom w:val="single" w:color="000000" w:sz="4" w:space="0"/>
              <w:right w:val="single" w:color="000000" w:sz="4" w:space="0"/>
            </w:tcBorders>
            <w:noWrap/>
            <w:vAlign w:val="center"/>
          </w:tcPr>
          <w:p w14:paraId="41AE7B16">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kern w:val="2"/>
                <w:sz w:val="22"/>
                <w:szCs w:val="22"/>
                <w:lang w:eastAsia="zh-CN"/>
              </w:rPr>
            </w:pPr>
            <w:r>
              <w:rPr>
                <w:rFonts w:hint="eastAsia" w:ascii="宋体" w:hAnsi="宋体" w:eastAsia="宋体" w:cs="宋体"/>
                <w:color w:val="000000"/>
                <w:kern w:val="2"/>
                <w:sz w:val="22"/>
                <w:szCs w:val="22"/>
                <w:lang w:eastAsia="zh-CN"/>
              </w:rPr>
              <w:t>QMP70/2.5</w:t>
            </w:r>
          </w:p>
        </w:tc>
        <w:tc>
          <w:tcPr>
            <w:tcW w:w="767" w:type="dxa"/>
            <w:tcBorders>
              <w:top w:val="single" w:color="000000" w:sz="4" w:space="0"/>
              <w:left w:val="single" w:color="000000" w:sz="4" w:space="0"/>
              <w:bottom w:val="single" w:color="000000" w:sz="4" w:space="0"/>
              <w:right w:val="single" w:color="000000" w:sz="4" w:space="0"/>
            </w:tcBorders>
            <w:noWrap/>
            <w:vAlign w:val="center"/>
          </w:tcPr>
          <w:p w14:paraId="46E06D3E">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kern w:val="2"/>
                <w:sz w:val="22"/>
                <w:szCs w:val="22"/>
                <w:lang w:eastAsia="zh-CN"/>
              </w:rPr>
            </w:pPr>
            <w:r>
              <w:rPr>
                <w:rFonts w:hint="eastAsia" w:ascii="宋体" w:hAnsi="宋体" w:eastAsia="宋体" w:cs="宋体"/>
                <w:color w:val="000000"/>
                <w:kern w:val="2"/>
                <w:sz w:val="22"/>
                <w:szCs w:val="22"/>
                <w:lang w:eastAsia="zh-CN"/>
              </w:rPr>
              <w:t>52</w:t>
            </w:r>
          </w:p>
        </w:tc>
        <w:tc>
          <w:tcPr>
            <w:tcW w:w="947" w:type="dxa"/>
            <w:tcBorders>
              <w:top w:val="single" w:color="000000" w:sz="4" w:space="0"/>
              <w:left w:val="single" w:color="000000" w:sz="4" w:space="0"/>
              <w:bottom w:val="single" w:color="000000" w:sz="4" w:space="0"/>
              <w:right w:val="single" w:color="000000" w:sz="4" w:space="0"/>
            </w:tcBorders>
            <w:noWrap/>
            <w:vAlign w:val="center"/>
          </w:tcPr>
          <w:p w14:paraId="2842DBB0">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kern w:val="2"/>
                <w:sz w:val="22"/>
                <w:szCs w:val="22"/>
                <w:lang w:eastAsia="zh-CN"/>
              </w:rPr>
            </w:pPr>
            <w:r>
              <w:rPr>
                <w:rFonts w:hint="eastAsia" w:ascii="宋体" w:hAnsi="宋体" w:eastAsia="宋体" w:cs="宋体"/>
                <w:color w:val="000000"/>
                <w:kern w:val="2"/>
                <w:sz w:val="22"/>
                <w:szCs w:val="22"/>
                <w:lang w:eastAsia="zh-CN"/>
              </w:rPr>
              <w:t>2.5</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7AF7A7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1</w:t>
            </w: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2BA7DC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2022年6月</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123D1725">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2022年5月</w:t>
            </w:r>
          </w:p>
        </w:tc>
        <w:tc>
          <w:tcPr>
            <w:tcW w:w="1836" w:type="dxa"/>
            <w:tcBorders>
              <w:top w:val="single" w:color="000000" w:sz="4" w:space="0"/>
              <w:left w:val="single" w:color="000000" w:sz="4" w:space="0"/>
              <w:bottom w:val="single" w:color="000000" w:sz="4" w:space="0"/>
              <w:right w:val="single" w:color="000000" w:sz="4" w:space="0"/>
            </w:tcBorders>
            <w:noWrap w:val="0"/>
            <w:vAlign w:val="center"/>
          </w:tcPr>
          <w:p w14:paraId="38E9B412">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lang w:eastAsia="zh-CN"/>
              </w:rPr>
            </w:pPr>
            <w:r>
              <w:rPr>
                <w:rFonts w:hint="eastAsia" w:ascii="宋体" w:hAnsi="宋体" w:eastAsia="宋体" w:cs="宋体"/>
                <w:color w:val="000000"/>
                <w:kern w:val="2"/>
                <w:sz w:val="22"/>
                <w:szCs w:val="22"/>
                <w:lang w:eastAsia="zh-CN"/>
              </w:rPr>
              <w:t>B109天威房（没有钥匙）</w:t>
            </w:r>
          </w:p>
        </w:tc>
      </w:tr>
      <w:tr w14:paraId="3E385C36">
        <w:tblPrEx>
          <w:tblCellMar>
            <w:top w:w="0" w:type="dxa"/>
            <w:left w:w="108" w:type="dxa"/>
            <w:bottom w:w="0" w:type="dxa"/>
            <w:right w:w="108" w:type="dxa"/>
          </w:tblCellMar>
        </w:tblPrEx>
        <w:trPr>
          <w:trHeight w:val="742" w:hRule="atLeast"/>
          <w:jc w:val="center"/>
        </w:trPr>
        <w:tc>
          <w:tcPr>
            <w:tcW w:w="704" w:type="dxa"/>
            <w:tcBorders>
              <w:top w:val="single" w:color="000000" w:sz="4" w:space="0"/>
              <w:left w:val="single" w:color="000000" w:sz="4" w:space="0"/>
              <w:bottom w:val="single" w:color="000000" w:sz="4" w:space="0"/>
              <w:right w:val="single" w:color="000000" w:sz="4" w:space="0"/>
            </w:tcBorders>
            <w:noWrap/>
            <w:vAlign w:val="center"/>
          </w:tcPr>
          <w:p w14:paraId="0B4A5E38">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sz w:val="22"/>
                <w:szCs w:val="22"/>
                <w:lang w:eastAsia="zh-CN"/>
              </w:rPr>
            </w:pPr>
            <w:r>
              <w:rPr>
                <w:rFonts w:hint="eastAsia" w:ascii="宋体" w:hAnsi="宋体" w:eastAsia="宋体" w:cs="宋体"/>
                <w:color w:val="000000"/>
                <w:sz w:val="22"/>
                <w:szCs w:val="22"/>
                <w:lang w:eastAsia="zh-CN"/>
              </w:rPr>
              <w:t>11</w:t>
            </w:r>
          </w:p>
        </w:tc>
        <w:tc>
          <w:tcPr>
            <w:tcW w:w="1405" w:type="dxa"/>
            <w:tcBorders>
              <w:top w:val="single" w:color="000000" w:sz="4" w:space="0"/>
              <w:left w:val="single" w:color="000000" w:sz="4" w:space="0"/>
              <w:bottom w:val="single" w:color="000000" w:sz="4" w:space="0"/>
              <w:right w:val="single" w:color="000000" w:sz="4" w:space="0"/>
            </w:tcBorders>
            <w:noWrap/>
            <w:vAlign w:val="center"/>
          </w:tcPr>
          <w:p w14:paraId="5973B5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灭火剂瓶</w:t>
            </w:r>
          </w:p>
        </w:tc>
        <w:tc>
          <w:tcPr>
            <w:tcW w:w="1456" w:type="dxa"/>
            <w:tcBorders>
              <w:top w:val="single" w:color="000000" w:sz="4" w:space="0"/>
              <w:left w:val="single" w:color="000000" w:sz="4" w:space="0"/>
              <w:bottom w:val="single" w:color="000000" w:sz="4" w:space="0"/>
              <w:right w:val="single" w:color="000000" w:sz="4" w:space="0"/>
            </w:tcBorders>
            <w:noWrap/>
            <w:vAlign w:val="center"/>
          </w:tcPr>
          <w:p w14:paraId="7F21A287">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kern w:val="2"/>
                <w:sz w:val="22"/>
                <w:szCs w:val="22"/>
                <w:lang w:eastAsia="zh-CN"/>
              </w:rPr>
            </w:pPr>
            <w:r>
              <w:rPr>
                <w:rFonts w:hint="eastAsia" w:ascii="宋体" w:hAnsi="宋体" w:eastAsia="宋体" w:cs="宋体"/>
                <w:color w:val="000000"/>
                <w:kern w:val="2"/>
                <w:sz w:val="22"/>
                <w:szCs w:val="22"/>
                <w:lang w:eastAsia="zh-CN"/>
              </w:rPr>
              <w:t>QMP100/2.5</w:t>
            </w:r>
          </w:p>
        </w:tc>
        <w:tc>
          <w:tcPr>
            <w:tcW w:w="767" w:type="dxa"/>
            <w:tcBorders>
              <w:top w:val="single" w:color="000000" w:sz="4" w:space="0"/>
              <w:left w:val="single" w:color="000000" w:sz="4" w:space="0"/>
              <w:bottom w:val="single" w:color="000000" w:sz="4" w:space="0"/>
              <w:right w:val="single" w:color="000000" w:sz="4" w:space="0"/>
            </w:tcBorders>
            <w:noWrap/>
            <w:vAlign w:val="center"/>
          </w:tcPr>
          <w:p w14:paraId="7A26D8CF">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kern w:val="2"/>
                <w:sz w:val="22"/>
                <w:szCs w:val="22"/>
                <w:lang w:eastAsia="zh-CN"/>
              </w:rPr>
            </w:pPr>
            <w:r>
              <w:rPr>
                <w:rFonts w:hint="eastAsia" w:ascii="宋体" w:hAnsi="宋体" w:eastAsia="宋体" w:cs="宋体"/>
                <w:color w:val="000000"/>
                <w:kern w:val="2"/>
                <w:sz w:val="22"/>
                <w:szCs w:val="22"/>
                <w:lang w:eastAsia="zh-CN"/>
              </w:rPr>
              <w:t>103</w:t>
            </w:r>
          </w:p>
        </w:tc>
        <w:tc>
          <w:tcPr>
            <w:tcW w:w="947" w:type="dxa"/>
            <w:tcBorders>
              <w:top w:val="single" w:color="000000" w:sz="4" w:space="0"/>
              <w:left w:val="single" w:color="000000" w:sz="4" w:space="0"/>
              <w:bottom w:val="single" w:color="000000" w:sz="4" w:space="0"/>
              <w:right w:val="single" w:color="000000" w:sz="4" w:space="0"/>
            </w:tcBorders>
            <w:noWrap/>
            <w:vAlign w:val="center"/>
          </w:tcPr>
          <w:p w14:paraId="6B4AA3E8">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kern w:val="2"/>
                <w:sz w:val="22"/>
                <w:szCs w:val="22"/>
                <w:lang w:eastAsia="zh-CN"/>
              </w:rPr>
            </w:pPr>
            <w:r>
              <w:rPr>
                <w:rFonts w:hint="eastAsia" w:ascii="宋体" w:hAnsi="宋体" w:eastAsia="宋体" w:cs="宋体"/>
                <w:color w:val="000000"/>
                <w:kern w:val="2"/>
                <w:sz w:val="22"/>
                <w:szCs w:val="22"/>
                <w:lang w:eastAsia="zh-CN"/>
              </w:rPr>
              <w:t>2.5</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493C1F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1</w:t>
            </w: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1E1CDD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2022年6月</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E35C69B">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2022年5月</w:t>
            </w:r>
          </w:p>
        </w:tc>
        <w:tc>
          <w:tcPr>
            <w:tcW w:w="1836" w:type="dxa"/>
            <w:tcBorders>
              <w:top w:val="single" w:color="000000" w:sz="4" w:space="0"/>
              <w:left w:val="single" w:color="000000" w:sz="4" w:space="0"/>
              <w:bottom w:val="single" w:color="000000" w:sz="4" w:space="0"/>
              <w:right w:val="single" w:color="000000" w:sz="4" w:space="0"/>
            </w:tcBorders>
            <w:noWrap w:val="0"/>
            <w:vAlign w:val="center"/>
          </w:tcPr>
          <w:p w14:paraId="5BC40EB4">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lang w:eastAsia="zh-CN"/>
              </w:rPr>
            </w:pPr>
            <w:r>
              <w:rPr>
                <w:rFonts w:hint="eastAsia" w:ascii="宋体" w:hAnsi="宋体" w:eastAsia="宋体" w:cs="宋体"/>
                <w:color w:val="000000"/>
                <w:kern w:val="2"/>
                <w:sz w:val="22"/>
                <w:szCs w:val="22"/>
                <w:lang w:eastAsia="zh-CN"/>
              </w:rPr>
              <w:t>B1层高压房（南方电网）</w:t>
            </w:r>
          </w:p>
        </w:tc>
      </w:tr>
      <w:tr w14:paraId="214B730F">
        <w:tblPrEx>
          <w:tblCellMar>
            <w:top w:w="0" w:type="dxa"/>
            <w:left w:w="108" w:type="dxa"/>
            <w:bottom w:w="0" w:type="dxa"/>
            <w:right w:w="108" w:type="dxa"/>
          </w:tblCellMar>
        </w:tblPrEx>
        <w:trPr>
          <w:trHeight w:val="757" w:hRule="atLeast"/>
          <w:jc w:val="center"/>
        </w:trPr>
        <w:tc>
          <w:tcPr>
            <w:tcW w:w="704" w:type="dxa"/>
            <w:tcBorders>
              <w:top w:val="single" w:color="000000" w:sz="4" w:space="0"/>
              <w:left w:val="single" w:color="000000" w:sz="4" w:space="0"/>
              <w:bottom w:val="single" w:color="000000" w:sz="4" w:space="0"/>
              <w:right w:val="single" w:color="000000" w:sz="4" w:space="0"/>
            </w:tcBorders>
            <w:noWrap/>
            <w:vAlign w:val="center"/>
          </w:tcPr>
          <w:p w14:paraId="55B902AF">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sz w:val="22"/>
                <w:szCs w:val="22"/>
                <w:lang w:eastAsia="zh-CN"/>
              </w:rPr>
            </w:pPr>
            <w:r>
              <w:rPr>
                <w:rFonts w:hint="eastAsia" w:ascii="宋体" w:hAnsi="宋体" w:eastAsia="宋体" w:cs="宋体"/>
                <w:color w:val="000000"/>
                <w:sz w:val="22"/>
                <w:szCs w:val="22"/>
                <w:lang w:eastAsia="zh-CN"/>
              </w:rPr>
              <w:t>12</w:t>
            </w:r>
          </w:p>
        </w:tc>
        <w:tc>
          <w:tcPr>
            <w:tcW w:w="1405" w:type="dxa"/>
            <w:tcBorders>
              <w:top w:val="single" w:color="000000" w:sz="4" w:space="0"/>
              <w:left w:val="single" w:color="000000" w:sz="4" w:space="0"/>
              <w:bottom w:val="single" w:color="000000" w:sz="4" w:space="0"/>
              <w:right w:val="single" w:color="000000" w:sz="4" w:space="0"/>
            </w:tcBorders>
            <w:noWrap/>
            <w:vAlign w:val="center"/>
          </w:tcPr>
          <w:p w14:paraId="0A4D9F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灭火剂瓶</w:t>
            </w:r>
          </w:p>
        </w:tc>
        <w:tc>
          <w:tcPr>
            <w:tcW w:w="1456" w:type="dxa"/>
            <w:tcBorders>
              <w:top w:val="single" w:color="000000" w:sz="4" w:space="0"/>
              <w:left w:val="single" w:color="000000" w:sz="4" w:space="0"/>
              <w:bottom w:val="single" w:color="000000" w:sz="4" w:space="0"/>
              <w:right w:val="single" w:color="000000" w:sz="4" w:space="0"/>
            </w:tcBorders>
            <w:noWrap/>
            <w:vAlign w:val="center"/>
          </w:tcPr>
          <w:p w14:paraId="6221F6EF">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kern w:val="2"/>
                <w:sz w:val="22"/>
                <w:szCs w:val="22"/>
                <w:lang w:eastAsia="zh-CN"/>
              </w:rPr>
            </w:pPr>
            <w:r>
              <w:rPr>
                <w:rFonts w:hint="eastAsia" w:ascii="宋体" w:hAnsi="宋体" w:eastAsia="宋体" w:cs="宋体"/>
                <w:color w:val="000000"/>
                <w:kern w:val="2"/>
                <w:sz w:val="22"/>
                <w:szCs w:val="22"/>
                <w:lang w:eastAsia="zh-CN"/>
              </w:rPr>
              <w:t>QMP150/2.5</w:t>
            </w:r>
          </w:p>
        </w:tc>
        <w:tc>
          <w:tcPr>
            <w:tcW w:w="767" w:type="dxa"/>
            <w:tcBorders>
              <w:top w:val="single" w:color="000000" w:sz="4" w:space="0"/>
              <w:left w:val="single" w:color="000000" w:sz="4" w:space="0"/>
              <w:bottom w:val="single" w:color="000000" w:sz="4" w:space="0"/>
              <w:right w:val="single" w:color="000000" w:sz="4" w:space="0"/>
            </w:tcBorders>
            <w:noWrap/>
            <w:vAlign w:val="center"/>
          </w:tcPr>
          <w:p w14:paraId="30917251">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kern w:val="2"/>
                <w:sz w:val="22"/>
                <w:szCs w:val="22"/>
                <w:lang w:eastAsia="zh-CN"/>
              </w:rPr>
            </w:pPr>
            <w:r>
              <w:rPr>
                <w:rFonts w:hint="eastAsia" w:ascii="宋体" w:hAnsi="宋体" w:eastAsia="宋体" w:cs="宋体"/>
                <w:color w:val="000000"/>
                <w:kern w:val="2"/>
                <w:sz w:val="22"/>
                <w:szCs w:val="22"/>
                <w:lang w:eastAsia="zh-CN"/>
              </w:rPr>
              <w:t>138</w:t>
            </w:r>
          </w:p>
        </w:tc>
        <w:tc>
          <w:tcPr>
            <w:tcW w:w="947" w:type="dxa"/>
            <w:tcBorders>
              <w:top w:val="single" w:color="000000" w:sz="4" w:space="0"/>
              <w:left w:val="single" w:color="000000" w:sz="4" w:space="0"/>
              <w:bottom w:val="single" w:color="000000" w:sz="4" w:space="0"/>
              <w:right w:val="single" w:color="000000" w:sz="4" w:space="0"/>
            </w:tcBorders>
            <w:noWrap/>
            <w:vAlign w:val="center"/>
          </w:tcPr>
          <w:p w14:paraId="3834AC4C">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kern w:val="2"/>
                <w:sz w:val="22"/>
                <w:szCs w:val="22"/>
                <w:lang w:eastAsia="zh-CN"/>
              </w:rPr>
            </w:pPr>
            <w:r>
              <w:rPr>
                <w:rFonts w:hint="eastAsia" w:ascii="宋体" w:hAnsi="宋体" w:eastAsia="宋体" w:cs="宋体"/>
                <w:color w:val="000000"/>
                <w:kern w:val="2"/>
                <w:sz w:val="22"/>
                <w:szCs w:val="22"/>
                <w:lang w:eastAsia="zh-CN"/>
              </w:rPr>
              <w:t>2.5</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6FD94784">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sz w:val="22"/>
                <w:szCs w:val="22"/>
                <w:lang w:eastAsia="zh-CN"/>
              </w:rPr>
            </w:pPr>
            <w:r>
              <w:rPr>
                <w:rFonts w:hint="eastAsia" w:ascii="宋体" w:hAnsi="宋体" w:eastAsia="宋体" w:cs="宋体"/>
                <w:color w:val="000000"/>
                <w:sz w:val="22"/>
                <w:szCs w:val="22"/>
                <w:lang w:eastAsia="zh-CN"/>
              </w:rPr>
              <w:t>2</w:t>
            </w: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7B16E3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2022年6月</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0252296A">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2022年5月</w:t>
            </w:r>
          </w:p>
        </w:tc>
        <w:tc>
          <w:tcPr>
            <w:tcW w:w="1836" w:type="dxa"/>
            <w:tcBorders>
              <w:top w:val="single" w:color="000000" w:sz="4" w:space="0"/>
              <w:left w:val="single" w:color="000000" w:sz="4" w:space="0"/>
              <w:bottom w:val="single" w:color="000000" w:sz="4" w:space="0"/>
              <w:right w:val="single" w:color="000000" w:sz="4" w:space="0"/>
            </w:tcBorders>
            <w:noWrap w:val="0"/>
            <w:vAlign w:val="center"/>
          </w:tcPr>
          <w:p w14:paraId="526A342B">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lang w:eastAsia="zh-CN"/>
              </w:rPr>
            </w:pPr>
            <w:r>
              <w:rPr>
                <w:rFonts w:hint="eastAsia" w:ascii="宋体" w:hAnsi="宋体" w:eastAsia="宋体" w:cs="宋体"/>
                <w:color w:val="000000"/>
                <w:kern w:val="2"/>
                <w:sz w:val="22"/>
                <w:szCs w:val="22"/>
                <w:lang w:eastAsia="zh-CN"/>
              </w:rPr>
              <w:t>B1层高压计量房</w:t>
            </w:r>
          </w:p>
        </w:tc>
      </w:tr>
      <w:tr w14:paraId="23F15FF4">
        <w:tblPrEx>
          <w:tblCellMar>
            <w:top w:w="0" w:type="dxa"/>
            <w:left w:w="108" w:type="dxa"/>
            <w:bottom w:w="0" w:type="dxa"/>
            <w:right w:w="108" w:type="dxa"/>
          </w:tblCellMar>
        </w:tblPrEx>
        <w:trPr>
          <w:trHeight w:val="712" w:hRule="atLeast"/>
          <w:jc w:val="center"/>
        </w:trPr>
        <w:tc>
          <w:tcPr>
            <w:tcW w:w="704" w:type="dxa"/>
            <w:tcBorders>
              <w:top w:val="single" w:color="000000" w:sz="4" w:space="0"/>
              <w:left w:val="single" w:color="000000" w:sz="4" w:space="0"/>
              <w:bottom w:val="single" w:color="000000" w:sz="4" w:space="0"/>
              <w:right w:val="single" w:color="000000" w:sz="4" w:space="0"/>
            </w:tcBorders>
            <w:noWrap/>
            <w:vAlign w:val="center"/>
          </w:tcPr>
          <w:p w14:paraId="6E411893">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sz w:val="22"/>
                <w:szCs w:val="22"/>
                <w:lang w:eastAsia="zh-CN"/>
              </w:rPr>
            </w:pPr>
            <w:r>
              <w:rPr>
                <w:rFonts w:hint="eastAsia" w:ascii="宋体" w:hAnsi="宋体" w:eastAsia="宋体" w:cs="宋体"/>
                <w:color w:val="000000"/>
                <w:sz w:val="22"/>
                <w:szCs w:val="22"/>
                <w:lang w:eastAsia="zh-CN"/>
              </w:rPr>
              <w:t>13</w:t>
            </w:r>
          </w:p>
        </w:tc>
        <w:tc>
          <w:tcPr>
            <w:tcW w:w="1405" w:type="dxa"/>
            <w:tcBorders>
              <w:top w:val="single" w:color="000000" w:sz="4" w:space="0"/>
              <w:left w:val="single" w:color="000000" w:sz="4" w:space="0"/>
              <w:bottom w:val="single" w:color="000000" w:sz="4" w:space="0"/>
              <w:right w:val="single" w:color="000000" w:sz="4" w:space="0"/>
            </w:tcBorders>
            <w:noWrap/>
            <w:vAlign w:val="center"/>
          </w:tcPr>
          <w:p w14:paraId="067736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灭火剂瓶</w:t>
            </w:r>
          </w:p>
        </w:tc>
        <w:tc>
          <w:tcPr>
            <w:tcW w:w="1456" w:type="dxa"/>
            <w:tcBorders>
              <w:top w:val="single" w:color="000000" w:sz="4" w:space="0"/>
              <w:left w:val="single" w:color="000000" w:sz="4" w:space="0"/>
              <w:bottom w:val="single" w:color="000000" w:sz="4" w:space="0"/>
              <w:right w:val="single" w:color="000000" w:sz="4" w:space="0"/>
            </w:tcBorders>
            <w:noWrap/>
            <w:vAlign w:val="center"/>
          </w:tcPr>
          <w:p w14:paraId="6DECBF45">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kern w:val="2"/>
                <w:sz w:val="22"/>
                <w:szCs w:val="22"/>
                <w:lang w:eastAsia="zh-CN"/>
              </w:rPr>
            </w:pPr>
            <w:r>
              <w:rPr>
                <w:rFonts w:hint="eastAsia" w:ascii="宋体" w:hAnsi="宋体" w:eastAsia="宋体" w:cs="宋体"/>
                <w:color w:val="000000"/>
                <w:kern w:val="2"/>
                <w:sz w:val="22"/>
                <w:szCs w:val="22"/>
                <w:lang w:eastAsia="zh-CN"/>
              </w:rPr>
              <w:t>QMP120/2.5</w:t>
            </w:r>
          </w:p>
        </w:tc>
        <w:tc>
          <w:tcPr>
            <w:tcW w:w="767" w:type="dxa"/>
            <w:tcBorders>
              <w:top w:val="single" w:color="000000" w:sz="4" w:space="0"/>
              <w:left w:val="single" w:color="000000" w:sz="4" w:space="0"/>
              <w:bottom w:val="single" w:color="000000" w:sz="4" w:space="0"/>
              <w:right w:val="single" w:color="000000" w:sz="4" w:space="0"/>
            </w:tcBorders>
            <w:noWrap/>
            <w:vAlign w:val="center"/>
          </w:tcPr>
          <w:p w14:paraId="2E905AF9">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kern w:val="2"/>
                <w:sz w:val="22"/>
                <w:szCs w:val="22"/>
                <w:lang w:eastAsia="zh-CN"/>
              </w:rPr>
            </w:pPr>
            <w:r>
              <w:rPr>
                <w:rFonts w:hint="eastAsia" w:ascii="宋体" w:hAnsi="宋体" w:eastAsia="宋体" w:cs="宋体"/>
                <w:color w:val="000000"/>
                <w:kern w:val="2"/>
                <w:sz w:val="22"/>
                <w:szCs w:val="22"/>
                <w:lang w:eastAsia="zh-CN"/>
              </w:rPr>
              <w:t>121</w:t>
            </w:r>
          </w:p>
        </w:tc>
        <w:tc>
          <w:tcPr>
            <w:tcW w:w="947" w:type="dxa"/>
            <w:tcBorders>
              <w:top w:val="single" w:color="000000" w:sz="4" w:space="0"/>
              <w:left w:val="single" w:color="000000" w:sz="4" w:space="0"/>
              <w:bottom w:val="single" w:color="000000" w:sz="4" w:space="0"/>
              <w:right w:val="single" w:color="000000" w:sz="4" w:space="0"/>
            </w:tcBorders>
            <w:noWrap/>
            <w:vAlign w:val="center"/>
          </w:tcPr>
          <w:p w14:paraId="165A64AA">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kern w:val="2"/>
                <w:sz w:val="22"/>
                <w:szCs w:val="22"/>
                <w:lang w:eastAsia="zh-CN"/>
              </w:rPr>
            </w:pPr>
            <w:r>
              <w:rPr>
                <w:rFonts w:hint="eastAsia" w:ascii="宋体" w:hAnsi="宋体" w:eastAsia="宋体" w:cs="宋体"/>
                <w:color w:val="000000"/>
                <w:kern w:val="2"/>
                <w:sz w:val="22"/>
                <w:szCs w:val="22"/>
                <w:lang w:eastAsia="zh-CN"/>
              </w:rPr>
              <w:t>2.5</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34879584">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sz w:val="22"/>
                <w:szCs w:val="22"/>
                <w:lang w:eastAsia="zh-CN"/>
              </w:rPr>
            </w:pPr>
            <w:r>
              <w:rPr>
                <w:rFonts w:hint="eastAsia" w:ascii="宋体" w:hAnsi="宋体" w:eastAsia="宋体" w:cs="宋体"/>
                <w:color w:val="000000"/>
                <w:sz w:val="22"/>
                <w:szCs w:val="22"/>
                <w:lang w:eastAsia="zh-CN"/>
              </w:rPr>
              <w:t>1</w:t>
            </w: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6F8D12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2022年6月</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079F3B0">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2022年5月</w:t>
            </w:r>
          </w:p>
        </w:tc>
        <w:tc>
          <w:tcPr>
            <w:tcW w:w="1836" w:type="dxa"/>
            <w:tcBorders>
              <w:top w:val="single" w:color="000000" w:sz="4" w:space="0"/>
              <w:left w:val="single" w:color="000000" w:sz="4" w:space="0"/>
              <w:bottom w:val="single" w:color="000000" w:sz="4" w:space="0"/>
              <w:right w:val="single" w:color="000000" w:sz="4" w:space="0"/>
            </w:tcBorders>
            <w:noWrap w:val="0"/>
            <w:vAlign w:val="center"/>
          </w:tcPr>
          <w:p w14:paraId="1F52BC55">
            <w:pPr>
              <w:keepNext w:val="0"/>
              <w:keepLines w:val="0"/>
              <w:widowControl w:val="0"/>
              <w:suppressLineNumbers w:val="0"/>
              <w:spacing w:before="0" w:beforeAutospacing="0" w:after="0" w:afterAutospacing="0"/>
              <w:ind w:left="0" w:right="0"/>
              <w:jc w:val="center"/>
              <w:rPr>
                <w:rFonts w:ascii="宋体" w:hAnsi="宋体" w:eastAsia="宋体" w:cs="宋体"/>
                <w:color w:val="000000"/>
                <w:kern w:val="2"/>
                <w:sz w:val="22"/>
                <w:szCs w:val="22"/>
                <w:lang w:eastAsia="zh-CN"/>
              </w:rPr>
            </w:pPr>
            <w:r>
              <w:rPr>
                <w:rFonts w:hint="eastAsia" w:ascii="宋体" w:hAnsi="宋体" w:eastAsia="宋体" w:cs="宋体"/>
                <w:color w:val="000000"/>
                <w:kern w:val="2"/>
                <w:sz w:val="22"/>
                <w:szCs w:val="22"/>
                <w:lang w:eastAsia="zh-CN"/>
              </w:rPr>
              <w:t>B1层2#配电房</w:t>
            </w:r>
          </w:p>
        </w:tc>
      </w:tr>
      <w:tr w14:paraId="72A4F80C">
        <w:tblPrEx>
          <w:tblCellMar>
            <w:top w:w="0" w:type="dxa"/>
            <w:left w:w="108" w:type="dxa"/>
            <w:bottom w:w="0" w:type="dxa"/>
            <w:right w:w="108" w:type="dxa"/>
          </w:tblCellMar>
        </w:tblPrEx>
        <w:trPr>
          <w:trHeight w:val="802" w:hRule="atLeast"/>
          <w:jc w:val="center"/>
        </w:trPr>
        <w:tc>
          <w:tcPr>
            <w:tcW w:w="704" w:type="dxa"/>
            <w:tcBorders>
              <w:top w:val="single" w:color="000000" w:sz="4" w:space="0"/>
              <w:left w:val="single" w:color="000000" w:sz="4" w:space="0"/>
              <w:bottom w:val="single" w:color="000000" w:sz="4" w:space="0"/>
              <w:right w:val="single" w:color="000000" w:sz="4" w:space="0"/>
            </w:tcBorders>
            <w:noWrap/>
            <w:vAlign w:val="center"/>
          </w:tcPr>
          <w:p w14:paraId="3D8C78C8">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sz w:val="22"/>
                <w:szCs w:val="22"/>
                <w:lang w:eastAsia="zh-CN"/>
              </w:rPr>
            </w:pPr>
            <w:r>
              <w:rPr>
                <w:rFonts w:hint="eastAsia" w:ascii="宋体" w:hAnsi="宋体" w:eastAsia="宋体" w:cs="宋体"/>
                <w:color w:val="000000"/>
                <w:sz w:val="22"/>
                <w:szCs w:val="22"/>
                <w:lang w:eastAsia="zh-CN"/>
              </w:rPr>
              <w:t>14</w:t>
            </w:r>
          </w:p>
        </w:tc>
        <w:tc>
          <w:tcPr>
            <w:tcW w:w="1405" w:type="dxa"/>
            <w:tcBorders>
              <w:top w:val="single" w:color="000000" w:sz="4" w:space="0"/>
              <w:left w:val="single" w:color="000000" w:sz="4" w:space="0"/>
              <w:bottom w:val="single" w:color="000000" w:sz="4" w:space="0"/>
              <w:right w:val="single" w:color="000000" w:sz="4" w:space="0"/>
            </w:tcBorders>
            <w:noWrap/>
            <w:vAlign w:val="center"/>
          </w:tcPr>
          <w:p w14:paraId="37093B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灭火剂瓶</w:t>
            </w:r>
          </w:p>
        </w:tc>
        <w:tc>
          <w:tcPr>
            <w:tcW w:w="1456" w:type="dxa"/>
            <w:tcBorders>
              <w:top w:val="single" w:color="000000" w:sz="4" w:space="0"/>
              <w:left w:val="single" w:color="000000" w:sz="4" w:space="0"/>
              <w:bottom w:val="single" w:color="000000" w:sz="4" w:space="0"/>
              <w:right w:val="single" w:color="000000" w:sz="4" w:space="0"/>
            </w:tcBorders>
            <w:noWrap/>
            <w:vAlign w:val="center"/>
          </w:tcPr>
          <w:p w14:paraId="27313A97">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kern w:val="2"/>
                <w:sz w:val="22"/>
                <w:szCs w:val="22"/>
                <w:lang w:eastAsia="zh-CN"/>
              </w:rPr>
            </w:pPr>
            <w:r>
              <w:rPr>
                <w:rFonts w:hint="eastAsia" w:ascii="宋体" w:hAnsi="宋体" w:eastAsia="宋体" w:cs="宋体"/>
                <w:color w:val="000000"/>
                <w:kern w:val="2"/>
                <w:sz w:val="22"/>
                <w:szCs w:val="22"/>
                <w:lang w:eastAsia="zh-CN"/>
              </w:rPr>
              <w:t>QMP150/2.5</w:t>
            </w:r>
          </w:p>
        </w:tc>
        <w:tc>
          <w:tcPr>
            <w:tcW w:w="767" w:type="dxa"/>
            <w:tcBorders>
              <w:top w:val="single" w:color="000000" w:sz="4" w:space="0"/>
              <w:left w:val="single" w:color="000000" w:sz="4" w:space="0"/>
              <w:bottom w:val="single" w:color="000000" w:sz="4" w:space="0"/>
              <w:right w:val="single" w:color="000000" w:sz="4" w:space="0"/>
            </w:tcBorders>
            <w:noWrap/>
            <w:vAlign w:val="center"/>
          </w:tcPr>
          <w:p w14:paraId="645A1E94">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kern w:val="2"/>
                <w:sz w:val="22"/>
                <w:szCs w:val="22"/>
                <w:lang w:eastAsia="zh-CN"/>
              </w:rPr>
            </w:pPr>
            <w:r>
              <w:rPr>
                <w:rFonts w:hint="eastAsia" w:ascii="宋体" w:hAnsi="宋体" w:eastAsia="宋体" w:cs="宋体"/>
                <w:color w:val="000000"/>
                <w:kern w:val="2"/>
                <w:sz w:val="22"/>
                <w:szCs w:val="22"/>
                <w:lang w:eastAsia="zh-CN"/>
              </w:rPr>
              <w:t>142</w:t>
            </w:r>
          </w:p>
        </w:tc>
        <w:tc>
          <w:tcPr>
            <w:tcW w:w="947" w:type="dxa"/>
            <w:tcBorders>
              <w:top w:val="single" w:color="000000" w:sz="4" w:space="0"/>
              <w:left w:val="single" w:color="000000" w:sz="4" w:space="0"/>
              <w:bottom w:val="single" w:color="000000" w:sz="4" w:space="0"/>
              <w:right w:val="single" w:color="000000" w:sz="4" w:space="0"/>
            </w:tcBorders>
            <w:noWrap/>
            <w:vAlign w:val="center"/>
          </w:tcPr>
          <w:p w14:paraId="2CD95AFD">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kern w:val="2"/>
                <w:sz w:val="22"/>
                <w:szCs w:val="22"/>
                <w:lang w:eastAsia="zh-CN"/>
              </w:rPr>
            </w:pPr>
            <w:r>
              <w:rPr>
                <w:rFonts w:hint="eastAsia" w:ascii="宋体" w:hAnsi="宋体" w:eastAsia="宋体" w:cs="宋体"/>
                <w:color w:val="000000"/>
                <w:kern w:val="2"/>
                <w:sz w:val="22"/>
                <w:szCs w:val="22"/>
                <w:lang w:eastAsia="zh-CN"/>
              </w:rPr>
              <w:t>2.5</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2D2D02E0">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sz w:val="22"/>
                <w:szCs w:val="22"/>
                <w:lang w:eastAsia="zh-CN"/>
              </w:rPr>
            </w:pPr>
            <w:r>
              <w:rPr>
                <w:rFonts w:hint="eastAsia" w:ascii="宋体" w:hAnsi="宋体" w:eastAsia="宋体" w:cs="宋体"/>
                <w:color w:val="000000"/>
                <w:sz w:val="22"/>
                <w:szCs w:val="22"/>
                <w:lang w:eastAsia="zh-CN"/>
              </w:rPr>
              <w:t>4</w:t>
            </w: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17585C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2022年6月</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7FBC7DCA">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2022年5月</w:t>
            </w:r>
          </w:p>
        </w:tc>
        <w:tc>
          <w:tcPr>
            <w:tcW w:w="1836" w:type="dxa"/>
            <w:tcBorders>
              <w:top w:val="single" w:color="000000" w:sz="4" w:space="0"/>
              <w:left w:val="single" w:color="000000" w:sz="4" w:space="0"/>
              <w:bottom w:val="single" w:color="000000" w:sz="4" w:space="0"/>
              <w:right w:val="single" w:color="000000" w:sz="4" w:space="0"/>
            </w:tcBorders>
            <w:noWrap w:val="0"/>
            <w:vAlign w:val="center"/>
          </w:tcPr>
          <w:p w14:paraId="30B78EED">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lang w:eastAsia="zh-CN"/>
              </w:rPr>
            </w:pPr>
            <w:r>
              <w:rPr>
                <w:rFonts w:hint="eastAsia" w:ascii="宋体" w:hAnsi="宋体" w:eastAsia="宋体" w:cs="宋体"/>
                <w:color w:val="000000"/>
                <w:kern w:val="2"/>
                <w:sz w:val="22"/>
                <w:szCs w:val="22"/>
                <w:lang w:eastAsia="zh-CN"/>
              </w:rPr>
              <w:t>B1层1#配电房</w:t>
            </w:r>
          </w:p>
        </w:tc>
      </w:tr>
      <w:tr w14:paraId="35840234">
        <w:tblPrEx>
          <w:tblCellMar>
            <w:top w:w="0" w:type="dxa"/>
            <w:left w:w="108" w:type="dxa"/>
            <w:bottom w:w="0" w:type="dxa"/>
            <w:right w:w="108" w:type="dxa"/>
          </w:tblCellMar>
        </w:tblPrEx>
        <w:trPr>
          <w:trHeight w:val="632" w:hRule="atLeast"/>
          <w:jc w:val="center"/>
        </w:trPr>
        <w:tc>
          <w:tcPr>
            <w:tcW w:w="704" w:type="dxa"/>
            <w:tcBorders>
              <w:top w:val="single" w:color="000000" w:sz="4" w:space="0"/>
              <w:left w:val="single" w:color="000000" w:sz="4" w:space="0"/>
              <w:bottom w:val="single" w:color="000000" w:sz="4" w:space="0"/>
              <w:right w:val="single" w:color="000000" w:sz="4" w:space="0"/>
            </w:tcBorders>
            <w:noWrap/>
            <w:vAlign w:val="center"/>
          </w:tcPr>
          <w:p w14:paraId="3237A39B">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sz w:val="22"/>
                <w:szCs w:val="22"/>
                <w:lang w:eastAsia="zh-CN"/>
              </w:rPr>
            </w:pPr>
            <w:r>
              <w:rPr>
                <w:rFonts w:hint="eastAsia" w:ascii="宋体" w:hAnsi="宋体" w:eastAsia="宋体" w:cs="宋体"/>
                <w:color w:val="000000"/>
                <w:sz w:val="22"/>
                <w:szCs w:val="22"/>
                <w:lang w:eastAsia="zh-CN"/>
              </w:rPr>
              <w:t>15</w:t>
            </w:r>
          </w:p>
        </w:tc>
        <w:tc>
          <w:tcPr>
            <w:tcW w:w="1405" w:type="dxa"/>
            <w:tcBorders>
              <w:top w:val="single" w:color="000000" w:sz="4" w:space="0"/>
              <w:left w:val="single" w:color="000000" w:sz="4" w:space="0"/>
              <w:bottom w:val="single" w:color="000000" w:sz="4" w:space="0"/>
              <w:right w:val="single" w:color="000000" w:sz="4" w:space="0"/>
            </w:tcBorders>
            <w:noWrap/>
            <w:vAlign w:val="center"/>
          </w:tcPr>
          <w:p w14:paraId="18B7AB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灭火剂瓶</w:t>
            </w:r>
          </w:p>
        </w:tc>
        <w:tc>
          <w:tcPr>
            <w:tcW w:w="1456" w:type="dxa"/>
            <w:tcBorders>
              <w:top w:val="single" w:color="000000" w:sz="4" w:space="0"/>
              <w:left w:val="single" w:color="000000" w:sz="4" w:space="0"/>
              <w:bottom w:val="single" w:color="000000" w:sz="4" w:space="0"/>
              <w:right w:val="single" w:color="000000" w:sz="4" w:space="0"/>
            </w:tcBorders>
            <w:noWrap/>
            <w:vAlign w:val="center"/>
          </w:tcPr>
          <w:p w14:paraId="4B9DD325">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kern w:val="2"/>
                <w:sz w:val="22"/>
                <w:szCs w:val="22"/>
                <w:lang w:eastAsia="zh-CN"/>
              </w:rPr>
            </w:pPr>
            <w:r>
              <w:rPr>
                <w:rFonts w:hint="eastAsia" w:ascii="宋体" w:hAnsi="宋体" w:eastAsia="宋体" w:cs="宋体"/>
                <w:color w:val="000000"/>
                <w:kern w:val="2"/>
                <w:sz w:val="22"/>
                <w:szCs w:val="22"/>
                <w:lang w:eastAsia="zh-CN"/>
              </w:rPr>
              <w:t>QMP40/2.5</w:t>
            </w:r>
          </w:p>
        </w:tc>
        <w:tc>
          <w:tcPr>
            <w:tcW w:w="767" w:type="dxa"/>
            <w:tcBorders>
              <w:top w:val="single" w:color="000000" w:sz="4" w:space="0"/>
              <w:left w:val="single" w:color="000000" w:sz="4" w:space="0"/>
              <w:bottom w:val="single" w:color="000000" w:sz="4" w:space="0"/>
              <w:right w:val="single" w:color="000000" w:sz="4" w:space="0"/>
            </w:tcBorders>
            <w:noWrap/>
            <w:vAlign w:val="center"/>
          </w:tcPr>
          <w:p w14:paraId="43F21C96">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kern w:val="2"/>
                <w:sz w:val="22"/>
                <w:szCs w:val="22"/>
                <w:lang w:eastAsia="zh-CN"/>
              </w:rPr>
            </w:pPr>
            <w:r>
              <w:rPr>
                <w:rFonts w:hint="eastAsia" w:ascii="宋体" w:hAnsi="宋体" w:eastAsia="宋体" w:cs="宋体"/>
                <w:color w:val="000000"/>
                <w:kern w:val="2"/>
                <w:sz w:val="22"/>
                <w:szCs w:val="22"/>
                <w:lang w:eastAsia="zh-CN"/>
              </w:rPr>
              <w:t>30</w:t>
            </w:r>
          </w:p>
        </w:tc>
        <w:tc>
          <w:tcPr>
            <w:tcW w:w="947" w:type="dxa"/>
            <w:tcBorders>
              <w:top w:val="single" w:color="000000" w:sz="4" w:space="0"/>
              <w:left w:val="single" w:color="000000" w:sz="4" w:space="0"/>
              <w:bottom w:val="single" w:color="000000" w:sz="4" w:space="0"/>
              <w:right w:val="single" w:color="000000" w:sz="4" w:space="0"/>
            </w:tcBorders>
            <w:noWrap/>
            <w:vAlign w:val="center"/>
          </w:tcPr>
          <w:p w14:paraId="3B4DB57B">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kern w:val="2"/>
                <w:sz w:val="22"/>
                <w:szCs w:val="22"/>
                <w:lang w:eastAsia="zh-CN"/>
              </w:rPr>
            </w:pPr>
            <w:r>
              <w:rPr>
                <w:rFonts w:hint="eastAsia" w:ascii="宋体" w:hAnsi="宋体" w:eastAsia="宋体" w:cs="宋体"/>
                <w:color w:val="000000"/>
                <w:kern w:val="2"/>
                <w:sz w:val="22"/>
                <w:szCs w:val="22"/>
                <w:lang w:eastAsia="zh-CN"/>
              </w:rPr>
              <w:t>2.5</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7B9AE9F9">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sz w:val="22"/>
                <w:szCs w:val="22"/>
                <w:lang w:eastAsia="zh-CN"/>
              </w:rPr>
            </w:pPr>
            <w:r>
              <w:rPr>
                <w:rFonts w:hint="eastAsia" w:ascii="宋体" w:hAnsi="宋体" w:eastAsia="宋体" w:cs="宋体"/>
                <w:color w:val="000000"/>
                <w:sz w:val="22"/>
                <w:szCs w:val="22"/>
                <w:lang w:eastAsia="zh-CN"/>
              </w:rPr>
              <w:t>1</w:t>
            </w: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5FA86A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2022年6月</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FFA7A04">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2022年5月</w:t>
            </w:r>
          </w:p>
        </w:tc>
        <w:tc>
          <w:tcPr>
            <w:tcW w:w="1836" w:type="dxa"/>
            <w:tcBorders>
              <w:top w:val="single" w:color="000000" w:sz="4" w:space="0"/>
              <w:left w:val="single" w:color="000000" w:sz="4" w:space="0"/>
              <w:bottom w:val="single" w:color="000000" w:sz="4" w:space="0"/>
              <w:right w:val="single" w:color="000000" w:sz="4" w:space="0"/>
            </w:tcBorders>
            <w:noWrap w:val="0"/>
            <w:vAlign w:val="center"/>
          </w:tcPr>
          <w:p w14:paraId="2F8311A2">
            <w:pPr>
              <w:keepNext w:val="0"/>
              <w:keepLines w:val="0"/>
              <w:widowControl w:val="0"/>
              <w:suppressLineNumbers w:val="0"/>
              <w:spacing w:before="0" w:beforeAutospacing="0" w:after="0" w:afterAutospacing="0"/>
              <w:ind w:left="0" w:right="0"/>
              <w:jc w:val="center"/>
              <w:rPr>
                <w:rFonts w:ascii="宋体" w:hAnsi="宋体" w:eastAsia="宋体" w:cs="宋体"/>
                <w:color w:val="000000"/>
                <w:kern w:val="2"/>
                <w:sz w:val="22"/>
                <w:szCs w:val="22"/>
                <w:lang w:eastAsia="zh-CN"/>
              </w:rPr>
            </w:pPr>
            <w:r>
              <w:rPr>
                <w:rFonts w:hint="eastAsia" w:ascii="宋体" w:hAnsi="宋体" w:eastAsia="宋体" w:cs="宋体"/>
                <w:color w:val="000000"/>
                <w:kern w:val="2"/>
                <w:sz w:val="22"/>
                <w:szCs w:val="22"/>
                <w:lang w:eastAsia="zh-CN"/>
              </w:rPr>
              <w:t>B228战时防化值班室</w:t>
            </w:r>
          </w:p>
        </w:tc>
      </w:tr>
      <w:tr w14:paraId="0F1BE3A2">
        <w:tblPrEx>
          <w:tblCellMar>
            <w:top w:w="0" w:type="dxa"/>
            <w:left w:w="108" w:type="dxa"/>
            <w:bottom w:w="0" w:type="dxa"/>
            <w:right w:w="108" w:type="dxa"/>
          </w:tblCellMar>
        </w:tblPrEx>
        <w:trPr>
          <w:trHeight w:val="632" w:hRule="atLeast"/>
          <w:jc w:val="center"/>
        </w:trPr>
        <w:tc>
          <w:tcPr>
            <w:tcW w:w="704" w:type="dxa"/>
            <w:tcBorders>
              <w:top w:val="single" w:color="000000" w:sz="4" w:space="0"/>
              <w:left w:val="single" w:color="000000" w:sz="4" w:space="0"/>
              <w:bottom w:val="single" w:color="000000" w:sz="4" w:space="0"/>
              <w:right w:val="single" w:color="000000" w:sz="4" w:space="0"/>
            </w:tcBorders>
            <w:noWrap/>
            <w:vAlign w:val="center"/>
          </w:tcPr>
          <w:p w14:paraId="28C155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序号</w:t>
            </w:r>
          </w:p>
        </w:tc>
        <w:tc>
          <w:tcPr>
            <w:tcW w:w="1405" w:type="dxa"/>
            <w:tcBorders>
              <w:top w:val="single" w:color="000000" w:sz="4" w:space="0"/>
              <w:left w:val="single" w:color="000000" w:sz="4" w:space="0"/>
              <w:bottom w:val="single" w:color="000000" w:sz="4" w:space="0"/>
              <w:right w:val="single" w:color="000000" w:sz="4" w:space="0"/>
            </w:tcBorders>
            <w:noWrap/>
            <w:vAlign w:val="center"/>
          </w:tcPr>
          <w:p w14:paraId="2ECCBC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设备名称</w:t>
            </w:r>
          </w:p>
        </w:tc>
        <w:tc>
          <w:tcPr>
            <w:tcW w:w="1456" w:type="dxa"/>
            <w:tcBorders>
              <w:top w:val="single" w:color="000000" w:sz="4" w:space="0"/>
              <w:left w:val="single" w:color="000000" w:sz="4" w:space="0"/>
              <w:bottom w:val="single" w:color="000000" w:sz="4" w:space="0"/>
              <w:right w:val="single" w:color="000000" w:sz="4" w:space="0"/>
            </w:tcBorders>
            <w:noWrap/>
            <w:vAlign w:val="center"/>
          </w:tcPr>
          <w:p w14:paraId="08CDB8E3">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kern w:val="2"/>
                <w:sz w:val="22"/>
                <w:szCs w:val="22"/>
                <w:lang w:eastAsia="zh-CN"/>
              </w:rPr>
            </w:pPr>
            <w:r>
              <w:rPr>
                <w:rFonts w:hint="eastAsia" w:ascii="宋体" w:hAnsi="宋体" w:eastAsia="宋体" w:cs="宋体"/>
                <w:color w:val="000000"/>
                <w:sz w:val="22"/>
                <w:szCs w:val="22"/>
                <w:lang w:eastAsia="zh-CN"/>
              </w:rPr>
              <w:t>型号</w:t>
            </w:r>
          </w:p>
        </w:tc>
        <w:tc>
          <w:tcPr>
            <w:tcW w:w="767" w:type="dxa"/>
            <w:tcBorders>
              <w:top w:val="single" w:color="000000" w:sz="4" w:space="0"/>
              <w:left w:val="single" w:color="000000" w:sz="4" w:space="0"/>
              <w:bottom w:val="single" w:color="000000" w:sz="4" w:space="0"/>
              <w:right w:val="single" w:color="000000" w:sz="4" w:space="0"/>
            </w:tcBorders>
            <w:noWrap/>
            <w:vAlign w:val="center"/>
          </w:tcPr>
          <w:p w14:paraId="0F285E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2"/>
                <w:szCs w:val="22"/>
                <w:lang w:eastAsia="zh-CN"/>
              </w:rPr>
            </w:pPr>
            <w:r>
              <w:rPr>
                <w:rFonts w:hint="eastAsia" w:ascii="宋体" w:hAnsi="宋体" w:eastAsia="宋体" w:cs="宋体"/>
                <w:color w:val="000000"/>
                <w:sz w:val="22"/>
                <w:szCs w:val="22"/>
                <w:lang w:eastAsia="zh-CN"/>
              </w:rPr>
              <w:t>充装量（kg）</w:t>
            </w:r>
          </w:p>
        </w:tc>
        <w:tc>
          <w:tcPr>
            <w:tcW w:w="947" w:type="dxa"/>
            <w:tcBorders>
              <w:top w:val="single" w:color="000000" w:sz="4" w:space="0"/>
              <w:left w:val="single" w:color="000000" w:sz="4" w:space="0"/>
              <w:bottom w:val="single" w:color="000000" w:sz="4" w:space="0"/>
              <w:right w:val="single" w:color="000000" w:sz="4" w:space="0"/>
            </w:tcBorders>
            <w:noWrap/>
            <w:vAlign w:val="center"/>
          </w:tcPr>
          <w:p w14:paraId="432DCB3E">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kern w:val="2"/>
                <w:sz w:val="22"/>
                <w:szCs w:val="22"/>
                <w:lang w:eastAsia="zh-CN"/>
              </w:rPr>
            </w:pPr>
            <w:r>
              <w:rPr>
                <w:rFonts w:hint="eastAsia" w:ascii="宋体" w:hAnsi="宋体" w:eastAsia="宋体" w:cs="宋体"/>
                <w:color w:val="000000"/>
                <w:sz w:val="22"/>
                <w:szCs w:val="22"/>
                <w:lang w:eastAsia="zh-CN"/>
              </w:rPr>
              <w:t>贮存压力（MPa)</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4C0124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数量(瓶)</w:t>
            </w: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64D259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充装时间</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66367A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钢瓶检测时间</w:t>
            </w:r>
          </w:p>
        </w:tc>
        <w:tc>
          <w:tcPr>
            <w:tcW w:w="1836" w:type="dxa"/>
            <w:tcBorders>
              <w:top w:val="single" w:color="000000" w:sz="4" w:space="0"/>
              <w:left w:val="single" w:color="000000" w:sz="4" w:space="0"/>
              <w:bottom w:val="single" w:color="000000" w:sz="4" w:space="0"/>
              <w:right w:val="single" w:color="000000" w:sz="4" w:space="0"/>
            </w:tcBorders>
            <w:noWrap w:val="0"/>
            <w:vAlign w:val="center"/>
          </w:tcPr>
          <w:p w14:paraId="105AFF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2"/>
                <w:szCs w:val="22"/>
                <w:lang w:eastAsia="zh-CN"/>
              </w:rPr>
            </w:pPr>
            <w:r>
              <w:rPr>
                <w:rFonts w:hint="eastAsia" w:ascii="宋体" w:hAnsi="宋体" w:eastAsia="宋体" w:cs="宋体"/>
                <w:color w:val="000000"/>
                <w:sz w:val="22"/>
                <w:szCs w:val="22"/>
                <w:lang w:eastAsia="zh-CN"/>
              </w:rPr>
              <w:t>保护区域</w:t>
            </w:r>
          </w:p>
        </w:tc>
      </w:tr>
      <w:tr w14:paraId="1A6C1153">
        <w:tblPrEx>
          <w:tblCellMar>
            <w:top w:w="0" w:type="dxa"/>
            <w:left w:w="108" w:type="dxa"/>
            <w:bottom w:w="0" w:type="dxa"/>
            <w:right w:w="108" w:type="dxa"/>
          </w:tblCellMar>
        </w:tblPrEx>
        <w:trPr>
          <w:trHeight w:val="632" w:hRule="atLeast"/>
          <w:jc w:val="center"/>
        </w:trPr>
        <w:tc>
          <w:tcPr>
            <w:tcW w:w="704" w:type="dxa"/>
            <w:tcBorders>
              <w:top w:val="single" w:color="000000" w:sz="4" w:space="0"/>
              <w:left w:val="single" w:color="000000" w:sz="4" w:space="0"/>
              <w:bottom w:val="single" w:color="000000" w:sz="4" w:space="0"/>
              <w:right w:val="single" w:color="000000" w:sz="4" w:space="0"/>
            </w:tcBorders>
            <w:noWrap/>
            <w:vAlign w:val="center"/>
          </w:tcPr>
          <w:p w14:paraId="6A4E2A23">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sz w:val="22"/>
                <w:szCs w:val="22"/>
                <w:lang w:eastAsia="zh-CN"/>
              </w:rPr>
            </w:pPr>
            <w:r>
              <w:rPr>
                <w:rFonts w:hint="eastAsia" w:ascii="宋体" w:hAnsi="宋体" w:eastAsia="宋体" w:cs="宋体"/>
                <w:color w:val="000000"/>
                <w:sz w:val="22"/>
                <w:szCs w:val="22"/>
                <w:lang w:eastAsia="zh-CN"/>
              </w:rPr>
              <w:t>16</w:t>
            </w:r>
          </w:p>
        </w:tc>
        <w:tc>
          <w:tcPr>
            <w:tcW w:w="1405" w:type="dxa"/>
            <w:tcBorders>
              <w:top w:val="single" w:color="000000" w:sz="4" w:space="0"/>
              <w:left w:val="single" w:color="000000" w:sz="4" w:space="0"/>
              <w:bottom w:val="single" w:color="000000" w:sz="4" w:space="0"/>
              <w:right w:val="single" w:color="000000" w:sz="4" w:space="0"/>
            </w:tcBorders>
            <w:noWrap/>
            <w:vAlign w:val="center"/>
          </w:tcPr>
          <w:p w14:paraId="362F84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灭火剂瓶组</w:t>
            </w:r>
          </w:p>
        </w:tc>
        <w:tc>
          <w:tcPr>
            <w:tcW w:w="1456" w:type="dxa"/>
            <w:tcBorders>
              <w:top w:val="single" w:color="000000" w:sz="4" w:space="0"/>
              <w:left w:val="single" w:color="000000" w:sz="4" w:space="0"/>
              <w:bottom w:val="single" w:color="000000" w:sz="4" w:space="0"/>
              <w:right w:val="single" w:color="000000" w:sz="4" w:space="0"/>
            </w:tcBorders>
            <w:noWrap/>
            <w:vAlign w:val="center"/>
          </w:tcPr>
          <w:p w14:paraId="7C481AF6">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kern w:val="2"/>
                <w:sz w:val="22"/>
                <w:szCs w:val="22"/>
                <w:lang w:eastAsia="zh-CN"/>
              </w:rPr>
            </w:pPr>
            <w:r>
              <w:rPr>
                <w:rFonts w:hint="eastAsia" w:ascii="宋体" w:hAnsi="宋体" w:eastAsia="宋体" w:cs="宋体"/>
                <w:color w:val="000000"/>
                <w:kern w:val="2"/>
                <w:sz w:val="22"/>
                <w:szCs w:val="22"/>
                <w:lang w:eastAsia="zh-CN"/>
              </w:rPr>
              <w:t>QMP70/4.2</w:t>
            </w:r>
          </w:p>
        </w:tc>
        <w:tc>
          <w:tcPr>
            <w:tcW w:w="767" w:type="dxa"/>
            <w:tcBorders>
              <w:top w:val="single" w:color="000000" w:sz="4" w:space="0"/>
              <w:left w:val="single" w:color="000000" w:sz="4" w:space="0"/>
              <w:bottom w:val="single" w:color="000000" w:sz="4" w:space="0"/>
              <w:right w:val="single" w:color="000000" w:sz="4" w:space="0"/>
            </w:tcBorders>
            <w:noWrap/>
            <w:vAlign w:val="center"/>
          </w:tcPr>
          <w:p w14:paraId="5790B481">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kern w:val="2"/>
                <w:sz w:val="22"/>
                <w:szCs w:val="22"/>
                <w:lang w:eastAsia="zh-CN"/>
              </w:rPr>
            </w:pPr>
            <w:r>
              <w:rPr>
                <w:rFonts w:hint="eastAsia" w:ascii="宋体" w:hAnsi="宋体" w:eastAsia="宋体" w:cs="宋体"/>
                <w:color w:val="000000"/>
                <w:kern w:val="2"/>
                <w:sz w:val="22"/>
                <w:szCs w:val="22"/>
                <w:lang w:eastAsia="zh-CN"/>
              </w:rPr>
              <w:t>49</w:t>
            </w:r>
          </w:p>
        </w:tc>
        <w:tc>
          <w:tcPr>
            <w:tcW w:w="947" w:type="dxa"/>
            <w:tcBorders>
              <w:top w:val="single" w:color="000000" w:sz="4" w:space="0"/>
              <w:left w:val="single" w:color="000000" w:sz="4" w:space="0"/>
              <w:bottom w:val="single" w:color="000000" w:sz="4" w:space="0"/>
              <w:right w:val="single" w:color="000000" w:sz="4" w:space="0"/>
            </w:tcBorders>
            <w:noWrap/>
            <w:vAlign w:val="center"/>
          </w:tcPr>
          <w:p w14:paraId="49C9898B">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kern w:val="2"/>
                <w:sz w:val="22"/>
                <w:szCs w:val="22"/>
                <w:lang w:eastAsia="zh-CN"/>
              </w:rPr>
            </w:pPr>
            <w:r>
              <w:rPr>
                <w:rFonts w:hint="eastAsia" w:ascii="宋体" w:hAnsi="宋体" w:eastAsia="宋体" w:cs="宋体"/>
                <w:color w:val="000000"/>
                <w:kern w:val="2"/>
                <w:sz w:val="22"/>
                <w:szCs w:val="22"/>
                <w:lang w:eastAsia="zh-CN"/>
              </w:rPr>
              <w:t>4.2</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76DE7581">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sz w:val="22"/>
                <w:szCs w:val="22"/>
                <w:lang w:eastAsia="zh-CN"/>
              </w:rPr>
            </w:pPr>
            <w:r>
              <w:rPr>
                <w:rFonts w:hint="eastAsia" w:ascii="宋体" w:hAnsi="宋体" w:eastAsia="宋体" w:cs="宋体"/>
                <w:color w:val="000000"/>
                <w:sz w:val="22"/>
                <w:szCs w:val="22"/>
                <w:lang w:eastAsia="zh-CN"/>
              </w:rPr>
              <w:t>3</w:t>
            </w:r>
          </w:p>
        </w:tc>
        <w:tc>
          <w:tcPr>
            <w:tcW w:w="1364" w:type="dxa"/>
            <w:vMerge w:val="restart"/>
            <w:tcBorders>
              <w:top w:val="single" w:color="000000" w:sz="4" w:space="0"/>
              <w:left w:val="single" w:color="000000" w:sz="4" w:space="0"/>
              <w:right w:val="single" w:color="000000" w:sz="4" w:space="0"/>
            </w:tcBorders>
            <w:noWrap/>
            <w:vAlign w:val="center"/>
          </w:tcPr>
          <w:p w14:paraId="47C765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2022年6月</w:t>
            </w:r>
          </w:p>
        </w:tc>
        <w:tc>
          <w:tcPr>
            <w:tcW w:w="1309" w:type="dxa"/>
            <w:vMerge w:val="restart"/>
            <w:tcBorders>
              <w:top w:val="single" w:color="000000" w:sz="4" w:space="0"/>
              <w:left w:val="single" w:color="000000" w:sz="4" w:space="0"/>
              <w:right w:val="single" w:color="000000" w:sz="4" w:space="0"/>
            </w:tcBorders>
            <w:noWrap w:val="0"/>
            <w:vAlign w:val="center"/>
          </w:tcPr>
          <w:p w14:paraId="1250EC5B">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2022年5月</w:t>
            </w:r>
          </w:p>
        </w:tc>
        <w:tc>
          <w:tcPr>
            <w:tcW w:w="1836" w:type="dxa"/>
            <w:vMerge w:val="restart"/>
            <w:tcBorders>
              <w:top w:val="single" w:color="000000" w:sz="4" w:space="0"/>
              <w:left w:val="single" w:color="000000" w:sz="4" w:space="0"/>
              <w:right w:val="single" w:color="000000" w:sz="4" w:space="0"/>
            </w:tcBorders>
            <w:noWrap w:val="0"/>
            <w:vAlign w:val="center"/>
          </w:tcPr>
          <w:p w14:paraId="4AACB6B9">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lang w:eastAsia="zh-CN"/>
              </w:rPr>
            </w:pPr>
            <w:r>
              <w:rPr>
                <w:rFonts w:hint="eastAsia" w:ascii="宋体" w:hAnsi="宋体" w:eastAsia="宋体" w:cs="宋体"/>
                <w:color w:val="000000"/>
                <w:kern w:val="2"/>
                <w:sz w:val="22"/>
                <w:szCs w:val="22"/>
                <w:lang w:eastAsia="zh-CN"/>
              </w:rPr>
              <w:t>B221战时气瓶间</w:t>
            </w:r>
          </w:p>
        </w:tc>
      </w:tr>
      <w:tr w14:paraId="3D42D7F8">
        <w:tblPrEx>
          <w:tblCellMar>
            <w:top w:w="0" w:type="dxa"/>
            <w:left w:w="108" w:type="dxa"/>
            <w:bottom w:w="0" w:type="dxa"/>
            <w:right w:w="108" w:type="dxa"/>
          </w:tblCellMar>
        </w:tblPrEx>
        <w:trPr>
          <w:trHeight w:val="632" w:hRule="atLeast"/>
          <w:jc w:val="center"/>
        </w:trPr>
        <w:tc>
          <w:tcPr>
            <w:tcW w:w="704" w:type="dxa"/>
            <w:tcBorders>
              <w:top w:val="single" w:color="000000" w:sz="4" w:space="0"/>
              <w:left w:val="single" w:color="000000" w:sz="4" w:space="0"/>
              <w:bottom w:val="single" w:color="000000" w:sz="4" w:space="0"/>
              <w:right w:val="single" w:color="000000" w:sz="4" w:space="0"/>
            </w:tcBorders>
            <w:noWrap/>
            <w:vAlign w:val="center"/>
          </w:tcPr>
          <w:p w14:paraId="30DE0469">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sz w:val="22"/>
                <w:szCs w:val="22"/>
                <w:lang w:eastAsia="zh-CN"/>
              </w:rPr>
            </w:pPr>
            <w:r>
              <w:rPr>
                <w:rFonts w:hint="eastAsia" w:ascii="宋体" w:hAnsi="宋体" w:eastAsia="宋体" w:cs="宋体"/>
                <w:color w:val="000000"/>
                <w:sz w:val="22"/>
                <w:szCs w:val="22"/>
                <w:lang w:eastAsia="zh-CN"/>
              </w:rPr>
              <w:t>17</w:t>
            </w:r>
          </w:p>
        </w:tc>
        <w:tc>
          <w:tcPr>
            <w:tcW w:w="1405" w:type="dxa"/>
            <w:tcBorders>
              <w:top w:val="single" w:color="000000" w:sz="4" w:space="0"/>
              <w:left w:val="single" w:color="000000" w:sz="4" w:space="0"/>
              <w:bottom w:val="single" w:color="000000" w:sz="4" w:space="0"/>
              <w:right w:val="single" w:color="000000" w:sz="4" w:space="0"/>
            </w:tcBorders>
            <w:noWrap/>
            <w:vAlign w:val="center"/>
          </w:tcPr>
          <w:p w14:paraId="6D9C0A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启动瓶组</w:t>
            </w:r>
          </w:p>
        </w:tc>
        <w:tc>
          <w:tcPr>
            <w:tcW w:w="1456" w:type="dxa"/>
            <w:tcBorders>
              <w:top w:val="single" w:color="000000" w:sz="4" w:space="0"/>
              <w:left w:val="single" w:color="000000" w:sz="4" w:space="0"/>
              <w:bottom w:val="single" w:color="000000" w:sz="4" w:space="0"/>
              <w:right w:val="single" w:color="000000" w:sz="4" w:space="0"/>
            </w:tcBorders>
            <w:noWrap/>
            <w:vAlign w:val="center"/>
          </w:tcPr>
          <w:p w14:paraId="25C49A1B">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kern w:val="2"/>
                <w:sz w:val="22"/>
                <w:szCs w:val="22"/>
                <w:lang w:eastAsia="zh-CN"/>
              </w:rPr>
            </w:pPr>
            <w:r>
              <w:rPr>
                <w:rFonts w:hint="eastAsia" w:ascii="宋体" w:hAnsi="宋体" w:eastAsia="宋体" w:cs="宋体"/>
                <w:color w:val="000000"/>
                <w:kern w:val="2"/>
                <w:sz w:val="22"/>
                <w:szCs w:val="22"/>
                <w:lang w:eastAsia="zh-CN"/>
              </w:rPr>
              <w:t>QQP4/6</w:t>
            </w:r>
          </w:p>
        </w:tc>
        <w:tc>
          <w:tcPr>
            <w:tcW w:w="767" w:type="dxa"/>
            <w:tcBorders>
              <w:top w:val="single" w:color="000000" w:sz="4" w:space="0"/>
              <w:left w:val="single" w:color="000000" w:sz="4" w:space="0"/>
              <w:bottom w:val="single" w:color="000000" w:sz="4" w:space="0"/>
              <w:right w:val="single" w:color="000000" w:sz="4" w:space="0"/>
            </w:tcBorders>
            <w:noWrap/>
            <w:vAlign w:val="center"/>
          </w:tcPr>
          <w:p w14:paraId="564D7931">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kern w:val="2"/>
                <w:sz w:val="22"/>
                <w:szCs w:val="22"/>
                <w:lang w:eastAsia="zh-CN"/>
              </w:rPr>
            </w:pPr>
            <w:r>
              <w:rPr>
                <w:rFonts w:hint="eastAsia" w:ascii="宋体" w:hAnsi="宋体" w:eastAsia="宋体" w:cs="宋体"/>
                <w:color w:val="000000"/>
                <w:kern w:val="2"/>
                <w:sz w:val="22"/>
                <w:szCs w:val="22"/>
                <w:lang w:eastAsia="zh-CN"/>
              </w:rPr>
              <w:t>/</w:t>
            </w:r>
          </w:p>
        </w:tc>
        <w:tc>
          <w:tcPr>
            <w:tcW w:w="947" w:type="dxa"/>
            <w:tcBorders>
              <w:top w:val="single" w:color="000000" w:sz="4" w:space="0"/>
              <w:left w:val="single" w:color="000000" w:sz="4" w:space="0"/>
              <w:bottom w:val="single" w:color="000000" w:sz="4" w:space="0"/>
              <w:right w:val="single" w:color="000000" w:sz="4" w:space="0"/>
            </w:tcBorders>
            <w:noWrap/>
            <w:vAlign w:val="center"/>
          </w:tcPr>
          <w:p w14:paraId="157FC8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2"/>
                <w:szCs w:val="22"/>
                <w:lang w:eastAsia="zh-CN"/>
              </w:rPr>
            </w:pPr>
            <w:r>
              <w:rPr>
                <w:rFonts w:hint="eastAsia" w:ascii="宋体" w:hAnsi="宋体" w:eastAsia="宋体" w:cs="宋体"/>
                <w:color w:val="000000"/>
                <w:kern w:val="2"/>
                <w:sz w:val="22"/>
                <w:szCs w:val="22"/>
                <w:lang w:eastAsia="zh-CN"/>
              </w:rPr>
              <w:t>/</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6808E173">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sz w:val="22"/>
                <w:szCs w:val="22"/>
                <w:lang w:eastAsia="zh-CN"/>
              </w:rPr>
            </w:pPr>
            <w:r>
              <w:rPr>
                <w:rFonts w:hint="eastAsia" w:ascii="宋体" w:hAnsi="宋体" w:eastAsia="宋体" w:cs="宋体"/>
                <w:color w:val="000000"/>
                <w:sz w:val="22"/>
                <w:szCs w:val="22"/>
                <w:lang w:eastAsia="zh-CN"/>
              </w:rPr>
              <w:t>2</w:t>
            </w:r>
          </w:p>
        </w:tc>
        <w:tc>
          <w:tcPr>
            <w:tcW w:w="1364" w:type="dxa"/>
            <w:vMerge w:val="continue"/>
            <w:tcBorders>
              <w:left w:val="single" w:color="000000" w:sz="4" w:space="0"/>
              <w:bottom w:val="single" w:color="000000" w:sz="4" w:space="0"/>
              <w:right w:val="single" w:color="000000" w:sz="4" w:space="0"/>
            </w:tcBorders>
            <w:noWrap/>
            <w:vAlign w:val="center"/>
          </w:tcPr>
          <w:p w14:paraId="510684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eastAsia="zh-CN"/>
              </w:rPr>
            </w:pPr>
          </w:p>
        </w:tc>
        <w:tc>
          <w:tcPr>
            <w:tcW w:w="1309" w:type="dxa"/>
            <w:vMerge w:val="continue"/>
            <w:tcBorders>
              <w:left w:val="single" w:color="000000" w:sz="4" w:space="0"/>
              <w:bottom w:val="single" w:color="000000" w:sz="4" w:space="0"/>
              <w:right w:val="single" w:color="000000" w:sz="4" w:space="0"/>
            </w:tcBorders>
            <w:noWrap w:val="0"/>
            <w:vAlign w:val="center"/>
          </w:tcPr>
          <w:p w14:paraId="6D445AF6">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2"/>
                <w:lang w:eastAsia="zh-CN"/>
              </w:rPr>
            </w:pPr>
          </w:p>
        </w:tc>
        <w:tc>
          <w:tcPr>
            <w:tcW w:w="1836" w:type="dxa"/>
            <w:vMerge w:val="continue"/>
            <w:tcBorders>
              <w:left w:val="single" w:color="000000" w:sz="4" w:space="0"/>
              <w:bottom w:val="single" w:color="000000" w:sz="4" w:space="0"/>
              <w:right w:val="single" w:color="000000" w:sz="4" w:space="0"/>
            </w:tcBorders>
            <w:noWrap w:val="0"/>
            <w:vAlign w:val="center"/>
          </w:tcPr>
          <w:p w14:paraId="6EE33CE2">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lang w:eastAsia="zh-CN"/>
              </w:rPr>
            </w:pPr>
          </w:p>
        </w:tc>
      </w:tr>
      <w:tr w14:paraId="605F4049">
        <w:tblPrEx>
          <w:tblCellMar>
            <w:top w:w="0" w:type="dxa"/>
            <w:left w:w="108" w:type="dxa"/>
            <w:bottom w:w="0" w:type="dxa"/>
            <w:right w:w="108" w:type="dxa"/>
          </w:tblCellMar>
        </w:tblPrEx>
        <w:trPr>
          <w:trHeight w:val="632" w:hRule="atLeast"/>
          <w:jc w:val="center"/>
        </w:trPr>
        <w:tc>
          <w:tcPr>
            <w:tcW w:w="704" w:type="dxa"/>
            <w:tcBorders>
              <w:top w:val="single" w:color="000000" w:sz="4" w:space="0"/>
              <w:left w:val="single" w:color="000000" w:sz="4" w:space="0"/>
              <w:bottom w:val="single" w:color="000000" w:sz="4" w:space="0"/>
              <w:right w:val="single" w:color="000000" w:sz="4" w:space="0"/>
            </w:tcBorders>
            <w:noWrap/>
            <w:vAlign w:val="center"/>
          </w:tcPr>
          <w:p w14:paraId="0149DCBD">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sz w:val="22"/>
                <w:szCs w:val="22"/>
                <w:lang w:eastAsia="zh-CN"/>
              </w:rPr>
            </w:pPr>
            <w:r>
              <w:rPr>
                <w:rFonts w:hint="eastAsia" w:ascii="宋体" w:hAnsi="宋体" w:eastAsia="宋体" w:cs="宋体"/>
                <w:color w:val="000000"/>
                <w:sz w:val="22"/>
                <w:szCs w:val="22"/>
                <w:lang w:eastAsia="zh-CN"/>
              </w:rPr>
              <w:t>18</w:t>
            </w:r>
          </w:p>
        </w:tc>
        <w:tc>
          <w:tcPr>
            <w:tcW w:w="1405" w:type="dxa"/>
            <w:tcBorders>
              <w:top w:val="single" w:color="000000" w:sz="4" w:space="0"/>
              <w:left w:val="single" w:color="000000" w:sz="4" w:space="0"/>
              <w:bottom w:val="single" w:color="000000" w:sz="4" w:space="0"/>
              <w:right w:val="single" w:color="000000" w:sz="4" w:space="0"/>
            </w:tcBorders>
            <w:noWrap/>
            <w:vAlign w:val="center"/>
          </w:tcPr>
          <w:p w14:paraId="371D47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灭火剂瓶</w:t>
            </w:r>
          </w:p>
        </w:tc>
        <w:tc>
          <w:tcPr>
            <w:tcW w:w="1456" w:type="dxa"/>
            <w:tcBorders>
              <w:top w:val="single" w:color="000000" w:sz="4" w:space="0"/>
              <w:left w:val="single" w:color="000000" w:sz="4" w:space="0"/>
              <w:bottom w:val="single" w:color="000000" w:sz="4" w:space="0"/>
              <w:right w:val="single" w:color="000000" w:sz="4" w:space="0"/>
            </w:tcBorders>
            <w:noWrap/>
            <w:vAlign w:val="center"/>
          </w:tcPr>
          <w:p w14:paraId="0C07AC31">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kern w:val="2"/>
                <w:sz w:val="22"/>
                <w:szCs w:val="22"/>
                <w:lang w:eastAsia="zh-CN"/>
              </w:rPr>
            </w:pPr>
            <w:r>
              <w:rPr>
                <w:rFonts w:hint="eastAsia" w:ascii="宋体" w:hAnsi="宋体" w:eastAsia="宋体" w:cs="宋体"/>
                <w:color w:val="000000"/>
                <w:kern w:val="2"/>
                <w:sz w:val="22"/>
                <w:szCs w:val="22"/>
                <w:lang w:eastAsia="zh-CN"/>
              </w:rPr>
              <w:t>QMP40/2.5</w:t>
            </w:r>
          </w:p>
        </w:tc>
        <w:tc>
          <w:tcPr>
            <w:tcW w:w="767" w:type="dxa"/>
            <w:tcBorders>
              <w:top w:val="single" w:color="000000" w:sz="4" w:space="0"/>
              <w:left w:val="single" w:color="000000" w:sz="4" w:space="0"/>
              <w:bottom w:val="single" w:color="000000" w:sz="4" w:space="0"/>
              <w:right w:val="single" w:color="000000" w:sz="4" w:space="0"/>
            </w:tcBorders>
            <w:noWrap/>
            <w:vAlign w:val="center"/>
          </w:tcPr>
          <w:p w14:paraId="393E8A18">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kern w:val="2"/>
                <w:sz w:val="22"/>
                <w:szCs w:val="22"/>
                <w:lang w:eastAsia="zh-CN"/>
              </w:rPr>
            </w:pPr>
            <w:r>
              <w:rPr>
                <w:rFonts w:hint="eastAsia" w:ascii="宋体" w:hAnsi="宋体" w:eastAsia="宋体" w:cs="宋体"/>
                <w:color w:val="000000"/>
                <w:kern w:val="2"/>
                <w:sz w:val="22"/>
                <w:szCs w:val="22"/>
                <w:lang w:eastAsia="zh-CN"/>
              </w:rPr>
              <w:t>42</w:t>
            </w:r>
          </w:p>
        </w:tc>
        <w:tc>
          <w:tcPr>
            <w:tcW w:w="947" w:type="dxa"/>
            <w:tcBorders>
              <w:top w:val="single" w:color="000000" w:sz="4" w:space="0"/>
              <w:left w:val="single" w:color="000000" w:sz="4" w:space="0"/>
              <w:bottom w:val="single" w:color="000000" w:sz="4" w:space="0"/>
              <w:right w:val="single" w:color="000000" w:sz="4" w:space="0"/>
            </w:tcBorders>
            <w:noWrap/>
            <w:vAlign w:val="center"/>
          </w:tcPr>
          <w:p w14:paraId="317745EC">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kern w:val="2"/>
                <w:sz w:val="22"/>
                <w:szCs w:val="22"/>
                <w:lang w:eastAsia="zh-CN"/>
              </w:rPr>
            </w:pPr>
            <w:r>
              <w:rPr>
                <w:rFonts w:hint="eastAsia" w:ascii="宋体" w:hAnsi="宋体" w:eastAsia="宋体" w:cs="宋体"/>
                <w:color w:val="000000"/>
                <w:kern w:val="2"/>
                <w:sz w:val="22"/>
                <w:szCs w:val="22"/>
                <w:lang w:eastAsia="zh-CN"/>
              </w:rPr>
              <w:t>2.5</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7D02EF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1</w:t>
            </w: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554163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2022年6月</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4328F1E3">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2022年5月</w:t>
            </w:r>
          </w:p>
        </w:tc>
        <w:tc>
          <w:tcPr>
            <w:tcW w:w="1836" w:type="dxa"/>
            <w:tcBorders>
              <w:top w:val="single" w:color="000000" w:sz="4" w:space="0"/>
              <w:left w:val="single" w:color="000000" w:sz="4" w:space="0"/>
              <w:bottom w:val="single" w:color="000000" w:sz="4" w:space="0"/>
              <w:right w:val="single" w:color="000000" w:sz="4" w:space="0"/>
            </w:tcBorders>
            <w:noWrap w:val="0"/>
            <w:vAlign w:val="center"/>
          </w:tcPr>
          <w:p w14:paraId="49F5DF6E">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22"/>
                <w:szCs w:val="22"/>
                <w:lang w:eastAsia="zh-CN"/>
              </w:rPr>
            </w:pPr>
            <w:r>
              <w:rPr>
                <w:rFonts w:hint="eastAsia" w:ascii="宋体" w:hAnsi="宋体" w:eastAsia="宋体" w:cs="宋体"/>
                <w:color w:val="000000"/>
                <w:kern w:val="2"/>
                <w:sz w:val="22"/>
                <w:szCs w:val="22"/>
                <w:lang w:eastAsia="zh-CN"/>
              </w:rPr>
              <w:t>B229战时防化值班室</w:t>
            </w:r>
          </w:p>
        </w:tc>
      </w:tr>
      <w:tr w14:paraId="5B3187A4">
        <w:tblPrEx>
          <w:tblCellMar>
            <w:top w:w="0" w:type="dxa"/>
            <w:left w:w="108" w:type="dxa"/>
            <w:bottom w:w="0" w:type="dxa"/>
            <w:right w:w="108" w:type="dxa"/>
          </w:tblCellMar>
        </w:tblPrEx>
        <w:trPr>
          <w:trHeight w:val="632" w:hRule="atLeast"/>
          <w:jc w:val="center"/>
        </w:trPr>
        <w:tc>
          <w:tcPr>
            <w:tcW w:w="704" w:type="dxa"/>
            <w:tcBorders>
              <w:top w:val="single" w:color="000000" w:sz="4" w:space="0"/>
              <w:left w:val="single" w:color="000000" w:sz="4" w:space="0"/>
              <w:bottom w:val="single" w:color="000000" w:sz="4" w:space="0"/>
              <w:right w:val="single" w:color="000000" w:sz="4" w:space="0"/>
            </w:tcBorders>
            <w:noWrap/>
            <w:vAlign w:val="center"/>
          </w:tcPr>
          <w:p w14:paraId="4D5362AE">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sz w:val="22"/>
                <w:szCs w:val="22"/>
                <w:lang w:eastAsia="zh-CN"/>
              </w:rPr>
            </w:pPr>
            <w:r>
              <w:rPr>
                <w:rFonts w:hint="eastAsia" w:ascii="宋体" w:hAnsi="宋体" w:eastAsia="宋体" w:cs="宋体"/>
                <w:color w:val="000000"/>
                <w:sz w:val="22"/>
                <w:szCs w:val="22"/>
                <w:lang w:eastAsia="zh-CN"/>
              </w:rPr>
              <w:t>19</w:t>
            </w:r>
          </w:p>
        </w:tc>
        <w:tc>
          <w:tcPr>
            <w:tcW w:w="1405" w:type="dxa"/>
            <w:tcBorders>
              <w:top w:val="single" w:color="000000" w:sz="4" w:space="0"/>
              <w:left w:val="single" w:color="000000" w:sz="4" w:space="0"/>
              <w:bottom w:val="single" w:color="000000" w:sz="4" w:space="0"/>
              <w:right w:val="single" w:color="000000" w:sz="4" w:space="0"/>
            </w:tcBorders>
            <w:noWrap/>
            <w:vAlign w:val="center"/>
          </w:tcPr>
          <w:p w14:paraId="449FD1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灭火剂瓶</w:t>
            </w:r>
          </w:p>
        </w:tc>
        <w:tc>
          <w:tcPr>
            <w:tcW w:w="1456" w:type="dxa"/>
            <w:tcBorders>
              <w:top w:val="single" w:color="000000" w:sz="4" w:space="0"/>
              <w:left w:val="single" w:color="000000" w:sz="4" w:space="0"/>
              <w:bottom w:val="single" w:color="000000" w:sz="4" w:space="0"/>
              <w:right w:val="single" w:color="000000" w:sz="4" w:space="0"/>
            </w:tcBorders>
            <w:noWrap/>
            <w:vAlign w:val="center"/>
          </w:tcPr>
          <w:p w14:paraId="3BCEB9BA">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kern w:val="2"/>
                <w:sz w:val="22"/>
                <w:szCs w:val="22"/>
                <w:lang w:eastAsia="zh-CN"/>
              </w:rPr>
            </w:pPr>
            <w:r>
              <w:rPr>
                <w:rFonts w:hint="eastAsia" w:ascii="宋体" w:hAnsi="宋体" w:eastAsia="宋体" w:cs="宋体"/>
                <w:color w:val="000000"/>
                <w:kern w:val="2"/>
                <w:sz w:val="22"/>
                <w:szCs w:val="22"/>
                <w:lang w:eastAsia="zh-CN"/>
              </w:rPr>
              <w:t>QMP40/2.5</w:t>
            </w:r>
          </w:p>
        </w:tc>
        <w:tc>
          <w:tcPr>
            <w:tcW w:w="767" w:type="dxa"/>
            <w:tcBorders>
              <w:top w:val="single" w:color="000000" w:sz="4" w:space="0"/>
              <w:left w:val="single" w:color="000000" w:sz="4" w:space="0"/>
              <w:bottom w:val="single" w:color="000000" w:sz="4" w:space="0"/>
              <w:right w:val="single" w:color="000000" w:sz="4" w:space="0"/>
            </w:tcBorders>
            <w:noWrap/>
            <w:vAlign w:val="center"/>
          </w:tcPr>
          <w:p w14:paraId="692ADE54">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kern w:val="2"/>
                <w:sz w:val="22"/>
                <w:szCs w:val="22"/>
                <w:lang w:eastAsia="zh-CN"/>
              </w:rPr>
            </w:pPr>
            <w:r>
              <w:rPr>
                <w:rFonts w:hint="eastAsia" w:ascii="宋体" w:hAnsi="宋体" w:eastAsia="宋体" w:cs="宋体"/>
                <w:color w:val="000000"/>
                <w:kern w:val="2"/>
                <w:sz w:val="22"/>
                <w:szCs w:val="22"/>
                <w:lang w:eastAsia="zh-CN"/>
              </w:rPr>
              <w:t>37</w:t>
            </w:r>
          </w:p>
        </w:tc>
        <w:tc>
          <w:tcPr>
            <w:tcW w:w="947" w:type="dxa"/>
            <w:tcBorders>
              <w:top w:val="single" w:color="000000" w:sz="4" w:space="0"/>
              <w:left w:val="single" w:color="000000" w:sz="4" w:space="0"/>
              <w:bottom w:val="single" w:color="000000" w:sz="4" w:space="0"/>
              <w:right w:val="single" w:color="000000" w:sz="4" w:space="0"/>
            </w:tcBorders>
            <w:noWrap/>
            <w:vAlign w:val="center"/>
          </w:tcPr>
          <w:p w14:paraId="52DAA9B8">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kern w:val="2"/>
                <w:sz w:val="22"/>
                <w:szCs w:val="22"/>
                <w:lang w:eastAsia="zh-CN"/>
              </w:rPr>
            </w:pPr>
            <w:r>
              <w:rPr>
                <w:rFonts w:hint="eastAsia" w:ascii="宋体" w:hAnsi="宋体" w:eastAsia="宋体" w:cs="宋体"/>
                <w:color w:val="000000"/>
                <w:kern w:val="2"/>
                <w:sz w:val="22"/>
                <w:szCs w:val="22"/>
                <w:lang w:eastAsia="zh-CN"/>
              </w:rPr>
              <w:t>2.5</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2B2CBC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1</w:t>
            </w: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6A3CAE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2022年6月</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756E8B32">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2022年5月</w:t>
            </w:r>
          </w:p>
        </w:tc>
        <w:tc>
          <w:tcPr>
            <w:tcW w:w="1836" w:type="dxa"/>
            <w:tcBorders>
              <w:top w:val="single" w:color="000000" w:sz="4" w:space="0"/>
              <w:left w:val="single" w:color="000000" w:sz="4" w:space="0"/>
              <w:bottom w:val="single" w:color="000000" w:sz="4" w:space="0"/>
              <w:right w:val="single" w:color="000000" w:sz="4" w:space="0"/>
            </w:tcBorders>
            <w:noWrap w:val="0"/>
            <w:vAlign w:val="center"/>
          </w:tcPr>
          <w:p w14:paraId="6575BA93">
            <w:pPr>
              <w:keepNext w:val="0"/>
              <w:keepLines w:val="0"/>
              <w:widowControl w:val="0"/>
              <w:suppressLineNumbers w:val="0"/>
              <w:spacing w:before="0" w:beforeAutospacing="0" w:after="0" w:afterAutospacing="0"/>
              <w:ind w:left="0" w:right="0"/>
              <w:jc w:val="center"/>
              <w:rPr>
                <w:rFonts w:ascii="宋体" w:hAnsi="宋体" w:eastAsia="宋体" w:cs="宋体"/>
                <w:color w:val="000000"/>
                <w:kern w:val="2"/>
                <w:sz w:val="22"/>
                <w:szCs w:val="22"/>
                <w:lang w:eastAsia="zh-CN"/>
              </w:rPr>
            </w:pPr>
            <w:r>
              <w:rPr>
                <w:rFonts w:hint="eastAsia" w:ascii="宋体" w:hAnsi="宋体" w:eastAsia="宋体" w:cs="宋体"/>
                <w:color w:val="000000"/>
                <w:kern w:val="2"/>
                <w:sz w:val="22"/>
                <w:szCs w:val="22"/>
                <w:lang w:eastAsia="zh-CN"/>
              </w:rPr>
              <w:t>B2生活水泵房</w:t>
            </w:r>
          </w:p>
        </w:tc>
      </w:tr>
      <w:tr w14:paraId="1688B401">
        <w:tblPrEx>
          <w:tblCellMar>
            <w:top w:w="0" w:type="dxa"/>
            <w:left w:w="108" w:type="dxa"/>
            <w:bottom w:w="0" w:type="dxa"/>
            <w:right w:w="108" w:type="dxa"/>
          </w:tblCellMar>
        </w:tblPrEx>
        <w:trPr>
          <w:trHeight w:val="632" w:hRule="atLeast"/>
          <w:jc w:val="center"/>
        </w:trPr>
        <w:tc>
          <w:tcPr>
            <w:tcW w:w="704" w:type="dxa"/>
            <w:tcBorders>
              <w:top w:val="single" w:color="000000" w:sz="4" w:space="0"/>
              <w:left w:val="single" w:color="000000" w:sz="4" w:space="0"/>
              <w:bottom w:val="single" w:color="000000" w:sz="4" w:space="0"/>
              <w:right w:val="single" w:color="000000" w:sz="4" w:space="0"/>
            </w:tcBorders>
            <w:noWrap/>
            <w:vAlign w:val="center"/>
          </w:tcPr>
          <w:p w14:paraId="177E43D0">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sz w:val="22"/>
                <w:szCs w:val="22"/>
                <w:lang w:eastAsia="zh-CN"/>
              </w:rPr>
            </w:pPr>
            <w:r>
              <w:rPr>
                <w:rFonts w:hint="eastAsia" w:ascii="宋体" w:hAnsi="宋体" w:eastAsia="宋体" w:cs="宋体"/>
                <w:color w:val="000000"/>
                <w:sz w:val="22"/>
                <w:szCs w:val="22"/>
                <w:lang w:eastAsia="zh-CN"/>
              </w:rPr>
              <w:t>20</w:t>
            </w:r>
          </w:p>
        </w:tc>
        <w:tc>
          <w:tcPr>
            <w:tcW w:w="1405" w:type="dxa"/>
            <w:tcBorders>
              <w:top w:val="single" w:color="000000" w:sz="4" w:space="0"/>
              <w:left w:val="single" w:color="000000" w:sz="4" w:space="0"/>
              <w:bottom w:val="single" w:color="000000" w:sz="4" w:space="0"/>
              <w:right w:val="single" w:color="000000" w:sz="4" w:space="0"/>
            </w:tcBorders>
            <w:noWrap/>
            <w:vAlign w:val="center"/>
          </w:tcPr>
          <w:p w14:paraId="7A87ED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灭火剂瓶</w:t>
            </w:r>
          </w:p>
        </w:tc>
        <w:tc>
          <w:tcPr>
            <w:tcW w:w="1456" w:type="dxa"/>
            <w:tcBorders>
              <w:top w:val="single" w:color="000000" w:sz="4" w:space="0"/>
              <w:left w:val="single" w:color="000000" w:sz="4" w:space="0"/>
              <w:bottom w:val="single" w:color="000000" w:sz="4" w:space="0"/>
              <w:right w:val="single" w:color="000000" w:sz="4" w:space="0"/>
            </w:tcBorders>
            <w:noWrap/>
            <w:vAlign w:val="center"/>
          </w:tcPr>
          <w:p w14:paraId="551F727C">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kern w:val="2"/>
                <w:sz w:val="22"/>
                <w:szCs w:val="22"/>
                <w:lang w:eastAsia="zh-CN"/>
              </w:rPr>
            </w:pPr>
            <w:r>
              <w:rPr>
                <w:rFonts w:hint="eastAsia" w:ascii="宋体" w:hAnsi="宋体" w:eastAsia="宋体" w:cs="宋体"/>
                <w:color w:val="000000"/>
                <w:kern w:val="2"/>
                <w:sz w:val="22"/>
                <w:szCs w:val="22"/>
                <w:lang w:eastAsia="zh-CN"/>
              </w:rPr>
              <w:t>QMP70/2.5</w:t>
            </w:r>
          </w:p>
        </w:tc>
        <w:tc>
          <w:tcPr>
            <w:tcW w:w="767" w:type="dxa"/>
            <w:tcBorders>
              <w:top w:val="single" w:color="000000" w:sz="4" w:space="0"/>
              <w:left w:val="single" w:color="000000" w:sz="4" w:space="0"/>
              <w:bottom w:val="single" w:color="000000" w:sz="4" w:space="0"/>
              <w:right w:val="single" w:color="000000" w:sz="4" w:space="0"/>
            </w:tcBorders>
            <w:noWrap/>
            <w:vAlign w:val="center"/>
          </w:tcPr>
          <w:p w14:paraId="66923A5C">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kern w:val="2"/>
                <w:sz w:val="22"/>
                <w:szCs w:val="22"/>
                <w:lang w:eastAsia="zh-CN"/>
              </w:rPr>
            </w:pPr>
            <w:r>
              <w:rPr>
                <w:rFonts w:hint="eastAsia" w:ascii="宋体" w:hAnsi="宋体" w:eastAsia="宋体" w:cs="宋体"/>
                <w:color w:val="000000"/>
                <w:kern w:val="2"/>
                <w:sz w:val="22"/>
                <w:szCs w:val="22"/>
                <w:lang w:eastAsia="zh-CN"/>
              </w:rPr>
              <w:t>52</w:t>
            </w:r>
          </w:p>
        </w:tc>
        <w:tc>
          <w:tcPr>
            <w:tcW w:w="947" w:type="dxa"/>
            <w:tcBorders>
              <w:top w:val="single" w:color="000000" w:sz="4" w:space="0"/>
              <w:left w:val="single" w:color="000000" w:sz="4" w:space="0"/>
              <w:bottom w:val="single" w:color="000000" w:sz="4" w:space="0"/>
              <w:right w:val="single" w:color="000000" w:sz="4" w:space="0"/>
            </w:tcBorders>
            <w:noWrap/>
            <w:vAlign w:val="center"/>
          </w:tcPr>
          <w:p w14:paraId="3CD6A82C">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000000"/>
                <w:kern w:val="2"/>
                <w:sz w:val="22"/>
                <w:szCs w:val="22"/>
                <w:lang w:eastAsia="zh-CN"/>
              </w:rPr>
            </w:pPr>
            <w:r>
              <w:rPr>
                <w:rFonts w:hint="eastAsia" w:ascii="宋体" w:hAnsi="宋体" w:eastAsia="宋体" w:cs="宋体"/>
                <w:color w:val="000000"/>
                <w:kern w:val="2"/>
                <w:sz w:val="22"/>
                <w:szCs w:val="22"/>
                <w:lang w:eastAsia="zh-CN"/>
              </w:rPr>
              <w:t>2.5</w:t>
            </w:r>
          </w:p>
        </w:tc>
        <w:tc>
          <w:tcPr>
            <w:tcW w:w="784" w:type="dxa"/>
            <w:tcBorders>
              <w:top w:val="single" w:color="000000" w:sz="4" w:space="0"/>
              <w:left w:val="single" w:color="000000" w:sz="4" w:space="0"/>
              <w:bottom w:val="single" w:color="000000" w:sz="4" w:space="0"/>
              <w:right w:val="single" w:color="000000" w:sz="4" w:space="0"/>
            </w:tcBorders>
            <w:noWrap/>
            <w:vAlign w:val="center"/>
          </w:tcPr>
          <w:p w14:paraId="0B588C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1</w:t>
            </w:r>
          </w:p>
        </w:tc>
        <w:tc>
          <w:tcPr>
            <w:tcW w:w="1364" w:type="dxa"/>
            <w:tcBorders>
              <w:top w:val="single" w:color="000000" w:sz="4" w:space="0"/>
              <w:left w:val="single" w:color="000000" w:sz="4" w:space="0"/>
              <w:bottom w:val="single" w:color="000000" w:sz="4" w:space="0"/>
              <w:right w:val="single" w:color="000000" w:sz="4" w:space="0"/>
            </w:tcBorders>
            <w:noWrap/>
            <w:vAlign w:val="center"/>
          </w:tcPr>
          <w:p w14:paraId="7BFCFB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2022年6月</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3645D35C">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2022年5月</w:t>
            </w:r>
          </w:p>
        </w:tc>
        <w:tc>
          <w:tcPr>
            <w:tcW w:w="1836" w:type="dxa"/>
            <w:tcBorders>
              <w:top w:val="single" w:color="000000" w:sz="4" w:space="0"/>
              <w:left w:val="single" w:color="000000" w:sz="4" w:space="0"/>
              <w:bottom w:val="single" w:color="000000" w:sz="4" w:space="0"/>
              <w:right w:val="single" w:color="000000" w:sz="4" w:space="0"/>
            </w:tcBorders>
            <w:noWrap w:val="0"/>
            <w:vAlign w:val="center"/>
          </w:tcPr>
          <w:p w14:paraId="7A6BBC3E">
            <w:pPr>
              <w:keepNext w:val="0"/>
              <w:keepLines w:val="0"/>
              <w:widowControl w:val="0"/>
              <w:suppressLineNumbers w:val="0"/>
              <w:spacing w:before="0" w:beforeAutospacing="0" w:after="0" w:afterAutospacing="0"/>
              <w:ind w:left="0" w:right="0"/>
              <w:jc w:val="center"/>
              <w:rPr>
                <w:rFonts w:ascii="宋体" w:hAnsi="宋体" w:eastAsia="宋体" w:cs="宋体"/>
                <w:color w:val="000000"/>
                <w:kern w:val="2"/>
                <w:sz w:val="22"/>
                <w:szCs w:val="22"/>
                <w:lang w:eastAsia="zh-CN"/>
              </w:rPr>
            </w:pPr>
            <w:r>
              <w:rPr>
                <w:rFonts w:hint="eastAsia" w:ascii="宋体" w:hAnsi="宋体" w:eastAsia="宋体" w:cs="宋体"/>
                <w:color w:val="000000"/>
                <w:kern w:val="2"/>
                <w:sz w:val="22"/>
                <w:szCs w:val="22"/>
                <w:lang w:eastAsia="zh-CN"/>
              </w:rPr>
              <w:t>B2消防水泵房</w:t>
            </w:r>
          </w:p>
        </w:tc>
      </w:tr>
    </w:tbl>
    <w:p w14:paraId="2BD66F1F">
      <w:pPr>
        <w:widowControl w:val="0"/>
        <w:jc w:val="center"/>
        <w:rPr>
          <w:rFonts w:ascii="宋体" w:hAnsi="宋体" w:eastAsia="宋体"/>
          <w:b/>
          <w:bCs/>
          <w:lang w:eastAsia="zh-CN"/>
        </w:rPr>
      </w:pPr>
      <w:r>
        <w:rPr>
          <w:rFonts w:hint="eastAsia" w:eastAsia="宋体"/>
          <w:kern w:val="2"/>
          <w:sz w:val="21"/>
          <w:lang w:eastAsia="zh-CN"/>
        </w:rPr>
        <w:br w:type="page"/>
      </w:r>
      <w:r>
        <w:rPr>
          <w:rFonts w:hint="eastAsia" w:ascii="宋体" w:hAnsi="宋体" w:eastAsia="宋体"/>
          <w:b/>
          <w:bCs/>
          <w:lang w:eastAsia="zh-CN"/>
        </w:rPr>
        <w:t>六、商务要求</w:t>
      </w:r>
    </w:p>
    <w:p w14:paraId="037E28C1">
      <w:pPr>
        <w:pageBreakBefore w:val="0"/>
        <w:widowControl/>
        <w:kinsoku/>
        <w:wordWrap/>
        <w:overflowPunct/>
        <w:topLinePunct w:val="0"/>
        <w:autoSpaceDE/>
        <w:autoSpaceDN/>
        <w:bidi w:val="0"/>
        <w:adjustRightInd/>
        <w:snapToGrid/>
        <w:spacing w:line="24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（一）售后服务要求：</w:t>
      </w:r>
    </w:p>
    <w:p w14:paraId="6B721EB9">
      <w:pPr>
        <w:pageBreakBefore w:val="0"/>
        <w:widowControl/>
        <w:kinsoku/>
        <w:wordWrap/>
        <w:overflowPunct/>
        <w:topLinePunct w:val="0"/>
        <w:autoSpaceDE/>
        <w:autoSpaceDN/>
        <w:bidi w:val="0"/>
        <w:adjustRightInd/>
        <w:snapToGrid/>
        <w:spacing w:line="24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1.项目验收合格后进入保修阶段，保修期为3年。</w:t>
      </w:r>
    </w:p>
    <w:p w14:paraId="03FBE06B">
      <w:pPr>
        <w:pageBreakBefore w:val="0"/>
        <w:widowControl/>
        <w:kinsoku/>
        <w:wordWrap/>
        <w:overflowPunct/>
        <w:topLinePunct w:val="0"/>
        <w:autoSpaceDE/>
        <w:autoSpaceDN/>
        <w:bidi w:val="0"/>
        <w:adjustRightInd/>
        <w:snapToGrid/>
        <w:spacing w:line="24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2.保修期内，气瓶及附属管路出现漏气、误报警等故障的,供应商免费进行维修，同一故障两次修理仍不能正常使用的，采购人有权选择解除合同或者要求更换全新产品。修理过程中需要更换零部件的，供应商应免费提供全新的、相同规格的零部件。</w:t>
      </w:r>
    </w:p>
    <w:p w14:paraId="3741B43C">
      <w:pPr>
        <w:pageBreakBefore w:val="0"/>
        <w:widowControl/>
        <w:kinsoku/>
        <w:wordWrap/>
        <w:overflowPunct/>
        <w:topLinePunct w:val="0"/>
        <w:autoSpaceDE/>
        <w:autoSpaceDN/>
        <w:bidi w:val="0"/>
        <w:adjustRightInd/>
        <w:snapToGrid/>
        <w:spacing w:line="24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3.保修期内，出现问题时供应商应保证2小时内赶到现场进行维修。紧急情况时，应在采购人指定的时间内到达现场实施维修。</w:t>
      </w:r>
    </w:p>
    <w:p w14:paraId="65B46AAE">
      <w:pPr>
        <w:pageBreakBefore w:val="0"/>
        <w:widowControl/>
        <w:kinsoku/>
        <w:wordWrap/>
        <w:overflowPunct/>
        <w:topLinePunct w:val="0"/>
        <w:autoSpaceDE/>
        <w:autoSpaceDN/>
        <w:bidi w:val="0"/>
        <w:adjustRightInd/>
        <w:snapToGrid/>
        <w:spacing w:line="240" w:lineRule="auto"/>
        <w:ind w:firstLine="420" w:firstLineChars="200"/>
        <w:jc w:val="left"/>
        <w:rPr>
          <w:rFonts w:ascii="宋体" w:hAnsi="宋体" w:eastAsia="宋体"/>
          <w:kern w:val="2"/>
          <w:sz w:val="21"/>
          <w:szCs w:val="22"/>
          <w:lang w:eastAsia="zh-CN"/>
        </w:rPr>
      </w:pPr>
      <w:r>
        <w:rPr>
          <w:rFonts w:hint="eastAsia" w:ascii="宋体" w:hAnsi="宋体" w:eastAsia="宋体" w:cs="宋体"/>
          <w:sz w:val="21"/>
          <w:szCs w:val="21"/>
          <w:lang w:eastAsia="zh-CN"/>
        </w:rPr>
        <w:t>4.保修期外，供应商仍有义务承担售后服务，发生的费用由双方协商约定。</w:t>
      </w:r>
    </w:p>
    <w:p w14:paraId="1980BAC2">
      <w:pPr>
        <w:pageBreakBefore w:val="0"/>
        <w:widowControl w:val="0"/>
        <w:kinsoku/>
        <w:wordWrap/>
        <w:overflowPunct/>
        <w:topLinePunct w:val="0"/>
        <w:autoSpaceDE/>
        <w:autoSpaceDN/>
        <w:bidi w:val="0"/>
        <w:adjustRightInd/>
        <w:snapToGrid/>
        <w:spacing w:line="240" w:lineRule="auto"/>
        <w:ind w:firstLine="420" w:firstLineChars="200"/>
        <w:jc w:val="both"/>
        <w:rPr>
          <w:rFonts w:hint="eastAsia" w:ascii="宋体" w:hAnsi="宋体" w:eastAsia="宋体"/>
          <w:kern w:val="2"/>
          <w:sz w:val="21"/>
          <w:szCs w:val="22"/>
          <w:lang w:eastAsia="zh-CN"/>
        </w:rPr>
      </w:pPr>
      <w:r>
        <w:rPr>
          <w:rFonts w:hint="eastAsia" w:ascii="宋体" w:hAnsi="宋体" w:eastAsia="宋体" w:cs="宋体"/>
          <w:sz w:val="21"/>
          <w:szCs w:val="21"/>
          <w:lang w:eastAsia="zh-CN"/>
        </w:rPr>
        <w:t>（二）交付</w:t>
      </w:r>
      <w:r>
        <w:rPr>
          <w:rFonts w:ascii="宋体" w:hAnsi="宋体" w:eastAsia="宋体" w:cs="宋体"/>
          <w:sz w:val="21"/>
          <w:szCs w:val="21"/>
          <w:lang w:eastAsia="zh-CN"/>
        </w:rPr>
        <w:t>及工期</w:t>
      </w:r>
      <w:r>
        <w:rPr>
          <w:rFonts w:hint="eastAsia" w:ascii="宋体" w:hAnsi="宋体" w:eastAsia="宋体" w:cs="宋体"/>
          <w:sz w:val="21"/>
          <w:szCs w:val="21"/>
          <w:lang w:eastAsia="zh-CN"/>
        </w:rPr>
        <w:t>：</w:t>
      </w:r>
    </w:p>
    <w:p w14:paraId="4A0A396E">
      <w:pPr>
        <w:pageBreakBefore w:val="0"/>
        <w:widowControl/>
        <w:kinsoku/>
        <w:wordWrap/>
        <w:overflowPunct/>
        <w:topLinePunct w:val="0"/>
        <w:autoSpaceDE/>
        <w:autoSpaceDN/>
        <w:bidi w:val="0"/>
        <w:adjustRightInd/>
        <w:snapToGrid/>
        <w:spacing w:line="240" w:lineRule="auto"/>
        <w:ind w:firstLine="422" w:firstLineChars="200"/>
        <w:jc w:val="left"/>
        <w:textAlignment w:val="center"/>
        <w:rPr>
          <w:rFonts w:ascii="宋体" w:hAnsi="宋体" w:eastAsia="宋体"/>
          <w:b/>
          <w:bCs/>
          <w:color w:val="FF0000"/>
          <w:sz w:val="21"/>
          <w:szCs w:val="21"/>
          <w:lang w:eastAsia="zh-CN"/>
        </w:rPr>
      </w:pPr>
      <w:r>
        <w:rPr>
          <w:rFonts w:hint="eastAsia" w:eastAsia="宋体"/>
          <w:b/>
          <w:bCs/>
          <w:color w:val="FF0000"/>
          <w:kern w:val="2"/>
          <w:sz w:val="21"/>
          <w:lang w:eastAsia="zh-CN"/>
        </w:rPr>
        <w:t>★</w:t>
      </w:r>
      <w:r>
        <w:rPr>
          <w:rFonts w:ascii="宋体" w:hAnsi="宋体" w:eastAsia="宋体"/>
          <w:b/>
          <w:bCs/>
          <w:color w:val="FF0000"/>
          <w:sz w:val="21"/>
          <w:szCs w:val="21"/>
          <w:lang w:eastAsia="zh-CN"/>
        </w:rPr>
        <w:t>签</w:t>
      </w:r>
      <w:r>
        <w:rPr>
          <w:rFonts w:hint="eastAsia" w:ascii="宋体" w:hAnsi="宋体" w:eastAsia="宋体" w:cs="宋体"/>
          <w:b/>
          <w:bCs/>
          <w:color w:val="FF0000"/>
          <w:sz w:val="21"/>
          <w:szCs w:val="21"/>
          <w:lang w:eastAsia="zh-CN"/>
        </w:rPr>
        <w:t>订合同后30个自然日完成检测工作。</w:t>
      </w:r>
    </w:p>
    <w:p w14:paraId="3BD3927D">
      <w:pPr>
        <w:pageBreakBefore w:val="0"/>
        <w:widowControl/>
        <w:kinsoku/>
        <w:wordWrap/>
        <w:overflowPunct/>
        <w:topLinePunct w:val="0"/>
        <w:autoSpaceDE/>
        <w:autoSpaceDN/>
        <w:bidi w:val="0"/>
        <w:adjustRightInd/>
        <w:snapToGrid/>
        <w:spacing w:line="24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（三）投标价：</w:t>
      </w:r>
    </w:p>
    <w:p w14:paraId="0F5FD75F">
      <w:pPr>
        <w:keepNext/>
        <w:keepLines/>
        <w:pageBreakBefore w:val="0"/>
        <w:widowControl w:val="0"/>
        <w:kinsoku/>
        <w:wordWrap/>
        <w:overflowPunct/>
        <w:topLinePunct w:val="0"/>
        <w:autoSpaceDE/>
        <w:autoSpaceDN/>
        <w:bidi w:val="0"/>
        <w:adjustRightInd/>
        <w:snapToGrid/>
        <w:spacing w:line="240" w:lineRule="auto"/>
        <w:ind w:firstLine="420" w:firstLineChars="200"/>
        <w:jc w:val="both"/>
        <w:outlineLvl w:val="2"/>
        <w:rPr>
          <w:rFonts w:ascii="宋体" w:hAnsi="宋体" w:eastAsia="宋体"/>
          <w:b/>
          <w:bCs/>
          <w:kern w:val="2"/>
          <w:sz w:val="28"/>
          <w:szCs w:val="32"/>
          <w:lang w:eastAsia="zh-CN"/>
        </w:rPr>
      </w:pPr>
      <w:r>
        <w:rPr>
          <w:rFonts w:hint="eastAsia" w:ascii="宋体" w:hAnsi="宋体" w:eastAsia="宋体" w:cs="宋体"/>
          <w:sz w:val="21"/>
          <w:szCs w:val="21"/>
          <w:lang w:eastAsia="zh-CN"/>
        </w:rPr>
        <w:t>报价应是全部工作内容的价格体现，即包干价。报价应包括但不限于下列的相关费用：现场勘查费用、安全措施费、机械使用费、施工人工费、辅材费用、运至采购人指定地点的运输费（含二次运输费）、售后服务费、保险费（如需要）、技术服务费、检测费、试验费、现场卫生清理费、税费等所有费用。</w:t>
      </w:r>
    </w:p>
    <w:p w14:paraId="7E9629FB">
      <w:pPr>
        <w:pageBreakBefore w:val="0"/>
        <w:widowControl w:val="0"/>
        <w:kinsoku/>
        <w:wordWrap/>
        <w:overflowPunct/>
        <w:topLinePunct w:val="0"/>
        <w:autoSpaceDE/>
        <w:autoSpaceDN/>
        <w:bidi w:val="0"/>
        <w:adjustRightInd/>
        <w:snapToGrid/>
        <w:spacing w:line="240" w:lineRule="auto"/>
        <w:ind w:firstLine="420" w:firstLineChars="200"/>
        <w:jc w:val="both"/>
        <w:rPr>
          <w:rFonts w:eastAsia="宋体"/>
          <w:kern w:val="2"/>
          <w:sz w:val="21"/>
          <w:szCs w:val="22"/>
          <w:lang w:eastAsia="zh-CN"/>
        </w:rPr>
      </w:pPr>
      <w:r>
        <w:rPr>
          <w:rFonts w:hint="eastAsia" w:eastAsia="宋体"/>
          <w:kern w:val="2"/>
          <w:sz w:val="21"/>
          <w:szCs w:val="22"/>
          <w:lang w:eastAsia="zh-CN"/>
        </w:rPr>
        <w:t>（四）验收</w:t>
      </w:r>
      <w:r>
        <w:rPr>
          <w:rFonts w:eastAsia="宋体"/>
          <w:kern w:val="2"/>
          <w:sz w:val="21"/>
          <w:szCs w:val="22"/>
          <w:lang w:eastAsia="zh-CN"/>
        </w:rPr>
        <w:t>：</w:t>
      </w:r>
    </w:p>
    <w:p w14:paraId="51BBBA2F">
      <w:pPr>
        <w:pageBreakBefore w:val="0"/>
        <w:widowControl w:val="0"/>
        <w:kinsoku/>
        <w:wordWrap/>
        <w:overflowPunct/>
        <w:topLinePunct w:val="0"/>
        <w:autoSpaceDE/>
        <w:autoSpaceDN/>
        <w:bidi w:val="0"/>
        <w:adjustRightInd/>
        <w:snapToGrid/>
        <w:spacing w:line="240" w:lineRule="auto"/>
        <w:ind w:firstLine="420" w:firstLineChars="200"/>
        <w:jc w:val="both"/>
        <w:rPr>
          <w:rFonts w:eastAsia="宋体"/>
          <w:kern w:val="2"/>
          <w:sz w:val="21"/>
          <w:szCs w:val="22"/>
          <w:lang w:eastAsia="zh-CN"/>
        </w:rPr>
      </w:pPr>
      <w:r>
        <w:rPr>
          <w:rFonts w:hint="eastAsia" w:eastAsia="宋体"/>
          <w:kern w:val="2"/>
          <w:sz w:val="21"/>
          <w:szCs w:val="22"/>
          <w:lang w:eastAsia="zh-CN"/>
        </w:rPr>
        <w:t>1.检测范围内的项目检测完成，气瓶粘贴合格证，出具检验报告。</w:t>
      </w:r>
    </w:p>
    <w:p w14:paraId="28C3E86B">
      <w:pPr>
        <w:pageBreakBefore w:val="0"/>
        <w:widowControl w:val="0"/>
        <w:kinsoku/>
        <w:wordWrap/>
        <w:overflowPunct/>
        <w:topLinePunct w:val="0"/>
        <w:autoSpaceDE/>
        <w:autoSpaceDN/>
        <w:bidi w:val="0"/>
        <w:adjustRightInd/>
        <w:snapToGrid/>
        <w:spacing w:line="240" w:lineRule="auto"/>
        <w:ind w:firstLine="420" w:firstLineChars="200"/>
        <w:jc w:val="both"/>
        <w:rPr>
          <w:rFonts w:ascii="宋体" w:hAnsi="宋体" w:eastAsia="宋体" w:cs="宋体"/>
          <w:color w:val="FF0000"/>
          <w:sz w:val="21"/>
          <w:szCs w:val="21"/>
          <w:lang w:eastAsia="zh-CN"/>
        </w:rPr>
      </w:pPr>
      <w:r>
        <w:rPr>
          <w:rFonts w:hint="eastAsia" w:eastAsia="宋体"/>
          <w:kern w:val="2"/>
          <w:sz w:val="21"/>
          <w:szCs w:val="22"/>
          <w:lang w:eastAsia="zh-CN"/>
        </w:rPr>
        <w:t>2.气瓶及附属件全部安装调试完成后须试运行10个自然日，试运行期间出现问题的，供应商免费进行维修，并在维修合格后重新试运行10个自然日；试运行合格10个自然内由采购人组织验收</w:t>
      </w:r>
      <w:r>
        <w:rPr>
          <w:rFonts w:eastAsia="宋体"/>
          <w:kern w:val="2"/>
          <w:sz w:val="21"/>
          <w:szCs w:val="22"/>
          <w:lang w:eastAsia="zh-CN"/>
        </w:rPr>
        <w:t>。</w:t>
      </w:r>
    </w:p>
    <w:p w14:paraId="58F4B165">
      <w:pPr>
        <w:pageBreakBefore w:val="0"/>
        <w:widowControl/>
        <w:kinsoku/>
        <w:wordWrap/>
        <w:overflowPunct/>
        <w:topLinePunct w:val="0"/>
        <w:autoSpaceDE/>
        <w:autoSpaceDN/>
        <w:bidi w:val="0"/>
        <w:adjustRightInd/>
        <w:snapToGrid/>
        <w:spacing w:line="240" w:lineRule="auto"/>
        <w:ind w:firstLine="420" w:firstLineChars="200"/>
        <w:jc w:val="left"/>
        <w:rPr>
          <w:rFonts w:ascii="宋体" w:hAnsi="宋体" w:eastAsia="宋体" w:cs="宋体"/>
          <w:sz w:val="21"/>
          <w:szCs w:val="21"/>
          <w:lang w:eastAsia="zh-CN"/>
        </w:rPr>
      </w:pPr>
      <w:r>
        <w:rPr>
          <w:rFonts w:hint="eastAsia" w:ascii="宋体" w:hAnsi="宋体" w:eastAsia="宋体" w:cs="宋体"/>
          <w:sz w:val="21"/>
          <w:szCs w:val="21"/>
          <w:lang w:eastAsia="zh-CN"/>
        </w:rPr>
        <w:t>（五）付款方式：</w:t>
      </w:r>
    </w:p>
    <w:p w14:paraId="24722CA1">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rPr>
          <w:rFonts w:hint="eastAsia" w:ascii="宋体" w:hAnsi="宋体" w:eastAsia="宋体" w:cs="宋体"/>
          <w:bCs/>
          <w:color w:val="000000"/>
          <w:kern w:val="2"/>
          <w:sz w:val="21"/>
          <w:szCs w:val="21"/>
          <w:lang w:eastAsia="zh-CN"/>
        </w:rPr>
      </w:pPr>
      <w:r>
        <w:rPr>
          <w:rFonts w:hint="eastAsia" w:ascii="宋体" w:hAnsi="宋体" w:eastAsia="宋体" w:cs="宋体"/>
          <w:bCs/>
          <w:color w:val="000000"/>
          <w:kern w:val="2"/>
          <w:sz w:val="21"/>
          <w:szCs w:val="21"/>
          <w:lang w:eastAsia="zh-CN"/>
        </w:rPr>
        <w:t>1.合同签订，采购人收到供应商提供的合法合规且符合采购人要求的等额发票后10个工作日内支付供应商项目金额的50%作为预付款。</w:t>
      </w:r>
    </w:p>
    <w:p w14:paraId="4ED251B5">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bCs/>
          <w:color w:val="000000"/>
          <w:kern w:val="2"/>
          <w:sz w:val="21"/>
          <w:szCs w:val="21"/>
          <w:lang w:eastAsia="zh-CN"/>
        </w:rPr>
      </w:pPr>
      <w:r>
        <w:rPr>
          <w:rFonts w:hint="eastAsia" w:ascii="宋体" w:hAnsi="宋体" w:eastAsia="宋体" w:cs="宋体"/>
          <w:bCs/>
          <w:color w:val="000000"/>
          <w:kern w:val="2"/>
          <w:sz w:val="21"/>
          <w:szCs w:val="21"/>
          <w:lang w:eastAsia="zh-CN"/>
        </w:rPr>
        <w:t>2.项目经采购人验收合格，采购人在供应商提供合法合规且符合采购人要求的等额发票后10个工作日内，采购人向供应商支付合同价款的50%尾款。</w:t>
      </w:r>
    </w:p>
    <w:p w14:paraId="62159DF5">
      <w:pPr>
        <w:widowControl w:val="0"/>
        <w:spacing w:line="360" w:lineRule="auto"/>
        <w:jc w:val="both"/>
        <w:rPr>
          <w:rFonts w:eastAsia="宋体"/>
          <w:b/>
          <w:bCs/>
          <w:kern w:val="2"/>
          <w:lang w:eastAsia="zh-CN"/>
        </w:rPr>
      </w:pPr>
    </w:p>
    <w:p w14:paraId="2A2CB566">
      <w:pPr>
        <w:keepNext/>
        <w:keepLines/>
        <w:widowControl w:val="0"/>
        <w:adjustRightInd w:val="0"/>
        <w:spacing w:before="156" w:beforeLines="50" w:after="156" w:afterLines="50" w:line="240" w:lineRule="auto"/>
        <w:jc w:val="center"/>
        <w:textAlignment w:val="baseline"/>
        <w:outlineLvl w:val="1"/>
        <w:rPr>
          <w:rFonts w:ascii="宋体" w:hAnsi="宋体" w:eastAsia="宋体"/>
          <w:b/>
          <w:bCs/>
          <w:lang w:eastAsia="zh-CN"/>
        </w:rPr>
      </w:pPr>
      <w:r>
        <w:rPr>
          <w:rFonts w:hint="eastAsia" w:ascii="宋体" w:hAnsi="宋体" w:eastAsia="宋体"/>
          <w:b/>
          <w:bCs/>
          <w:lang w:eastAsia="zh-CN"/>
        </w:rPr>
        <w:t>七、其他重要条款</w:t>
      </w:r>
    </w:p>
    <w:p w14:paraId="019C4BD9">
      <w:pPr>
        <w:keepNext w:val="0"/>
        <w:keepLines w:val="0"/>
        <w:pageBreakBefore w:val="0"/>
        <w:widowControl w:val="0"/>
        <w:kinsoku/>
        <w:wordWrap/>
        <w:overflowPunct/>
        <w:topLinePunct w:val="0"/>
        <w:autoSpaceDE/>
        <w:autoSpaceDN/>
        <w:bidi w:val="0"/>
        <w:adjustRightInd/>
        <w:snapToGrid/>
        <w:spacing w:beforeAutospacing="0" w:afterAutospacing="0"/>
        <w:ind w:firstLine="420" w:firstLineChars="200"/>
        <w:jc w:val="both"/>
        <w:textAlignment w:val="auto"/>
        <w:rPr>
          <w:rFonts w:eastAsia="宋体"/>
          <w:bCs/>
          <w:kern w:val="2"/>
          <w:sz w:val="21"/>
          <w:szCs w:val="21"/>
          <w:lang w:eastAsia="zh-CN"/>
        </w:rPr>
      </w:pPr>
      <w:r>
        <w:rPr>
          <w:rFonts w:eastAsia="宋体"/>
          <w:bCs/>
          <w:kern w:val="2"/>
          <w:sz w:val="21"/>
          <w:szCs w:val="21"/>
          <w:lang w:eastAsia="zh-CN" w:bidi="ar"/>
        </w:rPr>
        <w:t>1</w:t>
      </w:r>
      <w:r>
        <w:rPr>
          <w:rFonts w:hint="eastAsia" w:eastAsia="宋体" w:cs="宋体"/>
          <w:bCs/>
          <w:kern w:val="2"/>
          <w:sz w:val="21"/>
          <w:szCs w:val="21"/>
          <w:lang w:eastAsia="zh-CN" w:bidi="ar"/>
        </w:rPr>
        <w:t>、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6D6CF705">
      <w:pPr>
        <w:keepNext w:val="0"/>
        <w:keepLines w:val="0"/>
        <w:pageBreakBefore w:val="0"/>
        <w:widowControl w:val="0"/>
        <w:kinsoku/>
        <w:wordWrap/>
        <w:overflowPunct/>
        <w:topLinePunct w:val="0"/>
        <w:autoSpaceDE/>
        <w:autoSpaceDN/>
        <w:bidi w:val="0"/>
        <w:adjustRightInd/>
        <w:snapToGrid/>
        <w:spacing w:before="0" w:beforeAutospacing="0" w:after="0" w:afterAutospacing="0"/>
        <w:ind w:left="0" w:right="0" w:firstLine="392" w:firstLineChars="187"/>
        <w:jc w:val="left"/>
        <w:textAlignment w:val="auto"/>
        <w:rPr>
          <w:rFonts w:ascii="宋体" w:hAnsi="宋体" w:eastAsia="宋体" w:cs="宋体"/>
          <w:szCs w:val="21"/>
          <w:lang w:eastAsia="zh-CN" w:bidi="ar"/>
        </w:rPr>
      </w:pPr>
      <w:r>
        <w:rPr>
          <w:rFonts w:eastAsia="宋体"/>
          <w:bCs/>
          <w:sz w:val="21"/>
          <w:szCs w:val="21"/>
          <w:lang w:eastAsia="zh-CN" w:bidi="ar"/>
        </w:rPr>
        <w:t>2</w:t>
      </w:r>
      <w:r>
        <w:rPr>
          <w:rFonts w:hint="eastAsia" w:eastAsia="宋体" w:cs="宋体"/>
          <w:bCs/>
          <w:sz w:val="21"/>
          <w:szCs w:val="21"/>
          <w:lang w:eastAsia="zh-CN" w:bidi="ar"/>
        </w:rPr>
        <w:t>、投标人应充分了解项目的位置、情况、道路及任何其它足以影响投标报价的情况，任何因忽视或误解项目情况而导致的索赔或服务期限延长申请将不获批准。</w:t>
      </w:r>
    </w:p>
    <w:p w14:paraId="21F3E537">
      <w:pPr>
        <w:keepNext w:val="0"/>
        <w:keepLines w:val="0"/>
        <w:pageBreakBefore w:val="0"/>
        <w:widowControl w:val="0"/>
        <w:kinsoku/>
        <w:wordWrap/>
        <w:overflowPunct/>
        <w:topLinePunct w:val="0"/>
        <w:autoSpaceDE/>
        <w:autoSpaceDN/>
        <w:bidi w:val="0"/>
        <w:adjustRightInd/>
        <w:snapToGrid/>
        <w:spacing w:beforeAutospacing="0" w:afterAutospacing="0"/>
        <w:ind w:firstLine="420" w:firstLineChars="200"/>
        <w:jc w:val="both"/>
        <w:textAlignment w:val="auto"/>
        <w:rPr>
          <w:rFonts w:eastAsia="宋体"/>
          <w:bCs/>
          <w:kern w:val="2"/>
          <w:sz w:val="21"/>
          <w:szCs w:val="21"/>
          <w:lang w:eastAsia="zh-CN"/>
        </w:rPr>
      </w:pPr>
      <w:r>
        <w:rPr>
          <w:rFonts w:eastAsia="宋体"/>
          <w:bCs/>
          <w:kern w:val="2"/>
          <w:sz w:val="21"/>
          <w:szCs w:val="21"/>
          <w:lang w:eastAsia="zh-CN" w:bidi="ar"/>
        </w:rPr>
        <w:t>3</w:t>
      </w:r>
      <w:r>
        <w:rPr>
          <w:rFonts w:hint="eastAsia" w:eastAsia="宋体" w:cs="宋体"/>
          <w:bCs/>
          <w:kern w:val="2"/>
          <w:sz w:val="21"/>
          <w:szCs w:val="21"/>
          <w:lang w:eastAsia="zh-CN" w:bidi="ar"/>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08F8B2A0">
      <w:pPr>
        <w:keepNext w:val="0"/>
        <w:keepLines w:val="0"/>
        <w:pageBreakBefore w:val="0"/>
        <w:widowControl w:val="0"/>
        <w:kinsoku/>
        <w:wordWrap/>
        <w:overflowPunct/>
        <w:topLinePunct w:val="0"/>
        <w:autoSpaceDE/>
        <w:autoSpaceDN/>
        <w:bidi w:val="0"/>
        <w:adjustRightInd/>
        <w:snapToGrid/>
        <w:spacing w:beforeAutospacing="0" w:afterAutospacing="0"/>
        <w:ind w:firstLine="420" w:firstLineChars="200"/>
        <w:jc w:val="both"/>
        <w:textAlignment w:val="auto"/>
        <w:rPr>
          <w:rFonts w:eastAsia="宋体"/>
          <w:bCs/>
          <w:kern w:val="2"/>
          <w:sz w:val="21"/>
          <w:szCs w:val="21"/>
          <w:lang w:eastAsia="zh-CN"/>
        </w:rPr>
      </w:pPr>
      <w:r>
        <w:rPr>
          <w:rFonts w:eastAsia="宋体"/>
          <w:bCs/>
          <w:kern w:val="2"/>
          <w:sz w:val="21"/>
          <w:szCs w:val="21"/>
          <w:lang w:eastAsia="zh-CN" w:bidi="ar"/>
        </w:rPr>
        <w:t>4</w:t>
      </w:r>
      <w:r>
        <w:rPr>
          <w:rFonts w:hint="eastAsia" w:eastAsia="宋体" w:cs="宋体"/>
          <w:bCs/>
          <w:kern w:val="2"/>
          <w:sz w:val="21"/>
          <w:szCs w:val="21"/>
          <w:lang w:eastAsia="zh-CN" w:bidi="ar"/>
        </w:rPr>
        <w:t>、除采购合同继续履行将损害国家利益和社会公共利益外，双方当事人不得擅自变更、中止或者终止合同。</w:t>
      </w:r>
    </w:p>
    <w:p w14:paraId="151449B7">
      <w:pPr>
        <w:keepNext w:val="0"/>
        <w:keepLines w:val="0"/>
        <w:pageBreakBefore w:val="0"/>
        <w:widowControl w:val="0"/>
        <w:kinsoku/>
        <w:wordWrap/>
        <w:overflowPunct/>
        <w:topLinePunct w:val="0"/>
        <w:autoSpaceDE/>
        <w:autoSpaceDN/>
        <w:bidi w:val="0"/>
        <w:adjustRightInd/>
        <w:snapToGrid/>
        <w:spacing w:beforeAutospacing="0" w:afterAutospacing="0"/>
        <w:ind w:firstLine="420" w:firstLineChars="200"/>
        <w:jc w:val="both"/>
        <w:textAlignment w:val="auto"/>
        <w:rPr>
          <w:rFonts w:eastAsia="宋体"/>
          <w:bCs/>
          <w:kern w:val="2"/>
          <w:sz w:val="21"/>
          <w:szCs w:val="21"/>
          <w:lang w:eastAsia="zh-CN"/>
        </w:rPr>
      </w:pPr>
      <w:r>
        <w:rPr>
          <w:rFonts w:eastAsia="宋体"/>
          <w:bCs/>
          <w:kern w:val="2"/>
          <w:sz w:val="21"/>
          <w:szCs w:val="21"/>
          <w:lang w:eastAsia="zh-CN" w:bidi="ar"/>
        </w:rPr>
        <w:t>5</w:t>
      </w:r>
      <w:r>
        <w:rPr>
          <w:rFonts w:hint="eastAsia" w:eastAsia="宋体" w:cs="宋体"/>
          <w:bCs/>
          <w:kern w:val="2"/>
          <w:sz w:val="21"/>
          <w:szCs w:val="21"/>
          <w:lang w:eastAsia="zh-CN" w:bidi="ar"/>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14:paraId="72D1E8C3">
      <w:pPr>
        <w:widowControl w:val="0"/>
        <w:jc w:val="both"/>
        <w:rPr>
          <w:rFonts w:eastAsia="宋体"/>
          <w:kern w:val="2"/>
          <w:sz w:val="21"/>
          <w:lang w:eastAsia="zh-CN"/>
        </w:rPr>
      </w:pPr>
    </w:p>
    <w:p w14:paraId="3EFDC95D">
      <w:pPr>
        <w:keepNext/>
        <w:keepLines/>
        <w:widowControl w:val="0"/>
        <w:adjustRightInd w:val="0"/>
        <w:spacing w:before="260" w:after="260" w:line="240" w:lineRule="auto"/>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第四章 投标文件组成要求及格式</w:t>
      </w:r>
    </w:p>
    <w:p w14:paraId="3C4F3ACE">
      <w:pPr>
        <w:widowControl w:val="0"/>
        <w:jc w:val="both"/>
        <w:rPr>
          <w:rFonts w:ascii="黑体" w:eastAsia="黑体"/>
          <w:bCs/>
          <w:kern w:val="2"/>
          <w:lang w:eastAsia="zh-CN"/>
        </w:rPr>
      </w:pPr>
      <w:r>
        <w:rPr>
          <w:rFonts w:hint="eastAsia" w:ascii="黑体" w:eastAsia="黑体"/>
          <w:bCs/>
          <w:kern w:val="2"/>
          <w:lang w:eastAsia="zh-CN"/>
        </w:rPr>
        <w:t>特别提醒：</w:t>
      </w:r>
    </w:p>
    <w:p w14:paraId="7BA992A8">
      <w:pPr>
        <w:widowControl w:val="0"/>
        <w:tabs>
          <w:tab w:val="left" w:pos="1470"/>
        </w:tabs>
        <w:snapToGrid w:val="0"/>
        <w:spacing w:line="320" w:lineRule="atLeast"/>
        <w:ind w:firstLine="482" w:firstLineChars="200"/>
        <w:jc w:val="both"/>
        <w:rPr>
          <w:rFonts w:ascii="宋体" w:hAnsi="宋体" w:eastAsia="宋体" w:cs="宋体"/>
          <w:b/>
          <w:color w:val="FF0000"/>
          <w:kern w:val="2"/>
          <w:lang w:eastAsia="zh-CN"/>
        </w:rPr>
      </w:pPr>
      <w:r>
        <w:rPr>
          <w:rFonts w:hint="eastAsia" w:ascii="宋体" w:hAnsi="宋体" w:eastAsia="宋体" w:cs="宋体"/>
          <w:b/>
          <w:color w:val="FF0000"/>
          <w:kern w:val="2"/>
          <w:lang w:eastAsia="zh-CN"/>
        </w:rPr>
        <w:t>1.投标人在编辑投标文件时，在投标文件目录中属于本节点内容的需在对应节点中填写，填写到其他节点后果由供应商自行承担。</w:t>
      </w:r>
    </w:p>
    <w:p w14:paraId="2F587F00">
      <w:pPr>
        <w:widowControl w:val="0"/>
        <w:tabs>
          <w:tab w:val="left" w:pos="1470"/>
        </w:tabs>
        <w:snapToGrid w:val="0"/>
        <w:spacing w:line="320" w:lineRule="atLeast"/>
        <w:ind w:firstLine="482" w:firstLineChars="200"/>
        <w:jc w:val="both"/>
        <w:rPr>
          <w:rFonts w:ascii="宋体" w:hAnsi="宋体" w:eastAsia="宋体" w:cs="宋体"/>
          <w:b/>
          <w:color w:val="FF0000"/>
          <w:kern w:val="2"/>
          <w:lang w:eastAsia="zh-CN"/>
        </w:rPr>
      </w:pPr>
      <w:r>
        <w:rPr>
          <w:rFonts w:hint="eastAsia" w:ascii="宋体" w:hAnsi="宋体" w:eastAsia="宋体" w:cs="宋体"/>
          <w:b/>
          <w:color w:val="FF0000"/>
          <w:kern w:val="2"/>
          <w:lang w:eastAsia="zh-CN"/>
        </w:rPr>
        <w:t>2.投标文件均不对外公开。</w:t>
      </w:r>
    </w:p>
    <w:p w14:paraId="73BD37E0">
      <w:pPr>
        <w:widowControl w:val="0"/>
        <w:tabs>
          <w:tab w:val="left" w:pos="1470"/>
        </w:tabs>
        <w:snapToGrid w:val="0"/>
        <w:spacing w:line="320" w:lineRule="atLeast"/>
        <w:ind w:firstLine="482" w:firstLineChars="200"/>
        <w:jc w:val="both"/>
        <w:rPr>
          <w:rFonts w:hint="eastAsia" w:ascii="宋体" w:hAnsi="宋体" w:eastAsia="宋体" w:cs="宋体"/>
          <w:b/>
          <w:color w:val="FF0000"/>
          <w:kern w:val="2"/>
          <w:lang w:eastAsia="zh-CN"/>
        </w:rPr>
      </w:pPr>
    </w:p>
    <w:p w14:paraId="6AA73DFE">
      <w:pPr>
        <w:widowControl w:val="0"/>
        <w:jc w:val="both"/>
        <w:rPr>
          <w:rFonts w:ascii="宋体" w:hAnsi="宋体" w:eastAsia="宋体"/>
          <w:b/>
          <w:bCs/>
          <w:kern w:val="2"/>
          <w:lang w:eastAsia="zh-CN"/>
        </w:rPr>
      </w:pPr>
      <w:r>
        <w:rPr>
          <w:rFonts w:hint="eastAsia" w:ascii="宋体" w:hAnsi="宋体" w:eastAsia="宋体"/>
          <w:b/>
          <w:bCs/>
          <w:kern w:val="2"/>
          <w:lang w:eastAsia="zh-CN"/>
        </w:rPr>
        <w:t>投标文件组成：</w:t>
      </w:r>
    </w:p>
    <w:p w14:paraId="7F73DCCE">
      <w:pPr>
        <w:widowControl w:val="0"/>
        <w:ind w:firstLine="480" w:firstLineChars="200"/>
        <w:jc w:val="both"/>
        <w:outlineLvl w:val="0"/>
        <w:rPr>
          <w:rFonts w:ascii="宋体" w:hAnsi="宋体" w:eastAsia="宋体"/>
          <w:kern w:val="2"/>
          <w:lang w:eastAsia="zh-CN"/>
        </w:rPr>
      </w:pPr>
      <w:r>
        <w:rPr>
          <w:rFonts w:hint="eastAsia" w:ascii="宋体" w:hAnsi="宋体" w:eastAsia="宋体"/>
          <w:kern w:val="2"/>
          <w:lang w:eastAsia="zh-CN"/>
        </w:rPr>
        <w:t>投标文件主要包括以下内容：</w:t>
      </w:r>
    </w:p>
    <w:p w14:paraId="07320871">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（1）</w:t>
      </w:r>
      <w:bookmarkStart w:id="33" w:name="_Hlk72070784"/>
      <w:r>
        <w:rPr>
          <w:rFonts w:hint="eastAsia" w:eastAsia="宋体"/>
          <w:kern w:val="2"/>
          <w:sz w:val="21"/>
          <w:szCs w:val="21"/>
          <w:lang w:eastAsia="zh-CN"/>
        </w:rPr>
        <w:t>投标函</w:t>
      </w:r>
      <w:bookmarkEnd w:id="33"/>
    </w:p>
    <w:p w14:paraId="3C9B13F2">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（2）采购投标及履约承诺函</w:t>
      </w:r>
    </w:p>
    <w:p w14:paraId="61741F4E">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w:t>
      </w:r>
      <w:r>
        <w:rPr>
          <w:rFonts w:eastAsia="宋体"/>
          <w:kern w:val="2"/>
          <w:sz w:val="21"/>
          <w:szCs w:val="21"/>
          <w:lang w:eastAsia="zh-CN"/>
        </w:rPr>
        <w:t>3</w:t>
      </w:r>
      <w:r>
        <w:rPr>
          <w:rFonts w:hint="eastAsia" w:eastAsia="宋体"/>
          <w:kern w:val="2"/>
          <w:sz w:val="21"/>
          <w:szCs w:val="21"/>
          <w:lang w:eastAsia="zh-CN"/>
        </w:rPr>
        <w:t>）投标人情况及资格证明文件</w:t>
      </w:r>
    </w:p>
    <w:p w14:paraId="0B2CDB49">
      <w:pPr>
        <w:widowControl w:val="0"/>
        <w:ind w:firstLine="840" w:firstLineChars="400"/>
        <w:jc w:val="both"/>
        <w:rPr>
          <w:rFonts w:eastAsia="宋体"/>
          <w:kern w:val="2"/>
          <w:sz w:val="21"/>
          <w:szCs w:val="21"/>
          <w:lang w:eastAsia="zh-CN"/>
        </w:rPr>
      </w:pPr>
      <w:bookmarkStart w:id="34" w:name="_Hlk72257201"/>
      <w:r>
        <w:rPr>
          <w:rFonts w:hint="eastAsia" w:eastAsia="宋体"/>
          <w:kern w:val="2"/>
          <w:sz w:val="21"/>
          <w:szCs w:val="21"/>
          <w:lang w:eastAsia="zh-CN"/>
        </w:rPr>
        <w:t>（</w:t>
      </w:r>
      <w:r>
        <w:rPr>
          <w:rFonts w:eastAsia="宋体"/>
          <w:kern w:val="2"/>
          <w:sz w:val="21"/>
          <w:szCs w:val="21"/>
          <w:lang w:eastAsia="zh-CN"/>
        </w:rPr>
        <w:t>4</w:t>
      </w:r>
      <w:r>
        <w:rPr>
          <w:rFonts w:hint="eastAsia" w:eastAsia="宋体"/>
          <w:kern w:val="2"/>
          <w:sz w:val="21"/>
          <w:szCs w:val="21"/>
          <w:lang w:eastAsia="zh-CN"/>
        </w:rPr>
        <w:t>）项目详细报价</w:t>
      </w:r>
    </w:p>
    <w:bookmarkEnd w:id="34"/>
    <w:p w14:paraId="7FC7566D">
      <w:pPr>
        <w:widowControl w:val="0"/>
        <w:ind w:firstLine="840" w:firstLineChars="400"/>
        <w:jc w:val="both"/>
        <w:rPr>
          <w:rFonts w:hint="eastAsia" w:eastAsia="宋体"/>
          <w:kern w:val="2"/>
          <w:sz w:val="21"/>
          <w:szCs w:val="21"/>
          <w:lang w:eastAsia="zh-CN"/>
        </w:rPr>
      </w:pPr>
      <w:r>
        <w:rPr>
          <w:rFonts w:hint="eastAsia" w:eastAsia="宋体"/>
          <w:kern w:val="2"/>
          <w:sz w:val="21"/>
          <w:szCs w:val="21"/>
          <w:lang w:eastAsia="zh-CN"/>
        </w:rPr>
        <w:t>（5）供应商基本情况表</w:t>
      </w:r>
      <w:r>
        <w:rPr>
          <w:rFonts w:hint="eastAsia" w:eastAsia="宋体"/>
          <w:kern w:val="2"/>
          <w:sz w:val="21"/>
          <w:lang w:eastAsia="zh-CN"/>
        </w:rPr>
        <w:t>（须加盖投标单位公章）</w:t>
      </w:r>
    </w:p>
    <w:p w14:paraId="529F1855">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（6）法定代表人（负责人）证明书</w:t>
      </w:r>
    </w:p>
    <w:p w14:paraId="1E3FDD35">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（7）投标文件签署授权委托书</w:t>
      </w:r>
    </w:p>
    <w:p w14:paraId="386F703B">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（8）实质性条款响应情况表</w:t>
      </w:r>
    </w:p>
    <w:p w14:paraId="00CB7588">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（9）实施方案（格式自定）</w:t>
      </w:r>
    </w:p>
    <w:p w14:paraId="7A4456C2">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（10）项目重点难点分析、应对措施及相关的合理化建议（格式自定）</w:t>
      </w:r>
    </w:p>
    <w:p w14:paraId="63CB7EB9">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（11）质量（完成时间、安全、环保）保障措施及方案（格式自定）</w:t>
      </w:r>
    </w:p>
    <w:p w14:paraId="0DFE7D01">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（12）项目完成（服务期满）后的服务承诺（格式自定）</w:t>
      </w:r>
    </w:p>
    <w:p w14:paraId="101D5693">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（13）</w:t>
      </w:r>
      <w:r>
        <w:rPr>
          <w:rFonts w:hint="eastAsia" w:ascii="宋体" w:hAnsi="宋体" w:eastAsia="宋体" w:cs="宋体"/>
          <w:kern w:val="2"/>
          <w:sz w:val="21"/>
          <w:szCs w:val="21"/>
          <w:lang w:eastAsia="zh-CN"/>
        </w:rPr>
        <w:t>供应商认证情况</w:t>
      </w:r>
      <w:r>
        <w:rPr>
          <w:rFonts w:hint="eastAsia" w:eastAsia="宋体"/>
          <w:kern w:val="2"/>
          <w:sz w:val="21"/>
          <w:szCs w:val="21"/>
          <w:lang w:eastAsia="zh-CN"/>
        </w:rPr>
        <w:t>（格式自定）</w:t>
      </w:r>
    </w:p>
    <w:p w14:paraId="1942F9B1">
      <w:pPr>
        <w:widowControl w:val="0"/>
        <w:ind w:firstLine="840" w:firstLineChars="400"/>
        <w:jc w:val="both"/>
        <w:rPr>
          <w:rFonts w:eastAsia="宋体"/>
          <w:kern w:val="2"/>
          <w:sz w:val="21"/>
          <w:szCs w:val="21"/>
          <w:lang w:eastAsia="zh-CN"/>
        </w:rPr>
      </w:pPr>
      <w:r>
        <w:rPr>
          <w:rFonts w:hint="eastAsia" w:eastAsia="宋体"/>
          <w:kern w:val="2"/>
          <w:sz w:val="21"/>
          <w:szCs w:val="21"/>
          <w:lang w:eastAsia="zh-CN"/>
        </w:rPr>
        <w:t>（14）供应商同类项目业绩情况（格式自定）</w:t>
      </w:r>
    </w:p>
    <w:p w14:paraId="37008B26">
      <w:pPr>
        <w:widowControl w:val="0"/>
        <w:ind w:firstLine="840" w:firstLineChars="400"/>
        <w:jc w:val="both"/>
        <w:rPr>
          <w:rFonts w:ascii="仿宋_GB2312" w:eastAsia="仿宋_GB2312"/>
          <w:kern w:val="2"/>
          <w:lang w:eastAsia="zh-CN"/>
        </w:rPr>
      </w:pPr>
      <w:r>
        <w:rPr>
          <w:rFonts w:hint="eastAsia" w:eastAsia="宋体"/>
          <w:kern w:val="2"/>
          <w:sz w:val="21"/>
          <w:szCs w:val="21"/>
          <w:lang w:eastAsia="zh-CN"/>
        </w:rPr>
        <w:t>（15）投标人认为需要加以说明的其他内容</w:t>
      </w:r>
    </w:p>
    <w:p w14:paraId="16F50526">
      <w:pPr>
        <w:widowControl w:val="0"/>
        <w:ind w:firstLine="426" w:firstLineChars="202"/>
        <w:jc w:val="both"/>
        <w:rPr>
          <w:rFonts w:ascii="宋体" w:hAnsi="宋体" w:eastAsia="宋体"/>
          <w:b/>
          <w:kern w:val="2"/>
          <w:sz w:val="21"/>
          <w:szCs w:val="21"/>
          <w:lang w:eastAsia="zh-CN"/>
        </w:rPr>
      </w:pPr>
    </w:p>
    <w:p w14:paraId="5C634E4C">
      <w:pPr>
        <w:widowControl w:val="0"/>
        <w:ind w:firstLine="426" w:firstLineChars="202"/>
        <w:jc w:val="both"/>
        <w:rPr>
          <w:rFonts w:ascii="宋体" w:hAnsi="宋体" w:eastAsia="宋体"/>
          <w:b/>
          <w:kern w:val="2"/>
          <w:sz w:val="21"/>
          <w:szCs w:val="21"/>
          <w:lang w:eastAsia="zh-CN"/>
        </w:rPr>
      </w:pPr>
      <w:r>
        <w:rPr>
          <w:rFonts w:hint="eastAsia" w:ascii="宋体" w:hAnsi="宋体" w:eastAsia="宋体"/>
          <w:b/>
          <w:kern w:val="2"/>
          <w:sz w:val="21"/>
          <w:szCs w:val="21"/>
          <w:lang w:eastAsia="zh-CN"/>
        </w:rPr>
        <w:t>备注：1.本项目为网上电子投标项目，投标文件不需法人或授权委托人另行签字，无需加盖单位公章，招标文件专用条款另有规定的除外。</w:t>
      </w:r>
    </w:p>
    <w:p w14:paraId="1C1188FD">
      <w:pPr>
        <w:widowControl w:val="0"/>
        <w:ind w:firstLine="426" w:firstLineChars="202"/>
        <w:jc w:val="both"/>
        <w:rPr>
          <w:rFonts w:ascii="宋体" w:hAnsi="宋体" w:eastAsia="宋体"/>
          <w:b/>
          <w:kern w:val="2"/>
          <w:sz w:val="21"/>
          <w:szCs w:val="21"/>
          <w:lang w:eastAsia="zh-CN"/>
        </w:rPr>
      </w:pPr>
      <w:r>
        <w:rPr>
          <w:rFonts w:hint="eastAsia" w:ascii="宋体" w:hAnsi="宋体" w:eastAsia="宋体"/>
          <w:b/>
          <w:kern w:val="2"/>
          <w:sz w:val="21"/>
          <w:szCs w:val="21"/>
          <w:lang w:eastAsia="zh-CN"/>
        </w:rPr>
        <w:t>2.关于填写“开标一览表”的说明：“开标一览表”中除“投标报价”外，其他信息不作评审依据。</w:t>
      </w:r>
    </w:p>
    <w:p w14:paraId="7DEFBFD1">
      <w:pPr>
        <w:widowControl w:val="0"/>
        <w:jc w:val="left"/>
        <w:rPr>
          <w:rFonts w:ascii="宋体" w:hAnsi="宋体" w:eastAsia="宋体"/>
          <w:b/>
          <w:color w:val="FF0000"/>
          <w:kern w:val="2"/>
          <w:sz w:val="28"/>
          <w:szCs w:val="28"/>
          <w:lang w:eastAsia="zh-CN"/>
        </w:rPr>
      </w:pPr>
      <w:r>
        <w:rPr>
          <w:rFonts w:hint="eastAsia" w:ascii="宋体" w:hAnsi="宋体" w:eastAsia="宋体"/>
          <w:b/>
          <w:color w:val="FF0000"/>
          <w:kern w:val="2"/>
          <w:sz w:val="36"/>
          <w:szCs w:val="36"/>
          <w:lang w:eastAsia="zh-CN"/>
        </w:rPr>
        <w:br w:type="page"/>
      </w:r>
      <w:r>
        <w:rPr>
          <w:rFonts w:hint="eastAsia" w:ascii="宋体" w:hAnsi="宋体" w:eastAsia="宋体"/>
          <w:b/>
          <w:color w:val="FF0000"/>
          <w:kern w:val="2"/>
          <w:sz w:val="28"/>
          <w:szCs w:val="28"/>
          <w:lang w:eastAsia="zh-CN"/>
        </w:rPr>
        <w:t>投标文件</w:t>
      </w:r>
    </w:p>
    <w:p w14:paraId="57A367F1">
      <w:pPr>
        <w:keepNext/>
        <w:keepLines/>
        <w:widowControl w:val="0"/>
        <w:spacing w:before="260" w:after="260" w:line="240" w:lineRule="auto"/>
        <w:jc w:val="center"/>
        <w:outlineLvl w:val="2"/>
        <w:rPr>
          <w:rFonts w:ascii="黑体" w:hAnsi="宋体" w:eastAsia="黑体"/>
          <w:bCs/>
          <w:szCs w:val="32"/>
          <w:lang w:eastAsia="zh-CN"/>
        </w:rPr>
      </w:pPr>
      <w:r>
        <w:rPr>
          <w:rFonts w:hint="eastAsia" w:ascii="黑体" w:hAnsi="宋体" w:eastAsia="黑体"/>
          <w:bCs/>
          <w:szCs w:val="32"/>
          <w:lang w:eastAsia="zh-CN"/>
        </w:rPr>
        <w:t>一、投标函</w:t>
      </w:r>
    </w:p>
    <w:p w14:paraId="55278846">
      <w:pPr>
        <w:widowControl w:val="0"/>
        <w:spacing w:line="360" w:lineRule="auto"/>
        <w:jc w:val="both"/>
        <w:rPr>
          <w:rFonts w:ascii="宋体" w:hAnsi="宋体" w:eastAsia="宋体"/>
          <w:color w:val="000000"/>
          <w:kern w:val="2"/>
          <w:sz w:val="21"/>
          <w:szCs w:val="21"/>
          <w:lang w:eastAsia="zh-CN"/>
        </w:rPr>
      </w:pPr>
      <w:r>
        <w:rPr>
          <w:rFonts w:hint="eastAsia" w:ascii="宋体" w:hAnsi="宋体" w:eastAsia="宋体"/>
          <w:kern w:val="2"/>
          <w:sz w:val="21"/>
          <w:szCs w:val="21"/>
          <w:lang w:eastAsia="zh-CN"/>
        </w:rPr>
        <w:t>致：</w:t>
      </w:r>
      <w:r>
        <w:rPr>
          <w:rFonts w:hint="eastAsia" w:ascii="宋体" w:hAnsi="宋体" w:eastAsia="宋体"/>
          <w:color w:val="000000"/>
          <w:kern w:val="2"/>
          <w:sz w:val="21"/>
          <w:szCs w:val="21"/>
          <w:u w:val="single"/>
          <w:lang w:eastAsia="zh-CN"/>
        </w:rPr>
        <w:t>深圳公共资源交易中心（深圳交易集团有限公司政府采购业务分公司）</w:t>
      </w:r>
    </w:p>
    <w:p w14:paraId="5C8DA27A">
      <w:pPr>
        <w:widowControl w:val="0"/>
        <w:ind w:firstLine="420" w:firstLineChars="200"/>
        <w:jc w:val="both"/>
        <w:rPr>
          <w:rFonts w:ascii="宋体" w:hAnsi="宋体" w:eastAsia="宋体"/>
          <w:kern w:val="2"/>
          <w:sz w:val="21"/>
          <w:szCs w:val="21"/>
          <w:lang w:eastAsia="zh-CN"/>
        </w:rPr>
      </w:pPr>
      <w:bookmarkStart w:id="35" w:name="_Hlk73818812"/>
      <w:r>
        <w:rPr>
          <w:rFonts w:hint="eastAsia" w:eastAsia="宋体"/>
          <w:kern w:val="2"/>
          <w:sz w:val="21"/>
          <w:szCs w:val="21"/>
          <w:lang w:eastAsia="zh-CN"/>
        </w:rPr>
        <w:t>1、根据已收到贵单位的项目编号为</w:t>
      </w:r>
      <w:r>
        <w:rPr>
          <w:rFonts w:hint="eastAsia" w:eastAsia="宋体"/>
          <w:b/>
          <w:bCs/>
          <w:color w:val="0000FF"/>
          <w:kern w:val="2"/>
          <w:sz w:val="21"/>
          <w:szCs w:val="21"/>
          <w:u w:val="single"/>
          <w:lang w:eastAsia="zh-CN"/>
        </w:rPr>
        <w:t>SZZXCG-2025-00327</w:t>
      </w:r>
      <w:r>
        <w:rPr>
          <w:rFonts w:hint="eastAsia" w:eastAsia="宋体"/>
          <w:kern w:val="2"/>
          <w:sz w:val="21"/>
          <w:szCs w:val="21"/>
          <w:lang w:eastAsia="zh-CN"/>
        </w:rPr>
        <w:t>的</w:t>
      </w:r>
      <w:r>
        <w:rPr>
          <w:rFonts w:hint="eastAsia" w:eastAsia="宋体"/>
          <w:b/>
          <w:bCs/>
          <w:color w:val="0000FF"/>
          <w:kern w:val="2"/>
          <w:sz w:val="21"/>
          <w:szCs w:val="21"/>
          <w:u w:val="single"/>
          <w:lang w:eastAsia="zh-CN"/>
        </w:rPr>
        <w:t>市急救中心综合楼及园区公共部分气体消防设备检测维护项目</w:t>
      </w:r>
      <w:r>
        <w:rPr>
          <w:rFonts w:hint="eastAsia" w:eastAsia="宋体"/>
          <w:kern w:val="2"/>
          <w:sz w:val="21"/>
          <w:szCs w:val="21"/>
          <w:u w:val="single"/>
          <w:lang w:eastAsia="zh-CN" w:bidi="ar"/>
        </w:rPr>
        <w:t>（项目名称）</w:t>
      </w:r>
      <w:r>
        <w:rPr>
          <w:rFonts w:hint="eastAsia" w:eastAsia="宋体"/>
          <w:kern w:val="2"/>
          <w:sz w:val="21"/>
          <w:szCs w:val="21"/>
          <w:lang w:eastAsia="zh-CN"/>
        </w:rPr>
        <w:t>的招标文件，遵照《深圳经济特区政府采购条例》和《深圳网上政府采购管理暂行办法》等有关规定，我单位经研究上述招标文件的专用条款及通用条款后，</w:t>
      </w:r>
      <w:bookmarkStart w:id="36" w:name="_Hlk72263588"/>
      <w:r>
        <w:rPr>
          <w:rFonts w:hint="eastAsia" w:eastAsia="宋体"/>
          <w:kern w:val="2"/>
          <w:sz w:val="21"/>
          <w:szCs w:val="21"/>
          <w:lang w:eastAsia="zh-CN"/>
        </w:rPr>
        <w:t>愿意按照招标文件要求承包上述项目并修补其任何缺陷。</w:t>
      </w:r>
      <w:bookmarkEnd w:id="36"/>
    </w:p>
    <w:p w14:paraId="5BD3FFA7">
      <w:pPr>
        <w:widowControl w:val="0"/>
        <w:ind w:firstLine="420" w:firstLineChars="200"/>
        <w:jc w:val="both"/>
        <w:rPr>
          <w:rFonts w:ascii="宋体" w:hAnsi="宋体" w:eastAsia="宋体"/>
          <w:kern w:val="2"/>
          <w:sz w:val="21"/>
          <w:szCs w:val="21"/>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、投标价格见</w:t>
      </w:r>
      <w:r>
        <w:rPr>
          <w:rFonts w:hint="eastAsia" w:eastAsia="宋体"/>
          <w:kern w:val="2"/>
          <w:sz w:val="21"/>
          <w:szCs w:val="21"/>
          <w:lang w:eastAsia="zh-CN"/>
        </w:rPr>
        <w:t>投标书编制软件中《开标一览表》中填写的投标报价。</w:t>
      </w:r>
    </w:p>
    <w:p w14:paraId="1A902B4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3、如果我单位中标，我单位将按照招标文件的要求提交履约担保。</w:t>
      </w:r>
    </w:p>
    <w:p w14:paraId="58591F0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4、我单位同意所递交的投标文件在“对通用条款的补充内容”中明确的投标有效期内有效，在此期间内我单位的投标有可能中标，我方将受此约束。</w:t>
      </w:r>
    </w:p>
    <w:p w14:paraId="62A07D5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5、除非另外达成协议并生效，贵单位的中标通知书和本投标文件将构成合同的重要内容。</w:t>
      </w:r>
    </w:p>
    <w:p w14:paraId="3041D209">
      <w:pPr>
        <w:widowControl w:val="0"/>
        <w:ind w:left="585" w:leftChars="200" w:hanging="105" w:hangingChars="50"/>
        <w:jc w:val="both"/>
        <w:rPr>
          <w:rFonts w:ascii="宋体" w:hAnsi="宋体" w:eastAsia="宋体"/>
          <w:kern w:val="2"/>
          <w:sz w:val="21"/>
          <w:szCs w:val="21"/>
          <w:lang w:eastAsia="zh-CN"/>
        </w:rPr>
      </w:pPr>
      <w:r>
        <w:rPr>
          <w:rFonts w:hint="eastAsia" w:ascii="宋体" w:hAnsi="宋体" w:eastAsia="宋体"/>
          <w:kern w:val="2"/>
          <w:sz w:val="21"/>
          <w:szCs w:val="21"/>
          <w:lang w:eastAsia="zh-CN"/>
        </w:rPr>
        <w:t>6、我单位理解贵单位将不受必须接受所收到的最低报价或其它任何投标文件的约束。</w:t>
      </w:r>
      <w:bookmarkEnd w:id="35"/>
    </w:p>
    <w:p w14:paraId="1CA4AE0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7、如我单位按项目要求提供样品，且未在规定时间内取回样品的，视同放弃取回，同意深圳公共资源交易中心（深圳交易集团有限公司政府采购业务分公司）对样品进行清理。</w:t>
      </w:r>
    </w:p>
    <w:p w14:paraId="7B2D7024">
      <w:pPr>
        <w:widowControl w:val="0"/>
        <w:spacing w:line="360" w:lineRule="auto"/>
        <w:jc w:val="both"/>
        <w:rPr>
          <w:rFonts w:eastAsia="宋体"/>
          <w:b/>
          <w:bCs/>
          <w:kern w:val="2"/>
          <w:lang w:eastAsia="zh-CN"/>
        </w:rPr>
      </w:pPr>
    </w:p>
    <w:p w14:paraId="0FE56E09">
      <w:pPr>
        <w:widowControl w:val="0"/>
        <w:ind w:left="480" w:leftChars="200" w:firstLine="210" w:firstLineChars="100"/>
        <w:jc w:val="both"/>
        <w:rPr>
          <w:rFonts w:eastAsia="宋体"/>
          <w:kern w:val="2"/>
          <w:sz w:val="21"/>
          <w:szCs w:val="21"/>
          <w:lang w:eastAsia="zh-CN"/>
        </w:rPr>
      </w:pPr>
      <w:r>
        <w:rPr>
          <w:rFonts w:hint="eastAsia" w:eastAsia="宋体" w:cs="宋体"/>
          <w:kern w:val="2"/>
          <w:sz w:val="21"/>
          <w:szCs w:val="21"/>
          <w:lang w:eastAsia="zh-CN" w:bidi="ar"/>
        </w:rPr>
        <w:t>投标人：</w:t>
      </w:r>
      <w:r>
        <w:rPr>
          <w:rFonts w:eastAsia="宋体"/>
          <w:kern w:val="2"/>
          <w:sz w:val="21"/>
          <w:szCs w:val="21"/>
          <w:u w:val="single"/>
          <w:lang w:eastAsia="zh-CN" w:bidi="ar"/>
        </w:rPr>
        <w:t xml:space="preserve">    </w:t>
      </w:r>
      <w:r>
        <w:rPr>
          <w:rFonts w:hint="eastAsia" w:eastAsia="宋体"/>
          <w:kern w:val="2"/>
          <w:sz w:val="21"/>
          <w:szCs w:val="21"/>
          <w:u w:val="single"/>
          <w:lang w:eastAsia="zh-CN" w:bidi="ar"/>
        </w:rPr>
        <w:t xml:space="preserve">        </w:t>
      </w:r>
      <w:r>
        <w:rPr>
          <w:rFonts w:eastAsia="宋体"/>
          <w:kern w:val="2"/>
          <w:sz w:val="21"/>
          <w:szCs w:val="21"/>
          <w:u w:val="single"/>
          <w:lang w:eastAsia="zh-CN" w:bidi="ar"/>
        </w:rPr>
        <w:t xml:space="preserve">   </w:t>
      </w:r>
      <w:r>
        <w:rPr>
          <w:rFonts w:hint="eastAsia" w:eastAsia="宋体" w:cs="宋体"/>
          <w:kern w:val="2"/>
          <w:sz w:val="21"/>
          <w:szCs w:val="21"/>
          <w:lang w:eastAsia="zh-CN" w:bidi="ar"/>
        </w:rPr>
        <w:t>；单位地址：</w:t>
      </w:r>
      <w:r>
        <w:rPr>
          <w:rFonts w:eastAsia="宋体"/>
          <w:kern w:val="2"/>
          <w:sz w:val="21"/>
          <w:szCs w:val="21"/>
          <w:u w:val="single"/>
          <w:lang w:eastAsia="zh-CN" w:bidi="ar"/>
        </w:rPr>
        <w:t xml:space="preserve">                    </w:t>
      </w:r>
      <w:r>
        <w:rPr>
          <w:rFonts w:hint="eastAsia" w:eastAsia="宋体" w:cs="宋体"/>
          <w:kern w:val="2"/>
          <w:sz w:val="21"/>
          <w:szCs w:val="21"/>
          <w:lang w:eastAsia="zh-CN" w:bidi="ar"/>
        </w:rPr>
        <w:t>；</w:t>
      </w:r>
    </w:p>
    <w:p w14:paraId="03D5C21D">
      <w:pPr>
        <w:widowControl w:val="0"/>
        <w:ind w:left="480" w:leftChars="200" w:firstLine="210" w:firstLineChars="100"/>
        <w:jc w:val="both"/>
        <w:rPr>
          <w:rFonts w:eastAsia="宋体"/>
          <w:kern w:val="2"/>
          <w:sz w:val="21"/>
          <w:szCs w:val="21"/>
          <w:lang w:eastAsia="zh-CN"/>
        </w:rPr>
      </w:pPr>
      <w:r>
        <w:rPr>
          <w:rFonts w:hint="eastAsia" w:eastAsia="宋体" w:cs="宋体"/>
          <w:kern w:val="2"/>
          <w:sz w:val="21"/>
          <w:szCs w:val="21"/>
          <w:lang w:eastAsia="zh-CN" w:bidi="ar"/>
        </w:rPr>
        <w:t>法定代表人（负责人）或其授权委托代理人：</w:t>
      </w:r>
      <w:r>
        <w:rPr>
          <w:rFonts w:eastAsia="宋体"/>
          <w:kern w:val="2"/>
          <w:sz w:val="21"/>
          <w:szCs w:val="21"/>
          <w:u w:val="single"/>
          <w:lang w:eastAsia="zh-CN" w:bidi="ar"/>
        </w:rPr>
        <w:t xml:space="preserve">      </w:t>
      </w:r>
      <w:r>
        <w:rPr>
          <w:rFonts w:hint="eastAsia" w:eastAsia="宋体"/>
          <w:kern w:val="2"/>
          <w:sz w:val="21"/>
          <w:szCs w:val="21"/>
          <w:u w:val="single"/>
          <w:lang w:eastAsia="zh-CN" w:bidi="ar"/>
        </w:rPr>
        <w:t xml:space="preserve">      </w:t>
      </w:r>
      <w:r>
        <w:rPr>
          <w:rFonts w:eastAsia="宋体"/>
          <w:kern w:val="2"/>
          <w:sz w:val="21"/>
          <w:szCs w:val="21"/>
          <w:u w:val="single"/>
          <w:lang w:eastAsia="zh-CN" w:bidi="ar"/>
        </w:rPr>
        <w:t xml:space="preserve">   </w:t>
      </w:r>
      <w:r>
        <w:rPr>
          <w:rFonts w:hint="eastAsia" w:eastAsia="宋体" w:cs="宋体"/>
          <w:kern w:val="2"/>
          <w:sz w:val="21"/>
          <w:szCs w:val="21"/>
          <w:lang w:eastAsia="zh-CN" w:bidi="ar"/>
        </w:rPr>
        <w:t>；</w:t>
      </w:r>
    </w:p>
    <w:p w14:paraId="513C57CB">
      <w:pPr>
        <w:widowControl w:val="0"/>
        <w:ind w:left="480" w:leftChars="200" w:firstLine="210" w:firstLineChars="100"/>
        <w:jc w:val="both"/>
        <w:rPr>
          <w:rFonts w:eastAsia="宋体"/>
          <w:kern w:val="2"/>
          <w:sz w:val="21"/>
          <w:szCs w:val="21"/>
          <w:lang w:eastAsia="zh-CN"/>
        </w:rPr>
      </w:pPr>
      <w:r>
        <w:rPr>
          <w:rFonts w:hint="eastAsia" w:eastAsia="宋体" w:cs="宋体"/>
          <w:kern w:val="2"/>
          <w:sz w:val="21"/>
          <w:szCs w:val="21"/>
          <w:lang w:eastAsia="zh-CN" w:bidi="ar"/>
        </w:rPr>
        <w:t>电话：</w:t>
      </w:r>
      <w:r>
        <w:rPr>
          <w:rFonts w:eastAsia="宋体"/>
          <w:kern w:val="2"/>
          <w:sz w:val="21"/>
          <w:szCs w:val="21"/>
          <w:u w:val="single"/>
          <w:lang w:eastAsia="zh-CN" w:bidi="ar"/>
        </w:rPr>
        <w:t xml:space="preserve">                    </w:t>
      </w:r>
      <w:r>
        <w:rPr>
          <w:rFonts w:hint="eastAsia" w:eastAsia="宋体" w:cs="宋体"/>
          <w:kern w:val="2"/>
          <w:sz w:val="21"/>
          <w:szCs w:val="21"/>
          <w:lang w:eastAsia="zh-CN" w:bidi="ar"/>
        </w:rPr>
        <w:t>；</w:t>
      </w:r>
    </w:p>
    <w:p w14:paraId="284EE02E">
      <w:pPr>
        <w:widowControl/>
        <w:ind w:firstLine="630" w:firstLineChars="300"/>
        <w:jc w:val="left"/>
        <w:rPr>
          <w:rFonts w:eastAsia="宋体"/>
          <w:kern w:val="2"/>
          <w:sz w:val="21"/>
          <w:lang w:eastAsia="zh-CN"/>
        </w:rPr>
      </w:pPr>
      <w:r>
        <w:rPr>
          <w:rFonts w:hint="eastAsia" w:ascii="宋体" w:hAnsi="宋体" w:eastAsia="宋体"/>
          <w:kern w:val="2"/>
          <w:sz w:val="21"/>
          <w:szCs w:val="21"/>
          <w:lang w:eastAsia="zh-CN" w:bidi="ar"/>
        </w:rPr>
        <w:t>日期：</w:t>
      </w:r>
      <w:r>
        <w:rPr>
          <w:rFonts w:hint="eastAsia" w:ascii="宋体" w:hAnsi="宋体" w:eastAsia="宋体"/>
          <w:kern w:val="2"/>
          <w:sz w:val="21"/>
          <w:szCs w:val="21"/>
          <w:u w:val="single"/>
          <w:lang w:eastAsia="zh-CN" w:bidi="ar"/>
        </w:rPr>
        <w:t xml:space="preserve">       </w:t>
      </w:r>
      <w:r>
        <w:rPr>
          <w:rFonts w:hint="eastAsia" w:ascii="宋体" w:hAnsi="宋体" w:eastAsia="宋体"/>
          <w:kern w:val="2"/>
          <w:sz w:val="21"/>
          <w:szCs w:val="21"/>
          <w:lang w:eastAsia="zh-CN" w:bidi="ar"/>
        </w:rPr>
        <w:t>年</w:t>
      </w:r>
      <w:r>
        <w:rPr>
          <w:rFonts w:hint="eastAsia" w:ascii="宋体" w:hAnsi="宋体" w:eastAsia="宋体"/>
          <w:kern w:val="2"/>
          <w:sz w:val="21"/>
          <w:szCs w:val="21"/>
          <w:u w:val="single"/>
          <w:lang w:eastAsia="zh-CN" w:bidi="ar"/>
        </w:rPr>
        <w:t xml:space="preserve">     </w:t>
      </w:r>
      <w:r>
        <w:rPr>
          <w:rFonts w:hint="eastAsia" w:ascii="宋体" w:hAnsi="宋体" w:eastAsia="宋体"/>
          <w:kern w:val="2"/>
          <w:sz w:val="21"/>
          <w:szCs w:val="21"/>
          <w:lang w:eastAsia="zh-CN" w:bidi="ar"/>
        </w:rPr>
        <w:t>月</w:t>
      </w:r>
      <w:r>
        <w:rPr>
          <w:rFonts w:hint="eastAsia" w:ascii="宋体" w:hAnsi="宋体" w:eastAsia="宋体"/>
          <w:kern w:val="2"/>
          <w:sz w:val="21"/>
          <w:szCs w:val="21"/>
          <w:u w:val="single"/>
          <w:lang w:eastAsia="zh-CN" w:bidi="ar"/>
        </w:rPr>
        <w:t xml:space="preserve">    </w:t>
      </w:r>
      <w:r>
        <w:rPr>
          <w:rFonts w:hint="eastAsia" w:ascii="宋体" w:hAnsi="宋体" w:eastAsia="宋体"/>
          <w:kern w:val="2"/>
          <w:sz w:val="21"/>
          <w:szCs w:val="21"/>
          <w:lang w:eastAsia="zh-CN" w:bidi="ar"/>
        </w:rPr>
        <w:t>日</w:t>
      </w:r>
    </w:p>
    <w:p w14:paraId="607B0EBD">
      <w:pPr>
        <w:widowControl w:val="0"/>
        <w:jc w:val="both"/>
        <w:rPr>
          <w:rFonts w:ascii="黑体" w:hAnsi="宋体" w:eastAsia="黑体"/>
          <w:kern w:val="2"/>
          <w:sz w:val="21"/>
          <w:lang w:eastAsia="zh-CN"/>
        </w:rPr>
      </w:pPr>
    </w:p>
    <w:p w14:paraId="372F966C">
      <w:pPr>
        <w:widowControl w:val="0"/>
        <w:jc w:val="both"/>
        <w:rPr>
          <w:rFonts w:ascii="黑体" w:hAnsi="宋体" w:eastAsia="黑体"/>
          <w:kern w:val="2"/>
          <w:sz w:val="21"/>
          <w:lang w:eastAsia="zh-CN"/>
        </w:rPr>
      </w:pPr>
    </w:p>
    <w:p w14:paraId="52A68279">
      <w:pPr>
        <w:widowControl/>
        <w:jc w:val="center"/>
        <w:rPr>
          <w:rFonts w:ascii="黑体" w:hAnsi="宋体" w:eastAsia="黑体"/>
          <w:bCs/>
          <w:szCs w:val="32"/>
          <w:lang w:eastAsia="zh-CN"/>
        </w:rPr>
      </w:pPr>
      <w:r>
        <w:rPr>
          <w:rFonts w:ascii="黑体" w:eastAsia="黑体"/>
          <w:b/>
          <w:lang w:eastAsia="zh-CN"/>
        </w:rPr>
        <w:br w:type="page"/>
      </w:r>
      <w:r>
        <w:rPr>
          <w:rFonts w:hint="eastAsia" w:ascii="黑体" w:hAnsi="宋体" w:eastAsia="黑体"/>
          <w:bCs/>
          <w:szCs w:val="32"/>
          <w:lang w:eastAsia="zh-CN"/>
        </w:rPr>
        <w:t>二、采购投标及履约承诺函</w:t>
      </w:r>
    </w:p>
    <w:p w14:paraId="2039BC82">
      <w:pPr>
        <w:widowControl w:val="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致：深圳公共资源交易中心（深圳交易集团有限公司政府采购业务分公司）</w:t>
      </w:r>
    </w:p>
    <w:p w14:paraId="3C01E00C">
      <w:pPr>
        <w:widowControl w:val="0"/>
        <w:ind w:right="-815"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我单位承诺：</w:t>
      </w:r>
    </w:p>
    <w:p w14:paraId="24DC2443">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1.我单位参与本项目</w:t>
      </w:r>
      <w:r>
        <w:rPr>
          <w:rFonts w:hint="eastAsia" w:ascii="宋体" w:hAnsi="宋体" w:eastAsia="宋体" w:cs="宋体"/>
          <w:kern w:val="2"/>
          <w:sz w:val="21"/>
          <w:lang w:eastAsia="zh-CN" w:bidi="ar"/>
        </w:rPr>
        <w:t>所投标（响应）的货物、工程或服务，不存在侵犯知识产权的情况。</w:t>
      </w:r>
    </w:p>
    <w:p w14:paraId="554ECF65">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2.我单位</w:t>
      </w:r>
      <w:r>
        <w:rPr>
          <w:rFonts w:hint="eastAsia" w:ascii="宋体" w:hAnsi="宋体" w:eastAsia="宋体" w:cs="宋体"/>
          <w:sz w:val="21"/>
          <w:szCs w:val="21"/>
          <w:lang w:eastAsia="zh-CN"/>
        </w:rPr>
        <w:t>参与本项目采购活动时</w:t>
      </w:r>
      <w:r>
        <w:rPr>
          <w:rFonts w:hint="eastAsia" w:eastAsia="宋体" w:cs="宋体"/>
          <w:kern w:val="2"/>
          <w:sz w:val="21"/>
          <w:lang w:eastAsia="zh-CN" w:bidi="ar"/>
        </w:rPr>
        <w:t>不存在被有关部门禁止参与政府采购活动且在有效期内的情况。</w:t>
      </w:r>
      <w:r>
        <w:rPr>
          <w:rFonts w:hint="eastAsia" w:eastAsia="宋体"/>
          <w:kern w:val="2"/>
          <w:sz w:val="21"/>
          <w:lang w:eastAsia="zh-CN"/>
        </w:rPr>
        <w:t>符合招标文件关于联合体及进口产品的相关资格要求。</w:t>
      </w:r>
    </w:p>
    <w:p w14:paraId="6D139C5C">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3.我单位具备《中华人民共和国政府采购法》第二十二条第一款规定的六项条件。</w:t>
      </w:r>
    </w:p>
    <w:p w14:paraId="203335A9">
      <w:pPr>
        <w:widowControl w:val="0"/>
        <w:ind w:firstLine="420" w:firstLineChars="200"/>
        <w:jc w:val="both"/>
        <w:rPr>
          <w:rFonts w:eastAsia="宋体"/>
          <w:kern w:val="2"/>
          <w:sz w:val="21"/>
          <w:lang w:eastAsia="zh-CN"/>
        </w:rPr>
      </w:pPr>
      <w:r>
        <w:rPr>
          <w:rFonts w:hint="eastAsia" w:ascii="宋体" w:hAnsi="宋体" w:eastAsia="宋体" w:cs="宋体"/>
          <w:kern w:val="2"/>
          <w:sz w:val="21"/>
          <w:szCs w:val="21"/>
          <w:lang w:eastAsia="zh-CN" w:bidi="ar"/>
        </w:rPr>
        <w:t>4.我单位</w:t>
      </w:r>
      <w:r>
        <w:rPr>
          <w:rFonts w:hint="eastAsia" w:eastAsia="宋体" w:cs="宋体"/>
          <w:kern w:val="2"/>
          <w:sz w:val="21"/>
          <w:lang w:eastAsia="zh-CN" w:bidi="ar"/>
        </w:rPr>
        <w:t>未被列入失信被执行人、重大税收违法案件当事人名单、政府采购严重违法失信行为记录名单。</w:t>
      </w:r>
    </w:p>
    <w:p w14:paraId="2A27A506">
      <w:pPr>
        <w:widowControl w:val="0"/>
        <w:ind w:firstLine="420" w:firstLineChars="200"/>
        <w:jc w:val="both"/>
        <w:rPr>
          <w:rFonts w:eastAsia="宋体"/>
          <w:kern w:val="2"/>
          <w:sz w:val="21"/>
          <w:lang w:eastAsia="zh-CN"/>
        </w:rPr>
      </w:pPr>
      <w:r>
        <w:rPr>
          <w:rFonts w:eastAsia="宋体"/>
          <w:color w:val="FF0000"/>
          <w:kern w:val="2"/>
          <w:sz w:val="21"/>
          <w:lang w:eastAsia="zh-CN" w:bidi="ar"/>
        </w:rPr>
        <w:t>5.</w:t>
      </w:r>
      <w:r>
        <w:rPr>
          <w:rFonts w:hint="eastAsia" w:eastAsia="宋体" w:cs="宋体"/>
          <w:color w:val="FF0000"/>
          <w:kern w:val="2"/>
          <w:sz w:val="21"/>
          <w:lang w:eastAsia="zh-CN" w:bidi="ar"/>
        </w:rPr>
        <w:t>我单位不存在《深圳市财政局政府采购供应商信用信息管理办法》（深财规〔</w:t>
      </w:r>
      <w:r>
        <w:rPr>
          <w:rFonts w:eastAsia="宋体"/>
          <w:color w:val="FF0000"/>
          <w:kern w:val="2"/>
          <w:sz w:val="21"/>
          <w:lang w:eastAsia="zh-CN" w:bidi="ar"/>
        </w:rPr>
        <w:t>2023</w:t>
      </w:r>
      <w:r>
        <w:rPr>
          <w:rFonts w:hint="eastAsia" w:eastAsia="宋体" w:cs="宋体"/>
          <w:color w:val="FF0000"/>
          <w:kern w:val="2"/>
          <w:sz w:val="21"/>
          <w:lang w:eastAsia="zh-CN" w:bidi="ar"/>
        </w:rPr>
        <w:t>〕</w:t>
      </w:r>
      <w:r>
        <w:rPr>
          <w:rFonts w:eastAsia="宋体"/>
          <w:color w:val="FF0000"/>
          <w:kern w:val="2"/>
          <w:sz w:val="21"/>
          <w:lang w:eastAsia="zh-CN" w:bidi="ar"/>
        </w:rPr>
        <w:t>3</w:t>
      </w:r>
      <w:r>
        <w:rPr>
          <w:rFonts w:hint="eastAsia" w:eastAsia="宋体" w:cs="宋体"/>
          <w:color w:val="FF0000"/>
          <w:kern w:val="2"/>
          <w:sz w:val="21"/>
          <w:lang w:eastAsia="zh-CN" w:bidi="ar"/>
        </w:rPr>
        <w:t>号）列明的严重违法失信行为。</w:t>
      </w:r>
    </w:p>
    <w:p w14:paraId="36F938FF">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693195BE">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3FF079E9">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27E67B49">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1E0A066F">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9.我单位承诺中标后项目不转包，未经采购人同意不进行分包。</w:t>
      </w:r>
    </w:p>
    <w:p w14:paraId="27DC2220">
      <w:pPr>
        <w:widowControl w:val="0"/>
        <w:ind w:firstLine="420" w:firstLineChars="200"/>
        <w:jc w:val="both"/>
        <w:rPr>
          <w:rFonts w:ascii="宋体" w:hAnsi="宋体" w:eastAsia="宋体" w:cs="宋体"/>
          <w:kern w:val="2"/>
          <w:sz w:val="21"/>
          <w:lang w:eastAsia="zh-CN"/>
        </w:rPr>
      </w:pPr>
      <w:r>
        <w:rPr>
          <w:rFonts w:hint="eastAsia" w:ascii="宋体" w:hAnsi="宋体" w:eastAsia="宋体" w:cs="宋体"/>
          <w:kern w:val="2"/>
          <w:sz w:val="21"/>
          <w:szCs w:val="21"/>
          <w:lang w:eastAsia="zh-CN" w:bidi="ar"/>
        </w:rPr>
        <w:t>10.</w:t>
      </w:r>
      <w:r>
        <w:rPr>
          <w:rFonts w:hint="eastAsia" w:ascii="宋体" w:hAnsi="宋体" w:eastAsia="宋体" w:cs="宋体"/>
          <w:kern w:val="2"/>
          <w:sz w:val="21"/>
          <w:lang w:eastAsia="zh-CN" w:bidi="ar"/>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3C37BF20">
      <w:pPr>
        <w:widowControl w:val="0"/>
        <w:ind w:firstLine="420" w:firstLineChars="200"/>
        <w:jc w:val="both"/>
        <w:rPr>
          <w:rFonts w:ascii="宋体" w:hAnsi="宋体" w:eastAsia="宋体" w:cs="宋体"/>
          <w:b/>
          <w:sz w:val="21"/>
          <w:szCs w:val="21"/>
          <w:lang w:eastAsia="zh-CN"/>
        </w:rPr>
      </w:pPr>
      <w:r>
        <w:rPr>
          <w:rFonts w:hint="eastAsia" w:ascii="宋体" w:hAnsi="宋体" w:eastAsia="宋体" w:cs="宋体"/>
          <w:kern w:val="2"/>
          <w:sz w:val="21"/>
          <w:lang w:eastAsia="zh-CN" w:bidi="ar"/>
        </w:rPr>
        <w:t>11.我单位保证，若所投货物涉及《财政部生态环境部关于印发节能产品政府采购品目清单的通知》（财库〔2019〕19号）列明的政府采购强制产品，则所投该产品符合节能产品的认证要求。若所投产品包括数据中心相关设备的，应满足</w:t>
      </w:r>
      <w:r>
        <w:rPr>
          <w:rFonts w:hint="eastAsia" w:eastAsia="宋体" w:cs="宋体"/>
          <w:kern w:val="2"/>
          <w:sz w:val="21"/>
          <w:lang w:eastAsia="zh-CN" w:bidi="ar"/>
        </w:rPr>
        <w:t>《财政部</w:t>
      </w:r>
      <w:r>
        <w:rPr>
          <w:rFonts w:eastAsia="宋体"/>
          <w:kern w:val="2"/>
          <w:sz w:val="21"/>
          <w:lang w:eastAsia="zh-CN" w:bidi="ar"/>
        </w:rPr>
        <w:t xml:space="preserve"> </w:t>
      </w:r>
      <w:r>
        <w:rPr>
          <w:rFonts w:hint="eastAsia" w:eastAsia="宋体" w:cs="宋体"/>
          <w:kern w:val="2"/>
          <w:sz w:val="21"/>
          <w:lang w:eastAsia="zh-CN" w:bidi="ar"/>
        </w:rPr>
        <w:t>生态环境部</w:t>
      </w:r>
      <w:r>
        <w:rPr>
          <w:rFonts w:eastAsia="宋体"/>
          <w:kern w:val="2"/>
          <w:sz w:val="21"/>
          <w:lang w:eastAsia="zh-CN" w:bidi="ar"/>
        </w:rPr>
        <w:t xml:space="preserve"> </w:t>
      </w:r>
      <w:r>
        <w:rPr>
          <w:rFonts w:hint="eastAsia" w:eastAsia="宋体" w:cs="宋体"/>
          <w:kern w:val="2"/>
          <w:sz w:val="21"/>
          <w:lang w:eastAsia="zh-CN" w:bidi="ar"/>
        </w:rPr>
        <w:t>工业和信息化部关于印发</w:t>
      </w:r>
      <w:r>
        <w:rPr>
          <w:rFonts w:eastAsia="宋体"/>
          <w:kern w:val="2"/>
          <w:sz w:val="21"/>
          <w:lang w:eastAsia="zh-CN" w:bidi="ar"/>
        </w:rPr>
        <w:t>&lt;</w:t>
      </w:r>
      <w:r>
        <w:rPr>
          <w:rFonts w:hint="eastAsia" w:eastAsia="宋体" w:cs="宋体"/>
          <w:kern w:val="2"/>
          <w:sz w:val="21"/>
          <w:lang w:eastAsia="zh-CN" w:bidi="ar"/>
        </w:rPr>
        <w:t>绿色数据中心政府采购需求标准（试行）</w:t>
      </w:r>
      <w:r>
        <w:rPr>
          <w:rFonts w:eastAsia="宋体"/>
          <w:kern w:val="2"/>
          <w:sz w:val="21"/>
          <w:lang w:eastAsia="zh-CN" w:bidi="ar"/>
        </w:rPr>
        <w:t>&gt;</w:t>
      </w:r>
      <w:r>
        <w:rPr>
          <w:rFonts w:hint="eastAsia" w:eastAsia="宋体" w:cs="宋体"/>
          <w:kern w:val="2"/>
          <w:sz w:val="21"/>
          <w:lang w:eastAsia="zh-CN" w:bidi="ar"/>
        </w:rPr>
        <w:t>的通知》（财库〔</w:t>
      </w:r>
      <w:r>
        <w:rPr>
          <w:rFonts w:eastAsia="宋体"/>
          <w:kern w:val="2"/>
          <w:sz w:val="21"/>
          <w:lang w:eastAsia="zh-CN" w:bidi="ar"/>
        </w:rPr>
        <w:t>2023</w:t>
      </w:r>
      <w:r>
        <w:rPr>
          <w:rFonts w:hint="eastAsia" w:eastAsia="宋体" w:cs="宋体"/>
          <w:kern w:val="2"/>
          <w:sz w:val="21"/>
          <w:lang w:eastAsia="zh-CN" w:bidi="ar"/>
        </w:rPr>
        <w:t>〕</w:t>
      </w:r>
      <w:r>
        <w:rPr>
          <w:rFonts w:eastAsia="宋体"/>
          <w:kern w:val="2"/>
          <w:sz w:val="21"/>
          <w:lang w:eastAsia="zh-CN" w:bidi="ar"/>
        </w:rPr>
        <w:t>7</w:t>
      </w:r>
      <w:r>
        <w:rPr>
          <w:rFonts w:hint="eastAsia" w:eastAsia="宋体" w:cs="宋体"/>
          <w:kern w:val="2"/>
          <w:sz w:val="21"/>
          <w:lang w:eastAsia="zh-CN" w:bidi="ar"/>
        </w:rPr>
        <w:t>号）要求。若所投产品涉及国家强制性标准的，所投产品应符合国家强制性标准相关要求。</w:t>
      </w:r>
    </w:p>
    <w:p w14:paraId="02407A74">
      <w:pPr>
        <w:widowControl w:val="0"/>
        <w:ind w:firstLine="420" w:firstLineChars="200"/>
        <w:jc w:val="both"/>
        <w:rPr>
          <w:rFonts w:ascii="宋体" w:hAnsi="宋体" w:eastAsia="宋体" w:cs="宋体"/>
          <w:bCs/>
          <w:kern w:val="2"/>
          <w:sz w:val="21"/>
          <w:lang w:eastAsia="zh-CN"/>
        </w:rPr>
      </w:pPr>
      <w:r>
        <w:rPr>
          <w:rFonts w:hint="eastAsia" w:ascii="宋体" w:hAnsi="宋体" w:eastAsia="宋体" w:cs="宋体"/>
          <w:bCs/>
          <w:sz w:val="21"/>
          <w:szCs w:val="21"/>
          <w:lang w:eastAsia="zh-CN" w:bidi="ar"/>
        </w:rPr>
        <w:t>12.</w:t>
      </w:r>
      <w:r>
        <w:rPr>
          <w:rFonts w:hint="eastAsia" w:ascii="宋体" w:hAnsi="宋体" w:eastAsia="宋体" w:cs="宋体"/>
          <w:bCs/>
          <w:kern w:val="2"/>
          <w:sz w:val="21"/>
          <w:lang w:eastAsia="zh-CN" w:bidi="ar"/>
        </w:rPr>
        <w:t>我单位已知悉并同意中标（成交）结果信息公示（公开）的内容。</w:t>
      </w:r>
    </w:p>
    <w:p w14:paraId="2973CAD9">
      <w:pPr>
        <w:widowControl w:val="0"/>
        <w:ind w:firstLine="420" w:firstLineChars="200"/>
        <w:jc w:val="both"/>
        <w:rPr>
          <w:rFonts w:ascii="宋体" w:hAnsi="宋体" w:eastAsia="宋体" w:cs="宋体"/>
          <w:bCs/>
          <w:kern w:val="2"/>
          <w:sz w:val="21"/>
          <w:lang w:eastAsia="zh-CN"/>
        </w:rPr>
      </w:pPr>
      <w:r>
        <w:rPr>
          <w:rFonts w:hint="eastAsia" w:ascii="宋体" w:hAnsi="宋体" w:eastAsia="宋体" w:cs="宋体"/>
          <w:bCs/>
          <w:kern w:val="2"/>
          <w:sz w:val="21"/>
          <w:lang w:eastAsia="zh-CN" w:bidi="ar"/>
        </w:rPr>
        <w:t>13.我单位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00868658">
      <w:pPr>
        <w:widowControl w:val="0"/>
        <w:ind w:firstLine="422" w:firstLineChars="200"/>
        <w:jc w:val="both"/>
        <w:rPr>
          <w:rFonts w:ascii="宋体" w:hAnsi="宋体" w:eastAsia="宋体" w:cs="宋体"/>
          <w:b/>
          <w:kern w:val="2"/>
          <w:sz w:val="21"/>
          <w:lang w:eastAsia="zh-CN"/>
        </w:rPr>
      </w:pPr>
      <w:r>
        <w:rPr>
          <w:rFonts w:hint="eastAsia" w:ascii="宋体" w:hAnsi="宋体" w:eastAsia="宋体" w:cs="宋体"/>
          <w:b/>
          <w:kern w:val="2"/>
          <w:sz w:val="21"/>
          <w:lang w:eastAsia="zh-CN" w:bidi="ar"/>
        </w:rPr>
        <w:t>14.我单位清楚，如存在违反投标承诺行为情节严重的，将根据《深圳市财政局关于印发&lt;深圳市财政局政府采购供应商信用信息管理办法&gt;的通知》，依法被列入失信信息。</w:t>
      </w:r>
    </w:p>
    <w:p w14:paraId="71F294C5">
      <w:pPr>
        <w:widowControl w:val="0"/>
        <w:ind w:firstLine="420" w:firstLineChars="200"/>
        <w:jc w:val="both"/>
        <w:rPr>
          <w:rFonts w:ascii="宋体" w:hAnsi="宋体" w:eastAsia="宋体" w:cs="宋体"/>
          <w:bCs/>
          <w:kern w:val="2"/>
          <w:sz w:val="21"/>
          <w:lang w:eastAsia="zh-CN"/>
        </w:rPr>
      </w:pPr>
      <w:r>
        <w:rPr>
          <w:rFonts w:hint="eastAsia" w:ascii="宋体" w:hAnsi="宋体" w:eastAsia="宋体" w:cs="宋体"/>
          <w:bCs/>
          <w:kern w:val="2"/>
          <w:sz w:val="21"/>
          <w:lang w:eastAsia="zh-CN" w:bidi="ar"/>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68A2FC0D">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以上承诺，如有违反，愿依照国家相关法律法规处理，并承担由此给采购人带来的损失。</w:t>
      </w:r>
    </w:p>
    <w:p w14:paraId="1E5F29F0">
      <w:pPr>
        <w:widowControl w:val="0"/>
        <w:spacing w:before="78" w:beforeLines="25" w:after="78" w:afterLines="25"/>
        <w:ind w:firstLine="5460" w:firstLineChars="2600"/>
        <w:jc w:val="both"/>
        <w:rPr>
          <w:rFonts w:eastAsia="宋体"/>
          <w:color w:val="FF0000"/>
          <w:kern w:val="2"/>
          <w:sz w:val="21"/>
          <w:szCs w:val="21"/>
          <w:u w:val="single"/>
          <w:lang w:eastAsia="zh-CN" w:bidi="ar"/>
        </w:rPr>
      </w:pPr>
      <w:r>
        <w:rPr>
          <w:rFonts w:hint="eastAsia" w:eastAsia="宋体" w:cs="宋体"/>
          <w:color w:val="FF0000"/>
          <w:kern w:val="2"/>
          <w:sz w:val="21"/>
          <w:szCs w:val="21"/>
          <w:lang w:eastAsia="zh-CN" w:bidi="ar"/>
        </w:rPr>
        <w:t>投标人：</w:t>
      </w:r>
      <w:r>
        <w:rPr>
          <w:rFonts w:eastAsia="宋体"/>
          <w:color w:val="FF0000"/>
          <w:kern w:val="2"/>
          <w:sz w:val="21"/>
          <w:szCs w:val="21"/>
          <w:u w:val="single"/>
          <w:lang w:eastAsia="zh-CN" w:bidi="ar"/>
        </w:rPr>
        <w:t xml:space="preserve">             </w:t>
      </w:r>
      <w:r>
        <w:rPr>
          <w:rFonts w:hint="eastAsia" w:eastAsia="宋体"/>
          <w:color w:val="FF0000"/>
          <w:kern w:val="2"/>
          <w:sz w:val="21"/>
          <w:szCs w:val="21"/>
          <w:u w:val="single"/>
          <w:lang w:val="en-US" w:eastAsia="zh-CN" w:bidi="ar"/>
        </w:rPr>
        <w:t xml:space="preserve">  </w:t>
      </w:r>
      <w:r>
        <w:rPr>
          <w:rFonts w:eastAsia="宋体"/>
          <w:color w:val="FF0000"/>
          <w:kern w:val="2"/>
          <w:sz w:val="21"/>
          <w:szCs w:val="21"/>
          <w:u w:val="single"/>
          <w:lang w:eastAsia="zh-CN" w:bidi="ar"/>
        </w:rPr>
        <w:t xml:space="preserve">       </w:t>
      </w:r>
      <w:r>
        <w:rPr>
          <w:rFonts w:hint="eastAsia" w:eastAsia="宋体" w:cs="宋体"/>
          <w:color w:val="FF0000"/>
          <w:kern w:val="2"/>
          <w:sz w:val="21"/>
          <w:szCs w:val="21"/>
          <w:lang w:eastAsia="zh-CN" w:bidi="ar"/>
        </w:rPr>
        <w:t>；</w:t>
      </w:r>
    </w:p>
    <w:p w14:paraId="7D67059E">
      <w:pPr>
        <w:widowControl w:val="0"/>
        <w:spacing w:before="78" w:beforeLines="25" w:after="78" w:afterLines="25"/>
        <w:ind w:firstLine="5460" w:firstLineChars="26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日期：</w:t>
      </w:r>
      <w:r>
        <w:rPr>
          <w:rFonts w:hint="eastAsia" w:ascii="宋体" w:hAnsi="宋体" w:eastAsia="宋体" w:cs="宋体"/>
          <w:color w:val="FF0000"/>
          <w:kern w:val="2"/>
          <w:sz w:val="21"/>
          <w:szCs w:val="21"/>
          <w:u w:val="single"/>
          <w:lang w:eastAsia="zh-CN" w:bidi="ar"/>
        </w:rPr>
        <w:t xml:space="preserve">    </w:t>
      </w:r>
      <w:r>
        <w:rPr>
          <w:rFonts w:hint="eastAsia" w:ascii="宋体" w:hAnsi="宋体" w:eastAsia="宋体" w:cs="宋体"/>
          <w:color w:val="FF0000"/>
          <w:kern w:val="2"/>
          <w:sz w:val="21"/>
          <w:szCs w:val="21"/>
          <w:lang w:eastAsia="zh-CN" w:bidi="ar"/>
        </w:rPr>
        <w:t>年</w:t>
      </w:r>
      <w:r>
        <w:rPr>
          <w:rFonts w:hint="eastAsia" w:ascii="宋体" w:hAnsi="宋体" w:eastAsia="宋体" w:cs="宋体"/>
          <w:color w:val="FF0000"/>
          <w:kern w:val="2"/>
          <w:sz w:val="21"/>
          <w:szCs w:val="21"/>
          <w:u w:val="single"/>
          <w:lang w:eastAsia="zh-CN" w:bidi="ar"/>
        </w:rPr>
        <w:t xml:space="preserve">   </w:t>
      </w:r>
      <w:r>
        <w:rPr>
          <w:rFonts w:hint="eastAsia" w:ascii="宋体" w:hAnsi="宋体" w:eastAsia="宋体" w:cs="宋体"/>
          <w:color w:val="FF0000"/>
          <w:kern w:val="2"/>
          <w:sz w:val="21"/>
          <w:szCs w:val="21"/>
          <w:lang w:eastAsia="zh-CN" w:bidi="ar"/>
        </w:rPr>
        <w:t>月</w:t>
      </w:r>
      <w:r>
        <w:rPr>
          <w:rFonts w:hint="eastAsia" w:ascii="宋体" w:hAnsi="宋体" w:eastAsia="宋体" w:cs="宋体"/>
          <w:color w:val="FF0000"/>
          <w:kern w:val="2"/>
          <w:sz w:val="21"/>
          <w:szCs w:val="21"/>
          <w:u w:val="single"/>
          <w:lang w:eastAsia="zh-CN" w:bidi="ar"/>
        </w:rPr>
        <w:t xml:space="preserve">   </w:t>
      </w:r>
      <w:r>
        <w:rPr>
          <w:rFonts w:hint="eastAsia" w:ascii="宋体" w:hAnsi="宋体" w:eastAsia="宋体" w:cs="宋体"/>
          <w:color w:val="FF0000"/>
          <w:kern w:val="2"/>
          <w:sz w:val="21"/>
          <w:szCs w:val="21"/>
          <w:lang w:eastAsia="zh-CN" w:bidi="ar"/>
        </w:rPr>
        <w:t>日</w:t>
      </w:r>
    </w:p>
    <w:p w14:paraId="42F38629">
      <w:pPr>
        <w:widowControl w:val="0"/>
        <w:jc w:val="both"/>
        <w:rPr>
          <w:rFonts w:eastAsia="宋体"/>
          <w:kern w:val="2"/>
          <w:sz w:val="21"/>
          <w:lang w:eastAsia="zh-CN"/>
        </w:rPr>
      </w:pPr>
    </w:p>
    <w:p w14:paraId="46668030">
      <w:pPr>
        <w:widowControl w:val="0"/>
        <w:jc w:val="center"/>
        <w:rPr>
          <w:rFonts w:ascii="黑体" w:hAnsi="宋体" w:eastAsia="黑体"/>
          <w:bCs/>
          <w:szCs w:val="32"/>
          <w:lang w:eastAsia="zh-CN"/>
        </w:rPr>
      </w:pPr>
      <w:r>
        <w:rPr>
          <w:rFonts w:hint="eastAsia" w:ascii="黑体" w:eastAsia="黑体"/>
          <w:lang w:eastAsia="zh-CN"/>
        </w:rPr>
        <w:br w:type="page"/>
      </w:r>
      <w:r>
        <w:rPr>
          <w:rFonts w:hint="eastAsia" w:ascii="黑体" w:hAnsi="宋体" w:eastAsia="黑体"/>
          <w:bCs/>
          <w:szCs w:val="32"/>
          <w:lang w:eastAsia="zh-CN"/>
        </w:rPr>
        <w:t>三、投标人情况及资格证明文件</w:t>
      </w:r>
    </w:p>
    <w:p w14:paraId="1CD27EAA">
      <w:pPr>
        <w:widowControl w:val="0"/>
        <w:jc w:val="both"/>
        <w:outlineLvl w:val="3"/>
        <w:rPr>
          <w:rFonts w:ascii="黑体" w:hAnsi="宋体" w:eastAsia="黑体"/>
          <w:bCs/>
          <w:szCs w:val="32"/>
          <w:lang w:eastAsia="zh-CN"/>
        </w:rPr>
      </w:pPr>
      <w:r>
        <w:rPr>
          <w:rFonts w:hint="eastAsia" w:ascii="黑体" w:hAnsi="宋体" w:eastAsia="黑体"/>
          <w:bCs/>
          <w:szCs w:val="32"/>
          <w:lang w:eastAsia="zh-CN"/>
        </w:rPr>
        <w:t>（一）投标人资格证明文件</w:t>
      </w:r>
    </w:p>
    <w:p w14:paraId="78E31B3D">
      <w:pPr>
        <w:widowControl w:val="0"/>
        <w:spacing w:before="156" w:beforeLines="50"/>
        <w:ind w:firstLine="422" w:firstLineChars="200"/>
        <w:jc w:val="both"/>
        <w:rPr>
          <w:rFonts w:eastAsia="宋体"/>
          <w:b/>
          <w:bCs/>
          <w:color w:val="FF0000"/>
          <w:kern w:val="2"/>
          <w:sz w:val="21"/>
          <w:lang w:eastAsia="zh-CN"/>
        </w:rPr>
      </w:pPr>
      <w:r>
        <w:rPr>
          <w:rFonts w:hint="eastAsia" w:eastAsia="宋体"/>
          <w:b/>
          <w:bCs/>
          <w:color w:val="FF0000"/>
          <w:kern w:val="2"/>
          <w:sz w:val="21"/>
          <w:lang w:eastAsia="zh-CN"/>
        </w:rPr>
        <w:t>（特别提示：投标人须按本招标文件第一册第一章招标公告“投标人的资格要求”提供相关的资格证明资料，未提供或提供不完整、不符合要求的，将作投标无效处理，其中要求提供《采购投标及履约承诺函》《供应商基本情况表》且已在规定章节中提供的，此处不重复提供。）</w:t>
      </w:r>
    </w:p>
    <w:p w14:paraId="3BAF8D96">
      <w:pPr>
        <w:widowControl/>
        <w:jc w:val="left"/>
        <w:rPr>
          <w:rFonts w:ascii="黑体" w:hAnsi="宋体" w:eastAsia="黑体"/>
          <w:bCs/>
          <w:szCs w:val="32"/>
          <w:lang w:eastAsia="zh-CN"/>
        </w:rPr>
      </w:pPr>
      <w:r>
        <w:rPr>
          <w:rFonts w:eastAsia="宋体"/>
          <w:kern w:val="2"/>
          <w:sz w:val="21"/>
          <w:lang w:eastAsia="zh-CN"/>
        </w:rPr>
        <w:br w:type="page"/>
      </w:r>
      <w:r>
        <w:rPr>
          <w:rFonts w:hint="eastAsia" w:ascii="黑体" w:hAnsi="宋体" w:eastAsia="黑体"/>
          <w:bCs/>
          <w:szCs w:val="32"/>
          <w:lang w:eastAsia="zh-CN"/>
        </w:rPr>
        <w:t>（二）中小企业声明函、残疾人福利性单位声明函及监狱企业声明函</w:t>
      </w:r>
    </w:p>
    <w:p w14:paraId="6256F734">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填写指引：</w:t>
      </w:r>
    </w:p>
    <w:p w14:paraId="01049F93">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宋体" w:eastAsia="黑体"/>
          <w:bCs/>
          <w:color w:val="FF0000"/>
          <w:sz w:val="21"/>
          <w:szCs w:val="21"/>
          <w:lang w:eastAsia="zh-CN"/>
        </w:rPr>
        <w:t>1、该部分内容由投标人根据自身实际情况填写，不符合要求的投标人可以不填写或直接删除相应的声明函。</w:t>
      </w:r>
      <w:r>
        <w:rPr>
          <w:rFonts w:hint="eastAsia" w:ascii="黑体" w:hAnsi="黑体" w:eastAsia="黑体"/>
          <w:color w:val="FF0000"/>
          <w:kern w:val="2"/>
          <w:sz w:val="21"/>
          <w:szCs w:val="21"/>
          <w:lang w:eastAsia="zh-CN"/>
        </w:rPr>
        <w:t>投标人提供的声明函不属实的，属于提供虚假资料谋取中标，依照《中华人民共和国政府采购法》等国家有关规定追究相应责任。</w:t>
      </w:r>
    </w:p>
    <w:p w14:paraId="38E354A3">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olor w:val="FF0000"/>
          <w:kern w:val="2"/>
          <w:sz w:val="21"/>
          <w:szCs w:val="21"/>
          <w:lang w:eastAsia="zh-CN"/>
        </w:rPr>
        <w:t>2、该部分内容填写需要参考的相关文件：</w:t>
      </w:r>
    </w:p>
    <w:p w14:paraId="05E03E21">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olor w:val="FF0000"/>
          <w:kern w:val="2"/>
          <w:sz w:val="21"/>
          <w:szCs w:val="21"/>
          <w:lang w:eastAsia="zh-CN"/>
        </w:rPr>
        <w:t>(</w:t>
      </w:r>
      <w:r>
        <w:rPr>
          <w:rFonts w:ascii="黑体" w:hAnsi="黑体" w:eastAsia="黑体"/>
          <w:color w:val="FF0000"/>
          <w:kern w:val="2"/>
          <w:sz w:val="21"/>
          <w:szCs w:val="21"/>
          <w:lang w:eastAsia="zh-CN"/>
        </w:rPr>
        <w:t>1</w:t>
      </w:r>
      <w:r>
        <w:rPr>
          <w:rFonts w:hint="eastAsia" w:ascii="黑体" w:hAnsi="黑体" w:eastAsia="黑体"/>
          <w:color w:val="FF0000"/>
          <w:kern w:val="2"/>
          <w:sz w:val="21"/>
          <w:szCs w:val="21"/>
          <w:lang w:eastAsia="zh-CN"/>
        </w:rPr>
        <w:t>)财政部《政府采购促进中小企业发展管理办法》（财库〔2020〕46号）</w:t>
      </w:r>
    </w:p>
    <w:p w14:paraId="30C3B669">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olor w:val="FF0000"/>
          <w:kern w:val="2"/>
          <w:sz w:val="21"/>
          <w:szCs w:val="21"/>
          <w:lang w:eastAsia="zh-CN"/>
        </w:rPr>
        <w:t>(</w:t>
      </w:r>
      <w:r>
        <w:rPr>
          <w:rFonts w:ascii="黑体" w:hAnsi="黑体" w:eastAsia="黑体"/>
          <w:color w:val="FF0000"/>
          <w:kern w:val="2"/>
          <w:sz w:val="21"/>
          <w:szCs w:val="21"/>
          <w:lang w:eastAsia="zh-CN"/>
        </w:rPr>
        <w:t>2</w:t>
      </w:r>
      <w:r>
        <w:rPr>
          <w:rFonts w:hint="eastAsia" w:ascii="黑体" w:hAnsi="黑体" w:eastAsia="黑体"/>
          <w:color w:val="FF0000"/>
          <w:kern w:val="2"/>
          <w:sz w:val="21"/>
          <w:szCs w:val="21"/>
          <w:lang w:eastAsia="zh-CN"/>
        </w:rPr>
        <w:t>)</w:t>
      </w:r>
      <w:bookmarkStart w:id="37" w:name="_Hlk71925120"/>
      <w:r>
        <w:rPr>
          <w:rFonts w:hint="eastAsia" w:ascii="黑体" w:hAnsi="黑体" w:eastAsia="黑体"/>
          <w:color w:val="FF0000"/>
          <w:kern w:val="2"/>
          <w:sz w:val="21"/>
          <w:szCs w:val="21"/>
          <w:lang w:eastAsia="zh-CN"/>
        </w:rPr>
        <w:t>《工业和信息化部、国家统计局、国家发展和改革委员会、财政部关于印发中小企业划型标准规定的通知》（工信部联企业〔2011〕300号</w:t>
      </w:r>
      <w:bookmarkEnd w:id="37"/>
      <w:r>
        <w:rPr>
          <w:rFonts w:hint="eastAsia" w:ascii="黑体" w:hAnsi="黑体" w:eastAsia="黑体"/>
          <w:color w:val="FF0000"/>
          <w:kern w:val="2"/>
          <w:sz w:val="21"/>
          <w:szCs w:val="21"/>
          <w:lang w:eastAsia="zh-CN"/>
        </w:rPr>
        <w:t>）</w:t>
      </w:r>
    </w:p>
    <w:p w14:paraId="5E8BD09F">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olor w:val="FF0000"/>
          <w:kern w:val="2"/>
          <w:sz w:val="21"/>
          <w:szCs w:val="21"/>
          <w:lang w:eastAsia="zh-CN"/>
        </w:rPr>
        <w:t>(3)《统计上大中小微型企业划分办法(2017)》（国统字〔2017〕213号）</w:t>
      </w:r>
    </w:p>
    <w:p w14:paraId="2E29761A">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olor w:val="FF0000"/>
          <w:kern w:val="2"/>
          <w:sz w:val="21"/>
          <w:szCs w:val="21"/>
          <w:lang w:eastAsia="zh-CN"/>
        </w:rPr>
        <w:t>(4)《关于促进残疾人就业政府采购政策的通知》（财库〔2017〕141号）</w:t>
      </w:r>
    </w:p>
    <w:p w14:paraId="76E52825">
      <w:pPr>
        <w:widowControl w:val="0"/>
        <w:ind w:firstLine="420" w:firstLineChars="200"/>
        <w:jc w:val="both"/>
        <w:outlineLvl w:val="3"/>
        <w:rPr>
          <w:rFonts w:ascii="黑体" w:hAnsi="黑体" w:eastAsia="黑体"/>
          <w:color w:val="FF0000"/>
          <w:kern w:val="2"/>
          <w:sz w:val="21"/>
          <w:szCs w:val="21"/>
          <w:lang w:eastAsia="zh-CN"/>
        </w:rPr>
      </w:pPr>
      <w:r>
        <w:rPr>
          <w:rFonts w:hint="eastAsia" w:ascii="黑体" w:hAnsi="黑体" w:eastAsia="黑体"/>
          <w:color w:val="FF0000"/>
          <w:kern w:val="2"/>
          <w:sz w:val="21"/>
          <w:szCs w:val="21"/>
          <w:lang w:eastAsia="zh-CN"/>
        </w:rPr>
        <w:t>(5)《关于政府采购支持监狱企业发展有关问题的通知》（财库〔2014〕68号）</w:t>
      </w:r>
    </w:p>
    <w:p w14:paraId="15F47F34">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3、请依照提供的格式和内容填写声明函，不要随意变更格式；声明函不需要盖章或签字；</w:t>
      </w:r>
      <w:r>
        <w:rPr>
          <w:rFonts w:hint="eastAsia" w:ascii="黑体" w:hAnsi="黑体" w:eastAsia="黑体"/>
          <w:color w:val="FF0000"/>
          <w:kern w:val="2"/>
          <w:sz w:val="21"/>
          <w:szCs w:val="21"/>
          <w:lang w:eastAsia="zh-CN"/>
        </w:rPr>
        <w:t>满足多项优惠政策的投标人，不重复享受多项价格扣除政策。</w:t>
      </w:r>
    </w:p>
    <w:p w14:paraId="11EA4F07">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4、声明函具体填写要求：</w:t>
      </w:r>
    </w:p>
    <w:p w14:paraId="67584F27">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（1）声明是中小企业须填写《中小企业声明函》的以下内容：</w:t>
      </w:r>
    </w:p>
    <w:p w14:paraId="5806D686">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第一处，在“单位名称”下划线处如实填写采购人名称（深圳公共资源交易中心不是本项目的采购人，而是组织实施机构）；</w:t>
      </w:r>
    </w:p>
    <w:p w14:paraId="3AE2C4D0">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14:paraId="678A9FEF">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第三处，在“标的名称”下划线处填写所采购标的具体名称（以招标文件第一册第三章用户需求书“服务需求明细”的“服务需求名称（标的名称）”一栏为准）；如果涉及多项服务（标的）为同一企业承接的，“标的名称”下划线处可以如实填写多项服务；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50815899">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第四处，在“采购文件中明确的所属行业”下划线处填写采购标的对应的中小企业划分标准所属行业（所属行业以招标文件第一册第三章用户需求书“服务需求明细”的“标的所属行业”一栏为准），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联合体部分采购标的涉及的服务承接商本身的所属行业保持一致；</w:t>
      </w:r>
    </w:p>
    <w:p w14:paraId="2F8999BC">
      <w:pPr>
        <w:widowControl w:val="0"/>
        <w:ind w:firstLine="420" w:firstLineChars="200"/>
        <w:jc w:val="both"/>
        <w:outlineLvl w:val="3"/>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第五处，在“企业名称”下划线处如实填写</w:t>
      </w:r>
      <w:r>
        <w:rPr>
          <w:rFonts w:hint="eastAsia" w:ascii="黑体" w:hAnsi="宋体" w:eastAsia="黑体"/>
          <w:b/>
          <w:color w:val="FF0000"/>
          <w:sz w:val="21"/>
          <w:szCs w:val="21"/>
          <w:lang w:eastAsia="zh-CN"/>
        </w:rPr>
        <w:t>服务承接商名称。</w:t>
      </w:r>
      <w:r>
        <w:rPr>
          <w:rFonts w:hint="eastAsia" w:ascii="黑体" w:hAnsi="宋体" w:eastAsia="黑体"/>
          <w:bCs/>
          <w:color w:val="FF0000"/>
          <w:sz w:val="21"/>
          <w:szCs w:val="21"/>
          <w:lang w:eastAsia="zh-CN"/>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48DF3396">
      <w:pPr>
        <w:widowControl w:val="0"/>
        <w:numPr>
          <w:ilvl w:val="0"/>
          <w:numId w:val="0"/>
        </w:numPr>
        <w:ind w:left="0" w:firstLine="420" w:firstLineChars="200"/>
        <w:jc w:val="both"/>
        <w:outlineLvl w:val="3"/>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第六、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14:paraId="47813FEB">
      <w:pPr>
        <w:widowControl w:val="0"/>
        <w:numPr>
          <w:ilvl w:val="0"/>
          <w:numId w:val="0"/>
        </w:numPr>
        <w:ind w:left="0" w:firstLine="420" w:firstLineChars="200"/>
        <w:jc w:val="both"/>
        <w:outlineLvl w:val="3"/>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服务承接商是否属于采购文件所属行业的中型企业/小型企业/微型企业。</w:t>
      </w:r>
    </w:p>
    <w:p w14:paraId="6216A2B4">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385F5867">
      <w:pPr>
        <w:widowControl w:val="0"/>
        <w:ind w:firstLine="420" w:firstLineChars="200"/>
        <w:jc w:val="both"/>
        <w:outlineLvl w:val="3"/>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（3）事业单位、社会组织等非企业主体不享受中小企业扶持政策。</w:t>
      </w:r>
    </w:p>
    <w:p w14:paraId="35A97678">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（4）声明是残疾人福利性单位须填写《残疾人福利性单位声明函》的相关内容，具体参照以上《中小企业声明函》填写要求执行。</w:t>
      </w:r>
    </w:p>
    <w:p w14:paraId="361967B9">
      <w:pPr>
        <w:widowControl w:val="0"/>
        <w:ind w:firstLine="420" w:firstLineChars="200"/>
        <w:jc w:val="both"/>
        <w:outlineLvl w:val="3"/>
        <w:rPr>
          <w:rFonts w:ascii="黑体" w:hAnsi="宋体" w:eastAsia="黑体"/>
          <w:bCs/>
          <w:color w:val="FF0000"/>
          <w:sz w:val="21"/>
          <w:szCs w:val="21"/>
          <w:lang w:eastAsia="zh-CN"/>
        </w:rPr>
      </w:pPr>
      <w:r>
        <w:rPr>
          <w:rFonts w:hint="eastAsia" w:ascii="黑体" w:hAnsi="宋体" w:eastAsia="黑体"/>
          <w:bCs/>
          <w:color w:val="FF0000"/>
          <w:sz w:val="21"/>
          <w:szCs w:val="21"/>
          <w:lang w:eastAsia="zh-CN"/>
        </w:rPr>
        <w:t>（5）声明是监狱企业须填写《监狱企业声明函》的三项内容（填写位置的字体已加粗），具体参照以上《中小企业声明函》填写要求执行。</w:t>
      </w:r>
    </w:p>
    <w:p w14:paraId="1AF5FD54">
      <w:pPr>
        <w:widowControl w:val="0"/>
        <w:ind w:firstLine="420" w:firstLineChars="200"/>
        <w:jc w:val="both"/>
        <w:outlineLvl w:val="3"/>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5、本项目属于服务类项目，相关服务承接商应当为中小企业或残疾人福利性单位或监狱企业，如包含硬件设备、产品等货物采购的，不再对其中涉及的货物制造商作出要求。</w:t>
      </w:r>
    </w:p>
    <w:p w14:paraId="38E0EE96">
      <w:pPr>
        <w:widowControl w:val="0"/>
        <w:ind w:firstLine="420" w:firstLineChars="200"/>
        <w:jc w:val="both"/>
        <w:outlineLvl w:val="3"/>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6、若本项目非专门面向中小企业、残疾人福利性单位或监狱企业，声明函的有效性由评审委员会判定，如评审委员会判定声明函无效，相关供应商不享受价格扣除（但不作投标无效处理）。</w:t>
      </w:r>
    </w:p>
    <w:p w14:paraId="448FA4A1">
      <w:pPr>
        <w:widowControl w:val="0"/>
        <w:ind w:firstLine="420" w:firstLineChars="200"/>
        <w:jc w:val="both"/>
        <w:outlineLvl w:val="3"/>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0F10EF11">
      <w:pPr>
        <w:widowControl w:val="0"/>
        <w:jc w:val="both"/>
        <w:outlineLvl w:val="3"/>
        <w:rPr>
          <w:rFonts w:hint="eastAsia" w:ascii="黑体" w:hAnsi="宋体" w:eastAsia="黑体"/>
          <w:bCs/>
          <w:color w:val="FF0000"/>
          <w:sz w:val="21"/>
          <w:szCs w:val="21"/>
          <w:lang w:eastAsia="zh-CN"/>
        </w:rPr>
      </w:pPr>
    </w:p>
    <w:p w14:paraId="09F1E06D">
      <w:pPr>
        <w:widowControl w:val="0"/>
        <w:jc w:val="both"/>
        <w:outlineLvl w:val="3"/>
        <w:rPr>
          <w:rFonts w:hint="eastAsia" w:ascii="黑体" w:hAnsi="宋体" w:eastAsia="黑体"/>
          <w:bCs/>
          <w:color w:val="FF0000"/>
          <w:sz w:val="21"/>
          <w:szCs w:val="21"/>
          <w:lang w:eastAsia="zh-CN"/>
        </w:rPr>
      </w:pPr>
      <w:bookmarkStart w:id="98" w:name="_GoBack"/>
      <w:bookmarkEnd w:id="98"/>
    </w:p>
    <w:p w14:paraId="517AAF69">
      <w:pPr>
        <w:widowControl w:val="0"/>
        <w:jc w:val="both"/>
        <w:outlineLvl w:val="3"/>
        <w:rPr>
          <w:rFonts w:hint="eastAsia" w:ascii="黑体" w:hAnsi="宋体" w:eastAsia="黑体"/>
          <w:bCs/>
          <w:color w:val="FF0000"/>
          <w:sz w:val="21"/>
          <w:szCs w:val="21"/>
          <w:lang w:eastAsia="zh-CN"/>
        </w:rPr>
      </w:pPr>
    </w:p>
    <w:p w14:paraId="2C456071">
      <w:pPr>
        <w:widowControl w:val="0"/>
        <w:numPr>
          <w:ilvl w:val="0"/>
          <w:numId w:val="2"/>
        </w:numPr>
        <w:ind w:left="0" w:firstLine="0"/>
        <w:jc w:val="center"/>
        <w:outlineLvl w:val="3"/>
        <w:rPr>
          <w:rFonts w:eastAsia="宋体"/>
          <w:kern w:val="2"/>
          <w:sz w:val="21"/>
          <w:lang w:eastAsia="zh-CN"/>
        </w:rPr>
      </w:pPr>
      <w:r>
        <w:rPr>
          <w:rFonts w:hint="eastAsia" w:eastAsia="宋体" w:cs="宋体"/>
          <w:b/>
          <w:kern w:val="2"/>
          <w:lang w:eastAsia="zh-CN" w:bidi="ar"/>
        </w:rPr>
        <w:t>中小企业声明函（服务）</w:t>
      </w:r>
    </w:p>
    <w:p w14:paraId="2E6F7E5A">
      <w:pPr>
        <w:widowControl w:val="0"/>
        <w:numPr>
          <w:ilvl w:val="0"/>
          <w:numId w:val="0"/>
        </w:numPr>
        <w:ind w:leftChars="0"/>
        <w:jc w:val="both"/>
        <w:outlineLvl w:val="3"/>
        <w:rPr>
          <w:rFonts w:eastAsia="宋体"/>
          <w:kern w:val="2"/>
          <w:sz w:val="21"/>
          <w:lang w:eastAsia="zh-CN"/>
        </w:rPr>
      </w:pPr>
    </w:p>
    <w:p w14:paraId="26DC7E1B">
      <w:pPr>
        <w:widowControl w:val="0"/>
        <w:spacing w:line="360" w:lineRule="auto"/>
        <w:ind w:firstLine="420" w:firstLineChars="200"/>
        <w:jc w:val="both"/>
        <w:outlineLvl w:val="3"/>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本公司（联合体）郑重声明，根据《政府采购促进中小企业发展管理办法》（财库﹝2020﹞46号）的规定，本公司（联合体）参加</w:t>
      </w:r>
      <w:r>
        <w:rPr>
          <w:rFonts w:hint="eastAsia" w:ascii="宋体" w:hAnsi="宋体" w:eastAsia="宋体" w:cs="宋体"/>
          <w:b/>
          <w:bCs/>
          <w:i/>
          <w:iCs/>
          <w:kern w:val="2"/>
          <w:sz w:val="21"/>
          <w:szCs w:val="21"/>
          <w:u w:val="single"/>
          <w:lang w:eastAsia="zh-CN" w:bidi="ar"/>
        </w:rPr>
        <w:t xml:space="preserve"> </w:t>
      </w:r>
      <w:r>
        <w:rPr>
          <w:rFonts w:hint="eastAsia" w:ascii="宋体" w:hAnsi="宋体" w:eastAsia="宋体" w:cs="宋体"/>
          <w:b/>
          <w:bCs/>
          <w:i/>
          <w:iCs/>
          <w:color w:val="0000FF"/>
          <w:kern w:val="2"/>
          <w:sz w:val="21"/>
          <w:szCs w:val="21"/>
          <w:u w:val="single"/>
          <w:lang w:eastAsia="zh-CN" w:bidi="ar"/>
        </w:rPr>
        <w:t>深圳市急救中心</w:t>
      </w:r>
      <w:r>
        <w:rPr>
          <w:rFonts w:hint="eastAsia" w:ascii="宋体" w:hAnsi="宋体" w:eastAsia="宋体" w:cs="宋体"/>
          <w:b/>
          <w:bCs/>
          <w:i/>
          <w:iCs/>
          <w:kern w:val="2"/>
          <w:sz w:val="21"/>
          <w:szCs w:val="21"/>
          <w:u w:val="single"/>
          <w:lang w:eastAsia="zh-CN" w:bidi="ar"/>
        </w:rPr>
        <w:t xml:space="preserve">（单位名称） </w:t>
      </w:r>
      <w:r>
        <w:rPr>
          <w:rFonts w:hint="eastAsia" w:ascii="宋体" w:hAnsi="宋体" w:eastAsia="宋体" w:cs="宋体"/>
          <w:kern w:val="2"/>
          <w:sz w:val="21"/>
          <w:szCs w:val="21"/>
          <w:lang w:eastAsia="zh-CN" w:bidi="ar"/>
        </w:rPr>
        <w:t>的</w:t>
      </w:r>
      <w:r>
        <w:rPr>
          <w:rFonts w:hint="eastAsia" w:ascii="宋体" w:hAnsi="宋体" w:eastAsia="宋体" w:cs="宋体"/>
          <w:b/>
          <w:bCs/>
          <w:i/>
          <w:iCs/>
          <w:kern w:val="2"/>
          <w:sz w:val="21"/>
          <w:szCs w:val="21"/>
          <w:u w:val="single"/>
          <w:lang w:eastAsia="zh-CN" w:bidi="ar"/>
        </w:rPr>
        <w:t xml:space="preserve"> </w:t>
      </w:r>
      <w:r>
        <w:rPr>
          <w:rFonts w:hint="eastAsia" w:eastAsia="宋体"/>
          <w:b/>
          <w:bCs/>
          <w:i/>
          <w:iCs/>
          <w:color w:val="0000FF"/>
          <w:kern w:val="2"/>
          <w:sz w:val="21"/>
          <w:szCs w:val="21"/>
          <w:u w:val="single"/>
          <w:lang w:eastAsia="zh-CN"/>
        </w:rPr>
        <w:t>市急救中心综合楼及园区公共部分气体消防设备检测维护项目</w:t>
      </w:r>
      <w:r>
        <w:rPr>
          <w:rFonts w:hint="eastAsia" w:ascii="宋体" w:hAnsi="宋体" w:eastAsia="宋体" w:cs="宋体"/>
          <w:b/>
          <w:bCs/>
          <w:i/>
          <w:iCs/>
          <w:kern w:val="2"/>
          <w:sz w:val="21"/>
          <w:szCs w:val="21"/>
          <w:u w:val="single"/>
          <w:lang w:eastAsia="zh-CN" w:bidi="ar"/>
        </w:rPr>
        <w:t xml:space="preserve">（项目名称）    </w:t>
      </w:r>
      <w:r>
        <w:rPr>
          <w:rFonts w:hint="eastAsia" w:ascii="宋体" w:hAnsi="宋体" w:eastAsia="宋体" w:cs="宋体"/>
          <w:kern w:val="2"/>
          <w:sz w:val="21"/>
          <w:szCs w:val="21"/>
          <w:lang w:eastAsia="zh-CN" w:bidi="ar"/>
        </w:rPr>
        <w:t>采购活动，服务全部由符合政策要求的中小企业承接。相关企业（含联合体中的中小企业、签订分包意向协议的中小企业）的具体情况如下：</w:t>
      </w:r>
    </w:p>
    <w:p w14:paraId="69964E5C">
      <w:pPr>
        <w:widowControl w:val="0"/>
        <w:spacing w:line="360" w:lineRule="auto"/>
        <w:ind w:firstLine="420" w:firstLineChars="200"/>
        <w:jc w:val="both"/>
        <w:outlineLvl w:val="3"/>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1.</w:t>
      </w:r>
      <w:r>
        <w:rPr>
          <w:rFonts w:eastAsia="宋体"/>
          <w:b/>
          <w:i/>
          <w:iCs/>
          <w:color w:val="0000FF"/>
          <w:kern w:val="2"/>
          <w:sz w:val="21"/>
          <w:szCs w:val="21"/>
          <w:u w:val="single"/>
          <w:lang w:eastAsia="zh-CN"/>
        </w:rPr>
        <w:t>综合楼及园区公共部分气体消防设备检测维护项目</w:t>
      </w:r>
      <w:r>
        <w:rPr>
          <w:rFonts w:hint="eastAsia" w:ascii="宋体" w:hAnsi="宋体" w:eastAsia="宋体" w:cs="宋体"/>
          <w:b/>
          <w:bCs/>
          <w:i/>
          <w:iCs/>
          <w:kern w:val="2"/>
          <w:sz w:val="21"/>
          <w:szCs w:val="21"/>
          <w:u w:val="single"/>
          <w:lang w:eastAsia="zh-CN" w:bidi="ar"/>
        </w:rPr>
        <w:t xml:space="preserve">（标的名称）     </w:t>
      </w:r>
      <w:r>
        <w:rPr>
          <w:rFonts w:hint="eastAsia" w:ascii="宋体" w:hAnsi="宋体" w:eastAsia="宋体" w:cs="宋体"/>
          <w:kern w:val="2"/>
          <w:sz w:val="21"/>
          <w:szCs w:val="21"/>
          <w:lang w:eastAsia="zh-CN" w:bidi="ar"/>
        </w:rPr>
        <w:t>，属于</w:t>
      </w:r>
      <w:r>
        <w:rPr>
          <w:rFonts w:hint="eastAsia" w:ascii="宋体" w:hAnsi="宋体" w:eastAsia="宋体" w:cs="宋体"/>
          <w:b/>
          <w:bCs/>
          <w:i/>
          <w:iCs/>
          <w:kern w:val="2"/>
          <w:sz w:val="21"/>
          <w:szCs w:val="21"/>
          <w:u w:val="single"/>
          <w:lang w:eastAsia="zh-CN" w:bidi="ar"/>
        </w:rPr>
        <w:t xml:space="preserve"> </w:t>
      </w:r>
      <w:r>
        <w:rPr>
          <w:rFonts w:hint="eastAsia" w:ascii="宋体" w:hAnsi="宋体" w:eastAsia="宋体" w:cs="宋体"/>
          <w:b/>
          <w:bCs/>
          <w:i/>
          <w:iCs/>
          <w:color w:val="0000FF"/>
          <w:kern w:val="2"/>
          <w:sz w:val="21"/>
          <w:szCs w:val="21"/>
          <w:u w:val="single"/>
          <w:lang w:eastAsia="zh-CN" w:bidi="ar"/>
        </w:rPr>
        <w:t xml:space="preserve"> 建筑业</w:t>
      </w:r>
      <w:r>
        <w:rPr>
          <w:rFonts w:hint="eastAsia" w:ascii="宋体" w:hAnsi="宋体" w:eastAsia="宋体" w:cs="宋体"/>
          <w:b/>
          <w:bCs/>
          <w:i/>
          <w:iCs/>
          <w:kern w:val="2"/>
          <w:sz w:val="21"/>
          <w:szCs w:val="21"/>
          <w:u w:val="single"/>
          <w:lang w:eastAsia="zh-CN" w:bidi="ar"/>
        </w:rPr>
        <w:t xml:space="preserve">（采购文件中明确的所属行业）    </w:t>
      </w:r>
      <w:r>
        <w:rPr>
          <w:rFonts w:hint="eastAsia" w:ascii="宋体" w:hAnsi="宋体" w:eastAsia="宋体" w:cs="宋体"/>
          <w:kern w:val="2"/>
          <w:sz w:val="21"/>
          <w:szCs w:val="21"/>
          <w:lang w:eastAsia="zh-CN" w:bidi="ar"/>
        </w:rPr>
        <w:t>行业；承接企业为</w:t>
      </w:r>
      <w:r>
        <w:rPr>
          <w:rFonts w:hint="eastAsia" w:ascii="宋体" w:hAnsi="宋体" w:eastAsia="宋体" w:cs="宋体"/>
          <w:b/>
          <w:bCs/>
          <w:i/>
          <w:iCs/>
          <w:kern w:val="2"/>
          <w:sz w:val="21"/>
          <w:szCs w:val="21"/>
          <w:u w:val="single"/>
          <w:lang w:eastAsia="zh-CN" w:bidi="ar"/>
        </w:rPr>
        <w:t xml:space="preserve">       </w:t>
      </w:r>
      <w:r>
        <w:rPr>
          <w:rFonts w:hint="eastAsia" w:ascii="宋体" w:hAnsi="宋体" w:eastAsia="宋体" w:cs="宋体"/>
          <w:b/>
          <w:bCs/>
          <w:i/>
          <w:iCs/>
          <w:kern w:val="2"/>
          <w:sz w:val="21"/>
          <w:szCs w:val="21"/>
          <w:u w:val="single"/>
          <w:lang w:val="en-US" w:eastAsia="zh-CN" w:bidi="ar"/>
        </w:rPr>
        <w:t xml:space="preserve">      </w:t>
      </w:r>
      <w:r>
        <w:rPr>
          <w:rFonts w:hint="eastAsia" w:ascii="宋体" w:hAnsi="宋体" w:eastAsia="宋体" w:cs="宋体"/>
          <w:b/>
          <w:bCs/>
          <w:i/>
          <w:iCs/>
          <w:kern w:val="2"/>
          <w:sz w:val="21"/>
          <w:szCs w:val="21"/>
          <w:u w:val="single"/>
          <w:lang w:eastAsia="zh-CN" w:bidi="ar"/>
        </w:rPr>
        <w:t xml:space="preserve">     （企业名称，要求承接企业本身所属行业应当与招标文件要求的行业相一致）    </w:t>
      </w:r>
      <w:r>
        <w:rPr>
          <w:rFonts w:hint="eastAsia" w:ascii="宋体" w:hAnsi="宋体" w:eastAsia="宋体" w:cs="宋体"/>
          <w:kern w:val="2"/>
          <w:sz w:val="21"/>
          <w:szCs w:val="21"/>
          <w:lang w:eastAsia="zh-CN" w:bidi="ar"/>
        </w:rPr>
        <w:t>，从业人员</w:t>
      </w:r>
      <w:r>
        <w:rPr>
          <w:rFonts w:hint="eastAsia" w:ascii="宋体" w:hAnsi="宋体" w:eastAsia="宋体" w:cs="宋体"/>
          <w:b/>
          <w:bCs/>
          <w:i/>
          <w:iCs/>
          <w:kern w:val="2"/>
          <w:sz w:val="21"/>
          <w:szCs w:val="21"/>
          <w:u w:val="single"/>
          <w:lang w:eastAsia="zh-CN" w:bidi="ar"/>
        </w:rPr>
        <w:t xml:space="preserve">        </w:t>
      </w:r>
      <w:r>
        <w:rPr>
          <w:rFonts w:hint="eastAsia" w:ascii="宋体" w:hAnsi="宋体" w:eastAsia="宋体" w:cs="宋体"/>
          <w:kern w:val="2"/>
          <w:sz w:val="21"/>
          <w:szCs w:val="21"/>
          <w:lang w:eastAsia="zh-CN" w:bidi="ar"/>
        </w:rPr>
        <w:t>人，营业收入为</w:t>
      </w:r>
      <w:r>
        <w:rPr>
          <w:rFonts w:hint="eastAsia" w:ascii="宋体" w:hAnsi="宋体" w:eastAsia="宋体" w:cs="宋体"/>
          <w:b/>
          <w:bCs/>
          <w:i/>
          <w:iCs/>
          <w:kern w:val="2"/>
          <w:sz w:val="21"/>
          <w:szCs w:val="21"/>
          <w:u w:val="single"/>
          <w:lang w:eastAsia="zh-CN" w:bidi="ar"/>
        </w:rPr>
        <w:t xml:space="preserve">        </w:t>
      </w:r>
      <w:r>
        <w:rPr>
          <w:rFonts w:hint="eastAsia" w:ascii="宋体" w:hAnsi="宋体" w:eastAsia="宋体" w:cs="宋体"/>
          <w:kern w:val="2"/>
          <w:sz w:val="21"/>
          <w:szCs w:val="21"/>
          <w:lang w:eastAsia="zh-CN" w:bidi="ar"/>
        </w:rPr>
        <w:t>万元，资产总额为</w:t>
      </w:r>
      <w:r>
        <w:rPr>
          <w:rFonts w:hint="eastAsia" w:ascii="宋体" w:hAnsi="宋体" w:eastAsia="宋体" w:cs="宋体"/>
          <w:b/>
          <w:bCs/>
          <w:i/>
          <w:iCs/>
          <w:kern w:val="2"/>
          <w:sz w:val="21"/>
          <w:szCs w:val="21"/>
          <w:u w:val="single"/>
          <w:lang w:eastAsia="zh-CN" w:bidi="ar"/>
        </w:rPr>
        <w:t xml:space="preserve">        </w:t>
      </w:r>
      <w:r>
        <w:rPr>
          <w:rFonts w:hint="eastAsia" w:ascii="宋体" w:hAnsi="宋体" w:eastAsia="宋体" w:cs="宋体"/>
          <w:kern w:val="2"/>
          <w:sz w:val="21"/>
          <w:szCs w:val="21"/>
          <w:lang w:eastAsia="zh-CN" w:bidi="ar"/>
        </w:rPr>
        <w:t>万元，属于</w:t>
      </w:r>
      <w:r>
        <w:rPr>
          <w:rFonts w:hint="eastAsia" w:ascii="宋体" w:hAnsi="宋体" w:eastAsia="宋体" w:cs="宋体"/>
          <w:b/>
          <w:bCs/>
          <w:i/>
          <w:iCs/>
          <w:kern w:val="2"/>
          <w:sz w:val="21"/>
          <w:szCs w:val="21"/>
          <w:u w:val="single"/>
          <w:lang w:eastAsia="zh-CN" w:bidi="ar"/>
        </w:rPr>
        <w:t xml:space="preserve">    （中型企业、小型企业、微型企业）    </w:t>
      </w:r>
      <w:r>
        <w:rPr>
          <w:rFonts w:hint="eastAsia" w:ascii="宋体" w:hAnsi="宋体" w:eastAsia="宋体" w:cs="宋体"/>
          <w:kern w:val="2"/>
          <w:sz w:val="21"/>
          <w:szCs w:val="21"/>
          <w:lang w:eastAsia="zh-CN" w:bidi="ar"/>
        </w:rPr>
        <w:t>；</w:t>
      </w:r>
    </w:p>
    <w:p w14:paraId="76F60BB3">
      <w:pPr>
        <w:widowControl w:val="0"/>
        <w:spacing w:line="360" w:lineRule="auto"/>
        <w:ind w:firstLine="420" w:firstLineChars="200"/>
        <w:jc w:val="both"/>
        <w:outlineLvl w:val="3"/>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2.</w:t>
      </w:r>
      <w:r>
        <w:rPr>
          <w:rFonts w:hint="eastAsia" w:ascii="宋体" w:hAnsi="宋体" w:eastAsia="宋体" w:cs="宋体"/>
          <w:b/>
          <w:bCs/>
          <w:i/>
          <w:iCs/>
          <w:kern w:val="2"/>
          <w:sz w:val="21"/>
          <w:szCs w:val="21"/>
          <w:u w:val="single"/>
          <w:lang w:eastAsia="zh-CN" w:bidi="ar"/>
        </w:rPr>
        <w:t xml:space="preserve">    （标的名称）     </w:t>
      </w:r>
      <w:r>
        <w:rPr>
          <w:rFonts w:hint="eastAsia" w:ascii="宋体" w:hAnsi="宋体" w:eastAsia="宋体" w:cs="宋体"/>
          <w:kern w:val="2"/>
          <w:sz w:val="21"/>
          <w:szCs w:val="21"/>
          <w:lang w:eastAsia="zh-CN" w:bidi="ar"/>
        </w:rPr>
        <w:t>，属于</w:t>
      </w:r>
      <w:r>
        <w:rPr>
          <w:rFonts w:hint="eastAsia" w:ascii="宋体" w:hAnsi="宋体" w:eastAsia="宋体" w:cs="宋体"/>
          <w:b/>
          <w:bCs/>
          <w:i/>
          <w:iCs/>
          <w:kern w:val="2"/>
          <w:sz w:val="21"/>
          <w:szCs w:val="21"/>
          <w:u w:val="single"/>
          <w:lang w:eastAsia="zh-CN" w:bidi="ar"/>
        </w:rPr>
        <w:t xml:space="preserve">        （采购文件中明确的所属行业）    </w:t>
      </w:r>
      <w:r>
        <w:rPr>
          <w:rFonts w:hint="eastAsia" w:ascii="宋体" w:hAnsi="宋体" w:eastAsia="宋体" w:cs="宋体"/>
          <w:kern w:val="2"/>
          <w:sz w:val="21"/>
          <w:szCs w:val="21"/>
          <w:lang w:eastAsia="zh-CN" w:bidi="ar"/>
        </w:rPr>
        <w:t>行业；承接企业为</w:t>
      </w:r>
      <w:r>
        <w:rPr>
          <w:rFonts w:hint="eastAsia" w:ascii="宋体" w:hAnsi="宋体" w:eastAsia="宋体" w:cs="宋体"/>
          <w:b/>
          <w:bCs/>
          <w:i/>
          <w:iCs/>
          <w:kern w:val="2"/>
          <w:sz w:val="21"/>
          <w:szCs w:val="21"/>
          <w:u w:val="single"/>
          <w:lang w:eastAsia="zh-CN" w:bidi="ar"/>
        </w:rPr>
        <w:t xml:space="preserve">    （企业名称，要求承接企业本身所属行业应当与招标文件要求的行业相一致）    </w:t>
      </w:r>
      <w:r>
        <w:rPr>
          <w:rFonts w:hint="eastAsia" w:ascii="宋体" w:hAnsi="宋体" w:eastAsia="宋体" w:cs="宋体"/>
          <w:kern w:val="2"/>
          <w:sz w:val="21"/>
          <w:szCs w:val="21"/>
          <w:lang w:eastAsia="zh-CN" w:bidi="ar"/>
        </w:rPr>
        <w:t>，从业人员</w:t>
      </w:r>
      <w:r>
        <w:rPr>
          <w:rFonts w:hint="eastAsia" w:ascii="宋体" w:hAnsi="宋体" w:eastAsia="宋体" w:cs="宋体"/>
          <w:b/>
          <w:bCs/>
          <w:i/>
          <w:iCs/>
          <w:kern w:val="2"/>
          <w:sz w:val="21"/>
          <w:szCs w:val="21"/>
          <w:u w:val="single"/>
          <w:lang w:eastAsia="zh-CN" w:bidi="ar"/>
        </w:rPr>
        <w:t xml:space="preserve">        </w:t>
      </w:r>
      <w:r>
        <w:rPr>
          <w:rFonts w:hint="eastAsia" w:ascii="宋体" w:hAnsi="宋体" w:eastAsia="宋体" w:cs="宋体"/>
          <w:kern w:val="2"/>
          <w:sz w:val="21"/>
          <w:szCs w:val="21"/>
          <w:lang w:eastAsia="zh-CN" w:bidi="ar"/>
        </w:rPr>
        <w:t>人，营业收入为</w:t>
      </w:r>
      <w:r>
        <w:rPr>
          <w:rFonts w:hint="eastAsia" w:ascii="宋体" w:hAnsi="宋体" w:eastAsia="宋体" w:cs="宋体"/>
          <w:b/>
          <w:bCs/>
          <w:i/>
          <w:iCs/>
          <w:kern w:val="2"/>
          <w:sz w:val="21"/>
          <w:szCs w:val="21"/>
          <w:u w:val="single"/>
          <w:lang w:eastAsia="zh-CN" w:bidi="ar"/>
        </w:rPr>
        <w:t xml:space="preserve">        </w:t>
      </w:r>
      <w:r>
        <w:rPr>
          <w:rFonts w:hint="eastAsia" w:ascii="宋体" w:hAnsi="宋体" w:eastAsia="宋体" w:cs="宋体"/>
          <w:kern w:val="2"/>
          <w:sz w:val="21"/>
          <w:szCs w:val="21"/>
          <w:lang w:eastAsia="zh-CN" w:bidi="ar"/>
        </w:rPr>
        <w:t>万元，资产总额为</w:t>
      </w:r>
      <w:r>
        <w:rPr>
          <w:rFonts w:hint="eastAsia" w:ascii="宋体" w:hAnsi="宋体" w:eastAsia="宋体" w:cs="宋体"/>
          <w:b/>
          <w:bCs/>
          <w:i/>
          <w:iCs/>
          <w:kern w:val="2"/>
          <w:sz w:val="21"/>
          <w:szCs w:val="21"/>
          <w:u w:val="single"/>
          <w:lang w:eastAsia="zh-CN" w:bidi="ar"/>
        </w:rPr>
        <w:t xml:space="preserve">        </w:t>
      </w:r>
      <w:r>
        <w:rPr>
          <w:rFonts w:hint="eastAsia" w:ascii="宋体" w:hAnsi="宋体" w:eastAsia="宋体" w:cs="宋体"/>
          <w:kern w:val="2"/>
          <w:sz w:val="21"/>
          <w:szCs w:val="21"/>
          <w:lang w:eastAsia="zh-CN" w:bidi="ar"/>
        </w:rPr>
        <w:t>万元，属于</w:t>
      </w:r>
      <w:r>
        <w:rPr>
          <w:rFonts w:hint="eastAsia" w:ascii="宋体" w:hAnsi="宋体" w:eastAsia="宋体" w:cs="宋体"/>
          <w:b/>
          <w:bCs/>
          <w:i/>
          <w:iCs/>
          <w:kern w:val="2"/>
          <w:sz w:val="21"/>
          <w:szCs w:val="21"/>
          <w:u w:val="single"/>
          <w:lang w:eastAsia="zh-CN" w:bidi="ar"/>
        </w:rPr>
        <w:t xml:space="preserve">    （中型企业、小型企业、微型企业）    </w:t>
      </w:r>
      <w:r>
        <w:rPr>
          <w:rFonts w:hint="eastAsia" w:ascii="宋体" w:hAnsi="宋体" w:eastAsia="宋体" w:cs="宋体"/>
          <w:kern w:val="2"/>
          <w:sz w:val="21"/>
          <w:szCs w:val="21"/>
          <w:lang w:eastAsia="zh-CN" w:bidi="ar"/>
        </w:rPr>
        <w:t>；</w:t>
      </w:r>
    </w:p>
    <w:p w14:paraId="62F2EFEA">
      <w:pPr>
        <w:widowControl w:val="0"/>
        <w:spacing w:line="360" w:lineRule="auto"/>
        <w:ind w:firstLine="420" w:firstLineChars="200"/>
        <w:jc w:val="both"/>
        <w:outlineLvl w:val="3"/>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w:t>
      </w:r>
    </w:p>
    <w:p w14:paraId="3F7FBE4D">
      <w:pPr>
        <w:widowControl w:val="0"/>
        <w:spacing w:line="360" w:lineRule="auto"/>
        <w:ind w:firstLine="420" w:firstLineChars="200"/>
        <w:jc w:val="both"/>
        <w:outlineLvl w:val="3"/>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以上企业，不属于大企业的分支机构，不存在控股股东为大企业的情形，也不存在与大企业的负责人为同一人的情形。</w:t>
      </w:r>
    </w:p>
    <w:p w14:paraId="5F9444DB">
      <w:pPr>
        <w:widowControl w:val="0"/>
        <w:spacing w:line="360" w:lineRule="auto"/>
        <w:ind w:firstLine="420" w:firstLineChars="200"/>
        <w:jc w:val="both"/>
        <w:outlineLvl w:val="3"/>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本企业对上述声明内容的真实性负责。如有虚假，将依法承担相应责任。</w:t>
      </w:r>
    </w:p>
    <w:p w14:paraId="12B6F06E">
      <w:pPr>
        <w:widowControl w:val="0"/>
        <w:spacing w:line="360" w:lineRule="auto"/>
        <w:ind w:firstLine="420" w:firstLineChars="200"/>
        <w:jc w:val="both"/>
        <w:outlineLvl w:val="3"/>
        <w:rPr>
          <w:rFonts w:ascii="宋体" w:hAnsi="宋体" w:eastAsia="宋体" w:cs="宋体"/>
          <w:kern w:val="2"/>
          <w:sz w:val="21"/>
          <w:szCs w:val="21"/>
          <w:lang w:eastAsia="zh-CN" w:bidi="ar"/>
        </w:rPr>
      </w:pPr>
      <w:bookmarkStart w:id="38" w:name="_Hlk73562275"/>
      <w:r>
        <w:rPr>
          <w:rFonts w:hint="eastAsia" w:ascii="宋体" w:hAnsi="宋体" w:eastAsia="宋体" w:cs="宋体"/>
          <w:kern w:val="2"/>
          <w:sz w:val="21"/>
          <w:szCs w:val="21"/>
          <w:lang w:eastAsia="zh-CN" w:bidi="ar"/>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38"/>
    </w:p>
    <w:p w14:paraId="257C650F">
      <w:pPr>
        <w:widowControl w:val="0"/>
        <w:spacing w:line="360" w:lineRule="auto"/>
        <w:jc w:val="both"/>
        <w:rPr>
          <w:rFonts w:eastAsia="宋体"/>
          <w:b/>
          <w:bCs/>
          <w:kern w:val="2"/>
          <w:lang w:eastAsia="zh-CN"/>
        </w:rPr>
      </w:pPr>
    </w:p>
    <w:p w14:paraId="7DE20EB8">
      <w:pPr>
        <w:widowControl w:val="0"/>
        <w:ind w:firstLine="420" w:firstLineChars="200"/>
        <w:jc w:val="both"/>
        <w:rPr>
          <w:rFonts w:eastAsia="宋体"/>
          <w:kern w:val="2"/>
          <w:sz w:val="21"/>
          <w:lang w:eastAsia="zh-CN"/>
        </w:rPr>
      </w:pPr>
    </w:p>
    <w:p w14:paraId="0E908426">
      <w:pPr>
        <w:widowControl w:val="0"/>
        <w:jc w:val="center"/>
        <w:outlineLvl w:val="3"/>
        <w:rPr>
          <w:rFonts w:eastAsia="宋体"/>
          <w:b/>
          <w:kern w:val="2"/>
          <w:lang w:eastAsia="zh-CN"/>
        </w:rPr>
      </w:pPr>
      <w:r>
        <w:rPr>
          <w:rFonts w:eastAsia="宋体"/>
          <w:b/>
          <w:kern w:val="2"/>
          <w:lang w:eastAsia="zh-CN" w:bidi="ar"/>
        </w:rPr>
        <w:t>2</w:t>
      </w:r>
      <w:r>
        <w:rPr>
          <w:rFonts w:hint="eastAsia" w:eastAsia="宋体" w:cs="宋体"/>
          <w:b/>
          <w:kern w:val="2"/>
          <w:lang w:eastAsia="zh-CN" w:bidi="ar"/>
        </w:rPr>
        <w:t>、残疾人福利性单位声明函（服务类）</w:t>
      </w:r>
    </w:p>
    <w:p w14:paraId="53F98487">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b/>
          <w:bCs/>
          <w:i/>
          <w:iCs/>
          <w:color w:val="0000FF"/>
          <w:kern w:val="2"/>
          <w:sz w:val="21"/>
          <w:szCs w:val="21"/>
          <w:u w:val="single"/>
          <w:lang w:eastAsia="zh-CN" w:bidi="ar"/>
        </w:rPr>
        <w:t>深圳市急救中心</w:t>
      </w:r>
      <w:r>
        <w:rPr>
          <w:rFonts w:hint="eastAsia" w:ascii="宋体" w:hAnsi="宋体" w:eastAsia="宋体" w:cs="宋体"/>
          <w:b/>
          <w:bCs/>
          <w:i/>
          <w:iCs/>
          <w:kern w:val="2"/>
          <w:sz w:val="21"/>
          <w:szCs w:val="21"/>
          <w:u w:val="single"/>
          <w:lang w:eastAsia="zh-CN" w:bidi="ar"/>
        </w:rPr>
        <w:t xml:space="preserve">（单位名称）    </w:t>
      </w:r>
      <w:r>
        <w:rPr>
          <w:rFonts w:hint="eastAsia" w:ascii="宋体" w:hAnsi="宋体" w:eastAsia="宋体" w:cs="宋体"/>
          <w:kern w:val="2"/>
          <w:sz w:val="21"/>
          <w:szCs w:val="21"/>
          <w:lang w:eastAsia="zh-CN" w:bidi="ar"/>
        </w:rPr>
        <w:t>单位的</w:t>
      </w:r>
      <w:r>
        <w:rPr>
          <w:rFonts w:hint="eastAsia" w:ascii="宋体" w:hAnsi="宋体" w:eastAsia="宋体" w:cs="宋体"/>
          <w:b/>
          <w:bCs/>
          <w:i/>
          <w:iCs/>
          <w:kern w:val="2"/>
          <w:sz w:val="21"/>
          <w:szCs w:val="21"/>
          <w:u w:val="single"/>
          <w:lang w:eastAsia="zh-CN" w:bidi="ar"/>
        </w:rPr>
        <w:t xml:space="preserve">    （项目名称）    </w:t>
      </w:r>
      <w:r>
        <w:rPr>
          <w:rFonts w:hint="eastAsia" w:ascii="宋体" w:hAnsi="宋体" w:eastAsia="宋体" w:cs="宋体"/>
          <w:kern w:val="2"/>
          <w:sz w:val="21"/>
          <w:szCs w:val="21"/>
          <w:lang w:eastAsia="zh-CN" w:bidi="ar"/>
        </w:rPr>
        <w:t>项目采购活动由本单位提供服务。</w:t>
      </w:r>
    </w:p>
    <w:p w14:paraId="2CFA1FB7">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本单位对上述声明的真实性负责。如有虚假，将依法承担相应责任。</w:t>
      </w:r>
    </w:p>
    <w:p w14:paraId="3FB3C36B">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本投标人已知悉《财政部民政部中国残疾人联合会关于促进残疾人就业政府采购政策的通知》（财库〔2017〕141号）的规定，承诺提供的声明函内容是真实的，如提供声明函内容不实，则依法追究相关法律责任。</w:t>
      </w:r>
    </w:p>
    <w:p w14:paraId="35BFBF25">
      <w:pPr>
        <w:widowControl w:val="0"/>
        <w:jc w:val="both"/>
        <w:rPr>
          <w:rFonts w:ascii="宋体" w:hAnsi="宋体" w:eastAsia="宋体" w:cs="宋体"/>
          <w:kern w:val="2"/>
          <w:sz w:val="21"/>
          <w:szCs w:val="21"/>
          <w:lang w:eastAsia="zh-CN"/>
        </w:rPr>
      </w:pPr>
    </w:p>
    <w:p w14:paraId="3C936AA5">
      <w:pPr>
        <w:widowControl w:val="0"/>
        <w:ind w:firstLine="420" w:firstLineChars="200"/>
        <w:jc w:val="both"/>
        <w:rPr>
          <w:rFonts w:ascii="宋体" w:hAnsi="宋体" w:eastAsia="宋体" w:cs="宋体"/>
          <w:kern w:val="2"/>
          <w:sz w:val="21"/>
          <w:szCs w:val="21"/>
          <w:lang w:eastAsia="zh-CN"/>
        </w:rPr>
      </w:pPr>
    </w:p>
    <w:p w14:paraId="1733D9C1">
      <w:pPr>
        <w:widowControl w:val="0"/>
        <w:jc w:val="center"/>
        <w:outlineLvl w:val="3"/>
        <w:rPr>
          <w:rFonts w:eastAsia="宋体"/>
          <w:b/>
          <w:kern w:val="2"/>
          <w:lang w:eastAsia="zh-CN"/>
        </w:rPr>
      </w:pPr>
      <w:r>
        <w:rPr>
          <w:rFonts w:eastAsia="宋体"/>
          <w:b/>
          <w:kern w:val="2"/>
          <w:lang w:eastAsia="zh-CN" w:bidi="ar"/>
        </w:rPr>
        <w:t>3</w:t>
      </w:r>
      <w:r>
        <w:rPr>
          <w:rFonts w:hint="eastAsia" w:eastAsia="宋体" w:cs="宋体"/>
          <w:b/>
          <w:kern w:val="2"/>
          <w:lang w:eastAsia="zh-CN" w:bidi="ar"/>
        </w:rPr>
        <w:t>、监狱企业声明函【服务类，监狱企业如需享受优惠政策，还须另行提供省级以上监狱管理局、戒毒管理局（含新疆生产建设兵团）出具的监狱企业证明文件】</w:t>
      </w:r>
    </w:p>
    <w:p w14:paraId="6BE73FD9">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本投标人郑重声明，根据《财政部司法部关于政府采购支持监狱企业发展有关问题的通知》（财库〔2014〕68号）的规定，本投标人</w:t>
      </w:r>
      <w:r>
        <w:rPr>
          <w:rFonts w:hint="eastAsia" w:ascii="宋体" w:hAnsi="宋体" w:eastAsia="宋体"/>
          <w:kern w:val="2"/>
          <w:sz w:val="21"/>
          <w:szCs w:val="21"/>
          <w:lang w:eastAsia="zh-CN" w:bidi="ar"/>
        </w:rPr>
        <w:t>参加</w:t>
      </w:r>
      <w:r>
        <w:rPr>
          <w:rFonts w:hint="eastAsia" w:ascii="宋体" w:hAnsi="宋体" w:eastAsia="宋体" w:cs="宋体"/>
          <w:b/>
          <w:bCs/>
          <w:i/>
          <w:iCs/>
          <w:color w:val="0000FF"/>
          <w:kern w:val="2"/>
          <w:sz w:val="21"/>
          <w:szCs w:val="21"/>
          <w:u w:val="single"/>
          <w:lang w:eastAsia="zh-CN" w:bidi="ar"/>
        </w:rPr>
        <w:t>深圳市急救中心</w:t>
      </w:r>
      <w:r>
        <w:rPr>
          <w:rFonts w:hint="eastAsia" w:ascii="宋体" w:hAnsi="宋体" w:eastAsia="宋体" w:cs="宋体"/>
          <w:b/>
          <w:bCs/>
          <w:kern w:val="2"/>
          <w:sz w:val="21"/>
          <w:szCs w:val="21"/>
          <w:u w:val="single"/>
          <w:lang w:eastAsia="zh-CN" w:bidi="ar"/>
        </w:rPr>
        <w:t>（采购人名称）</w:t>
      </w:r>
      <w:r>
        <w:rPr>
          <w:rFonts w:hint="eastAsia" w:ascii="宋体" w:hAnsi="宋体" w:eastAsia="宋体" w:cs="宋体"/>
          <w:kern w:val="2"/>
          <w:sz w:val="21"/>
          <w:szCs w:val="21"/>
          <w:lang w:eastAsia="zh-CN" w:bidi="ar"/>
        </w:rPr>
        <w:t>的</w:t>
      </w:r>
      <w:r>
        <w:rPr>
          <w:rFonts w:hint="eastAsia" w:ascii="宋体" w:hAnsi="宋体" w:eastAsia="宋体" w:cs="宋体"/>
          <w:b/>
          <w:bCs/>
          <w:kern w:val="2"/>
          <w:sz w:val="21"/>
          <w:szCs w:val="21"/>
          <w:u w:val="single"/>
          <w:lang w:eastAsia="zh-CN" w:bidi="ar"/>
        </w:rPr>
        <w:t>（项目名称）</w:t>
      </w:r>
      <w:r>
        <w:rPr>
          <w:rFonts w:hint="eastAsia" w:ascii="宋体" w:hAnsi="宋体" w:eastAsia="宋体" w:cs="宋体"/>
          <w:kern w:val="2"/>
          <w:sz w:val="21"/>
          <w:szCs w:val="21"/>
          <w:lang w:eastAsia="zh-CN" w:bidi="ar"/>
        </w:rPr>
        <w:t>采购活动，服务全部由符合政策要求的监狱企业承接。相关监狱企业的具体情况如下：</w:t>
      </w:r>
    </w:p>
    <w:p w14:paraId="4827AECF">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1.</w:t>
      </w:r>
      <w:r>
        <w:rPr>
          <w:rFonts w:hint="eastAsia" w:ascii="宋体" w:hAnsi="宋体" w:eastAsia="宋体" w:cs="宋体"/>
          <w:b/>
          <w:bCs/>
          <w:kern w:val="2"/>
          <w:sz w:val="21"/>
          <w:szCs w:val="21"/>
          <w:u w:val="single"/>
          <w:lang w:eastAsia="zh-CN" w:bidi="ar"/>
        </w:rPr>
        <w:t xml:space="preserve"> </w:t>
      </w:r>
      <w:r>
        <w:rPr>
          <w:rFonts w:hint="eastAsia" w:ascii="宋体" w:hAnsi="宋体" w:eastAsia="宋体" w:cs="宋体"/>
          <w:b/>
          <w:bCs/>
          <w:i/>
          <w:iCs/>
          <w:kern w:val="2"/>
          <w:sz w:val="21"/>
          <w:szCs w:val="21"/>
          <w:u w:val="single"/>
          <w:lang w:eastAsia="zh-CN" w:bidi="ar"/>
        </w:rPr>
        <w:t>（标的名称</w:t>
      </w:r>
      <w:r>
        <w:rPr>
          <w:rFonts w:hint="eastAsia" w:ascii="宋体" w:hAnsi="宋体" w:eastAsia="宋体" w:cs="宋体"/>
          <w:b/>
          <w:bCs/>
          <w:kern w:val="2"/>
          <w:sz w:val="21"/>
          <w:szCs w:val="21"/>
          <w:u w:val="single"/>
          <w:lang w:eastAsia="zh-CN" w:bidi="ar"/>
        </w:rPr>
        <w:t>）</w:t>
      </w:r>
      <w:r>
        <w:rPr>
          <w:rFonts w:hint="eastAsia" w:ascii="宋体" w:hAnsi="宋体" w:eastAsia="宋体" w:cs="宋体"/>
          <w:kern w:val="2"/>
          <w:sz w:val="21"/>
          <w:szCs w:val="21"/>
          <w:lang w:eastAsia="zh-CN" w:bidi="ar"/>
        </w:rPr>
        <w:t xml:space="preserve"> ，承接单位为</w:t>
      </w:r>
      <w:r>
        <w:rPr>
          <w:rFonts w:hint="eastAsia" w:ascii="宋体" w:hAnsi="宋体" w:eastAsia="宋体" w:cs="宋体"/>
          <w:b/>
          <w:bCs/>
          <w:i/>
          <w:iCs/>
          <w:kern w:val="2"/>
          <w:sz w:val="21"/>
          <w:szCs w:val="21"/>
          <w:u w:val="single"/>
          <w:lang w:eastAsia="zh-CN" w:bidi="ar"/>
        </w:rPr>
        <w:t>（企业名称）</w:t>
      </w:r>
      <w:r>
        <w:rPr>
          <w:rFonts w:hint="eastAsia" w:ascii="宋体" w:hAnsi="宋体" w:eastAsia="宋体" w:cs="宋体"/>
          <w:kern w:val="2"/>
          <w:sz w:val="21"/>
          <w:szCs w:val="21"/>
          <w:lang w:eastAsia="zh-CN" w:bidi="ar"/>
        </w:rPr>
        <w:t>，属于</w:t>
      </w:r>
      <w:r>
        <w:rPr>
          <w:rFonts w:hint="eastAsia" w:ascii="宋体" w:hAnsi="宋体" w:eastAsia="宋体" w:cs="宋体"/>
          <w:b/>
          <w:bCs/>
          <w:i/>
          <w:iCs/>
          <w:kern w:val="2"/>
          <w:sz w:val="21"/>
          <w:szCs w:val="21"/>
          <w:u w:val="single"/>
          <w:lang w:eastAsia="zh-CN" w:bidi="ar"/>
        </w:rPr>
        <w:t>监狱企业</w:t>
      </w:r>
      <w:r>
        <w:rPr>
          <w:rFonts w:hint="eastAsia" w:ascii="宋体" w:hAnsi="宋体" w:eastAsia="宋体" w:cs="宋体"/>
          <w:kern w:val="2"/>
          <w:sz w:val="21"/>
          <w:szCs w:val="21"/>
          <w:lang w:eastAsia="zh-CN" w:bidi="ar"/>
        </w:rPr>
        <w:t>；</w:t>
      </w:r>
    </w:p>
    <w:p w14:paraId="66B4EF62">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2.</w:t>
      </w:r>
      <w:r>
        <w:rPr>
          <w:rFonts w:hint="eastAsia" w:ascii="宋体" w:hAnsi="宋体" w:eastAsia="宋体" w:cs="宋体"/>
          <w:b/>
          <w:bCs/>
          <w:kern w:val="2"/>
          <w:sz w:val="21"/>
          <w:szCs w:val="21"/>
          <w:u w:val="single"/>
          <w:lang w:eastAsia="zh-CN" w:bidi="ar"/>
        </w:rPr>
        <w:t xml:space="preserve"> </w:t>
      </w:r>
      <w:r>
        <w:rPr>
          <w:rFonts w:hint="eastAsia" w:ascii="宋体" w:hAnsi="宋体" w:eastAsia="宋体" w:cs="宋体"/>
          <w:b/>
          <w:bCs/>
          <w:i/>
          <w:iCs/>
          <w:kern w:val="2"/>
          <w:sz w:val="21"/>
          <w:szCs w:val="21"/>
          <w:u w:val="single"/>
          <w:lang w:eastAsia="zh-CN" w:bidi="ar"/>
        </w:rPr>
        <w:t>（标的名称）</w:t>
      </w:r>
      <w:r>
        <w:rPr>
          <w:rFonts w:hint="eastAsia" w:ascii="宋体" w:hAnsi="宋体" w:eastAsia="宋体" w:cs="宋体"/>
          <w:i/>
          <w:iCs/>
          <w:kern w:val="2"/>
          <w:sz w:val="21"/>
          <w:szCs w:val="21"/>
          <w:lang w:eastAsia="zh-CN" w:bidi="ar"/>
        </w:rPr>
        <w:t xml:space="preserve"> </w:t>
      </w:r>
      <w:r>
        <w:rPr>
          <w:rFonts w:hint="eastAsia" w:ascii="宋体" w:hAnsi="宋体" w:eastAsia="宋体" w:cs="宋体"/>
          <w:kern w:val="2"/>
          <w:sz w:val="21"/>
          <w:szCs w:val="21"/>
          <w:lang w:eastAsia="zh-CN" w:bidi="ar"/>
        </w:rPr>
        <w:t>，承接单位为</w:t>
      </w:r>
      <w:r>
        <w:rPr>
          <w:rFonts w:hint="eastAsia" w:ascii="宋体" w:hAnsi="宋体" w:eastAsia="宋体" w:cs="宋体"/>
          <w:b/>
          <w:bCs/>
          <w:i/>
          <w:iCs/>
          <w:kern w:val="2"/>
          <w:sz w:val="21"/>
          <w:szCs w:val="21"/>
          <w:u w:val="single"/>
          <w:lang w:eastAsia="zh-CN" w:bidi="ar"/>
        </w:rPr>
        <w:t>（企业名称）</w:t>
      </w:r>
      <w:r>
        <w:rPr>
          <w:rFonts w:hint="eastAsia" w:ascii="宋体" w:hAnsi="宋体" w:eastAsia="宋体" w:cs="宋体"/>
          <w:kern w:val="2"/>
          <w:sz w:val="21"/>
          <w:szCs w:val="21"/>
          <w:lang w:eastAsia="zh-CN" w:bidi="ar"/>
        </w:rPr>
        <w:t>，属于</w:t>
      </w:r>
      <w:r>
        <w:rPr>
          <w:rFonts w:hint="eastAsia" w:ascii="宋体" w:hAnsi="宋体" w:eastAsia="宋体" w:cs="宋体"/>
          <w:b/>
          <w:bCs/>
          <w:i/>
          <w:iCs/>
          <w:kern w:val="2"/>
          <w:sz w:val="21"/>
          <w:szCs w:val="21"/>
          <w:u w:val="single"/>
          <w:lang w:eastAsia="zh-CN" w:bidi="ar"/>
        </w:rPr>
        <w:t>监狱企业</w:t>
      </w:r>
      <w:r>
        <w:rPr>
          <w:rFonts w:hint="eastAsia" w:ascii="宋体" w:hAnsi="宋体" w:eastAsia="宋体" w:cs="宋体"/>
          <w:kern w:val="2"/>
          <w:sz w:val="21"/>
          <w:szCs w:val="21"/>
          <w:lang w:eastAsia="zh-CN" w:bidi="ar"/>
        </w:rPr>
        <w:t>。</w:t>
      </w:r>
    </w:p>
    <w:p w14:paraId="0A622D2E">
      <w:pPr>
        <w:widowControl w:val="0"/>
        <w:ind w:firstLine="420" w:firstLineChars="200"/>
        <w:jc w:val="both"/>
        <w:outlineLvl w:val="3"/>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 xml:space="preserve">…… </w:t>
      </w:r>
    </w:p>
    <w:p w14:paraId="5E48F3E5">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kern w:val="2"/>
          <w:sz w:val="21"/>
          <w:szCs w:val="21"/>
          <w:lang w:eastAsia="zh-CN" w:bidi="ar"/>
        </w:rPr>
        <w:t>本投标人</w:t>
      </w:r>
      <w:r>
        <w:rPr>
          <w:rFonts w:hint="eastAsia" w:ascii="宋体" w:hAnsi="宋体" w:eastAsia="宋体" w:cs="宋体"/>
          <w:kern w:val="2"/>
          <w:sz w:val="21"/>
          <w:szCs w:val="21"/>
          <w:lang w:eastAsia="zh-CN" w:bidi="ar"/>
        </w:rPr>
        <w:t>对上述声明内容的真实性负责。如有虚假，将依法承担相应责任。</w:t>
      </w:r>
    </w:p>
    <w:p w14:paraId="59B447C3">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附：省级以上监狱管理局、戒毒管理局（含新疆生产建设兵团）出具的监狱企业证明文件。</w:t>
      </w:r>
    </w:p>
    <w:p w14:paraId="5E409141">
      <w:pPr>
        <w:widowControl w:val="0"/>
        <w:jc w:val="center"/>
        <w:rPr>
          <w:rFonts w:ascii="宋体" w:hAnsi="宋体" w:eastAsia="宋体"/>
          <w:b/>
          <w:bCs/>
          <w:kern w:val="2"/>
          <w:sz w:val="28"/>
          <w:szCs w:val="32"/>
          <w:lang w:eastAsia="zh-CN"/>
        </w:rPr>
      </w:pPr>
      <w:r>
        <w:rPr>
          <w:rFonts w:hint="eastAsia" w:ascii="黑体" w:eastAsia="黑体"/>
          <w:kern w:val="2"/>
          <w:lang w:eastAsia="zh-CN"/>
        </w:rPr>
        <w:br w:type="page"/>
      </w:r>
      <w:r>
        <w:rPr>
          <w:rFonts w:hint="eastAsia" w:ascii="黑体" w:hAnsi="宋体" w:eastAsia="黑体"/>
          <w:bCs/>
          <w:kern w:val="2"/>
          <w:lang w:eastAsia="zh-CN"/>
        </w:rPr>
        <w:t>四、项目详细报价</w:t>
      </w:r>
    </w:p>
    <w:p w14:paraId="73B4B501">
      <w:pPr>
        <w:widowControl w:val="0"/>
        <w:spacing w:line="360" w:lineRule="auto"/>
        <w:jc w:val="center"/>
        <w:rPr>
          <w:rFonts w:eastAsia="宋体"/>
          <w:kern w:val="2"/>
          <w:lang w:eastAsia="zh-CN"/>
        </w:rPr>
      </w:pPr>
      <w:r>
        <w:rPr>
          <w:rFonts w:hint="eastAsia" w:eastAsia="宋体"/>
          <w:b/>
          <w:bCs/>
          <w:kern w:val="2"/>
          <w:lang w:eastAsia="zh-CN"/>
        </w:rPr>
        <w:t>（一）</w:t>
      </w:r>
      <w:r>
        <w:rPr>
          <w:rFonts w:hint="eastAsia" w:eastAsia="宋体"/>
          <w:b/>
          <w:kern w:val="2"/>
          <w:lang w:eastAsia="zh-CN"/>
        </w:rPr>
        <w:t>分项报价表</w:t>
      </w:r>
    </w:p>
    <w:tbl>
      <w:tblPr>
        <w:tblStyle w:val="13"/>
        <w:tblW w:w="5000"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14"/>
        <w:gridCol w:w="3739"/>
        <w:gridCol w:w="1451"/>
      </w:tblGrid>
      <w:tr w14:paraId="65C7937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4065" w:type="dxa"/>
            <w:tcBorders>
              <w:top w:val="double" w:color="auto" w:sz="4" w:space="0"/>
              <w:bottom w:val="single" w:color="auto" w:sz="4" w:space="0"/>
            </w:tcBorders>
            <w:vAlign w:val="center"/>
          </w:tcPr>
          <w:p w14:paraId="50092F62">
            <w:pPr>
              <w:keepNext w:val="0"/>
              <w:keepLines w:val="0"/>
              <w:widowControl/>
              <w:suppressLineNumbers w:val="0"/>
              <w:adjustRightInd w:val="0"/>
              <w:snapToGrid w:val="0"/>
              <w:spacing w:before="0" w:beforeAutospacing="0" w:after="0" w:afterAutospacing="0" w:line="300" w:lineRule="auto"/>
              <w:ind w:left="0" w:right="0"/>
              <w:jc w:val="center"/>
              <w:rPr>
                <w:rFonts w:ascii="宋体" w:hAnsi="宋体" w:eastAsia="宋体"/>
                <w:snapToGrid w:val="0"/>
                <w:szCs w:val="21"/>
                <w:lang w:eastAsia="zh-CN"/>
              </w:rPr>
            </w:pPr>
            <w:r>
              <w:rPr>
                <w:rFonts w:hint="eastAsia" w:ascii="宋体" w:hAnsi="宋体" w:eastAsia="宋体"/>
                <w:snapToGrid w:val="0"/>
                <w:szCs w:val="21"/>
                <w:lang w:eastAsia="zh-CN"/>
              </w:rPr>
              <w:t>项目名称</w:t>
            </w:r>
          </w:p>
        </w:tc>
        <w:tc>
          <w:tcPr>
            <w:tcW w:w="3986" w:type="dxa"/>
            <w:tcBorders>
              <w:top w:val="double" w:color="auto" w:sz="4" w:space="0"/>
              <w:bottom w:val="single" w:color="auto" w:sz="4" w:space="0"/>
            </w:tcBorders>
            <w:vAlign w:val="center"/>
          </w:tcPr>
          <w:p w14:paraId="6BFA072D">
            <w:pPr>
              <w:keepNext w:val="0"/>
              <w:keepLines w:val="0"/>
              <w:widowControl/>
              <w:suppressLineNumbers w:val="0"/>
              <w:adjustRightInd w:val="0"/>
              <w:snapToGrid w:val="0"/>
              <w:spacing w:before="0" w:beforeAutospacing="0" w:after="0" w:afterAutospacing="0" w:line="300" w:lineRule="auto"/>
              <w:ind w:left="0" w:right="0"/>
              <w:jc w:val="center"/>
              <w:rPr>
                <w:rFonts w:ascii="宋体" w:hAnsi="宋体" w:eastAsia="宋体"/>
                <w:snapToGrid w:val="0"/>
                <w:szCs w:val="21"/>
                <w:lang w:eastAsia="zh-CN"/>
              </w:rPr>
            </w:pPr>
            <w:r>
              <w:rPr>
                <w:rFonts w:hint="eastAsia" w:ascii="宋体" w:hAnsi="宋体" w:eastAsia="宋体"/>
                <w:snapToGrid w:val="0"/>
                <w:szCs w:val="21"/>
                <w:lang w:eastAsia="zh-CN"/>
              </w:rPr>
              <w:t>投标报价（元）</w:t>
            </w:r>
          </w:p>
        </w:tc>
        <w:tc>
          <w:tcPr>
            <w:tcW w:w="1537" w:type="dxa"/>
            <w:tcBorders>
              <w:top w:val="double" w:color="auto" w:sz="4" w:space="0"/>
              <w:bottom w:val="single" w:color="auto" w:sz="4" w:space="0"/>
            </w:tcBorders>
            <w:vAlign w:val="center"/>
          </w:tcPr>
          <w:p w14:paraId="661A93FA">
            <w:pPr>
              <w:keepNext w:val="0"/>
              <w:keepLines w:val="0"/>
              <w:widowControl/>
              <w:suppressLineNumbers w:val="0"/>
              <w:adjustRightInd w:val="0"/>
              <w:snapToGrid w:val="0"/>
              <w:spacing w:before="0" w:beforeAutospacing="0" w:after="0" w:afterAutospacing="0" w:line="300" w:lineRule="auto"/>
              <w:ind w:left="0" w:right="0"/>
              <w:jc w:val="center"/>
              <w:rPr>
                <w:rFonts w:ascii="宋体" w:hAnsi="宋体" w:eastAsia="宋体"/>
                <w:snapToGrid w:val="0"/>
                <w:szCs w:val="21"/>
                <w:lang w:eastAsia="zh-CN"/>
              </w:rPr>
            </w:pPr>
            <w:r>
              <w:rPr>
                <w:rFonts w:hint="eastAsia" w:ascii="宋体" w:hAnsi="宋体" w:eastAsia="宋体"/>
                <w:snapToGrid w:val="0"/>
                <w:szCs w:val="21"/>
                <w:lang w:eastAsia="zh-CN"/>
              </w:rPr>
              <w:t>备注</w:t>
            </w:r>
          </w:p>
        </w:tc>
      </w:tr>
      <w:tr w14:paraId="18490A5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4065" w:type="dxa"/>
            <w:tcBorders>
              <w:top w:val="single" w:color="auto" w:sz="4" w:space="0"/>
            </w:tcBorders>
            <w:vAlign w:val="center"/>
          </w:tcPr>
          <w:p w14:paraId="1259A70C">
            <w:pPr>
              <w:keepNext w:val="0"/>
              <w:keepLines w:val="0"/>
              <w:widowControl/>
              <w:suppressLineNumbers w:val="0"/>
              <w:adjustRightInd w:val="0"/>
              <w:snapToGrid w:val="0"/>
              <w:spacing w:before="0" w:beforeAutospacing="0" w:after="0" w:afterAutospacing="0" w:line="300" w:lineRule="auto"/>
              <w:ind w:left="0" w:right="0"/>
              <w:jc w:val="center"/>
              <w:rPr>
                <w:rFonts w:ascii="宋体" w:hAnsi="宋体" w:eastAsia="宋体"/>
                <w:snapToGrid w:val="0"/>
                <w:szCs w:val="21"/>
                <w:u w:val="single"/>
                <w:lang w:eastAsia="zh-CN"/>
              </w:rPr>
            </w:pPr>
            <w:r>
              <w:rPr>
                <w:rFonts w:ascii="宋体" w:hAnsi="宋体" w:eastAsia="宋体"/>
                <w:snapToGrid w:val="0"/>
                <w:szCs w:val="21"/>
                <w:lang w:eastAsia="zh-CN"/>
              </w:rPr>
              <w:t>市急救中心综合楼及园区公共部分气体消防设备检测维护项目</w:t>
            </w:r>
          </w:p>
        </w:tc>
        <w:tc>
          <w:tcPr>
            <w:tcW w:w="3986" w:type="dxa"/>
            <w:tcBorders>
              <w:top w:val="single" w:color="auto" w:sz="4" w:space="0"/>
            </w:tcBorders>
            <w:vAlign w:val="center"/>
          </w:tcPr>
          <w:p w14:paraId="2B5D863E">
            <w:pPr>
              <w:keepNext w:val="0"/>
              <w:keepLines w:val="0"/>
              <w:widowControl/>
              <w:suppressLineNumbers w:val="0"/>
              <w:adjustRightInd w:val="0"/>
              <w:snapToGrid w:val="0"/>
              <w:spacing w:before="0" w:beforeAutospacing="0" w:after="0" w:afterAutospacing="0" w:line="300" w:lineRule="auto"/>
              <w:ind w:left="0" w:right="0"/>
              <w:jc w:val="left"/>
              <w:rPr>
                <w:rFonts w:ascii="宋体" w:hAnsi="宋体" w:eastAsia="宋体"/>
                <w:snapToGrid w:val="0"/>
                <w:szCs w:val="21"/>
                <w:lang w:eastAsia="zh-CN"/>
              </w:rPr>
            </w:pPr>
            <w:r>
              <w:rPr>
                <w:rFonts w:hint="eastAsia" w:ascii="宋体" w:hAnsi="宋体" w:eastAsia="宋体"/>
                <w:snapToGrid w:val="0"/>
                <w:szCs w:val="21"/>
                <w:lang w:eastAsia="zh-CN"/>
              </w:rPr>
              <w:t>大写：</w:t>
            </w:r>
          </w:p>
          <w:p w14:paraId="5229D13B">
            <w:pPr>
              <w:keepNext w:val="0"/>
              <w:keepLines w:val="0"/>
              <w:widowControl/>
              <w:suppressLineNumbers w:val="0"/>
              <w:adjustRightInd w:val="0"/>
              <w:snapToGrid w:val="0"/>
              <w:spacing w:before="0" w:beforeAutospacing="0" w:after="0" w:afterAutospacing="0" w:line="300" w:lineRule="auto"/>
              <w:ind w:left="0" w:right="0"/>
              <w:jc w:val="left"/>
              <w:rPr>
                <w:rFonts w:eastAsia="宋体"/>
                <w:kern w:val="2"/>
                <w:sz w:val="21"/>
                <w:lang w:eastAsia="zh-CN"/>
              </w:rPr>
            </w:pPr>
            <w:r>
              <w:rPr>
                <w:rFonts w:hint="eastAsia" w:ascii="宋体" w:hAnsi="宋体" w:eastAsia="宋体"/>
                <w:snapToGrid w:val="0"/>
                <w:szCs w:val="21"/>
                <w:lang w:eastAsia="zh-CN"/>
              </w:rPr>
              <w:t>小写：</w:t>
            </w:r>
          </w:p>
        </w:tc>
        <w:tc>
          <w:tcPr>
            <w:tcW w:w="1537" w:type="dxa"/>
            <w:tcBorders>
              <w:top w:val="single" w:color="auto" w:sz="4" w:space="0"/>
            </w:tcBorders>
            <w:vAlign w:val="center"/>
          </w:tcPr>
          <w:p w14:paraId="239DE27D">
            <w:pPr>
              <w:keepNext w:val="0"/>
              <w:keepLines w:val="0"/>
              <w:widowControl/>
              <w:suppressLineNumbers w:val="0"/>
              <w:adjustRightInd w:val="0"/>
              <w:snapToGrid w:val="0"/>
              <w:spacing w:before="0" w:beforeAutospacing="0" w:after="0" w:afterAutospacing="0" w:line="300" w:lineRule="auto"/>
              <w:ind w:left="0" w:right="0"/>
              <w:jc w:val="center"/>
              <w:rPr>
                <w:rFonts w:ascii="宋体" w:hAnsi="宋体" w:eastAsia="宋体"/>
                <w:snapToGrid w:val="0"/>
                <w:szCs w:val="21"/>
                <w:lang w:eastAsia="zh-CN"/>
              </w:rPr>
            </w:pPr>
          </w:p>
        </w:tc>
      </w:tr>
    </w:tbl>
    <w:p w14:paraId="3558FCDA">
      <w:pPr>
        <w:widowControl w:val="0"/>
        <w:ind w:left="691" w:leftChars="200" w:hanging="211" w:hangingChars="100"/>
        <w:jc w:val="both"/>
        <w:rPr>
          <w:rFonts w:ascii="宋体" w:hAnsi="宋体" w:eastAsia="宋体"/>
          <w:color w:val="0000FF"/>
          <w:sz w:val="21"/>
          <w:szCs w:val="21"/>
          <w:lang w:eastAsia="zh-CN"/>
        </w:rPr>
      </w:pPr>
      <w:r>
        <w:rPr>
          <w:rFonts w:hint="eastAsia" w:eastAsia="宋体"/>
          <w:b/>
          <w:color w:val="0000FF"/>
          <w:kern w:val="2"/>
          <w:sz w:val="21"/>
          <w:szCs w:val="21"/>
          <w:lang w:eastAsia="zh-CN"/>
        </w:rPr>
        <w:t>注：</w:t>
      </w:r>
      <w:r>
        <w:rPr>
          <w:rFonts w:hint="eastAsia" w:ascii="宋体" w:hAnsi="宋体" w:eastAsia="宋体"/>
          <w:color w:val="0000FF"/>
          <w:sz w:val="21"/>
          <w:szCs w:val="21"/>
          <w:lang w:eastAsia="zh-CN"/>
        </w:rPr>
        <w:t>投标人的投标报价不得超过预算金额，否则将导致投标无效。</w:t>
      </w:r>
    </w:p>
    <w:p w14:paraId="534529DA">
      <w:pPr>
        <w:widowControl w:val="0"/>
        <w:tabs>
          <w:tab w:val="left" w:pos="720"/>
        </w:tabs>
        <w:jc w:val="center"/>
        <w:rPr>
          <w:rFonts w:eastAsia="宋体"/>
          <w:b/>
          <w:kern w:val="2"/>
          <w:lang w:eastAsia="zh-CN"/>
        </w:rPr>
      </w:pPr>
    </w:p>
    <w:p w14:paraId="591D8D4C">
      <w:pPr>
        <w:widowControl w:val="0"/>
        <w:tabs>
          <w:tab w:val="left" w:pos="720"/>
        </w:tabs>
        <w:jc w:val="center"/>
        <w:rPr>
          <w:rFonts w:eastAsia="宋体"/>
          <w:b/>
          <w:kern w:val="2"/>
          <w:lang w:eastAsia="zh-CN"/>
        </w:rPr>
      </w:pPr>
    </w:p>
    <w:p w14:paraId="733E2507">
      <w:pPr>
        <w:widowControl w:val="0"/>
        <w:tabs>
          <w:tab w:val="left" w:pos="720"/>
        </w:tabs>
        <w:jc w:val="center"/>
        <w:rPr>
          <w:rFonts w:eastAsia="宋体"/>
          <w:b/>
          <w:kern w:val="2"/>
          <w:lang w:eastAsia="zh-CN"/>
        </w:rPr>
      </w:pPr>
    </w:p>
    <w:p w14:paraId="63567312">
      <w:pPr>
        <w:widowControl w:val="0"/>
        <w:tabs>
          <w:tab w:val="left" w:pos="720"/>
        </w:tabs>
        <w:jc w:val="center"/>
        <w:rPr>
          <w:rFonts w:eastAsia="宋体"/>
          <w:b/>
          <w:kern w:val="2"/>
          <w:lang w:eastAsia="zh-CN"/>
        </w:rPr>
      </w:pPr>
    </w:p>
    <w:p w14:paraId="2E5BA0C6">
      <w:pPr>
        <w:widowControl w:val="0"/>
        <w:tabs>
          <w:tab w:val="left" w:pos="720"/>
        </w:tabs>
        <w:jc w:val="center"/>
        <w:rPr>
          <w:rFonts w:eastAsia="宋体"/>
          <w:b/>
          <w:kern w:val="2"/>
          <w:lang w:eastAsia="zh-CN"/>
        </w:rPr>
      </w:pPr>
    </w:p>
    <w:p w14:paraId="7F445AF8">
      <w:pPr>
        <w:widowControl w:val="0"/>
        <w:tabs>
          <w:tab w:val="left" w:pos="720"/>
        </w:tabs>
        <w:jc w:val="center"/>
        <w:rPr>
          <w:rFonts w:eastAsia="宋体"/>
          <w:b/>
          <w:kern w:val="2"/>
          <w:lang w:eastAsia="zh-CN"/>
        </w:rPr>
      </w:pPr>
    </w:p>
    <w:p w14:paraId="4EB1764B">
      <w:pPr>
        <w:widowControl w:val="0"/>
        <w:tabs>
          <w:tab w:val="left" w:pos="720"/>
        </w:tabs>
        <w:jc w:val="center"/>
        <w:rPr>
          <w:rFonts w:eastAsia="宋体"/>
          <w:b/>
          <w:kern w:val="2"/>
          <w:lang w:eastAsia="zh-CN"/>
        </w:rPr>
      </w:pPr>
    </w:p>
    <w:p w14:paraId="0C2D5D8C">
      <w:pPr>
        <w:widowControl w:val="0"/>
        <w:tabs>
          <w:tab w:val="left" w:pos="720"/>
        </w:tabs>
        <w:jc w:val="center"/>
        <w:rPr>
          <w:rFonts w:eastAsia="宋体"/>
          <w:b/>
          <w:kern w:val="2"/>
          <w:lang w:eastAsia="zh-CN"/>
        </w:rPr>
      </w:pPr>
    </w:p>
    <w:p w14:paraId="62A4F524">
      <w:pPr>
        <w:widowControl w:val="0"/>
        <w:tabs>
          <w:tab w:val="left" w:pos="720"/>
        </w:tabs>
        <w:jc w:val="center"/>
        <w:rPr>
          <w:rFonts w:eastAsia="宋体"/>
          <w:b/>
          <w:kern w:val="2"/>
          <w:lang w:eastAsia="zh-CN"/>
        </w:rPr>
      </w:pPr>
      <w:r>
        <w:rPr>
          <w:rFonts w:hint="eastAsia" w:eastAsia="宋体"/>
          <w:b/>
          <w:kern w:val="2"/>
          <w:lang w:eastAsia="zh-CN"/>
        </w:rPr>
        <w:t>（二）</w:t>
      </w:r>
      <w:bookmarkStart w:id="39" w:name="_Hlk72073235"/>
      <w:r>
        <w:rPr>
          <w:rFonts w:hint="eastAsia" w:eastAsia="宋体"/>
          <w:b/>
          <w:kern w:val="2"/>
          <w:lang w:eastAsia="zh-CN"/>
        </w:rPr>
        <w:t>投标人认为需要涉及的其他内容报价清单</w:t>
      </w:r>
      <w:bookmarkEnd w:id="39"/>
    </w:p>
    <w:p w14:paraId="17637EF7">
      <w:pPr>
        <w:widowControl w:val="0"/>
        <w:jc w:val="center"/>
        <w:rPr>
          <w:rFonts w:ascii="黑体" w:hAnsi="黑体" w:eastAsia="黑体" w:cs="黑体"/>
          <w:kern w:val="2"/>
          <w:szCs w:val="28"/>
          <w:lang w:eastAsia="zh-CN"/>
        </w:rPr>
      </w:pPr>
      <w:r>
        <w:rPr>
          <w:rFonts w:eastAsia="宋体"/>
          <w:b/>
          <w:bCs/>
          <w:kern w:val="2"/>
          <w:sz w:val="21"/>
          <w:lang w:eastAsia="zh-CN"/>
        </w:rPr>
        <w:br w:type="page"/>
      </w:r>
      <w:r>
        <w:rPr>
          <w:rFonts w:hint="eastAsia" w:ascii="黑体" w:hAnsi="黑体" w:eastAsia="黑体" w:cs="黑体"/>
          <w:kern w:val="2"/>
          <w:szCs w:val="28"/>
          <w:lang w:eastAsia="zh-CN"/>
        </w:rPr>
        <w:t>五、供应商基本情况表</w:t>
      </w:r>
    </w:p>
    <w:p w14:paraId="7FA1523E">
      <w:pPr>
        <w:widowControl w:val="0"/>
        <w:jc w:val="both"/>
        <w:rPr>
          <w:rFonts w:eastAsia="宋体"/>
          <w:kern w:val="2"/>
          <w:sz w:val="21"/>
          <w:lang w:eastAsia="zh-CN"/>
        </w:rPr>
      </w:pPr>
    </w:p>
    <w:p w14:paraId="4D58655B">
      <w:pPr>
        <w:widowControl w:val="0"/>
        <w:jc w:val="both"/>
        <w:rPr>
          <w:rFonts w:ascii="宋体" w:hAnsi="宋体" w:eastAsia="宋体" w:cs="宋体"/>
          <w:kern w:val="2"/>
          <w:lang w:eastAsia="zh-CN"/>
        </w:rPr>
      </w:pPr>
      <w:r>
        <w:rPr>
          <w:rFonts w:hint="eastAsia" w:ascii="宋体" w:hAnsi="宋体" w:eastAsia="宋体" w:cs="宋体"/>
          <w:kern w:val="2"/>
          <w:lang w:eastAsia="zh-CN"/>
        </w:rPr>
        <w:t>填表单位：</w:t>
      </w:r>
      <w:r>
        <w:rPr>
          <w:rFonts w:hint="eastAsia" w:ascii="宋体" w:hAnsi="宋体" w:eastAsia="宋体" w:cs="宋体"/>
          <w:b/>
          <w:color w:val="FF0000"/>
          <w:kern w:val="2"/>
          <w:highlight w:val="yellow"/>
          <w:lang w:eastAsia="zh-CN"/>
        </w:rPr>
        <w:t>（加盖单位公章）</w:t>
      </w:r>
      <w:r>
        <w:rPr>
          <w:rFonts w:hint="eastAsia" w:ascii="宋体" w:hAnsi="宋体" w:eastAsia="宋体" w:cs="宋体"/>
          <w:kern w:val="2"/>
          <w:lang w:eastAsia="zh-CN"/>
        </w:rPr>
        <w:tab/>
      </w:r>
      <w:r>
        <w:rPr>
          <w:rFonts w:hint="eastAsia" w:ascii="宋体" w:hAnsi="宋体" w:eastAsia="宋体" w:cs="宋体"/>
          <w:kern w:val="2"/>
          <w:lang w:eastAsia="zh-CN"/>
        </w:rPr>
        <w:t xml:space="preserve">             填表日期：    年   月   日</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634"/>
        <w:gridCol w:w="1558"/>
        <w:gridCol w:w="847"/>
        <w:gridCol w:w="744"/>
        <w:gridCol w:w="858"/>
        <w:gridCol w:w="1852"/>
        <w:gridCol w:w="1811"/>
      </w:tblGrid>
      <w:tr w14:paraId="19C3B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412" w:type="dxa"/>
            <w:gridSpan w:val="2"/>
            <w:tcBorders>
              <w:top w:val="single" w:color="auto" w:sz="4" w:space="0"/>
              <w:left w:val="single" w:color="auto" w:sz="4" w:space="0"/>
              <w:bottom w:val="single" w:color="auto" w:sz="4" w:space="0"/>
              <w:right w:val="single" w:color="auto" w:sz="4" w:space="0"/>
            </w:tcBorders>
            <w:vAlign w:val="center"/>
          </w:tcPr>
          <w:p w14:paraId="45C95D5F">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采购人</w:t>
            </w:r>
          </w:p>
        </w:tc>
        <w:tc>
          <w:tcPr>
            <w:tcW w:w="2553" w:type="dxa"/>
            <w:gridSpan w:val="2"/>
            <w:tcBorders>
              <w:top w:val="single" w:color="auto" w:sz="4" w:space="0"/>
              <w:left w:val="single" w:color="auto" w:sz="4" w:space="0"/>
              <w:bottom w:val="single" w:color="auto" w:sz="4" w:space="0"/>
              <w:right w:val="single" w:color="auto" w:sz="4" w:space="0"/>
            </w:tcBorders>
            <w:vAlign w:val="center"/>
          </w:tcPr>
          <w:p w14:paraId="48E67393">
            <w:pPr>
              <w:keepNext w:val="0"/>
              <w:keepLines w:val="0"/>
              <w:widowControl w:val="0"/>
              <w:suppressLineNumbers w:val="0"/>
              <w:spacing w:before="0" w:beforeAutospacing="0" w:after="0" w:afterAutospacing="0" w:line="400" w:lineRule="exact"/>
              <w:ind w:left="0" w:right="0"/>
              <w:jc w:val="left"/>
              <w:rPr>
                <w:rFonts w:ascii="宋体" w:hAnsi="宋体" w:eastAsia="宋体" w:cs="宋体"/>
                <w:kern w:val="2"/>
                <w:sz w:val="21"/>
                <w:szCs w:val="21"/>
                <w:lang w:eastAsia="zh-CN"/>
              </w:rPr>
            </w:pPr>
            <w:r>
              <w:rPr>
                <w:rFonts w:ascii="宋体" w:hAnsi="宋体" w:eastAsia="宋体" w:cs="宋体"/>
                <w:b/>
                <w:bCs/>
                <w:color w:val="0000FF"/>
                <w:kern w:val="2"/>
                <w:sz w:val="21"/>
                <w:szCs w:val="21"/>
                <w:lang w:eastAsia="zh-CN"/>
              </w:rPr>
              <w:t>深圳市急救中心</w:t>
            </w: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73D111E3">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项目名称</w:t>
            </w:r>
          </w:p>
        </w:tc>
        <w:tc>
          <w:tcPr>
            <w:tcW w:w="3900" w:type="dxa"/>
            <w:gridSpan w:val="2"/>
            <w:tcBorders>
              <w:top w:val="single" w:color="auto" w:sz="4" w:space="0"/>
              <w:left w:val="single" w:color="auto" w:sz="4" w:space="0"/>
              <w:bottom w:val="single" w:color="auto" w:sz="4" w:space="0"/>
              <w:right w:val="single" w:color="auto" w:sz="4" w:space="0"/>
            </w:tcBorders>
            <w:vAlign w:val="center"/>
          </w:tcPr>
          <w:p w14:paraId="318BD781">
            <w:pPr>
              <w:keepNext w:val="0"/>
              <w:keepLines w:val="0"/>
              <w:widowControl w:val="0"/>
              <w:suppressLineNumbers w:val="0"/>
              <w:spacing w:before="0" w:beforeAutospacing="0" w:after="0" w:afterAutospacing="0" w:line="400" w:lineRule="exact"/>
              <w:ind w:left="0" w:right="0"/>
              <w:jc w:val="both"/>
              <w:rPr>
                <w:rFonts w:ascii="宋体" w:hAnsi="宋体" w:eastAsia="宋体" w:cs="宋体"/>
                <w:kern w:val="2"/>
                <w:sz w:val="21"/>
                <w:szCs w:val="21"/>
                <w:lang w:eastAsia="zh-CN"/>
              </w:rPr>
            </w:pPr>
            <w:r>
              <w:rPr>
                <w:rFonts w:ascii="宋体" w:hAnsi="宋体" w:eastAsia="宋体" w:cs="宋体"/>
                <w:b/>
                <w:bCs/>
                <w:color w:val="0000FF"/>
                <w:kern w:val="2"/>
                <w:sz w:val="21"/>
                <w:szCs w:val="21"/>
                <w:lang w:eastAsia="zh-CN"/>
              </w:rPr>
              <w:t>市急救中心综合楼及园区公共部分气体消防设备检测维护项目</w:t>
            </w:r>
          </w:p>
        </w:tc>
      </w:tr>
      <w:tr w14:paraId="6A3D9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412" w:type="dxa"/>
            <w:gridSpan w:val="2"/>
            <w:tcBorders>
              <w:top w:val="single" w:color="auto" w:sz="4" w:space="0"/>
              <w:left w:val="single" w:color="auto" w:sz="4" w:space="0"/>
              <w:bottom w:val="single" w:color="auto" w:sz="4" w:space="0"/>
              <w:right w:val="single" w:color="auto" w:sz="4" w:space="0"/>
            </w:tcBorders>
            <w:vAlign w:val="center"/>
          </w:tcPr>
          <w:p w14:paraId="537BB19E">
            <w:pPr>
              <w:keepNext w:val="0"/>
              <w:keepLines w:val="0"/>
              <w:widowControl w:val="0"/>
              <w:suppressLineNumbers w:val="0"/>
              <w:snapToGrid w:val="0"/>
              <w:spacing w:before="0" w:beforeAutospacing="0" w:after="0" w:afterAutospacing="0" w:line="400" w:lineRule="exact"/>
              <w:ind w:left="0" w:right="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投标（响应）供应商</w:t>
            </w:r>
          </w:p>
        </w:tc>
        <w:tc>
          <w:tcPr>
            <w:tcW w:w="2553" w:type="dxa"/>
            <w:gridSpan w:val="2"/>
            <w:tcBorders>
              <w:top w:val="single" w:color="auto" w:sz="4" w:space="0"/>
              <w:left w:val="single" w:color="auto" w:sz="4" w:space="0"/>
              <w:bottom w:val="single" w:color="auto" w:sz="4" w:space="0"/>
              <w:right w:val="single" w:color="auto" w:sz="4" w:space="0"/>
            </w:tcBorders>
            <w:vAlign w:val="center"/>
          </w:tcPr>
          <w:p w14:paraId="4AB5239D">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1"/>
                <w:szCs w:val="21"/>
                <w:lang w:eastAsia="zh-CN"/>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2D4B3B2D">
            <w:pPr>
              <w:keepNext w:val="0"/>
              <w:keepLines w:val="0"/>
              <w:widowControl w:val="0"/>
              <w:suppressLineNumbers w:val="0"/>
              <w:snapToGrid w:val="0"/>
              <w:spacing w:before="0" w:beforeAutospacing="0" w:after="0" w:afterAutospacing="0" w:line="400" w:lineRule="exact"/>
              <w:ind w:left="0" w:right="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供应商统一社会信用代码</w:t>
            </w:r>
          </w:p>
        </w:tc>
        <w:tc>
          <w:tcPr>
            <w:tcW w:w="3900" w:type="dxa"/>
            <w:gridSpan w:val="2"/>
            <w:tcBorders>
              <w:top w:val="single" w:color="auto" w:sz="4" w:space="0"/>
              <w:left w:val="single" w:color="auto" w:sz="4" w:space="0"/>
              <w:bottom w:val="single" w:color="auto" w:sz="4" w:space="0"/>
              <w:right w:val="single" w:color="auto" w:sz="4" w:space="0"/>
            </w:tcBorders>
            <w:vAlign w:val="center"/>
          </w:tcPr>
          <w:p w14:paraId="515740D5">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1"/>
                <w:szCs w:val="21"/>
                <w:lang w:eastAsia="zh-CN"/>
              </w:rPr>
            </w:pPr>
          </w:p>
        </w:tc>
      </w:tr>
      <w:tr w14:paraId="0F870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0CABD15E">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1"/>
                <w:szCs w:val="21"/>
                <w:lang w:eastAsia="zh-CN"/>
              </w:rPr>
            </w:pPr>
            <w:r>
              <w:rPr>
                <w:rFonts w:hint="eastAsia" w:ascii="宋体" w:hAnsi="宋体" w:eastAsia="宋体" w:cs="宋体"/>
                <w:b/>
                <w:bCs/>
                <w:kern w:val="2"/>
                <w:sz w:val="21"/>
                <w:szCs w:val="21"/>
                <w:lang w:eastAsia="zh-CN"/>
              </w:rPr>
              <w:t>投标（响应）供应商相关人员情况</w:t>
            </w:r>
          </w:p>
        </w:tc>
      </w:tr>
      <w:tr w14:paraId="1721D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51787715">
            <w:pPr>
              <w:keepNext w:val="0"/>
              <w:keepLines w:val="0"/>
              <w:widowControl w:val="0"/>
              <w:suppressLineNumbers w:val="0"/>
              <w:snapToGrid w:val="0"/>
              <w:spacing w:before="0" w:beforeAutospacing="0" w:after="0" w:afterAutospacing="0" w:line="400" w:lineRule="exact"/>
              <w:ind w:left="0" w:right="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序号</w:t>
            </w:r>
          </w:p>
        </w:tc>
        <w:tc>
          <w:tcPr>
            <w:tcW w:w="2337" w:type="dxa"/>
            <w:gridSpan w:val="2"/>
            <w:tcBorders>
              <w:top w:val="single" w:color="auto" w:sz="4" w:space="0"/>
              <w:left w:val="single" w:color="auto" w:sz="4" w:space="0"/>
              <w:bottom w:val="single" w:color="auto" w:sz="4" w:space="0"/>
              <w:right w:val="single" w:color="auto" w:sz="4" w:space="0"/>
            </w:tcBorders>
            <w:vAlign w:val="center"/>
          </w:tcPr>
          <w:p w14:paraId="42E96B74">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职务</w:t>
            </w:r>
          </w:p>
        </w:tc>
        <w:tc>
          <w:tcPr>
            <w:tcW w:w="892" w:type="dxa"/>
            <w:tcBorders>
              <w:top w:val="single" w:color="auto" w:sz="4" w:space="0"/>
              <w:left w:val="single" w:color="auto" w:sz="4" w:space="0"/>
              <w:bottom w:val="single" w:color="auto" w:sz="4" w:space="0"/>
              <w:right w:val="single" w:color="auto" w:sz="4" w:space="0"/>
            </w:tcBorders>
            <w:vAlign w:val="center"/>
          </w:tcPr>
          <w:p w14:paraId="0DA58AE0">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姓名</w:t>
            </w: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5EF65508">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身份证号码</w:t>
            </w:r>
          </w:p>
        </w:tc>
        <w:tc>
          <w:tcPr>
            <w:tcW w:w="1972" w:type="dxa"/>
            <w:tcBorders>
              <w:top w:val="single" w:color="auto" w:sz="4" w:space="0"/>
              <w:left w:val="single" w:color="auto" w:sz="4" w:space="0"/>
              <w:bottom w:val="single" w:color="auto" w:sz="4" w:space="0"/>
              <w:right w:val="single" w:color="auto" w:sz="4" w:space="0"/>
            </w:tcBorders>
            <w:vAlign w:val="center"/>
          </w:tcPr>
          <w:p w14:paraId="72C6D298">
            <w:pPr>
              <w:keepNext w:val="0"/>
              <w:keepLines w:val="0"/>
              <w:widowControl w:val="0"/>
              <w:suppressLineNumbers w:val="0"/>
              <w:snapToGrid w:val="0"/>
              <w:spacing w:before="0" w:beforeAutospacing="0" w:after="0" w:afterAutospacing="0" w:line="400" w:lineRule="exact"/>
              <w:ind w:left="0" w:right="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劳动合同</w:t>
            </w:r>
          </w:p>
          <w:p w14:paraId="51F2C83F">
            <w:pPr>
              <w:keepNext w:val="0"/>
              <w:keepLines w:val="0"/>
              <w:widowControl w:val="0"/>
              <w:suppressLineNumbers w:val="0"/>
              <w:snapToGrid w:val="0"/>
              <w:spacing w:before="0" w:beforeAutospacing="0" w:after="0" w:afterAutospacing="0" w:line="400" w:lineRule="exact"/>
              <w:ind w:left="0" w:right="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关系单位</w:t>
            </w:r>
          </w:p>
        </w:tc>
        <w:tc>
          <w:tcPr>
            <w:tcW w:w="1928" w:type="dxa"/>
            <w:tcBorders>
              <w:top w:val="single" w:color="auto" w:sz="4" w:space="0"/>
              <w:left w:val="single" w:color="auto" w:sz="4" w:space="0"/>
              <w:bottom w:val="single" w:color="auto" w:sz="4" w:space="0"/>
              <w:right w:val="single" w:color="auto" w:sz="4" w:space="0"/>
            </w:tcBorders>
            <w:vAlign w:val="center"/>
          </w:tcPr>
          <w:p w14:paraId="65235595">
            <w:pPr>
              <w:keepNext w:val="0"/>
              <w:keepLines w:val="0"/>
              <w:widowControl w:val="0"/>
              <w:suppressLineNumbers w:val="0"/>
              <w:snapToGrid w:val="0"/>
              <w:spacing w:before="0" w:beforeAutospacing="0" w:after="0" w:afterAutospacing="0" w:line="400" w:lineRule="exact"/>
              <w:ind w:left="0" w:right="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缴纳社会</w:t>
            </w:r>
          </w:p>
          <w:p w14:paraId="4CDAC1EB">
            <w:pPr>
              <w:keepNext w:val="0"/>
              <w:keepLines w:val="0"/>
              <w:widowControl w:val="0"/>
              <w:suppressLineNumbers w:val="0"/>
              <w:snapToGrid w:val="0"/>
              <w:spacing w:before="0" w:beforeAutospacing="0" w:after="0" w:afterAutospacing="0" w:line="400" w:lineRule="exact"/>
              <w:ind w:left="0" w:right="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保险单位</w:t>
            </w:r>
          </w:p>
        </w:tc>
      </w:tr>
      <w:tr w14:paraId="0A0F7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3916EEDF">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2337" w:type="dxa"/>
            <w:gridSpan w:val="2"/>
            <w:tcBorders>
              <w:top w:val="single" w:color="auto" w:sz="4" w:space="0"/>
              <w:left w:val="single" w:color="auto" w:sz="4" w:space="0"/>
              <w:bottom w:val="single" w:color="auto" w:sz="4" w:space="0"/>
              <w:right w:val="single" w:color="auto" w:sz="4" w:space="0"/>
            </w:tcBorders>
            <w:vAlign w:val="center"/>
          </w:tcPr>
          <w:p w14:paraId="17909B45">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法定代表人/单位负责人/主要经营负责人</w:t>
            </w:r>
          </w:p>
        </w:tc>
        <w:tc>
          <w:tcPr>
            <w:tcW w:w="892" w:type="dxa"/>
            <w:tcBorders>
              <w:top w:val="single" w:color="auto" w:sz="4" w:space="0"/>
              <w:left w:val="single" w:color="auto" w:sz="4" w:space="0"/>
              <w:bottom w:val="single" w:color="auto" w:sz="4" w:space="0"/>
              <w:right w:val="single" w:color="auto" w:sz="4" w:space="0"/>
            </w:tcBorders>
            <w:vAlign w:val="center"/>
          </w:tcPr>
          <w:p w14:paraId="7227D12E">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1"/>
                <w:szCs w:val="21"/>
                <w:lang w:eastAsia="zh-CN"/>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068A1343">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1"/>
                <w:szCs w:val="21"/>
                <w:lang w:eastAsia="zh-CN"/>
              </w:rPr>
            </w:pPr>
          </w:p>
        </w:tc>
        <w:tc>
          <w:tcPr>
            <w:tcW w:w="1972" w:type="dxa"/>
            <w:tcBorders>
              <w:top w:val="single" w:color="auto" w:sz="4" w:space="0"/>
              <w:left w:val="single" w:color="auto" w:sz="4" w:space="0"/>
              <w:bottom w:val="single" w:color="auto" w:sz="4" w:space="0"/>
              <w:right w:val="single" w:color="auto" w:sz="4" w:space="0"/>
            </w:tcBorders>
            <w:vAlign w:val="center"/>
          </w:tcPr>
          <w:p w14:paraId="3FCADDB8">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1"/>
                <w:szCs w:val="21"/>
                <w:lang w:eastAsia="zh-CN"/>
              </w:rPr>
            </w:pPr>
          </w:p>
        </w:tc>
        <w:tc>
          <w:tcPr>
            <w:tcW w:w="1928" w:type="dxa"/>
            <w:tcBorders>
              <w:top w:val="single" w:color="auto" w:sz="4" w:space="0"/>
              <w:left w:val="single" w:color="auto" w:sz="4" w:space="0"/>
              <w:bottom w:val="single" w:color="auto" w:sz="4" w:space="0"/>
              <w:right w:val="single" w:color="auto" w:sz="4" w:space="0"/>
            </w:tcBorders>
            <w:vAlign w:val="center"/>
          </w:tcPr>
          <w:p w14:paraId="54368F58">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1"/>
                <w:szCs w:val="21"/>
                <w:lang w:eastAsia="zh-CN"/>
              </w:rPr>
            </w:pPr>
          </w:p>
        </w:tc>
      </w:tr>
      <w:tr w14:paraId="46FEA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0AFA00E5">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2</w:t>
            </w:r>
          </w:p>
        </w:tc>
        <w:tc>
          <w:tcPr>
            <w:tcW w:w="2337" w:type="dxa"/>
            <w:gridSpan w:val="2"/>
            <w:tcBorders>
              <w:top w:val="single" w:color="auto" w:sz="4" w:space="0"/>
              <w:left w:val="single" w:color="auto" w:sz="4" w:space="0"/>
              <w:bottom w:val="single" w:color="auto" w:sz="4" w:space="0"/>
              <w:right w:val="single" w:color="auto" w:sz="4" w:space="0"/>
            </w:tcBorders>
            <w:vAlign w:val="center"/>
          </w:tcPr>
          <w:p w14:paraId="7472CBB6">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项目投标授权代表人</w:t>
            </w:r>
          </w:p>
        </w:tc>
        <w:tc>
          <w:tcPr>
            <w:tcW w:w="892" w:type="dxa"/>
            <w:tcBorders>
              <w:top w:val="single" w:color="auto" w:sz="4" w:space="0"/>
              <w:left w:val="single" w:color="auto" w:sz="4" w:space="0"/>
              <w:bottom w:val="single" w:color="auto" w:sz="4" w:space="0"/>
              <w:right w:val="single" w:color="auto" w:sz="4" w:space="0"/>
            </w:tcBorders>
            <w:vAlign w:val="center"/>
          </w:tcPr>
          <w:p w14:paraId="05B32A3E">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1"/>
                <w:szCs w:val="21"/>
                <w:lang w:eastAsia="zh-CN"/>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2294A1BE">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1"/>
                <w:szCs w:val="21"/>
                <w:lang w:eastAsia="zh-CN"/>
              </w:rPr>
            </w:pPr>
          </w:p>
        </w:tc>
        <w:tc>
          <w:tcPr>
            <w:tcW w:w="1972" w:type="dxa"/>
            <w:tcBorders>
              <w:top w:val="single" w:color="auto" w:sz="4" w:space="0"/>
              <w:left w:val="single" w:color="auto" w:sz="4" w:space="0"/>
              <w:bottom w:val="single" w:color="auto" w:sz="4" w:space="0"/>
              <w:right w:val="single" w:color="auto" w:sz="4" w:space="0"/>
            </w:tcBorders>
            <w:vAlign w:val="center"/>
          </w:tcPr>
          <w:p w14:paraId="53BD4DC9">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1"/>
                <w:szCs w:val="21"/>
                <w:lang w:eastAsia="zh-CN"/>
              </w:rPr>
            </w:pPr>
          </w:p>
        </w:tc>
        <w:tc>
          <w:tcPr>
            <w:tcW w:w="1928" w:type="dxa"/>
            <w:tcBorders>
              <w:top w:val="single" w:color="auto" w:sz="4" w:space="0"/>
              <w:left w:val="single" w:color="auto" w:sz="4" w:space="0"/>
              <w:bottom w:val="single" w:color="auto" w:sz="4" w:space="0"/>
              <w:right w:val="single" w:color="auto" w:sz="4" w:space="0"/>
            </w:tcBorders>
            <w:vAlign w:val="center"/>
          </w:tcPr>
          <w:p w14:paraId="34634096">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1"/>
                <w:szCs w:val="21"/>
                <w:lang w:eastAsia="zh-CN"/>
              </w:rPr>
            </w:pPr>
          </w:p>
        </w:tc>
      </w:tr>
      <w:tr w14:paraId="26818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1D15116E">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3</w:t>
            </w:r>
          </w:p>
        </w:tc>
        <w:tc>
          <w:tcPr>
            <w:tcW w:w="2337" w:type="dxa"/>
            <w:gridSpan w:val="2"/>
            <w:tcBorders>
              <w:top w:val="single" w:color="auto" w:sz="4" w:space="0"/>
              <w:left w:val="single" w:color="auto" w:sz="4" w:space="0"/>
              <w:bottom w:val="single" w:color="auto" w:sz="4" w:space="0"/>
              <w:right w:val="single" w:color="auto" w:sz="4" w:space="0"/>
            </w:tcBorders>
            <w:vAlign w:val="center"/>
          </w:tcPr>
          <w:p w14:paraId="617B6C05">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项目负责人</w:t>
            </w:r>
          </w:p>
        </w:tc>
        <w:tc>
          <w:tcPr>
            <w:tcW w:w="892" w:type="dxa"/>
            <w:tcBorders>
              <w:top w:val="single" w:color="auto" w:sz="4" w:space="0"/>
              <w:left w:val="single" w:color="auto" w:sz="4" w:space="0"/>
              <w:bottom w:val="single" w:color="auto" w:sz="4" w:space="0"/>
              <w:right w:val="single" w:color="auto" w:sz="4" w:space="0"/>
            </w:tcBorders>
            <w:vAlign w:val="center"/>
          </w:tcPr>
          <w:p w14:paraId="1683DC92">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1"/>
                <w:szCs w:val="21"/>
                <w:lang w:eastAsia="zh-CN"/>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25089F77">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1"/>
                <w:szCs w:val="21"/>
                <w:lang w:eastAsia="zh-CN"/>
              </w:rPr>
            </w:pPr>
          </w:p>
        </w:tc>
        <w:tc>
          <w:tcPr>
            <w:tcW w:w="1972" w:type="dxa"/>
            <w:tcBorders>
              <w:top w:val="single" w:color="auto" w:sz="4" w:space="0"/>
              <w:left w:val="single" w:color="auto" w:sz="4" w:space="0"/>
              <w:bottom w:val="single" w:color="auto" w:sz="4" w:space="0"/>
              <w:right w:val="single" w:color="auto" w:sz="4" w:space="0"/>
            </w:tcBorders>
            <w:vAlign w:val="center"/>
          </w:tcPr>
          <w:p w14:paraId="2DE539B8">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1"/>
                <w:szCs w:val="21"/>
                <w:lang w:eastAsia="zh-CN"/>
              </w:rPr>
            </w:pPr>
          </w:p>
        </w:tc>
        <w:tc>
          <w:tcPr>
            <w:tcW w:w="1928" w:type="dxa"/>
            <w:tcBorders>
              <w:top w:val="single" w:color="auto" w:sz="4" w:space="0"/>
              <w:left w:val="single" w:color="auto" w:sz="4" w:space="0"/>
              <w:bottom w:val="single" w:color="auto" w:sz="4" w:space="0"/>
              <w:right w:val="single" w:color="auto" w:sz="4" w:space="0"/>
            </w:tcBorders>
            <w:vAlign w:val="center"/>
          </w:tcPr>
          <w:p w14:paraId="55F1A944">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1"/>
                <w:szCs w:val="21"/>
                <w:lang w:eastAsia="zh-CN"/>
              </w:rPr>
            </w:pPr>
          </w:p>
        </w:tc>
      </w:tr>
      <w:tr w14:paraId="50440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66D4AB2C">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4</w:t>
            </w:r>
          </w:p>
        </w:tc>
        <w:tc>
          <w:tcPr>
            <w:tcW w:w="2337" w:type="dxa"/>
            <w:gridSpan w:val="2"/>
            <w:tcBorders>
              <w:top w:val="single" w:color="auto" w:sz="4" w:space="0"/>
              <w:left w:val="single" w:color="auto" w:sz="4" w:space="0"/>
              <w:bottom w:val="single" w:color="auto" w:sz="4" w:space="0"/>
              <w:right w:val="single" w:color="auto" w:sz="4" w:space="0"/>
            </w:tcBorders>
            <w:vAlign w:val="center"/>
          </w:tcPr>
          <w:p w14:paraId="2478BB20">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主要技术人员</w:t>
            </w:r>
          </w:p>
        </w:tc>
        <w:tc>
          <w:tcPr>
            <w:tcW w:w="892" w:type="dxa"/>
            <w:tcBorders>
              <w:top w:val="single" w:color="auto" w:sz="4" w:space="0"/>
              <w:left w:val="single" w:color="auto" w:sz="4" w:space="0"/>
              <w:bottom w:val="single" w:color="auto" w:sz="4" w:space="0"/>
              <w:right w:val="single" w:color="auto" w:sz="4" w:space="0"/>
            </w:tcBorders>
            <w:vAlign w:val="center"/>
          </w:tcPr>
          <w:p w14:paraId="7E45EBA2">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1"/>
                <w:szCs w:val="21"/>
                <w:lang w:eastAsia="zh-CN"/>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3A62DD32">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1"/>
                <w:szCs w:val="21"/>
                <w:lang w:eastAsia="zh-CN"/>
              </w:rPr>
            </w:pPr>
          </w:p>
        </w:tc>
        <w:tc>
          <w:tcPr>
            <w:tcW w:w="1972" w:type="dxa"/>
            <w:tcBorders>
              <w:top w:val="single" w:color="auto" w:sz="4" w:space="0"/>
              <w:left w:val="single" w:color="auto" w:sz="4" w:space="0"/>
              <w:bottom w:val="single" w:color="auto" w:sz="4" w:space="0"/>
              <w:right w:val="single" w:color="auto" w:sz="4" w:space="0"/>
            </w:tcBorders>
            <w:vAlign w:val="center"/>
          </w:tcPr>
          <w:p w14:paraId="130CC091">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1"/>
                <w:szCs w:val="21"/>
                <w:lang w:eastAsia="zh-CN"/>
              </w:rPr>
            </w:pPr>
          </w:p>
        </w:tc>
        <w:tc>
          <w:tcPr>
            <w:tcW w:w="1928" w:type="dxa"/>
            <w:tcBorders>
              <w:top w:val="single" w:color="auto" w:sz="4" w:space="0"/>
              <w:left w:val="single" w:color="auto" w:sz="4" w:space="0"/>
              <w:bottom w:val="single" w:color="auto" w:sz="4" w:space="0"/>
              <w:right w:val="single" w:color="auto" w:sz="4" w:space="0"/>
            </w:tcBorders>
            <w:vAlign w:val="center"/>
          </w:tcPr>
          <w:p w14:paraId="431AEF11">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1"/>
                <w:szCs w:val="21"/>
                <w:lang w:eastAsia="zh-CN"/>
              </w:rPr>
            </w:pPr>
          </w:p>
        </w:tc>
      </w:tr>
      <w:tr w14:paraId="40200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068DD101">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5</w:t>
            </w:r>
          </w:p>
        </w:tc>
        <w:tc>
          <w:tcPr>
            <w:tcW w:w="2337" w:type="dxa"/>
            <w:gridSpan w:val="2"/>
            <w:tcBorders>
              <w:top w:val="single" w:color="auto" w:sz="4" w:space="0"/>
              <w:left w:val="single" w:color="auto" w:sz="4" w:space="0"/>
              <w:bottom w:val="single" w:color="auto" w:sz="4" w:space="0"/>
              <w:right w:val="single" w:color="auto" w:sz="4" w:space="0"/>
            </w:tcBorders>
            <w:vAlign w:val="center"/>
          </w:tcPr>
          <w:p w14:paraId="4537C73F">
            <w:pPr>
              <w:keepNext w:val="0"/>
              <w:keepLines w:val="0"/>
              <w:widowControl w:val="0"/>
              <w:suppressLineNumbers w:val="0"/>
              <w:snapToGrid w:val="0"/>
              <w:spacing w:before="0" w:beforeAutospacing="0" w:after="0" w:afterAutospacing="0" w:line="400" w:lineRule="exact"/>
              <w:ind w:left="0" w:right="0" w:firstLine="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投标文件编制人员</w:t>
            </w:r>
          </w:p>
        </w:tc>
        <w:tc>
          <w:tcPr>
            <w:tcW w:w="892" w:type="dxa"/>
            <w:tcBorders>
              <w:top w:val="single" w:color="auto" w:sz="4" w:space="0"/>
              <w:left w:val="single" w:color="auto" w:sz="4" w:space="0"/>
              <w:bottom w:val="single" w:color="auto" w:sz="4" w:space="0"/>
              <w:right w:val="single" w:color="auto" w:sz="4" w:space="0"/>
            </w:tcBorders>
            <w:vAlign w:val="center"/>
          </w:tcPr>
          <w:p w14:paraId="4A0FCE4D">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1"/>
                <w:szCs w:val="21"/>
                <w:lang w:eastAsia="zh-CN"/>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3BF4DC28">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1"/>
                <w:szCs w:val="21"/>
                <w:lang w:eastAsia="zh-CN"/>
              </w:rPr>
            </w:pPr>
          </w:p>
        </w:tc>
        <w:tc>
          <w:tcPr>
            <w:tcW w:w="1972" w:type="dxa"/>
            <w:tcBorders>
              <w:top w:val="single" w:color="auto" w:sz="4" w:space="0"/>
              <w:left w:val="single" w:color="auto" w:sz="4" w:space="0"/>
              <w:bottom w:val="single" w:color="auto" w:sz="4" w:space="0"/>
              <w:right w:val="single" w:color="auto" w:sz="4" w:space="0"/>
            </w:tcBorders>
            <w:vAlign w:val="center"/>
          </w:tcPr>
          <w:p w14:paraId="66EBC70A">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1"/>
                <w:szCs w:val="21"/>
                <w:lang w:eastAsia="zh-CN"/>
              </w:rPr>
            </w:pPr>
          </w:p>
        </w:tc>
        <w:tc>
          <w:tcPr>
            <w:tcW w:w="1928" w:type="dxa"/>
            <w:tcBorders>
              <w:top w:val="single" w:color="auto" w:sz="4" w:space="0"/>
              <w:left w:val="single" w:color="auto" w:sz="4" w:space="0"/>
              <w:bottom w:val="single" w:color="auto" w:sz="4" w:space="0"/>
              <w:right w:val="single" w:color="auto" w:sz="4" w:space="0"/>
            </w:tcBorders>
            <w:vAlign w:val="center"/>
          </w:tcPr>
          <w:p w14:paraId="50809640">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1"/>
                <w:szCs w:val="21"/>
                <w:lang w:eastAsia="zh-CN"/>
              </w:rPr>
            </w:pPr>
          </w:p>
        </w:tc>
      </w:tr>
      <w:tr w14:paraId="6E486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56157373">
            <w:pPr>
              <w:keepNext w:val="0"/>
              <w:keepLines w:val="0"/>
              <w:widowControl w:val="0"/>
              <w:suppressLineNumbers w:val="0"/>
              <w:spacing w:before="0" w:beforeAutospacing="0" w:after="0" w:afterAutospacing="0" w:line="400" w:lineRule="exact"/>
              <w:ind w:left="0" w:right="0"/>
              <w:jc w:val="left"/>
              <w:rPr>
                <w:rFonts w:ascii="宋体" w:hAnsi="宋体" w:eastAsia="宋体" w:cs="宋体"/>
                <w:kern w:val="2"/>
                <w:sz w:val="21"/>
                <w:szCs w:val="21"/>
                <w:lang w:eastAsia="zh-CN"/>
              </w:rPr>
            </w:pPr>
            <w:r>
              <w:rPr>
                <w:rFonts w:hint="eastAsia" w:ascii="宋体" w:hAnsi="宋体" w:eastAsia="宋体" w:cs="宋体"/>
                <w:b/>
                <w:bCs/>
                <w:kern w:val="2"/>
                <w:sz w:val="21"/>
                <w:szCs w:val="21"/>
                <w:lang w:eastAsia="zh-CN"/>
              </w:rPr>
              <w:t>说明：同一职务有多人担任（如主要技术人员），应分行填写。</w:t>
            </w:r>
          </w:p>
        </w:tc>
      </w:tr>
      <w:tr w14:paraId="76562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731B3937">
            <w:pPr>
              <w:keepNext w:val="0"/>
              <w:keepLines w:val="0"/>
              <w:widowControl w:val="0"/>
              <w:suppressLineNumbers w:val="0"/>
              <w:spacing w:before="0" w:beforeAutospacing="0" w:after="0" w:afterAutospacing="0" w:line="400" w:lineRule="exact"/>
              <w:ind w:left="0" w:right="0"/>
              <w:jc w:val="center"/>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投标（响应）供应商关联关系情况</w:t>
            </w:r>
          </w:p>
        </w:tc>
      </w:tr>
      <w:tr w14:paraId="1426B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7592DD78">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序号</w:t>
            </w:r>
          </w:p>
        </w:tc>
        <w:tc>
          <w:tcPr>
            <w:tcW w:w="2337" w:type="dxa"/>
            <w:gridSpan w:val="2"/>
            <w:tcBorders>
              <w:top w:val="single" w:color="auto" w:sz="4" w:space="0"/>
              <w:left w:val="single" w:color="auto" w:sz="4" w:space="0"/>
              <w:bottom w:val="single" w:color="auto" w:sz="4" w:space="0"/>
              <w:right w:val="single" w:color="auto" w:sz="4" w:space="0"/>
            </w:tcBorders>
            <w:vAlign w:val="center"/>
          </w:tcPr>
          <w:p w14:paraId="09792B65">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关联关系类型</w:t>
            </w:r>
          </w:p>
        </w:tc>
        <w:tc>
          <w:tcPr>
            <w:tcW w:w="1683" w:type="dxa"/>
            <w:gridSpan w:val="2"/>
            <w:tcBorders>
              <w:top w:val="single" w:color="auto" w:sz="4" w:space="0"/>
              <w:left w:val="single" w:color="auto" w:sz="4" w:space="0"/>
              <w:bottom w:val="single" w:color="auto" w:sz="4" w:space="0"/>
              <w:right w:val="single" w:color="auto" w:sz="4" w:space="0"/>
            </w:tcBorders>
            <w:vAlign w:val="center"/>
          </w:tcPr>
          <w:p w14:paraId="5B2649FB">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关联主体名称</w:t>
            </w:r>
          </w:p>
        </w:tc>
        <w:tc>
          <w:tcPr>
            <w:tcW w:w="4812" w:type="dxa"/>
            <w:gridSpan w:val="3"/>
            <w:tcBorders>
              <w:top w:val="single" w:color="auto" w:sz="4" w:space="0"/>
              <w:left w:val="single" w:color="auto" w:sz="4" w:space="0"/>
              <w:bottom w:val="single" w:color="auto" w:sz="4" w:space="0"/>
              <w:right w:val="single" w:color="auto" w:sz="4" w:space="0"/>
            </w:tcBorders>
            <w:vAlign w:val="center"/>
          </w:tcPr>
          <w:p w14:paraId="4D7DFD41">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备注</w:t>
            </w:r>
          </w:p>
        </w:tc>
      </w:tr>
      <w:tr w14:paraId="2C839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7110FEDE">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1</w:t>
            </w:r>
          </w:p>
        </w:tc>
        <w:tc>
          <w:tcPr>
            <w:tcW w:w="2337" w:type="dxa"/>
            <w:gridSpan w:val="2"/>
            <w:tcBorders>
              <w:top w:val="single" w:color="auto" w:sz="4" w:space="0"/>
              <w:left w:val="single" w:color="auto" w:sz="4" w:space="0"/>
              <w:bottom w:val="single" w:color="auto" w:sz="4" w:space="0"/>
              <w:right w:val="single" w:color="auto" w:sz="4" w:space="0"/>
            </w:tcBorders>
            <w:vAlign w:val="center"/>
          </w:tcPr>
          <w:p w14:paraId="36BB9DD4">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控股股东</w:t>
            </w:r>
          </w:p>
        </w:tc>
        <w:tc>
          <w:tcPr>
            <w:tcW w:w="1683" w:type="dxa"/>
            <w:gridSpan w:val="2"/>
            <w:tcBorders>
              <w:top w:val="single" w:color="auto" w:sz="4" w:space="0"/>
              <w:left w:val="single" w:color="auto" w:sz="4" w:space="0"/>
              <w:bottom w:val="single" w:color="auto" w:sz="4" w:space="0"/>
              <w:right w:val="single" w:color="auto" w:sz="4" w:space="0"/>
            </w:tcBorders>
            <w:vAlign w:val="center"/>
          </w:tcPr>
          <w:p w14:paraId="5415E291">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1"/>
                <w:szCs w:val="21"/>
                <w:lang w:eastAsia="zh-CN"/>
              </w:rPr>
            </w:pPr>
          </w:p>
        </w:tc>
        <w:tc>
          <w:tcPr>
            <w:tcW w:w="4812" w:type="dxa"/>
            <w:gridSpan w:val="3"/>
            <w:tcBorders>
              <w:top w:val="single" w:color="auto" w:sz="4" w:space="0"/>
              <w:left w:val="single" w:color="auto" w:sz="4" w:space="0"/>
              <w:bottom w:val="single" w:color="auto" w:sz="4" w:space="0"/>
              <w:right w:val="single" w:color="auto" w:sz="4" w:space="0"/>
            </w:tcBorders>
            <w:vAlign w:val="center"/>
          </w:tcPr>
          <w:p w14:paraId="20A5E901">
            <w:pPr>
              <w:keepNext w:val="0"/>
              <w:keepLines w:val="0"/>
              <w:widowControl w:val="0"/>
              <w:suppressLineNumbers w:val="0"/>
              <w:snapToGrid w:val="0"/>
              <w:spacing w:before="0" w:beforeAutospacing="0" w:after="0" w:afterAutospacing="0" w:line="400" w:lineRule="exact"/>
              <w:ind w:left="0" w:right="0"/>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79AF8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00D25FFC">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1"/>
                <w:szCs w:val="21"/>
                <w:lang w:eastAsia="zh-CN" w:bidi="ar"/>
              </w:rPr>
            </w:pPr>
            <w:r>
              <w:rPr>
                <w:rFonts w:hint="eastAsia" w:ascii="宋体" w:hAnsi="宋体" w:eastAsia="宋体" w:cs="宋体"/>
                <w:kern w:val="2"/>
                <w:sz w:val="21"/>
                <w:szCs w:val="21"/>
                <w:lang w:eastAsia="zh-CN" w:bidi="ar"/>
              </w:rPr>
              <w:t>2</w:t>
            </w:r>
          </w:p>
        </w:tc>
        <w:tc>
          <w:tcPr>
            <w:tcW w:w="2337" w:type="dxa"/>
            <w:gridSpan w:val="2"/>
            <w:tcBorders>
              <w:top w:val="single" w:color="auto" w:sz="4" w:space="0"/>
              <w:left w:val="single" w:color="auto" w:sz="4" w:space="0"/>
              <w:bottom w:val="single" w:color="auto" w:sz="4" w:space="0"/>
              <w:right w:val="single" w:color="auto" w:sz="4" w:space="0"/>
            </w:tcBorders>
            <w:vAlign w:val="center"/>
          </w:tcPr>
          <w:p w14:paraId="40DACC06">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管理关系</w:t>
            </w:r>
          </w:p>
        </w:tc>
        <w:tc>
          <w:tcPr>
            <w:tcW w:w="1683" w:type="dxa"/>
            <w:gridSpan w:val="2"/>
            <w:tcBorders>
              <w:top w:val="single" w:color="auto" w:sz="4" w:space="0"/>
              <w:left w:val="single" w:color="auto" w:sz="4" w:space="0"/>
              <w:bottom w:val="single" w:color="auto" w:sz="4" w:space="0"/>
              <w:right w:val="single" w:color="auto" w:sz="4" w:space="0"/>
            </w:tcBorders>
            <w:vAlign w:val="center"/>
          </w:tcPr>
          <w:p w14:paraId="6953A357">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1"/>
                <w:szCs w:val="21"/>
                <w:lang w:eastAsia="zh-CN"/>
              </w:rPr>
            </w:pPr>
          </w:p>
        </w:tc>
        <w:tc>
          <w:tcPr>
            <w:tcW w:w="4812" w:type="dxa"/>
            <w:gridSpan w:val="3"/>
            <w:tcBorders>
              <w:top w:val="single" w:color="auto" w:sz="4" w:space="0"/>
              <w:left w:val="single" w:color="auto" w:sz="4" w:space="0"/>
              <w:bottom w:val="single" w:color="auto" w:sz="4" w:space="0"/>
              <w:right w:val="single" w:color="auto" w:sz="4" w:space="0"/>
            </w:tcBorders>
            <w:vAlign w:val="center"/>
          </w:tcPr>
          <w:p w14:paraId="718BC545">
            <w:pPr>
              <w:keepNext w:val="0"/>
              <w:keepLines w:val="0"/>
              <w:widowControl w:val="0"/>
              <w:suppressLineNumbers w:val="0"/>
              <w:snapToGrid w:val="0"/>
              <w:spacing w:before="0" w:beforeAutospacing="0" w:after="0" w:afterAutospacing="0" w:line="400" w:lineRule="exact"/>
              <w:ind w:left="0" w:right="0"/>
              <w:jc w:val="left"/>
              <w:rPr>
                <w:rFonts w:ascii="宋体" w:hAnsi="宋体" w:eastAsia="宋体" w:cs="宋体"/>
                <w:kern w:val="2"/>
                <w:sz w:val="21"/>
                <w:szCs w:val="21"/>
                <w:lang w:eastAsia="zh-CN"/>
              </w:rPr>
            </w:pPr>
            <w:r>
              <w:rPr>
                <w:rFonts w:hint="eastAsia" w:ascii="宋体" w:hAnsi="宋体" w:eastAsia="宋体" w:cs="宋体"/>
                <w:kern w:val="2"/>
                <w:sz w:val="21"/>
                <w:szCs w:val="21"/>
                <w:lang w:eastAsia="zh-CN"/>
              </w:rPr>
              <w:t>指对投标（响应）供应商不具有出资持股关系，但对其存在管理关系的主体。</w:t>
            </w:r>
          </w:p>
        </w:tc>
      </w:tr>
      <w:tr w14:paraId="46794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0FEFCC23">
            <w:pPr>
              <w:keepNext w:val="0"/>
              <w:keepLines w:val="0"/>
              <w:widowControl w:val="0"/>
              <w:suppressLineNumbers w:val="0"/>
              <w:snapToGrid w:val="0"/>
              <w:spacing w:before="0" w:beforeAutospacing="0" w:after="0" w:afterAutospacing="0" w:line="400" w:lineRule="exact"/>
              <w:ind w:left="0" w:right="0"/>
              <w:jc w:val="left"/>
              <w:rPr>
                <w:rFonts w:ascii="宋体" w:hAnsi="宋体" w:eastAsia="宋体" w:cs="宋体"/>
                <w:kern w:val="2"/>
                <w:sz w:val="21"/>
                <w:szCs w:val="21"/>
                <w:lang w:eastAsia="zh-CN"/>
              </w:rPr>
            </w:pPr>
            <w:r>
              <w:rPr>
                <w:rFonts w:hint="eastAsia" w:ascii="宋体" w:hAnsi="宋体" w:eastAsia="宋体" w:cs="宋体"/>
                <w:b/>
                <w:bCs/>
                <w:kern w:val="2"/>
                <w:sz w:val="21"/>
                <w:szCs w:val="21"/>
                <w:lang w:eastAsia="zh-CN"/>
              </w:rPr>
              <w:t>说明：同一关联关系类型有多个主体的，应分行填写。</w:t>
            </w:r>
          </w:p>
        </w:tc>
      </w:tr>
    </w:tbl>
    <w:p w14:paraId="2023104D">
      <w:pPr>
        <w:widowControl/>
        <w:jc w:val="left"/>
        <w:rPr>
          <w:rFonts w:ascii="宋体" w:hAnsi="宋体" w:eastAsia="宋体" w:cs="宋体"/>
          <w:kern w:val="2"/>
          <w:sz w:val="20"/>
          <w:szCs w:val="22"/>
          <w:lang w:eastAsia="zh-CN"/>
        </w:rPr>
        <w:sectPr>
          <w:pgSz w:w="11906" w:h="16838"/>
          <w:pgMar w:top="1417" w:right="1417" w:bottom="1417" w:left="1701" w:header="851" w:footer="1588" w:gutter="0"/>
          <w:pgNumType w:fmt="numberInDash"/>
          <w:cols w:space="720" w:num="1"/>
          <w:docGrid w:type="lines" w:linePitch="312" w:charSpace="0"/>
        </w:sectPr>
      </w:pPr>
    </w:p>
    <w:p w14:paraId="1788DE87">
      <w:pPr>
        <w:keepNext/>
        <w:keepLines/>
        <w:widowControl w:val="0"/>
        <w:spacing w:before="260" w:after="260" w:line="240" w:lineRule="auto"/>
        <w:jc w:val="center"/>
        <w:outlineLvl w:val="2"/>
        <w:rPr>
          <w:rFonts w:ascii="黑体" w:hAnsi="宋体" w:eastAsia="黑体"/>
          <w:bCs/>
          <w:kern w:val="2"/>
          <w:szCs w:val="32"/>
          <w:lang w:eastAsia="zh-CN"/>
        </w:rPr>
      </w:pPr>
      <w:r>
        <w:rPr>
          <w:rFonts w:hint="eastAsia" w:ascii="黑体" w:hAnsi="宋体" w:eastAsia="黑体"/>
          <w:bCs/>
          <w:kern w:val="2"/>
          <w:szCs w:val="32"/>
          <w:lang w:eastAsia="zh-CN"/>
        </w:rPr>
        <w:t>六、</w:t>
      </w:r>
      <w:bookmarkStart w:id="40" w:name="_Hlk72092499"/>
      <w:r>
        <w:rPr>
          <w:rFonts w:hint="eastAsia" w:ascii="黑体" w:hAnsi="宋体" w:eastAsia="黑体"/>
          <w:bCs/>
          <w:kern w:val="2"/>
          <w:szCs w:val="32"/>
          <w:lang w:eastAsia="zh-CN"/>
        </w:rPr>
        <w:t>法定代表人（负责人）证明书</w:t>
      </w:r>
      <w:bookmarkEnd w:id="40"/>
    </w:p>
    <w:p w14:paraId="4DFEE9BD">
      <w:pPr>
        <w:widowControl w:val="0"/>
        <w:jc w:val="both"/>
        <w:rPr>
          <w:rFonts w:eastAsia="宋体"/>
          <w:kern w:val="2"/>
          <w:lang w:eastAsia="zh-CN"/>
        </w:rPr>
      </w:pPr>
    </w:p>
    <w:p w14:paraId="52063CD0">
      <w:pPr>
        <w:widowControl w:val="0"/>
        <w:spacing w:line="360" w:lineRule="auto"/>
        <w:ind w:firstLine="420" w:firstLineChars="200"/>
        <w:jc w:val="both"/>
        <w:rPr>
          <w:rFonts w:eastAsia="宋体"/>
          <w:kern w:val="2"/>
          <w:sz w:val="21"/>
          <w:szCs w:val="21"/>
          <w:lang w:eastAsia="zh-CN"/>
        </w:rPr>
      </w:pPr>
      <w:r>
        <w:rPr>
          <w:rFonts w:eastAsia="宋体"/>
          <w:kern w:val="2"/>
          <w:sz w:val="21"/>
          <w:szCs w:val="21"/>
          <w:u w:val="single"/>
          <w:lang w:eastAsia="zh-CN" w:bidi="ar"/>
        </w:rPr>
        <w:t xml:space="preserve">                 </w:t>
      </w:r>
      <w:r>
        <w:rPr>
          <w:rFonts w:hint="eastAsia" w:eastAsia="宋体" w:cs="宋体"/>
          <w:kern w:val="2"/>
          <w:sz w:val="21"/>
          <w:szCs w:val="21"/>
          <w:lang w:eastAsia="zh-CN" w:bidi="ar"/>
        </w:rPr>
        <w:t>（姓名），现任我单位</w:t>
      </w:r>
      <w:r>
        <w:rPr>
          <w:rFonts w:eastAsia="宋体"/>
          <w:kern w:val="2"/>
          <w:sz w:val="21"/>
          <w:szCs w:val="21"/>
          <w:u w:val="single"/>
          <w:lang w:eastAsia="zh-CN" w:bidi="ar"/>
        </w:rPr>
        <w:t xml:space="preserve">             </w:t>
      </w:r>
      <w:r>
        <w:rPr>
          <w:rFonts w:hint="eastAsia" w:eastAsia="宋体" w:cs="宋体"/>
          <w:kern w:val="2"/>
          <w:sz w:val="21"/>
          <w:szCs w:val="21"/>
          <w:lang w:eastAsia="zh-CN" w:bidi="ar"/>
        </w:rPr>
        <w:t>职务，为法定代表人（负责人），身份证件号为：</w:t>
      </w:r>
      <w:r>
        <w:rPr>
          <w:rFonts w:eastAsia="宋体"/>
          <w:kern w:val="2"/>
          <w:sz w:val="21"/>
          <w:szCs w:val="21"/>
          <w:u w:val="single"/>
          <w:lang w:eastAsia="zh-CN" w:bidi="ar"/>
        </w:rPr>
        <w:t xml:space="preserve">                                     </w:t>
      </w:r>
      <w:r>
        <w:rPr>
          <w:rFonts w:hint="eastAsia" w:eastAsia="宋体" w:cs="宋体"/>
          <w:kern w:val="2"/>
          <w:sz w:val="21"/>
          <w:szCs w:val="21"/>
          <w:lang w:eastAsia="zh-CN" w:bidi="ar"/>
        </w:rPr>
        <w:t>，联系电话：</w:t>
      </w:r>
      <w:r>
        <w:rPr>
          <w:rFonts w:eastAsia="宋体"/>
          <w:kern w:val="2"/>
          <w:sz w:val="21"/>
          <w:szCs w:val="21"/>
          <w:u w:val="single"/>
          <w:lang w:eastAsia="zh-CN" w:bidi="ar"/>
        </w:rPr>
        <w:t xml:space="preserve">                </w:t>
      </w:r>
      <w:r>
        <w:rPr>
          <w:rFonts w:hint="eastAsia" w:eastAsia="宋体" w:cs="宋体"/>
          <w:kern w:val="2"/>
          <w:sz w:val="21"/>
          <w:szCs w:val="21"/>
          <w:lang w:eastAsia="zh-CN" w:bidi="ar"/>
        </w:rPr>
        <w:t>。</w:t>
      </w:r>
    </w:p>
    <w:p w14:paraId="5B719EEB">
      <w:pPr>
        <w:widowControl w:val="0"/>
        <w:spacing w:line="360" w:lineRule="auto"/>
        <w:ind w:firstLine="422" w:firstLineChars="200"/>
        <w:jc w:val="both"/>
        <w:rPr>
          <w:rFonts w:eastAsia="宋体"/>
          <w:b/>
          <w:bCs/>
          <w:color w:val="FF0000"/>
          <w:kern w:val="2"/>
          <w:sz w:val="21"/>
          <w:szCs w:val="21"/>
          <w:lang w:eastAsia="zh-CN"/>
        </w:rPr>
      </w:pPr>
      <w:r>
        <w:rPr>
          <w:rFonts w:hint="eastAsia" w:eastAsia="宋体" w:cs="宋体"/>
          <w:b/>
          <w:bCs/>
          <w:color w:val="FF0000"/>
          <w:kern w:val="2"/>
          <w:sz w:val="21"/>
          <w:szCs w:val="21"/>
          <w:lang w:eastAsia="zh-CN" w:bidi="ar"/>
        </w:rPr>
        <w:t>特此证明。</w:t>
      </w:r>
    </w:p>
    <w:p w14:paraId="7DA63CEF">
      <w:pPr>
        <w:widowControl w:val="0"/>
        <w:spacing w:line="360" w:lineRule="auto"/>
        <w:ind w:firstLine="422" w:firstLineChars="200"/>
        <w:jc w:val="both"/>
        <w:rPr>
          <w:rFonts w:eastAsia="宋体"/>
          <w:b/>
          <w:bCs/>
          <w:color w:val="FF0000"/>
          <w:kern w:val="2"/>
          <w:sz w:val="21"/>
          <w:szCs w:val="21"/>
          <w:lang w:eastAsia="zh-CN"/>
        </w:rPr>
      </w:pPr>
      <w:r>
        <w:rPr>
          <w:rFonts w:hint="eastAsia" w:eastAsia="宋体" w:cs="宋体"/>
          <w:b/>
          <w:bCs/>
          <w:color w:val="FF0000"/>
          <w:kern w:val="2"/>
          <w:sz w:val="21"/>
          <w:szCs w:val="21"/>
          <w:lang w:eastAsia="zh-CN" w:bidi="ar"/>
        </w:rPr>
        <w:t>说明：</w:t>
      </w:r>
      <w:r>
        <w:rPr>
          <w:rFonts w:eastAsia="宋体"/>
          <w:b/>
          <w:bCs/>
          <w:color w:val="FF0000"/>
          <w:kern w:val="2"/>
          <w:sz w:val="21"/>
          <w:szCs w:val="21"/>
          <w:lang w:eastAsia="zh-CN" w:bidi="ar"/>
        </w:rPr>
        <w:t>1</w:t>
      </w:r>
      <w:r>
        <w:rPr>
          <w:rFonts w:hint="eastAsia" w:eastAsia="宋体" w:cs="宋体"/>
          <w:b/>
          <w:bCs/>
          <w:color w:val="FF0000"/>
          <w:kern w:val="2"/>
          <w:sz w:val="21"/>
          <w:szCs w:val="21"/>
          <w:lang w:eastAsia="zh-CN" w:bidi="ar"/>
        </w:rPr>
        <w:t>、法定代表人为投标人（企业事业单位、国家机关、社会团体）的主要行政负责人。</w:t>
      </w:r>
    </w:p>
    <w:p w14:paraId="442AAD4A">
      <w:pPr>
        <w:widowControl w:val="0"/>
        <w:numPr>
          <w:ilvl w:val="0"/>
          <w:numId w:val="3"/>
        </w:numPr>
        <w:spacing w:line="360" w:lineRule="auto"/>
        <w:ind w:left="0" w:firstLine="422" w:firstLineChars="200"/>
        <w:jc w:val="both"/>
        <w:rPr>
          <w:rFonts w:eastAsia="宋体"/>
          <w:b/>
          <w:bCs/>
          <w:color w:val="FF0000"/>
          <w:kern w:val="2"/>
          <w:sz w:val="21"/>
          <w:szCs w:val="21"/>
          <w:lang w:eastAsia="zh-CN"/>
        </w:rPr>
      </w:pPr>
      <w:r>
        <w:rPr>
          <w:rFonts w:hint="eastAsia" w:eastAsia="宋体" w:cs="宋体"/>
          <w:b/>
          <w:bCs/>
          <w:color w:val="FF0000"/>
          <w:kern w:val="2"/>
          <w:sz w:val="21"/>
          <w:szCs w:val="21"/>
          <w:lang w:eastAsia="zh-CN" w:bidi="ar"/>
        </w:rPr>
        <w:t>本证明书要供法定代表人（负责人）相关身份证明文件：身份证扫描件（正反两面）；港澳台居民可提供来往通行证扫描件；非中国国籍管辖范围人员，可提供公安部门认可的身份证明材料扫描件。</w:t>
      </w:r>
    </w:p>
    <w:p w14:paraId="3881C54D">
      <w:pPr>
        <w:widowControl w:val="0"/>
        <w:numPr>
          <w:ilvl w:val="0"/>
          <w:numId w:val="3"/>
        </w:numPr>
        <w:spacing w:line="360" w:lineRule="auto"/>
        <w:ind w:left="0" w:firstLine="422" w:firstLineChars="200"/>
        <w:jc w:val="both"/>
        <w:rPr>
          <w:rFonts w:eastAsia="宋体"/>
          <w:b/>
          <w:bCs/>
          <w:color w:val="FF0000"/>
          <w:kern w:val="2"/>
          <w:sz w:val="21"/>
          <w:szCs w:val="21"/>
          <w:lang w:eastAsia="zh-CN"/>
        </w:rPr>
      </w:pPr>
      <w:r>
        <w:rPr>
          <w:rFonts w:hint="eastAsia" w:eastAsia="宋体" w:cs="宋体"/>
          <w:b/>
          <w:bCs/>
          <w:color w:val="FF0000"/>
          <w:kern w:val="2"/>
          <w:sz w:val="21"/>
          <w:szCs w:val="21"/>
          <w:lang w:eastAsia="zh-CN" w:bidi="ar"/>
        </w:rPr>
        <w:t>本项目投标授权代表为法定代表人（负责人）的，无需提供《投标文件签署授权委托书》。</w:t>
      </w:r>
    </w:p>
    <w:p w14:paraId="4003307C">
      <w:pPr>
        <w:widowControl w:val="0"/>
        <w:numPr>
          <w:ilvl w:val="0"/>
          <w:numId w:val="3"/>
        </w:numPr>
        <w:spacing w:line="360" w:lineRule="auto"/>
        <w:ind w:left="0" w:firstLine="422" w:firstLineChars="200"/>
        <w:jc w:val="both"/>
        <w:rPr>
          <w:rFonts w:eastAsia="宋体"/>
          <w:b/>
          <w:bCs/>
          <w:color w:val="FF0000"/>
          <w:kern w:val="2"/>
          <w:sz w:val="21"/>
          <w:szCs w:val="21"/>
          <w:lang w:eastAsia="zh-CN"/>
        </w:rPr>
      </w:pPr>
      <w:r>
        <w:rPr>
          <w:rFonts w:hint="eastAsia" w:eastAsia="宋体" w:cs="宋体"/>
          <w:b/>
          <w:bCs/>
          <w:color w:val="FF0000"/>
          <w:kern w:val="2"/>
          <w:sz w:val="21"/>
          <w:szCs w:val="21"/>
          <w:lang w:eastAsia="zh-CN" w:bidi="ar"/>
        </w:rPr>
        <w:t>内容必须填写真实、清楚，涂改无效，不得转让、买卖。</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4"/>
        <w:gridCol w:w="4645"/>
      </w:tblGrid>
      <w:tr w14:paraId="1F7C7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4" w:type="dxa"/>
            <w:tcBorders>
              <w:top w:val="single" w:color="auto" w:sz="4" w:space="0"/>
              <w:left w:val="single" w:color="auto" w:sz="4" w:space="0"/>
              <w:bottom w:val="single" w:color="auto" w:sz="4" w:space="0"/>
              <w:right w:val="single" w:color="auto" w:sz="4" w:space="0"/>
            </w:tcBorders>
            <w:shd w:val="clear" w:color="auto" w:fill="auto"/>
          </w:tcPr>
          <w:p w14:paraId="632D3612">
            <w:pPr>
              <w:keepNext w:val="0"/>
              <w:keepLines w:val="0"/>
              <w:widowControl w:val="0"/>
              <w:suppressLineNumbers w:val="0"/>
              <w:spacing w:before="0" w:beforeAutospacing="0" w:after="0" w:afterAutospacing="0"/>
              <w:ind w:left="0" w:right="0"/>
              <w:jc w:val="center"/>
              <w:rPr>
                <w:rFonts w:eastAsia="宋体"/>
                <w:kern w:val="2"/>
                <w:sz w:val="21"/>
                <w:lang w:eastAsia="zh-CN"/>
              </w:rPr>
            </w:pPr>
            <w:r>
              <w:rPr>
                <w:rFonts w:hint="eastAsia" w:eastAsia="宋体" w:cs="宋体"/>
                <w:kern w:val="2"/>
                <w:sz w:val="21"/>
                <w:lang w:eastAsia="zh-CN" w:bidi="ar"/>
              </w:rPr>
              <w:t>证件扫描件正面</w:t>
            </w:r>
          </w:p>
          <w:p w14:paraId="29D35904">
            <w:pPr>
              <w:keepNext w:val="0"/>
              <w:keepLines w:val="0"/>
              <w:widowControl w:val="0"/>
              <w:suppressLineNumbers w:val="0"/>
              <w:spacing w:before="0" w:beforeAutospacing="0" w:after="120" w:afterAutospacing="0"/>
              <w:ind w:left="0" w:right="0"/>
              <w:jc w:val="left"/>
              <w:rPr>
                <w:rFonts w:eastAsia="宋体"/>
                <w:lang w:eastAsia="zh-CN" w:bidi="ar"/>
              </w:rPr>
            </w:pPr>
          </w:p>
          <w:p w14:paraId="6C3F7526">
            <w:pPr>
              <w:keepNext w:val="0"/>
              <w:keepLines w:val="0"/>
              <w:widowControl w:val="0"/>
              <w:suppressLineNumbers w:val="0"/>
              <w:spacing w:before="0" w:beforeAutospacing="0" w:after="0" w:afterAutospacing="0" w:line="360" w:lineRule="auto"/>
              <w:ind w:left="0" w:right="0"/>
              <w:jc w:val="left"/>
              <w:rPr>
                <w:rFonts w:eastAsia="宋体"/>
                <w:lang w:eastAsia="zh-CN" w:bidi="ar"/>
              </w:rPr>
            </w:pPr>
          </w:p>
          <w:p w14:paraId="6F174268">
            <w:pPr>
              <w:keepNext w:val="0"/>
              <w:keepLines w:val="0"/>
              <w:widowControl w:val="0"/>
              <w:suppressLineNumbers w:val="0"/>
              <w:spacing w:before="0" w:beforeAutospacing="0" w:after="0" w:afterAutospacing="0" w:line="360" w:lineRule="auto"/>
              <w:ind w:left="0" w:right="0"/>
              <w:jc w:val="left"/>
              <w:rPr>
                <w:rFonts w:eastAsia="宋体"/>
                <w:lang w:eastAsia="zh-CN" w:bidi="ar"/>
              </w:rPr>
            </w:pPr>
          </w:p>
          <w:p w14:paraId="53FDAE51">
            <w:pPr>
              <w:keepNext w:val="0"/>
              <w:keepLines w:val="0"/>
              <w:widowControl w:val="0"/>
              <w:suppressLineNumbers w:val="0"/>
              <w:spacing w:before="0" w:beforeAutospacing="0" w:after="0" w:afterAutospacing="0" w:line="360" w:lineRule="auto"/>
              <w:ind w:left="0" w:right="0"/>
              <w:jc w:val="left"/>
              <w:rPr>
                <w:rFonts w:eastAsia="宋体"/>
                <w:lang w:eastAsia="zh-CN" w:bidi="ar"/>
              </w:rPr>
            </w:pPr>
          </w:p>
        </w:tc>
        <w:tc>
          <w:tcPr>
            <w:tcW w:w="4265" w:type="dxa"/>
            <w:tcBorders>
              <w:top w:val="single" w:color="auto" w:sz="4" w:space="0"/>
              <w:left w:val="single" w:color="auto" w:sz="4" w:space="0"/>
              <w:bottom w:val="single" w:color="auto" w:sz="4" w:space="0"/>
              <w:right w:val="single" w:color="auto" w:sz="4" w:space="0"/>
            </w:tcBorders>
            <w:shd w:val="clear" w:color="auto" w:fill="auto"/>
          </w:tcPr>
          <w:p w14:paraId="47E17B14">
            <w:pPr>
              <w:keepNext w:val="0"/>
              <w:keepLines w:val="0"/>
              <w:widowControl w:val="0"/>
              <w:suppressLineNumbers w:val="0"/>
              <w:spacing w:before="0" w:beforeAutospacing="0" w:after="0" w:afterAutospacing="0"/>
              <w:ind w:left="0" w:right="0"/>
              <w:jc w:val="center"/>
              <w:rPr>
                <w:rFonts w:eastAsia="宋体"/>
                <w:kern w:val="2"/>
                <w:sz w:val="21"/>
                <w:lang w:eastAsia="zh-CN"/>
              </w:rPr>
            </w:pPr>
            <w:r>
              <w:rPr>
                <w:rFonts w:hint="eastAsia" w:eastAsia="宋体" w:cs="宋体"/>
                <w:kern w:val="2"/>
                <w:sz w:val="21"/>
                <w:lang w:eastAsia="zh-CN" w:bidi="ar"/>
              </w:rPr>
              <w:t>证件扫描件反面</w:t>
            </w:r>
          </w:p>
          <w:p w14:paraId="76CB9305">
            <w:pPr>
              <w:keepNext w:val="0"/>
              <w:keepLines w:val="0"/>
              <w:widowControl w:val="0"/>
              <w:suppressLineNumbers w:val="0"/>
              <w:spacing w:before="0" w:beforeAutospacing="0" w:after="120" w:afterAutospacing="0"/>
              <w:ind w:left="0" w:right="0"/>
              <w:jc w:val="center"/>
              <w:rPr>
                <w:rFonts w:eastAsia="宋体"/>
                <w:lang w:eastAsia="zh-CN" w:bidi="ar"/>
              </w:rPr>
            </w:pPr>
          </w:p>
          <w:p w14:paraId="282C00B7">
            <w:pPr>
              <w:keepNext w:val="0"/>
              <w:keepLines w:val="0"/>
              <w:widowControl w:val="0"/>
              <w:suppressLineNumbers w:val="0"/>
              <w:spacing w:before="0" w:beforeAutospacing="0" w:after="0" w:afterAutospacing="0" w:line="360" w:lineRule="auto"/>
              <w:ind w:left="0" w:right="0"/>
              <w:jc w:val="center"/>
              <w:rPr>
                <w:rFonts w:eastAsia="宋体"/>
                <w:lang w:eastAsia="zh-CN" w:bidi="ar"/>
              </w:rPr>
            </w:pPr>
          </w:p>
        </w:tc>
      </w:tr>
    </w:tbl>
    <w:p w14:paraId="6DED7E2E">
      <w:pPr>
        <w:widowControl w:val="0"/>
        <w:spacing w:before="0" w:beforeAutospacing="1" w:after="0" w:afterAutospacing="1"/>
        <w:ind w:left="0" w:right="0"/>
        <w:jc w:val="left"/>
        <w:rPr>
          <w:rFonts w:eastAsia="宋体"/>
          <w:szCs w:val="22"/>
          <w:lang w:eastAsia="zh-CN" w:bidi="ar"/>
        </w:rPr>
      </w:pPr>
      <w:r>
        <w:rPr>
          <w:rFonts w:hint="eastAsia" w:ascii="黑体" w:hAnsi="宋体" w:eastAsia="黑体" w:cs="黑体"/>
          <w:b/>
          <w:bCs/>
          <w:lang w:eastAsia="zh-CN" w:bidi="ar"/>
        </w:rPr>
        <w:t>温馨提示</w:t>
      </w:r>
      <w:r>
        <w:rPr>
          <w:rFonts w:hint="eastAsia" w:ascii="黑体" w:hAnsi="宋体" w:eastAsia="黑体" w:cs="黑体"/>
          <w:lang w:eastAsia="zh-CN" w:bidi="ar"/>
        </w:rPr>
        <w:t>：</w:t>
      </w:r>
      <w:r>
        <w:rPr>
          <w:rFonts w:hint="eastAsia" w:eastAsia="宋体" w:cs="宋体"/>
          <w:sz w:val="21"/>
          <w:szCs w:val="21"/>
          <w:lang w:eastAsia="zh-CN" w:bidi="ar"/>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4227EB16">
      <w:pPr>
        <w:widowControl w:val="0"/>
        <w:jc w:val="both"/>
        <w:rPr>
          <w:rFonts w:eastAsia="宋体"/>
          <w:kern w:val="2"/>
          <w:lang w:eastAsia="zh-CN"/>
        </w:rPr>
      </w:pPr>
    </w:p>
    <w:p w14:paraId="1A08DC2C">
      <w:pPr>
        <w:widowControl w:val="0"/>
        <w:jc w:val="center"/>
        <w:rPr>
          <w:rFonts w:ascii="黑体" w:hAnsi="宋体" w:eastAsia="黑体" w:cs="黑体"/>
          <w:bCs/>
          <w:kern w:val="2"/>
          <w:szCs w:val="32"/>
          <w:lang w:eastAsia="zh-CN"/>
        </w:rPr>
      </w:pPr>
      <w:r>
        <w:rPr>
          <w:rFonts w:hint="eastAsia" w:ascii="黑体" w:hAnsi="宋体" w:eastAsia="黑体" w:cs="黑体"/>
          <w:bCs/>
          <w:kern w:val="2"/>
          <w:szCs w:val="32"/>
          <w:lang w:eastAsia="zh-CN"/>
        </w:rPr>
        <w:br w:type="page"/>
      </w:r>
      <w:r>
        <w:rPr>
          <w:rFonts w:hint="eastAsia" w:ascii="黑体" w:hAnsi="宋体" w:eastAsia="黑体" w:cs="黑体"/>
          <w:bCs/>
          <w:kern w:val="2"/>
          <w:szCs w:val="32"/>
          <w:lang w:eastAsia="zh-CN"/>
        </w:rPr>
        <w:t>七、投标文件签署授权委托书</w:t>
      </w:r>
    </w:p>
    <w:p w14:paraId="50548686">
      <w:pPr>
        <w:widowControl w:val="0"/>
        <w:spacing w:line="360" w:lineRule="auto"/>
        <w:ind w:firstLine="420" w:firstLineChars="200"/>
        <w:jc w:val="both"/>
        <w:rPr>
          <w:rFonts w:eastAsia="宋体"/>
          <w:kern w:val="2"/>
          <w:sz w:val="21"/>
          <w:szCs w:val="21"/>
          <w:lang w:eastAsia="zh-CN"/>
        </w:rPr>
      </w:pPr>
      <w:r>
        <w:rPr>
          <w:rFonts w:hint="eastAsia" w:eastAsia="宋体" w:cs="宋体"/>
          <w:kern w:val="2"/>
          <w:sz w:val="21"/>
          <w:szCs w:val="21"/>
          <w:lang w:eastAsia="zh-CN" w:bidi="ar"/>
        </w:rPr>
        <w:t>本授权委托书声明：我</w:t>
      </w:r>
      <w:r>
        <w:rPr>
          <w:rFonts w:eastAsia="宋体"/>
          <w:kern w:val="2"/>
          <w:sz w:val="21"/>
          <w:szCs w:val="21"/>
          <w:u w:val="single"/>
          <w:lang w:eastAsia="zh-CN" w:bidi="ar"/>
        </w:rPr>
        <w:t xml:space="preserve">           </w:t>
      </w:r>
      <w:r>
        <w:rPr>
          <w:rFonts w:hint="eastAsia" w:eastAsia="宋体" w:cs="宋体"/>
          <w:kern w:val="2"/>
          <w:sz w:val="21"/>
          <w:szCs w:val="21"/>
          <w:lang w:eastAsia="zh-CN" w:bidi="ar"/>
        </w:rPr>
        <w:t>（姓名）系</w:t>
      </w:r>
      <w:r>
        <w:rPr>
          <w:rFonts w:eastAsia="宋体"/>
          <w:kern w:val="2"/>
          <w:sz w:val="21"/>
          <w:szCs w:val="21"/>
          <w:u w:val="single"/>
          <w:lang w:eastAsia="zh-CN" w:bidi="ar"/>
        </w:rPr>
        <w:t xml:space="preserve">             </w:t>
      </w:r>
      <w:r>
        <w:rPr>
          <w:rFonts w:hint="eastAsia" w:eastAsia="宋体" w:cs="宋体"/>
          <w:kern w:val="2"/>
          <w:sz w:val="21"/>
          <w:szCs w:val="21"/>
          <w:lang w:eastAsia="zh-CN" w:bidi="ar"/>
        </w:rPr>
        <w:t>（投标人名称）的法定代表人（负责人），现授权委托</w:t>
      </w:r>
      <w:r>
        <w:rPr>
          <w:rFonts w:eastAsia="宋体"/>
          <w:kern w:val="2"/>
          <w:sz w:val="21"/>
          <w:szCs w:val="21"/>
          <w:u w:val="single"/>
          <w:lang w:eastAsia="zh-CN" w:bidi="ar"/>
        </w:rPr>
        <w:t xml:space="preserve">            </w:t>
      </w:r>
      <w:r>
        <w:rPr>
          <w:rFonts w:hint="eastAsia" w:eastAsia="宋体" w:cs="宋体"/>
          <w:kern w:val="2"/>
          <w:sz w:val="21"/>
          <w:szCs w:val="21"/>
          <w:lang w:eastAsia="zh-CN" w:bidi="ar"/>
        </w:rPr>
        <w:t>（姓名）为我单位签署本项目已递交的投标文件的法定代表人（负责人）的授权委托代理人，代理人全权代表我所签署的本项目已递交的投标文件内容我均承认。</w:t>
      </w:r>
    </w:p>
    <w:p w14:paraId="4DAB0B75">
      <w:pPr>
        <w:widowControl w:val="0"/>
        <w:spacing w:line="360" w:lineRule="auto"/>
        <w:ind w:firstLine="420" w:firstLineChars="200"/>
        <w:jc w:val="both"/>
        <w:rPr>
          <w:rFonts w:eastAsia="宋体"/>
          <w:kern w:val="2"/>
          <w:sz w:val="21"/>
          <w:szCs w:val="21"/>
          <w:lang w:eastAsia="zh-CN"/>
        </w:rPr>
      </w:pPr>
      <w:r>
        <w:rPr>
          <w:rFonts w:hint="eastAsia" w:eastAsia="宋体" w:cs="宋体"/>
          <w:kern w:val="2"/>
          <w:sz w:val="21"/>
          <w:szCs w:val="21"/>
          <w:lang w:eastAsia="zh-CN" w:bidi="ar"/>
        </w:rPr>
        <w:t>代理人无转委托权，特此委托。</w:t>
      </w:r>
    </w:p>
    <w:p w14:paraId="0C82D41B">
      <w:pPr>
        <w:widowControl w:val="0"/>
        <w:spacing w:line="360" w:lineRule="auto"/>
        <w:ind w:firstLine="420" w:firstLineChars="200"/>
        <w:jc w:val="both"/>
        <w:rPr>
          <w:rFonts w:eastAsia="宋体"/>
          <w:kern w:val="2"/>
          <w:sz w:val="21"/>
          <w:szCs w:val="21"/>
          <w:lang w:eastAsia="zh-CN"/>
        </w:rPr>
      </w:pPr>
    </w:p>
    <w:p w14:paraId="35A7E5E9">
      <w:pPr>
        <w:widowControl w:val="0"/>
        <w:spacing w:line="360" w:lineRule="auto"/>
        <w:ind w:firstLine="420" w:firstLineChars="200"/>
        <w:jc w:val="both"/>
        <w:rPr>
          <w:rFonts w:eastAsia="宋体"/>
          <w:kern w:val="2"/>
          <w:sz w:val="21"/>
          <w:szCs w:val="21"/>
          <w:lang w:eastAsia="zh-CN"/>
        </w:rPr>
      </w:pPr>
      <w:r>
        <w:rPr>
          <w:rFonts w:hint="eastAsia" w:eastAsia="宋体" w:cs="宋体"/>
          <w:kern w:val="2"/>
          <w:sz w:val="21"/>
          <w:szCs w:val="21"/>
          <w:lang w:eastAsia="zh-CN" w:bidi="ar"/>
        </w:rPr>
        <w:t>代理人：</w:t>
      </w:r>
      <w:r>
        <w:rPr>
          <w:rFonts w:eastAsia="宋体"/>
          <w:kern w:val="2"/>
          <w:sz w:val="21"/>
          <w:szCs w:val="21"/>
          <w:u w:val="single"/>
          <w:lang w:eastAsia="zh-CN" w:bidi="ar"/>
        </w:rPr>
        <w:t xml:space="preserve">              </w:t>
      </w:r>
      <w:r>
        <w:rPr>
          <w:rFonts w:hint="eastAsia" w:eastAsia="宋体" w:cs="宋体"/>
          <w:kern w:val="2"/>
          <w:sz w:val="21"/>
          <w:szCs w:val="21"/>
          <w:lang w:eastAsia="zh-CN" w:bidi="ar"/>
        </w:rPr>
        <w:t>；</w:t>
      </w:r>
    </w:p>
    <w:p w14:paraId="51C9A04E">
      <w:pPr>
        <w:widowControl w:val="0"/>
        <w:spacing w:line="360" w:lineRule="auto"/>
        <w:ind w:firstLine="420" w:firstLineChars="200"/>
        <w:jc w:val="both"/>
        <w:rPr>
          <w:rFonts w:eastAsia="宋体"/>
          <w:kern w:val="2"/>
          <w:sz w:val="21"/>
          <w:szCs w:val="21"/>
          <w:lang w:eastAsia="zh-CN"/>
        </w:rPr>
      </w:pPr>
      <w:r>
        <w:rPr>
          <w:rFonts w:hint="eastAsia" w:eastAsia="宋体" w:cs="宋体"/>
          <w:kern w:val="2"/>
          <w:sz w:val="21"/>
          <w:szCs w:val="21"/>
          <w:lang w:eastAsia="zh-CN" w:bidi="ar"/>
        </w:rPr>
        <w:t>身份证件号：</w:t>
      </w:r>
      <w:r>
        <w:rPr>
          <w:rFonts w:eastAsia="宋体"/>
          <w:kern w:val="2"/>
          <w:sz w:val="21"/>
          <w:szCs w:val="21"/>
          <w:u w:val="single"/>
          <w:lang w:eastAsia="zh-CN" w:bidi="ar"/>
        </w:rPr>
        <w:t xml:space="preserve">                        </w:t>
      </w:r>
      <w:r>
        <w:rPr>
          <w:rFonts w:hint="eastAsia" w:eastAsia="宋体" w:cs="宋体"/>
          <w:kern w:val="2"/>
          <w:sz w:val="21"/>
          <w:szCs w:val="21"/>
          <w:lang w:eastAsia="zh-CN" w:bidi="ar"/>
        </w:rPr>
        <w:t>，职务：</w:t>
      </w:r>
      <w:r>
        <w:rPr>
          <w:rFonts w:eastAsia="宋体"/>
          <w:kern w:val="2"/>
          <w:sz w:val="21"/>
          <w:szCs w:val="21"/>
          <w:u w:val="single"/>
          <w:lang w:eastAsia="zh-CN" w:bidi="ar"/>
        </w:rPr>
        <w:t xml:space="preserve">                </w:t>
      </w:r>
      <w:r>
        <w:rPr>
          <w:rFonts w:hint="eastAsia" w:eastAsia="宋体" w:cs="宋体"/>
          <w:kern w:val="2"/>
          <w:sz w:val="21"/>
          <w:szCs w:val="21"/>
          <w:lang w:eastAsia="zh-CN" w:bidi="ar"/>
        </w:rPr>
        <w:t>；</w:t>
      </w:r>
    </w:p>
    <w:p w14:paraId="7BBA8034">
      <w:pPr>
        <w:widowControl w:val="0"/>
        <w:spacing w:line="360" w:lineRule="auto"/>
        <w:ind w:firstLine="420" w:firstLineChars="200"/>
        <w:jc w:val="both"/>
        <w:rPr>
          <w:rFonts w:eastAsia="宋体"/>
          <w:kern w:val="2"/>
          <w:sz w:val="21"/>
          <w:szCs w:val="21"/>
          <w:lang w:eastAsia="zh-CN"/>
        </w:rPr>
      </w:pPr>
      <w:r>
        <w:rPr>
          <w:rFonts w:hint="eastAsia" w:eastAsia="宋体" w:cs="宋体"/>
          <w:kern w:val="2"/>
          <w:sz w:val="21"/>
          <w:szCs w:val="21"/>
          <w:lang w:eastAsia="zh-CN" w:bidi="ar"/>
        </w:rPr>
        <w:t>联系电话：</w:t>
      </w:r>
      <w:r>
        <w:rPr>
          <w:rFonts w:eastAsia="宋体"/>
          <w:kern w:val="2"/>
          <w:sz w:val="21"/>
          <w:szCs w:val="21"/>
          <w:u w:val="single"/>
          <w:lang w:eastAsia="zh-CN" w:bidi="ar"/>
        </w:rPr>
        <w:t xml:space="preserve">         </w:t>
      </w:r>
      <w:r>
        <w:rPr>
          <w:rFonts w:hint="eastAsia" w:eastAsia="宋体" w:cs="宋体"/>
          <w:kern w:val="2"/>
          <w:sz w:val="21"/>
          <w:szCs w:val="21"/>
          <w:lang w:eastAsia="zh-CN" w:bidi="ar"/>
        </w:rPr>
        <w:t>，手机：</w:t>
      </w:r>
      <w:r>
        <w:rPr>
          <w:rFonts w:eastAsia="宋体"/>
          <w:kern w:val="2"/>
          <w:sz w:val="21"/>
          <w:szCs w:val="21"/>
          <w:u w:val="single"/>
          <w:lang w:eastAsia="zh-CN" w:bidi="ar"/>
        </w:rPr>
        <w:t xml:space="preserve">                </w:t>
      </w:r>
      <w:r>
        <w:rPr>
          <w:rFonts w:hint="eastAsia" w:eastAsia="宋体" w:cs="宋体"/>
          <w:kern w:val="2"/>
          <w:sz w:val="21"/>
          <w:szCs w:val="21"/>
          <w:lang w:eastAsia="zh-CN" w:bidi="ar"/>
        </w:rPr>
        <w:t>，电子邮箱：</w:t>
      </w:r>
      <w:r>
        <w:rPr>
          <w:rFonts w:eastAsia="宋体"/>
          <w:kern w:val="2"/>
          <w:sz w:val="21"/>
          <w:szCs w:val="21"/>
          <w:u w:val="single"/>
          <w:lang w:eastAsia="zh-CN" w:bidi="ar"/>
        </w:rPr>
        <w:t xml:space="preserve">                     </w:t>
      </w:r>
      <w:r>
        <w:rPr>
          <w:rFonts w:hint="eastAsia" w:eastAsia="宋体" w:cs="宋体"/>
          <w:kern w:val="2"/>
          <w:sz w:val="21"/>
          <w:szCs w:val="21"/>
          <w:lang w:eastAsia="zh-CN" w:bidi="ar"/>
        </w:rPr>
        <w:t>；</w:t>
      </w:r>
    </w:p>
    <w:p w14:paraId="4CC11176">
      <w:pPr>
        <w:widowControl w:val="0"/>
        <w:spacing w:line="360" w:lineRule="auto"/>
        <w:ind w:firstLine="420" w:firstLineChars="200"/>
        <w:jc w:val="both"/>
        <w:rPr>
          <w:rFonts w:eastAsia="宋体"/>
          <w:kern w:val="2"/>
          <w:sz w:val="21"/>
          <w:szCs w:val="21"/>
          <w:lang w:eastAsia="zh-CN"/>
        </w:rPr>
      </w:pPr>
      <w:r>
        <w:rPr>
          <w:rFonts w:hint="eastAsia" w:eastAsia="宋体" w:cs="宋体"/>
          <w:kern w:val="2"/>
          <w:sz w:val="21"/>
          <w:szCs w:val="21"/>
          <w:lang w:eastAsia="zh-CN" w:bidi="ar"/>
        </w:rPr>
        <w:t>授权委托日期：</w:t>
      </w:r>
      <w:r>
        <w:rPr>
          <w:rFonts w:eastAsia="宋体"/>
          <w:kern w:val="2"/>
          <w:sz w:val="21"/>
          <w:szCs w:val="21"/>
          <w:u w:val="single"/>
          <w:lang w:eastAsia="zh-CN" w:bidi="ar"/>
        </w:rPr>
        <w:t xml:space="preserve">         </w:t>
      </w:r>
      <w:r>
        <w:rPr>
          <w:rFonts w:hint="eastAsia" w:eastAsia="宋体" w:cs="宋体"/>
          <w:kern w:val="2"/>
          <w:sz w:val="21"/>
          <w:szCs w:val="21"/>
          <w:lang w:eastAsia="zh-CN" w:bidi="ar"/>
        </w:rPr>
        <w:t>年</w:t>
      </w:r>
      <w:r>
        <w:rPr>
          <w:rFonts w:eastAsia="宋体"/>
          <w:kern w:val="2"/>
          <w:sz w:val="21"/>
          <w:szCs w:val="21"/>
          <w:u w:val="single"/>
          <w:lang w:eastAsia="zh-CN" w:bidi="ar"/>
        </w:rPr>
        <w:t xml:space="preserve">     </w:t>
      </w:r>
      <w:r>
        <w:rPr>
          <w:rFonts w:hint="eastAsia" w:eastAsia="宋体" w:cs="宋体"/>
          <w:kern w:val="2"/>
          <w:sz w:val="21"/>
          <w:szCs w:val="21"/>
          <w:lang w:eastAsia="zh-CN" w:bidi="ar"/>
        </w:rPr>
        <w:t>月</w:t>
      </w:r>
      <w:r>
        <w:rPr>
          <w:rFonts w:eastAsia="宋体"/>
          <w:kern w:val="2"/>
          <w:sz w:val="21"/>
          <w:szCs w:val="21"/>
          <w:lang w:eastAsia="zh-CN" w:bidi="ar"/>
        </w:rPr>
        <w:t xml:space="preserve"> </w:t>
      </w:r>
      <w:r>
        <w:rPr>
          <w:rFonts w:eastAsia="宋体"/>
          <w:kern w:val="2"/>
          <w:sz w:val="21"/>
          <w:szCs w:val="21"/>
          <w:u w:val="single"/>
          <w:lang w:eastAsia="zh-CN" w:bidi="ar"/>
        </w:rPr>
        <w:t xml:space="preserve">      </w:t>
      </w:r>
      <w:r>
        <w:rPr>
          <w:rFonts w:hint="eastAsia" w:eastAsia="宋体" w:cs="宋体"/>
          <w:kern w:val="2"/>
          <w:sz w:val="21"/>
          <w:szCs w:val="21"/>
          <w:lang w:eastAsia="zh-CN" w:bidi="ar"/>
        </w:rPr>
        <w:t>日。</w:t>
      </w:r>
    </w:p>
    <w:p w14:paraId="0048F668">
      <w:pPr>
        <w:widowControl w:val="0"/>
        <w:spacing w:line="360" w:lineRule="auto"/>
        <w:jc w:val="both"/>
        <w:rPr>
          <w:rFonts w:eastAsia="宋体"/>
          <w:b/>
          <w:color w:val="FF0000"/>
          <w:kern w:val="2"/>
          <w:sz w:val="21"/>
          <w:szCs w:val="21"/>
          <w:lang w:eastAsia="zh-CN"/>
        </w:rPr>
      </w:pPr>
      <w:r>
        <w:rPr>
          <w:rFonts w:hint="eastAsia" w:eastAsia="宋体" w:cs="宋体"/>
          <w:b/>
          <w:color w:val="FF0000"/>
          <w:kern w:val="2"/>
          <w:sz w:val="21"/>
          <w:szCs w:val="21"/>
          <w:lang w:eastAsia="zh-CN" w:bidi="ar"/>
        </w:rPr>
        <w:t>附：请提供代理人身份证扫描件（正反两面）；港澳台居民可提供来往通行证扫描件；非中国国籍管辖范围人员，可提供公安部门认可的身份证明材料扫描件。</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4"/>
        <w:gridCol w:w="4645"/>
      </w:tblGrid>
      <w:tr w14:paraId="0D983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Borders>
              <w:top w:val="single" w:color="auto" w:sz="4" w:space="0"/>
              <w:left w:val="single" w:color="auto" w:sz="4" w:space="0"/>
              <w:bottom w:val="single" w:color="auto" w:sz="4" w:space="0"/>
              <w:right w:val="single" w:color="auto" w:sz="4" w:space="0"/>
            </w:tcBorders>
            <w:shd w:val="clear" w:color="auto" w:fill="auto"/>
          </w:tcPr>
          <w:p w14:paraId="4A5C2E30">
            <w:pPr>
              <w:keepNext w:val="0"/>
              <w:keepLines w:val="0"/>
              <w:widowControl w:val="0"/>
              <w:suppressLineNumbers w:val="0"/>
              <w:spacing w:before="0" w:beforeAutospacing="0" w:after="0" w:afterAutospacing="0"/>
              <w:ind w:left="0" w:right="0"/>
              <w:jc w:val="center"/>
              <w:rPr>
                <w:rFonts w:eastAsia="宋体"/>
                <w:kern w:val="2"/>
                <w:sz w:val="21"/>
                <w:lang w:eastAsia="zh-CN"/>
              </w:rPr>
            </w:pPr>
            <w:r>
              <w:rPr>
                <w:rFonts w:hint="eastAsia" w:eastAsia="宋体" w:cs="宋体"/>
                <w:kern w:val="2"/>
                <w:sz w:val="21"/>
                <w:lang w:eastAsia="zh-CN" w:bidi="ar"/>
              </w:rPr>
              <w:t>证件扫描件正面</w:t>
            </w:r>
          </w:p>
          <w:p w14:paraId="49734D2F">
            <w:pPr>
              <w:keepNext w:val="0"/>
              <w:keepLines w:val="0"/>
              <w:widowControl w:val="0"/>
              <w:suppressLineNumbers w:val="0"/>
              <w:spacing w:before="0" w:beforeAutospacing="0" w:after="120" w:afterAutospacing="0"/>
              <w:ind w:left="0" w:right="0"/>
              <w:jc w:val="left"/>
              <w:rPr>
                <w:rFonts w:eastAsia="宋体"/>
                <w:lang w:eastAsia="zh-CN" w:bidi="ar"/>
              </w:rPr>
            </w:pPr>
          </w:p>
          <w:p w14:paraId="070707EA">
            <w:pPr>
              <w:keepNext w:val="0"/>
              <w:keepLines w:val="0"/>
              <w:widowControl w:val="0"/>
              <w:suppressLineNumbers w:val="0"/>
              <w:spacing w:before="0" w:beforeAutospacing="0" w:after="0" w:afterAutospacing="0" w:line="360" w:lineRule="auto"/>
              <w:ind w:left="0" w:right="0"/>
              <w:jc w:val="left"/>
              <w:rPr>
                <w:rFonts w:eastAsia="宋体"/>
                <w:lang w:eastAsia="zh-CN" w:bidi="ar"/>
              </w:rPr>
            </w:pPr>
          </w:p>
          <w:p w14:paraId="3C913FD2">
            <w:pPr>
              <w:keepNext w:val="0"/>
              <w:keepLines w:val="0"/>
              <w:widowControl w:val="0"/>
              <w:suppressLineNumbers w:val="0"/>
              <w:spacing w:before="0" w:beforeAutospacing="0" w:after="0" w:afterAutospacing="0" w:line="360" w:lineRule="auto"/>
              <w:ind w:left="0" w:right="0"/>
              <w:jc w:val="left"/>
              <w:rPr>
                <w:rFonts w:eastAsia="宋体"/>
                <w:lang w:eastAsia="zh-CN" w:bidi="ar"/>
              </w:rPr>
            </w:pPr>
          </w:p>
          <w:p w14:paraId="77B43BA3">
            <w:pPr>
              <w:keepNext w:val="0"/>
              <w:keepLines w:val="0"/>
              <w:widowControl w:val="0"/>
              <w:suppressLineNumbers w:val="0"/>
              <w:spacing w:before="0" w:beforeAutospacing="0" w:after="0" w:afterAutospacing="0" w:line="360" w:lineRule="auto"/>
              <w:ind w:left="0" w:right="0"/>
              <w:jc w:val="left"/>
              <w:rPr>
                <w:rFonts w:eastAsia="宋体"/>
                <w:lang w:eastAsia="zh-CN" w:bidi="ar"/>
              </w:rPr>
            </w:pPr>
          </w:p>
        </w:tc>
        <w:tc>
          <w:tcPr>
            <w:tcW w:w="4265" w:type="dxa"/>
            <w:tcBorders>
              <w:top w:val="single" w:color="auto" w:sz="4" w:space="0"/>
              <w:left w:val="single" w:color="auto" w:sz="4" w:space="0"/>
              <w:bottom w:val="single" w:color="auto" w:sz="4" w:space="0"/>
              <w:right w:val="single" w:color="auto" w:sz="4" w:space="0"/>
            </w:tcBorders>
            <w:shd w:val="clear" w:color="auto" w:fill="auto"/>
          </w:tcPr>
          <w:p w14:paraId="3714BBB7">
            <w:pPr>
              <w:keepNext w:val="0"/>
              <w:keepLines w:val="0"/>
              <w:widowControl w:val="0"/>
              <w:suppressLineNumbers w:val="0"/>
              <w:spacing w:before="0" w:beforeAutospacing="0" w:after="0" w:afterAutospacing="0"/>
              <w:ind w:left="0" w:right="0"/>
              <w:jc w:val="center"/>
              <w:rPr>
                <w:rFonts w:eastAsia="宋体"/>
                <w:kern w:val="2"/>
                <w:sz w:val="21"/>
                <w:lang w:eastAsia="zh-CN"/>
              </w:rPr>
            </w:pPr>
            <w:r>
              <w:rPr>
                <w:rFonts w:hint="eastAsia" w:eastAsia="宋体" w:cs="宋体"/>
                <w:kern w:val="2"/>
                <w:sz w:val="21"/>
                <w:lang w:eastAsia="zh-CN" w:bidi="ar"/>
              </w:rPr>
              <w:t>证件扫描件反面</w:t>
            </w:r>
          </w:p>
          <w:p w14:paraId="6695E44E">
            <w:pPr>
              <w:keepNext w:val="0"/>
              <w:keepLines w:val="0"/>
              <w:widowControl w:val="0"/>
              <w:suppressLineNumbers w:val="0"/>
              <w:spacing w:before="0" w:beforeAutospacing="0" w:after="120" w:afterAutospacing="0"/>
              <w:ind w:left="0" w:right="0"/>
              <w:jc w:val="center"/>
              <w:rPr>
                <w:rFonts w:eastAsia="宋体"/>
                <w:lang w:eastAsia="zh-CN" w:bidi="ar"/>
              </w:rPr>
            </w:pPr>
          </w:p>
          <w:p w14:paraId="6C946575">
            <w:pPr>
              <w:keepNext w:val="0"/>
              <w:keepLines w:val="0"/>
              <w:widowControl w:val="0"/>
              <w:suppressLineNumbers w:val="0"/>
              <w:spacing w:before="0" w:beforeAutospacing="0" w:after="0" w:afterAutospacing="0" w:line="360" w:lineRule="auto"/>
              <w:ind w:left="0" w:right="0"/>
              <w:jc w:val="center"/>
              <w:rPr>
                <w:rFonts w:eastAsia="宋体"/>
                <w:lang w:eastAsia="zh-CN" w:bidi="ar"/>
              </w:rPr>
            </w:pPr>
          </w:p>
        </w:tc>
      </w:tr>
    </w:tbl>
    <w:p w14:paraId="410CE7F9">
      <w:pPr>
        <w:widowControl w:val="0"/>
        <w:spacing w:before="0" w:beforeAutospacing="1" w:after="0" w:afterAutospacing="1"/>
        <w:ind w:left="0" w:right="0"/>
        <w:jc w:val="left"/>
        <w:rPr>
          <w:rFonts w:eastAsia="宋体"/>
          <w:szCs w:val="22"/>
          <w:lang w:eastAsia="zh-CN" w:bidi="ar"/>
        </w:rPr>
      </w:pPr>
      <w:r>
        <w:rPr>
          <w:rFonts w:hint="eastAsia" w:ascii="黑体" w:hAnsi="宋体" w:eastAsia="黑体" w:cs="黑体"/>
          <w:b/>
          <w:bCs/>
          <w:lang w:eastAsia="zh-CN" w:bidi="ar"/>
        </w:rPr>
        <w:t>温馨提示</w:t>
      </w:r>
      <w:r>
        <w:rPr>
          <w:rFonts w:hint="eastAsia" w:ascii="黑体" w:hAnsi="宋体" w:eastAsia="黑体" w:cs="黑体"/>
          <w:lang w:eastAsia="zh-CN" w:bidi="ar"/>
        </w:rPr>
        <w:t>：</w:t>
      </w:r>
      <w:r>
        <w:rPr>
          <w:rFonts w:hint="eastAsia" w:eastAsia="宋体" w:cs="宋体"/>
          <w:sz w:val="21"/>
          <w:szCs w:val="21"/>
          <w:lang w:eastAsia="zh-CN" w:bidi="ar"/>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43CB0D20">
      <w:pPr>
        <w:widowControl w:val="0"/>
        <w:jc w:val="both"/>
        <w:rPr>
          <w:rFonts w:eastAsia="宋体"/>
          <w:kern w:val="2"/>
          <w:sz w:val="21"/>
          <w:lang w:eastAsia="zh-CN"/>
        </w:rPr>
      </w:pPr>
    </w:p>
    <w:p w14:paraId="2D31557C">
      <w:pPr>
        <w:widowControl w:val="0"/>
        <w:spacing w:line="360" w:lineRule="auto"/>
        <w:jc w:val="center"/>
        <w:rPr>
          <w:rFonts w:ascii="黑体" w:hAnsi="宋体" w:eastAsia="黑体"/>
          <w:bCs/>
          <w:lang w:eastAsia="zh-CN"/>
        </w:rPr>
      </w:pPr>
      <w:r>
        <w:rPr>
          <w:rFonts w:eastAsia="宋体"/>
          <w:b/>
          <w:bCs/>
          <w:kern w:val="2"/>
          <w:lang w:eastAsia="zh-CN"/>
        </w:rPr>
        <w:br w:type="page"/>
      </w:r>
      <w:r>
        <w:rPr>
          <w:rFonts w:hint="eastAsia" w:ascii="黑体" w:hAnsi="宋体" w:eastAsia="黑体"/>
          <w:bCs/>
          <w:lang w:eastAsia="zh-CN"/>
        </w:rPr>
        <w:t>八、</w:t>
      </w:r>
      <w:bookmarkStart w:id="41" w:name="_Hlk72092634"/>
      <w:r>
        <w:rPr>
          <w:rFonts w:hint="eastAsia" w:ascii="黑体" w:hAnsi="宋体" w:eastAsia="黑体"/>
          <w:bCs/>
          <w:lang w:eastAsia="zh-CN"/>
        </w:rPr>
        <w:t>实质性条款响应情况表</w:t>
      </w:r>
      <w:bookmarkEnd w:id="41"/>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3558"/>
        <w:gridCol w:w="2920"/>
        <w:gridCol w:w="1322"/>
        <w:gridCol w:w="806"/>
      </w:tblGrid>
      <w:tr w14:paraId="788C6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3A03A93F">
            <w:pPr>
              <w:keepNext w:val="0"/>
              <w:keepLines w:val="0"/>
              <w:widowControl w:val="0"/>
              <w:suppressLineNumbers w:val="0"/>
              <w:adjustRightInd w:val="0"/>
              <w:snapToGrid w:val="0"/>
              <w:spacing w:before="0" w:beforeAutospacing="0" w:after="0" w:afterAutospacing="0" w:line="360" w:lineRule="auto"/>
              <w:ind w:left="0" w:right="0"/>
              <w:jc w:val="center"/>
              <w:rPr>
                <w:rFonts w:ascii="宋体" w:hAnsi="宋体" w:eastAsia="宋体" w:cs="宋体"/>
                <w:sz w:val="21"/>
                <w:szCs w:val="21"/>
                <w:lang w:eastAsia="zh-CN"/>
              </w:rPr>
            </w:pPr>
            <w:bookmarkStart w:id="42" w:name="_Hlk72092651"/>
            <w:r>
              <w:rPr>
                <w:rFonts w:hint="eastAsia" w:ascii="宋体" w:hAnsi="宋体" w:eastAsia="宋体" w:cs="宋体"/>
                <w:sz w:val="21"/>
                <w:szCs w:val="21"/>
                <w:lang w:eastAsia="zh-CN" w:bidi="ar"/>
              </w:rPr>
              <w:t>序号</w:t>
            </w:r>
          </w:p>
        </w:tc>
        <w:tc>
          <w:tcPr>
            <w:tcW w:w="3711" w:type="dxa"/>
            <w:tcBorders>
              <w:top w:val="single" w:color="auto" w:sz="4" w:space="0"/>
              <w:left w:val="single" w:color="auto" w:sz="4" w:space="0"/>
              <w:bottom w:val="single" w:color="auto" w:sz="4" w:space="0"/>
              <w:right w:val="single" w:color="auto" w:sz="4" w:space="0"/>
            </w:tcBorders>
            <w:shd w:val="clear" w:color="auto" w:fill="auto"/>
            <w:vAlign w:val="center"/>
          </w:tcPr>
          <w:p w14:paraId="43D2A114">
            <w:pPr>
              <w:keepNext w:val="0"/>
              <w:keepLines w:val="0"/>
              <w:widowControl w:val="0"/>
              <w:suppressLineNumbers w:val="0"/>
              <w:adjustRightInd w:val="0"/>
              <w:snapToGrid w:val="0"/>
              <w:spacing w:before="0" w:beforeAutospacing="0" w:after="0" w:afterAutospacing="0" w:line="360" w:lineRule="auto"/>
              <w:ind w:left="0" w:right="0"/>
              <w:jc w:val="center"/>
              <w:rPr>
                <w:rFonts w:ascii="宋体" w:hAnsi="宋体" w:eastAsia="宋体" w:cs="宋体"/>
                <w:sz w:val="21"/>
                <w:szCs w:val="21"/>
                <w:lang w:eastAsia="zh-CN"/>
              </w:rPr>
            </w:pPr>
            <w:r>
              <w:rPr>
                <w:rFonts w:hint="eastAsia" w:ascii="宋体" w:hAnsi="宋体" w:eastAsia="宋体" w:cs="宋体"/>
                <w:sz w:val="21"/>
                <w:szCs w:val="21"/>
                <w:lang w:eastAsia="zh-CN" w:bidi="ar"/>
              </w:rPr>
              <w:t>实质性条款具体内容</w:t>
            </w:r>
          </w:p>
        </w:tc>
        <w:tc>
          <w:tcPr>
            <w:tcW w:w="3043" w:type="dxa"/>
            <w:tcBorders>
              <w:top w:val="single" w:color="auto" w:sz="4" w:space="0"/>
              <w:left w:val="single" w:color="auto" w:sz="4" w:space="0"/>
              <w:bottom w:val="single" w:color="auto" w:sz="4" w:space="0"/>
              <w:right w:val="single" w:color="auto" w:sz="4" w:space="0"/>
            </w:tcBorders>
            <w:shd w:val="clear" w:color="auto" w:fill="auto"/>
            <w:vAlign w:val="center"/>
          </w:tcPr>
          <w:p w14:paraId="1963D06A">
            <w:pPr>
              <w:keepNext w:val="0"/>
              <w:keepLines w:val="0"/>
              <w:widowControl w:val="0"/>
              <w:suppressLineNumbers w:val="0"/>
              <w:adjustRightInd w:val="0"/>
              <w:snapToGrid w:val="0"/>
              <w:spacing w:before="0" w:beforeAutospacing="0" w:after="0" w:afterAutospacing="0" w:line="360" w:lineRule="auto"/>
              <w:ind w:left="0" w:right="0"/>
              <w:jc w:val="center"/>
              <w:rPr>
                <w:rFonts w:ascii="宋体" w:hAnsi="宋体" w:eastAsia="宋体" w:cs="宋体"/>
                <w:sz w:val="21"/>
                <w:szCs w:val="21"/>
                <w:lang w:eastAsia="zh-CN"/>
              </w:rPr>
            </w:pPr>
            <w:r>
              <w:rPr>
                <w:rFonts w:hint="eastAsia" w:eastAsia="宋体" w:cs="宋体"/>
                <w:kern w:val="2"/>
                <w:sz w:val="21"/>
                <w:lang w:eastAsia="zh-CN" w:bidi="ar"/>
              </w:rPr>
              <w:t>投标响应</w:t>
            </w:r>
          </w:p>
        </w:tc>
        <w:tc>
          <w:tcPr>
            <w:tcW w:w="1372" w:type="dxa"/>
            <w:tcBorders>
              <w:top w:val="single" w:color="auto" w:sz="4" w:space="0"/>
              <w:left w:val="single" w:color="auto" w:sz="4" w:space="0"/>
              <w:bottom w:val="single" w:color="auto" w:sz="4" w:space="0"/>
              <w:right w:val="single" w:color="auto" w:sz="4" w:space="0"/>
            </w:tcBorders>
            <w:shd w:val="clear" w:color="auto" w:fill="auto"/>
            <w:vAlign w:val="center"/>
          </w:tcPr>
          <w:p w14:paraId="21F700F7">
            <w:pPr>
              <w:keepNext w:val="0"/>
              <w:keepLines w:val="0"/>
              <w:widowControl w:val="0"/>
              <w:suppressLineNumbers w:val="0"/>
              <w:adjustRightInd w:val="0"/>
              <w:snapToGrid w:val="0"/>
              <w:spacing w:before="0" w:beforeAutospacing="0" w:after="0" w:afterAutospacing="0" w:line="360" w:lineRule="auto"/>
              <w:ind w:left="0" w:right="0"/>
              <w:jc w:val="center"/>
              <w:rPr>
                <w:rFonts w:ascii="宋体" w:hAnsi="宋体" w:eastAsia="宋体" w:cs="宋体"/>
                <w:sz w:val="21"/>
                <w:szCs w:val="21"/>
                <w:lang w:eastAsia="zh-CN"/>
              </w:rPr>
            </w:pPr>
            <w:r>
              <w:rPr>
                <w:rFonts w:hint="eastAsia" w:eastAsia="宋体" w:cs="宋体"/>
                <w:kern w:val="2"/>
                <w:sz w:val="21"/>
                <w:lang w:eastAsia="zh-CN" w:bidi="ar"/>
              </w:rPr>
              <w:t>偏离情况</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14:paraId="0BAD987D">
            <w:pPr>
              <w:keepNext w:val="0"/>
              <w:keepLines w:val="0"/>
              <w:widowControl w:val="0"/>
              <w:suppressLineNumbers w:val="0"/>
              <w:adjustRightInd w:val="0"/>
              <w:snapToGrid w:val="0"/>
              <w:spacing w:before="0" w:beforeAutospacing="0" w:after="0" w:afterAutospacing="0" w:line="360" w:lineRule="auto"/>
              <w:ind w:left="0" w:right="0"/>
              <w:jc w:val="center"/>
              <w:rPr>
                <w:rFonts w:ascii="宋体" w:hAnsi="宋体" w:eastAsia="宋体" w:cs="宋体"/>
                <w:sz w:val="21"/>
                <w:szCs w:val="21"/>
                <w:lang w:eastAsia="zh-CN"/>
              </w:rPr>
            </w:pPr>
            <w:r>
              <w:rPr>
                <w:rFonts w:hint="eastAsia" w:eastAsia="宋体" w:cs="宋体"/>
                <w:kern w:val="2"/>
                <w:sz w:val="21"/>
                <w:lang w:eastAsia="zh-CN" w:bidi="ar"/>
              </w:rPr>
              <w:t>说明</w:t>
            </w:r>
          </w:p>
        </w:tc>
      </w:tr>
      <w:bookmarkEnd w:id="42"/>
      <w:tr w14:paraId="05F7C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60540180">
            <w:pPr>
              <w:keepNext w:val="0"/>
              <w:keepLines w:val="0"/>
              <w:widowControl w:val="0"/>
              <w:suppressLineNumbers w:val="0"/>
              <w:adjustRightInd w:val="0"/>
              <w:snapToGrid w:val="0"/>
              <w:spacing w:before="0" w:beforeAutospacing="0" w:after="0" w:afterAutospacing="0" w:line="360" w:lineRule="auto"/>
              <w:ind w:left="0" w:leftChars="0" w:right="0" w:rightChars="0"/>
              <w:jc w:val="center"/>
              <w:rPr>
                <w:rFonts w:ascii="宋体" w:hAnsi="宋体" w:eastAsia="宋体" w:cs="宋体"/>
                <w:sz w:val="21"/>
                <w:szCs w:val="21"/>
                <w:lang w:eastAsia="zh-CN"/>
              </w:rPr>
            </w:pPr>
            <w:r>
              <w:rPr>
                <w:rFonts w:hint="eastAsia" w:ascii="宋体" w:hAnsi="宋体" w:eastAsia="宋体"/>
                <w:sz w:val="21"/>
                <w:szCs w:val="21"/>
                <w:lang w:eastAsia="zh-CN"/>
              </w:rPr>
              <w:t>1</w:t>
            </w:r>
          </w:p>
        </w:tc>
        <w:tc>
          <w:tcPr>
            <w:tcW w:w="3711" w:type="dxa"/>
            <w:tcBorders>
              <w:top w:val="single" w:color="auto" w:sz="4" w:space="0"/>
              <w:left w:val="single" w:color="auto" w:sz="4" w:space="0"/>
              <w:bottom w:val="single" w:color="auto" w:sz="4" w:space="0"/>
              <w:right w:val="single" w:color="auto" w:sz="4" w:space="0"/>
            </w:tcBorders>
            <w:shd w:val="clear" w:color="auto" w:fill="auto"/>
            <w:vAlign w:val="top"/>
          </w:tcPr>
          <w:p w14:paraId="21320BDB">
            <w:pPr>
              <w:keepNext w:val="0"/>
              <w:keepLines w:val="0"/>
              <w:widowControl w:val="0"/>
              <w:suppressLineNumbers w:val="0"/>
              <w:spacing w:before="0" w:beforeAutospacing="0" w:after="0" w:afterAutospacing="0"/>
              <w:ind w:left="0" w:leftChars="0" w:right="0" w:rightChars="0"/>
              <w:jc w:val="both"/>
              <w:rPr>
                <w:rFonts w:hAnsi="宋体" w:eastAsia="宋体"/>
                <w:sz w:val="21"/>
                <w:szCs w:val="21"/>
                <w:lang w:eastAsia="zh-CN"/>
              </w:rPr>
            </w:pPr>
            <w:r>
              <w:rPr>
                <w:rFonts w:hint="eastAsia" w:ascii="宋体" w:hAnsi="宋体" w:eastAsia="宋体" w:cs="宋体"/>
                <w:kern w:val="2"/>
                <w:sz w:val="21"/>
                <w:lang w:eastAsia="zh-CN"/>
              </w:rPr>
              <w:t>满足本项目标★的条款要求。</w:t>
            </w:r>
          </w:p>
        </w:tc>
        <w:tc>
          <w:tcPr>
            <w:tcW w:w="3043" w:type="dxa"/>
            <w:tcBorders>
              <w:top w:val="single" w:color="auto" w:sz="4" w:space="0"/>
              <w:left w:val="single" w:color="auto" w:sz="4" w:space="0"/>
              <w:bottom w:val="single" w:color="auto" w:sz="4" w:space="0"/>
              <w:right w:val="single" w:color="auto" w:sz="4" w:space="0"/>
            </w:tcBorders>
            <w:shd w:val="clear" w:color="auto" w:fill="auto"/>
          </w:tcPr>
          <w:p w14:paraId="1799B025">
            <w:pPr>
              <w:keepNext w:val="0"/>
              <w:keepLines w:val="0"/>
              <w:widowControl w:val="0"/>
              <w:suppressLineNumbers w:val="0"/>
              <w:adjustRightInd w:val="0"/>
              <w:snapToGrid w:val="0"/>
              <w:spacing w:before="0" w:beforeAutospacing="0" w:after="0" w:afterAutospacing="0" w:line="360" w:lineRule="auto"/>
              <w:ind w:left="0" w:right="0"/>
              <w:jc w:val="both"/>
              <w:rPr>
                <w:rFonts w:ascii="宋体" w:hAnsi="宋体" w:eastAsia="宋体" w:cs="宋体"/>
                <w:sz w:val="21"/>
                <w:szCs w:val="21"/>
                <w:lang w:eastAsia="zh-CN"/>
              </w:rPr>
            </w:pPr>
          </w:p>
        </w:tc>
        <w:tc>
          <w:tcPr>
            <w:tcW w:w="1372" w:type="dxa"/>
            <w:tcBorders>
              <w:top w:val="single" w:color="auto" w:sz="4" w:space="0"/>
              <w:left w:val="single" w:color="auto" w:sz="4" w:space="0"/>
              <w:bottom w:val="single" w:color="auto" w:sz="4" w:space="0"/>
              <w:right w:val="single" w:color="auto" w:sz="4" w:space="0"/>
            </w:tcBorders>
            <w:shd w:val="clear" w:color="auto" w:fill="auto"/>
          </w:tcPr>
          <w:p w14:paraId="6CD8A100">
            <w:pPr>
              <w:keepNext w:val="0"/>
              <w:keepLines w:val="0"/>
              <w:widowControl w:val="0"/>
              <w:suppressLineNumbers w:val="0"/>
              <w:adjustRightInd w:val="0"/>
              <w:snapToGrid w:val="0"/>
              <w:spacing w:before="0" w:beforeAutospacing="0" w:after="0" w:afterAutospacing="0" w:line="360" w:lineRule="auto"/>
              <w:ind w:left="0" w:right="0"/>
              <w:jc w:val="both"/>
              <w:rPr>
                <w:rFonts w:ascii="宋体" w:hAnsi="宋体" w:eastAsia="宋体" w:cs="宋体"/>
                <w:sz w:val="21"/>
                <w:szCs w:val="21"/>
                <w:lang w:eastAsia="zh-CN"/>
              </w:rPr>
            </w:pPr>
          </w:p>
        </w:tc>
        <w:tc>
          <w:tcPr>
            <w:tcW w:w="832" w:type="dxa"/>
            <w:tcBorders>
              <w:top w:val="single" w:color="auto" w:sz="4" w:space="0"/>
              <w:left w:val="single" w:color="auto" w:sz="4" w:space="0"/>
              <w:bottom w:val="single" w:color="auto" w:sz="4" w:space="0"/>
              <w:right w:val="single" w:color="auto" w:sz="4" w:space="0"/>
            </w:tcBorders>
            <w:shd w:val="clear" w:color="auto" w:fill="auto"/>
          </w:tcPr>
          <w:p w14:paraId="2280C504">
            <w:pPr>
              <w:keepNext w:val="0"/>
              <w:keepLines w:val="0"/>
              <w:widowControl w:val="0"/>
              <w:suppressLineNumbers w:val="0"/>
              <w:adjustRightInd w:val="0"/>
              <w:snapToGrid w:val="0"/>
              <w:spacing w:before="0" w:beforeAutospacing="0" w:after="0" w:afterAutospacing="0" w:line="360" w:lineRule="auto"/>
              <w:ind w:left="0" w:right="0"/>
              <w:jc w:val="both"/>
              <w:rPr>
                <w:rFonts w:ascii="宋体" w:hAnsi="宋体" w:eastAsia="宋体" w:cs="宋体"/>
                <w:sz w:val="21"/>
                <w:szCs w:val="21"/>
                <w:lang w:eastAsia="zh-CN"/>
              </w:rPr>
            </w:pPr>
          </w:p>
        </w:tc>
      </w:tr>
      <w:tr w14:paraId="3F39A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0837D53C">
            <w:pPr>
              <w:keepNext w:val="0"/>
              <w:keepLines w:val="0"/>
              <w:widowControl w:val="0"/>
              <w:suppressLineNumbers w:val="0"/>
              <w:adjustRightInd w:val="0"/>
              <w:snapToGrid w:val="0"/>
              <w:spacing w:before="0" w:beforeAutospacing="0" w:after="0" w:afterAutospacing="0" w:line="360" w:lineRule="auto"/>
              <w:ind w:left="0" w:leftChars="0" w:right="0" w:rightChars="0"/>
              <w:jc w:val="center"/>
              <w:rPr>
                <w:rFonts w:ascii="宋体" w:hAnsi="宋体" w:eastAsia="宋体" w:cs="宋体"/>
                <w:sz w:val="21"/>
                <w:szCs w:val="21"/>
                <w:lang w:eastAsia="zh-CN"/>
              </w:rPr>
            </w:pPr>
            <w:r>
              <w:rPr>
                <w:rFonts w:hint="eastAsia" w:ascii="宋体" w:hAnsi="宋体" w:eastAsia="宋体" w:cs="宋体"/>
                <w:b/>
                <w:bCs/>
                <w:color w:val="FF0000"/>
                <w:sz w:val="21"/>
                <w:szCs w:val="21"/>
                <w:lang w:eastAsia="zh-CN" w:bidi="ar"/>
              </w:rPr>
              <w:t>1.1</w:t>
            </w:r>
          </w:p>
        </w:tc>
        <w:tc>
          <w:tcPr>
            <w:tcW w:w="3711" w:type="dxa"/>
            <w:tcBorders>
              <w:top w:val="single" w:color="auto" w:sz="4" w:space="0"/>
              <w:left w:val="single" w:color="auto" w:sz="4" w:space="0"/>
              <w:bottom w:val="single" w:color="auto" w:sz="4" w:space="0"/>
              <w:right w:val="single" w:color="auto" w:sz="4" w:space="0"/>
            </w:tcBorders>
            <w:shd w:val="clear" w:color="auto" w:fill="auto"/>
            <w:vAlign w:val="top"/>
          </w:tcPr>
          <w:p w14:paraId="3D300045">
            <w:pPr>
              <w:keepNext w:val="0"/>
              <w:keepLines w:val="0"/>
              <w:widowControl w:val="0"/>
              <w:suppressLineNumbers w:val="0"/>
              <w:spacing w:before="0" w:beforeAutospacing="0" w:after="0" w:afterAutospacing="0"/>
              <w:ind w:left="0" w:leftChars="0" w:right="0" w:rightChars="0"/>
              <w:jc w:val="both"/>
              <w:rPr>
                <w:rFonts w:hAnsi="宋体" w:eastAsia="宋体"/>
                <w:sz w:val="21"/>
                <w:szCs w:val="21"/>
                <w:lang w:eastAsia="zh-CN"/>
              </w:rPr>
            </w:pPr>
            <w:r>
              <w:rPr>
                <w:rFonts w:hint="eastAsia" w:ascii="宋体" w:hAnsi="宋体" w:eastAsia="宋体" w:cs="宋体"/>
                <w:b/>
                <w:bCs/>
                <w:color w:val="FF0000"/>
                <w:kern w:val="2"/>
                <w:sz w:val="21"/>
                <w:lang w:eastAsia="zh-CN"/>
              </w:rPr>
              <w:t>★</w:t>
            </w:r>
            <w:r>
              <w:rPr>
                <w:rFonts w:hint="eastAsia" w:ascii="宋体" w:hAnsi="宋体" w:eastAsia="宋体"/>
                <w:b/>
                <w:bCs/>
                <w:color w:val="FF0000"/>
                <w:sz w:val="21"/>
                <w:szCs w:val="21"/>
                <w:lang w:eastAsia="zh-CN"/>
              </w:rPr>
              <w:t>供应商负责在检测完成后，对氮气和七氟丙烷进行全新气体充装，充装重量、压力应符合系统要求。</w:t>
            </w:r>
          </w:p>
        </w:tc>
        <w:tc>
          <w:tcPr>
            <w:tcW w:w="3043" w:type="dxa"/>
            <w:tcBorders>
              <w:top w:val="single" w:color="auto" w:sz="4" w:space="0"/>
              <w:left w:val="single" w:color="auto" w:sz="4" w:space="0"/>
              <w:bottom w:val="single" w:color="auto" w:sz="4" w:space="0"/>
              <w:right w:val="single" w:color="auto" w:sz="4" w:space="0"/>
            </w:tcBorders>
            <w:shd w:val="clear" w:color="auto" w:fill="auto"/>
          </w:tcPr>
          <w:p w14:paraId="3E802F26">
            <w:pPr>
              <w:keepNext w:val="0"/>
              <w:keepLines w:val="0"/>
              <w:widowControl w:val="0"/>
              <w:suppressLineNumbers w:val="0"/>
              <w:adjustRightInd w:val="0"/>
              <w:snapToGrid w:val="0"/>
              <w:spacing w:before="0" w:beforeAutospacing="0" w:after="0" w:afterAutospacing="0" w:line="360" w:lineRule="auto"/>
              <w:ind w:left="0" w:right="0"/>
              <w:jc w:val="both"/>
              <w:rPr>
                <w:rFonts w:ascii="宋体" w:hAnsi="宋体" w:eastAsia="宋体" w:cs="宋体"/>
                <w:sz w:val="21"/>
                <w:szCs w:val="21"/>
                <w:lang w:eastAsia="zh-CN"/>
              </w:rPr>
            </w:pPr>
          </w:p>
        </w:tc>
        <w:tc>
          <w:tcPr>
            <w:tcW w:w="1372" w:type="dxa"/>
            <w:tcBorders>
              <w:top w:val="single" w:color="auto" w:sz="4" w:space="0"/>
              <w:left w:val="single" w:color="auto" w:sz="4" w:space="0"/>
              <w:bottom w:val="single" w:color="auto" w:sz="4" w:space="0"/>
              <w:right w:val="single" w:color="auto" w:sz="4" w:space="0"/>
            </w:tcBorders>
            <w:shd w:val="clear" w:color="auto" w:fill="auto"/>
          </w:tcPr>
          <w:p w14:paraId="308C4B0C">
            <w:pPr>
              <w:keepNext w:val="0"/>
              <w:keepLines w:val="0"/>
              <w:widowControl w:val="0"/>
              <w:suppressLineNumbers w:val="0"/>
              <w:adjustRightInd w:val="0"/>
              <w:snapToGrid w:val="0"/>
              <w:spacing w:before="0" w:beforeAutospacing="0" w:after="0" w:afterAutospacing="0" w:line="360" w:lineRule="auto"/>
              <w:ind w:left="0" w:right="0"/>
              <w:jc w:val="both"/>
              <w:rPr>
                <w:rFonts w:ascii="宋体" w:hAnsi="宋体" w:eastAsia="宋体" w:cs="宋体"/>
                <w:sz w:val="21"/>
                <w:szCs w:val="21"/>
                <w:lang w:eastAsia="zh-CN"/>
              </w:rPr>
            </w:pPr>
          </w:p>
        </w:tc>
        <w:tc>
          <w:tcPr>
            <w:tcW w:w="832" w:type="dxa"/>
            <w:tcBorders>
              <w:top w:val="single" w:color="auto" w:sz="4" w:space="0"/>
              <w:left w:val="single" w:color="auto" w:sz="4" w:space="0"/>
              <w:bottom w:val="single" w:color="auto" w:sz="4" w:space="0"/>
              <w:right w:val="single" w:color="auto" w:sz="4" w:space="0"/>
            </w:tcBorders>
            <w:shd w:val="clear" w:color="auto" w:fill="auto"/>
          </w:tcPr>
          <w:p w14:paraId="0AE85431">
            <w:pPr>
              <w:keepNext w:val="0"/>
              <w:keepLines w:val="0"/>
              <w:widowControl w:val="0"/>
              <w:suppressLineNumbers w:val="0"/>
              <w:adjustRightInd w:val="0"/>
              <w:snapToGrid w:val="0"/>
              <w:spacing w:before="0" w:beforeAutospacing="0" w:after="0" w:afterAutospacing="0" w:line="360" w:lineRule="auto"/>
              <w:ind w:left="0" w:right="0"/>
              <w:jc w:val="both"/>
              <w:rPr>
                <w:rFonts w:ascii="宋体" w:hAnsi="宋体" w:eastAsia="宋体" w:cs="宋体"/>
                <w:sz w:val="21"/>
                <w:szCs w:val="21"/>
                <w:lang w:eastAsia="zh-CN"/>
              </w:rPr>
            </w:pPr>
          </w:p>
        </w:tc>
      </w:tr>
      <w:tr w14:paraId="5334F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5C8415FB">
            <w:pPr>
              <w:keepNext w:val="0"/>
              <w:keepLines w:val="0"/>
              <w:widowControl w:val="0"/>
              <w:suppressLineNumbers w:val="0"/>
              <w:adjustRightInd w:val="0"/>
              <w:snapToGrid w:val="0"/>
              <w:spacing w:before="0" w:beforeAutospacing="0" w:after="0" w:afterAutospacing="0" w:line="360" w:lineRule="auto"/>
              <w:ind w:left="0" w:leftChars="0" w:right="0" w:rightChars="0"/>
              <w:jc w:val="center"/>
              <w:rPr>
                <w:rFonts w:ascii="宋体" w:hAnsi="宋体" w:eastAsia="宋体" w:cs="宋体"/>
                <w:sz w:val="21"/>
                <w:szCs w:val="21"/>
                <w:lang w:eastAsia="zh-CN"/>
              </w:rPr>
            </w:pPr>
            <w:r>
              <w:rPr>
                <w:rFonts w:hint="eastAsia" w:ascii="宋体" w:hAnsi="宋体" w:eastAsia="宋体" w:cs="宋体"/>
                <w:b/>
                <w:bCs/>
                <w:color w:val="FF0000"/>
                <w:sz w:val="21"/>
                <w:szCs w:val="21"/>
                <w:lang w:eastAsia="zh-CN" w:bidi="ar"/>
              </w:rPr>
              <w:t>1.2</w:t>
            </w:r>
          </w:p>
        </w:tc>
        <w:tc>
          <w:tcPr>
            <w:tcW w:w="3711" w:type="dxa"/>
            <w:tcBorders>
              <w:top w:val="single" w:color="auto" w:sz="4" w:space="0"/>
              <w:left w:val="single" w:color="auto" w:sz="4" w:space="0"/>
              <w:bottom w:val="single" w:color="auto" w:sz="4" w:space="0"/>
              <w:right w:val="single" w:color="auto" w:sz="4" w:space="0"/>
            </w:tcBorders>
            <w:shd w:val="clear" w:color="auto" w:fill="auto"/>
            <w:vAlign w:val="top"/>
          </w:tcPr>
          <w:p w14:paraId="5CF5F63E">
            <w:pPr>
              <w:keepNext w:val="0"/>
              <w:keepLines w:val="0"/>
              <w:widowControl w:val="0"/>
              <w:suppressLineNumbers w:val="0"/>
              <w:spacing w:before="0" w:beforeAutospacing="0" w:after="0" w:afterAutospacing="0"/>
              <w:ind w:left="0" w:leftChars="0" w:right="0" w:rightChars="0"/>
              <w:jc w:val="both"/>
              <w:rPr>
                <w:rFonts w:ascii="宋体" w:hAnsi="宋体" w:eastAsia="宋体" w:cs="宋体"/>
                <w:sz w:val="21"/>
                <w:szCs w:val="21"/>
                <w:lang w:eastAsia="zh-CN"/>
              </w:rPr>
            </w:pPr>
            <w:r>
              <w:rPr>
                <w:rFonts w:hint="eastAsia" w:ascii="宋体" w:hAnsi="宋体" w:eastAsia="宋体" w:cs="宋体"/>
                <w:b/>
                <w:bCs/>
                <w:color w:val="FF0000"/>
                <w:kern w:val="2"/>
                <w:sz w:val="21"/>
                <w:lang w:eastAsia="zh-CN"/>
              </w:rPr>
              <w:t>★</w:t>
            </w:r>
            <w:r>
              <w:rPr>
                <w:rFonts w:hint="eastAsia" w:ascii="宋体" w:hAnsi="宋体" w:eastAsia="宋体"/>
                <w:b/>
                <w:bCs/>
                <w:color w:val="FF0000"/>
                <w:sz w:val="21"/>
                <w:szCs w:val="21"/>
                <w:lang w:eastAsia="zh-CN"/>
              </w:rPr>
              <w:t>供应商承诺因设备系统的安装质量和设备本身质量造成的安全损失（含人身安全、采购方的设备运行安全），由供应商承担。供应商须出具承诺函（格式自拟）。</w:t>
            </w:r>
          </w:p>
        </w:tc>
        <w:tc>
          <w:tcPr>
            <w:tcW w:w="3043" w:type="dxa"/>
            <w:tcBorders>
              <w:top w:val="single" w:color="auto" w:sz="4" w:space="0"/>
              <w:left w:val="single" w:color="auto" w:sz="4" w:space="0"/>
              <w:bottom w:val="single" w:color="auto" w:sz="4" w:space="0"/>
              <w:right w:val="single" w:color="auto" w:sz="4" w:space="0"/>
            </w:tcBorders>
            <w:shd w:val="clear" w:color="auto" w:fill="auto"/>
          </w:tcPr>
          <w:p w14:paraId="5266EAB4">
            <w:pPr>
              <w:keepNext w:val="0"/>
              <w:keepLines w:val="0"/>
              <w:widowControl w:val="0"/>
              <w:suppressLineNumbers w:val="0"/>
              <w:adjustRightInd w:val="0"/>
              <w:snapToGrid w:val="0"/>
              <w:spacing w:before="0" w:beforeAutospacing="0" w:after="0" w:afterAutospacing="0" w:line="360" w:lineRule="auto"/>
              <w:ind w:left="0" w:right="0"/>
              <w:jc w:val="both"/>
              <w:rPr>
                <w:rFonts w:ascii="宋体" w:hAnsi="宋体" w:eastAsia="宋体" w:cs="宋体"/>
                <w:sz w:val="21"/>
                <w:szCs w:val="21"/>
                <w:lang w:eastAsia="zh-CN"/>
              </w:rPr>
            </w:pPr>
          </w:p>
        </w:tc>
        <w:tc>
          <w:tcPr>
            <w:tcW w:w="1372" w:type="dxa"/>
            <w:tcBorders>
              <w:top w:val="single" w:color="auto" w:sz="4" w:space="0"/>
              <w:left w:val="single" w:color="auto" w:sz="4" w:space="0"/>
              <w:bottom w:val="single" w:color="auto" w:sz="4" w:space="0"/>
              <w:right w:val="single" w:color="auto" w:sz="4" w:space="0"/>
            </w:tcBorders>
            <w:shd w:val="clear" w:color="auto" w:fill="auto"/>
          </w:tcPr>
          <w:p w14:paraId="50FF85CB">
            <w:pPr>
              <w:keepNext w:val="0"/>
              <w:keepLines w:val="0"/>
              <w:widowControl w:val="0"/>
              <w:suppressLineNumbers w:val="0"/>
              <w:adjustRightInd w:val="0"/>
              <w:snapToGrid w:val="0"/>
              <w:spacing w:before="0" w:beforeAutospacing="0" w:after="0" w:afterAutospacing="0" w:line="360" w:lineRule="auto"/>
              <w:ind w:left="0" w:right="0"/>
              <w:jc w:val="both"/>
              <w:rPr>
                <w:rFonts w:ascii="宋体" w:hAnsi="宋体" w:eastAsia="宋体" w:cs="宋体"/>
                <w:sz w:val="21"/>
                <w:szCs w:val="21"/>
                <w:lang w:eastAsia="zh-CN"/>
              </w:rPr>
            </w:pPr>
          </w:p>
        </w:tc>
        <w:tc>
          <w:tcPr>
            <w:tcW w:w="832" w:type="dxa"/>
            <w:tcBorders>
              <w:top w:val="single" w:color="auto" w:sz="4" w:space="0"/>
              <w:left w:val="single" w:color="auto" w:sz="4" w:space="0"/>
              <w:bottom w:val="single" w:color="auto" w:sz="4" w:space="0"/>
              <w:right w:val="single" w:color="auto" w:sz="4" w:space="0"/>
            </w:tcBorders>
            <w:shd w:val="clear" w:color="auto" w:fill="auto"/>
          </w:tcPr>
          <w:p w14:paraId="657306B9">
            <w:pPr>
              <w:keepNext w:val="0"/>
              <w:keepLines w:val="0"/>
              <w:widowControl w:val="0"/>
              <w:suppressLineNumbers w:val="0"/>
              <w:adjustRightInd w:val="0"/>
              <w:snapToGrid w:val="0"/>
              <w:spacing w:before="0" w:beforeAutospacing="0" w:after="0" w:afterAutospacing="0" w:line="360" w:lineRule="auto"/>
              <w:ind w:left="0" w:right="0"/>
              <w:jc w:val="both"/>
              <w:rPr>
                <w:rFonts w:ascii="宋体" w:hAnsi="宋体" w:eastAsia="宋体" w:cs="宋体"/>
                <w:sz w:val="21"/>
                <w:szCs w:val="21"/>
                <w:lang w:eastAsia="zh-CN"/>
              </w:rPr>
            </w:pPr>
          </w:p>
        </w:tc>
      </w:tr>
      <w:tr w14:paraId="29CBA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1BD5D786">
            <w:pPr>
              <w:keepNext w:val="0"/>
              <w:keepLines w:val="0"/>
              <w:widowControl w:val="0"/>
              <w:suppressLineNumbers w:val="0"/>
              <w:adjustRightInd w:val="0"/>
              <w:snapToGrid w:val="0"/>
              <w:spacing w:before="0" w:beforeAutospacing="0" w:after="0" w:afterAutospacing="0" w:line="360" w:lineRule="auto"/>
              <w:ind w:left="0" w:leftChars="0" w:right="0" w:rightChars="0"/>
              <w:jc w:val="center"/>
              <w:rPr>
                <w:rFonts w:hint="eastAsia" w:ascii="宋体" w:hAnsi="宋体" w:eastAsia="宋体" w:cs="宋体"/>
                <w:sz w:val="21"/>
                <w:szCs w:val="21"/>
                <w:lang w:eastAsia="zh-CN" w:bidi="ar"/>
              </w:rPr>
            </w:pPr>
            <w:r>
              <w:rPr>
                <w:rFonts w:hint="eastAsia" w:ascii="宋体" w:hAnsi="宋体" w:eastAsia="宋体" w:cs="宋体"/>
                <w:b/>
                <w:bCs/>
                <w:color w:val="FF0000"/>
                <w:sz w:val="21"/>
                <w:szCs w:val="21"/>
                <w:lang w:eastAsia="zh-CN" w:bidi="ar"/>
              </w:rPr>
              <w:t>1.3</w:t>
            </w:r>
          </w:p>
        </w:tc>
        <w:tc>
          <w:tcPr>
            <w:tcW w:w="3711" w:type="dxa"/>
            <w:tcBorders>
              <w:top w:val="single" w:color="auto" w:sz="4" w:space="0"/>
              <w:left w:val="single" w:color="auto" w:sz="4" w:space="0"/>
              <w:bottom w:val="single" w:color="auto" w:sz="4" w:space="0"/>
              <w:right w:val="single" w:color="auto" w:sz="4" w:space="0"/>
            </w:tcBorders>
            <w:shd w:val="clear" w:color="auto" w:fill="auto"/>
            <w:vAlign w:val="center"/>
          </w:tcPr>
          <w:p w14:paraId="7C51DFC1">
            <w:pPr>
              <w:keepNext w:val="0"/>
              <w:keepLines w:val="0"/>
              <w:widowControl w:val="0"/>
              <w:suppressLineNumbers w:val="0"/>
              <w:spacing w:before="0" w:beforeAutospacing="0" w:after="0" w:afterAutospacing="0"/>
              <w:ind w:left="0" w:leftChars="0" w:right="0" w:rightChars="0"/>
              <w:jc w:val="both"/>
              <w:rPr>
                <w:rFonts w:hint="eastAsia" w:ascii="宋体" w:hAnsi="宋体" w:eastAsia="宋体" w:cs="宋体"/>
                <w:sz w:val="21"/>
                <w:szCs w:val="21"/>
                <w:lang w:eastAsia="zh-CN" w:bidi="ar"/>
              </w:rPr>
            </w:pPr>
            <w:r>
              <w:rPr>
                <w:rFonts w:hint="eastAsia" w:ascii="宋体" w:hAnsi="宋体" w:eastAsia="宋体" w:cs="宋体"/>
                <w:b/>
                <w:bCs/>
                <w:color w:val="FF0000"/>
                <w:kern w:val="2"/>
                <w:sz w:val="21"/>
                <w:lang w:eastAsia="zh-CN"/>
              </w:rPr>
              <w:t>★</w:t>
            </w:r>
            <w:r>
              <w:rPr>
                <w:rFonts w:ascii="宋体" w:hAnsi="宋体" w:eastAsia="宋体"/>
                <w:b/>
                <w:bCs/>
                <w:color w:val="FF0000"/>
                <w:sz w:val="21"/>
                <w:szCs w:val="21"/>
                <w:lang w:eastAsia="zh-CN"/>
              </w:rPr>
              <w:t>签</w:t>
            </w:r>
            <w:r>
              <w:rPr>
                <w:rFonts w:hint="eastAsia" w:ascii="宋体" w:hAnsi="宋体" w:eastAsia="宋体" w:cs="宋体"/>
                <w:b/>
                <w:bCs/>
                <w:color w:val="FF0000"/>
                <w:sz w:val="21"/>
                <w:szCs w:val="21"/>
                <w:lang w:eastAsia="zh-CN"/>
              </w:rPr>
              <w:t>订合同后30个自然日完成检测工作。</w:t>
            </w:r>
          </w:p>
        </w:tc>
        <w:tc>
          <w:tcPr>
            <w:tcW w:w="3043" w:type="dxa"/>
            <w:tcBorders>
              <w:top w:val="single" w:color="auto" w:sz="4" w:space="0"/>
              <w:left w:val="single" w:color="auto" w:sz="4" w:space="0"/>
              <w:bottom w:val="single" w:color="auto" w:sz="4" w:space="0"/>
              <w:right w:val="single" w:color="auto" w:sz="4" w:space="0"/>
            </w:tcBorders>
            <w:shd w:val="clear" w:color="auto" w:fill="auto"/>
          </w:tcPr>
          <w:p w14:paraId="7AF8B08D">
            <w:pPr>
              <w:keepNext w:val="0"/>
              <w:keepLines w:val="0"/>
              <w:widowControl w:val="0"/>
              <w:suppressLineNumbers w:val="0"/>
              <w:adjustRightInd w:val="0"/>
              <w:snapToGrid w:val="0"/>
              <w:spacing w:before="0" w:beforeAutospacing="0" w:after="0" w:afterAutospacing="0" w:line="360" w:lineRule="auto"/>
              <w:ind w:left="0" w:right="0"/>
              <w:jc w:val="both"/>
              <w:rPr>
                <w:rFonts w:ascii="宋体" w:hAnsi="宋体" w:eastAsia="宋体" w:cs="宋体"/>
                <w:sz w:val="21"/>
                <w:szCs w:val="21"/>
                <w:lang w:eastAsia="zh-CN"/>
              </w:rPr>
            </w:pPr>
          </w:p>
        </w:tc>
        <w:tc>
          <w:tcPr>
            <w:tcW w:w="1372" w:type="dxa"/>
            <w:tcBorders>
              <w:top w:val="single" w:color="auto" w:sz="4" w:space="0"/>
              <w:left w:val="single" w:color="auto" w:sz="4" w:space="0"/>
              <w:bottom w:val="single" w:color="auto" w:sz="4" w:space="0"/>
              <w:right w:val="single" w:color="auto" w:sz="4" w:space="0"/>
            </w:tcBorders>
            <w:shd w:val="clear" w:color="auto" w:fill="auto"/>
          </w:tcPr>
          <w:p w14:paraId="435D46AD">
            <w:pPr>
              <w:keepNext w:val="0"/>
              <w:keepLines w:val="0"/>
              <w:widowControl w:val="0"/>
              <w:suppressLineNumbers w:val="0"/>
              <w:adjustRightInd w:val="0"/>
              <w:snapToGrid w:val="0"/>
              <w:spacing w:before="0" w:beforeAutospacing="0" w:after="0" w:afterAutospacing="0" w:line="360" w:lineRule="auto"/>
              <w:ind w:left="0" w:right="0"/>
              <w:jc w:val="both"/>
              <w:rPr>
                <w:rFonts w:ascii="宋体" w:hAnsi="宋体" w:eastAsia="宋体" w:cs="宋体"/>
                <w:sz w:val="21"/>
                <w:szCs w:val="21"/>
                <w:lang w:eastAsia="zh-CN"/>
              </w:rPr>
            </w:pPr>
          </w:p>
        </w:tc>
        <w:tc>
          <w:tcPr>
            <w:tcW w:w="832" w:type="dxa"/>
            <w:tcBorders>
              <w:top w:val="single" w:color="auto" w:sz="4" w:space="0"/>
              <w:left w:val="single" w:color="auto" w:sz="4" w:space="0"/>
              <w:bottom w:val="single" w:color="auto" w:sz="4" w:space="0"/>
              <w:right w:val="single" w:color="auto" w:sz="4" w:space="0"/>
            </w:tcBorders>
            <w:shd w:val="clear" w:color="auto" w:fill="auto"/>
          </w:tcPr>
          <w:p w14:paraId="070DD2BE">
            <w:pPr>
              <w:keepNext w:val="0"/>
              <w:keepLines w:val="0"/>
              <w:widowControl w:val="0"/>
              <w:suppressLineNumbers w:val="0"/>
              <w:adjustRightInd w:val="0"/>
              <w:snapToGrid w:val="0"/>
              <w:spacing w:before="0" w:beforeAutospacing="0" w:after="0" w:afterAutospacing="0" w:line="360" w:lineRule="auto"/>
              <w:ind w:left="0" w:right="0"/>
              <w:jc w:val="both"/>
              <w:rPr>
                <w:rFonts w:ascii="宋体" w:hAnsi="宋体" w:eastAsia="宋体" w:cs="宋体"/>
                <w:sz w:val="21"/>
                <w:szCs w:val="21"/>
                <w:lang w:eastAsia="zh-CN"/>
              </w:rPr>
            </w:pPr>
          </w:p>
        </w:tc>
      </w:tr>
    </w:tbl>
    <w:p w14:paraId="21195051">
      <w:pPr>
        <w:widowControl w:val="0"/>
        <w:jc w:val="both"/>
        <w:rPr>
          <w:rFonts w:eastAsia="宋体"/>
          <w:b/>
          <w:kern w:val="2"/>
          <w:szCs w:val="22"/>
          <w:lang w:eastAsia="zh-CN"/>
        </w:rPr>
      </w:pPr>
      <w:r>
        <w:rPr>
          <w:rFonts w:hint="eastAsia" w:eastAsia="宋体" w:cs="宋体"/>
          <w:b/>
          <w:kern w:val="2"/>
          <w:szCs w:val="22"/>
          <w:lang w:eastAsia="zh-CN" w:bidi="ar"/>
        </w:rPr>
        <w:t>注：</w:t>
      </w:r>
      <w:r>
        <w:rPr>
          <w:rFonts w:eastAsia="宋体"/>
          <w:b/>
          <w:kern w:val="2"/>
          <w:szCs w:val="22"/>
          <w:lang w:eastAsia="zh-CN" w:bidi="ar"/>
        </w:rPr>
        <w:t>1.</w:t>
      </w:r>
      <w:r>
        <w:rPr>
          <w:rFonts w:hint="eastAsia" w:eastAsia="宋体" w:cs="宋体"/>
          <w:b/>
          <w:kern w:val="2"/>
          <w:szCs w:val="22"/>
          <w:lang w:eastAsia="zh-CN" w:bidi="ar"/>
        </w:rPr>
        <w:t>上表所列各项均为不可负偏离条款。</w:t>
      </w:r>
    </w:p>
    <w:p w14:paraId="78864F58">
      <w:pPr>
        <w:widowControl w:val="0"/>
        <w:ind w:firstLine="482" w:firstLineChars="200"/>
        <w:jc w:val="both"/>
        <w:rPr>
          <w:rFonts w:eastAsia="宋体"/>
          <w:b/>
          <w:kern w:val="2"/>
          <w:szCs w:val="22"/>
          <w:lang w:eastAsia="zh-CN"/>
        </w:rPr>
      </w:pPr>
      <w:r>
        <w:rPr>
          <w:rFonts w:eastAsia="宋体"/>
          <w:b/>
          <w:kern w:val="2"/>
          <w:szCs w:val="22"/>
          <w:lang w:eastAsia="zh-CN" w:bidi="ar"/>
        </w:rPr>
        <w:t>2.</w:t>
      </w:r>
      <w:r>
        <w:rPr>
          <w:rFonts w:hint="eastAsia" w:eastAsia="宋体" w:cs="宋体"/>
          <w:b/>
          <w:kern w:val="2"/>
          <w:szCs w:val="22"/>
          <w:lang w:eastAsia="zh-CN" w:bidi="ar"/>
        </w:rPr>
        <w:t>“投标响应”一栏应当详细填写投标人自身响应情况，而不能不合理照搬照抄招实质性条款具体内容。</w:t>
      </w:r>
    </w:p>
    <w:p w14:paraId="496B639B">
      <w:pPr>
        <w:widowControl w:val="0"/>
        <w:ind w:firstLine="482" w:firstLineChars="200"/>
        <w:jc w:val="both"/>
        <w:rPr>
          <w:rFonts w:eastAsia="宋体"/>
          <w:b/>
          <w:kern w:val="2"/>
          <w:szCs w:val="22"/>
          <w:lang w:eastAsia="zh-CN"/>
        </w:rPr>
      </w:pPr>
      <w:r>
        <w:rPr>
          <w:rFonts w:eastAsia="宋体"/>
          <w:b/>
          <w:kern w:val="2"/>
          <w:szCs w:val="22"/>
          <w:lang w:eastAsia="zh-CN" w:bidi="ar"/>
        </w:rPr>
        <w:t>3.</w:t>
      </w:r>
      <w:r>
        <w:rPr>
          <w:rFonts w:hint="eastAsia" w:eastAsia="宋体" w:cs="宋体"/>
          <w:b/>
          <w:kern w:val="2"/>
          <w:szCs w:val="22"/>
          <w:lang w:eastAsia="zh-CN" w:bidi="ar"/>
        </w:rPr>
        <w:t>“偏离情况”一栏应填写“正偏离”、“负偏离”或“无偏离”，</w:t>
      </w:r>
      <w:r>
        <w:rPr>
          <w:rFonts w:hint="eastAsia" w:eastAsia="宋体" w:cs="宋体"/>
          <w:b/>
          <w:kern w:val="2"/>
          <w:lang w:eastAsia="zh-CN" w:bidi="ar"/>
        </w:rPr>
        <w:t>“正偏离”表示“投标响应优于实质性条款具体内容要求”，“负偏离”表示“投标响应不满足实质性条款具体内容要求”，“无偏离”表示“投标响应与实质性条款具体内容要求一致”。</w:t>
      </w:r>
    </w:p>
    <w:p w14:paraId="4261B1AE">
      <w:pPr>
        <w:widowControl w:val="0"/>
        <w:ind w:firstLine="482" w:firstLineChars="200"/>
        <w:jc w:val="both"/>
        <w:rPr>
          <w:rFonts w:eastAsia="宋体"/>
          <w:b/>
          <w:kern w:val="2"/>
          <w:lang w:eastAsia="zh-CN"/>
        </w:rPr>
      </w:pPr>
      <w:r>
        <w:rPr>
          <w:rFonts w:eastAsia="宋体"/>
          <w:b/>
          <w:kern w:val="2"/>
          <w:lang w:eastAsia="zh-CN" w:bidi="ar"/>
        </w:rPr>
        <w:t>4.</w:t>
      </w:r>
      <w:r>
        <w:rPr>
          <w:rFonts w:hint="eastAsia" w:eastAsia="宋体" w:cs="宋体"/>
          <w:b/>
          <w:kern w:val="2"/>
          <w:lang w:eastAsia="zh-CN" w:bidi="ar"/>
        </w:rPr>
        <w:t>评审委员会有权对投标响应情况作出判断（作出评审结论）。</w:t>
      </w:r>
    </w:p>
    <w:p w14:paraId="2EDD177F">
      <w:pPr>
        <w:widowControl w:val="0"/>
        <w:ind w:firstLine="482" w:firstLineChars="200"/>
        <w:jc w:val="both"/>
        <w:rPr>
          <w:rFonts w:eastAsia="宋体"/>
          <w:b/>
          <w:kern w:val="2"/>
          <w:szCs w:val="22"/>
          <w:lang w:eastAsia="zh-CN"/>
        </w:rPr>
      </w:pPr>
      <w:r>
        <w:rPr>
          <w:rFonts w:eastAsia="宋体"/>
          <w:b/>
          <w:kern w:val="2"/>
          <w:szCs w:val="22"/>
          <w:lang w:eastAsia="zh-CN" w:bidi="ar"/>
        </w:rPr>
        <w:t>5.</w:t>
      </w:r>
      <w:r>
        <w:rPr>
          <w:rFonts w:hint="eastAsia" w:eastAsia="宋体" w:cs="宋体"/>
          <w:b/>
          <w:kern w:val="2"/>
          <w:szCs w:val="22"/>
          <w:lang w:eastAsia="zh-CN" w:bidi="ar"/>
        </w:rPr>
        <w:t>实质性响应条款“投标响应情况”与投标文件其它内容冲突的，以实质性响应条款“投标响应情况”为准。</w:t>
      </w:r>
    </w:p>
    <w:p w14:paraId="47F7D4E2">
      <w:pPr>
        <w:widowControl w:val="0"/>
        <w:ind w:firstLine="482" w:firstLineChars="200"/>
        <w:jc w:val="both"/>
        <w:rPr>
          <w:rFonts w:eastAsia="宋体"/>
          <w:b/>
          <w:kern w:val="2"/>
          <w:szCs w:val="22"/>
          <w:lang w:eastAsia="zh-CN"/>
        </w:rPr>
      </w:pPr>
      <w:r>
        <w:rPr>
          <w:rFonts w:eastAsia="宋体"/>
          <w:b/>
          <w:kern w:val="2"/>
          <w:szCs w:val="22"/>
          <w:lang w:eastAsia="zh-CN" w:bidi="ar"/>
        </w:rPr>
        <w:t>6.</w:t>
      </w:r>
      <w:r>
        <w:rPr>
          <w:rFonts w:hint="eastAsia" w:eastAsia="宋体" w:cs="宋体"/>
          <w:b/>
          <w:kern w:val="2"/>
          <w:szCs w:val="22"/>
          <w:lang w:eastAsia="zh-CN" w:bidi="ar"/>
        </w:rPr>
        <w:t>要求提供证明资料，在“说明”一栏中列明证明资料的位置</w:t>
      </w:r>
      <w:r>
        <w:rPr>
          <w:rFonts w:eastAsia="宋体"/>
          <w:b/>
          <w:kern w:val="2"/>
          <w:szCs w:val="22"/>
          <w:lang w:eastAsia="zh-CN" w:bidi="ar"/>
        </w:rPr>
        <w:t>,</w:t>
      </w:r>
      <w:r>
        <w:rPr>
          <w:rFonts w:hint="eastAsia" w:eastAsia="宋体" w:cs="宋体"/>
          <w:b/>
          <w:kern w:val="2"/>
          <w:szCs w:val="22"/>
          <w:lang w:eastAsia="zh-CN" w:bidi="ar"/>
        </w:rPr>
        <w:t>以便评审；未要求提供证明材料的，投标人可以不提供。</w:t>
      </w:r>
    </w:p>
    <w:p w14:paraId="2A916C4E">
      <w:pPr>
        <w:widowControl w:val="0"/>
        <w:jc w:val="both"/>
        <w:rPr>
          <w:rFonts w:eastAsia="宋体"/>
          <w:kern w:val="2"/>
          <w:sz w:val="21"/>
          <w:lang w:eastAsia="zh-CN"/>
        </w:rPr>
      </w:pPr>
    </w:p>
    <w:p w14:paraId="43EBD97F">
      <w:pPr>
        <w:widowControl w:val="0"/>
        <w:jc w:val="both"/>
        <w:rPr>
          <w:rFonts w:eastAsia="宋体"/>
          <w:b/>
          <w:bCs/>
          <w:kern w:val="2"/>
          <w:lang w:eastAsia="zh-CN"/>
        </w:rPr>
      </w:pPr>
    </w:p>
    <w:p w14:paraId="657120D4">
      <w:pPr>
        <w:widowControl/>
        <w:jc w:val="left"/>
        <w:rPr>
          <w:rFonts w:ascii="黑体" w:hAnsi="黑体" w:eastAsia="黑体" w:cs="黑体"/>
          <w:kern w:val="2"/>
          <w:szCs w:val="28"/>
          <w:lang w:eastAsia="zh-CN"/>
        </w:rPr>
      </w:pPr>
      <w:r>
        <w:rPr>
          <w:rFonts w:ascii="黑体" w:hAnsi="宋体" w:eastAsia="黑体"/>
          <w:kern w:val="2"/>
          <w:szCs w:val="20"/>
          <w:highlight w:val="yellow"/>
          <w:lang w:eastAsia="zh-CN"/>
        </w:rPr>
        <w:br w:type="page"/>
      </w:r>
      <w:r>
        <w:rPr>
          <w:rFonts w:hint="eastAsia" w:ascii="黑体" w:hAnsi="黑体" w:eastAsia="黑体" w:cs="黑体"/>
          <w:kern w:val="2"/>
          <w:szCs w:val="28"/>
          <w:lang w:eastAsia="zh-CN"/>
        </w:rPr>
        <w:t>九、实施方案（格式自定）</w:t>
      </w:r>
    </w:p>
    <w:p w14:paraId="71CACCBF">
      <w:pPr>
        <w:widowControl w:val="0"/>
        <w:ind w:firstLine="0"/>
        <w:jc w:val="center"/>
        <w:rPr>
          <w:rFonts w:hint="eastAsia" w:ascii="宋体" w:hAnsi="宋体" w:eastAsia="宋体" w:cs="宋体"/>
          <w:b/>
          <w:bCs/>
          <w:color w:val="FF0000"/>
          <w:kern w:val="2"/>
          <w:sz w:val="21"/>
          <w:szCs w:val="16"/>
          <w:lang w:eastAsia="zh-CN"/>
        </w:rPr>
      </w:pPr>
      <w:r>
        <w:rPr>
          <w:rFonts w:hint="eastAsia" w:ascii="宋体" w:hAnsi="宋体" w:eastAsia="宋体" w:cs="宋体"/>
          <w:b/>
          <w:bCs/>
          <w:color w:val="FF0000"/>
          <w:kern w:val="2"/>
          <w:sz w:val="21"/>
          <w:szCs w:val="16"/>
          <w:lang w:eastAsia="zh-CN"/>
        </w:rPr>
        <w:t>（特别提示：投标人须按本招标文件评标信息中这一评审因素要求，提供证明资料）</w:t>
      </w:r>
    </w:p>
    <w:p w14:paraId="05515B11">
      <w:pPr>
        <w:widowControl w:val="0"/>
        <w:ind w:firstLine="0"/>
        <w:jc w:val="center"/>
        <w:rPr>
          <w:rFonts w:hint="eastAsia" w:ascii="宋体" w:hAnsi="宋体" w:eastAsia="宋体" w:cs="宋体"/>
          <w:b/>
          <w:bCs/>
          <w:color w:val="FF0000"/>
          <w:kern w:val="2"/>
          <w:sz w:val="22"/>
          <w:szCs w:val="18"/>
          <w:lang w:eastAsia="zh-CN"/>
        </w:rPr>
      </w:pPr>
    </w:p>
    <w:p w14:paraId="52B4FC47">
      <w:pPr>
        <w:widowControl w:val="0"/>
        <w:ind w:firstLine="0"/>
        <w:jc w:val="center"/>
        <w:rPr>
          <w:rFonts w:hint="eastAsia" w:ascii="宋体" w:hAnsi="宋体" w:eastAsia="宋体" w:cs="宋体"/>
          <w:b/>
          <w:bCs/>
          <w:color w:val="FF0000"/>
          <w:kern w:val="2"/>
          <w:sz w:val="22"/>
          <w:szCs w:val="18"/>
          <w:lang w:eastAsia="zh-CN"/>
        </w:rPr>
      </w:pPr>
    </w:p>
    <w:p w14:paraId="642D70A0">
      <w:pPr>
        <w:widowControl w:val="0"/>
        <w:ind w:firstLine="0"/>
        <w:jc w:val="center"/>
        <w:rPr>
          <w:rFonts w:hint="eastAsia" w:ascii="宋体" w:hAnsi="宋体" w:eastAsia="宋体" w:cs="宋体"/>
          <w:b/>
          <w:bCs/>
          <w:color w:val="FF0000"/>
          <w:kern w:val="2"/>
          <w:sz w:val="22"/>
          <w:szCs w:val="18"/>
          <w:lang w:eastAsia="zh-CN"/>
        </w:rPr>
      </w:pPr>
    </w:p>
    <w:p w14:paraId="1B164D8D">
      <w:pPr>
        <w:widowControl w:val="0"/>
        <w:ind w:firstLine="0"/>
        <w:jc w:val="center"/>
        <w:rPr>
          <w:rFonts w:hint="eastAsia" w:ascii="宋体" w:hAnsi="宋体" w:eastAsia="宋体" w:cs="宋体"/>
          <w:b/>
          <w:bCs/>
          <w:color w:val="FF0000"/>
          <w:kern w:val="2"/>
          <w:sz w:val="22"/>
          <w:szCs w:val="18"/>
          <w:lang w:eastAsia="zh-CN"/>
        </w:rPr>
      </w:pPr>
    </w:p>
    <w:p w14:paraId="77081ED2">
      <w:pPr>
        <w:widowControl w:val="0"/>
        <w:ind w:firstLine="0"/>
        <w:jc w:val="center"/>
        <w:rPr>
          <w:rFonts w:hint="eastAsia" w:ascii="宋体" w:hAnsi="宋体" w:eastAsia="宋体" w:cs="宋体"/>
          <w:b/>
          <w:bCs/>
          <w:color w:val="FF0000"/>
          <w:kern w:val="2"/>
          <w:sz w:val="22"/>
          <w:szCs w:val="18"/>
          <w:lang w:eastAsia="zh-CN"/>
        </w:rPr>
      </w:pPr>
    </w:p>
    <w:p w14:paraId="4DE84D91">
      <w:pPr>
        <w:keepNext/>
        <w:keepLines/>
        <w:widowControl w:val="0"/>
        <w:spacing w:before="260" w:after="260" w:line="240" w:lineRule="auto"/>
        <w:jc w:val="both"/>
        <w:outlineLvl w:val="2"/>
        <w:rPr>
          <w:rFonts w:ascii="黑体" w:hAnsi="黑体" w:eastAsia="黑体" w:cs="黑体"/>
          <w:kern w:val="2"/>
          <w:szCs w:val="28"/>
          <w:lang w:eastAsia="zh-CN"/>
        </w:rPr>
      </w:pPr>
      <w:r>
        <w:rPr>
          <w:rFonts w:hint="eastAsia" w:ascii="黑体" w:hAnsi="黑体" w:eastAsia="黑体" w:cs="黑体"/>
          <w:kern w:val="2"/>
          <w:szCs w:val="28"/>
          <w:lang w:eastAsia="zh-CN"/>
        </w:rPr>
        <w:t>十、项目重点难点分析、应对措施及相关的合理化建议（格式自定）</w:t>
      </w:r>
    </w:p>
    <w:p w14:paraId="6BA4A2DF">
      <w:pPr>
        <w:widowControl w:val="0"/>
        <w:ind w:firstLine="0"/>
        <w:jc w:val="center"/>
        <w:rPr>
          <w:rFonts w:ascii="宋体" w:hAnsi="宋体" w:eastAsia="宋体" w:cs="宋体"/>
          <w:b/>
          <w:bCs/>
          <w:color w:val="FF0000"/>
          <w:kern w:val="2"/>
          <w:sz w:val="21"/>
          <w:szCs w:val="16"/>
          <w:lang w:eastAsia="zh-CN"/>
        </w:rPr>
      </w:pPr>
      <w:r>
        <w:rPr>
          <w:rFonts w:hint="eastAsia" w:ascii="宋体" w:hAnsi="宋体" w:eastAsia="宋体" w:cs="宋体"/>
          <w:b/>
          <w:bCs/>
          <w:color w:val="FF0000"/>
          <w:kern w:val="2"/>
          <w:sz w:val="21"/>
          <w:szCs w:val="16"/>
          <w:lang w:eastAsia="zh-CN"/>
        </w:rPr>
        <w:t>（特别提示：投标人须按本招标文件评标信息中这一评审因素要求，提供证明资料）</w:t>
      </w:r>
    </w:p>
    <w:p w14:paraId="726CB933">
      <w:pPr>
        <w:widowControl w:val="0"/>
        <w:ind w:firstLine="0"/>
        <w:jc w:val="both"/>
        <w:rPr>
          <w:rFonts w:ascii="宋体" w:hAnsi="宋体" w:eastAsia="宋体" w:cs="宋体"/>
          <w:kern w:val="2"/>
          <w:szCs w:val="20"/>
          <w:lang w:eastAsia="zh-CN"/>
        </w:rPr>
      </w:pPr>
    </w:p>
    <w:p w14:paraId="0B326C18">
      <w:pPr>
        <w:widowControl w:val="0"/>
        <w:ind w:firstLine="0"/>
        <w:jc w:val="both"/>
        <w:rPr>
          <w:rFonts w:ascii="宋体" w:hAnsi="宋体" w:eastAsia="宋体" w:cs="宋体"/>
          <w:kern w:val="2"/>
          <w:szCs w:val="20"/>
          <w:lang w:eastAsia="zh-CN"/>
        </w:rPr>
      </w:pPr>
    </w:p>
    <w:p w14:paraId="2FE2D946">
      <w:pPr>
        <w:widowControl w:val="0"/>
        <w:ind w:firstLine="0"/>
        <w:jc w:val="both"/>
        <w:rPr>
          <w:rFonts w:ascii="宋体" w:hAnsi="宋体" w:eastAsia="宋体" w:cs="宋体"/>
          <w:kern w:val="2"/>
          <w:szCs w:val="20"/>
          <w:lang w:eastAsia="zh-CN"/>
        </w:rPr>
      </w:pPr>
    </w:p>
    <w:p w14:paraId="04ADDD9C">
      <w:pPr>
        <w:widowControl w:val="0"/>
        <w:ind w:firstLine="0"/>
        <w:jc w:val="both"/>
        <w:rPr>
          <w:rFonts w:ascii="宋体" w:hAnsi="宋体" w:eastAsia="宋体" w:cs="宋体"/>
          <w:kern w:val="2"/>
          <w:szCs w:val="20"/>
          <w:lang w:eastAsia="zh-CN"/>
        </w:rPr>
      </w:pPr>
    </w:p>
    <w:p w14:paraId="0DEED03C">
      <w:pPr>
        <w:keepNext/>
        <w:keepLines/>
        <w:widowControl w:val="0"/>
        <w:spacing w:before="260" w:after="260" w:line="240" w:lineRule="auto"/>
        <w:jc w:val="both"/>
        <w:outlineLvl w:val="2"/>
        <w:rPr>
          <w:rFonts w:ascii="黑体" w:hAnsi="黑体" w:eastAsia="黑体" w:cs="黑体"/>
          <w:kern w:val="2"/>
          <w:szCs w:val="28"/>
          <w:lang w:eastAsia="zh-CN"/>
        </w:rPr>
      </w:pPr>
      <w:r>
        <w:rPr>
          <w:rFonts w:hint="eastAsia" w:ascii="黑体" w:hAnsi="黑体" w:eastAsia="黑体" w:cs="黑体"/>
          <w:kern w:val="2"/>
          <w:szCs w:val="28"/>
          <w:lang w:eastAsia="zh-CN"/>
        </w:rPr>
        <w:t>十一、质量（完成时间、安全、环保）保障措施及方案（格式自定）</w:t>
      </w:r>
    </w:p>
    <w:p w14:paraId="696ADF55">
      <w:pPr>
        <w:widowControl w:val="0"/>
        <w:ind w:firstLine="0"/>
        <w:jc w:val="center"/>
        <w:rPr>
          <w:rFonts w:ascii="宋体" w:hAnsi="宋体" w:eastAsia="宋体" w:cs="宋体"/>
          <w:b/>
          <w:bCs/>
          <w:color w:val="FF0000"/>
          <w:kern w:val="2"/>
          <w:sz w:val="21"/>
          <w:szCs w:val="16"/>
          <w:lang w:eastAsia="zh-CN"/>
        </w:rPr>
      </w:pPr>
      <w:r>
        <w:rPr>
          <w:rFonts w:hint="eastAsia" w:ascii="宋体" w:hAnsi="宋体" w:eastAsia="宋体" w:cs="宋体"/>
          <w:b/>
          <w:bCs/>
          <w:color w:val="FF0000"/>
          <w:kern w:val="2"/>
          <w:sz w:val="21"/>
          <w:szCs w:val="16"/>
          <w:lang w:eastAsia="zh-CN"/>
        </w:rPr>
        <w:t>（特别提示：投标人须按本招标文件评标信息中这一评审因素要求，提供证明资料）</w:t>
      </w:r>
    </w:p>
    <w:p w14:paraId="14221E22">
      <w:pPr>
        <w:widowControl w:val="0"/>
        <w:ind w:firstLine="0"/>
        <w:jc w:val="both"/>
        <w:rPr>
          <w:rFonts w:ascii="宋体" w:hAnsi="宋体" w:eastAsia="宋体" w:cs="宋体"/>
          <w:kern w:val="2"/>
          <w:szCs w:val="20"/>
          <w:lang w:eastAsia="zh-CN"/>
        </w:rPr>
      </w:pPr>
    </w:p>
    <w:p w14:paraId="4621BBA2">
      <w:pPr>
        <w:widowControl w:val="0"/>
        <w:ind w:firstLine="0"/>
        <w:jc w:val="both"/>
        <w:rPr>
          <w:rFonts w:ascii="宋体" w:hAnsi="宋体" w:eastAsia="宋体" w:cs="宋体"/>
          <w:kern w:val="2"/>
          <w:szCs w:val="20"/>
          <w:lang w:eastAsia="zh-CN"/>
        </w:rPr>
      </w:pPr>
    </w:p>
    <w:p w14:paraId="1A3C7223">
      <w:pPr>
        <w:widowControl w:val="0"/>
        <w:ind w:firstLine="0"/>
        <w:jc w:val="both"/>
        <w:rPr>
          <w:rFonts w:ascii="宋体" w:hAnsi="宋体" w:eastAsia="宋体" w:cs="宋体"/>
          <w:kern w:val="2"/>
          <w:szCs w:val="20"/>
          <w:lang w:eastAsia="zh-CN"/>
        </w:rPr>
      </w:pPr>
    </w:p>
    <w:p w14:paraId="7AA39F68">
      <w:pPr>
        <w:widowControl w:val="0"/>
        <w:ind w:firstLine="0"/>
        <w:jc w:val="both"/>
        <w:rPr>
          <w:rFonts w:ascii="宋体" w:hAnsi="宋体" w:eastAsia="宋体" w:cs="宋体"/>
          <w:kern w:val="2"/>
          <w:szCs w:val="20"/>
          <w:lang w:eastAsia="zh-CN"/>
        </w:rPr>
      </w:pPr>
    </w:p>
    <w:p w14:paraId="70BC72CF">
      <w:pPr>
        <w:keepNext/>
        <w:keepLines/>
        <w:widowControl w:val="0"/>
        <w:spacing w:before="260" w:after="260" w:line="240" w:lineRule="auto"/>
        <w:jc w:val="both"/>
        <w:outlineLvl w:val="2"/>
        <w:rPr>
          <w:rFonts w:ascii="黑体" w:hAnsi="黑体" w:eastAsia="黑体" w:cs="黑体"/>
          <w:kern w:val="2"/>
          <w:szCs w:val="28"/>
          <w:lang w:eastAsia="zh-CN"/>
        </w:rPr>
      </w:pPr>
      <w:r>
        <w:rPr>
          <w:rFonts w:hint="eastAsia" w:ascii="黑体" w:hAnsi="黑体" w:eastAsia="黑体" w:cs="黑体"/>
          <w:kern w:val="2"/>
          <w:szCs w:val="28"/>
          <w:lang w:eastAsia="zh-CN"/>
        </w:rPr>
        <w:t>十二、项目完成（服务期满）后的服务承诺（格式自定）</w:t>
      </w:r>
    </w:p>
    <w:p w14:paraId="2E6F10ED">
      <w:pPr>
        <w:widowControl w:val="0"/>
        <w:ind w:firstLine="0"/>
        <w:jc w:val="center"/>
        <w:rPr>
          <w:rFonts w:hint="eastAsia" w:ascii="宋体" w:hAnsi="宋体" w:eastAsia="宋体" w:cs="宋体"/>
          <w:b/>
          <w:bCs/>
          <w:color w:val="FF0000"/>
          <w:kern w:val="2"/>
          <w:sz w:val="21"/>
          <w:szCs w:val="16"/>
          <w:lang w:eastAsia="zh-CN"/>
        </w:rPr>
      </w:pPr>
      <w:r>
        <w:rPr>
          <w:rFonts w:hint="eastAsia" w:ascii="宋体" w:hAnsi="宋体" w:eastAsia="宋体" w:cs="宋体"/>
          <w:b/>
          <w:bCs/>
          <w:color w:val="FF0000"/>
          <w:kern w:val="2"/>
          <w:sz w:val="21"/>
          <w:szCs w:val="16"/>
          <w:lang w:eastAsia="zh-CN"/>
        </w:rPr>
        <w:t>（特别提示：投标人须按本招标文件评标信息中这一评审因素要求，提供证明资料）</w:t>
      </w:r>
    </w:p>
    <w:p w14:paraId="477BD840">
      <w:pPr>
        <w:widowControl w:val="0"/>
        <w:ind w:firstLine="0"/>
        <w:jc w:val="center"/>
        <w:rPr>
          <w:rFonts w:hint="eastAsia" w:ascii="宋体" w:hAnsi="宋体" w:eastAsia="宋体" w:cs="宋体"/>
          <w:b/>
          <w:bCs/>
          <w:color w:val="FF0000"/>
          <w:kern w:val="2"/>
          <w:sz w:val="22"/>
          <w:szCs w:val="18"/>
          <w:lang w:eastAsia="zh-CN"/>
        </w:rPr>
      </w:pPr>
    </w:p>
    <w:p w14:paraId="45BDCF0B">
      <w:pPr>
        <w:widowControl w:val="0"/>
        <w:ind w:firstLine="0"/>
        <w:jc w:val="center"/>
        <w:rPr>
          <w:rFonts w:hint="eastAsia" w:ascii="宋体" w:hAnsi="宋体" w:eastAsia="宋体" w:cs="宋体"/>
          <w:b/>
          <w:bCs/>
          <w:color w:val="FF0000"/>
          <w:kern w:val="2"/>
          <w:sz w:val="22"/>
          <w:szCs w:val="18"/>
          <w:lang w:eastAsia="zh-CN"/>
        </w:rPr>
      </w:pPr>
    </w:p>
    <w:p w14:paraId="42BB49DC">
      <w:pPr>
        <w:widowControl w:val="0"/>
        <w:ind w:firstLine="0"/>
        <w:jc w:val="center"/>
        <w:rPr>
          <w:rFonts w:hint="eastAsia" w:ascii="宋体" w:hAnsi="宋体" w:eastAsia="宋体" w:cs="宋体"/>
          <w:b/>
          <w:bCs/>
          <w:color w:val="FF0000"/>
          <w:kern w:val="2"/>
          <w:sz w:val="22"/>
          <w:szCs w:val="18"/>
          <w:lang w:eastAsia="zh-CN"/>
        </w:rPr>
      </w:pPr>
    </w:p>
    <w:p w14:paraId="164F3FA6">
      <w:pPr>
        <w:widowControl w:val="0"/>
        <w:ind w:firstLine="0"/>
        <w:jc w:val="both"/>
        <w:rPr>
          <w:rFonts w:ascii="宋体" w:hAnsi="宋体" w:eastAsia="宋体" w:cs="宋体"/>
          <w:kern w:val="2"/>
          <w:szCs w:val="20"/>
          <w:lang w:eastAsia="zh-CN"/>
        </w:rPr>
      </w:pPr>
    </w:p>
    <w:p w14:paraId="428AE733">
      <w:pPr>
        <w:keepNext/>
        <w:keepLines/>
        <w:widowControl w:val="0"/>
        <w:bidi w:val="0"/>
        <w:spacing w:before="260" w:after="260" w:line="240" w:lineRule="auto"/>
        <w:jc w:val="both"/>
        <w:outlineLvl w:val="2"/>
        <w:rPr>
          <w:rFonts w:hint="eastAsia" w:ascii="黑体" w:hAnsi="黑体" w:eastAsia="黑体" w:cs="黑体"/>
          <w:kern w:val="2"/>
          <w:szCs w:val="28"/>
          <w:lang w:eastAsia="zh-CN"/>
        </w:rPr>
      </w:pPr>
      <w:r>
        <w:rPr>
          <w:rFonts w:hint="eastAsia" w:ascii="黑体" w:hAnsi="黑体" w:eastAsia="黑体" w:cs="黑体"/>
          <w:kern w:val="2"/>
          <w:szCs w:val="28"/>
          <w:lang w:eastAsia="zh-CN"/>
        </w:rPr>
        <w:t>十三、供应商认证情况（格式自定）</w:t>
      </w:r>
    </w:p>
    <w:p w14:paraId="2E6A8B75">
      <w:pPr>
        <w:widowControl w:val="0"/>
        <w:ind w:firstLine="0"/>
        <w:jc w:val="center"/>
        <w:rPr>
          <w:rFonts w:hint="eastAsia" w:ascii="宋体" w:hAnsi="宋体" w:eastAsia="宋体" w:cs="宋体"/>
          <w:b/>
          <w:bCs/>
          <w:color w:val="FF0000"/>
          <w:kern w:val="2"/>
          <w:sz w:val="20"/>
          <w:szCs w:val="15"/>
          <w:lang w:eastAsia="zh-CN"/>
        </w:rPr>
      </w:pPr>
      <w:r>
        <w:rPr>
          <w:rFonts w:hint="eastAsia" w:ascii="宋体" w:hAnsi="宋体" w:eastAsia="宋体" w:cs="宋体"/>
          <w:b/>
          <w:bCs/>
          <w:color w:val="FF0000"/>
          <w:kern w:val="2"/>
          <w:sz w:val="21"/>
          <w:szCs w:val="16"/>
          <w:lang w:eastAsia="zh-CN"/>
        </w:rPr>
        <w:t>（特别提示：投标人须按本招标文件评标信息中这一评审因素要求，提供证明资料）</w:t>
      </w:r>
    </w:p>
    <w:p w14:paraId="1CF7A0DC">
      <w:pPr>
        <w:widowControl w:val="0"/>
        <w:ind w:firstLine="0"/>
        <w:jc w:val="center"/>
        <w:rPr>
          <w:rFonts w:hint="eastAsia" w:ascii="宋体" w:hAnsi="宋体" w:eastAsia="宋体" w:cs="宋体"/>
          <w:b/>
          <w:bCs/>
          <w:color w:val="FF0000"/>
          <w:kern w:val="2"/>
          <w:sz w:val="22"/>
          <w:szCs w:val="18"/>
          <w:lang w:eastAsia="zh-CN"/>
        </w:rPr>
      </w:pPr>
    </w:p>
    <w:p w14:paraId="093C9C28">
      <w:pPr>
        <w:widowControl w:val="0"/>
        <w:ind w:firstLine="0"/>
        <w:jc w:val="center"/>
        <w:rPr>
          <w:rFonts w:hint="eastAsia" w:ascii="宋体" w:hAnsi="宋体" w:eastAsia="宋体" w:cs="宋体"/>
          <w:b/>
          <w:bCs/>
          <w:color w:val="FF0000"/>
          <w:kern w:val="2"/>
          <w:sz w:val="22"/>
          <w:szCs w:val="18"/>
          <w:lang w:eastAsia="zh-CN"/>
        </w:rPr>
      </w:pPr>
    </w:p>
    <w:p w14:paraId="0D3D37A4">
      <w:pPr>
        <w:widowControl w:val="0"/>
        <w:ind w:firstLine="0"/>
        <w:jc w:val="center"/>
        <w:rPr>
          <w:rFonts w:hint="eastAsia" w:ascii="宋体" w:hAnsi="宋体" w:eastAsia="宋体" w:cs="宋体"/>
          <w:b/>
          <w:bCs/>
          <w:color w:val="FF0000"/>
          <w:kern w:val="2"/>
          <w:sz w:val="22"/>
          <w:szCs w:val="18"/>
          <w:lang w:eastAsia="zh-CN"/>
        </w:rPr>
      </w:pPr>
    </w:p>
    <w:p w14:paraId="4CB7B4A1">
      <w:pPr>
        <w:widowControl w:val="0"/>
        <w:spacing w:before="60" w:beforeLines="25" w:after="60" w:afterLines="25"/>
        <w:ind w:firstLine="0"/>
        <w:jc w:val="both"/>
        <w:rPr>
          <w:rFonts w:ascii="宋体" w:hAnsi="宋体" w:eastAsia="宋体" w:cs="宋体"/>
          <w:kern w:val="2"/>
          <w:szCs w:val="20"/>
          <w:lang w:eastAsia="zh-CN"/>
        </w:rPr>
      </w:pPr>
    </w:p>
    <w:p w14:paraId="61555C6A">
      <w:pPr>
        <w:keepNext/>
        <w:keepLines/>
        <w:widowControl w:val="0"/>
        <w:bidi w:val="0"/>
        <w:spacing w:before="260" w:after="260" w:line="240" w:lineRule="auto"/>
        <w:jc w:val="both"/>
        <w:outlineLvl w:val="2"/>
        <w:rPr>
          <w:rFonts w:hint="eastAsia" w:ascii="黑体" w:hAnsi="黑体" w:eastAsia="黑体" w:cs="黑体"/>
          <w:kern w:val="2"/>
          <w:szCs w:val="28"/>
          <w:lang w:eastAsia="zh-CN"/>
        </w:rPr>
      </w:pPr>
      <w:r>
        <w:rPr>
          <w:rFonts w:hint="eastAsia" w:ascii="黑体" w:hAnsi="黑体" w:eastAsia="黑体" w:cs="黑体"/>
          <w:kern w:val="2"/>
          <w:szCs w:val="28"/>
          <w:lang w:eastAsia="zh-CN"/>
        </w:rPr>
        <w:t>十四、供应商同类项目业绩情况（格式自定）</w:t>
      </w:r>
    </w:p>
    <w:p w14:paraId="0535BB0B">
      <w:pPr>
        <w:widowControl w:val="0"/>
        <w:ind w:firstLine="0"/>
        <w:jc w:val="center"/>
        <w:rPr>
          <w:rFonts w:hint="eastAsia" w:ascii="宋体" w:hAnsi="宋体" w:eastAsia="宋体" w:cs="宋体"/>
          <w:b/>
          <w:bCs/>
          <w:color w:val="FF0000"/>
          <w:kern w:val="2"/>
          <w:sz w:val="21"/>
          <w:szCs w:val="16"/>
          <w:lang w:eastAsia="zh-CN"/>
        </w:rPr>
      </w:pPr>
      <w:r>
        <w:rPr>
          <w:rFonts w:hint="eastAsia" w:ascii="宋体" w:hAnsi="宋体" w:eastAsia="宋体" w:cs="宋体"/>
          <w:b/>
          <w:bCs/>
          <w:color w:val="FF0000"/>
          <w:kern w:val="2"/>
          <w:sz w:val="21"/>
          <w:szCs w:val="16"/>
          <w:lang w:eastAsia="zh-CN"/>
        </w:rPr>
        <w:t>（特别提示：投标人须按本招标文件评标信息中这一评审因素要求，提供证明资料）</w:t>
      </w:r>
    </w:p>
    <w:p w14:paraId="79843C7D">
      <w:pPr>
        <w:widowControl w:val="0"/>
        <w:ind w:firstLine="0"/>
        <w:jc w:val="center"/>
        <w:rPr>
          <w:rFonts w:hint="eastAsia" w:ascii="宋体" w:hAnsi="宋体" w:eastAsia="宋体" w:cs="宋体"/>
          <w:b/>
          <w:bCs/>
          <w:color w:val="FF0000"/>
          <w:kern w:val="2"/>
          <w:sz w:val="22"/>
          <w:szCs w:val="18"/>
          <w:lang w:eastAsia="zh-CN"/>
        </w:rPr>
      </w:pPr>
    </w:p>
    <w:p w14:paraId="69BFDB6B">
      <w:pPr>
        <w:widowControl w:val="0"/>
        <w:ind w:firstLine="0"/>
        <w:jc w:val="center"/>
        <w:rPr>
          <w:rFonts w:hint="eastAsia" w:ascii="宋体" w:hAnsi="宋体" w:eastAsia="宋体" w:cs="宋体"/>
          <w:b/>
          <w:bCs/>
          <w:color w:val="FF0000"/>
          <w:kern w:val="2"/>
          <w:sz w:val="22"/>
          <w:szCs w:val="18"/>
          <w:lang w:eastAsia="zh-CN"/>
        </w:rPr>
      </w:pPr>
    </w:p>
    <w:p w14:paraId="2BF74A0D">
      <w:pPr>
        <w:widowControl w:val="0"/>
        <w:ind w:firstLine="0"/>
        <w:jc w:val="center"/>
        <w:rPr>
          <w:rFonts w:hint="eastAsia" w:ascii="宋体" w:hAnsi="宋体" w:eastAsia="宋体" w:cs="宋体"/>
          <w:b/>
          <w:bCs/>
          <w:color w:val="FF0000"/>
          <w:kern w:val="2"/>
          <w:sz w:val="22"/>
          <w:szCs w:val="18"/>
          <w:lang w:eastAsia="zh-CN"/>
        </w:rPr>
      </w:pPr>
    </w:p>
    <w:p w14:paraId="790B2690">
      <w:pPr>
        <w:widowControl w:val="0"/>
        <w:jc w:val="both"/>
        <w:rPr>
          <w:rFonts w:hint="eastAsia" w:ascii="黑体" w:hAnsi="黑体" w:eastAsia="黑体" w:cs="黑体"/>
          <w:kern w:val="2"/>
          <w:szCs w:val="28"/>
          <w:lang w:eastAsia="zh-CN"/>
        </w:rPr>
      </w:pPr>
      <w:r>
        <w:rPr>
          <w:rFonts w:hint="eastAsia" w:ascii="黑体" w:hAnsi="黑体" w:eastAsia="黑体" w:cs="黑体"/>
          <w:kern w:val="2"/>
          <w:szCs w:val="28"/>
          <w:lang w:eastAsia="zh-CN"/>
        </w:rPr>
        <w:br w:type="page"/>
      </w:r>
      <w:r>
        <w:rPr>
          <w:rFonts w:hint="eastAsia" w:ascii="黑体" w:hAnsi="黑体" w:eastAsia="黑体" w:cs="黑体"/>
          <w:kern w:val="2"/>
          <w:szCs w:val="28"/>
          <w:lang w:eastAsia="zh-CN"/>
        </w:rPr>
        <w:t>十五、投标人认为需要加以说明的其他内容</w:t>
      </w:r>
    </w:p>
    <w:p w14:paraId="6ED021D3">
      <w:pPr>
        <w:widowControl/>
        <w:jc w:val="center"/>
        <w:rPr>
          <w:rFonts w:ascii="黑体" w:hAnsi="宋体" w:eastAsia="黑体"/>
          <w:szCs w:val="20"/>
          <w:lang w:eastAsia="zh-CN"/>
        </w:rPr>
      </w:pPr>
      <w:r>
        <w:rPr>
          <w:rFonts w:hint="eastAsia" w:ascii="黑体" w:hAnsi="宋体" w:eastAsia="黑体"/>
          <w:szCs w:val="20"/>
          <w:lang w:eastAsia="zh-CN"/>
        </w:rPr>
        <w:t>（一）采购违法行为风险知悉确认书</w:t>
      </w:r>
    </w:p>
    <w:p w14:paraId="66561526">
      <w:pPr>
        <w:keepNext w:val="0"/>
        <w:keepLines w:val="0"/>
        <w:widowControl w:val="0"/>
        <w:suppressLineNumbers w:val="0"/>
        <w:spacing w:before="0" w:beforeAutospacing="0" w:after="120" w:afterLines="50" w:afterAutospacing="0" w:line="360" w:lineRule="exact"/>
        <w:ind w:left="0" w:right="0" w:firstLine="422" w:firstLineChars="200"/>
        <w:jc w:val="both"/>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bidi="ar"/>
        </w:rPr>
        <w:t>我单位在投标前已充分知悉以下情形为参与自行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34"/>
        <w:gridCol w:w="8455"/>
      </w:tblGrid>
      <w:tr w14:paraId="2FE4D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3B1450EF">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序号</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6DA93A9E">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kern w:val="2"/>
                <w:sz w:val="21"/>
                <w:szCs w:val="21"/>
                <w:lang w:eastAsia="zh-CN"/>
              </w:rPr>
            </w:pPr>
            <w:r>
              <w:rPr>
                <w:rFonts w:hint="eastAsia" w:ascii="宋体" w:hAnsi="宋体" w:eastAsia="宋体" w:cs="宋体"/>
                <w:b/>
                <w:bCs/>
                <w:kern w:val="2"/>
                <w:sz w:val="21"/>
                <w:szCs w:val="21"/>
                <w:lang w:eastAsia="zh-CN" w:bidi="ar"/>
              </w:rPr>
              <w:t>供应商参与投标禁止情形</w:t>
            </w:r>
          </w:p>
        </w:tc>
      </w:tr>
      <w:tr w14:paraId="6D280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27B95693">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1</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02736ECD">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与其他投标供应商的法定代表人、主要经营负责人、投标授权代表人、项目负责人、主要技术人员为</w:t>
            </w:r>
            <w:r>
              <w:rPr>
                <w:rFonts w:hint="eastAsia" w:ascii="宋体" w:hAnsi="宋体" w:eastAsia="宋体" w:cs="宋体"/>
                <w:b/>
                <w:bCs/>
                <w:kern w:val="2"/>
                <w:sz w:val="21"/>
                <w:szCs w:val="21"/>
                <w:lang w:eastAsia="zh-CN" w:bidi="ar"/>
              </w:rPr>
              <w:t>同一人、属同一单位或者在同一单位缴纳社会保险</w:t>
            </w:r>
            <w:r>
              <w:rPr>
                <w:rFonts w:hint="eastAsia" w:ascii="宋体" w:hAnsi="宋体" w:eastAsia="宋体" w:cs="宋体"/>
                <w:kern w:val="2"/>
                <w:sz w:val="21"/>
                <w:szCs w:val="21"/>
                <w:lang w:eastAsia="zh-CN" w:bidi="ar"/>
              </w:rPr>
              <w:t>。</w:t>
            </w:r>
          </w:p>
        </w:tc>
      </w:tr>
      <w:tr w14:paraId="2B00A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3044934F">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2</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0037DC28">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参与本项目采购活动时，与其他投标供应商存在单位负责人为</w:t>
            </w:r>
            <w:r>
              <w:rPr>
                <w:rFonts w:hint="eastAsia" w:ascii="宋体" w:hAnsi="宋体" w:eastAsia="宋体" w:cs="宋体"/>
                <w:b/>
                <w:bCs/>
                <w:kern w:val="2"/>
                <w:sz w:val="21"/>
                <w:szCs w:val="21"/>
                <w:lang w:eastAsia="zh-CN" w:bidi="ar"/>
              </w:rPr>
              <w:t>同一人或直接控股、管理关系</w:t>
            </w:r>
            <w:r>
              <w:rPr>
                <w:rFonts w:hint="eastAsia" w:ascii="宋体" w:hAnsi="宋体" w:eastAsia="宋体" w:cs="宋体"/>
                <w:kern w:val="2"/>
                <w:sz w:val="21"/>
                <w:szCs w:val="21"/>
                <w:lang w:eastAsia="zh-CN" w:bidi="ar"/>
              </w:rPr>
              <w:t>。</w:t>
            </w:r>
          </w:p>
        </w:tc>
      </w:tr>
      <w:tr w14:paraId="5A4D4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55EE1406">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3</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691ED77A">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与其他投标供应商的投标文件或部分投标文件</w:t>
            </w:r>
            <w:r>
              <w:rPr>
                <w:rFonts w:hint="eastAsia" w:ascii="宋体" w:hAnsi="宋体" w:eastAsia="宋体" w:cs="宋体"/>
                <w:b/>
                <w:bCs/>
                <w:kern w:val="2"/>
                <w:sz w:val="21"/>
                <w:szCs w:val="21"/>
                <w:lang w:eastAsia="zh-CN" w:bidi="ar"/>
              </w:rPr>
              <w:t>相互混装或存在非正常一致</w:t>
            </w:r>
            <w:r>
              <w:rPr>
                <w:rFonts w:hint="eastAsia" w:ascii="宋体" w:hAnsi="宋体" w:eastAsia="宋体" w:cs="宋体"/>
                <w:kern w:val="2"/>
                <w:sz w:val="21"/>
                <w:szCs w:val="21"/>
                <w:lang w:eastAsia="zh-CN" w:bidi="ar"/>
              </w:rPr>
              <w:t>。</w:t>
            </w:r>
          </w:p>
        </w:tc>
      </w:tr>
      <w:tr w14:paraId="3CF6D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376C5498">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4</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444D1F73">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与其他投标供应商的投标文件由</w:t>
            </w:r>
            <w:r>
              <w:rPr>
                <w:rFonts w:hint="eastAsia" w:ascii="宋体" w:hAnsi="宋体" w:eastAsia="宋体" w:cs="宋体"/>
                <w:b/>
                <w:bCs/>
                <w:kern w:val="2"/>
                <w:sz w:val="21"/>
                <w:szCs w:val="21"/>
                <w:lang w:eastAsia="zh-CN" w:bidi="ar"/>
              </w:rPr>
              <w:t>同一单位或者同一人编制</w:t>
            </w:r>
            <w:r>
              <w:rPr>
                <w:rFonts w:hint="eastAsia" w:ascii="宋体" w:hAnsi="宋体" w:eastAsia="宋体" w:cs="宋体"/>
                <w:kern w:val="2"/>
                <w:sz w:val="21"/>
                <w:szCs w:val="21"/>
                <w:lang w:eastAsia="zh-CN" w:bidi="ar"/>
              </w:rPr>
              <w:t>，或者使用</w:t>
            </w:r>
            <w:r>
              <w:rPr>
                <w:rFonts w:hint="eastAsia" w:ascii="宋体" w:hAnsi="宋体" w:eastAsia="宋体" w:cs="宋体"/>
                <w:b/>
                <w:bCs/>
                <w:kern w:val="2"/>
                <w:sz w:val="21"/>
                <w:szCs w:val="21"/>
                <w:lang w:eastAsia="zh-CN" w:bidi="ar"/>
              </w:rPr>
              <w:t>同一设备编制</w:t>
            </w:r>
            <w:r>
              <w:rPr>
                <w:rFonts w:hint="eastAsia" w:ascii="宋体" w:hAnsi="宋体" w:eastAsia="宋体" w:cs="宋体"/>
                <w:kern w:val="2"/>
                <w:sz w:val="21"/>
                <w:szCs w:val="21"/>
                <w:lang w:eastAsia="zh-CN" w:bidi="ar"/>
              </w:rPr>
              <w:t>。</w:t>
            </w:r>
          </w:p>
        </w:tc>
      </w:tr>
      <w:tr w14:paraId="64D8C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5F09D10">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5</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54A92A36">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提供</w:t>
            </w:r>
            <w:r>
              <w:rPr>
                <w:rFonts w:hint="eastAsia" w:ascii="宋体" w:hAnsi="宋体" w:eastAsia="宋体" w:cs="宋体"/>
                <w:b/>
                <w:bCs/>
                <w:kern w:val="2"/>
                <w:sz w:val="21"/>
                <w:szCs w:val="21"/>
                <w:lang w:eastAsia="zh-CN" w:bidi="ar"/>
              </w:rPr>
              <w:t>未经出具机构核实</w:t>
            </w:r>
            <w:r>
              <w:rPr>
                <w:rFonts w:hint="eastAsia" w:ascii="宋体" w:hAnsi="宋体" w:eastAsia="宋体" w:cs="宋体"/>
                <w:kern w:val="2"/>
                <w:sz w:val="21"/>
                <w:szCs w:val="21"/>
                <w:lang w:eastAsia="zh-CN" w:bidi="ar"/>
              </w:rPr>
              <w:t>的虚假的检验检测报告、业绩材料、社保缴纳证明、学历学位证书、职称认证证书等材料。</w:t>
            </w:r>
          </w:p>
        </w:tc>
      </w:tr>
      <w:tr w14:paraId="00340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3CFB0ED8">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6</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692566C0">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擅自将投标密钥出借他人使用或未妥善保管。</w:t>
            </w:r>
          </w:p>
        </w:tc>
      </w:tr>
    </w:tbl>
    <w:p w14:paraId="688A827B">
      <w:pPr>
        <w:keepNext w:val="0"/>
        <w:keepLines w:val="0"/>
        <w:widowControl w:val="0"/>
        <w:suppressLineNumbers w:val="0"/>
        <w:spacing w:before="120" w:beforeLines="50" w:beforeAutospacing="0" w:after="0" w:afterAutospacing="0" w:line="380" w:lineRule="exact"/>
        <w:ind w:left="0" w:right="0" w:firstLine="422" w:firstLineChars="200"/>
        <w:jc w:val="both"/>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bidi="ar"/>
        </w:rPr>
        <w:t>一、我单位已充分知悉“隐瞒真实情况，提供虚假资料”的法定情形，包括但不限于：</w:t>
      </w:r>
    </w:p>
    <w:p w14:paraId="25823527">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（一）通过转让或者租借等方式从其他单位获取资格或者资质证书投标的。</w:t>
      </w:r>
    </w:p>
    <w:p w14:paraId="5F865AFB">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（二）由其他单位或者其他单位负责人在投标供应商编制的投标文件上加盖印章或者签字的。</w:t>
      </w:r>
    </w:p>
    <w:p w14:paraId="63D802F7">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（三）项目负责人或者主要技术人员不是本单位人员的。</w:t>
      </w:r>
    </w:p>
    <w:p w14:paraId="3B299F77">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（四）投标保证金不是从投标供应商基本账户转出的。</w:t>
      </w:r>
    </w:p>
    <w:p w14:paraId="0E458BD8">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（五）其他隐瞒真实情况、提供虚假资料的行为。</w:t>
      </w:r>
    </w:p>
    <w:p w14:paraId="7ECDDA00">
      <w:pPr>
        <w:keepNext w:val="0"/>
        <w:keepLines w:val="0"/>
        <w:widowControl w:val="0"/>
        <w:suppressLineNumbers w:val="0"/>
        <w:spacing w:before="0" w:beforeAutospacing="0" w:after="0" w:afterAutospacing="0" w:line="380" w:lineRule="exact"/>
        <w:ind w:left="0" w:right="0" w:firstLine="422" w:firstLineChars="200"/>
        <w:jc w:val="both"/>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bidi="ar"/>
        </w:rPr>
        <w:t>二、我单位已充分知悉“与其他采购参加人串通投标”的法定情形，包括但不限于：</w:t>
      </w:r>
    </w:p>
    <w:p w14:paraId="54368849">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（一）投标供应商之间相互约定给予未中标的供应商利益补偿。</w:t>
      </w:r>
    </w:p>
    <w:p w14:paraId="1571A802">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（二）不同投标供应商的法定代表人、主要经营负责人、项目投标授权代表人、项目负责人、主要技术人员为同一人、属同一单位或者在同一单位缴纳社会保险。</w:t>
      </w:r>
    </w:p>
    <w:p w14:paraId="0EC40D3B">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（三）不同投标供应商的投标文件由同一单位或者同一人编制，或者由同一人分阶段参与编制的。</w:t>
      </w:r>
    </w:p>
    <w:p w14:paraId="78747701">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（四）不同投标供应商的投标文件或部分投标文件相互混装。</w:t>
      </w:r>
    </w:p>
    <w:p w14:paraId="1E775875">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（五）不同投标供应商的投标文件内容存在非正常一致。</w:t>
      </w:r>
    </w:p>
    <w:p w14:paraId="2A3BC1C1">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（六）由同一单位工作人员为两家以上（含两家）供应商进行同一项投标活动的。</w:t>
      </w:r>
    </w:p>
    <w:p w14:paraId="2AF98740">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（七）不同投标人的投标报价呈规律性差异。</w:t>
      </w:r>
    </w:p>
    <w:p w14:paraId="59EF1656">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（八）不同投标人的投标保证金从同一单位或者个人的账户转出。</w:t>
      </w:r>
    </w:p>
    <w:p w14:paraId="78D78562">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（九）主管部门依照法律、法规认定的其他情形。</w:t>
      </w:r>
    </w:p>
    <w:p w14:paraId="1BDADFB2">
      <w:pPr>
        <w:keepNext w:val="0"/>
        <w:keepLines w:val="0"/>
        <w:widowControl w:val="0"/>
        <w:suppressLineNumbers w:val="0"/>
        <w:spacing w:before="0" w:beforeAutospacing="0" w:after="0" w:afterAutospacing="0" w:line="340" w:lineRule="exact"/>
        <w:ind w:left="0" w:right="0" w:firstLine="422" w:firstLineChars="200"/>
        <w:jc w:val="both"/>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bidi="ar"/>
        </w:rPr>
        <w:t>三、我单位已充分知悉下列情形存在法律风险，在投标前已对相关风险事项进行排查。</w:t>
      </w:r>
    </w:p>
    <w:p w14:paraId="35E1A03A">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b/>
          <w:kern w:val="2"/>
          <w:sz w:val="21"/>
          <w:szCs w:val="21"/>
          <w:lang w:eastAsia="zh-CN"/>
        </w:rPr>
      </w:pPr>
      <w:r>
        <w:rPr>
          <w:rFonts w:hint="eastAsia" w:ascii="宋体" w:hAnsi="宋体" w:eastAsia="宋体" w:cs="宋体"/>
          <w:kern w:val="2"/>
          <w:sz w:val="21"/>
          <w:szCs w:val="21"/>
          <w:lang w:eastAsia="zh-CN" w:bidi="ar"/>
        </w:rPr>
        <w:t>（一）对于从其他主体获取的投标资料，我单位应审慎核查，确保其真实性。</w:t>
      </w:r>
      <w:r>
        <w:rPr>
          <w:rFonts w:hint="eastAsia" w:ascii="宋体" w:hAnsi="宋体" w:eastAsia="宋体" w:cs="宋体"/>
          <w:b/>
          <w:kern w:val="2"/>
          <w:sz w:val="21"/>
          <w:szCs w:val="21"/>
          <w:lang w:eastAsia="zh-CN" w:bidi="ar"/>
        </w:rPr>
        <w:t>如主管部门查实投标文件中存在虚假资料的，无论相关资料是否由第三方或本公司员工提供，均不影响主管部门对供应商存在“隐瞒真实情况，提供虚假资料”违法行为的认定。</w:t>
      </w:r>
    </w:p>
    <w:p w14:paraId="01B30EBD">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（二）对于涉及国家机关出具的公文、证件、证明材料等文件，一旦涉嫌虚假，经查实，主管部门将依法从严处理，并移送有关部门追究法律责任；涉嫌犯罪的，移送司法机关处理。</w:t>
      </w:r>
    </w:p>
    <w:p w14:paraId="0855077D">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（三）我单位对投标电子密钥负有妥善保管、及时变更和续期等主体责任；使用电子密钥在</w:t>
      </w:r>
      <w:r>
        <w:rPr>
          <w:rFonts w:hint="eastAsia" w:eastAsia="宋体"/>
          <w:kern w:val="2"/>
          <w:sz w:val="21"/>
          <w:lang w:eastAsia="zh-CN" w:bidi="ar"/>
        </w:rPr>
        <w:t>深圳自行采购网站</w:t>
      </w:r>
      <w:r>
        <w:rPr>
          <w:rFonts w:hint="eastAsia" w:ascii="宋体" w:hAnsi="宋体" w:eastAsia="宋体" w:cs="宋体"/>
          <w:kern w:val="2"/>
          <w:sz w:val="21"/>
          <w:szCs w:val="21"/>
          <w:lang w:eastAsia="zh-CN" w:bidi="ar"/>
        </w:rPr>
        <w:t>进行的活动，均具有法律效力，须承担相应的法律后果。若</w:t>
      </w:r>
      <w:r>
        <w:rPr>
          <w:rFonts w:hint="eastAsia" w:ascii="宋体" w:hAnsi="宋体" w:eastAsia="宋体" w:cs="宋体"/>
          <w:b/>
          <w:bCs/>
          <w:kern w:val="2"/>
          <w:sz w:val="21"/>
          <w:szCs w:val="21"/>
          <w:lang w:eastAsia="zh-CN" w:bidi="ar"/>
        </w:rPr>
        <w:t>擅自将投标密钥出借他人使用所造成的法律后果，由我单位自行承担</w:t>
      </w:r>
      <w:r>
        <w:rPr>
          <w:rFonts w:hint="eastAsia" w:ascii="宋体" w:hAnsi="宋体" w:eastAsia="宋体" w:cs="宋体"/>
          <w:kern w:val="2"/>
          <w:sz w:val="21"/>
          <w:szCs w:val="21"/>
          <w:lang w:eastAsia="zh-CN" w:bidi="ar"/>
        </w:rPr>
        <w:t>。</w:t>
      </w:r>
    </w:p>
    <w:p w14:paraId="412ED234">
      <w:pPr>
        <w:keepNext w:val="0"/>
        <w:keepLines w:val="0"/>
        <w:widowControl w:val="0"/>
        <w:suppressLineNumbers w:val="0"/>
        <w:spacing w:before="0" w:beforeAutospacing="0" w:after="0" w:afterAutospacing="0" w:line="340" w:lineRule="exact"/>
        <w:ind w:left="0" w:right="0" w:firstLine="422" w:firstLineChars="200"/>
        <w:jc w:val="both"/>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bidi="ar"/>
        </w:rPr>
        <w:t>四、我单位已充分知悉政府采购违法、违规行为的法律后果。</w:t>
      </w:r>
    </w:p>
    <w:p w14:paraId="02796812">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35B58C05">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kern w:val="2"/>
          <w:sz w:val="21"/>
          <w:szCs w:val="21"/>
          <w:highlight w:val="yellow"/>
          <w:lang w:eastAsia="zh-CN"/>
        </w:rPr>
      </w:pPr>
      <w:r>
        <w:rPr>
          <w:rFonts w:hint="eastAsia" w:ascii="宋体" w:hAnsi="宋体" w:eastAsia="宋体" w:cs="宋体"/>
          <w:kern w:val="2"/>
          <w:sz w:val="21"/>
          <w:szCs w:val="21"/>
          <w:highlight w:val="yellow"/>
          <w:lang w:eastAsia="zh-CN" w:bidi="ar"/>
        </w:rPr>
        <w:t>以下文字请投标供应商抄写并确认：“我单位已仔细阅读《采购违法行为风险知悉确认书》，充分知悉违法行为的法律后果，并承诺将严谨、诚信、依法依规参与采购活动”。</w:t>
      </w:r>
    </w:p>
    <w:tbl>
      <w:tblPr>
        <w:tblStyle w:val="29"/>
        <w:tblW w:w="5000" w:type="pct"/>
        <w:tblInd w:w="0" w:type="dxa"/>
        <w:tblBorders>
          <w:top w:val="none" w:color="auto" w:sz="4" w:space="0"/>
          <w:left w:val="none" w:color="auto" w:sz="4" w:space="0"/>
          <w:bottom w:val="single" w:color="auto" w:sz="4" w:space="0"/>
          <w:right w:val="none" w:color="auto" w:sz="4" w:space="0"/>
          <w:insideH w:val="none" w:color="auto" w:sz="4" w:space="0"/>
          <w:insideV w:val="none" w:color="auto" w:sz="4" w:space="0"/>
        </w:tblBorders>
        <w:shd w:val="clear" w:color="auto" w:fill="auto"/>
        <w:tblLayout w:type="fixed"/>
        <w:tblCellMar>
          <w:top w:w="0" w:type="dxa"/>
          <w:left w:w="108" w:type="dxa"/>
          <w:bottom w:w="0" w:type="dxa"/>
          <w:right w:w="108" w:type="dxa"/>
        </w:tblCellMar>
      </w:tblPr>
      <w:tblGrid>
        <w:gridCol w:w="9289"/>
      </w:tblGrid>
      <w:tr w14:paraId="3AC82AAB">
        <w:tblPrEx>
          <w:tblBorders>
            <w:top w:val="none" w:color="auto" w:sz="4" w:space="0"/>
            <w:left w:val="none" w:color="auto" w:sz="4" w:space="0"/>
            <w:bottom w:val="single" w:color="auto" w:sz="4" w:space="0"/>
            <w:right w:val="non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shd w:val="clear" w:color="auto" w:fill="auto"/>
            <w:vAlign w:val="top"/>
          </w:tcPr>
          <w:p w14:paraId="790CE372">
            <w:pPr>
              <w:keepNext w:val="0"/>
              <w:keepLines w:val="0"/>
              <w:widowControl w:val="0"/>
              <w:suppressLineNumbers w:val="0"/>
              <w:autoSpaceDE w:val="0"/>
              <w:autoSpaceDN w:val="0"/>
              <w:spacing w:before="0" w:beforeAutospacing="0" w:after="0" w:afterAutospacing="0" w:line="340" w:lineRule="exact"/>
              <w:ind w:left="0" w:right="0" w:firstLine="1866"/>
              <w:jc w:val="both"/>
              <w:rPr>
                <w:rFonts w:hint="eastAsia" w:ascii="宋体" w:hAnsi="宋体" w:eastAsia="宋体" w:cs="宋体"/>
                <w:spacing w:val="-4"/>
                <w:sz w:val="21"/>
                <w:szCs w:val="21"/>
                <w:lang w:eastAsia="zh-CN"/>
              </w:rPr>
            </w:pPr>
          </w:p>
        </w:tc>
      </w:tr>
      <w:tr w14:paraId="02B0480E">
        <w:tblPrEx>
          <w:tblBorders>
            <w:top w:val="none" w:color="auto" w:sz="4" w:space="0"/>
            <w:left w:val="none" w:color="auto" w:sz="4" w:space="0"/>
            <w:bottom w:val="single" w:color="auto" w:sz="4" w:space="0"/>
            <w:right w:val="none" w:color="auto" w:sz="4" w:space="0"/>
            <w:insideH w:val="none" w:color="auto" w:sz="4" w:space="0"/>
            <w:insideV w:val="none" w:color="auto" w:sz="4" w:space="0"/>
          </w:tblBorders>
          <w:shd w:val="clear" w:color="auto" w:fill="auto"/>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shd w:val="clear" w:color="auto" w:fill="auto"/>
            <w:vAlign w:val="top"/>
          </w:tcPr>
          <w:p w14:paraId="70E0BD94">
            <w:pPr>
              <w:keepNext w:val="0"/>
              <w:keepLines w:val="0"/>
              <w:widowControl w:val="0"/>
              <w:suppressLineNumbers w:val="0"/>
              <w:autoSpaceDE w:val="0"/>
              <w:autoSpaceDN w:val="0"/>
              <w:spacing w:before="0" w:beforeAutospacing="0" w:after="0" w:afterAutospacing="0" w:line="340" w:lineRule="exact"/>
              <w:ind w:left="0" w:right="0" w:firstLine="1866"/>
              <w:jc w:val="both"/>
              <w:rPr>
                <w:rFonts w:hint="eastAsia" w:ascii="宋体" w:hAnsi="宋体" w:eastAsia="宋体" w:cs="宋体"/>
                <w:spacing w:val="-4"/>
                <w:sz w:val="21"/>
                <w:szCs w:val="21"/>
                <w:lang w:eastAsia="zh-CN"/>
              </w:rPr>
            </w:pPr>
          </w:p>
        </w:tc>
      </w:tr>
      <w:tr w14:paraId="0254752F">
        <w:tblPrEx>
          <w:tblBorders>
            <w:top w:val="none" w:color="auto" w:sz="4" w:space="0"/>
            <w:left w:val="none" w:color="auto" w:sz="4" w:space="0"/>
            <w:bottom w:val="single" w:color="auto" w:sz="4" w:space="0"/>
            <w:right w:val="none" w:color="auto" w:sz="4" w:space="0"/>
            <w:insideH w:val="none" w:color="auto" w:sz="4" w:space="0"/>
            <w:insideV w:val="none" w:color="auto" w:sz="4" w:space="0"/>
          </w:tblBorders>
          <w:shd w:val="clear" w:color="auto" w:fill="auto"/>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shd w:val="clear" w:color="auto" w:fill="auto"/>
            <w:vAlign w:val="top"/>
          </w:tcPr>
          <w:p w14:paraId="75C0ECCF">
            <w:pPr>
              <w:keepNext w:val="0"/>
              <w:keepLines w:val="0"/>
              <w:widowControl w:val="0"/>
              <w:suppressLineNumbers w:val="0"/>
              <w:autoSpaceDE w:val="0"/>
              <w:autoSpaceDN w:val="0"/>
              <w:spacing w:before="0" w:beforeAutospacing="0" w:after="0" w:afterAutospacing="0" w:line="340" w:lineRule="exact"/>
              <w:ind w:left="0" w:right="0" w:firstLine="1866"/>
              <w:jc w:val="both"/>
              <w:rPr>
                <w:rFonts w:hint="eastAsia" w:ascii="宋体" w:hAnsi="宋体" w:eastAsia="宋体" w:cs="宋体"/>
                <w:spacing w:val="-4"/>
                <w:sz w:val="21"/>
                <w:szCs w:val="21"/>
                <w:lang w:eastAsia="zh-CN"/>
              </w:rPr>
            </w:pPr>
          </w:p>
        </w:tc>
      </w:tr>
      <w:tr w14:paraId="6B97F96D">
        <w:tblPrEx>
          <w:tblBorders>
            <w:top w:val="none" w:color="auto" w:sz="4" w:space="0"/>
            <w:left w:val="none" w:color="auto" w:sz="4" w:space="0"/>
            <w:bottom w:val="single" w:color="auto" w:sz="4" w:space="0"/>
            <w:right w:val="none" w:color="auto" w:sz="4" w:space="0"/>
            <w:insideH w:val="none" w:color="auto" w:sz="4" w:space="0"/>
            <w:insideV w:val="none" w:color="auto" w:sz="4" w:space="0"/>
          </w:tblBorders>
          <w:shd w:val="clear" w:color="auto" w:fill="auto"/>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shd w:val="clear" w:color="auto" w:fill="auto"/>
            <w:vAlign w:val="top"/>
          </w:tcPr>
          <w:p w14:paraId="61796D72">
            <w:pPr>
              <w:keepNext w:val="0"/>
              <w:keepLines w:val="0"/>
              <w:widowControl w:val="0"/>
              <w:suppressLineNumbers w:val="0"/>
              <w:autoSpaceDE w:val="0"/>
              <w:autoSpaceDN w:val="0"/>
              <w:spacing w:before="0" w:beforeAutospacing="0" w:after="0" w:afterAutospacing="0" w:line="340" w:lineRule="exact"/>
              <w:ind w:left="0" w:right="0" w:firstLine="1866"/>
              <w:jc w:val="both"/>
              <w:rPr>
                <w:rFonts w:hint="eastAsia" w:ascii="宋体" w:hAnsi="宋体" w:eastAsia="宋体" w:cs="宋体"/>
                <w:spacing w:val="-4"/>
                <w:sz w:val="21"/>
                <w:szCs w:val="21"/>
                <w:lang w:eastAsia="zh-CN"/>
              </w:rPr>
            </w:pPr>
          </w:p>
        </w:tc>
      </w:tr>
    </w:tbl>
    <w:p w14:paraId="17EC9102">
      <w:pPr>
        <w:keepNext w:val="0"/>
        <w:keepLines w:val="0"/>
        <w:widowControl/>
        <w:suppressLineNumbers w:val="0"/>
        <w:wordWrap w:val="0"/>
        <w:autoSpaceDE w:val="0"/>
        <w:autoSpaceDN w:val="0"/>
        <w:spacing w:before="0" w:beforeAutospacing="0" w:after="0" w:afterAutospacing="0" w:line="340" w:lineRule="exact"/>
        <w:ind w:left="0" w:right="808" w:firstLine="404" w:firstLineChars="200"/>
        <w:jc w:val="right"/>
        <w:rPr>
          <w:rFonts w:hint="eastAsia" w:ascii="宋体" w:hAnsi="宋体" w:eastAsia="宋体" w:cs="宋体"/>
          <w:spacing w:val="-4"/>
          <w:sz w:val="21"/>
          <w:szCs w:val="21"/>
          <w:lang w:eastAsia="zh-CN"/>
        </w:rPr>
      </w:pPr>
    </w:p>
    <w:p w14:paraId="0AC219C9">
      <w:pPr>
        <w:keepNext w:val="0"/>
        <w:keepLines w:val="0"/>
        <w:widowControl/>
        <w:suppressLineNumbers w:val="0"/>
        <w:wordWrap w:val="0"/>
        <w:autoSpaceDE w:val="0"/>
        <w:autoSpaceDN w:val="0"/>
        <w:spacing w:before="0" w:beforeAutospacing="0" w:after="0" w:afterAutospacing="0" w:line="340" w:lineRule="exact"/>
        <w:ind w:left="0" w:right="808" w:firstLine="404" w:firstLineChars="200"/>
        <w:jc w:val="right"/>
        <w:rPr>
          <w:rFonts w:hint="eastAsia" w:ascii="宋体" w:hAnsi="宋体" w:eastAsia="宋体" w:cs="宋体"/>
          <w:spacing w:val="-4"/>
          <w:sz w:val="21"/>
          <w:szCs w:val="21"/>
          <w:u w:val="single"/>
          <w:lang w:eastAsia="zh-CN"/>
        </w:rPr>
      </w:pPr>
      <w:r>
        <w:rPr>
          <w:rFonts w:hint="eastAsia" w:ascii="宋体" w:hAnsi="宋体" w:eastAsia="宋体" w:cs="宋体"/>
          <w:spacing w:val="-4"/>
          <w:sz w:val="21"/>
          <w:szCs w:val="21"/>
          <w:lang w:eastAsia="zh-CN" w:bidi="ar"/>
        </w:rPr>
        <w:t>单位负责人签名：</w:t>
      </w:r>
      <w:r>
        <w:rPr>
          <w:rFonts w:hint="eastAsia" w:ascii="宋体" w:hAnsi="宋体" w:eastAsia="宋体" w:cs="宋体"/>
          <w:spacing w:val="-4"/>
          <w:sz w:val="21"/>
          <w:szCs w:val="21"/>
          <w:u w:val="single"/>
          <w:lang w:eastAsia="zh-CN" w:bidi="ar"/>
        </w:rPr>
        <w:t xml:space="preserve">              </w:t>
      </w:r>
    </w:p>
    <w:p w14:paraId="0F369E43">
      <w:pPr>
        <w:keepNext w:val="0"/>
        <w:keepLines w:val="0"/>
        <w:widowControl/>
        <w:suppressLineNumbers w:val="0"/>
        <w:wordWrap w:val="0"/>
        <w:autoSpaceDE w:val="0"/>
        <w:autoSpaceDN w:val="0"/>
        <w:spacing w:before="0" w:beforeAutospacing="0" w:after="0" w:afterAutospacing="0" w:line="340" w:lineRule="exact"/>
        <w:ind w:left="0" w:right="808" w:firstLine="404" w:firstLineChars="200"/>
        <w:jc w:val="center"/>
        <w:rPr>
          <w:rFonts w:hint="eastAsia" w:ascii="宋体" w:hAnsi="宋体" w:eastAsia="宋体" w:cs="宋体"/>
          <w:spacing w:val="-4"/>
          <w:sz w:val="21"/>
          <w:szCs w:val="21"/>
          <w:u w:val="single"/>
          <w:lang w:eastAsia="zh-CN"/>
        </w:rPr>
      </w:pPr>
      <w:r>
        <w:rPr>
          <w:rFonts w:hint="eastAsia" w:ascii="宋体" w:hAnsi="宋体" w:eastAsia="宋体" w:cs="宋体"/>
          <w:spacing w:val="-4"/>
          <w:sz w:val="21"/>
          <w:szCs w:val="21"/>
          <w:lang w:eastAsia="zh-CN" w:bidi="ar"/>
        </w:rPr>
        <w:t xml:space="preserve">                                 （加盖公章）</w:t>
      </w:r>
    </w:p>
    <w:p w14:paraId="648B95D9">
      <w:pPr>
        <w:keepNext w:val="0"/>
        <w:keepLines w:val="0"/>
        <w:widowControl/>
        <w:suppressLineNumbers w:val="0"/>
        <w:wordWrap w:val="0"/>
        <w:autoSpaceDE w:val="0"/>
        <w:autoSpaceDN w:val="0"/>
        <w:spacing w:before="0" w:beforeAutospacing="0" w:after="0" w:afterAutospacing="0" w:line="340" w:lineRule="exact"/>
        <w:ind w:left="0" w:right="808" w:firstLine="404" w:firstLineChars="200"/>
        <w:jc w:val="right"/>
        <w:rPr>
          <w:rFonts w:hint="eastAsia" w:ascii="宋体" w:hAnsi="宋体" w:eastAsia="宋体" w:cs="宋体"/>
          <w:spacing w:val="-4"/>
          <w:sz w:val="21"/>
          <w:szCs w:val="21"/>
          <w:u w:val="single"/>
          <w:lang w:eastAsia="zh-CN"/>
        </w:rPr>
      </w:pPr>
      <w:r>
        <w:rPr>
          <w:rFonts w:hint="eastAsia" w:ascii="宋体" w:hAnsi="宋体" w:eastAsia="宋体" w:cs="宋体"/>
          <w:spacing w:val="-4"/>
          <w:sz w:val="21"/>
          <w:szCs w:val="21"/>
          <w:lang w:eastAsia="zh-CN" w:bidi="ar"/>
        </w:rPr>
        <w:t xml:space="preserve">     日期：</w:t>
      </w:r>
      <w:r>
        <w:rPr>
          <w:rFonts w:hint="eastAsia" w:ascii="宋体" w:hAnsi="宋体" w:eastAsia="宋体" w:cs="宋体"/>
          <w:spacing w:val="-4"/>
          <w:sz w:val="21"/>
          <w:szCs w:val="21"/>
          <w:u w:val="single"/>
          <w:lang w:eastAsia="zh-CN" w:bidi="ar"/>
        </w:rPr>
        <w:t xml:space="preserve">              </w:t>
      </w:r>
    </w:p>
    <w:p w14:paraId="292BBE55">
      <w:pPr>
        <w:keepNext w:val="0"/>
        <w:keepLines w:val="0"/>
        <w:widowControl/>
        <w:suppressLineNumbers w:val="0"/>
        <w:autoSpaceDE w:val="0"/>
        <w:autoSpaceDN w:val="0"/>
        <w:spacing w:before="0" w:beforeAutospacing="0" w:after="0" w:afterAutospacing="0" w:line="340" w:lineRule="exact"/>
        <w:ind w:left="0" w:right="0" w:firstLine="406" w:firstLineChars="200"/>
        <w:jc w:val="left"/>
        <w:rPr>
          <w:rFonts w:hint="eastAsia" w:ascii="宋体" w:hAnsi="宋体" w:eastAsia="宋体" w:cs="宋体"/>
          <w:b/>
          <w:bCs/>
          <w:color w:val="FF0000"/>
          <w:spacing w:val="-4"/>
          <w:sz w:val="21"/>
          <w:szCs w:val="21"/>
          <w:lang w:eastAsia="zh-CN"/>
        </w:rPr>
      </w:pPr>
    </w:p>
    <w:p w14:paraId="7AEA2F2B">
      <w:pPr>
        <w:keepNext w:val="0"/>
        <w:keepLines w:val="0"/>
        <w:widowControl/>
        <w:suppressLineNumbers w:val="0"/>
        <w:autoSpaceDE w:val="0"/>
        <w:autoSpaceDN w:val="0"/>
        <w:spacing w:before="0" w:beforeAutospacing="0" w:after="0" w:afterAutospacing="0" w:line="340" w:lineRule="exact"/>
        <w:ind w:right="0"/>
        <w:jc w:val="left"/>
        <w:rPr>
          <w:rFonts w:hint="eastAsia" w:ascii="宋体" w:hAnsi="宋体" w:eastAsia="宋体" w:cs="宋体"/>
          <w:b/>
          <w:bCs/>
          <w:color w:val="FF0000"/>
          <w:spacing w:val="-4"/>
          <w:sz w:val="21"/>
          <w:szCs w:val="21"/>
          <w:lang w:eastAsia="zh-CN"/>
        </w:rPr>
      </w:pPr>
      <w:r>
        <w:rPr>
          <w:rFonts w:hint="eastAsia" w:ascii="宋体" w:hAnsi="宋体" w:eastAsia="宋体" w:cs="宋体"/>
          <w:b/>
          <w:bCs/>
          <w:color w:val="FF0000"/>
          <w:spacing w:val="-4"/>
          <w:sz w:val="21"/>
          <w:szCs w:val="21"/>
          <w:lang w:eastAsia="zh-CN" w:bidi="ar"/>
        </w:rPr>
        <w:t>注：1.《采购违法行为风险知悉确认书》需由投标供应商负责人</w:t>
      </w:r>
      <w:r>
        <w:rPr>
          <w:rFonts w:hint="eastAsia" w:ascii="宋体" w:hAnsi="宋体" w:eastAsia="宋体" w:cs="宋体"/>
          <w:b/>
          <w:bCs/>
          <w:color w:val="FF0000"/>
          <w:spacing w:val="-4"/>
          <w:sz w:val="21"/>
          <w:szCs w:val="21"/>
          <w:highlight w:val="yellow"/>
          <w:lang w:eastAsia="zh-CN" w:bidi="ar"/>
        </w:rPr>
        <w:t>签字并加盖单位公章</w:t>
      </w:r>
      <w:r>
        <w:rPr>
          <w:rFonts w:hint="eastAsia" w:ascii="宋体" w:hAnsi="宋体" w:eastAsia="宋体" w:cs="宋体"/>
          <w:b/>
          <w:bCs/>
          <w:color w:val="FF0000"/>
          <w:spacing w:val="-4"/>
          <w:sz w:val="21"/>
          <w:szCs w:val="21"/>
          <w:lang w:eastAsia="zh-CN" w:bidi="ar"/>
        </w:rPr>
        <w:t>后，扫描上传至投标文件一并提交。</w:t>
      </w:r>
    </w:p>
    <w:p w14:paraId="399E9B93">
      <w:pPr>
        <w:keepNext w:val="0"/>
        <w:keepLines w:val="0"/>
        <w:widowControl w:val="0"/>
        <w:suppressLineNumbers w:val="0"/>
        <w:spacing w:before="0" w:beforeAutospacing="0" w:after="0" w:afterAutospacing="0"/>
        <w:ind w:left="0" w:right="0"/>
        <w:jc w:val="both"/>
        <w:rPr>
          <w:rFonts w:eastAsia="宋体"/>
          <w:color w:val="FF0000"/>
          <w:lang w:eastAsia="zh-CN" w:bidi="ar"/>
        </w:rPr>
      </w:pPr>
      <w:r>
        <w:rPr>
          <w:rFonts w:hint="eastAsia" w:ascii="宋体" w:hAnsi="宋体" w:eastAsia="宋体" w:cs="宋体"/>
          <w:b/>
          <w:bCs/>
          <w:color w:val="FF0000"/>
          <w:spacing w:val="-4"/>
          <w:sz w:val="21"/>
          <w:szCs w:val="21"/>
          <w:lang w:eastAsia="zh-CN" w:bidi="ar"/>
        </w:rPr>
        <w:t>2.根据《深圳市财政局关于在采购文件及深圳政府采购智慧平台增设供应商投标特别警示条款等事宜的通知》（深财购〔2025〕7号）的要求，《采购违法行为风险知悉确认书》用于对供应商违法行为的提醒，不作为供应商资格性审查及符合性审查条件。</w:t>
      </w:r>
    </w:p>
    <w:p w14:paraId="0445BF8F">
      <w:pPr>
        <w:keepNext w:val="0"/>
        <w:keepLines w:val="0"/>
        <w:widowControl/>
        <w:suppressLineNumbers w:val="0"/>
        <w:autoSpaceDE w:val="0"/>
        <w:autoSpaceDN w:val="0"/>
        <w:spacing w:before="0" w:beforeAutospacing="0" w:after="0" w:afterAutospacing="0" w:line="400" w:lineRule="exact"/>
        <w:ind w:left="0" w:right="0" w:firstLine="404" w:firstLineChars="200"/>
        <w:jc w:val="left"/>
        <w:rPr>
          <w:rFonts w:hint="eastAsia" w:ascii="宋体" w:hAnsi="宋体" w:eastAsia="宋体" w:cs="宋体"/>
          <w:color w:val="FF0000"/>
          <w:spacing w:val="-4"/>
          <w:sz w:val="21"/>
          <w:szCs w:val="21"/>
          <w:lang w:eastAsia="zh-CN"/>
        </w:rPr>
      </w:pPr>
    </w:p>
    <w:p w14:paraId="6F6397D8">
      <w:pPr>
        <w:keepNext w:val="0"/>
        <w:keepLines w:val="0"/>
        <w:widowControl/>
        <w:suppressLineNumbers w:val="0"/>
        <w:autoSpaceDE w:val="0"/>
        <w:autoSpaceDN w:val="0"/>
        <w:spacing w:before="0" w:beforeAutospacing="0" w:after="0" w:afterAutospacing="0" w:line="400" w:lineRule="exact"/>
        <w:ind w:left="0" w:right="1414" w:firstLine="480" w:firstLineChars="200"/>
        <w:jc w:val="right"/>
        <w:rPr>
          <w:rFonts w:eastAsia="宋体"/>
          <w:lang w:eastAsia="zh-CN"/>
        </w:rPr>
      </w:pPr>
    </w:p>
    <w:p w14:paraId="4D2EC3E9">
      <w:pPr>
        <w:widowControl w:val="0"/>
        <w:jc w:val="both"/>
        <w:rPr>
          <w:rFonts w:hint="eastAsia" w:ascii="黑体" w:eastAsia="黑体" w:cs="黑体"/>
          <w:kern w:val="2"/>
          <w:szCs w:val="20"/>
          <w:lang w:eastAsia="zh-CN" w:bidi="ar"/>
        </w:rPr>
      </w:pPr>
      <w:r>
        <w:rPr>
          <w:rFonts w:hint="eastAsia" w:ascii="黑体" w:eastAsia="黑体" w:cs="黑体"/>
          <w:kern w:val="2"/>
          <w:szCs w:val="20"/>
          <w:lang w:eastAsia="zh-CN" w:bidi="ar"/>
        </w:rPr>
        <w:br w:type="page"/>
      </w:r>
    </w:p>
    <w:p w14:paraId="14930AD9">
      <w:pPr>
        <w:keepNext w:val="0"/>
        <w:keepLines w:val="0"/>
        <w:widowControl w:val="0"/>
        <w:suppressLineNumbers w:val="0"/>
        <w:spacing w:before="0" w:beforeAutospacing="0" w:after="0" w:afterAutospacing="0"/>
        <w:ind w:left="0" w:right="0"/>
        <w:jc w:val="center"/>
        <w:rPr>
          <w:rFonts w:hint="eastAsia" w:ascii="黑体" w:eastAsia="黑体" w:cs="黑体"/>
          <w:kern w:val="2"/>
          <w:szCs w:val="20"/>
          <w:lang w:eastAsia="zh-CN"/>
        </w:rPr>
      </w:pPr>
      <w:r>
        <w:rPr>
          <w:rFonts w:hint="eastAsia" w:ascii="黑体" w:eastAsia="黑体" w:cs="黑体"/>
          <w:kern w:val="2"/>
          <w:szCs w:val="20"/>
          <w:lang w:eastAsia="zh-CN" w:bidi="ar"/>
        </w:rPr>
        <w:t>（二）订单融资情况</w:t>
      </w:r>
    </w:p>
    <w:p w14:paraId="646FC49D">
      <w:pPr>
        <w:keepNext w:val="0"/>
        <w:keepLines w:val="0"/>
        <w:widowControl w:val="0"/>
        <w:suppressLineNumbers w:val="0"/>
        <w:spacing w:before="0" w:beforeAutospacing="0" w:after="0" w:afterAutospacing="0"/>
        <w:ind w:left="0" w:right="0" w:firstLine="422" w:firstLineChars="200"/>
        <w:jc w:val="both"/>
        <w:rPr>
          <w:rFonts w:hint="eastAsia" w:ascii="宋体" w:hAnsi="宋体" w:eastAsia="宋体" w:cs="宋体"/>
          <w:b/>
          <w:bCs/>
          <w:kern w:val="2"/>
          <w:sz w:val="21"/>
          <w:lang w:eastAsia="zh-CN"/>
        </w:rPr>
      </w:pPr>
      <w:r>
        <w:rPr>
          <w:rFonts w:hint="eastAsia" w:ascii="宋体" w:hAnsi="宋体" w:eastAsia="宋体" w:cs="宋体"/>
          <w:b/>
          <w:bCs/>
          <w:kern w:val="2"/>
          <w:sz w:val="21"/>
          <w:lang w:eastAsia="zh-CN" w:bidi="ar"/>
        </w:rPr>
        <w:t>1、关于订单融资政策</w:t>
      </w:r>
    </w:p>
    <w:p w14:paraId="508A21E5">
      <w:pPr>
        <w:keepNext w:val="0"/>
        <w:keepLines w:val="0"/>
        <w:widowControl w:val="0"/>
        <w:suppressLineNumbers w:val="0"/>
        <w:spacing w:before="0" w:beforeAutospacing="0" w:after="120" w:afterAutospacing="0"/>
        <w:ind w:left="0" w:right="0" w:firstLine="420" w:firstLineChars="200"/>
        <w:jc w:val="both"/>
        <w:rPr>
          <w:rFonts w:eastAsia="宋体"/>
          <w:b/>
          <w:szCs w:val="21"/>
          <w:lang w:eastAsia="zh-CN" w:bidi="ar"/>
        </w:rPr>
      </w:pPr>
      <w:r>
        <w:rPr>
          <w:rFonts w:hint="eastAsia" w:eastAsia="宋体" w:cs="宋体"/>
          <w:bCs/>
          <w:kern w:val="2"/>
          <w:sz w:val="21"/>
          <w:szCs w:val="21"/>
          <w:lang w:eastAsia="zh-CN" w:bidi="ar"/>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自行采购活动供应商可凭借所获取的中标通知书与采购合同，向参与订单融资业务的金融机构提出融资申请，金融机构以各自信贷政策为基础，为中标（成交）供应商提供融资授信，订单融资具体流程可登录深圳要素交易金融服务平台</w:t>
      </w:r>
      <w:r>
        <w:rPr>
          <w:rFonts w:eastAsia="宋体"/>
          <w:bCs/>
          <w:kern w:val="2"/>
          <w:sz w:val="21"/>
          <w:szCs w:val="21"/>
          <w:lang w:eastAsia="zh-CN" w:bidi="ar"/>
        </w:rPr>
        <w:t>(https://finance.szexgrp.com/gtm/web/guarantee/#/)</w:t>
      </w:r>
      <w:r>
        <w:rPr>
          <w:rFonts w:hint="eastAsia" w:eastAsia="宋体" w:cs="宋体"/>
          <w:bCs/>
          <w:kern w:val="2"/>
          <w:sz w:val="21"/>
          <w:szCs w:val="21"/>
          <w:lang w:eastAsia="zh-CN" w:bidi="ar"/>
        </w:rPr>
        <w:t>，相关政策法规参阅深圳市政府采购监管网（</w:t>
      </w:r>
      <w:r>
        <w:rPr>
          <w:rFonts w:eastAsia="宋体"/>
          <w:bCs/>
          <w:kern w:val="2"/>
          <w:sz w:val="21"/>
          <w:szCs w:val="21"/>
          <w:lang w:eastAsia="zh-CN" w:bidi="ar"/>
        </w:rPr>
        <w:t>http://zfcg.sz.gov.cn/</w:t>
      </w:r>
      <w:r>
        <w:rPr>
          <w:rFonts w:hint="eastAsia" w:eastAsia="宋体" w:cs="宋体"/>
          <w:bCs/>
          <w:kern w:val="2"/>
          <w:sz w:val="21"/>
          <w:szCs w:val="21"/>
          <w:lang w:eastAsia="zh-CN" w:bidi="ar"/>
        </w:rPr>
        <w:t>）信息公开栏目。</w:t>
      </w:r>
    </w:p>
    <w:p w14:paraId="7604C0A3">
      <w:pPr>
        <w:keepNext w:val="0"/>
        <w:keepLines w:val="0"/>
        <w:widowControl w:val="0"/>
        <w:suppressLineNumbers w:val="0"/>
        <w:spacing w:before="0" w:beforeAutospacing="0" w:after="0" w:afterAutospacing="0"/>
        <w:ind w:left="0" w:right="0" w:firstLine="422" w:firstLineChars="200"/>
        <w:jc w:val="both"/>
        <w:rPr>
          <w:rFonts w:hint="eastAsia" w:ascii="宋体" w:hAnsi="宋体" w:eastAsia="宋体" w:cs="宋体"/>
          <w:b/>
          <w:bCs/>
          <w:kern w:val="2"/>
          <w:sz w:val="21"/>
          <w:lang w:eastAsia="zh-CN"/>
        </w:rPr>
      </w:pPr>
      <w:r>
        <w:rPr>
          <w:rFonts w:hint="eastAsia" w:ascii="宋体" w:hAnsi="宋体" w:eastAsia="宋体" w:cs="宋体"/>
          <w:b/>
          <w:bCs/>
          <w:kern w:val="2"/>
          <w:sz w:val="21"/>
          <w:lang w:eastAsia="zh-CN" w:bidi="ar"/>
        </w:rPr>
        <w:t>2、供应商账户信息</w:t>
      </w:r>
    </w:p>
    <w:p w14:paraId="7755658D">
      <w:pPr>
        <w:keepNext w:val="0"/>
        <w:keepLines w:val="0"/>
        <w:widowControl w:val="0"/>
        <w:suppressLineNumbers w:val="0"/>
        <w:spacing w:before="0" w:beforeAutospacing="0" w:after="0" w:afterAutospacing="0"/>
        <w:ind w:left="480" w:leftChars="200" w:right="0" w:firstLine="210" w:firstLineChars="100"/>
        <w:jc w:val="both"/>
        <w:rPr>
          <w:rFonts w:eastAsia="宋体"/>
          <w:kern w:val="2"/>
          <w:sz w:val="21"/>
          <w:szCs w:val="21"/>
          <w:lang w:eastAsia="zh-CN"/>
        </w:rPr>
      </w:pPr>
      <w:r>
        <w:rPr>
          <w:rFonts w:hint="eastAsia" w:eastAsia="宋体" w:cs="宋体"/>
          <w:kern w:val="2"/>
          <w:sz w:val="21"/>
          <w:szCs w:val="21"/>
          <w:lang w:eastAsia="zh-CN" w:bidi="ar"/>
        </w:rPr>
        <w:t>投标人（单位全称）：</w:t>
      </w:r>
      <w:r>
        <w:rPr>
          <w:rFonts w:eastAsia="宋体"/>
          <w:kern w:val="2"/>
          <w:sz w:val="21"/>
          <w:szCs w:val="21"/>
          <w:u w:val="thick"/>
          <w:lang w:eastAsia="zh-CN" w:bidi="ar"/>
        </w:rPr>
        <w:t xml:space="preserve">                           </w:t>
      </w:r>
      <w:r>
        <w:rPr>
          <w:rFonts w:hint="eastAsia" w:eastAsia="宋体" w:cs="宋体"/>
          <w:kern w:val="2"/>
          <w:sz w:val="21"/>
          <w:szCs w:val="21"/>
          <w:lang w:eastAsia="zh-CN" w:bidi="ar"/>
        </w:rPr>
        <w:t>；</w:t>
      </w:r>
      <w:r>
        <w:rPr>
          <w:rFonts w:eastAsia="宋体"/>
          <w:kern w:val="2"/>
          <w:sz w:val="21"/>
          <w:szCs w:val="21"/>
          <w:lang w:eastAsia="zh-CN" w:bidi="ar"/>
        </w:rPr>
        <w:t xml:space="preserve">  </w:t>
      </w:r>
    </w:p>
    <w:p w14:paraId="4843AF86">
      <w:pPr>
        <w:keepNext w:val="0"/>
        <w:keepLines w:val="0"/>
        <w:widowControl w:val="0"/>
        <w:suppressLineNumbers w:val="0"/>
        <w:spacing w:before="0" w:beforeAutospacing="0" w:after="0" w:afterAutospacing="0"/>
        <w:ind w:left="480" w:leftChars="200" w:right="0" w:firstLine="210" w:firstLineChars="100"/>
        <w:jc w:val="both"/>
        <w:rPr>
          <w:rFonts w:eastAsia="宋体"/>
          <w:kern w:val="2"/>
          <w:sz w:val="21"/>
          <w:szCs w:val="21"/>
          <w:lang w:eastAsia="zh-CN"/>
        </w:rPr>
      </w:pPr>
      <w:r>
        <w:rPr>
          <w:rFonts w:hint="eastAsia" w:eastAsia="宋体" w:cs="宋体"/>
          <w:kern w:val="2"/>
          <w:sz w:val="21"/>
          <w:szCs w:val="21"/>
          <w:lang w:eastAsia="zh-CN" w:bidi="ar"/>
        </w:rPr>
        <w:t>投标人单位地址：</w:t>
      </w:r>
      <w:r>
        <w:rPr>
          <w:rFonts w:eastAsia="宋体"/>
          <w:kern w:val="2"/>
          <w:sz w:val="21"/>
          <w:szCs w:val="21"/>
          <w:u w:val="thick"/>
          <w:lang w:eastAsia="zh-CN" w:bidi="ar"/>
        </w:rPr>
        <w:t xml:space="preserve">                    </w:t>
      </w:r>
      <w:r>
        <w:rPr>
          <w:rFonts w:hint="eastAsia" w:eastAsia="宋体" w:cs="宋体"/>
          <w:kern w:val="2"/>
          <w:sz w:val="21"/>
          <w:szCs w:val="21"/>
          <w:lang w:eastAsia="zh-CN" w:bidi="ar"/>
        </w:rPr>
        <w:t>；</w:t>
      </w:r>
    </w:p>
    <w:p w14:paraId="727E58FD">
      <w:pPr>
        <w:keepNext w:val="0"/>
        <w:keepLines w:val="0"/>
        <w:widowControl w:val="0"/>
        <w:suppressLineNumbers w:val="0"/>
        <w:spacing w:before="0" w:beforeAutospacing="0" w:after="0" w:afterAutospacing="0"/>
        <w:ind w:left="480" w:leftChars="200" w:right="0" w:firstLine="210" w:firstLineChars="100"/>
        <w:jc w:val="both"/>
        <w:rPr>
          <w:rFonts w:eastAsia="宋体"/>
          <w:kern w:val="2"/>
          <w:sz w:val="21"/>
          <w:szCs w:val="21"/>
          <w:lang w:eastAsia="zh-CN"/>
        </w:rPr>
      </w:pPr>
      <w:r>
        <w:rPr>
          <w:rFonts w:hint="eastAsia" w:eastAsia="宋体" w:cs="宋体"/>
          <w:kern w:val="2"/>
          <w:sz w:val="21"/>
          <w:szCs w:val="21"/>
          <w:lang w:eastAsia="zh-CN" w:bidi="ar"/>
        </w:rPr>
        <w:t>法定代表人（负责人）或其授权委托代理人：</w:t>
      </w:r>
      <w:r>
        <w:rPr>
          <w:rFonts w:eastAsia="宋体"/>
          <w:kern w:val="2"/>
          <w:sz w:val="21"/>
          <w:szCs w:val="21"/>
          <w:u w:val="thick"/>
          <w:lang w:eastAsia="zh-CN" w:bidi="ar"/>
        </w:rPr>
        <w:t xml:space="preserve">                      </w:t>
      </w:r>
      <w:r>
        <w:rPr>
          <w:rFonts w:hint="eastAsia" w:eastAsia="宋体" w:cs="宋体"/>
          <w:kern w:val="2"/>
          <w:sz w:val="21"/>
          <w:szCs w:val="21"/>
          <w:lang w:eastAsia="zh-CN" w:bidi="ar"/>
        </w:rPr>
        <w:t>；</w:t>
      </w:r>
    </w:p>
    <w:p w14:paraId="52ADFB12">
      <w:pPr>
        <w:keepNext w:val="0"/>
        <w:keepLines w:val="0"/>
        <w:widowControl w:val="0"/>
        <w:suppressLineNumbers w:val="0"/>
        <w:spacing w:before="0" w:beforeAutospacing="0" w:after="0" w:afterAutospacing="0"/>
        <w:ind w:left="480" w:leftChars="200" w:right="0" w:firstLine="210" w:firstLineChars="100"/>
        <w:jc w:val="both"/>
        <w:rPr>
          <w:rFonts w:eastAsia="宋体"/>
          <w:kern w:val="2"/>
          <w:sz w:val="21"/>
          <w:szCs w:val="21"/>
          <w:u w:val="thick"/>
          <w:lang w:eastAsia="zh-CN"/>
        </w:rPr>
      </w:pPr>
      <w:r>
        <w:rPr>
          <w:rFonts w:hint="eastAsia" w:eastAsia="宋体" w:cs="宋体"/>
          <w:kern w:val="2"/>
          <w:sz w:val="21"/>
          <w:szCs w:val="21"/>
          <w:lang w:eastAsia="zh-CN" w:bidi="ar"/>
        </w:rPr>
        <w:t>联系电话：</w:t>
      </w:r>
      <w:r>
        <w:rPr>
          <w:rFonts w:eastAsia="宋体"/>
          <w:kern w:val="2"/>
          <w:sz w:val="21"/>
          <w:szCs w:val="21"/>
          <w:u w:val="thick"/>
          <w:lang w:eastAsia="zh-CN" w:bidi="ar"/>
        </w:rPr>
        <w:t xml:space="preserve">                     </w:t>
      </w:r>
      <w:r>
        <w:rPr>
          <w:rFonts w:hint="eastAsia" w:eastAsia="宋体" w:cs="宋体"/>
          <w:kern w:val="2"/>
          <w:sz w:val="21"/>
          <w:szCs w:val="21"/>
          <w:lang w:eastAsia="zh-CN" w:bidi="ar"/>
        </w:rPr>
        <w:t>；</w:t>
      </w:r>
    </w:p>
    <w:p w14:paraId="413E6DFB">
      <w:pPr>
        <w:keepNext w:val="0"/>
        <w:keepLines w:val="0"/>
        <w:widowControl w:val="0"/>
        <w:suppressLineNumbers w:val="0"/>
        <w:spacing w:before="0" w:beforeAutospacing="0" w:after="0" w:afterAutospacing="0"/>
        <w:ind w:left="480" w:leftChars="200" w:right="0" w:firstLine="210" w:firstLineChars="100"/>
        <w:jc w:val="both"/>
        <w:rPr>
          <w:rFonts w:eastAsia="宋体"/>
          <w:kern w:val="2"/>
          <w:sz w:val="21"/>
          <w:szCs w:val="21"/>
          <w:lang w:eastAsia="zh-CN"/>
        </w:rPr>
      </w:pPr>
      <w:r>
        <w:rPr>
          <w:rFonts w:hint="eastAsia" w:eastAsia="宋体" w:cs="宋体"/>
          <w:kern w:val="2"/>
          <w:sz w:val="21"/>
          <w:szCs w:val="21"/>
          <w:lang w:eastAsia="zh-CN" w:bidi="ar"/>
        </w:rPr>
        <w:t>开户银行名称：</w:t>
      </w:r>
      <w:r>
        <w:rPr>
          <w:rFonts w:eastAsia="宋体"/>
          <w:kern w:val="2"/>
          <w:sz w:val="21"/>
          <w:szCs w:val="21"/>
          <w:u w:val="thick"/>
          <w:lang w:eastAsia="zh-CN" w:bidi="ar"/>
        </w:rPr>
        <w:t xml:space="preserve">                                                 </w:t>
      </w:r>
      <w:r>
        <w:rPr>
          <w:rFonts w:hint="eastAsia" w:eastAsia="宋体" w:cs="宋体"/>
          <w:kern w:val="2"/>
          <w:sz w:val="21"/>
          <w:szCs w:val="21"/>
          <w:lang w:eastAsia="zh-CN" w:bidi="ar"/>
        </w:rPr>
        <w:t>；</w:t>
      </w:r>
    </w:p>
    <w:p w14:paraId="43BB2635">
      <w:pPr>
        <w:keepNext w:val="0"/>
        <w:keepLines w:val="0"/>
        <w:widowControl w:val="0"/>
        <w:suppressLineNumbers w:val="0"/>
        <w:spacing w:before="0" w:beforeAutospacing="0" w:after="0" w:afterAutospacing="0"/>
        <w:ind w:left="480" w:leftChars="200" w:right="0" w:firstLine="210" w:firstLineChars="100"/>
        <w:jc w:val="both"/>
        <w:rPr>
          <w:rFonts w:eastAsia="宋体"/>
          <w:kern w:val="2"/>
          <w:sz w:val="21"/>
          <w:szCs w:val="21"/>
          <w:u w:val="thick"/>
          <w:lang w:eastAsia="zh-CN"/>
        </w:rPr>
      </w:pPr>
      <w:r>
        <w:rPr>
          <w:rFonts w:hint="eastAsia" w:eastAsia="宋体" w:cs="宋体"/>
          <w:kern w:val="2"/>
          <w:sz w:val="21"/>
          <w:szCs w:val="21"/>
          <w:lang w:eastAsia="zh-CN" w:bidi="ar"/>
        </w:rPr>
        <w:t>开户银行账号：</w:t>
      </w:r>
      <w:r>
        <w:rPr>
          <w:rFonts w:eastAsia="宋体"/>
          <w:kern w:val="2"/>
          <w:sz w:val="21"/>
          <w:szCs w:val="21"/>
          <w:u w:val="thick"/>
          <w:lang w:eastAsia="zh-CN" w:bidi="ar"/>
        </w:rPr>
        <w:t xml:space="preserve">                                                  </w:t>
      </w:r>
      <w:r>
        <w:rPr>
          <w:rFonts w:hint="eastAsia" w:eastAsia="宋体" w:cs="宋体"/>
          <w:kern w:val="2"/>
          <w:sz w:val="21"/>
          <w:szCs w:val="21"/>
          <w:lang w:eastAsia="zh-CN" w:bidi="ar"/>
        </w:rPr>
        <w:t>；</w:t>
      </w:r>
    </w:p>
    <w:p w14:paraId="2BCC5CDA">
      <w:pPr>
        <w:keepNext w:val="0"/>
        <w:keepLines w:val="0"/>
        <w:widowControl w:val="0"/>
        <w:suppressLineNumbers w:val="0"/>
        <w:spacing w:before="0" w:beforeAutospacing="0" w:after="0" w:afterAutospacing="0"/>
        <w:ind w:left="480" w:leftChars="200" w:right="0" w:firstLine="210" w:firstLineChars="100"/>
        <w:jc w:val="both"/>
        <w:rPr>
          <w:rFonts w:eastAsia="宋体"/>
          <w:kern w:val="2"/>
          <w:sz w:val="21"/>
          <w:szCs w:val="21"/>
          <w:lang w:eastAsia="zh-CN"/>
        </w:rPr>
      </w:pPr>
      <w:r>
        <w:rPr>
          <w:rFonts w:hint="eastAsia" w:eastAsia="宋体" w:cs="宋体"/>
          <w:kern w:val="2"/>
          <w:sz w:val="21"/>
          <w:szCs w:val="21"/>
          <w:lang w:eastAsia="zh-CN" w:bidi="ar"/>
        </w:rPr>
        <w:t>开户银行地址：</w:t>
      </w:r>
      <w:r>
        <w:rPr>
          <w:rFonts w:eastAsia="宋体"/>
          <w:kern w:val="2"/>
          <w:sz w:val="21"/>
          <w:szCs w:val="21"/>
          <w:u w:val="thick"/>
          <w:lang w:eastAsia="zh-CN" w:bidi="ar"/>
        </w:rPr>
        <w:t xml:space="preserve">                                                  </w:t>
      </w:r>
      <w:r>
        <w:rPr>
          <w:rFonts w:hint="eastAsia" w:eastAsia="宋体" w:cs="宋体"/>
          <w:kern w:val="2"/>
          <w:sz w:val="21"/>
          <w:szCs w:val="21"/>
          <w:lang w:eastAsia="zh-CN" w:bidi="ar"/>
        </w:rPr>
        <w:t>。</w:t>
      </w:r>
    </w:p>
    <w:p w14:paraId="30D7B24F">
      <w:pPr>
        <w:keepNext w:val="0"/>
        <w:keepLines w:val="0"/>
        <w:widowControl w:val="0"/>
        <w:suppressLineNumbers w:val="0"/>
        <w:spacing w:before="0" w:beforeAutospacing="0" w:after="0" w:afterAutospacing="0"/>
        <w:ind w:right="0"/>
        <w:jc w:val="both"/>
        <w:rPr>
          <w:rFonts w:eastAsia="宋体"/>
          <w:kern w:val="2"/>
          <w:sz w:val="21"/>
          <w:szCs w:val="21"/>
          <w:lang w:eastAsia="zh-CN"/>
        </w:rPr>
      </w:pPr>
      <w:r>
        <w:rPr>
          <w:rFonts w:eastAsia="宋体"/>
          <w:kern w:val="2"/>
          <w:sz w:val="21"/>
          <w:szCs w:val="21"/>
          <w:lang w:eastAsia="zh-CN" w:bidi="ar"/>
        </w:rPr>
        <w:t xml:space="preserve"> </w:t>
      </w:r>
      <w:r>
        <w:rPr>
          <w:rFonts w:hint="eastAsia" w:ascii="宋体" w:hAnsi="宋体" w:eastAsia="宋体" w:cs="宋体"/>
          <w:b/>
          <w:bCs/>
          <w:color w:val="FF0000"/>
          <w:spacing w:val="-4"/>
          <w:sz w:val="21"/>
          <w:szCs w:val="21"/>
          <w:lang w:eastAsia="zh-CN" w:bidi="ar"/>
        </w:rPr>
        <w:t>注：本项填写内容作为订单融资开展的参考信息，不作为供应商资格性审查及符合性审查条件。</w:t>
      </w:r>
    </w:p>
    <w:p w14:paraId="57D00171">
      <w:pPr>
        <w:keepNext w:val="0"/>
        <w:keepLines w:val="0"/>
        <w:widowControl/>
        <w:suppressLineNumbers w:val="0"/>
        <w:autoSpaceDE w:val="0"/>
        <w:autoSpaceDN w:val="0"/>
        <w:spacing w:before="0" w:beforeAutospacing="0" w:after="0" w:afterAutospacing="0" w:line="400" w:lineRule="exact"/>
        <w:ind w:left="0" w:right="1414" w:firstLine="480" w:firstLineChars="200"/>
        <w:jc w:val="right"/>
        <w:rPr>
          <w:rFonts w:eastAsia="宋体"/>
          <w:lang w:eastAsia="zh-CN"/>
        </w:rPr>
      </w:pPr>
    </w:p>
    <w:p w14:paraId="4C93C2DA">
      <w:pPr>
        <w:widowControl w:val="0"/>
        <w:jc w:val="both"/>
        <w:rPr>
          <w:rFonts w:hint="eastAsia" w:ascii="黑体" w:hAnsi="宋体" w:eastAsia="黑体" w:cs="黑体"/>
          <w:szCs w:val="20"/>
          <w:lang w:eastAsia="zh-CN" w:bidi="ar"/>
        </w:rPr>
      </w:pPr>
      <w:r>
        <w:rPr>
          <w:rFonts w:hint="eastAsia" w:ascii="黑体" w:hAnsi="宋体" w:eastAsia="黑体" w:cs="黑体"/>
          <w:szCs w:val="20"/>
          <w:lang w:eastAsia="zh-CN" w:bidi="ar"/>
        </w:rPr>
        <w:br w:type="page"/>
      </w:r>
    </w:p>
    <w:p w14:paraId="50266A0B">
      <w:pPr>
        <w:keepNext w:val="0"/>
        <w:keepLines w:val="0"/>
        <w:widowControl/>
        <w:suppressLineNumbers w:val="0"/>
        <w:spacing w:before="0" w:beforeAutospacing="0" w:after="0" w:afterAutospacing="0"/>
        <w:ind w:left="0" w:right="0"/>
        <w:jc w:val="center"/>
        <w:rPr>
          <w:rFonts w:hint="eastAsia" w:ascii="黑体" w:hAnsi="宋体" w:eastAsia="黑体" w:cs="黑体"/>
          <w:szCs w:val="20"/>
          <w:lang w:eastAsia="zh-CN"/>
        </w:rPr>
      </w:pPr>
      <w:r>
        <w:rPr>
          <w:rFonts w:hint="eastAsia" w:ascii="黑体" w:hAnsi="宋体" w:eastAsia="黑体" w:cs="黑体"/>
          <w:szCs w:val="20"/>
          <w:lang w:eastAsia="zh-CN" w:bidi="ar"/>
        </w:rPr>
        <w:t>（三）投标人认为需要加以说明的其他内容（格式自定）</w:t>
      </w:r>
    </w:p>
    <w:p w14:paraId="77AF6AAA">
      <w:pPr>
        <w:widowControl/>
        <w:jc w:val="center"/>
        <w:rPr>
          <w:rFonts w:ascii="宋体" w:hAnsi="宋体" w:eastAsia="宋体"/>
          <w:b/>
          <w:bCs/>
          <w:szCs w:val="20"/>
          <w:lang w:eastAsia="zh-CN"/>
        </w:rPr>
      </w:pPr>
      <w:r>
        <w:rPr>
          <w:rFonts w:eastAsia="宋体"/>
          <w:kern w:val="2"/>
          <w:sz w:val="21"/>
          <w:lang w:eastAsia="zh-CN"/>
        </w:rPr>
        <w:br w:type="page"/>
      </w:r>
      <w:r>
        <w:rPr>
          <w:rFonts w:hint="eastAsia" w:ascii="宋体" w:hAnsi="宋体" w:eastAsia="宋体"/>
          <w:b/>
          <w:bCs/>
          <w:szCs w:val="20"/>
          <w:lang w:eastAsia="zh-CN"/>
        </w:rPr>
        <w:t>第五章  合同条款及格式</w:t>
      </w:r>
    </w:p>
    <w:p w14:paraId="1626BB60">
      <w:pPr>
        <w:widowControl w:val="0"/>
        <w:ind w:firstLine="411" w:firstLineChars="196"/>
        <w:jc w:val="both"/>
        <w:rPr>
          <w:rFonts w:eastAsia="宋体"/>
          <w:kern w:val="2"/>
          <w:sz w:val="21"/>
          <w:lang w:eastAsia="zh-CN"/>
        </w:rPr>
      </w:pPr>
    </w:p>
    <w:p w14:paraId="71522416">
      <w:pPr>
        <w:widowControl w:val="0"/>
        <w:jc w:val="center"/>
        <w:outlineLvl w:val="0"/>
        <w:rPr>
          <w:rFonts w:eastAsia="宋体"/>
          <w:kern w:val="2"/>
          <w:sz w:val="21"/>
          <w:lang w:eastAsia="zh-CN"/>
        </w:rPr>
      </w:pPr>
      <w:r>
        <w:rPr>
          <w:rFonts w:hint="eastAsia" w:eastAsia="宋体"/>
          <w:b/>
          <w:kern w:val="2"/>
          <w:lang w:eastAsia="zh-CN"/>
        </w:rPr>
        <w:t>（仅供参考，具体以项目需求及采购结果为准）</w:t>
      </w:r>
    </w:p>
    <w:p w14:paraId="0AB4D444">
      <w:pPr>
        <w:widowControl w:val="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甲方：</w:t>
      </w:r>
    </w:p>
    <w:p w14:paraId="5EDEE8B1">
      <w:pPr>
        <w:widowControl w:val="0"/>
        <w:jc w:val="both"/>
        <w:rPr>
          <w:rFonts w:ascii="宋体" w:hAnsi="宋体" w:eastAsia="宋体"/>
          <w:kern w:val="2"/>
          <w:sz w:val="21"/>
          <w:szCs w:val="21"/>
          <w:lang w:eastAsia="zh-CN"/>
        </w:rPr>
      </w:pPr>
      <w:r>
        <w:rPr>
          <w:rFonts w:hint="eastAsia" w:ascii="宋体" w:hAnsi="宋体" w:eastAsia="宋体"/>
          <w:kern w:val="2"/>
          <w:sz w:val="21"/>
          <w:szCs w:val="21"/>
          <w:lang w:eastAsia="zh-CN"/>
        </w:rPr>
        <w:t>地址：</w:t>
      </w:r>
    </w:p>
    <w:p w14:paraId="097C7CB7">
      <w:pPr>
        <w:widowControl w:val="0"/>
        <w:jc w:val="both"/>
        <w:rPr>
          <w:rFonts w:ascii="宋体" w:hAnsi="宋体" w:eastAsia="宋体"/>
          <w:kern w:val="2"/>
          <w:sz w:val="21"/>
          <w:szCs w:val="21"/>
          <w:lang w:eastAsia="zh-CN"/>
        </w:rPr>
      </w:pPr>
      <w:r>
        <w:rPr>
          <w:rFonts w:hint="eastAsia" w:ascii="宋体" w:hAnsi="宋体" w:eastAsia="宋体"/>
          <w:kern w:val="2"/>
          <w:sz w:val="21"/>
          <w:szCs w:val="21"/>
          <w:lang w:eastAsia="zh-CN"/>
        </w:rPr>
        <w:t>联系人：</w:t>
      </w:r>
      <w:r>
        <w:rPr>
          <w:rFonts w:ascii="宋体" w:hAnsi="宋体" w:eastAsia="宋体"/>
          <w:kern w:val="2"/>
          <w:sz w:val="21"/>
          <w:szCs w:val="21"/>
          <w:lang w:eastAsia="zh-CN"/>
        </w:rPr>
        <w:t xml:space="preserve">                          </w:t>
      </w:r>
    </w:p>
    <w:p w14:paraId="2B407A89">
      <w:pPr>
        <w:widowControl w:val="0"/>
        <w:jc w:val="both"/>
        <w:rPr>
          <w:rFonts w:ascii="宋体" w:hAnsi="宋体" w:eastAsia="宋体"/>
          <w:b/>
          <w:bCs/>
          <w:kern w:val="2"/>
          <w:sz w:val="21"/>
          <w:szCs w:val="21"/>
          <w:lang w:eastAsia="zh-CN"/>
        </w:rPr>
      </w:pPr>
      <w:r>
        <w:rPr>
          <w:rFonts w:hint="eastAsia" w:ascii="宋体" w:hAnsi="宋体" w:eastAsia="宋体"/>
          <w:kern w:val="2"/>
          <w:sz w:val="21"/>
          <w:szCs w:val="21"/>
          <w:lang w:eastAsia="zh-CN"/>
        </w:rPr>
        <w:t>联系电话：</w:t>
      </w:r>
    </w:p>
    <w:p w14:paraId="2A7AFA1D">
      <w:pPr>
        <w:widowControl w:val="0"/>
        <w:jc w:val="both"/>
        <w:rPr>
          <w:rFonts w:ascii="宋体" w:hAnsi="宋体" w:eastAsia="宋体"/>
          <w:b/>
          <w:bCs/>
          <w:kern w:val="2"/>
          <w:sz w:val="21"/>
          <w:szCs w:val="21"/>
          <w:lang w:eastAsia="zh-CN"/>
        </w:rPr>
      </w:pPr>
      <w:r>
        <w:rPr>
          <w:rFonts w:ascii="宋体" w:hAnsi="宋体" w:eastAsia="宋体"/>
          <w:b/>
          <w:bCs/>
          <w:kern w:val="2"/>
          <w:sz w:val="21"/>
          <w:szCs w:val="21"/>
          <w:lang w:eastAsia="zh-CN"/>
        </w:rPr>
        <w:t xml:space="preserve"> </w:t>
      </w:r>
      <w:r>
        <w:rPr>
          <w:rFonts w:hint="eastAsia" w:ascii="宋体" w:hAnsi="宋体" w:eastAsia="宋体"/>
          <w:b/>
          <w:bCs/>
          <w:kern w:val="2"/>
          <w:sz w:val="21"/>
          <w:szCs w:val="21"/>
          <w:lang w:eastAsia="zh-CN"/>
        </w:rPr>
        <w:t xml:space="preserve"> </w:t>
      </w:r>
      <w:r>
        <w:rPr>
          <w:rFonts w:ascii="宋体" w:hAnsi="宋体" w:eastAsia="宋体"/>
          <w:b/>
          <w:bCs/>
          <w:kern w:val="2"/>
          <w:sz w:val="21"/>
          <w:szCs w:val="21"/>
          <w:lang w:eastAsia="zh-CN"/>
        </w:rPr>
        <w:t xml:space="preserve"> </w:t>
      </w:r>
    </w:p>
    <w:p w14:paraId="488F3C38">
      <w:pPr>
        <w:widowControl w:val="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乙方：</w:t>
      </w:r>
    </w:p>
    <w:p w14:paraId="63A8FC8B">
      <w:pPr>
        <w:widowControl w:val="0"/>
        <w:jc w:val="both"/>
        <w:rPr>
          <w:rFonts w:ascii="宋体" w:hAnsi="宋体" w:eastAsia="宋体"/>
          <w:kern w:val="2"/>
          <w:sz w:val="21"/>
          <w:szCs w:val="21"/>
          <w:lang w:eastAsia="zh-CN"/>
        </w:rPr>
      </w:pPr>
      <w:r>
        <w:rPr>
          <w:rFonts w:hint="eastAsia" w:ascii="宋体" w:hAnsi="宋体" w:eastAsia="宋体"/>
          <w:kern w:val="2"/>
          <w:sz w:val="21"/>
          <w:szCs w:val="21"/>
          <w:lang w:eastAsia="zh-CN"/>
        </w:rPr>
        <w:t>地址：</w:t>
      </w:r>
    </w:p>
    <w:p w14:paraId="051866FE">
      <w:pPr>
        <w:widowControl w:val="0"/>
        <w:jc w:val="both"/>
        <w:rPr>
          <w:rFonts w:ascii="宋体" w:hAnsi="宋体" w:eastAsia="宋体"/>
          <w:kern w:val="2"/>
          <w:sz w:val="21"/>
          <w:szCs w:val="21"/>
          <w:lang w:eastAsia="zh-CN"/>
        </w:rPr>
      </w:pPr>
      <w:r>
        <w:rPr>
          <w:rFonts w:hint="eastAsia" w:ascii="宋体" w:hAnsi="宋体" w:eastAsia="宋体"/>
          <w:kern w:val="2"/>
          <w:sz w:val="21"/>
          <w:szCs w:val="21"/>
          <w:lang w:eastAsia="zh-CN"/>
        </w:rPr>
        <w:t>联系人：</w:t>
      </w:r>
      <w:r>
        <w:rPr>
          <w:rFonts w:ascii="宋体" w:hAnsi="宋体" w:eastAsia="宋体"/>
          <w:kern w:val="2"/>
          <w:sz w:val="21"/>
          <w:szCs w:val="21"/>
          <w:lang w:eastAsia="zh-CN"/>
        </w:rPr>
        <w:t xml:space="preserve">                          </w:t>
      </w:r>
    </w:p>
    <w:p w14:paraId="3A6E2460">
      <w:pPr>
        <w:widowControl w:val="0"/>
        <w:jc w:val="both"/>
        <w:rPr>
          <w:rFonts w:ascii="宋体" w:hAnsi="宋体" w:eastAsia="宋体"/>
          <w:b/>
          <w:bCs/>
          <w:kern w:val="2"/>
          <w:sz w:val="21"/>
          <w:szCs w:val="21"/>
          <w:lang w:eastAsia="zh-CN"/>
        </w:rPr>
      </w:pPr>
      <w:r>
        <w:rPr>
          <w:rFonts w:hint="eastAsia" w:ascii="宋体" w:hAnsi="宋体" w:eastAsia="宋体"/>
          <w:kern w:val="2"/>
          <w:sz w:val="21"/>
          <w:szCs w:val="21"/>
          <w:lang w:eastAsia="zh-CN"/>
        </w:rPr>
        <w:t>联系电话：</w:t>
      </w:r>
    </w:p>
    <w:p w14:paraId="68061CAE">
      <w:pPr>
        <w:widowControl w:val="0"/>
        <w:jc w:val="both"/>
        <w:rPr>
          <w:rFonts w:ascii="宋体" w:hAnsi="宋体" w:eastAsia="宋体"/>
          <w:kern w:val="2"/>
          <w:sz w:val="21"/>
          <w:szCs w:val="21"/>
          <w:lang w:eastAsia="zh-CN"/>
        </w:rPr>
      </w:pPr>
      <w:r>
        <w:rPr>
          <w:rFonts w:ascii="宋体" w:hAnsi="宋体" w:eastAsia="宋体"/>
          <w:b/>
          <w:bCs/>
          <w:kern w:val="2"/>
          <w:sz w:val="21"/>
          <w:szCs w:val="21"/>
          <w:lang w:eastAsia="zh-CN"/>
        </w:rPr>
        <w:t xml:space="preserve">            </w:t>
      </w:r>
      <w:r>
        <w:rPr>
          <w:rFonts w:hint="eastAsia" w:ascii="宋体" w:hAnsi="宋体" w:eastAsia="宋体"/>
          <w:b/>
          <w:bCs/>
          <w:kern w:val="2"/>
          <w:sz w:val="21"/>
          <w:szCs w:val="21"/>
          <w:lang w:eastAsia="zh-CN"/>
        </w:rPr>
        <w:t xml:space="preserve">          </w:t>
      </w:r>
    </w:p>
    <w:p w14:paraId="44B8F876">
      <w:pPr>
        <w:widowControl w:val="0"/>
        <w:jc w:val="both"/>
        <w:rPr>
          <w:rFonts w:ascii="宋体" w:hAnsi="宋体" w:eastAsia="宋体"/>
          <w:kern w:val="2"/>
          <w:sz w:val="21"/>
          <w:szCs w:val="21"/>
          <w:lang w:eastAsia="zh-CN"/>
        </w:rPr>
      </w:pPr>
    </w:p>
    <w:p w14:paraId="4DD20A6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根据深圳公共资源交易中心（深圳交易集团有限公司政府采购业务分公司）*</w:t>
      </w:r>
      <w:r>
        <w:rPr>
          <w:rFonts w:ascii="宋体" w:hAnsi="宋体" w:eastAsia="宋体"/>
          <w:kern w:val="2"/>
          <w:sz w:val="21"/>
          <w:szCs w:val="21"/>
          <w:lang w:eastAsia="zh-CN"/>
        </w:rPr>
        <w:t>**</w:t>
      </w:r>
      <w:r>
        <w:rPr>
          <w:rFonts w:hint="eastAsia" w:ascii="宋体" w:hAnsi="宋体" w:eastAsia="宋体"/>
          <w:kern w:val="2"/>
          <w:sz w:val="21"/>
          <w:szCs w:val="21"/>
          <w:lang w:eastAsia="zh-CN"/>
        </w:rPr>
        <w:t>号项目结果，*</w:t>
      </w:r>
      <w:r>
        <w:rPr>
          <w:rFonts w:ascii="宋体" w:hAnsi="宋体" w:eastAsia="宋体"/>
          <w:kern w:val="2"/>
          <w:sz w:val="21"/>
          <w:szCs w:val="21"/>
          <w:lang w:eastAsia="zh-CN"/>
        </w:rPr>
        <w:t>**</w:t>
      </w:r>
      <w:r>
        <w:rPr>
          <w:rFonts w:hint="eastAsia" w:ascii="宋体" w:hAnsi="宋体" w:eastAsia="宋体"/>
          <w:kern w:val="2"/>
          <w:sz w:val="21"/>
          <w:szCs w:val="21"/>
          <w:lang w:eastAsia="zh-CN"/>
        </w:rPr>
        <w:t>单位为中标人。按照《中华人民共和国民法典》（第三编 合同）》和《深圳经济特区政府采购条例》，经深圳市（以下简称甲方）和单位（以下简称乙方）协商，就甲方委托乙方承担</w:t>
      </w:r>
      <w:r>
        <w:rPr>
          <w:rFonts w:hint="eastAsia" w:ascii="宋体" w:hAnsi="宋体" w:eastAsia="宋体"/>
          <w:b/>
          <w:bCs/>
          <w:snapToGrid w:val="0"/>
          <w:sz w:val="21"/>
          <w:szCs w:val="21"/>
          <w:u w:val="single"/>
          <w:lang w:val="zh-CN" w:eastAsia="zh-CN"/>
        </w:rPr>
        <w:t xml:space="preserve">                      服务项目</w:t>
      </w:r>
      <w:r>
        <w:rPr>
          <w:rFonts w:hint="eastAsia" w:ascii="宋体" w:hAnsi="宋体" w:eastAsia="宋体"/>
          <w:kern w:val="2"/>
          <w:sz w:val="21"/>
          <w:szCs w:val="21"/>
          <w:lang w:eastAsia="zh-CN"/>
        </w:rPr>
        <w:t>，达成以下合同条款：</w:t>
      </w:r>
    </w:p>
    <w:p w14:paraId="2D254231">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第一条　项目概况</w:t>
      </w:r>
    </w:p>
    <w:p w14:paraId="7F2648E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项目名称： </w:t>
      </w:r>
    </w:p>
    <w:p w14:paraId="32EAB16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项目内容： </w:t>
      </w:r>
    </w:p>
    <w:p w14:paraId="7EBAEE9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服务时间： </w:t>
      </w:r>
    </w:p>
    <w:p w14:paraId="053E423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合同价款：合同总价为元，含一切税、费。</w:t>
      </w:r>
      <w:r>
        <w:rPr>
          <w:rFonts w:eastAsia="宋体"/>
          <w:kern w:val="2"/>
          <w:sz w:val="21"/>
          <w:lang w:eastAsia="zh-CN"/>
        </w:rPr>
        <w:t>本合同总价包括</w:t>
      </w:r>
      <w:r>
        <w:rPr>
          <w:rFonts w:hint="eastAsia" w:ascii="宋体" w:hAnsi="宋体" w:eastAsia="宋体"/>
          <w:kern w:val="2"/>
          <w:sz w:val="21"/>
          <w:szCs w:val="21"/>
          <w:lang w:eastAsia="zh-CN"/>
        </w:rPr>
        <w:t>乙方为实施本项目*</w:t>
      </w:r>
      <w:r>
        <w:rPr>
          <w:rFonts w:ascii="宋体" w:hAnsi="宋体" w:eastAsia="宋体"/>
          <w:kern w:val="2"/>
          <w:sz w:val="21"/>
          <w:szCs w:val="21"/>
          <w:lang w:eastAsia="zh-CN"/>
        </w:rPr>
        <w:t>**</w:t>
      </w:r>
      <w:r>
        <w:rPr>
          <w:rFonts w:hint="eastAsia" w:ascii="宋体" w:hAnsi="宋体" w:eastAsia="宋体"/>
          <w:kern w:val="2"/>
          <w:sz w:val="21"/>
          <w:szCs w:val="21"/>
          <w:lang w:eastAsia="zh-CN"/>
        </w:rPr>
        <w:t>所需的设备仪器费、车辆租赁费、</w:t>
      </w:r>
      <w:r>
        <w:rPr>
          <w:rFonts w:eastAsia="宋体"/>
          <w:kern w:val="2"/>
          <w:sz w:val="21"/>
          <w:lang w:eastAsia="zh-CN"/>
        </w:rPr>
        <w:t>服务</w:t>
      </w:r>
      <w:r>
        <w:rPr>
          <w:rFonts w:hint="eastAsia" w:eastAsia="宋体"/>
          <w:kern w:val="2"/>
          <w:sz w:val="21"/>
          <w:lang w:eastAsia="zh-CN"/>
        </w:rPr>
        <w:t>和</w:t>
      </w:r>
      <w:r>
        <w:rPr>
          <w:rFonts w:eastAsia="宋体"/>
          <w:kern w:val="2"/>
          <w:sz w:val="21"/>
          <w:lang w:eastAsia="zh-CN"/>
        </w:rPr>
        <w:t>技术费用</w:t>
      </w:r>
      <w:r>
        <w:rPr>
          <w:rFonts w:hint="eastAsia" w:eastAsia="宋体"/>
          <w:kern w:val="2"/>
          <w:sz w:val="21"/>
          <w:lang w:eastAsia="zh-CN"/>
        </w:rPr>
        <w:t>等</w:t>
      </w:r>
      <w:r>
        <w:rPr>
          <w:rFonts w:eastAsia="宋体"/>
          <w:kern w:val="2"/>
          <w:sz w:val="21"/>
          <w:lang w:eastAsia="zh-CN"/>
        </w:rPr>
        <w:t>，为固定不变价格，且不随通货膨胀的影响而波动。合同总价包括</w:t>
      </w:r>
      <w:r>
        <w:rPr>
          <w:rFonts w:hint="eastAsia" w:ascii="宋体" w:hAnsi="宋体" w:eastAsia="宋体"/>
          <w:kern w:val="2"/>
          <w:sz w:val="21"/>
          <w:szCs w:val="21"/>
          <w:lang w:eastAsia="zh-CN"/>
        </w:rPr>
        <w:t>乙方</w:t>
      </w:r>
      <w:r>
        <w:rPr>
          <w:rFonts w:eastAsia="宋体"/>
          <w:kern w:val="2"/>
          <w:sz w:val="21"/>
          <w:lang w:eastAsia="zh-CN"/>
        </w:rPr>
        <w:t>履行本合同义务所发生的一切费用和支出和以各种方式寄送技术资料到</w:t>
      </w:r>
      <w:r>
        <w:rPr>
          <w:rFonts w:hint="eastAsia" w:eastAsia="宋体"/>
          <w:kern w:val="2"/>
          <w:sz w:val="21"/>
          <w:lang w:eastAsia="zh-CN"/>
        </w:rPr>
        <w:t>甲</w:t>
      </w:r>
      <w:r>
        <w:rPr>
          <w:rFonts w:eastAsia="宋体"/>
          <w:kern w:val="2"/>
          <w:sz w:val="21"/>
          <w:lang w:eastAsia="zh-CN"/>
        </w:rPr>
        <w:t>方办公室所发生的费用。</w:t>
      </w:r>
    </w:p>
    <w:p w14:paraId="62DD6A28">
      <w:pPr>
        <w:widowControl w:val="0"/>
        <w:ind w:firstLine="420"/>
        <w:jc w:val="both"/>
        <w:rPr>
          <w:rFonts w:ascii="宋体" w:hAnsi="宋体" w:eastAsia="宋体"/>
          <w:kern w:val="2"/>
          <w:sz w:val="21"/>
          <w:szCs w:val="21"/>
          <w:lang w:eastAsia="zh-CN"/>
        </w:rPr>
      </w:pPr>
      <w:r>
        <w:rPr>
          <w:rFonts w:hint="eastAsia" w:ascii="宋体" w:hAnsi="宋体" w:eastAsia="宋体"/>
          <w:kern w:val="2"/>
          <w:sz w:val="21"/>
          <w:szCs w:val="21"/>
          <w:lang w:eastAsia="zh-CN"/>
        </w:rPr>
        <w:t>支付方式：分期支付。</w:t>
      </w:r>
    </w:p>
    <w:p w14:paraId="29B40616">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第二条  服务范围</w:t>
      </w:r>
    </w:p>
    <w:p w14:paraId="74368CE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1、  </w:t>
      </w:r>
    </w:p>
    <w:p w14:paraId="1D5176A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2、  </w:t>
      </w:r>
    </w:p>
    <w:p w14:paraId="2236A87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3、  </w:t>
      </w:r>
    </w:p>
    <w:p w14:paraId="683F991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 其他合同未明示的相关工作。</w:t>
      </w:r>
    </w:p>
    <w:p w14:paraId="761DF00A">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第三条  时间要求及阶段成果</w:t>
      </w:r>
    </w:p>
    <w:p w14:paraId="05194EA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1、合同签订天内完成项目实施的准备工作，包括工作大纲和试验细则的编制；</w:t>
      </w:r>
    </w:p>
    <w:p w14:paraId="3717A5B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2、 </w:t>
      </w:r>
    </w:p>
    <w:p w14:paraId="24D2FDF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w:t>
      </w:r>
    </w:p>
    <w:p w14:paraId="070C389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w:t>
      </w:r>
    </w:p>
    <w:p w14:paraId="0F25042C">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第四条  服务资料归属</w:t>
      </w:r>
    </w:p>
    <w:p w14:paraId="033AC90F">
      <w:pPr>
        <w:widowControl w:val="0"/>
        <w:ind w:firstLine="420" w:firstLineChars="200"/>
        <w:jc w:val="both"/>
        <w:rPr>
          <w:rFonts w:eastAsia="宋体"/>
          <w:kern w:val="2"/>
          <w:sz w:val="21"/>
          <w:lang w:eastAsia="zh-CN"/>
        </w:rPr>
      </w:pPr>
      <w:r>
        <w:rPr>
          <w:rFonts w:eastAsia="宋体"/>
          <w:kern w:val="2"/>
          <w:sz w:val="21"/>
          <w:lang w:eastAsia="zh-CN"/>
        </w:rPr>
        <w:t>1</w:t>
      </w:r>
      <w:r>
        <w:rPr>
          <w:rFonts w:hint="eastAsia" w:eastAsia="宋体"/>
          <w:kern w:val="2"/>
          <w:sz w:val="21"/>
          <w:lang w:eastAsia="zh-CN"/>
        </w:rPr>
        <w:t>、</w:t>
      </w:r>
      <w:r>
        <w:rPr>
          <w:rFonts w:eastAsia="宋体"/>
          <w:kern w:val="2"/>
          <w:sz w:val="21"/>
          <w:lang w:eastAsia="zh-CN"/>
        </w:rPr>
        <w:t>所有提交给</w:t>
      </w:r>
      <w:r>
        <w:rPr>
          <w:rFonts w:hint="eastAsia" w:eastAsia="宋体"/>
          <w:kern w:val="2"/>
          <w:sz w:val="21"/>
          <w:lang w:eastAsia="zh-CN"/>
        </w:rPr>
        <w:t>甲</w:t>
      </w:r>
      <w:r>
        <w:rPr>
          <w:rFonts w:eastAsia="宋体"/>
          <w:kern w:val="2"/>
          <w:sz w:val="21"/>
          <w:lang w:eastAsia="zh-CN"/>
        </w:rPr>
        <w:t>方的服务</w:t>
      </w:r>
      <w:r>
        <w:rPr>
          <w:rFonts w:hint="eastAsia" w:eastAsia="宋体"/>
          <w:kern w:val="2"/>
          <w:sz w:val="21"/>
          <w:lang w:eastAsia="zh-CN"/>
        </w:rPr>
        <w:t>文件</w:t>
      </w:r>
      <w:r>
        <w:rPr>
          <w:rFonts w:eastAsia="宋体"/>
          <w:kern w:val="2"/>
          <w:sz w:val="21"/>
          <w:lang w:eastAsia="zh-CN"/>
        </w:rPr>
        <w:t>及相关的资料的最后文本，包括为履行技术服务范围所编制的图纸、计划和证明资料等，都属于</w:t>
      </w:r>
      <w:r>
        <w:rPr>
          <w:rFonts w:hint="eastAsia" w:eastAsia="宋体"/>
          <w:kern w:val="2"/>
          <w:sz w:val="21"/>
          <w:lang w:eastAsia="zh-CN"/>
        </w:rPr>
        <w:t>甲</w:t>
      </w:r>
      <w:r>
        <w:rPr>
          <w:rFonts w:eastAsia="宋体"/>
          <w:kern w:val="2"/>
          <w:sz w:val="21"/>
          <w:lang w:eastAsia="zh-CN"/>
        </w:rPr>
        <w:t>方的财产，</w:t>
      </w:r>
      <w:r>
        <w:rPr>
          <w:rFonts w:hint="eastAsia" w:ascii="宋体" w:hAnsi="宋体" w:eastAsia="宋体"/>
          <w:kern w:val="2"/>
          <w:sz w:val="21"/>
          <w:szCs w:val="21"/>
          <w:lang w:eastAsia="zh-CN"/>
        </w:rPr>
        <w:t>乙</w:t>
      </w:r>
      <w:r>
        <w:rPr>
          <w:rFonts w:eastAsia="宋体"/>
          <w:kern w:val="2"/>
          <w:sz w:val="21"/>
          <w:lang w:eastAsia="zh-CN"/>
        </w:rPr>
        <w:t>方在提交给</w:t>
      </w:r>
      <w:r>
        <w:rPr>
          <w:rFonts w:hint="eastAsia" w:eastAsia="宋体"/>
          <w:kern w:val="2"/>
          <w:sz w:val="21"/>
          <w:lang w:eastAsia="zh-CN"/>
        </w:rPr>
        <w:t>甲</w:t>
      </w:r>
      <w:r>
        <w:rPr>
          <w:rFonts w:eastAsia="宋体"/>
          <w:kern w:val="2"/>
          <w:sz w:val="21"/>
          <w:lang w:eastAsia="zh-CN"/>
        </w:rPr>
        <w:t>方之前应将上述资料进行整理归类和编制索引</w:t>
      </w:r>
      <w:r>
        <w:rPr>
          <w:rFonts w:hint="eastAsia" w:eastAsia="宋体"/>
          <w:kern w:val="2"/>
          <w:sz w:val="21"/>
          <w:lang w:eastAsia="zh-CN"/>
        </w:rPr>
        <w:t>。</w:t>
      </w:r>
    </w:p>
    <w:p w14:paraId="0B901C60">
      <w:pPr>
        <w:widowControl w:val="0"/>
        <w:ind w:firstLine="420" w:firstLineChars="200"/>
        <w:jc w:val="both"/>
        <w:rPr>
          <w:rFonts w:eastAsia="宋体"/>
          <w:kern w:val="2"/>
          <w:sz w:val="21"/>
          <w:lang w:eastAsia="zh-CN"/>
        </w:rPr>
      </w:pPr>
      <w:r>
        <w:rPr>
          <w:rFonts w:eastAsia="宋体"/>
          <w:kern w:val="2"/>
          <w:sz w:val="21"/>
          <w:lang w:eastAsia="zh-CN"/>
        </w:rPr>
        <w:t>2</w:t>
      </w:r>
      <w:r>
        <w:rPr>
          <w:rFonts w:hint="eastAsia" w:eastAsia="宋体"/>
          <w:kern w:val="2"/>
          <w:sz w:val="21"/>
          <w:lang w:eastAsia="zh-CN"/>
        </w:rPr>
        <w:t>、</w:t>
      </w:r>
      <w:r>
        <w:rPr>
          <w:rFonts w:hint="eastAsia" w:ascii="宋体" w:hAnsi="宋体" w:eastAsia="宋体"/>
          <w:kern w:val="2"/>
          <w:sz w:val="21"/>
          <w:szCs w:val="21"/>
          <w:lang w:eastAsia="zh-CN"/>
        </w:rPr>
        <w:t>乙</w:t>
      </w:r>
      <w:r>
        <w:rPr>
          <w:rFonts w:eastAsia="宋体"/>
          <w:kern w:val="2"/>
          <w:sz w:val="21"/>
          <w:lang w:eastAsia="zh-CN"/>
        </w:rPr>
        <w:t>方未经</w:t>
      </w:r>
      <w:r>
        <w:rPr>
          <w:rFonts w:hint="eastAsia" w:eastAsia="宋体"/>
          <w:kern w:val="2"/>
          <w:sz w:val="21"/>
          <w:lang w:eastAsia="zh-CN"/>
        </w:rPr>
        <w:t>甲</w:t>
      </w:r>
      <w:r>
        <w:rPr>
          <w:rFonts w:eastAsia="宋体"/>
          <w:kern w:val="2"/>
          <w:sz w:val="21"/>
          <w:lang w:eastAsia="zh-CN"/>
        </w:rPr>
        <w:t>方的书面同意，不得将上述资料用于与本服务项目之外的任何项目</w:t>
      </w:r>
      <w:r>
        <w:rPr>
          <w:rFonts w:hint="eastAsia" w:eastAsia="宋体"/>
          <w:kern w:val="2"/>
          <w:sz w:val="21"/>
          <w:lang w:eastAsia="zh-CN"/>
        </w:rPr>
        <w:t>。</w:t>
      </w:r>
    </w:p>
    <w:p w14:paraId="101FEF99">
      <w:pPr>
        <w:widowControl w:val="0"/>
        <w:ind w:firstLine="420" w:firstLineChars="200"/>
        <w:jc w:val="both"/>
        <w:rPr>
          <w:rFonts w:eastAsia="宋体"/>
          <w:kern w:val="2"/>
          <w:sz w:val="21"/>
          <w:lang w:eastAsia="zh-CN"/>
        </w:rPr>
      </w:pPr>
      <w:r>
        <w:rPr>
          <w:rFonts w:hint="eastAsia" w:eastAsia="宋体"/>
          <w:kern w:val="2"/>
          <w:sz w:val="21"/>
          <w:lang w:eastAsia="zh-CN"/>
        </w:rPr>
        <w:t>3、</w:t>
      </w:r>
      <w:r>
        <w:rPr>
          <w:rFonts w:eastAsia="宋体"/>
          <w:kern w:val="2"/>
          <w:sz w:val="21"/>
          <w:lang w:eastAsia="zh-CN"/>
        </w:rPr>
        <w:t>合同履行</w:t>
      </w:r>
      <w:r>
        <w:rPr>
          <w:rFonts w:hint="eastAsia" w:eastAsia="宋体"/>
          <w:kern w:val="2"/>
          <w:sz w:val="21"/>
          <w:lang w:eastAsia="zh-CN"/>
        </w:rPr>
        <w:t>完毕，</w:t>
      </w:r>
      <w:r>
        <w:rPr>
          <w:rFonts w:eastAsia="宋体"/>
          <w:kern w:val="2"/>
          <w:sz w:val="21"/>
          <w:lang w:eastAsia="zh-CN"/>
        </w:rPr>
        <w:t>未经</w:t>
      </w:r>
      <w:r>
        <w:rPr>
          <w:rFonts w:hint="eastAsia" w:eastAsia="宋体"/>
          <w:kern w:val="2"/>
          <w:sz w:val="21"/>
          <w:lang w:eastAsia="zh-CN"/>
        </w:rPr>
        <w:t>甲</w:t>
      </w:r>
      <w:r>
        <w:rPr>
          <w:rFonts w:eastAsia="宋体"/>
          <w:kern w:val="2"/>
          <w:sz w:val="21"/>
          <w:lang w:eastAsia="zh-CN"/>
        </w:rPr>
        <w:t>方的书面同意</w:t>
      </w:r>
      <w:r>
        <w:rPr>
          <w:rFonts w:hint="eastAsia" w:eastAsia="宋体"/>
          <w:kern w:val="2"/>
          <w:sz w:val="21"/>
          <w:lang w:eastAsia="zh-CN"/>
        </w:rPr>
        <w:t>，</w:t>
      </w:r>
      <w:r>
        <w:rPr>
          <w:rFonts w:hint="eastAsia" w:ascii="宋体" w:hAnsi="宋体" w:eastAsia="宋体"/>
          <w:kern w:val="2"/>
          <w:sz w:val="21"/>
          <w:szCs w:val="21"/>
          <w:lang w:eastAsia="zh-CN"/>
        </w:rPr>
        <w:t>乙</w:t>
      </w:r>
      <w:r>
        <w:rPr>
          <w:rFonts w:eastAsia="宋体"/>
          <w:kern w:val="2"/>
          <w:sz w:val="21"/>
          <w:lang w:eastAsia="zh-CN"/>
        </w:rPr>
        <w:t>方</w:t>
      </w:r>
      <w:r>
        <w:rPr>
          <w:rFonts w:hint="eastAsia" w:eastAsia="宋体"/>
          <w:kern w:val="2"/>
          <w:sz w:val="21"/>
          <w:lang w:eastAsia="zh-CN"/>
        </w:rPr>
        <w:t>不得保存在</w:t>
      </w:r>
      <w:r>
        <w:rPr>
          <w:rFonts w:eastAsia="宋体"/>
          <w:kern w:val="2"/>
          <w:sz w:val="21"/>
          <w:lang w:eastAsia="zh-CN"/>
        </w:rPr>
        <w:t>履行合同过程中所获得或接触到的任何</w:t>
      </w:r>
      <w:r>
        <w:rPr>
          <w:rFonts w:hint="eastAsia" w:ascii="宋体" w:hAnsi="宋体" w:eastAsia="宋体"/>
          <w:kern w:val="2"/>
          <w:sz w:val="21"/>
          <w:szCs w:val="21"/>
          <w:lang w:eastAsia="zh-CN"/>
        </w:rPr>
        <w:t>内部数据资料。</w:t>
      </w:r>
    </w:p>
    <w:p w14:paraId="167E21E3">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第五条  甲方的义务</w:t>
      </w:r>
    </w:p>
    <w:p w14:paraId="52EB4BD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1、负责与本服务项目有关的第三方的协调，提供开展服务工作的外部条件。</w:t>
      </w:r>
    </w:p>
    <w:p w14:paraId="694B33B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2、向乙方提供与本项目服务工作有关的资料。</w:t>
      </w:r>
    </w:p>
    <w:p w14:paraId="0B029A0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3、负责组织有关专家对项目试验成果评估报告的评审。</w:t>
      </w:r>
    </w:p>
    <w:p w14:paraId="2600A1EC">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第六条　乙方的义务</w:t>
      </w:r>
    </w:p>
    <w:p w14:paraId="315FAE7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１、应按照招标文件、投标文件要求按期完成本项目服务工作。</w:t>
      </w:r>
    </w:p>
    <w:p w14:paraId="05106D2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2、负责组织项目的实施，保证工程进度和成桥荷载试验工作质量，并满足交通部交工验收相关标准。</w:t>
      </w:r>
    </w:p>
    <w:p w14:paraId="500D569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w:t>
      </w:r>
      <w:r>
        <w:rPr>
          <w:rFonts w:hint="eastAsia" w:ascii="宋体" w:hAnsi="宋体" w:eastAsia="宋体"/>
          <w:kern w:val="2"/>
          <w:sz w:val="21"/>
          <w:lang w:eastAsia="zh-CN"/>
        </w:rPr>
        <w:t>向甲方提交检测资料等各套，一套电子版文件。</w:t>
      </w:r>
    </w:p>
    <w:p w14:paraId="5620270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4、在履行合同期间或合同规定期限内，不得泄露与本合同规定业务活动有关的保密资料。</w:t>
      </w:r>
    </w:p>
    <w:p w14:paraId="5C62641E">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第七条  甲方的权利</w:t>
      </w:r>
    </w:p>
    <w:p w14:paraId="5DECDBAF">
      <w:pPr>
        <w:widowControl w:val="0"/>
        <w:ind w:firstLine="420" w:firstLineChars="200"/>
        <w:jc w:val="both"/>
        <w:rPr>
          <w:rFonts w:ascii="宋体" w:hAnsi="宋体" w:eastAsia="宋体"/>
          <w:kern w:val="2"/>
          <w:sz w:val="21"/>
          <w:szCs w:val="21"/>
          <w:lang w:eastAsia="zh-CN"/>
        </w:rPr>
      </w:pPr>
      <w:r>
        <w:rPr>
          <w:rFonts w:ascii="宋体" w:hAnsi="宋体" w:eastAsia="宋体"/>
          <w:kern w:val="2"/>
          <w:sz w:val="21"/>
          <w:szCs w:val="21"/>
          <w:lang w:eastAsia="zh-CN"/>
        </w:rPr>
        <w:t>1</w:t>
      </w:r>
      <w:r>
        <w:rPr>
          <w:rFonts w:hint="eastAsia" w:ascii="宋体" w:hAnsi="宋体" w:eastAsia="宋体"/>
          <w:kern w:val="2"/>
          <w:sz w:val="21"/>
          <w:szCs w:val="21"/>
          <w:lang w:eastAsia="zh-CN"/>
        </w:rPr>
        <w:t>、有权向乙方询问工作进展情况及相关的内容。</w:t>
      </w:r>
    </w:p>
    <w:p w14:paraId="1A03162D">
      <w:pPr>
        <w:widowControl w:val="0"/>
        <w:ind w:firstLine="420" w:firstLineChars="200"/>
        <w:jc w:val="both"/>
        <w:rPr>
          <w:rFonts w:ascii="宋体" w:hAnsi="宋体" w:eastAsia="宋体"/>
          <w:kern w:val="2"/>
          <w:sz w:val="21"/>
          <w:szCs w:val="21"/>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、有权阐述对具体问题的意见和建议。</w:t>
      </w:r>
    </w:p>
    <w:p w14:paraId="249444F6">
      <w:pPr>
        <w:widowControl w:val="0"/>
        <w:ind w:firstLine="420" w:firstLineChars="200"/>
        <w:jc w:val="both"/>
        <w:rPr>
          <w:rFonts w:ascii="宋体" w:hAnsi="宋体" w:eastAsia="宋体"/>
          <w:kern w:val="2"/>
          <w:sz w:val="21"/>
          <w:szCs w:val="21"/>
          <w:lang w:eastAsia="zh-CN"/>
        </w:rPr>
      </w:pPr>
      <w:r>
        <w:rPr>
          <w:rFonts w:ascii="宋体" w:hAnsi="宋体" w:eastAsia="宋体"/>
          <w:kern w:val="2"/>
          <w:sz w:val="21"/>
          <w:szCs w:val="21"/>
          <w:lang w:eastAsia="zh-CN"/>
        </w:rPr>
        <w:t>3</w:t>
      </w:r>
      <w:r>
        <w:rPr>
          <w:rFonts w:hint="eastAsia" w:ascii="宋体" w:hAnsi="宋体" w:eastAsia="宋体"/>
          <w:kern w:val="2"/>
          <w:sz w:val="21"/>
          <w:szCs w:val="21"/>
          <w:lang w:eastAsia="zh-CN"/>
        </w:rPr>
        <w:t>、当甲方认定乙方人员不按合同履行其职责，或与第三人串通给甲方造成经济损失的，甲方有权要求更换人员，直至终止合同并要求乙方承担相应的赔偿责任。</w:t>
      </w:r>
    </w:p>
    <w:p w14:paraId="57D96E43">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第八条  乙方的权利</w:t>
      </w:r>
    </w:p>
    <w:p w14:paraId="1C83FD15">
      <w:pPr>
        <w:widowControl w:val="0"/>
        <w:ind w:firstLine="420" w:firstLineChars="200"/>
        <w:jc w:val="both"/>
        <w:rPr>
          <w:rFonts w:ascii="宋体" w:hAnsi="宋体" w:eastAsia="宋体"/>
          <w:kern w:val="2"/>
          <w:sz w:val="21"/>
          <w:szCs w:val="21"/>
          <w:lang w:eastAsia="zh-CN"/>
        </w:rPr>
      </w:pPr>
      <w:r>
        <w:rPr>
          <w:rFonts w:ascii="宋体" w:hAnsi="宋体" w:eastAsia="宋体"/>
          <w:kern w:val="2"/>
          <w:sz w:val="21"/>
          <w:szCs w:val="21"/>
          <w:lang w:eastAsia="zh-CN"/>
        </w:rPr>
        <w:t>1</w:t>
      </w:r>
      <w:r>
        <w:rPr>
          <w:rFonts w:hint="eastAsia" w:ascii="宋体" w:hAnsi="宋体" w:eastAsia="宋体"/>
          <w:kern w:val="2"/>
          <w:sz w:val="21"/>
          <w:szCs w:val="21"/>
          <w:lang w:eastAsia="zh-CN"/>
        </w:rPr>
        <w:t>、乙方在本项目服务过程中，如甲方提供的资料不明确时可向甲方提出书面报告。</w:t>
      </w:r>
    </w:p>
    <w:p w14:paraId="72BB6629">
      <w:pPr>
        <w:widowControl w:val="0"/>
        <w:ind w:firstLine="420" w:firstLineChars="200"/>
        <w:jc w:val="both"/>
        <w:rPr>
          <w:rFonts w:ascii="宋体" w:hAnsi="宋体" w:eastAsia="宋体"/>
          <w:kern w:val="2"/>
          <w:sz w:val="21"/>
          <w:szCs w:val="21"/>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、乙方在本项目服务过程中，有权对第三方提出与本服务业务有关的问题进行核对或查问。</w:t>
      </w:r>
    </w:p>
    <w:p w14:paraId="7D23854C">
      <w:pPr>
        <w:widowControl w:val="0"/>
        <w:ind w:firstLine="420" w:firstLineChars="200"/>
        <w:jc w:val="both"/>
        <w:rPr>
          <w:rFonts w:ascii="宋体" w:hAnsi="宋体" w:eastAsia="宋体"/>
          <w:kern w:val="2"/>
          <w:sz w:val="21"/>
          <w:szCs w:val="21"/>
          <w:lang w:eastAsia="zh-CN"/>
        </w:rPr>
      </w:pPr>
      <w:r>
        <w:rPr>
          <w:rFonts w:ascii="宋体" w:hAnsi="宋体" w:eastAsia="宋体"/>
          <w:kern w:val="2"/>
          <w:sz w:val="21"/>
          <w:szCs w:val="21"/>
          <w:lang w:eastAsia="zh-CN"/>
        </w:rPr>
        <w:t>3</w:t>
      </w:r>
      <w:r>
        <w:rPr>
          <w:rFonts w:hint="eastAsia" w:ascii="宋体" w:hAnsi="宋体" w:eastAsia="宋体"/>
          <w:kern w:val="2"/>
          <w:sz w:val="21"/>
          <w:szCs w:val="21"/>
          <w:lang w:eastAsia="zh-CN"/>
        </w:rPr>
        <w:t>、乙方在本项目服务过程中，有到工程现场勘察的权利。</w:t>
      </w:r>
    </w:p>
    <w:p w14:paraId="6EBEB334">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第九条  甲方的责任</w:t>
      </w:r>
    </w:p>
    <w:p w14:paraId="703A50C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1、应当履行本合同约定的义务，如有违反则应当承担违约责任，赔偿给乙方造成的损失。</w:t>
      </w:r>
    </w:p>
    <w:p w14:paraId="5E35373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2、甲方向乙方提出赔偿要求不能成立时，则应补偿由于该赔偿或其他要求所导致乙方的各种费用的支出。</w:t>
      </w:r>
    </w:p>
    <w:p w14:paraId="7D9DA5BC">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第十条  乙方的责任</w:t>
      </w:r>
    </w:p>
    <w:p w14:paraId="5DDA5F0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1、乙方的责任期即本合同有效期。如因非乙方的责任造成进度的推迟或延误而超过约定的日期，双方应进一步约定相应延长合同有效期。</w:t>
      </w:r>
    </w:p>
    <w:p w14:paraId="2038F77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2、乙方的责任期内，应当履行本合同中约定的义务，因乙方的单方过失造成的经济损失，应当向甲方进行赔偿。</w:t>
      </w:r>
    </w:p>
    <w:p w14:paraId="0F82520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3、乙方对甲方或第三方所提出的问题不能及时核对或答复，导致合同不能全部或部分履行，乙方应承担责任。</w:t>
      </w:r>
    </w:p>
    <w:p w14:paraId="78FEC4A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4、乙方向甲方提出赔偿要求不能成立时，则应补偿由于该赔偿或其他要求所导致甲方的各种费用的支出。</w:t>
      </w:r>
    </w:p>
    <w:p w14:paraId="3D21CAED">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第十一条  人员要求</w:t>
      </w:r>
    </w:p>
    <w:p w14:paraId="77E921B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1、参加本项目试验的人员必须具有国家和有关部门规定的相应资质。</w:t>
      </w:r>
    </w:p>
    <w:p w14:paraId="373CFD4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2、参加本项目的试验人员的配置必须与投标文件中的服务承诺书和试验服务组织实施方案一致。</w:t>
      </w:r>
    </w:p>
    <w:p w14:paraId="6A0410A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3、必须以直属试验人员参与本项目服务，不得使用挂靠队伍。</w:t>
      </w:r>
    </w:p>
    <w:p w14:paraId="72C0FD92">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第十二条  乙方服务工具要求</w:t>
      </w:r>
    </w:p>
    <w:p w14:paraId="792A7D6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1、乙方应配备中标项目所需的足够数量的仪器、仪表以及工具等设备。用户不需向乙方提供施工工具和仪器、仪表。</w:t>
      </w:r>
    </w:p>
    <w:p w14:paraId="6724C78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2、乙方在提供服务过程中应自备车辆。</w:t>
      </w:r>
    </w:p>
    <w:p w14:paraId="08A35E82">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第十三条  保密要求</w:t>
      </w:r>
    </w:p>
    <w:p w14:paraId="0937DFE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4574A72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w:t>
      </w:r>
      <w:r>
        <w:rPr>
          <w:rFonts w:ascii="宋体" w:hAnsi="宋体" w:eastAsia="宋体"/>
          <w:kern w:val="2"/>
          <w:sz w:val="21"/>
          <w:szCs w:val="21"/>
          <w:lang w:eastAsia="zh-CN"/>
        </w:rPr>
        <w:t>乙方在履行合同过程中所获得或接触到的任何</w:t>
      </w:r>
      <w:r>
        <w:rPr>
          <w:rFonts w:hint="eastAsia" w:ascii="宋体" w:hAnsi="宋体" w:eastAsia="宋体"/>
          <w:kern w:val="2"/>
          <w:sz w:val="21"/>
          <w:szCs w:val="21"/>
          <w:lang w:eastAsia="zh-CN"/>
        </w:rPr>
        <w:t>内部数据资料，未经甲方同意，不得向第三方透露。</w:t>
      </w:r>
    </w:p>
    <w:p w14:paraId="0C0BD42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w:t>
      </w:r>
      <w:r>
        <w:rPr>
          <w:rFonts w:ascii="宋体" w:hAnsi="宋体" w:eastAsia="宋体"/>
          <w:kern w:val="2"/>
          <w:sz w:val="21"/>
          <w:szCs w:val="21"/>
          <w:lang w:eastAsia="zh-CN"/>
        </w:rPr>
        <w:t>乙方</w:t>
      </w:r>
      <w:r>
        <w:rPr>
          <w:rFonts w:hint="eastAsia" w:ascii="宋体" w:hAnsi="宋体" w:eastAsia="宋体"/>
          <w:kern w:val="2"/>
          <w:sz w:val="21"/>
          <w:szCs w:val="21"/>
          <w:lang w:eastAsia="zh-CN"/>
        </w:rPr>
        <w:t>实施项目的一切程序都应符合国家安全、保密的有关规定和标准。</w:t>
      </w:r>
    </w:p>
    <w:p w14:paraId="552A565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w:t>
      </w:r>
      <w:r>
        <w:rPr>
          <w:rFonts w:ascii="宋体" w:hAnsi="宋体" w:eastAsia="宋体"/>
          <w:kern w:val="2"/>
          <w:sz w:val="21"/>
          <w:szCs w:val="21"/>
          <w:lang w:eastAsia="zh-CN"/>
        </w:rPr>
        <w:t>乙方</w:t>
      </w:r>
      <w:r>
        <w:rPr>
          <w:rFonts w:hint="eastAsia" w:ascii="宋体" w:hAnsi="宋体" w:eastAsia="宋体"/>
          <w:kern w:val="2"/>
          <w:sz w:val="21"/>
          <w:szCs w:val="21"/>
          <w:lang w:eastAsia="zh-CN"/>
        </w:rPr>
        <w:t>参加项目的有关人员均需同甲方签订保密协议。</w:t>
      </w:r>
    </w:p>
    <w:p w14:paraId="4F7362EF">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 xml:space="preserve">第十四条  验收     </w:t>
      </w:r>
    </w:p>
    <w:p w14:paraId="5BF8E9A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1、下列文件的验收分为</w:t>
      </w:r>
      <w:r>
        <w:rPr>
          <w:rFonts w:hint="eastAsia" w:ascii="宋体" w:hAnsi="宋体" w:eastAsia="宋体"/>
          <w:kern w:val="2"/>
          <w:sz w:val="21"/>
          <w:szCs w:val="21"/>
          <w:u w:val="single"/>
          <w:lang w:eastAsia="zh-CN"/>
        </w:rPr>
        <w:t xml:space="preserve">          三</w:t>
      </w:r>
      <w:r>
        <w:rPr>
          <w:rFonts w:hint="eastAsia" w:ascii="宋体" w:hAnsi="宋体" w:eastAsia="宋体"/>
          <w:kern w:val="2"/>
          <w:sz w:val="21"/>
          <w:szCs w:val="21"/>
          <w:lang w:eastAsia="zh-CN"/>
        </w:rPr>
        <w:t>个阶段:</w:t>
      </w:r>
    </w:p>
    <w:p w14:paraId="4153253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2、其余文件和工作由用户组织有关技术人员根据国家和行业有关规范、规程、标准和用户需求直接验收。</w:t>
      </w:r>
    </w:p>
    <w:p w14:paraId="018A8FF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3、验收依据为招标文件、投标文件，国家和行业有关规范、规程和标准。</w:t>
      </w:r>
    </w:p>
    <w:p w14:paraId="049C04CC">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第十五条  付款方式</w:t>
      </w:r>
    </w:p>
    <w:p w14:paraId="5E1E892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1、合同签订后   天内乙方向甲方开具合法有效的发票后，甲方于   天内向乙方支付合同总价%的款项。</w:t>
      </w:r>
    </w:p>
    <w:p w14:paraId="09E8CA8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2、检测完成并提交评估报告后  天内，乙方向甲方开具合法有效发票后 天，甲方向乙方支付合同总价%的款项。</w:t>
      </w:r>
    </w:p>
    <w:p w14:paraId="5964BFF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3、报告通过专家评审后，甲方向乙方支付合同总价%的款项。</w:t>
      </w:r>
    </w:p>
    <w:p w14:paraId="2D8487EE">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第十六条  争议解决办法</w:t>
      </w:r>
    </w:p>
    <w:p w14:paraId="256EBFF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执行本合同发生的争议，由甲乙双方协商解决，如协商不成的，应提交甲方所在地人民法院诉讼解决。</w:t>
      </w:r>
    </w:p>
    <w:p w14:paraId="193BFEDD">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第十七条  风险责任</w:t>
      </w:r>
    </w:p>
    <w:p w14:paraId="0225193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１、乙方应完全地按照招标文件的要求和乙方投标文件的承诺完成本项目，出于自身财务、技术、人力等原因导致项目失败的，应承担全部责任。</w:t>
      </w:r>
    </w:p>
    <w:p w14:paraId="468C8CD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2、乙方在实施荷载试验过程中应对自身的安全生产负责，若非因甲方原因发生的各种事故甲方不承担任何责任。</w:t>
      </w:r>
    </w:p>
    <w:p w14:paraId="6B39F18E">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第十八条  违约责任</w:t>
      </w:r>
    </w:p>
    <w:p w14:paraId="12E313FC">
      <w:pPr>
        <w:widowControl w:val="0"/>
        <w:spacing w:line="240" w:lineRule="auto"/>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１、因乙方原因，未能按规定时间完成有关工作的，每延误一天，甲方可在支付合同余款中扣除合同价款千分之一。</w:t>
      </w:r>
    </w:p>
    <w:p w14:paraId="1FABD03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2、由于乙方原因造成试验成果质量低劣，不能满足大纲要求时，应继续完善试验工作，其费用由乙方承担。</w:t>
      </w:r>
    </w:p>
    <w:p w14:paraId="21FE8A3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14:paraId="2861D42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14:paraId="621F755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5、乙方或其工作人员违反本合同约定的保密义务，甲方有权要求乙方按合同总额   %支付违约金；造成不良影响或对甲方造成损失的，甲方有权要求乙方消除影响，承担赔偿责任，并有权解除合同。</w:t>
      </w:r>
    </w:p>
    <w:p w14:paraId="2076911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6、因乙方提供的服务成果受到侵权指控或者引发法律纠纷，影响甲方使用服务成果或者导致合同目的不能实现的，甲方有权要求乙方按合同总额   %支付违约金，并有权解除合同。</w:t>
      </w:r>
    </w:p>
    <w:p w14:paraId="2816B85F">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第十九条  其他</w:t>
      </w:r>
    </w:p>
    <w:p w14:paraId="626042F4">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1、本协议书与下列文件一起构成合同文件，如下述文件之间有任何抵触、矛盾或歧义，应按以下顺序解释：</w:t>
      </w:r>
    </w:p>
    <w:p w14:paraId="09D6633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（1）合同协议书及其变更、补充协议</w:t>
      </w:r>
    </w:p>
    <w:p w14:paraId="2028DCA0">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（2）合同专用条款</w:t>
      </w:r>
    </w:p>
    <w:p w14:paraId="7F45863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（3）合同通用条款</w:t>
      </w:r>
    </w:p>
    <w:p w14:paraId="541EF1B6">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（4）中标（成交）通知书</w:t>
      </w:r>
    </w:p>
    <w:p w14:paraId="61B4C6BD">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（5）投标（响应）文件</w:t>
      </w:r>
    </w:p>
    <w:p w14:paraId="0E8FAAA6">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（6）采购文件</w:t>
      </w:r>
    </w:p>
    <w:p w14:paraId="66AD4304">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（7）有关技术文件，图纸</w:t>
      </w:r>
    </w:p>
    <w:p w14:paraId="7122AB8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（8）国家法律、行政法规和规章制度规定或合同约定的作为合同组成部分的其他文件。</w:t>
      </w:r>
    </w:p>
    <w:p w14:paraId="19111F4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2、下列文件均为本合同的组成部分：</w:t>
      </w:r>
    </w:p>
    <w:p w14:paraId="6CC8A04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（1）招标文件、答疑及补充通知；</w:t>
      </w:r>
    </w:p>
    <w:p w14:paraId="13821E2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（2）投标文件；</w:t>
      </w:r>
    </w:p>
    <w:p w14:paraId="005B5D8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（3）本合同执行中共同签署的补充与修正文件。</w:t>
      </w:r>
    </w:p>
    <w:p w14:paraId="2563E0A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本合同一式份，甲、乙方双方各执份，具有同等法律效力。本合同自双方法人代表签字（盖章）认可之日起生效。</w:t>
      </w:r>
    </w:p>
    <w:p w14:paraId="7C90289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本合同未尽事宜，双方友好协商，达成解决方案，经双方签字后，可作为本合同的有效附件。</w:t>
      </w:r>
    </w:p>
    <w:p w14:paraId="62A1D2D8">
      <w:pPr>
        <w:widowControl w:val="0"/>
        <w:ind w:firstLine="420" w:firstLineChars="200"/>
        <w:jc w:val="both"/>
        <w:rPr>
          <w:rFonts w:ascii="宋体" w:hAnsi="宋体" w:eastAsia="宋体"/>
          <w:kern w:val="2"/>
          <w:sz w:val="21"/>
          <w:szCs w:val="21"/>
          <w:lang w:eastAsia="zh-CN"/>
        </w:rPr>
      </w:pPr>
    </w:p>
    <w:p w14:paraId="623747BB">
      <w:pPr>
        <w:widowControl w:val="0"/>
        <w:ind w:firstLine="420" w:firstLineChars="200"/>
        <w:jc w:val="both"/>
        <w:rPr>
          <w:rFonts w:ascii="宋体" w:hAnsi="宋体" w:eastAsia="宋体"/>
          <w:kern w:val="2"/>
          <w:sz w:val="21"/>
          <w:szCs w:val="21"/>
          <w:lang w:eastAsia="zh-CN"/>
        </w:rPr>
      </w:pPr>
    </w:p>
    <w:p w14:paraId="5C71BF4F">
      <w:pPr>
        <w:widowControl w:val="0"/>
        <w:spacing w:line="360" w:lineRule="auto"/>
        <w:ind w:firstLine="560"/>
        <w:jc w:val="left"/>
        <w:rPr>
          <w:rFonts w:ascii="宋体" w:hAnsi="宋体" w:eastAsia="宋体"/>
          <w:kern w:val="2"/>
          <w:sz w:val="21"/>
          <w:szCs w:val="21"/>
          <w:lang w:eastAsia="zh-CN"/>
        </w:rPr>
      </w:pPr>
      <w:r>
        <w:rPr>
          <w:rFonts w:hint="eastAsia" w:ascii="宋体" w:hAnsi="宋体" w:eastAsia="宋体"/>
          <w:kern w:val="2"/>
          <w:sz w:val="21"/>
          <w:szCs w:val="21"/>
          <w:lang w:eastAsia="zh-CN"/>
        </w:rPr>
        <w:t>甲方（采购人）：   （盖章）       乙方（供应商）：    （盖章）</w:t>
      </w:r>
    </w:p>
    <w:p w14:paraId="08CE3B8C">
      <w:pPr>
        <w:widowControl w:val="0"/>
        <w:spacing w:line="360" w:lineRule="auto"/>
        <w:ind w:firstLine="560"/>
        <w:jc w:val="left"/>
        <w:rPr>
          <w:rFonts w:ascii="宋体" w:hAnsi="宋体" w:eastAsia="宋体"/>
          <w:kern w:val="2"/>
          <w:sz w:val="21"/>
          <w:szCs w:val="21"/>
          <w:lang w:eastAsia="zh-CN"/>
        </w:rPr>
      </w:pPr>
      <w:r>
        <w:rPr>
          <w:rFonts w:hint="eastAsia" w:ascii="宋体" w:hAnsi="宋体" w:eastAsia="宋体"/>
          <w:kern w:val="2"/>
          <w:sz w:val="21"/>
          <w:szCs w:val="21"/>
          <w:lang w:eastAsia="zh-CN"/>
        </w:rPr>
        <w:t xml:space="preserve">法定代表人：                     法定代表人： </w:t>
      </w:r>
    </w:p>
    <w:p w14:paraId="336D1CAF">
      <w:pPr>
        <w:widowControl w:val="0"/>
        <w:spacing w:line="360" w:lineRule="auto"/>
        <w:ind w:firstLine="560"/>
        <w:jc w:val="left"/>
        <w:rPr>
          <w:rFonts w:ascii="宋体" w:hAnsi="宋体" w:eastAsia="宋体"/>
          <w:kern w:val="2"/>
          <w:sz w:val="21"/>
          <w:szCs w:val="21"/>
          <w:lang w:eastAsia="zh-CN"/>
        </w:rPr>
      </w:pPr>
      <w:r>
        <w:rPr>
          <w:rFonts w:hint="eastAsia" w:ascii="宋体" w:hAnsi="宋体" w:eastAsia="宋体"/>
          <w:kern w:val="2"/>
          <w:sz w:val="21"/>
          <w:szCs w:val="21"/>
          <w:lang w:eastAsia="zh-CN"/>
        </w:rPr>
        <w:t>委托代理人：                     委托代理人：</w:t>
      </w:r>
    </w:p>
    <w:p w14:paraId="30D5246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日期：   年     月    日         日期：   年     月    日</w:t>
      </w:r>
    </w:p>
    <w:p w14:paraId="3FBB6283">
      <w:pPr>
        <w:widowControl/>
        <w:jc w:val="center"/>
        <w:rPr>
          <w:rFonts w:ascii="宋体" w:hAnsi="宋体" w:eastAsia="宋体"/>
          <w:b/>
          <w:bCs/>
          <w:sz w:val="28"/>
          <w:szCs w:val="28"/>
          <w:lang w:eastAsia="zh-CN"/>
        </w:rPr>
      </w:pPr>
      <w:r>
        <w:rPr>
          <w:rFonts w:ascii="宋体" w:hAnsi="宋体" w:eastAsia="宋体"/>
          <w:kern w:val="2"/>
          <w:sz w:val="21"/>
          <w:szCs w:val="21"/>
          <w:lang w:eastAsia="zh-CN"/>
        </w:rPr>
        <w:br w:type="page"/>
      </w:r>
      <w:r>
        <w:rPr>
          <w:rFonts w:hint="eastAsia" w:ascii="宋体" w:hAnsi="宋体" w:eastAsia="宋体"/>
          <w:b/>
          <w:bCs/>
          <w:sz w:val="28"/>
          <w:szCs w:val="28"/>
          <w:lang w:eastAsia="zh-CN"/>
        </w:rPr>
        <w:t>第二册  通用条款（公开招标）</w:t>
      </w:r>
    </w:p>
    <w:p w14:paraId="0A075659">
      <w:pPr>
        <w:keepNext/>
        <w:keepLines/>
        <w:widowControl w:val="0"/>
        <w:numPr>
          <w:ilvl w:val="0"/>
          <w:numId w:val="4"/>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bookmarkStart w:id="43" w:name="_Hlk72399513"/>
      <w:bookmarkStart w:id="44" w:name="_Hlk72439706"/>
      <w:r>
        <w:rPr>
          <w:rFonts w:hint="eastAsia" w:ascii="Cambria" w:hAnsi="Cambria" w:eastAsia="宋体" w:cs="宋体"/>
          <w:b/>
          <w:bCs/>
          <w:kern w:val="2"/>
          <w:sz w:val="28"/>
          <w:szCs w:val="28"/>
          <w:lang w:eastAsia="zh-CN"/>
        </w:rPr>
        <w:t>总则</w:t>
      </w:r>
    </w:p>
    <w:bookmarkEnd w:id="43"/>
    <w:p w14:paraId="56E09365">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 通用条款说明</w:t>
      </w:r>
    </w:p>
    <w:p w14:paraId="12CC890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1.1采购代理机构发出招标文件通用条款版本，列出深圳市自行采购项目进行招标采购所适用的通用条款内容。</w:t>
      </w:r>
      <w:bookmarkStart w:id="45" w:name="_Hlk72399729"/>
      <w:r>
        <w:rPr>
          <w:rFonts w:hint="eastAsia" w:ascii="宋体" w:hAnsi="宋体" w:eastAsia="宋体"/>
          <w:kern w:val="2"/>
          <w:sz w:val="21"/>
          <w:szCs w:val="21"/>
          <w:lang w:eastAsia="zh-CN"/>
        </w:rPr>
        <w:t>如有需要，采购代理机构可以对通用条款的内容进行补充。</w:t>
      </w:r>
      <w:bookmarkEnd w:id="45"/>
    </w:p>
    <w:p w14:paraId="1CB882E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1.2招标文件分为第一册“专用条款”和第二册“通用条款”。</w:t>
      </w:r>
    </w:p>
    <w:p w14:paraId="6C78CD8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1.3“专用条款”是对本次采购项目的具体要求，包含招标公告、对通用条款的补充内容及其他关键信息、用户需求书、投标文件格式及附件、合同条款及格式等内容。</w:t>
      </w:r>
    </w:p>
    <w:p w14:paraId="3E3BAE9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1.4“通用条款”是适用于自行采购公开招标项目的基础性条款，具有普遍性和通用性。</w:t>
      </w:r>
    </w:p>
    <w:p w14:paraId="48C5897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1.5 “专用条款”和“通用条款”表述不一致或有冲突时，以“专用条款”为准。</w:t>
      </w:r>
    </w:p>
    <w:p w14:paraId="0B733A39">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2．招标说明</w:t>
      </w:r>
    </w:p>
    <w:p w14:paraId="039096ED">
      <w:pPr>
        <w:widowControl w:val="0"/>
        <w:ind w:firstLine="422" w:firstLineChars="200"/>
        <w:jc w:val="both"/>
        <w:rPr>
          <w:rFonts w:ascii="宋体" w:hAnsi="宋体" w:eastAsia="宋体"/>
          <w:b/>
          <w:bCs/>
          <w:color w:val="FF0000"/>
          <w:kern w:val="2"/>
          <w:sz w:val="21"/>
          <w:szCs w:val="21"/>
          <w:lang w:eastAsia="zh-CN"/>
        </w:rPr>
      </w:pPr>
      <w:r>
        <w:rPr>
          <w:rFonts w:hint="eastAsia" w:ascii="宋体" w:hAnsi="宋体" w:eastAsia="宋体"/>
          <w:b/>
          <w:bCs/>
          <w:color w:val="FF0000"/>
          <w:kern w:val="2"/>
          <w:sz w:val="21"/>
          <w:szCs w:val="21"/>
          <w:lang w:eastAsia="zh-CN"/>
        </w:rPr>
        <w:t>本项目为自行采购项目，参照《深圳经济特区政府采购条例》、《深圳经济特区政府采购条例实施细则》及政府采购其他法律法规，通过公开招标方式确定中标供应商。</w:t>
      </w:r>
    </w:p>
    <w:p w14:paraId="49E0C2AD">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3．定义</w:t>
      </w:r>
    </w:p>
    <w:p w14:paraId="457F659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招标文件中下列术语应解释为：</w:t>
      </w:r>
    </w:p>
    <w:p w14:paraId="797EA41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3.1“采购人”：指依法进行</w:t>
      </w:r>
      <w:r>
        <w:rPr>
          <w:rFonts w:hint="eastAsia" w:ascii="宋体" w:hAnsi="宋体" w:eastAsia="宋体"/>
          <w:b/>
          <w:bCs/>
          <w:color w:val="FF0000"/>
          <w:kern w:val="2"/>
          <w:sz w:val="21"/>
          <w:szCs w:val="21"/>
          <w:lang w:eastAsia="zh-CN"/>
        </w:rPr>
        <w:t>自行采购</w:t>
      </w:r>
      <w:r>
        <w:rPr>
          <w:rFonts w:hint="eastAsia" w:ascii="宋体" w:hAnsi="宋体" w:eastAsia="宋体"/>
          <w:kern w:val="2"/>
          <w:sz w:val="21"/>
          <w:szCs w:val="21"/>
          <w:lang w:eastAsia="zh-CN"/>
        </w:rPr>
        <w:t xml:space="preserve">的国家机关、事业单位、团体组织； </w:t>
      </w:r>
    </w:p>
    <w:p w14:paraId="7BDE423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 “政府集中采购机构”</w:t>
      </w:r>
      <w:r>
        <w:rPr>
          <w:rFonts w:hint="eastAsia" w:ascii="Arial" w:hAnsi="Arial" w:eastAsia="宋体" w:cs="Arial"/>
          <w:kern w:val="2"/>
          <w:sz w:val="21"/>
          <w:szCs w:val="21"/>
          <w:shd w:val="clear" w:color="auto" w:fill="FFFFFF"/>
          <w:lang w:eastAsia="zh-CN"/>
        </w:rPr>
        <w:t>是指市政府设立的，组织实施采购项目，并对采购活动提供服务的专门机构；</w:t>
      </w:r>
      <w:r>
        <w:rPr>
          <w:rFonts w:hint="eastAsia" w:ascii="宋体" w:hAnsi="宋体" w:eastAsia="宋体"/>
          <w:kern w:val="2"/>
          <w:sz w:val="21"/>
          <w:szCs w:val="21"/>
          <w:lang w:eastAsia="zh-CN"/>
        </w:rPr>
        <w:t>本文件所述的“采购代理机构”指</w:t>
      </w:r>
      <w:r>
        <w:rPr>
          <w:rFonts w:hint="eastAsia" w:ascii="宋体" w:hAnsi="宋体" w:eastAsia="宋体"/>
          <w:b/>
          <w:bCs/>
          <w:kern w:val="2"/>
          <w:sz w:val="21"/>
          <w:szCs w:val="21"/>
          <w:lang w:eastAsia="zh-CN"/>
        </w:rPr>
        <w:t>深圳公共资源交易中心（</w:t>
      </w:r>
      <w:r>
        <w:rPr>
          <w:rFonts w:hint="eastAsia" w:ascii="宋体" w:hAnsi="宋体" w:eastAsia="宋体"/>
          <w:b/>
          <w:bCs/>
          <w:kern w:val="2"/>
          <w:sz w:val="21"/>
          <w:lang w:eastAsia="zh-CN"/>
        </w:rPr>
        <w:t>深圳交易集团有限公司政府采购业务分公司）</w:t>
      </w:r>
      <w:r>
        <w:rPr>
          <w:rFonts w:hint="eastAsia" w:ascii="宋体" w:hAnsi="宋体" w:eastAsia="宋体"/>
          <w:kern w:val="2"/>
          <w:sz w:val="21"/>
          <w:szCs w:val="21"/>
          <w:lang w:eastAsia="zh-CN"/>
        </w:rPr>
        <w:t>；</w:t>
      </w:r>
    </w:p>
    <w:p w14:paraId="4DACB77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3.3“投标人”，即供应商，指参加投标竞争并愿意按照招标文件要求向采购人提供货物、工程或者服务的依法成立的法人、其他组织或者自然人；</w:t>
      </w:r>
    </w:p>
    <w:p w14:paraId="734BDE1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3.4“评审委员会”是依据《深圳经济特区政府采购条例》、《深圳经济特区政府采购条例实施细则》等有关规定组建的专门负责本次招标其评审工作的临时性机构；</w:t>
      </w:r>
    </w:p>
    <w:p w14:paraId="267E576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3.5“日期”指公历日；</w:t>
      </w:r>
    </w:p>
    <w:p w14:paraId="6DB3C71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3.6“合同”指由本次招标所产生的合同或合约文件；</w:t>
      </w:r>
    </w:p>
    <w:p w14:paraId="5054AEB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3.7“电子投标文件”指利用</w:t>
      </w:r>
      <w:r>
        <w:rPr>
          <w:rFonts w:hint="eastAsia" w:ascii="宋体" w:hAnsi="宋体" w:eastAsia="宋体"/>
          <w:b/>
          <w:bCs/>
          <w:kern w:val="2"/>
          <w:sz w:val="21"/>
          <w:szCs w:val="21"/>
          <w:lang w:eastAsia="zh-CN"/>
        </w:rPr>
        <w:t>深圳公共资源交易中心（深圳交易集团有限公司政府采购业务分公司）</w:t>
      </w:r>
      <w:r>
        <w:rPr>
          <w:rFonts w:hint="eastAsia" w:ascii="宋体" w:hAnsi="宋体" w:eastAsia="宋体"/>
          <w:kern w:val="2"/>
          <w:sz w:val="21"/>
          <w:szCs w:val="21"/>
          <w:lang w:eastAsia="zh-CN"/>
        </w:rPr>
        <w:t>网站提供的深圳市自行采购系统投标文件制作专用软件（以下简称：投标文件制作软件）制作的投标文件,适用于网上投标；（投标文件制作软件可从“下载地址：https://www.szggzy.com/jyfw/details.html?contentId=2053275深圳市自行采购系统投标文件编制工具”下载）</w:t>
      </w:r>
    </w:p>
    <w:p w14:paraId="772D6EE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3.8“网上投标”指通过</w:t>
      </w:r>
      <w:r>
        <w:rPr>
          <w:rFonts w:hint="eastAsia" w:ascii="宋体" w:hAnsi="宋体" w:eastAsia="宋体"/>
          <w:b/>
          <w:bCs/>
          <w:color w:val="FF0000"/>
          <w:kern w:val="2"/>
          <w:sz w:val="21"/>
          <w:szCs w:val="21"/>
          <w:lang w:eastAsia="zh-CN"/>
        </w:rPr>
        <w:t>深圳市自行采购系统</w:t>
      </w:r>
      <w:r>
        <w:rPr>
          <w:rFonts w:hint="eastAsia" w:ascii="宋体" w:hAnsi="宋体" w:eastAsia="宋体"/>
          <w:kern w:val="2"/>
          <w:sz w:val="21"/>
          <w:szCs w:val="21"/>
          <w:lang w:eastAsia="zh-CN"/>
        </w:rPr>
        <w:t>网站上传电子投标文件；</w:t>
      </w:r>
    </w:p>
    <w:p w14:paraId="7D51F06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3.9招标文件中的标题或题名仅起引导作用，而不应视为对招标文件内容的理解和解释。</w:t>
      </w:r>
    </w:p>
    <w:p w14:paraId="6ABC5221">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 xml:space="preserve">4. </w:t>
      </w:r>
      <w:bookmarkStart w:id="46" w:name="_Hlk72398643"/>
      <w:r>
        <w:rPr>
          <w:rFonts w:hint="eastAsia" w:ascii="黑体" w:hAnsi="宋体" w:eastAsia="黑体"/>
          <w:kern w:val="2"/>
          <w:sz w:val="21"/>
          <w:szCs w:val="21"/>
          <w:lang w:eastAsia="zh-CN"/>
        </w:rPr>
        <w:t>自行采购供应商责任</w:t>
      </w:r>
    </w:p>
    <w:p w14:paraId="66BC080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4.1欢迎诚信、有实力和有社会责任心的供应商参与自行采购事业。</w:t>
      </w:r>
    </w:p>
    <w:p w14:paraId="5EC743C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4.2投标人应当遵循公平竞争的原则，不得恶意串通，不得妨碍其他投标人的竞争行为，不得损害采购人或者其他投标人的合法权益。如违反上述要求，经核实后，供应商的投标无效。</w:t>
      </w:r>
    </w:p>
    <w:p w14:paraId="7CAE71E3">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5．投标人参加自行采购的条件</w:t>
      </w:r>
    </w:p>
    <w:p w14:paraId="20E5AD94">
      <w:pPr>
        <w:widowControl w:val="0"/>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5.1投标人应在投标前到</w:t>
      </w:r>
      <w:r>
        <w:rPr>
          <w:rFonts w:hint="eastAsia" w:ascii="宋体" w:hAnsi="宋体" w:eastAsia="宋体"/>
          <w:b/>
          <w:bCs/>
          <w:kern w:val="2"/>
          <w:sz w:val="21"/>
          <w:szCs w:val="21"/>
          <w:lang w:eastAsia="zh-CN"/>
        </w:rPr>
        <w:t>深圳市自行采购系统（具体在深圳交易集团有限公司政府采购业务分公司进行办理）</w:t>
      </w:r>
      <w:r>
        <w:rPr>
          <w:rFonts w:hint="eastAsia" w:ascii="宋体" w:hAnsi="宋体" w:eastAsia="宋体"/>
          <w:kern w:val="2"/>
          <w:sz w:val="21"/>
          <w:szCs w:val="21"/>
          <w:lang w:eastAsia="zh-CN"/>
        </w:rPr>
        <w:t>进行注册并办理电子密钥。《深圳政府采购自行采购系统用户操作指引（供应商）》详见www.szggzy.com网站“交易服务指南-政府采购-资料下载”。</w:t>
      </w:r>
    </w:p>
    <w:p w14:paraId="19450FA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5.2投标人资格要求</w:t>
      </w:r>
    </w:p>
    <w:p w14:paraId="7C4DCB0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参加本项目的投标人应具备的资格条件详见本项目招标公告中 “投标人资格要求”的内容。</w:t>
      </w:r>
    </w:p>
    <w:p w14:paraId="7BB04E7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5.3联合体投标</w:t>
      </w:r>
    </w:p>
    <w:p w14:paraId="4BFD8E1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5.3.1以下有关联合体投标的条款仅适用于允许投标人组成联合体投标的项目。</w:t>
      </w:r>
    </w:p>
    <w:p w14:paraId="2DE1854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5.3.2  由两个或两个以上的自然人、法人或者其他组织可以组成一个联合体，以一个供应商的身份共同投标时，应符合以下原则：</w:t>
      </w:r>
    </w:p>
    <w:p w14:paraId="30E433B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（1）投标联合体各方参加采购活动应当具备下列条件： </w:t>
      </w:r>
    </w:p>
    <w:p w14:paraId="1B3ADD8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1、具有独立承担民事责任的能力； </w:t>
      </w:r>
    </w:p>
    <w:p w14:paraId="23B021C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2、有良好的商业信誉和健全的财务会计制度； </w:t>
      </w:r>
    </w:p>
    <w:p w14:paraId="2CED7C0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3、具有履行合同所必需的设备和专业技术能力； </w:t>
      </w:r>
    </w:p>
    <w:p w14:paraId="3B28ACF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4、有依法缴纳税收和社会保障资金的良好记录； </w:t>
      </w:r>
    </w:p>
    <w:p w14:paraId="1F74523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5、参加采购活动前三年内，在经营活动中没有重大违法记录； </w:t>
      </w:r>
    </w:p>
    <w:p w14:paraId="21893B0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6、法律、行政法规规定的其他条件。 </w:t>
      </w:r>
    </w:p>
    <w:p w14:paraId="7771DC3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（2）在投标截止前，投标联合体各方均应注册成</w:t>
      </w:r>
      <w:r>
        <w:rPr>
          <w:rFonts w:hint="eastAsia" w:ascii="宋体" w:hAnsi="宋体" w:eastAsia="宋体"/>
          <w:b/>
          <w:bCs/>
          <w:color w:val="FF0000"/>
          <w:kern w:val="2"/>
          <w:sz w:val="21"/>
          <w:szCs w:val="21"/>
          <w:lang w:eastAsia="zh-CN"/>
        </w:rPr>
        <w:t>深圳市自行采购系统</w:t>
      </w:r>
      <w:r>
        <w:rPr>
          <w:rFonts w:hint="eastAsia" w:ascii="宋体" w:hAnsi="宋体" w:eastAsia="宋体"/>
          <w:kern w:val="2"/>
          <w:sz w:val="21"/>
          <w:szCs w:val="21"/>
          <w:lang w:eastAsia="zh-CN"/>
        </w:rPr>
        <w:t>供应商；</w:t>
      </w:r>
    </w:p>
    <w:p w14:paraId="54F3BE4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（3）联合体中有同类资质的供应商按照联合体分工承担相同工作的，应当按照资质等级较低的供应商确定资质等级；</w:t>
      </w:r>
    </w:p>
    <w:p w14:paraId="7447B157">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w:t>
      </w:r>
      <w:r>
        <w:rPr>
          <w:rFonts w:eastAsia="宋体"/>
          <w:kern w:val="2"/>
          <w:sz w:val="21"/>
          <w:szCs w:val="21"/>
          <w:lang w:eastAsia="zh-CN"/>
        </w:rPr>
        <w:t>4</w:t>
      </w:r>
      <w:r>
        <w:rPr>
          <w:rFonts w:hint="eastAsia" w:eastAsia="宋体"/>
          <w:kern w:val="2"/>
          <w:sz w:val="21"/>
          <w:szCs w:val="21"/>
          <w:lang w:eastAsia="zh-CN"/>
        </w:rPr>
        <w:t>）是否允许联合体参加投标，应当由采购人和采购代理机构根据项目的实际情况和潜在供应商的数量自主决定，如果决定接受联合体投标则应当在招标公告中明示；</w:t>
      </w:r>
    </w:p>
    <w:p w14:paraId="174D67E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（5）投标人的投标文件及中标后签署的合同协议对联合体各方均具法律约束力；</w:t>
      </w:r>
    </w:p>
    <w:p w14:paraId="347945A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（6）联合体各方应当签订联合体投标协议，明确约定各方拟承担的工作和责任，并将该协议随投标文件一并递交给采购代理机构；</w:t>
      </w:r>
    </w:p>
    <w:p w14:paraId="1563D7F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（7）联合体中标后，联合体各方应当共同与采购人签订合同，就中标项目向采购人承担连带责任；</w:t>
      </w:r>
    </w:p>
    <w:p w14:paraId="577FB0A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（8）以联合体形式参加采购活动的，联合体各方不得再单独参加或者与其他供应商另外组成联合体参加同一合同项下的采购活动，出现上述情况者，其投标和与此有关联合体、总包单位的投标将被拒绝；</w:t>
      </w:r>
    </w:p>
    <w:p w14:paraId="1F2AEBF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（9）本通用条款中“投标人”一词亦指联合体各方，专用条款另有规定或说明的除外。</w:t>
      </w:r>
    </w:p>
    <w:p w14:paraId="207A7E0B">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6．政策导向</w:t>
      </w:r>
    </w:p>
    <w:p w14:paraId="2DF4032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6.1  采购扶持贫困地区、中小企业、监狱企业和残疾人福利性单位发展，支持节能减排、环境保护。</w:t>
      </w:r>
    </w:p>
    <w:p w14:paraId="1676779B">
      <w:pPr>
        <w:widowControl w:val="0"/>
        <w:ind w:firstLine="420" w:firstLineChars="200"/>
        <w:jc w:val="both"/>
        <w:rPr>
          <w:rFonts w:eastAsia="宋体"/>
          <w:kern w:val="2"/>
          <w:sz w:val="21"/>
          <w:szCs w:val="21"/>
          <w:shd w:val="clear" w:color="auto" w:fill="FFFFFF"/>
          <w:lang w:eastAsia="zh-CN"/>
        </w:rPr>
      </w:pPr>
      <w:r>
        <w:rPr>
          <w:rFonts w:hint="eastAsia" w:ascii="宋体" w:hAnsi="宋体" w:eastAsia="宋体"/>
          <w:kern w:val="2"/>
          <w:sz w:val="21"/>
          <w:szCs w:val="21"/>
          <w:lang w:eastAsia="zh-CN"/>
        </w:rPr>
        <w:t>6.2  本项目落实深圳市政府采购供应商诚信管理政策要求。</w:t>
      </w:r>
    </w:p>
    <w:p w14:paraId="0EF74EA2">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7. 本项目若涉及采购货物，则合格的货物及相应服务应满足以下要求：</w:t>
      </w:r>
    </w:p>
    <w:p w14:paraId="3E291AC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7.1  必须是全新、未使用过的原装合格正品（包括零部件），如安装或配置了软件的，须为正版软件。</w:t>
      </w:r>
    </w:p>
    <w:p w14:paraId="6C05399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7.2  国产的货物及其有关服务必须符合中华人民共和国的设计、制造生产标准及行业标准。招标公告有其他要求的，亦应符合其要求。</w:t>
      </w:r>
    </w:p>
    <w:p w14:paraId="6C26769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7.3  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7A4245F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7.4  投标人</w:t>
      </w:r>
      <w:bookmarkStart w:id="47" w:name="_Hlk72152753"/>
      <w:r>
        <w:rPr>
          <w:rFonts w:hint="eastAsia" w:ascii="宋体" w:hAnsi="宋体" w:eastAsia="宋体"/>
          <w:kern w:val="2"/>
          <w:sz w:val="21"/>
          <w:szCs w:val="21"/>
          <w:lang w:eastAsia="zh-C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47"/>
    </w:p>
    <w:p w14:paraId="2E8F23A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7D514D7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7.6  工期要求：投标人在投标时对其所投项目应提交交货进度、交货计划等，在合同规定的时间内完成项目实施工作。</w:t>
      </w:r>
    </w:p>
    <w:p w14:paraId="6711AD5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7.7  投标人必须承担的设备运输、安装调试、验收检测和提供设备操作说明书、图纸等其他相关及类似的义务。</w:t>
      </w:r>
    </w:p>
    <w:p w14:paraId="4D3539DC">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8．投标费用</w:t>
      </w:r>
    </w:p>
    <w:p w14:paraId="1D6B276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不论投标结果如何，投标人应承担其编制投标文件与递交投标文件所涉及的一切费用。</w:t>
      </w:r>
    </w:p>
    <w:p w14:paraId="55F0E381">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9．踏勘现场</w:t>
      </w:r>
    </w:p>
    <w:p w14:paraId="1AE711C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9.1如有需要（详见专用条款），采购人或采购代理机构将组织投标人对项目现场及周围环境进行踏勘，以便投标人获取有关编制投标文件和签署合同所需的资料。踏勘现场所发生的费用由投标人自行承担。投标人应按招标文件所约定的时间、地点踏勘现场。</w:t>
      </w:r>
    </w:p>
    <w:p w14:paraId="7B6E484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9.2投标人及其人员经过采购人的允许，可以进入采购人的项目现场踏勘。若招标文件要求投标人于统一时间地点踏勘现场的，投标人应当按时前往。</w:t>
      </w:r>
    </w:p>
    <w:p w14:paraId="0A21A16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9.3采购人应当通过采购代理机构向投标人提供有关现场的书面资料和数据。</w:t>
      </w:r>
    </w:p>
    <w:p w14:paraId="6AF2CE2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9.4任何人或任何组织在踏勘现场时向投标人提供的任何书面资料或口头承诺，未经采购代理机构在网上发布或书面通知，均作无效处理。</w:t>
      </w:r>
    </w:p>
    <w:p w14:paraId="2F4A59B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9.5未参与踏勘现场不作为否定投标人资格的理由。</w:t>
      </w:r>
    </w:p>
    <w:p w14:paraId="29353544">
      <w:pPr>
        <w:widowControl w:val="0"/>
        <w:ind w:firstLine="420" w:firstLineChars="200"/>
        <w:jc w:val="both"/>
        <w:rPr>
          <w:rFonts w:ascii="宋体" w:hAnsi="宋体" w:eastAsia="宋体"/>
          <w:kern w:val="2"/>
          <w:sz w:val="21"/>
          <w:szCs w:val="21"/>
          <w:lang w:eastAsia="zh-CN"/>
        </w:rPr>
      </w:pPr>
      <w:r>
        <w:rPr>
          <w:rFonts w:hint="eastAsia" w:ascii="黑体" w:hAnsi="宋体" w:eastAsia="黑体"/>
          <w:kern w:val="2"/>
          <w:sz w:val="21"/>
          <w:szCs w:val="21"/>
          <w:lang w:eastAsia="zh-CN"/>
        </w:rPr>
        <w:t>10．标前会议</w:t>
      </w:r>
    </w:p>
    <w:p w14:paraId="17F2FFB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10.1如采购人或采购代理机构认为有必要组织标前会议，投标人应按照招标文件规定的时间或采购代理机构另行书面通知（包括采购代理机构网站发布方式，如更正公告等）的时间和地点，参与标前会议。</w:t>
      </w:r>
    </w:p>
    <w:p w14:paraId="16838D9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10.2任何人或任何组织在标前会议时向投标人提供的任何书面资料或口头承诺，未经采购代理机构在网上发布或书面通知，均作无效处理。</w:t>
      </w:r>
    </w:p>
    <w:p w14:paraId="786CFF9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10.3未参与标前会议不作为否定投标人资格的理由。</w:t>
      </w:r>
    </w:p>
    <w:bookmarkEnd w:id="46"/>
    <w:p w14:paraId="034BD92D">
      <w:pPr>
        <w:widowControl w:val="0"/>
        <w:ind w:firstLine="411" w:firstLineChars="196"/>
        <w:jc w:val="both"/>
        <w:rPr>
          <w:rFonts w:ascii="宋体" w:hAnsi="宋体" w:eastAsia="宋体"/>
          <w:kern w:val="2"/>
          <w:sz w:val="21"/>
          <w:lang w:eastAsia="zh-CN"/>
        </w:rPr>
      </w:pPr>
    </w:p>
    <w:p w14:paraId="1634AFEC">
      <w:pPr>
        <w:keepNext/>
        <w:keepLines/>
        <w:widowControl w:val="0"/>
        <w:numPr>
          <w:ilvl w:val="0"/>
          <w:numId w:val="4"/>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招标文件</w:t>
      </w:r>
    </w:p>
    <w:p w14:paraId="684F0651">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11．</w:t>
      </w:r>
      <w:bookmarkStart w:id="48" w:name="_Hlk72399819"/>
      <w:r>
        <w:rPr>
          <w:rFonts w:hint="eastAsia" w:ascii="黑体" w:hAnsi="宋体" w:eastAsia="黑体"/>
          <w:kern w:val="2"/>
          <w:sz w:val="21"/>
          <w:szCs w:val="21"/>
          <w:lang w:eastAsia="zh-CN"/>
        </w:rPr>
        <w:t>招标文件的编制与组成</w:t>
      </w:r>
    </w:p>
    <w:p w14:paraId="3D85F41B">
      <w:pPr>
        <w:widowControl w:val="0"/>
        <w:snapToGrid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11.1招标文件除以下内容外，采购代理机构在招标期间发出的澄清或修改等相关公告或通知内容，均是招标文件的组成部分，对投标人起约束作用；</w:t>
      </w:r>
    </w:p>
    <w:p w14:paraId="242FF89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招标文件包括下列内容：</w:t>
      </w:r>
    </w:p>
    <w:p w14:paraId="4B4A4199">
      <w:pPr>
        <w:widowControl w:val="0"/>
        <w:ind w:firstLine="422" w:firstLineChars="200"/>
        <w:jc w:val="both"/>
        <w:rPr>
          <w:rFonts w:ascii="宋体" w:hAnsi="宋体" w:eastAsia="宋体"/>
          <w:b/>
          <w:kern w:val="2"/>
          <w:sz w:val="21"/>
          <w:szCs w:val="21"/>
          <w:lang w:eastAsia="zh-CN"/>
        </w:rPr>
      </w:pPr>
      <w:r>
        <w:rPr>
          <w:rFonts w:hint="eastAsia" w:ascii="宋体" w:hAnsi="宋体" w:eastAsia="宋体"/>
          <w:b/>
          <w:kern w:val="2"/>
          <w:sz w:val="21"/>
          <w:szCs w:val="21"/>
          <w:lang w:eastAsia="zh-CN"/>
        </w:rPr>
        <w:t>第一册  专用条款</w:t>
      </w:r>
    </w:p>
    <w:p w14:paraId="48899486">
      <w:pPr>
        <w:widowControl w:val="0"/>
        <w:ind w:firstLine="422" w:firstLineChars="200"/>
        <w:jc w:val="both"/>
        <w:rPr>
          <w:rFonts w:ascii="宋体" w:hAnsi="宋体" w:eastAsia="宋体"/>
          <w:b/>
          <w:kern w:val="2"/>
          <w:sz w:val="21"/>
          <w:szCs w:val="21"/>
          <w:lang w:eastAsia="zh-CN"/>
        </w:rPr>
      </w:pPr>
      <w:r>
        <w:rPr>
          <w:rFonts w:hint="eastAsia" w:ascii="宋体" w:hAnsi="宋体" w:eastAsia="宋体"/>
          <w:b/>
          <w:kern w:val="2"/>
          <w:sz w:val="21"/>
          <w:szCs w:val="21"/>
          <w:lang w:eastAsia="zh-CN"/>
        </w:rPr>
        <w:t>关键信息</w:t>
      </w:r>
    </w:p>
    <w:p w14:paraId="2D0ED1B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第一章  招标公告</w:t>
      </w:r>
    </w:p>
    <w:p w14:paraId="45300AF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第二章  对通用条款的补充内容及其他关键信息</w:t>
      </w:r>
    </w:p>
    <w:p w14:paraId="0D1A9E6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第三章  用户需求书</w:t>
      </w:r>
    </w:p>
    <w:p w14:paraId="49E0F9DA">
      <w:pPr>
        <w:widowControl w:val="0"/>
        <w:ind w:firstLine="420" w:firstLineChars="200"/>
        <w:jc w:val="both"/>
        <w:rPr>
          <w:rFonts w:ascii="宋体" w:hAnsi="宋体" w:eastAsia="宋体"/>
          <w:kern w:val="2"/>
          <w:sz w:val="21"/>
          <w:szCs w:val="21"/>
          <w:lang w:eastAsia="zh-CN"/>
        </w:rPr>
      </w:pPr>
      <w:r>
        <w:rPr>
          <w:rFonts w:hint="eastAsia" w:eastAsia="宋体"/>
          <w:kern w:val="2"/>
          <w:sz w:val="21"/>
          <w:szCs w:val="21"/>
          <w:lang w:eastAsia="zh-CN"/>
        </w:rPr>
        <w:t>第四章</w:t>
      </w:r>
      <w:r>
        <w:rPr>
          <w:rFonts w:eastAsia="宋体"/>
          <w:kern w:val="2"/>
          <w:sz w:val="21"/>
          <w:szCs w:val="21"/>
          <w:lang w:eastAsia="zh-CN"/>
        </w:rPr>
        <w:t xml:space="preserve">  </w:t>
      </w:r>
      <w:r>
        <w:rPr>
          <w:rFonts w:hint="eastAsia" w:eastAsia="宋体"/>
          <w:kern w:val="2"/>
          <w:sz w:val="21"/>
          <w:szCs w:val="21"/>
          <w:lang w:eastAsia="zh-CN"/>
        </w:rPr>
        <w:t>投标文件格式及附件</w:t>
      </w:r>
    </w:p>
    <w:p w14:paraId="1B2D7A3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第五章  合同条款及格式</w:t>
      </w:r>
    </w:p>
    <w:p w14:paraId="5D89D5D8">
      <w:pPr>
        <w:widowControl w:val="0"/>
        <w:ind w:firstLine="422" w:firstLineChars="200"/>
        <w:jc w:val="both"/>
        <w:rPr>
          <w:rFonts w:ascii="宋体" w:hAnsi="宋体" w:eastAsia="宋体"/>
          <w:b/>
          <w:kern w:val="2"/>
          <w:sz w:val="21"/>
          <w:szCs w:val="21"/>
          <w:lang w:eastAsia="zh-CN"/>
        </w:rPr>
      </w:pPr>
      <w:r>
        <w:rPr>
          <w:rFonts w:hint="eastAsia" w:ascii="宋体" w:hAnsi="宋体" w:eastAsia="宋体"/>
          <w:b/>
          <w:kern w:val="2"/>
          <w:sz w:val="21"/>
          <w:szCs w:val="21"/>
          <w:lang w:eastAsia="zh-CN"/>
        </w:rPr>
        <w:t>第二册  通用条款</w:t>
      </w:r>
    </w:p>
    <w:p w14:paraId="44BB15E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第一章  总则</w:t>
      </w:r>
    </w:p>
    <w:p w14:paraId="564090E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第二章  招标文件</w:t>
      </w:r>
    </w:p>
    <w:p w14:paraId="177C78C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第三章  投标文件的编制</w:t>
      </w:r>
    </w:p>
    <w:p w14:paraId="0BA37B2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第四章  投标文件的递交</w:t>
      </w:r>
    </w:p>
    <w:p w14:paraId="50F0A98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第五章  开标</w:t>
      </w:r>
    </w:p>
    <w:p w14:paraId="6CDB5CB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第六章  评审要求</w:t>
      </w:r>
    </w:p>
    <w:p w14:paraId="4E26DF1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第七章  评审程序及评审方法</w:t>
      </w:r>
    </w:p>
    <w:p w14:paraId="1493F7E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第八章  定标及公示</w:t>
      </w:r>
    </w:p>
    <w:p w14:paraId="6C06E33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第九章  公开招标失败的后续处理</w:t>
      </w:r>
    </w:p>
    <w:p w14:paraId="01E3DEF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第十章  合同的授予与备案</w:t>
      </w:r>
    </w:p>
    <w:p w14:paraId="65C628E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第十一章  质疑处理</w:t>
      </w:r>
    </w:p>
    <w:p w14:paraId="1D4B358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11.2 投标人下载招标文件后，应仔细检查招标文件的所有内容，如有疑问应在答疑截止时间之前向采购代理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0A131C24">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11.3任何人或任何组织向投标人提交的任何书面或口头资料，未经采购代理机构在网上发布或书面通知，均作无效处理，不得作为招标文件的组成部分。采购代理机构对投标人由此而做出的推论、理解和结论概不负责。</w:t>
      </w:r>
    </w:p>
    <w:p w14:paraId="054EDBC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11.4在项目产生质疑、投诉等阶段，主管部门、采购人、代理机构、评审委员会等可以要求供应商提供原件进行核查。</w:t>
      </w:r>
    </w:p>
    <w:p w14:paraId="6704EDC8">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12．招标文件的澄清</w:t>
      </w:r>
    </w:p>
    <w:p w14:paraId="50899D3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12.1招标文件澄清的目的是澄清、解答投标人在查阅招标文件后或现场踏勘中可能提出的与投标有关的疑问或询问。</w:t>
      </w:r>
    </w:p>
    <w:p w14:paraId="09942CF4">
      <w:pPr>
        <w:widowControl w:val="0"/>
        <w:ind w:firstLine="420" w:firstLineChars="200"/>
        <w:jc w:val="both"/>
        <w:rPr>
          <w:rFonts w:ascii="宋体" w:hAnsi="宋体" w:eastAsia="宋体"/>
          <w:color w:val="FF0000"/>
          <w:kern w:val="2"/>
          <w:sz w:val="21"/>
          <w:szCs w:val="21"/>
          <w:lang w:eastAsia="zh-CN"/>
        </w:rPr>
      </w:pPr>
      <w:r>
        <w:rPr>
          <w:rFonts w:hint="eastAsia" w:ascii="宋体" w:hAnsi="宋体" w:eastAsia="宋体"/>
          <w:color w:val="FF0000"/>
          <w:kern w:val="2"/>
          <w:sz w:val="21"/>
          <w:szCs w:val="21"/>
          <w:lang w:eastAsia="zh-CN"/>
        </w:rPr>
        <w:t>12.2投标人如对招标文件内容有疑问，应当在招标公告规定的澄清（提问）截止时间前将疑问内容加盖公章书面提交至采购代理机构。</w:t>
      </w:r>
    </w:p>
    <w:p w14:paraId="0B944AA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12.3不论是采购代理机构根据需要主动对招标文件进行必要的澄清或是根据投标人的要求对招标文件做出澄清，采购代理机构都将在投标截止日期前以书面形式（包括采购代理机构网站发布方式）答复或发送给所有投标人。答复内容是招标文件的组成部分，对投标人起约束作用，其有效性按照本通用条款第13.3、13.4款规定执行。</w:t>
      </w:r>
    </w:p>
    <w:p w14:paraId="561B1F99">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13．招标文件的修改</w:t>
      </w:r>
    </w:p>
    <w:p w14:paraId="77DBBEE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13.1招标文件发出后，在投标截止日期前任何时候，确需要变更招标文件内容的，采购代理机构可主动或在解答投标人提出的澄清问题时对招标文件进行修改。</w:t>
      </w:r>
    </w:p>
    <w:p w14:paraId="6F3656F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13.2招标文件的修改以书面形式（包括采购代理机构网站发布方式，如更正公告等）发送给所有投标人，招标文件的修改内容作为招标文件的组成部分，并具有约束力。</w:t>
      </w:r>
    </w:p>
    <w:p w14:paraId="7DAF332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13.3招标文件、招标文件澄清答复内容、招标文件修改补充内容均以书面形式（包括采购代理机构网站公开发布方式，如更正公告等）明确的内容为准。当招标文件、修改补充通知、招标文件澄清答复内容相互矛盾时，以最后发出的内容为准。</w:t>
      </w:r>
    </w:p>
    <w:p w14:paraId="079AEDA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13.4采购代理机构保证招标文件澄清答复内容和招标文件修改补充内容在投标截止时间前以书面形式（包括采购代理机构网站发布方式，如更正公告等）发送给所有投标人。为使投标人在编制投标文件时有充分时间对招标文件的修改部分进行研究，采购代理机构可以酌情延长递交投标文件的截止日期。</w:t>
      </w:r>
      <w:bookmarkEnd w:id="48"/>
    </w:p>
    <w:p w14:paraId="4550E948">
      <w:pPr>
        <w:widowControl w:val="0"/>
        <w:jc w:val="both"/>
        <w:rPr>
          <w:rFonts w:ascii="宋体" w:hAnsi="宋体" w:eastAsia="宋体"/>
          <w:kern w:val="2"/>
          <w:sz w:val="21"/>
          <w:szCs w:val="21"/>
          <w:lang w:eastAsia="zh-CN"/>
        </w:rPr>
      </w:pPr>
    </w:p>
    <w:p w14:paraId="3CBA3B94">
      <w:pPr>
        <w:keepNext/>
        <w:keepLines/>
        <w:widowControl w:val="0"/>
        <w:numPr>
          <w:ilvl w:val="0"/>
          <w:numId w:val="4"/>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投标文件的编制</w:t>
      </w:r>
    </w:p>
    <w:p w14:paraId="773586DF">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14．</w:t>
      </w:r>
      <w:bookmarkStart w:id="49" w:name="_Hlk72400236"/>
      <w:r>
        <w:rPr>
          <w:rFonts w:hint="eastAsia" w:ascii="黑体" w:hAnsi="宋体" w:eastAsia="黑体"/>
          <w:kern w:val="2"/>
          <w:sz w:val="21"/>
          <w:szCs w:val="21"/>
          <w:lang w:eastAsia="zh-CN"/>
        </w:rPr>
        <w:t>投标文件的语言及度量单位</w:t>
      </w:r>
    </w:p>
    <w:p w14:paraId="5D4764F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14.1 投标人与采购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2F7BCA3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14.2 除技术规范另有规定外，投标文件使用的度量单位，均采用中华人民共和国法定计量单位。</w:t>
      </w:r>
    </w:p>
    <w:bookmarkEnd w:id="49"/>
    <w:p w14:paraId="4C9E5641">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15．</w:t>
      </w:r>
      <w:bookmarkStart w:id="50" w:name="_Hlk72401567"/>
      <w:r>
        <w:rPr>
          <w:rFonts w:hint="eastAsia" w:ascii="黑体" w:hAnsi="宋体" w:eastAsia="黑体"/>
          <w:kern w:val="2"/>
          <w:sz w:val="21"/>
          <w:szCs w:val="21"/>
          <w:lang w:eastAsia="zh-CN"/>
        </w:rPr>
        <w:t>投标文件的组成</w:t>
      </w:r>
    </w:p>
    <w:p w14:paraId="381404F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具体内容在招标文件专用条款中进行规定。</w:t>
      </w:r>
    </w:p>
    <w:p w14:paraId="18651574">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16．投标文件格式</w:t>
      </w:r>
    </w:p>
    <w:p w14:paraId="1EED0E9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投标文件包括本通用条款第15条中规定的内容。如招标文件提供了投标文件格式，则</w:t>
      </w:r>
      <w:r>
        <w:rPr>
          <w:rFonts w:hint="eastAsia" w:ascii="宋体" w:hAnsi="宋体" w:eastAsia="宋体"/>
          <w:b/>
          <w:bCs/>
          <w:kern w:val="2"/>
          <w:sz w:val="21"/>
          <w:szCs w:val="21"/>
          <w:lang w:eastAsia="zh-CN"/>
        </w:rPr>
        <w:t>投标人提交的投标文件应毫无例外地使用招标文件所提供的相应格式</w:t>
      </w:r>
      <w:r>
        <w:rPr>
          <w:rFonts w:hint="eastAsia" w:ascii="宋体" w:hAnsi="宋体" w:eastAsia="宋体"/>
          <w:kern w:val="2"/>
          <w:sz w:val="21"/>
          <w:szCs w:val="21"/>
          <w:lang w:eastAsia="zh-CN"/>
        </w:rPr>
        <w:t>（表格均可按同样格式扩展）。</w:t>
      </w:r>
    </w:p>
    <w:p w14:paraId="0AAFCA8F">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17．投标货币</w:t>
      </w:r>
    </w:p>
    <w:p w14:paraId="57A969B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本项目的投标报价应以人民币计。</w:t>
      </w:r>
    </w:p>
    <w:bookmarkEnd w:id="50"/>
    <w:p w14:paraId="2C5E76D3">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18．</w:t>
      </w:r>
      <w:bookmarkStart w:id="51" w:name="_Hlk72401735"/>
      <w:r>
        <w:rPr>
          <w:rFonts w:hint="eastAsia" w:ascii="黑体" w:hAnsi="宋体" w:eastAsia="黑体"/>
          <w:kern w:val="2"/>
          <w:sz w:val="21"/>
          <w:szCs w:val="21"/>
          <w:lang w:eastAsia="zh-CN"/>
        </w:rPr>
        <w:t>证明投标文件投标技术方案的合格性和符合招标文件规定的文件要求</w:t>
      </w:r>
    </w:p>
    <w:p w14:paraId="0D6EE77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18.1 投标人应提交证明文件，证明其投标技术方案项下的货物和服务的合格性符合招标文件规定。该投标技术方案及其证明文件均作为投标文件组成部分。</w:t>
      </w:r>
    </w:p>
    <w:p w14:paraId="68CA1B2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18.2 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41D3FE1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18.2.1主要技术指标和性能的详细说明。</w:t>
      </w:r>
    </w:p>
    <w:p w14:paraId="6196535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18.2.2投标产品从采购人开始使用至招标文件中规定的周期内正常、连续地使用所必须的备件和专用工具清单，包括备件和专用工具的货源及现行价格。</w:t>
      </w:r>
    </w:p>
    <w:p w14:paraId="041A3B1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18.2.3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5DF9591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eastAsia="宋体"/>
          <w:kern w:val="2"/>
          <w:sz w:val="21"/>
          <w:szCs w:val="21"/>
          <w:lang w:eastAsia="zh-CN"/>
        </w:rPr>
        <w:t>清晰度要求能够使用电脑阅读、识别和判断</w:t>
      </w:r>
      <w:r>
        <w:rPr>
          <w:rFonts w:hint="eastAsia" w:ascii="宋体" w:hAnsi="宋体" w:eastAsia="宋体"/>
          <w:kern w:val="2"/>
          <w:sz w:val="21"/>
          <w:szCs w:val="21"/>
          <w:lang w:eastAsia="zh-CN"/>
        </w:rPr>
        <w:t>；</w:t>
      </w:r>
    </w:p>
    <w:p w14:paraId="54ABA9E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14:paraId="1D8BA26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18.3相关资料不符合18.2款要求的，评审委员会有权认定为投标技术方案不合格响应，其相关分数予以扣减或作投标无效处理。</w:t>
      </w:r>
    </w:p>
    <w:p w14:paraId="4871AA6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eastAsia="宋体"/>
          <w:kern w:val="2"/>
          <w:sz w:val="21"/>
          <w:szCs w:val="21"/>
          <w:lang w:eastAsia="zh-CN"/>
        </w:rPr>
        <w:t>满足要求</w:t>
      </w:r>
      <w:r>
        <w:rPr>
          <w:rFonts w:hint="eastAsia" w:ascii="宋体" w:hAnsi="宋体" w:eastAsia="宋体"/>
          <w:kern w:val="2"/>
          <w:sz w:val="21"/>
          <w:szCs w:val="21"/>
          <w:lang w:eastAsia="zh-CN"/>
        </w:rPr>
        <w:t>，由评审委员会来评判。</w:t>
      </w:r>
    </w:p>
    <w:p w14:paraId="5C00C2D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18.5除非另有规定或说明，投标人对同一项目投标时，不得同时提供两套或两套以上的投标方案。</w:t>
      </w:r>
    </w:p>
    <w:bookmarkEnd w:id="51"/>
    <w:p w14:paraId="1C3F3B37">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19．</w:t>
      </w:r>
      <w:bookmarkStart w:id="52" w:name="_Hlk72402034"/>
      <w:r>
        <w:rPr>
          <w:rFonts w:hint="eastAsia" w:ascii="黑体" w:hAnsi="宋体" w:eastAsia="黑体"/>
          <w:kern w:val="2"/>
          <w:sz w:val="21"/>
          <w:szCs w:val="21"/>
          <w:lang w:eastAsia="zh-CN"/>
        </w:rPr>
        <w:t>投标文件其他证明文件的要求</w:t>
      </w:r>
    </w:p>
    <w:p w14:paraId="74442CC4">
      <w:pPr>
        <w:widowControl w:val="0"/>
        <w:ind w:firstLine="420" w:firstLineChars="200"/>
        <w:jc w:val="both"/>
        <w:rPr>
          <w:rFonts w:ascii="宋体" w:hAnsi="宋体" w:eastAsia="宋体"/>
          <w:color w:val="FF0000"/>
          <w:kern w:val="2"/>
          <w:sz w:val="21"/>
          <w:szCs w:val="21"/>
          <w:lang w:eastAsia="zh-CN"/>
        </w:rPr>
      </w:pPr>
      <w:r>
        <w:rPr>
          <w:rFonts w:hint="eastAsia" w:ascii="宋体" w:hAnsi="宋体" w:eastAsia="宋体"/>
          <w:kern w:val="2"/>
          <w:sz w:val="21"/>
          <w:szCs w:val="21"/>
          <w:lang w:eastAsia="zh-CN"/>
        </w:rPr>
        <w:t>19.1采用综合评分法的项目，对项目招标文件《评标信息》评分项中涉及的相关业绩、社保情况等内容以及《资格性审查表》和《符合性审查表》中涉及的证明材料，投标人应提供相关部门出具的证明材料扫描件或照片。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53" w:name="_Hlk71407299"/>
    </w:p>
    <w:bookmarkEnd w:id="53"/>
    <w:p w14:paraId="16FCBC2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447383FA">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20．投标有效期</w:t>
      </w:r>
    </w:p>
    <w:bookmarkEnd w:id="52"/>
    <w:p w14:paraId="4FD2DEA8">
      <w:pPr>
        <w:widowControl w:val="0"/>
        <w:ind w:firstLine="420" w:firstLineChars="200"/>
        <w:jc w:val="both"/>
        <w:rPr>
          <w:rFonts w:ascii="宋体" w:hAnsi="宋体" w:eastAsia="宋体"/>
          <w:kern w:val="2"/>
          <w:sz w:val="21"/>
          <w:szCs w:val="21"/>
          <w:lang w:eastAsia="zh-CN"/>
        </w:rPr>
      </w:pPr>
      <w:bookmarkStart w:id="54" w:name="_Hlk72402214"/>
      <w:r>
        <w:rPr>
          <w:rFonts w:hint="eastAsia" w:ascii="宋体" w:hAnsi="宋体" w:eastAsia="宋体"/>
          <w:kern w:val="2"/>
          <w:sz w:val="21"/>
          <w:szCs w:val="21"/>
          <w:lang w:eastAsia="zh-CN"/>
        </w:rPr>
        <w:t>20.1 投标有效期为</w:t>
      </w:r>
      <w:r>
        <w:rPr>
          <w:rFonts w:hint="eastAsia" w:ascii="Arial" w:hAnsi="Arial" w:eastAsia="宋体" w:cs="Arial"/>
          <w:kern w:val="2"/>
          <w:sz w:val="21"/>
          <w:szCs w:val="21"/>
          <w:lang w:eastAsia="zh-CN"/>
        </w:rPr>
        <w:t>从投标截止之日算起的日历天数。</w:t>
      </w:r>
      <w:r>
        <w:rPr>
          <w:rFonts w:hint="eastAsia" w:ascii="宋体" w:hAnsi="宋体" w:eastAsia="宋体"/>
          <w:kern w:val="2"/>
          <w:sz w:val="21"/>
          <w:szCs w:val="21"/>
          <w:lang w:eastAsia="zh-CN"/>
        </w:rPr>
        <w:t>在此期限内，所有投标文件均保持有效。</w:t>
      </w:r>
    </w:p>
    <w:p w14:paraId="6749818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20.2 在特殊情况下，采购代理机构在原定的投标有效期满之前，采购代理机构可以根据需要以书面形式（包括采购代理机构网站公开发布方式）向投标人提出延长投标有效期的要求，对此要求投标人须以书面形式予以答复，投标人可以拒绝采购代理机构此项要求，其投标在原投标有效期满后不再有效。同意延长投标有效期的投标人不能要求也不允许修改其投标文件。</w:t>
      </w:r>
    </w:p>
    <w:p w14:paraId="2655439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20.3 中标供应商的投标文件有效期，截止于完成本招标文件规定的全部项目内容，并通过竣工验收及保修期结束。</w:t>
      </w:r>
    </w:p>
    <w:bookmarkEnd w:id="54"/>
    <w:p w14:paraId="0C99DFBA">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21．</w:t>
      </w:r>
      <w:bookmarkStart w:id="55" w:name="_Hlk72402325"/>
      <w:r>
        <w:rPr>
          <w:rFonts w:hint="eastAsia" w:ascii="黑体" w:hAnsi="宋体" w:eastAsia="黑体"/>
          <w:kern w:val="2"/>
          <w:sz w:val="21"/>
          <w:szCs w:val="21"/>
          <w:lang w:eastAsia="zh-CN"/>
        </w:rPr>
        <w:t xml:space="preserve">关于投标保证金 </w:t>
      </w:r>
    </w:p>
    <w:p w14:paraId="39AEBAB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21.1</w:t>
      </w:r>
      <w:r>
        <w:rPr>
          <w:rFonts w:hint="eastAsia" w:eastAsia="宋体"/>
          <w:kern w:val="2"/>
          <w:sz w:val="21"/>
          <w:szCs w:val="21"/>
          <w:lang w:eastAsia="zh-CN"/>
        </w:rPr>
        <w:t>根据《深圳市财政局关于调整政府采购投标（响应）保证金管理政策的通知》（深财购〔</w:t>
      </w:r>
      <w:r>
        <w:rPr>
          <w:rFonts w:eastAsia="宋体"/>
          <w:kern w:val="2"/>
          <w:sz w:val="21"/>
          <w:szCs w:val="21"/>
          <w:lang w:eastAsia="zh-CN"/>
        </w:rPr>
        <w:t>2021</w:t>
      </w:r>
      <w:r>
        <w:rPr>
          <w:rFonts w:hint="eastAsia" w:eastAsia="宋体"/>
          <w:kern w:val="2"/>
          <w:sz w:val="21"/>
          <w:szCs w:val="21"/>
          <w:lang w:eastAsia="zh-CN"/>
        </w:rPr>
        <w:t>〕</w:t>
      </w:r>
      <w:r>
        <w:rPr>
          <w:rFonts w:eastAsia="宋体"/>
          <w:kern w:val="2"/>
          <w:sz w:val="21"/>
          <w:szCs w:val="21"/>
          <w:lang w:eastAsia="zh-CN"/>
        </w:rPr>
        <w:t>51</w:t>
      </w:r>
      <w:r>
        <w:rPr>
          <w:rFonts w:hint="eastAsia" w:eastAsia="宋体"/>
          <w:kern w:val="2"/>
          <w:sz w:val="21"/>
          <w:szCs w:val="21"/>
          <w:lang w:eastAsia="zh-CN"/>
        </w:rPr>
        <w:t>号）文的规定，本项目不收取投标保证金。</w:t>
      </w:r>
    </w:p>
    <w:p w14:paraId="5A957B80">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22．投标人的替代方案</w:t>
      </w:r>
    </w:p>
    <w:p w14:paraId="321F5DC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1E18389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55"/>
    <w:p w14:paraId="1D07F482">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23．</w:t>
      </w:r>
      <w:bookmarkStart w:id="56" w:name="_Hlk72402860"/>
      <w:r>
        <w:rPr>
          <w:rFonts w:hint="eastAsia" w:ascii="黑体" w:hAnsi="宋体" w:eastAsia="黑体"/>
          <w:kern w:val="2"/>
          <w:sz w:val="21"/>
          <w:szCs w:val="21"/>
          <w:lang w:eastAsia="zh-CN"/>
        </w:rPr>
        <w:t>投标文件的制作要求</w:t>
      </w:r>
    </w:p>
    <w:p w14:paraId="46EC0E6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23.1投标人应准备所投项目的电子投标文件一份。</w:t>
      </w:r>
    </w:p>
    <w:p w14:paraId="53E9958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23.2投标人在使用《投标书编制软件》编制投标书时须注意：</w:t>
      </w:r>
    </w:p>
    <w:p w14:paraId="4F29EF3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23.2.1导入《投标书编制软件》的招标文件项目编号、包号应与以此制作的投标文件项目编号、包号一致。例如，不能将甲项目A包的招标书导入《投标书编制软件》，制作乙项目B包的投标书。</w:t>
      </w:r>
    </w:p>
    <w:p w14:paraId="1F8DA00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23.2.2不能用非本公司的电子密钥加密本公司的投标文件，或者用其它公司的登录用户上传本公司的投标文件。</w:t>
      </w:r>
    </w:p>
    <w:p w14:paraId="4D423E2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23.2.3要求用《投标书编制软件》编制投标书的包，不能用其它方式编制投标书。编制投标文件时，电脑须连通互联网。</w:t>
      </w:r>
    </w:p>
    <w:p w14:paraId="1283E44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23.2.4投标文件不能带病毒。采购代理机构将用专业杀毒软件对投标文件进行病毒检测，如果这两种软件均报告发现病毒，则采购代理机构认为该投标文件带病毒。</w:t>
      </w:r>
    </w:p>
    <w:p w14:paraId="5F701AD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23.2.5投标人在编辑投标文件时，在投标文件目录中属于本节点内容的需在对应节点中填写，填写到其他节点后果由供应商自行承担。</w:t>
      </w:r>
    </w:p>
    <w:p w14:paraId="620BED1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23.2.6采购代理机构不接受投标截止时间后递交的纸质、电子、传真等所有形式的投标文件。由于对网上自行采购系统操作不熟悉或自身电脑、网络等原因导致不能在投标截止时间之前上传投标文件，采购代理机构概不负责。建议于开标前一个工作日完成投标文件的制作与上传，如上传确有困难，请及时咨询。</w:t>
      </w:r>
    </w:p>
    <w:p w14:paraId="751D81A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23.2.7如果开标时出现网络故障、技术故障，影响了采购活动，采购代理机构有权采取措施如延期、接受无法从网上上传的投标书等，以保障采购活动的公开、公平和公正。</w:t>
      </w:r>
    </w:p>
    <w:p w14:paraId="3734372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23.3电报、电话、传真形式的投标概不接受。</w:t>
      </w:r>
    </w:p>
    <w:p w14:paraId="7D4BE52B">
      <w:pPr>
        <w:widowControl w:val="0"/>
        <w:ind w:firstLine="422" w:firstLineChars="200"/>
        <w:jc w:val="both"/>
        <w:rPr>
          <w:rFonts w:ascii="宋体" w:hAnsi="宋体" w:eastAsia="宋体"/>
          <w:b/>
          <w:kern w:val="2"/>
          <w:sz w:val="21"/>
          <w:szCs w:val="21"/>
          <w:lang w:eastAsia="zh-CN"/>
        </w:rPr>
      </w:pPr>
      <w:r>
        <w:rPr>
          <w:rFonts w:hint="eastAsia" w:ascii="宋体" w:hAnsi="宋体" w:eastAsia="宋体"/>
          <w:b/>
          <w:kern w:val="2"/>
          <w:sz w:val="21"/>
          <w:szCs w:val="21"/>
          <w:lang w:eastAsia="zh-CN"/>
        </w:rPr>
        <w:t>23.4经投标人电子密钥加密的投标文件无须盖章或签字，</w:t>
      </w:r>
      <w:r>
        <w:rPr>
          <w:rFonts w:hint="eastAsia" w:ascii="宋体" w:hAnsi="宋体" w:eastAsia="宋体"/>
          <w:kern w:val="2"/>
          <w:sz w:val="21"/>
          <w:szCs w:val="21"/>
          <w:lang w:eastAsia="zh-CN"/>
        </w:rPr>
        <w:t>专用条款另有要求的除外。</w:t>
      </w:r>
    </w:p>
    <w:p w14:paraId="4BD71DF8">
      <w:pPr>
        <w:widowControl w:val="0"/>
        <w:ind w:firstLine="422" w:firstLineChars="200"/>
        <w:jc w:val="both"/>
        <w:rPr>
          <w:rFonts w:ascii="宋体" w:hAnsi="宋体" w:eastAsia="宋体"/>
          <w:kern w:val="2"/>
          <w:sz w:val="21"/>
          <w:lang w:eastAsia="zh-CN"/>
        </w:rPr>
      </w:pPr>
      <w:r>
        <w:rPr>
          <w:rFonts w:hint="eastAsia" w:ascii="宋体" w:hAnsi="宋体" w:eastAsia="宋体"/>
          <w:b/>
          <w:kern w:val="2"/>
          <w:sz w:val="21"/>
          <w:szCs w:val="21"/>
          <w:lang w:eastAsia="zh-CN"/>
        </w:rPr>
        <w:t>23.5</w:t>
      </w:r>
      <w:r>
        <w:rPr>
          <w:rFonts w:hint="eastAsia" w:ascii="宋体" w:hAnsi="宋体" w:eastAsia="宋体"/>
          <w:kern w:val="2"/>
          <w:sz w:val="21"/>
          <w:szCs w:val="21"/>
          <w:lang w:eastAsia="zh-CN"/>
        </w:rPr>
        <w:t xml:space="preserve"> 各类资格（资质）文件提供扫描件，专用条款另有要求的除外。</w:t>
      </w:r>
      <w:bookmarkEnd w:id="56"/>
    </w:p>
    <w:p w14:paraId="50F37A36">
      <w:pPr>
        <w:widowControl w:val="0"/>
        <w:ind w:firstLine="411" w:firstLineChars="196"/>
        <w:jc w:val="both"/>
        <w:rPr>
          <w:rFonts w:ascii="宋体" w:hAnsi="宋体" w:eastAsia="宋体"/>
          <w:kern w:val="2"/>
          <w:sz w:val="21"/>
          <w:szCs w:val="21"/>
          <w:lang w:eastAsia="zh-CN"/>
        </w:rPr>
      </w:pPr>
    </w:p>
    <w:p w14:paraId="6808FE76">
      <w:pPr>
        <w:keepNext/>
        <w:keepLines/>
        <w:widowControl w:val="0"/>
        <w:numPr>
          <w:ilvl w:val="0"/>
          <w:numId w:val="4"/>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投标文件的递交</w:t>
      </w:r>
    </w:p>
    <w:p w14:paraId="7B6959BB">
      <w:pPr>
        <w:widowControl w:val="0"/>
        <w:ind w:firstLine="420" w:firstLineChars="200"/>
        <w:jc w:val="both"/>
        <w:rPr>
          <w:rFonts w:ascii="黑体" w:hAnsi="宋体" w:eastAsia="黑体"/>
          <w:kern w:val="2"/>
          <w:sz w:val="21"/>
          <w:szCs w:val="21"/>
          <w:lang w:eastAsia="zh-CN"/>
        </w:rPr>
      </w:pPr>
      <w:bookmarkStart w:id="57" w:name="_Hlk72405459"/>
      <w:r>
        <w:rPr>
          <w:rFonts w:hint="eastAsia" w:ascii="黑体" w:hAnsi="宋体" w:eastAsia="黑体"/>
          <w:kern w:val="2"/>
          <w:sz w:val="21"/>
          <w:szCs w:val="21"/>
          <w:lang w:eastAsia="zh-CN"/>
        </w:rPr>
        <w:t>24．投标文件的保密</w:t>
      </w:r>
    </w:p>
    <w:p w14:paraId="180D7DE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24.1在投标文件制作完成后，生成后会选择是否加密投标文件，如不加密则直接点击生成文件即可，如需加密请插入CA锁，点击加密后生成文件，需输入CA锁密码即可加密成功。加密后会提示文件生成成功！(注意：如对投标文件加密的，则投标人必须在开标当日用加密文件时使用的锁在项目规定时间内解密！逾期未解密的作投标无效处理。)</w:t>
      </w:r>
    </w:p>
    <w:p w14:paraId="772B7297">
      <w:pPr>
        <w:widowControl w:val="0"/>
        <w:ind w:firstLine="422" w:firstLineChars="200"/>
        <w:jc w:val="both"/>
        <w:rPr>
          <w:rFonts w:ascii="宋体" w:hAnsi="宋体" w:eastAsia="宋体"/>
          <w:b/>
          <w:kern w:val="2"/>
          <w:sz w:val="21"/>
          <w:szCs w:val="21"/>
          <w:lang w:eastAsia="zh-CN"/>
        </w:rPr>
      </w:pPr>
      <w:r>
        <w:rPr>
          <w:rFonts w:hint="eastAsia" w:ascii="宋体" w:hAnsi="宋体" w:eastAsia="宋体"/>
          <w:b/>
          <w:kern w:val="2"/>
          <w:sz w:val="21"/>
          <w:szCs w:val="21"/>
          <w:lang w:eastAsia="zh-CN"/>
        </w:rPr>
        <w:t>24.2若采购项目出现延期情况：</w:t>
      </w:r>
    </w:p>
    <w:p w14:paraId="6AB2B64E">
      <w:pPr>
        <w:widowControl w:val="0"/>
        <w:ind w:firstLine="422" w:firstLineChars="200"/>
        <w:jc w:val="both"/>
        <w:rPr>
          <w:rFonts w:ascii="黑体" w:hAnsi="宋体" w:eastAsia="黑体"/>
          <w:b/>
          <w:kern w:val="2"/>
          <w:sz w:val="21"/>
          <w:szCs w:val="21"/>
          <w:lang w:eastAsia="zh-CN"/>
        </w:rPr>
      </w:pPr>
      <w:r>
        <w:rPr>
          <w:rFonts w:hint="eastAsia" w:ascii="宋体" w:hAnsi="宋体" w:eastAsia="宋体"/>
          <w:b/>
          <w:kern w:val="2"/>
          <w:sz w:val="21"/>
          <w:szCs w:val="21"/>
          <w:lang w:eastAsia="zh-CN"/>
        </w:rPr>
        <w:t>如果供下载的招标文件有更新，投标人必须重新下载招标文件、重新制作投标文件、重新上传投标文件。</w:t>
      </w:r>
    </w:p>
    <w:p w14:paraId="540B3BD5">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25．上传投标文件及投标截止日期</w:t>
      </w:r>
    </w:p>
    <w:p w14:paraId="792AA3B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25.1实行网上投标，投标人必须在招标文件规定的投标截止时间前用电子密钥登录“深圳市自行采购系统（https://trade.szggzy.com/ggzy/center/#/login）”上传投标文件。如上传过程中遇到问题，可拨打采购公告中的技术支持电话。如多次上传均告失败，请在投标截止时间之前携带电子投标文件送达至</w:t>
      </w:r>
      <w:r>
        <w:rPr>
          <w:rFonts w:hint="eastAsia" w:ascii="宋体" w:hAnsi="宋体" w:eastAsia="宋体"/>
          <w:b/>
          <w:bCs/>
          <w:kern w:val="2"/>
          <w:sz w:val="21"/>
          <w:szCs w:val="21"/>
          <w:lang w:eastAsia="zh-CN"/>
        </w:rPr>
        <w:t>深圳公共资源交易中心（深圳交易集团有限公司政府采购业务分公司）3楼服务大厅（地址：深圳市南山区沙河西路3185号南山智谷A座深圳交易集团总部大楼）协助上传，但上传过程中投标截止时间到达仍无法上传成功的，由投标人自行负责</w:t>
      </w:r>
      <w:r>
        <w:rPr>
          <w:rFonts w:hint="eastAsia" w:ascii="宋体" w:hAnsi="宋体" w:eastAsia="宋体"/>
          <w:kern w:val="2"/>
          <w:sz w:val="21"/>
          <w:szCs w:val="21"/>
          <w:lang w:eastAsia="zh-CN"/>
        </w:rPr>
        <w:t>。</w:t>
      </w:r>
    </w:p>
    <w:p w14:paraId="216DA41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25.2采购代理机构可以按本通用条款第13条规定，通过修改招标文件自行决定酌情延长投标截止期。在此情况下，采购代理机构、采购人和投标人受投标截止期制约的所有权利和义务均应延长至新的截止期。</w:t>
      </w:r>
    </w:p>
    <w:p w14:paraId="51AA24F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25.3投标截止时间以后不得上传投标文件。</w:t>
      </w:r>
    </w:p>
    <w:bookmarkEnd w:id="57"/>
    <w:p w14:paraId="44961A44">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26. 样品、现场演示、方案讲解</w:t>
      </w:r>
    </w:p>
    <w:p w14:paraId="2F3995A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26.1 样品、现场演示、方案讲解等事项在招标文件专用条款中进行规定。</w:t>
      </w:r>
    </w:p>
    <w:p w14:paraId="57B0F51C">
      <w:pPr>
        <w:widowControl w:val="0"/>
        <w:ind w:firstLine="420" w:firstLineChars="200"/>
        <w:jc w:val="both"/>
        <w:rPr>
          <w:rFonts w:ascii="黑体" w:hAnsi="宋体" w:eastAsia="黑体"/>
          <w:kern w:val="2"/>
          <w:sz w:val="21"/>
          <w:szCs w:val="21"/>
          <w:lang w:eastAsia="zh-CN"/>
        </w:rPr>
      </w:pPr>
      <w:bookmarkStart w:id="58" w:name="_Hlk72428346"/>
      <w:r>
        <w:rPr>
          <w:rFonts w:hint="eastAsia" w:ascii="黑体" w:hAnsi="宋体" w:eastAsia="黑体"/>
          <w:kern w:val="2"/>
          <w:sz w:val="21"/>
          <w:szCs w:val="21"/>
          <w:lang w:eastAsia="zh-CN"/>
        </w:rPr>
        <w:t>27．投标文件的修改和撤销</w:t>
      </w:r>
    </w:p>
    <w:p w14:paraId="3F95204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27.1投标方在提交投标文件后可对其投标文件进行修改并重新上传投标文件或在网上进行撤销投标的操作。</w:t>
      </w:r>
    </w:p>
    <w:p w14:paraId="0F07F8D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27.2投标截止时间以后不得修改投标文件。</w:t>
      </w:r>
    </w:p>
    <w:p w14:paraId="604B0CB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27.3从投标截止期至投标人在投标文件中确定的投标有效期之间的这段时间内，投标人不得撤回其投标。</w:t>
      </w:r>
    </w:p>
    <w:p w14:paraId="55E3427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27.4采购代理机构不退还投标文件，专用条款另有规定的除外。</w:t>
      </w:r>
    </w:p>
    <w:bookmarkEnd w:id="58"/>
    <w:p w14:paraId="5E713DE0">
      <w:pPr>
        <w:keepNext/>
        <w:keepLines/>
        <w:widowControl w:val="0"/>
        <w:numPr>
          <w:ilvl w:val="0"/>
          <w:numId w:val="4"/>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开标</w:t>
      </w:r>
    </w:p>
    <w:p w14:paraId="190ED16B">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28．开标</w:t>
      </w:r>
    </w:p>
    <w:p w14:paraId="702F44F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28.1如对投标文件加密的，则投标人须在开标当日的开标时间至解密截止时间内进行解密，逾期未解密的作投标无效处理。解密方法：登录“深圳市自行采购系统（https://trade.szggzy.com/ggzy/center/#/login）”，使用本单位制作电子投标文件同一个电子密钥进行在线解密、查询开标情况。</w:t>
      </w:r>
    </w:p>
    <w:p w14:paraId="2AE676C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28.2采购代理机构将在满足开标条件【解密时间结束，未对投标文件加密的供应商（未加密的投标文件无需解密）及对投标文件加密并在解密时间结束前成功解密的投标供应商数量满足开标条件后】对投标文件进行开标，并在网上公布开标结果。</w:t>
      </w:r>
    </w:p>
    <w:p w14:paraId="74C43156">
      <w:pPr>
        <w:keepNext/>
        <w:keepLines/>
        <w:widowControl w:val="0"/>
        <w:numPr>
          <w:ilvl w:val="0"/>
          <w:numId w:val="4"/>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评审要求</w:t>
      </w:r>
    </w:p>
    <w:p w14:paraId="1FCAE79E">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29．评审委员会组成</w:t>
      </w:r>
    </w:p>
    <w:p w14:paraId="7781352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29.1网上开标结束后召开评审会议，评审委员会由采购代理机构依法组建，负责评审活动。</w:t>
      </w:r>
    </w:p>
    <w:p w14:paraId="2B8E6CD1">
      <w:pPr>
        <w:widowControl w:val="0"/>
        <w:ind w:firstLine="420" w:firstLineChars="200"/>
        <w:jc w:val="both"/>
        <w:rPr>
          <w:rFonts w:ascii="宋体" w:hAnsi="宋体" w:eastAsia="宋体"/>
          <w:color w:val="FF0000"/>
          <w:kern w:val="2"/>
          <w:sz w:val="21"/>
          <w:szCs w:val="21"/>
          <w:lang w:eastAsia="zh-CN"/>
        </w:rPr>
      </w:pPr>
      <w:bookmarkStart w:id="59" w:name="_Hlk72436580"/>
      <w:r>
        <w:rPr>
          <w:rFonts w:hint="eastAsia" w:ascii="宋体" w:hAnsi="宋体" w:eastAsia="宋体"/>
          <w:kern w:val="2"/>
          <w:sz w:val="21"/>
          <w:szCs w:val="21"/>
          <w:lang w:eastAsia="zh-CN"/>
        </w:rPr>
        <w:t>评审委员会由采购人代表和评审专家组成，成员人数应当为5人以上单数（部分条件下为7人以上单数），其中评审专家不得少于成员总数的三分之二。</w:t>
      </w:r>
      <w:bookmarkEnd w:id="59"/>
      <w:r>
        <w:rPr>
          <w:rFonts w:hint="eastAsia" w:ascii="宋体" w:hAnsi="宋体" w:eastAsia="宋体"/>
          <w:kern w:val="2"/>
          <w:sz w:val="21"/>
          <w:szCs w:val="21"/>
          <w:lang w:eastAsia="zh-CN"/>
        </w:rPr>
        <w:t>评定</w:t>
      </w:r>
      <w:r>
        <w:rPr>
          <w:rFonts w:hint="eastAsia" w:eastAsia="宋体"/>
          <w:kern w:val="2"/>
          <w:sz w:val="21"/>
          <w:szCs w:val="21"/>
          <w:lang w:eastAsia="zh-CN"/>
        </w:rPr>
        <w:t>分离项目评审专家均由评审专家组成。</w:t>
      </w:r>
      <w:r>
        <w:rPr>
          <w:rFonts w:hint="eastAsia" w:ascii="宋体" w:hAnsi="宋体" w:eastAsia="宋体"/>
          <w:kern w:val="2"/>
          <w:sz w:val="21"/>
          <w:szCs w:val="21"/>
          <w:lang w:eastAsia="zh-CN"/>
        </w:rPr>
        <w:t>评审专家一般是从深圳市政府采购评审专家库中随机抽取。采购人代表须持本单位签发的《评审授权书》参加评审。</w:t>
      </w:r>
      <w:r>
        <w:rPr>
          <w:rFonts w:hint="eastAsia" w:ascii="宋体" w:hAnsi="宋体" w:eastAsia="宋体"/>
          <w:color w:val="FF0000"/>
          <w:kern w:val="2"/>
          <w:sz w:val="21"/>
          <w:szCs w:val="21"/>
          <w:lang w:eastAsia="zh-CN"/>
        </w:rPr>
        <w:t>根据财政部门要求，将食材、物业管理、清扫保洁、保安服务、家具、窗帘、园林绿化、社工服务、“城市管家”九类采购项目作为严管项目，实行“通用品目+专业品目”组合抽取制。严管项目的范围由市财政部门根据监管需要适时调整。上述所称专业品目是指，与项目采购标的相对应的品目，具体由采购人商采购代理机构根据项目需求自主确定。通用品目具体由会计、审计、法律、人力资源管理、资产评估、金融服务品目下的所有专家合并组成。专业品目下产生的专家人数占抽取总人数的比例不得超过50%（含本数），除此之外的专家均从通用品目库中随机抽取。注：论证专家抽取规则无需按此要求执行，具体严管项目的范围由市财政部门根据监管需要适时调整。</w:t>
      </w:r>
    </w:p>
    <w:p w14:paraId="22BC90B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29.2评审定标应当遵循公平、公正、科学、择优的原则。</w:t>
      </w:r>
    </w:p>
    <w:p w14:paraId="3A112C6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29.3评审活动依法进行，任何单位和个人不得非法干预评标过程和结果。</w:t>
      </w:r>
    </w:p>
    <w:p w14:paraId="68A587A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29.4评审过程中不允许违背评标程序或采用招标文件未载明的评标方法或评标因素进行评标。</w:t>
      </w:r>
    </w:p>
    <w:p w14:paraId="3563AB75">
      <w:pPr>
        <w:widowControl w:val="0"/>
        <w:ind w:firstLine="420" w:firstLineChars="2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29.5 开标后，直到签订合同为止，凡属于对投标文件的审查、澄清、评价和比较的有关资料以及中标候选人的推荐情况、与评审有关的其他任何情况均严格保密（</w:t>
      </w:r>
      <w:r>
        <w:rPr>
          <w:rFonts w:hint="eastAsia" w:eastAsia="宋体"/>
          <w:kern w:val="2"/>
          <w:sz w:val="21"/>
          <w:szCs w:val="21"/>
          <w:lang w:eastAsia="zh-CN"/>
        </w:rPr>
        <w:t>信息公开的内容除外</w:t>
      </w:r>
      <w:r>
        <w:rPr>
          <w:rFonts w:hint="eastAsia" w:ascii="宋体" w:hAnsi="宋体" w:eastAsia="宋体"/>
          <w:bCs/>
          <w:kern w:val="2"/>
          <w:sz w:val="21"/>
          <w:szCs w:val="21"/>
          <w:lang w:eastAsia="zh-CN"/>
        </w:rPr>
        <w:t>）。</w:t>
      </w:r>
    </w:p>
    <w:p w14:paraId="25D73436">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30．向评审委员会提供的资料</w:t>
      </w:r>
    </w:p>
    <w:p w14:paraId="006A71F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30.1公开发布的招标文件，包括图纸、服务清单、答疑文件等；</w:t>
      </w:r>
    </w:p>
    <w:p w14:paraId="120DFCC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30.2其他评标必须的资料。</w:t>
      </w:r>
    </w:p>
    <w:p w14:paraId="0C575DB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30.3评审委员会应当认真研究招标文件，至少应了解熟悉以下内容：</w:t>
      </w:r>
    </w:p>
    <w:p w14:paraId="1AFBB6C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（1）招标的目的；</w:t>
      </w:r>
    </w:p>
    <w:p w14:paraId="489D114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（2）招标项目需求的范围和性质；</w:t>
      </w:r>
    </w:p>
    <w:p w14:paraId="763C0C7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（3）招标文件规定的投标人的资格、财政预算限额、商务条款；</w:t>
      </w:r>
    </w:p>
    <w:p w14:paraId="363F13C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（4）招标文件规定的评标程序、评标方法和评标因素；</w:t>
      </w:r>
    </w:p>
    <w:p w14:paraId="58B50AC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（5）招标文件所列示的资格性审查表及符合性审查表。</w:t>
      </w:r>
    </w:p>
    <w:p w14:paraId="1094BD99">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31．独立评审</w:t>
      </w:r>
    </w:p>
    <w:p w14:paraId="3F92B2DA">
      <w:pPr>
        <w:widowControl w:val="0"/>
        <w:ind w:firstLine="420" w:firstLineChars="2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31.1</w:t>
      </w:r>
      <w:r>
        <w:rPr>
          <w:rFonts w:hint="eastAsia" w:ascii="宋体" w:hAnsi="宋体" w:eastAsia="宋体"/>
          <w:kern w:val="2"/>
          <w:sz w:val="21"/>
          <w:szCs w:val="21"/>
          <w:lang w:eastAsia="zh-CN"/>
        </w:rPr>
        <w:t>评审委员会</w:t>
      </w:r>
      <w:r>
        <w:rPr>
          <w:rFonts w:hint="eastAsia" w:ascii="宋体" w:hAnsi="宋体" w:eastAsia="宋体"/>
          <w:bCs/>
          <w:kern w:val="2"/>
          <w:sz w:val="21"/>
          <w:szCs w:val="21"/>
          <w:lang w:eastAsia="zh-CN"/>
        </w:rPr>
        <w:t>成员的评标活动应当独立进行，并应遵循投标文件初审、澄清有关问题、比较与评价、确定中标供应商、编写评审报告的工作程序。</w:t>
      </w:r>
    </w:p>
    <w:p w14:paraId="2E34053B">
      <w:pPr>
        <w:widowControl w:val="0"/>
        <w:ind w:firstLine="411" w:firstLineChars="196"/>
        <w:jc w:val="both"/>
        <w:rPr>
          <w:rFonts w:ascii="宋体" w:hAnsi="宋体" w:eastAsia="宋体"/>
          <w:bCs/>
          <w:kern w:val="2"/>
          <w:sz w:val="21"/>
          <w:szCs w:val="21"/>
          <w:lang w:eastAsia="zh-CN"/>
        </w:rPr>
      </w:pPr>
    </w:p>
    <w:p w14:paraId="178A1480">
      <w:pPr>
        <w:keepNext/>
        <w:keepLines/>
        <w:widowControl w:val="0"/>
        <w:numPr>
          <w:ilvl w:val="0"/>
          <w:numId w:val="4"/>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评审程序及评审方法</w:t>
      </w:r>
    </w:p>
    <w:p w14:paraId="1714885A">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32．投标文件初审</w:t>
      </w:r>
    </w:p>
    <w:p w14:paraId="18FBE78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32.1投标文件初审包括资格性审查和符合性审查。</w:t>
      </w:r>
    </w:p>
    <w:p w14:paraId="42726EF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资格性审查：依据法律法规和招标文件的规定，对投标文件中的资格证明等进行审查，以确定投标供应商是否具备投标资格。</w:t>
      </w:r>
    </w:p>
    <w:p w14:paraId="3AD4B90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符合性审查：依据招标文件的规定，对投标文件的有效性、完整性和对招标文件的响应程度进行审查，以确定是否满足符合性审查的要求。</w:t>
      </w:r>
    </w:p>
    <w:p w14:paraId="655CEA5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32.2 投标文件初审内容请详见《资格性审查表》和《符合性审查表》部分。投标人若有一条审查不通过则按投标无效处理。</w:t>
      </w:r>
    </w:p>
    <w:p w14:paraId="66628554">
      <w:pPr>
        <w:widowControl w:val="0"/>
        <w:ind w:firstLine="420" w:firstLineChars="2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32.3 投标文件初审中关于供应商家数的计算:</w:t>
      </w:r>
    </w:p>
    <w:p w14:paraId="709A23DC">
      <w:pPr>
        <w:widowControl w:val="0"/>
        <w:ind w:firstLine="420" w:firstLineChars="2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41B6DA9F">
      <w:pPr>
        <w:widowControl w:val="0"/>
        <w:ind w:firstLine="420" w:firstLineChars="2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5AEAB21A">
      <w:pPr>
        <w:widowControl w:val="0"/>
        <w:ind w:firstLine="420" w:firstLineChars="2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32.3.3非单一产品采购项目，采购人应当根据采购项目技术构成、产品价格比重等合理确定核心产品，并在招标文件中载明。多家投标人提供的核心产品品牌相同的，按前两款规定处理。</w:t>
      </w:r>
    </w:p>
    <w:p w14:paraId="6C8E705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32.4投标人投标文件作无效处理的情形，具体包括但不限于以下：</w:t>
      </w:r>
    </w:p>
    <w:p w14:paraId="2A93283C">
      <w:pPr>
        <w:widowControl w:val="0"/>
        <w:ind w:firstLine="420" w:firstLineChars="200"/>
        <w:jc w:val="both"/>
        <w:rPr>
          <w:rFonts w:eastAsia="宋体"/>
          <w:kern w:val="2"/>
          <w:sz w:val="21"/>
          <w:szCs w:val="21"/>
          <w:lang w:eastAsia="zh-CN"/>
        </w:rPr>
      </w:pPr>
      <w:r>
        <w:rPr>
          <w:rFonts w:hint="eastAsia" w:ascii="宋体" w:hAnsi="宋体" w:eastAsia="宋体"/>
          <w:kern w:val="2"/>
          <w:sz w:val="21"/>
          <w:szCs w:val="21"/>
          <w:lang w:eastAsia="zh-CN"/>
        </w:rPr>
        <w:t>32.4.1</w:t>
      </w:r>
      <w:r>
        <w:rPr>
          <w:rFonts w:hint="eastAsia" w:eastAsia="宋体"/>
          <w:kern w:val="2"/>
          <w:sz w:val="21"/>
          <w:szCs w:val="21"/>
          <w:lang w:eastAsia="zh-CN"/>
        </w:rPr>
        <w:t>不同投标人的投标文件由同一单位或者同一个人编制，或者由同一个人分阶段参与编制；</w:t>
      </w:r>
    </w:p>
    <w:p w14:paraId="142B319D">
      <w:pPr>
        <w:widowControl w:val="0"/>
        <w:ind w:firstLine="420" w:firstLineChars="200"/>
        <w:jc w:val="both"/>
        <w:rPr>
          <w:rFonts w:eastAsia="宋体"/>
          <w:kern w:val="2"/>
          <w:sz w:val="21"/>
          <w:szCs w:val="21"/>
          <w:lang w:eastAsia="zh-CN"/>
        </w:rPr>
      </w:pPr>
      <w:r>
        <w:rPr>
          <w:rFonts w:hint="eastAsia" w:ascii="宋体" w:hAnsi="宋体" w:eastAsia="宋体"/>
          <w:kern w:val="2"/>
          <w:sz w:val="21"/>
          <w:szCs w:val="21"/>
          <w:lang w:eastAsia="zh-CN"/>
        </w:rPr>
        <w:t>32.4.2</w:t>
      </w:r>
      <w:r>
        <w:rPr>
          <w:rFonts w:hint="eastAsia" w:eastAsia="宋体"/>
          <w:kern w:val="2"/>
          <w:sz w:val="21"/>
          <w:szCs w:val="21"/>
          <w:lang w:eastAsia="zh-CN"/>
        </w:rPr>
        <w:t>不同投标人委托同一单位或者个人办理投标事宜；</w:t>
      </w:r>
    </w:p>
    <w:p w14:paraId="449BB03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32.4.3不同投标人的投标文件载明的项目管理成员或者联系人员为同一人；</w:t>
      </w:r>
    </w:p>
    <w:p w14:paraId="2C3FC30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32.4.4不同投标人的投标文件异常一致或者投标报价呈规律性差异；</w:t>
      </w:r>
    </w:p>
    <w:p w14:paraId="69C9DB4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32.4.5不同投标供应商的投标文件或部分投标文件相互混装；</w:t>
      </w:r>
    </w:p>
    <w:p w14:paraId="3A9522F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32.4.6投标供应商之间相互约定给予未中标的供应商利益补偿；</w:t>
      </w:r>
    </w:p>
    <w:p w14:paraId="3EDE825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32.4.7不同投标供应商的法定代表人、主要经营负责人、项目投标授权代表人、项目负责人、主要技术人员为同一人、属同一单位或者同一单位缴纳社会保险；</w:t>
      </w:r>
    </w:p>
    <w:p w14:paraId="2C97531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32.4.8不同投标供应商的投标文件内容存在非正常一致；</w:t>
      </w:r>
    </w:p>
    <w:p w14:paraId="2B79AF0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32.4.9在同一单位工作人员为两家以上（含两家）供应商进行同一项投标活动；</w:t>
      </w:r>
    </w:p>
    <w:p w14:paraId="40653DD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32.4.10主管部门依照法律、法规认定的其他情形。</w:t>
      </w:r>
    </w:p>
    <w:p w14:paraId="289F3BF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32.5对不属于《资格性审查表》和《符合性审查表》所列的其他情形，除专用条款另有规定和32.4条款所列情形外，不得作为投标无效的理由。</w:t>
      </w:r>
    </w:p>
    <w:p w14:paraId="2BD56B0F">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33．澄清有关问题</w:t>
      </w:r>
    </w:p>
    <w:p w14:paraId="27792712">
      <w:pPr>
        <w:widowControl w:val="0"/>
        <w:ind w:firstLine="420" w:firstLineChars="200"/>
        <w:jc w:val="both"/>
        <w:rPr>
          <w:rFonts w:ascii="宋体" w:hAnsi="宋体" w:eastAsia="宋体"/>
          <w:kern w:val="2"/>
          <w:sz w:val="21"/>
          <w:szCs w:val="21"/>
          <w:lang w:eastAsia="zh-CN"/>
        </w:rPr>
      </w:pPr>
      <w:bookmarkStart w:id="60" w:name="_Hlk71407321"/>
      <w:r>
        <w:rPr>
          <w:rFonts w:hint="eastAsia" w:ascii="宋体" w:hAnsi="宋体" w:eastAsia="宋体"/>
          <w:kern w:val="2"/>
          <w:sz w:val="21"/>
          <w:szCs w:val="21"/>
          <w:lang w:eastAsia="zh-CN"/>
        </w:rPr>
        <w:t>33.1对招标文件中描述有歧义或前后不一致的地方（不含</w:t>
      </w:r>
      <w:r>
        <w:rPr>
          <w:rFonts w:hint="eastAsia" w:eastAsia="宋体"/>
          <w:kern w:val="2"/>
          <w:sz w:val="21"/>
          <w:szCs w:val="21"/>
          <w:lang w:eastAsia="zh-CN"/>
        </w:rPr>
        <w:t>招标文件存在歧义、重大缺陷导致评审工作无法进行的情况）</w:t>
      </w:r>
      <w:r>
        <w:rPr>
          <w:rFonts w:hint="eastAsia" w:ascii="宋体" w:hAnsi="宋体" w:eastAsia="宋体"/>
          <w:kern w:val="2"/>
          <w:sz w:val="21"/>
          <w:szCs w:val="21"/>
          <w:lang w:eastAsia="zh-CN"/>
        </w:rPr>
        <w:t>，评审委员会有权进行评判，但对同一条款的评判应适用于每个投标人。</w:t>
      </w:r>
      <w:bookmarkEnd w:id="60"/>
    </w:p>
    <w:p w14:paraId="32D6528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33.2</w:t>
      </w:r>
      <w:r>
        <w:rPr>
          <w:rFonts w:hint="eastAsia" w:eastAsia="宋体"/>
          <w:kern w:val="2"/>
          <w:sz w:val="21"/>
          <w:szCs w:val="21"/>
          <w:lang w:eastAsia="zh-CN"/>
        </w:rPr>
        <w:t>评审委员会发现招标文件存在歧义、重大缺陷导致评审工作无法进行，或者招标文件内容违反国家有关强制性规定的，应当停止评审工作，与</w:t>
      </w:r>
      <w:r>
        <w:rPr>
          <w:rFonts w:hint="eastAsia" w:ascii="宋体" w:hAnsi="宋体" w:eastAsia="宋体"/>
          <w:kern w:val="2"/>
          <w:sz w:val="21"/>
          <w:szCs w:val="21"/>
          <w:lang w:eastAsia="zh-CN"/>
        </w:rPr>
        <w:t>采购代理机构</w:t>
      </w:r>
      <w:r>
        <w:rPr>
          <w:rFonts w:hint="eastAsia" w:eastAsia="宋体"/>
          <w:kern w:val="2"/>
          <w:sz w:val="21"/>
          <w:szCs w:val="21"/>
          <w:lang w:eastAsia="zh-CN"/>
        </w:rPr>
        <w:t>沟通并作书面记录。经确认后，项目应当修改招标文件，重新组织采购活动。</w:t>
      </w:r>
    </w:p>
    <w:p w14:paraId="56AF592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33.3对于投标文件中含义不明确、同类问题表述不一致或者有明显文字和计算错误的内容，评审委员会应当以书面形式要求投标人作出必要的澄清、说明或者补正。</w:t>
      </w:r>
    </w:p>
    <w:p w14:paraId="6E43F31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631D05E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根据本通用条款第34条，凡属于评审委员会在评审中发现的算术错误进行核实的修改不在此列。</w:t>
      </w:r>
    </w:p>
    <w:p w14:paraId="70B4980B">
      <w:pPr>
        <w:widowControl w:val="0"/>
        <w:ind w:firstLine="420" w:firstLineChars="200"/>
        <w:jc w:val="both"/>
        <w:rPr>
          <w:rFonts w:ascii="黑体" w:hAnsi="宋体" w:eastAsia="黑体"/>
          <w:kern w:val="2"/>
          <w:sz w:val="21"/>
          <w:szCs w:val="21"/>
          <w:lang w:eastAsia="zh-CN"/>
        </w:rPr>
      </w:pPr>
      <w:bookmarkStart w:id="61" w:name="_Toc73517673"/>
      <w:bookmarkStart w:id="62" w:name="_Toc73521669"/>
      <w:bookmarkStart w:id="63" w:name="_Toc73521581"/>
      <w:bookmarkStart w:id="64" w:name="_Toc100052400"/>
      <w:bookmarkStart w:id="65" w:name="_Toc73518151"/>
      <w:r>
        <w:rPr>
          <w:rFonts w:hint="eastAsia" w:ascii="黑体" w:hAnsi="宋体" w:eastAsia="黑体"/>
          <w:kern w:val="2"/>
          <w:sz w:val="21"/>
          <w:szCs w:val="21"/>
          <w:lang w:eastAsia="zh-CN"/>
        </w:rPr>
        <w:t>34．错误的修正</w:t>
      </w:r>
      <w:bookmarkEnd w:id="61"/>
      <w:bookmarkEnd w:id="62"/>
      <w:bookmarkEnd w:id="63"/>
      <w:bookmarkEnd w:id="64"/>
      <w:bookmarkEnd w:id="65"/>
    </w:p>
    <w:p w14:paraId="739B897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投标文件报价出现前后不一致的，除专用条款另有规定外，按照下列规定修正：</w:t>
      </w:r>
    </w:p>
    <w:p w14:paraId="5BDBAC2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34.1投标文件中开标一览表投标报价内容与投标文件中投标报价相应内容不一致的，以开标一览表为准；</w:t>
      </w:r>
    </w:p>
    <w:p w14:paraId="3FA3FD5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34.2大写金额和小写金额不一致的，以大写金额为准；</w:t>
      </w:r>
    </w:p>
    <w:p w14:paraId="3F87BDD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34.3单价金额小数点或者百分比有明显错位，以开标一览表的总价为准，并修改单价；</w:t>
      </w:r>
    </w:p>
    <w:p w14:paraId="439F13F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34.4总价金额与按单价汇总金额不一致的，以单价金额计算结果为准。</w:t>
      </w:r>
    </w:p>
    <w:p w14:paraId="37458E5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34.5同时出现两种以上不一致的，按照前款规定的顺序修正。修正后的报价按照本通用条款33条的规定，经投标人确认后产生约束力，投标人不确认的，其投标无效。</w:t>
      </w:r>
    </w:p>
    <w:p w14:paraId="5B2A1C61">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35．投标文件的比较与评价</w:t>
      </w:r>
    </w:p>
    <w:p w14:paraId="0EADED5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4438B9D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评审委员会成员对需要共同认定的事项存在争议的，应当按照少数服从多数的原则作出结论。持不同意见的评审委员会成员应当书面作出说明，否则视为无异议。</w:t>
      </w:r>
    </w:p>
    <w:p w14:paraId="040C61CA">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36. 实地考察或资料查验</w:t>
      </w:r>
    </w:p>
    <w:p w14:paraId="48C1DC5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36.1在评审过程中，评审委员会有权决定是否对本项目投标人进行实地考察或资料查验（原件）。投标人应随时做好接受实地考察或资料查验的准备。</w:t>
      </w:r>
    </w:p>
    <w:p w14:paraId="62766E92">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37．评审方法</w:t>
      </w:r>
    </w:p>
    <w:p w14:paraId="4A5EC247">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37.1.1最低价法</w:t>
      </w:r>
    </w:p>
    <w:p w14:paraId="04106449">
      <w:pPr>
        <w:widowControl w:val="0"/>
        <w:ind w:firstLine="420" w:firstLineChars="200"/>
        <w:jc w:val="both"/>
        <w:rPr>
          <w:rFonts w:ascii="ˎ̥" w:hAnsi="ˎ̥" w:eastAsia="宋体"/>
          <w:kern w:val="2"/>
          <w:sz w:val="21"/>
          <w:szCs w:val="21"/>
          <w:lang w:eastAsia="zh-CN"/>
        </w:rPr>
      </w:pPr>
      <w:bookmarkStart w:id="66" w:name="_Hlk72438142"/>
      <w:r>
        <w:rPr>
          <w:rFonts w:hint="eastAsia" w:ascii="ˎ̥" w:hAnsi="ˎ̥" w:eastAsia="宋体"/>
          <w:kern w:val="2"/>
          <w:sz w:val="21"/>
          <w:szCs w:val="21"/>
          <w:lang w:eastAsia="zh-CN"/>
        </w:rPr>
        <w:t>最低价法，是指完全满足招标文件实质性要求，按照报价由低到高的顺序，依据招标文件中规定的数量或者比例推荐候选中标供应商。</w:t>
      </w:r>
    </w:p>
    <w:p w14:paraId="65F3D197">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37.1.2综合评分法</w:t>
      </w:r>
    </w:p>
    <w:p w14:paraId="56E9CD29">
      <w:pPr>
        <w:widowControl w:val="0"/>
        <w:ind w:firstLine="420" w:firstLineChars="200"/>
        <w:jc w:val="both"/>
        <w:rPr>
          <w:rFonts w:ascii="ˎ̥" w:hAnsi="ˎ̥" w:eastAsia="宋体"/>
          <w:kern w:val="2"/>
          <w:sz w:val="21"/>
          <w:szCs w:val="21"/>
          <w:lang w:eastAsia="zh-CN"/>
        </w:rPr>
      </w:pPr>
      <w:r>
        <w:rPr>
          <w:rFonts w:hint="eastAsia" w:ascii="ˎ̥" w:hAnsi="ˎ̥" w:eastAsia="宋体"/>
          <w:kern w:val="2"/>
          <w:sz w:val="21"/>
          <w:szCs w:val="21"/>
          <w:lang w:eastAsia="zh-CN"/>
        </w:rPr>
        <w:t>综合评分法，是指在满足招标文件全部实质性要求的前提下，按照招标文件中规定的各项因素进行综合评审，评审总得分排名前列的投标人，作为推荐的候选中标供应商。</w:t>
      </w:r>
      <w:bookmarkEnd w:id="66"/>
      <w:r>
        <w:rPr>
          <w:rFonts w:hint="eastAsia" w:ascii="宋体" w:hAnsi="宋体" w:eastAsia="宋体"/>
          <w:bCs/>
          <w:color w:val="FF0000"/>
          <w:kern w:val="2"/>
          <w:sz w:val="21"/>
          <w:szCs w:val="21"/>
          <w:lang w:eastAsia="zh-CN"/>
        </w:rPr>
        <w:t xml:space="preserve">  </w:t>
      </w:r>
      <w:r>
        <w:rPr>
          <w:rFonts w:hint="eastAsia" w:ascii="宋体" w:hAnsi="宋体" w:eastAsia="宋体"/>
          <w:bCs/>
          <w:kern w:val="2"/>
          <w:sz w:val="21"/>
          <w:szCs w:val="21"/>
          <w:lang w:eastAsia="zh-CN"/>
        </w:rPr>
        <w:t xml:space="preserve">                                                                                                                                                                                                                                                                                                                                                                                                                                                                                                                                                                                                                                                                                                                                                                                                                                                                                                                                                                                                                                                                                                                                                                                                                                                                                                                                                                                                                                                                                                                                                                                                                                                                                                                                                                                                                                                                                                                                                                                                                                                                                                                                                                                                                                                                                                                                                                                                                                                                                                                                                                                                                                                                                                                                                                                                                                                                                                                                                                                                                           </w:t>
      </w:r>
    </w:p>
    <w:p w14:paraId="2DA09600">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37.2 本项目采用的评审方法见本项目招标文件第一册“专用条款”的相关内容。</w:t>
      </w:r>
    </w:p>
    <w:p w14:paraId="3E84B8C6">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37.3重新评审的情形</w:t>
      </w:r>
    </w:p>
    <w:p w14:paraId="416C5E1D">
      <w:pPr>
        <w:widowControl w:val="0"/>
        <w:ind w:firstLine="420" w:firstLineChars="200"/>
        <w:jc w:val="both"/>
        <w:rPr>
          <w:rFonts w:ascii="宋体" w:hAnsi="宋体" w:eastAsia="宋体"/>
          <w:b/>
          <w:bCs/>
          <w:kern w:val="2"/>
          <w:sz w:val="21"/>
          <w:szCs w:val="21"/>
          <w:lang w:eastAsia="zh-CN"/>
        </w:rPr>
      </w:pPr>
      <w:r>
        <w:rPr>
          <w:rFonts w:hint="eastAsia" w:ascii="宋体" w:hAnsi="宋体" w:eastAsia="宋体" w:cs="宋体"/>
          <w:sz w:val="21"/>
          <w:szCs w:val="21"/>
          <w:lang w:eastAsia="zh-CN"/>
        </w:rPr>
        <w:t>评审结果汇总完成后，除下列情形外，任何人不得修改评审结果：</w:t>
      </w:r>
    </w:p>
    <w:p w14:paraId="53E87D26">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37.3.1分值汇总计算错误的；</w:t>
      </w:r>
    </w:p>
    <w:p w14:paraId="65D99437">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37.3.2分项评分超出评分标准范围的；</w:t>
      </w:r>
    </w:p>
    <w:p w14:paraId="43E36668">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37.3.3评审委员会成员对客观评审因素评分不一致的；</w:t>
      </w:r>
    </w:p>
    <w:p w14:paraId="4F2DAFC3">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37.3.4经评审委员会认定评分畸高、畸低的。</w:t>
      </w:r>
    </w:p>
    <w:p w14:paraId="39D40AD7">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2E4673F8">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投标人对本条第一款情形提出质疑的，采购人或者采购代理机构可以组织原评审委员会进行重新评审，重新评审改变评审结果的，应当书面报告本级财政部门。</w:t>
      </w:r>
    </w:p>
    <w:p w14:paraId="21CCD1F9">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 xml:space="preserve"> 37.4重新组建评审委员会的情形</w:t>
      </w:r>
    </w:p>
    <w:p w14:paraId="7A5F580C">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评审委员会或者其成员存在下列情形导致评审结果无效的，重新组建评审委员会进行评标，并书面报告本级财政部门：</w:t>
      </w:r>
    </w:p>
    <w:p w14:paraId="504A0202">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37.4.1评审委员会组成不符合《政府采购货物和服务招标投标管理办法》规定的；</w:t>
      </w:r>
    </w:p>
    <w:p w14:paraId="411A4A7E">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37.4.2有《政府采购货物和服务招标投标管理办法》第六十二条第一至五项情形的；</w:t>
      </w:r>
    </w:p>
    <w:p w14:paraId="12167021">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37.4.3评审委员会及其成员独立评标受到非法干预的；</w:t>
      </w:r>
    </w:p>
    <w:p w14:paraId="283DEF22">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37.4.4有政府采购法实施条例第七十五条规定的违法行为的。</w:t>
      </w:r>
    </w:p>
    <w:p w14:paraId="425F53A3">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有违法违规行为的原评审委员会成员不得参加重新组建的评审委员会。</w:t>
      </w:r>
    </w:p>
    <w:p w14:paraId="711089F0">
      <w:pPr>
        <w:widowControl w:val="0"/>
        <w:ind w:firstLine="411" w:firstLineChars="196"/>
        <w:jc w:val="both"/>
        <w:rPr>
          <w:rFonts w:ascii="宋体" w:hAnsi="宋体" w:eastAsia="宋体"/>
          <w:kern w:val="2"/>
          <w:sz w:val="21"/>
          <w:szCs w:val="21"/>
          <w:lang w:eastAsia="zh-CN"/>
        </w:rPr>
      </w:pPr>
    </w:p>
    <w:p w14:paraId="085716EB">
      <w:pPr>
        <w:keepNext/>
        <w:keepLines/>
        <w:widowControl w:val="0"/>
        <w:numPr>
          <w:ilvl w:val="0"/>
          <w:numId w:val="4"/>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定标及公示</w:t>
      </w:r>
    </w:p>
    <w:p w14:paraId="70F14E52">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38．定标方法</w:t>
      </w:r>
    </w:p>
    <w:p w14:paraId="3D2C17D6">
      <w:pPr>
        <w:widowControl w:val="0"/>
        <w:ind w:firstLine="420" w:firstLineChars="200"/>
        <w:jc w:val="both"/>
        <w:rPr>
          <w:rFonts w:ascii="宋体" w:hAnsi="宋体" w:eastAsia="宋体"/>
          <w:kern w:val="2"/>
          <w:sz w:val="21"/>
          <w:szCs w:val="21"/>
          <w:lang w:eastAsia="zh-CN"/>
        </w:rPr>
      </w:pPr>
      <w:bookmarkStart w:id="67" w:name="_Hlk73782795"/>
      <w:r>
        <w:rPr>
          <w:rFonts w:hint="eastAsia" w:ascii="宋体" w:hAnsi="宋体" w:eastAsia="宋体"/>
          <w:kern w:val="2"/>
          <w:sz w:val="21"/>
          <w:szCs w:val="21"/>
          <w:lang w:eastAsia="zh-CN"/>
        </w:rPr>
        <w:t>38.1非评定分离项目定标方法</w:t>
      </w:r>
    </w:p>
    <w:p w14:paraId="3AAC665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38.1.1评审委员会依据本项目招标文件所约定的评审方法进行评审和比较，向采购代理机构提交书面评审报告，并根据评审方法比较评价结果从优到劣进行排序，确定候选中标供应商。</w:t>
      </w:r>
    </w:p>
    <w:p w14:paraId="18D9CB77">
      <w:pPr>
        <w:widowControl w:val="0"/>
        <w:ind w:firstLine="420" w:firstLineChars="200"/>
        <w:jc w:val="both"/>
        <w:rPr>
          <w:rFonts w:ascii="ˎ̥" w:hAnsi="ˎ̥" w:eastAsia="宋体"/>
          <w:kern w:val="2"/>
          <w:sz w:val="21"/>
          <w:szCs w:val="21"/>
          <w:lang w:eastAsia="zh-CN"/>
        </w:rPr>
      </w:pPr>
      <w:r>
        <w:rPr>
          <w:rFonts w:hint="eastAsia" w:ascii="宋体" w:hAnsi="宋体" w:eastAsia="宋体"/>
          <w:kern w:val="2"/>
          <w:sz w:val="21"/>
          <w:szCs w:val="21"/>
          <w:lang w:eastAsia="zh-CN"/>
        </w:rPr>
        <w:t>38.1.2</w:t>
      </w:r>
      <w:r>
        <w:rPr>
          <w:rFonts w:ascii="ˎ̥" w:hAnsi="ˎ̥" w:eastAsia="宋体"/>
          <w:kern w:val="2"/>
          <w:sz w:val="21"/>
          <w:lang w:eastAsia="zh-CN"/>
        </w:rPr>
        <w:t>采用最低价法的，评</w:t>
      </w:r>
      <w:r>
        <w:rPr>
          <w:rFonts w:hint="eastAsia" w:ascii="ˎ̥" w:hAnsi="ˎ̥" w:eastAsia="宋体"/>
          <w:kern w:val="2"/>
          <w:sz w:val="21"/>
          <w:lang w:eastAsia="zh-CN"/>
        </w:rPr>
        <w:t>审</w:t>
      </w:r>
      <w:r>
        <w:rPr>
          <w:rFonts w:ascii="ˎ̥" w:hAnsi="ˎ̥" w:eastAsia="宋体"/>
          <w:kern w:val="2"/>
          <w:sz w:val="21"/>
          <w:lang w:eastAsia="zh-CN"/>
        </w:rPr>
        <w:t>结果按投标报价由低到高顺序排列。投标报价相同的并列。投标文件满足招标文件全部实质性要求且投标报价最低的</w:t>
      </w:r>
      <w:r>
        <w:rPr>
          <w:rFonts w:hint="eastAsia" w:ascii="ˎ̥" w:hAnsi="ˎ̥" w:eastAsia="宋体"/>
          <w:kern w:val="2"/>
          <w:sz w:val="21"/>
          <w:lang w:eastAsia="zh-CN"/>
        </w:rPr>
        <w:t>投标人为中标供应商</w:t>
      </w:r>
      <w:r>
        <w:rPr>
          <w:rFonts w:hint="eastAsia" w:ascii="ˎ̥" w:hAnsi="ˎ̥" w:eastAsia="宋体"/>
          <w:kern w:val="2"/>
          <w:sz w:val="21"/>
          <w:szCs w:val="21"/>
          <w:lang w:eastAsia="zh-CN"/>
        </w:rPr>
        <w:t>。</w:t>
      </w:r>
    </w:p>
    <w:p w14:paraId="72E34CB9">
      <w:pPr>
        <w:widowControl w:val="0"/>
        <w:ind w:firstLine="420" w:firstLineChars="200"/>
        <w:jc w:val="both"/>
        <w:rPr>
          <w:rFonts w:hint="eastAsia" w:ascii="ˎ̥" w:hAnsi="ˎ̥" w:eastAsia="宋体"/>
          <w:kern w:val="2"/>
          <w:sz w:val="21"/>
          <w:szCs w:val="21"/>
          <w:lang w:eastAsia="zh-CN"/>
        </w:rPr>
      </w:pPr>
      <w:r>
        <w:rPr>
          <w:rFonts w:hint="eastAsia" w:ascii="宋体" w:hAnsi="宋体" w:eastAsia="宋体"/>
          <w:kern w:val="2"/>
          <w:sz w:val="21"/>
          <w:szCs w:val="21"/>
          <w:lang w:eastAsia="zh-CN"/>
        </w:rPr>
        <w:t>38.1.3采</w:t>
      </w:r>
      <w:r>
        <w:rPr>
          <w:rFonts w:hint="eastAsia" w:ascii="ˎ̥" w:hAnsi="ˎ̥" w:eastAsia="宋体"/>
          <w:kern w:val="2"/>
          <w:sz w:val="21"/>
          <w:szCs w:val="21"/>
          <w:lang w:eastAsia="zh-CN"/>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中标供应商。出现得分且投标报价相同的并列情况时，采取随机抽取的方式确定，具体操作办法及流程由评审委员会确定（如“专用条款”中另有规定的以“专用条款”相关规定内容为准）。</w:t>
      </w:r>
    </w:p>
    <w:p w14:paraId="0C709F6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38.2评定分离项目定标方法</w:t>
      </w:r>
    </w:p>
    <w:p w14:paraId="77E9A84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38.2.1评定分离是指在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1007F5B1">
      <w:pPr>
        <w:widowControl w:val="0"/>
        <w:ind w:firstLine="420" w:firstLineChars="200"/>
        <w:jc w:val="both"/>
        <w:rPr>
          <w:rFonts w:eastAsia="宋体"/>
          <w:kern w:val="2"/>
          <w:sz w:val="21"/>
          <w:szCs w:val="21"/>
          <w:lang w:eastAsia="zh-CN"/>
        </w:rPr>
      </w:pPr>
      <w:r>
        <w:rPr>
          <w:rFonts w:hint="eastAsia" w:ascii="宋体" w:hAnsi="宋体" w:eastAsia="宋体"/>
          <w:kern w:val="2"/>
          <w:sz w:val="21"/>
          <w:szCs w:val="21"/>
          <w:lang w:eastAsia="zh-CN"/>
        </w:rPr>
        <w:t xml:space="preserve">38.2.2 </w:t>
      </w:r>
      <w:bookmarkStart w:id="68" w:name="_Hlk71469733"/>
      <w:r>
        <w:rPr>
          <w:rFonts w:hint="eastAsia" w:eastAsia="宋体"/>
          <w:kern w:val="2"/>
          <w:sz w:val="21"/>
          <w:szCs w:val="21"/>
          <w:lang w:eastAsia="zh-CN"/>
        </w:rPr>
        <w:t>适用评定分离的采购项目，采用综合评分法评审。</w:t>
      </w:r>
      <w:r>
        <w:rPr>
          <w:rFonts w:hint="eastAsia" w:ascii="宋体" w:hAnsi="宋体" w:eastAsia="宋体"/>
          <w:kern w:val="2"/>
          <w:sz w:val="21"/>
          <w:szCs w:val="21"/>
          <w:lang w:eastAsia="zh-CN"/>
        </w:rPr>
        <w:t>评审委员会按照评审结果，推荐</w:t>
      </w:r>
      <w:r>
        <w:rPr>
          <w:rFonts w:hint="eastAsia" w:eastAsia="宋体"/>
          <w:kern w:val="2"/>
          <w:sz w:val="21"/>
          <w:szCs w:val="21"/>
          <w:lang w:eastAsia="zh-CN"/>
        </w:rPr>
        <w:t>三个合格的候选中标供应商。</w:t>
      </w:r>
    </w:p>
    <w:p w14:paraId="66280D5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38.2.3</w:t>
      </w:r>
      <w:bookmarkStart w:id="69" w:name="_Hlk71469688"/>
      <w:r>
        <w:rPr>
          <w:rFonts w:hint="eastAsia" w:eastAsia="宋体"/>
          <w:kern w:val="2"/>
          <w:sz w:val="21"/>
          <w:szCs w:val="21"/>
          <w:lang w:eastAsia="zh-CN"/>
        </w:rPr>
        <w:t>适用评定分离的采购项目，</w:t>
      </w:r>
      <w:r>
        <w:rPr>
          <w:rFonts w:hint="eastAsia" w:ascii="宋体" w:hAnsi="宋体" w:eastAsia="宋体"/>
          <w:kern w:val="2"/>
          <w:sz w:val="21"/>
          <w:szCs w:val="21"/>
          <w:lang w:eastAsia="zh-CN"/>
        </w:rPr>
        <w:t>按照自定法确定中标供应商：自定法是指采购人组织定标委员会，由定标委员会在三家候选中标供应商中确定中标供应商。</w:t>
      </w:r>
      <w:bookmarkEnd w:id="68"/>
      <w:bookmarkEnd w:id="69"/>
    </w:p>
    <w:p w14:paraId="7993072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38.2.4采购代理机构</w:t>
      </w:r>
      <w:r>
        <w:rPr>
          <w:rFonts w:hint="eastAsia" w:eastAsia="宋体"/>
          <w:kern w:val="2"/>
          <w:sz w:val="21"/>
          <w:szCs w:val="21"/>
          <w:lang w:eastAsia="zh-CN"/>
        </w:rPr>
        <w:t>应当自评审结束之日起两个工作日内将候选中标供应商名单及其投标文件、评审报告送交采购人</w:t>
      </w:r>
      <w:r>
        <w:rPr>
          <w:rFonts w:hint="eastAsia" w:ascii="宋体" w:hAnsi="宋体" w:eastAsia="宋体"/>
          <w:kern w:val="2"/>
          <w:sz w:val="21"/>
          <w:szCs w:val="21"/>
          <w:lang w:eastAsia="zh-CN"/>
        </w:rPr>
        <w:t>。</w:t>
      </w:r>
      <w:r>
        <w:rPr>
          <w:rFonts w:hint="eastAsia" w:eastAsia="宋体"/>
          <w:kern w:val="2"/>
          <w:sz w:val="21"/>
          <w:szCs w:val="21"/>
          <w:lang w:eastAsia="zh-CN"/>
        </w:rPr>
        <w:t>采购人应当安排专人对定标过程进行书面记录，形成定标报告，作为采购文件的组成部分存档，并及时将定标结果反馈</w:t>
      </w:r>
      <w:r>
        <w:rPr>
          <w:rFonts w:hint="eastAsia" w:ascii="宋体" w:hAnsi="宋体" w:eastAsia="宋体"/>
          <w:kern w:val="2"/>
          <w:sz w:val="21"/>
          <w:szCs w:val="21"/>
          <w:lang w:eastAsia="zh-CN"/>
        </w:rPr>
        <w:t>采购代理机构</w:t>
      </w:r>
      <w:r>
        <w:rPr>
          <w:rFonts w:hint="eastAsia" w:eastAsia="宋体"/>
          <w:kern w:val="2"/>
          <w:sz w:val="21"/>
          <w:szCs w:val="21"/>
          <w:lang w:eastAsia="zh-CN"/>
        </w:rPr>
        <w:t>。具体定标程序及相关要求以参照《深圳市财政局关于印发</w:t>
      </w:r>
      <w:r>
        <w:rPr>
          <w:rFonts w:hint="eastAsia" w:ascii="宋体" w:hAnsi="宋体" w:eastAsia="宋体"/>
          <w:kern w:val="2"/>
          <w:sz w:val="21"/>
          <w:szCs w:val="21"/>
          <w:lang w:eastAsia="zh-CN"/>
        </w:rPr>
        <w:t>〈</w:t>
      </w:r>
      <w:r>
        <w:rPr>
          <w:rFonts w:hint="eastAsia" w:eastAsia="宋体"/>
          <w:kern w:val="2"/>
          <w:sz w:val="21"/>
          <w:szCs w:val="21"/>
          <w:lang w:eastAsia="zh-CN"/>
        </w:rPr>
        <w:t>深圳市政府采购评标定标分离管理办法</w:t>
      </w:r>
      <w:r>
        <w:rPr>
          <w:rFonts w:hint="eastAsia" w:ascii="宋体" w:hAnsi="宋体" w:eastAsia="宋体"/>
          <w:kern w:val="2"/>
          <w:sz w:val="21"/>
          <w:szCs w:val="21"/>
          <w:lang w:eastAsia="zh-CN"/>
        </w:rPr>
        <w:t>〉</w:t>
      </w:r>
      <w:r>
        <w:rPr>
          <w:rFonts w:hint="eastAsia" w:eastAsia="宋体"/>
          <w:kern w:val="2"/>
          <w:sz w:val="21"/>
          <w:szCs w:val="21"/>
          <w:lang w:eastAsia="zh-CN"/>
        </w:rPr>
        <w:t>的通知》（深财规【</w:t>
      </w:r>
      <w:r>
        <w:rPr>
          <w:rFonts w:eastAsia="宋体"/>
          <w:kern w:val="2"/>
          <w:sz w:val="21"/>
          <w:szCs w:val="21"/>
          <w:lang w:eastAsia="zh-CN"/>
        </w:rPr>
        <w:t>2020</w:t>
      </w:r>
      <w:r>
        <w:rPr>
          <w:rFonts w:hint="eastAsia" w:eastAsia="宋体"/>
          <w:kern w:val="2"/>
          <w:sz w:val="21"/>
          <w:szCs w:val="21"/>
          <w:lang w:eastAsia="zh-CN"/>
        </w:rPr>
        <w:t>】</w:t>
      </w:r>
      <w:r>
        <w:rPr>
          <w:rFonts w:eastAsia="宋体"/>
          <w:kern w:val="2"/>
          <w:sz w:val="21"/>
          <w:szCs w:val="21"/>
          <w:lang w:eastAsia="zh-CN"/>
        </w:rPr>
        <w:t>1</w:t>
      </w:r>
      <w:r>
        <w:rPr>
          <w:rFonts w:hint="eastAsia" w:eastAsia="宋体"/>
          <w:kern w:val="2"/>
          <w:sz w:val="21"/>
          <w:szCs w:val="21"/>
          <w:lang w:eastAsia="zh-CN"/>
        </w:rPr>
        <w:t>号）执行。</w:t>
      </w:r>
    </w:p>
    <w:p w14:paraId="37DB803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说明：采购人及投标供应商应按照上述方法提前做好相关准备。</w:t>
      </w:r>
    </w:p>
    <w:p w14:paraId="6BBAB2C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38.3专用条款另有规定的，按专用条款相关要求定标。</w:t>
      </w:r>
      <w:bookmarkEnd w:id="67"/>
    </w:p>
    <w:p w14:paraId="7F641540">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39．编写评审报告</w:t>
      </w:r>
    </w:p>
    <w:p w14:paraId="14A8A64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784DFDB5">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40．中标公告</w:t>
      </w:r>
    </w:p>
    <w:p w14:paraId="6C01CA2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40.1</w:t>
      </w:r>
      <w:bookmarkStart w:id="70" w:name="_Hlk72438709"/>
      <w:r>
        <w:rPr>
          <w:rFonts w:hint="eastAsia" w:ascii="宋体" w:hAnsi="宋体" w:eastAsia="宋体"/>
          <w:kern w:val="2"/>
          <w:sz w:val="21"/>
          <w:szCs w:val="21"/>
          <w:lang w:eastAsia="zh-CN"/>
        </w:rPr>
        <w:t>为体现“公开、公平、公正”的原则，评审结束后经采购人确认（确定）评审结果，采购代理机构将在深圳交易集团（深圳公共资源交易中心）官网</w:t>
      </w:r>
      <w:r>
        <w:rPr>
          <w:rFonts w:hint="eastAsia" w:ascii="宋体" w:hAnsi="宋体" w:eastAsia="宋体"/>
          <w:b/>
          <w:bCs/>
          <w:kern w:val="2"/>
          <w:sz w:val="21"/>
          <w:szCs w:val="21"/>
          <w:lang w:eastAsia="zh-CN"/>
        </w:rPr>
        <w:t>https://www.szexgrp.com/jyfw/zfcg-view.html?id=zfcg</w:t>
      </w:r>
      <w:r>
        <w:rPr>
          <w:rFonts w:hint="eastAsia" w:ascii="宋体" w:hAnsi="宋体" w:eastAsia="宋体"/>
          <w:kern w:val="2"/>
          <w:sz w:val="21"/>
          <w:szCs w:val="21"/>
          <w:lang w:eastAsia="zh-CN"/>
        </w:rPr>
        <w:t>上发布中标结果公告。</w:t>
      </w:r>
      <w:bookmarkEnd w:id="70"/>
      <w:bookmarkStart w:id="71" w:name="_Hlk72438751"/>
      <w:r>
        <w:rPr>
          <w:rFonts w:hint="eastAsia" w:ascii="宋体" w:hAnsi="宋体" w:eastAsia="宋体"/>
          <w:kern w:val="2"/>
          <w:sz w:val="21"/>
          <w:szCs w:val="21"/>
          <w:lang w:eastAsia="zh-CN"/>
        </w:rPr>
        <w:t>供应商如对评审结果有异议，可在发布公示日期起七个工作日内向采购代理机构提出。监督电话：0755-86500050。若在公示期内未提出质疑，则视为认同该评审结果。</w:t>
      </w:r>
    </w:p>
    <w:bookmarkEnd w:id="71"/>
    <w:p w14:paraId="242F069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40.2质疑、投诉供应商应保证质疑、投诉内容的真实性和可靠性，并承担相应的法律责任。</w:t>
      </w:r>
    </w:p>
    <w:p w14:paraId="31FB1AFA">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41．中标通知书</w:t>
      </w:r>
    </w:p>
    <w:p w14:paraId="02B15AF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41.1</w:t>
      </w:r>
      <w:bookmarkStart w:id="72" w:name="_Hlk72438863"/>
      <w:r>
        <w:rPr>
          <w:rFonts w:hint="eastAsia" w:ascii="宋体" w:hAnsi="宋体" w:eastAsia="宋体"/>
          <w:kern w:val="2"/>
          <w:sz w:val="21"/>
          <w:szCs w:val="21"/>
          <w:lang w:eastAsia="zh-CN"/>
        </w:rPr>
        <w:t>中标公告公布以后无异常的情况下,中标供应商和采购人可自行在</w:t>
      </w:r>
      <w:r>
        <w:rPr>
          <w:rFonts w:hint="eastAsia" w:ascii="宋体" w:hAnsi="宋体" w:eastAsia="宋体"/>
          <w:b/>
          <w:bCs/>
          <w:kern w:val="2"/>
          <w:sz w:val="21"/>
          <w:szCs w:val="21"/>
          <w:lang w:eastAsia="zh-CN"/>
        </w:rPr>
        <w:t>“</w:t>
      </w:r>
      <w:r>
        <w:rPr>
          <w:rFonts w:hint="eastAsia" w:ascii="宋体" w:hAnsi="宋体" w:eastAsia="宋体"/>
          <w:kern w:val="2"/>
          <w:sz w:val="21"/>
          <w:szCs w:val="21"/>
          <w:lang w:eastAsia="zh-CN"/>
        </w:rPr>
        <w:t>深圳市自行采购系统（https://trade.szggzy.com/ggzy/center/#/login）</w:t>
      </w:r>
      <w:r>
        <w:rPr>
          <w:rFonts w:hint="eastAsia" w:ascii="宋体" w:hAnsi="宋体" w:eastAsia="宋体"/>
          <w:b/>
          <w:bCs/>
          <w:kern w:val="2"/>
          <w:sz w:val="21"/>
          <w:szCs w:val="21"/>
          <w:lang w:eastAsia="zh-CN"/>
        </w:rPr>
        <w:t>”</w:t>
      </w:r>
      <w:r>
        <w:rPr>
          <w:rFonts w:hint="eastAsia" w:ascii="宋体" w:hAnsi="宋体" w:eastAsia="宋体"/>
          <w:kern w:val="2"/>
          <w:sz w:val="21"/>
          <w:szCs w:val="21"/>
          <w:lang w:eastAsia="zh-CN"/>
        </w:rPr>
        <w:t>上打印</w:t>
      </w:r>
      <w:r>
        <w:rPr>
          <w:rFonts w:hint="eastAsia" w:ascii="宋体" w:hAnsi="宋体" w:eastAsia="宋体"/>
          <w:b/>
          <w:kern w:val="2"/>
          <w:sz w:val="21"/>
          <w:szCs w:val="21"/>
          <w:lang w:eastAsia="zh-CN"/>
        </w:rPr>
        <w:t>《数字中标通知书》</w:t>
      </w:r>
      <w:r>
        <w:rPr>
          <w:rFonts w:hint="eastAsia" w:ascii="宋体" w:hAnsi="宋体" w:eastAsia="宋体"/>
          <w:kern w:val="2"/>
          <w:sz w:val="21"/>
          <w:szCs w:val="21"/>
          <w:lang w:eastAsia="zh-CN"/>
        </w:rPr>
        <w:t>。</w:t>
      </w:r>
      <w:bookmarkEnd w:id="72"/>
    </w:p>
    <w:p w14:paraId="4F1F2B6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41.2中标通知书是合同的重要组成部分。</w:t>
      </w:r>
    </w:p>
    <w:p w14:paraId="363D66B9">
      <w:pPr>
        <w:widowControl w:val="0"/>
        <w:ind w:firstLine="420" w:firstLineChars="200"/>
        <w:jc w:val="both"/>
        <w:rPr>
          <w:rFonts w:ascii="宋体" w:hAnsi="宋体" w:eastAsia="宋体"/>
          <w:kern w:val="2"/>
          <w:sz w:val="21"/>
          <w:szCs w:val="21"/>
          <w:lang w:eastAsia="zh-CN"/>
        </w:rPr>
      </w:pPr>
      <w:bookmarkStart w:id="73" w:name="_Hlk71407340"/>
      <w:r>
        <w:rPr>
          <w:rFonts w:hint="eastAsia" w:ascii="宋体" w:hAnsi="宋体" w:eastAsia="宋体"/>
          <w:kern w:val="2"/>
          <w:sz w:val="21"/>
          <w:szCs w:val="21"/>
          <w:lang w:eastAsia="zh-CN"/>
        </w:rPr>
        <w:t>41.3因质疑投诉或其它原因导致项目结果变更或采购终止的，采购代理机构有权吊销中标通知书。</w:t>
      </w:r>
      <w:bookmarkEnd w:id="73"/>
    </w:p>
    <w:p w14:paraId="546F6F74">
      <w:pPr>
        <w:keepNext/>
        <w:keepLines/>
        <w:widowControl w:val="0"/>
        <w:numPr>
          <w:ilvl w:val="0"/>
          <w:numId w:val="4"/>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公开招标失败的后续处理</w:t>
      </w:r>
    </w:p>
    <w:p w14:paraId="5B1BF5B5">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42．公开招标失败的处理</w:t>
      </w:r>
    </w:p>
    <w:p w14:paraId="644F551B">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szCs w:val="21"/>
          <w:lang w:eastAsia="zh-CN"/>
        </w:rPr>
        <w:t>42.1本项目公开招标过程中若由于投标截止后</w:t>
      </w:r>
      <w:r>
        <w:rPr>
          <w:rFonts w:hint="eastAsia" w:ascii="宋体" w:hAnsi="宋体" w:eastAsia="宋体"/>
          <w:kern w:val="2"/>
          <w:sz w:val="21"/>
          <w:lang w:eastAsia="zh-CN"/>
        </w:rPr>
        <w:t>实际递交投标文件的供应商数量不足、经</w:t>
      </w:r>
      <w:r>
        <w:rPr>
          <w:rFonts w:hint="eastAsia" w:ascii="宋体" w:hAnsi="宋体" w:eastAsia="宋体"/>
          <w:kern w:val="2"/>
          <w:sz w:val="21"/>
          <w:szCs w:val="21"/>
          <w:lang w:eastAsia="zh-CN"/>
        </w:rPr>
        <w:t>评审委员会</w:t>
      </w:r>
      <w:r>
        <w:rPr>
          <w:rFonts w:hint="eastAsia" w:ascii="宋体" w:hAnsi="宋体" w:eastAsia="宋体"/>
          <w:kern w:val="2"/>
          <w:sz w:val="21"/>
          <w:lang w:eastAsia="zh-CN"/>
        </w:rPr>
        <w:t>评审对招标文件作实质响应的供应商不足等原因造成公开招标失败，可由</w:t>
      </w:r>
      <w:r>
        <w:rPr>
          <w:rFonts w:hint="eastAsia" w:ascii="宋体" w:hAnsi="宋体" w:eastAsia="宋体"/>
          <w:kern w:val="2"/>
          <w:sz w:val="21"/>
          <w:szCs w:val="21"/>
          <w:lang w:eastAsia="zh-CN"/>
        </w:rPr>
        <w:t>采购代理机构</w:t>
      </w:r>
      <w:r>
        <w:rPr>
          <w:rFonts w:hint="eastAsia" w:ascii="宋体" w:hAnsi="宋体" w:eastAsia="宋体"/>
          <w:kern w:val="2"/>
          <w:sz w:val="21"/>
          <w:lang w:eastAsia="zh-CN"/>
        </w:rPr>
        <w:t>重新组织采购。</w:t>
      </w:r>
    </w:p>
    <w:p w14:paraId="6C499A70">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42.2对公开招标失败的项目，评审委员会在出具该项目招标失败结论的同时，可以提出重新采购组织形式的建议，以及进一步完善招标文件的资格、技术、商务要求的修改建议。</w:t>
      </w:r>
    </w:p>
    <w:p w14:paraId="6EADD4E3">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42.3重新组织采购有以下两种组织形式：</w:t>
      </w:r>
    </w:p>
    <w:p w14:paraId="751B0F20">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（1）由</w:t>
      </w:r>
      <w:r>
        <w:rPr>
          <w:rFonts w:hint="eastAsia" w:ascii="宋体" w:hAnsi="宋体" w:eastAsia="宋体"/>
          <w:kern w:val="2"/>
          <w:sz w:val="21"/>
          <w:szCs w:val="21"/>
          <w:lang w:eastAsia="zh-CN"/>
        </w:rPr>
        <w:t>采购代理机构</w:t>
      </w:r>
      <w:r>
        <w:rPr>
          <w:rFonts w:hint="eastAsia" w:ascii="宋体" w:hAnsi="宋体" w:eastAsia="宋体"/>
          <w:kern w:val="2"/>
          <w:sz w:val="21"/>
          <w:lang w:eastAsia="zh-CN"/>
        </w:rPr>
        <w:t>重新组织公开招标；</w:t>
      </w:r>
    </w:p>
    <w:p w14:paraId="45262994">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（2）如需要根据实际情况向采购人主管部门提出非公开招标方式申请的，经采购人主管部门批准，公开招标失败采购项目可转为竞争性谈判或单一来源谈判方式采购。</w:t>
      </w:r>
    </w:p>
    <w:p w14:paraId="69F0EFF4">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42.4公开招标失败的采购项目重新组织公开招标，由</w:t>
      </w:r>
      <w:r>
        <w:rPr>
          <w:rFonts w:hint="eastAsia" w:ascii="宋体" w:hAnsi="宋体" w:eastAsia="宋体"/>
          <w:kern w:val="2"/>
          <w:sz w:val="21"/>
          <w:szCs w:val="21"/>
          <w:lang w:eastAsia="zh-CN"/>
        </w:rPr>
        <w:t>采购代理机构</w:t>
      </w:r>
      <w:r>
        <w:rPr>
          <w:rFonts w:hint="eastAsia" w:ascii="宋体" w:hAnsi="宋体" w:eastAsia="宋体"/>
          <w:kern w:val="2"/>
          <w:sz w:val="21"/>
          <w:lang w:eastAsia="zh-CN"/>
        </w:rPr>
        <w:t>重新按公开招标流程组织采购活动。</w:t>
      </w:r>
    </w:p>
    <w:p w14:paraId="131D8FF4">
      <w:pPr>
        <w:widowControl w:val="0"/>
        <w:ind w:firstLine="420" w:firstLineChars="200"/>
        <w:jc w:val="both"/>
        <w:rPr>
          <w:rFonts w:ascii="黑体" w:hAnsi="宋体" w:eastAsia="黑体"/>
          <w:kern w:val="2"/>
          <w:lang w:eastAsia="zh-CN"/>
        </w:rPr>
      </w:pPr>
      <w:r>
        <w:rPr>
          <w:rFonts w:hint="eastAsia" w:ascii="宋体" w:hAnsi="宋体" w:eastAsia="宋体"/>
          <w:kern w:val="2"/>
          <w:sz w:val="21"/>
          <w:lang w:eastAsia="zh-CN"/>
        </w:rPr>
        <w:t>42.5公开招标失败的采购项目转为竞争性谈判或单一来源谈判方式采购的，按规定要求组织自行采购工作。</w:t>
      </w:r>
    </w:p>
    <w:p w14:paraId="19D1E52D">
      <w:pPr>
        <w:keepNext/>
        <w:keepLines/>
        <w:widowControl w:val="0"/>
        <w:numPr>
          <w:ilvl w:val="0"/>
          <w:numId w:val="4"/>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bookmarkStart w:id="74" w:name="_Hlk72439043"/>
      <w:r>
        <w:rPr>
          <w:rFonts w:hint="eastAsia" w:ascii="Cambria" w:hAnsi="Cambria" w:eastAsia="宋体" w:cs="宋体"/>
          <w:b/>
          <w:bCs/>
          <w:kern w:val="2"/>
          <w:sz w:val="28"/>
          <w:szCs w:val="28"/>
          <w:lang w:eastAsia="zh-CN"/>
        </w:rPr>
        <w:t>合同的授予与备案</w:t>
      </w:r>
      <w:bookmarkEnd w:id="74"/>
    </w:p>
    <w:p w14:paraId="2184B77E">
      <w:pPr>
        <w:widowControl w:val="0"/>
        <w:ind w:firstLine="420" w:firstLineChars="200"/>
        <w:jc w:val="both"/>
        <w:rPr>
          <w:rFonts w:ascii="黑体" w:hAnsi="宋体" w:eastAsia="黑体"/>
          <w:kern w:val="2"/>
          <w:sz w:val="21"/>
          <w:szCs w:val="21"/>
          <w:lang w:eastAsia="zh-CN"/>
        </w:rPr>
      </w:pPr>
      <w:bookmarkStart w:id="75" w:name="_Toc73521674"/>
      <w:bookmarkStart w:id="76" w:name="_Toc73518157"/>
      <w:bookmarkStart w:id="77" w:name="_Toc100052408"/>
      <w:bookmarkStart w:id="78" w:name="_Toc73521586"/>
      <w:bookmarkStart w:id="79" w:name="_Toc73517679"/>
      <w:bookmarkStart w:id="80" w:name="_Hlk72439088"/>
      <w:r>
        <w:rPr>
          <w:rFonts w:hint="eastAsia" w:ascii="黑体" w:hAnsi="宋体" w:eastAsia="黑体"/>
          <w:kern w:val="2"/>
          <w:sz w:val="21"/>
          <w:szCs w:val="21"/>
          <w:lang w:eastAsia="zh-CN"/>
        </w:rPr>
        <w:t>43．合同授予标准</w:t>
      </w:r>
      <w:bookmarkEnd w:id="75"/>
      <w:bookmarkEnd w:id="76"/>
      <w:bookmarkEnd w:id="77"/>
      <w:bookmarkEnd w:id="78"/>
      <w:bookmarkEnd w:id="79"/>
    </w:p>
    <w:p w14:paraId="457F207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本项目的合同将授予经本招标文件规定评审确定的中标供应商。</w:t>
      </w:r>
    </w:p>
    <w:p w14:paraId="3D6F6AC2">
      <w:pPr>
        <w:widowControl w:val="0"/>
        <w:ind w:firstLine="420" w:firstLineChars="200"/>
        <w:jc w:val="both"/>
        <w:rPr>
          <w:rFonts w:ascii="黑体" w:hAnsi="宋体" w:eastAsia="黑体"/>
          <w:kern w:val="2"/>
          <w:sz w:val="21"/>
          <w:szCs w:val="21"/>
          <w:lang w:eastAsia="zh-CN"/>
        </w:rPr>
      </w:pPr>
      <w:bookmarkStart w:id="81" w:name="_Toc73518158"/>
      <w:bookmarkStart w:id="82" w:name="_Toc73517680"/>
      <w:bookmarkStart w:id="83" w:name="_Toc73521587"/>
      <w:bookmarkStart w:id="84" w:name="_Toc100052409"/>
      <w:bookmarkStart w:id="85" w:name="_Toc73521675"/>
      <w:r>
        <w:rPr>
          <w:rFonts w:hint="eastAsia" w:ascii="黑体" w:hAnsi="宋体" w:eastAsia="黑体"/>
          <w:kern w:val="2"/>
          <w:sz w:val="21"/>
          <w:szCs w:val="21"/>
          <w:lang w:eastAsia="zh-CN"/>
        </w:rPr>
        <w:t>44．</w:t>
      </w:r>
      <w:bookmarkEnd w:id="81"/>
      <w:bookmarkEnd w:id="82"/>
      <w:bookmarkEnd w:id="83"/>
      <w:bookmarkEnd w:id="84"/>
      <w:bookmarkEnd w:id="85"/>
      <w:r>
        <w:rPr>
          <w:rFonts w:hint="eastAsia" w:ascii="黑体" w:hAnsi="宋体" w:eastAsia="黑体"/>
          <w:kern w:val="2"/>
          <w:sz w:val="21"/>
          <w:szCs w:val="21"/>
          <w:lang w:eastAsia="zh-CN"/>
        </w:rPr>
        <w:t>接受和拒绝任何或所有投标的权力</w:t>
      </w:r>
    </w:p>
    <w:p w14:paraId="3D2D2F0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采购代理机构和采购人保留在投标之前任何时候接受或拒绝任何投标或所有投标，以及宣布招标无效的权力，对受影响的投标人不承担任何责任，也无义务向受影响的投标人解释采取这一行动的理由。</w:t>
      </w:r>
    </w:p>
    <w:p w14:paraId="5B8DD3AC">
      <w:pPr>
        <w:widowControl w:val="0"/>
        <w:ind w:firstLine="420" w:firstLineChars="200"/>
        <w:jc w:val="both"/>
        <w:rPr>
          <w:rFonts w:ascii="黑体" w:hAnsi="宋体" w:eastAsia="黑体"/>
          <w:kern w:val="2"/>
          <w:sz w:val="21"/>
          <w:szCs w:val="21"/>
          <w:lang w:eastAsia="zh-CN"/>
        </w:rPr>
      </w:pPr>
      <w:bookmarkStart w:id="86" w:name="_Toc73518160"/>
      <w:bookmarkStart w:id="87" w:name="_Toc73521589"/>
      <w:bookmarkStart w:id="88" w:name="_Toc100052410"/>
      <w:bookmarkStart w:id="89" w:name="_Toc73517682"/>
      <w:bookmarkStart w:id="90" w:name="_Toc73521677"/>
      <w:r>
        <w:rPr>
          <w:rFonts w:hint="eastAsia" w:ascii="黑体" w:hAnsi="宋体" w:eastAsia="黑体"/>
          <w:kern w:val="2"/>
          <w:sz w:val="21"/>
          <w:szCs w:val="21"/>
          <w:lang w:eastAsia="zh-CN"/>
        </w:rPr>
        <w:t>45．合同的签订</w:t>
      </w:r>
      <w:bookmarkEnd w:id="86"/>
      <w:bookmarkEnd w:id="87"/>
      <w:bookmarkEnd w:id="88"/>
      <w:bookmarkEnd w:id="89"/>
      <w:bookmarkEnd w:id="90"/>
    </w:p>
    <w:p w14:paraId="0AE6A67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45.1中标人将于中标通知书发出之日起十个工作日内，按照采购文件（招标文件和投标文件等）内容与采购人签订采购合同；合同的实质性内容应当符合招标文件的规定；</w:t>
      </w:r>
    </w:p>
    <w:p w14:paraId="48953E3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45.2中标人如不按本通用条款第45.1款的规定与采购人签订合同，</w:t>
      </w:r>
      <w:r>
        <w:rPr>
          <w:rFonts w:hint="eastAsia" w:ascii="宋体" w:hAnsi="宋体" w:eastAsia="宋体" w:cs="宋体"/>
          <w:sz w:val="21"/>
          <w:szCs w:val="21"/>
          <w:lang w:eastAsia="zh-CN"/>
        </w:rPr>
        <w:t>情节严重的，由同级财政部门记入供应商诚信档案，予以通报</w:t>
      </w:r>
      <w:r>
        <w:rPr>
          <w:rFonts w:hint="eastAsia" w:ascii="宋体" w:hAnsi="宋体" w:eastAsia="宋体"/>
          <w:kern w:val="2"/>
          <w:sz w:val="21"/>
          <w:szCs w:val="21"/>
          <w:lang w:eastAsia="zh-CN"/>
        </w:rPr>
        <w:t>；</w:t>
      </w:r>
    </w:p>
    <w:p w14:paraId="5FF0A16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45.3中标人应当按照合同约定履行义务，完成中标项目，不得将中标项目转让（转包）给他人。</w:t>
      </w:r>
    </w:p>
    <w:p w14:paraId="3628DD96">
      <w:pPr>
        <w:widowControl w:val="0"/>
        <w:ind w:firstLine="420" w:firstLineChars="200"/>
        <w:jc w:val="both"/>
        <w:rPr>
          <w:rFonts w:ascii="黑体" w:hAnsi="宋体" w:eastAsia="黑体"/>
          <w:kern w:val="2"/>
          <w:sz w:val="21"/>
          <w:szCs w:val="21"/>
          <w:lang w:eastAsia="zh-CN"/>
        </w:rPr>
      </w:pPr>
      <w:bookmarkStart w:id="91" w:name="_Toc73518161"/>
      <w:bookmarkStart w:id="92" w:name="_Toc73521590"/>
      <w:bookmarkStart w:id="93" w:name="_Toc73521678"/>
      <w:bookmarkStart w:id="94" w:name="_Toc73517683"/>
      <w:bookmarkStart w:id="95" w:name="_Toc100052411"/>
      <w:r>
        <w:rPr>
          <w:rFonts w:hint="eastAsia" w:ascii="黑体" w:hAnsi="宋体" w:eastAsia="黑体"/>
          <w:kern w:val="2"/>
          <w:sz w:val="21"/>
          <w:szCs w:val="21"/>
          <w:lang w:eastAsia="zh-CN"/>
        </w:rPr>
        <w:t>46．履约担保</w:t>
      </w:r>
      <w:bookmarkEnd w:id="91"/>
      <w:bookmarkEnd w:id="92"/>
      <w:bookmarkEnd w:id="93"/>
      <w:bookmarkEnd w:id="94"/>
      <w:bookmarkEnd w:id="95"/>
    </w:p>
    <w:p w14:paraId="54D684A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46.1在签订项目合同的同时，中标人应按“对通用条款的补充内容”中规定的金额向采购人提交履约担保；</w:t>
      </w:r>
    </w:p>
    <w:p w14:paraId="0F9683C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46.2，允许供应商自主选择以支票、汇票、本票、保函等非现金方式提交履约担保；</w:t>
      </w:r>
      <w:r>
        <w:rPr>
          <w:rFonts w:hint="eastAsia" w:eastAsia="宋体"/>
          <w:kern w:val="2"/>
          <w:sz w:val="21"/>
          <w:szCs w:val="21"/>
          <w:lang w:eastAsia="zh-CN"/>
        </w:rPr>
        <w:t>中标人提交履约担保不是合同签订的前提条件，不要求中标人提供除法律、法规明确规定外的其他担保。</w:t>
      </w:r>
    </w:p>
    <w:p w14:paraId="262AABF3">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47. 合同备案</w:t>
      </w:r>
    </w:p>
    <w:p w14:paraId="2AFD66A8">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自行采购项目，无需办理政府采购合同备案。</w:t>
      </w:r>
    </w:p>
    <w:p w14:paraId="479A6E57">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48. 合同变更</w:t>
      </w:r>
    </w:p>
    <w:p w14:paraId="2297239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合同变更事宜参照《深圳市财政局关于优化政府采购合同备案的通知》（深财发保〔2022〕2号）相关规定，按采购人内控制度执行。</w:t>
      </w:r>
    </w:p>
    <w:p w14:paraId="6BFE89DF">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49. 项目验收</w:t>
      </w:r>
    </w:p>
    <w:p w14:paraId="643EA3E5">
      <w:pPr>
        <w:widowControl/>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 xml:space="preserve">49.1采购人应当按照招标文件和合同规定的标准和方法，及时组织验收。 </w:t>
      </w:r>
    </w:p>
    <w:p w14:paraId="17C679B1">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50. 宣传</w:t>
      </w:r>
    </w:p>
    <w:p w14:paraId="539CE01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凡与采购活动有关的宣传或广告，若当中提及本项目采购，必须事先将具体对外宣传方案报采购人预算主管部门，并征得其同意。对外市场宣传包括但不限于以下形式：</w:t>
      </w:r>
    </w:p>
    <w:p w14:paraId="18D65D1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a.名片、宣传册、广告标语等；</w:t>
      </w:r>
    </w:p>
    <w:p w14:paraId="4AC633A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b.案例介绍、推广等；</w:t>
      </w:r>
    </w:p>
    <w:p w14:paraId="49D50F1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c.工作人员向其他消费群体宣传。</w:t>
      </w:r>
    </w:p>
    <w:p w14:paraId="6D348ACA">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51. 供应商违法责任</w:t>
      </w:r>
    </w:p>
    <w:p w14:paraId="00045D3C">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51.1《深圳经济特区政府采购条例》第五十七条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2E400DF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（1）在采购活动中应当回避而未回避的；</w:t>
      </w:r>
    </w:p>
    <w:p w14:paraId="759F576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（2）未按本条例规定签订、履行采购合同，造成严重后果的；</w:t>
      </w:r>
    </w:p>
    <w:p w14:paraId="5DEE8E5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（3）隐瞒真实情况，提供虚假资料的；</w:t>
      </w:r>
    </w:p>
    <w:p w14:paraId="214C29B2">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（4）以非法手段排斥其他供应商参与竞争的；</w:t>
      </w:r>
    </w:p>
    <w:p w14:paraId="013199C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（5）与其他采购参加人串通投标的；</w:t>
      </w:r>
    </w:p>
    <w:p w14:paraId="2B70FC0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（6）恶意投诉的；</w:t>
      </w:r>
    </w:p>
    <w:p w14:paraId="22F3BE9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（7）向采购项目相关人行贿或者提供其他不当利益的；</w:t>
      </w:r>
    </w:p>
    <w:p w14:paraId="28DD05A1">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（8）阻碍、抗拒主管部门监督检查的；</w:t>
      </w:r>
    </w:p>
    <w:p w14:paraId="78F2780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（9）其他违反本条例规定的行为。</w:t>
      </w:r>
    </w:p>
    <w:p w14:paraId="4F2E616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51.2 根据《深圳市财政局关于调整政府采购投标（响应）保证金管理政策的通知 》（深财购〔2021〕51 号）的要求，供应商在采购活动中出现《深圳经济特区政府采购条例实施细则》第八十条所列情形的，</w:t>
      </w:r>
      <w:bookmarkStart w:id="96" w:name="_Hlk72440769"/>
      <w:r>
        <w:rPr>
          <w:rFonts w:hint="eastAsia" w:ascii="宋体" w:hAnsi="宋体" w:eastAsia="宋体"/>
          <w:kern w:val="2"/>
          <w:sz w:val="21"/>
          <w:szCs w:val="21"/>
          <w:lang w:eastAsia="zh-CN"/>
        </w:rPr>
        <w:t>采购代理机构或采购人不予退还其交纳的谈判保证金，情节严重的，并由主管部门</w:t>
      </w:r>
      <w:bookmarkEnd w:id="96"/>
      <w:r>
        <w:rPr>
          <w:rFonts w:hint="eastAsia" w:ascii="宋体" w:hAnsi="宋体" w:eastAsia="宋体"/>
          <w:kern w:val="2"/>
          <w:sz w:val="21"/>
          <w:szCs w:val="21"/>
          <w:lang w:eastAsia="zh-CN"/>
        </w:rPr>
        <w:t>记入供应商诚信档案，予以通报：</w:t>
      </w:r>
    </w:p>
    <w:p w14:paraId="45C5A74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（1）投标截止后，撤销投标的；</w:t>
      </w:r>
    </w:p>
    <w:p w14:paraId="5E07BDD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（2）中标后无正当理由未在规定期限内签订合同的；</w:t>
      </w:r>
    </w:p>
    <w:p w14:paraId="3F60E2A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（3）将中标项目转让给他人、或者在投标文件中未说明且未经采购人、采购招标机构同意，将中标项目分包给他人的；</w:t>
      </w:r>
    </w:p>
    <w:p w14:paraId="54E6136D">
      <w:pPr>
        <w:widowControl w:val="0"/>
        <w:ind w:firstLine="420" w:firstLineChars="200"/>
        <w:jc w:val="both"/>
        <w:rPr>
          <w:rFonts w:eastAsia="宋体"/>
          <w:kern w:val="2"/>
          <w:sz w:val="21"/>
          <w:lang w:eastAsia="zh-CN"/>
        </w:rPr>
      </w:pPr>
      <w:r>
        <w:rPr>
          <w:rFonts w:hint="eastAsia" w:ascii="宋体" w:hAnsi="宋体" w:eastAsia="宋体"/>
          <w:kern w:val="2"/>
          <w:sz w:val="21"/>
          <w:szCs w:val="21"/>
          <w:lang w:eastAsia="zh-CN"/>
        </w:rPr>
        <w:t>（4）拒绝履行合同义务的。</w:t>
      </w:r>
    </w:p>
    <w:bookmarkEnd w:id="80"/>
    <w:p w14:paraId="122150EA">
      <w:pPr>
        <w:keepNext/>
        <w:keepLines/>
        <w:widowControl w:val="0"/>
        <w:numPr>
          <w:ilvl w:val="0"/>
          <w:numId w:val="4"/>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质疑处理</w:t>
      </w:r>
    </w:p>
    <w:p w14:paraId="6734ED48">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52.质疑提出与答复</w:t>
      </w:r>
    </w:p>
    <w:p w14:paraId="6E94B0B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52.1提出质疑</w:t>
      </w:r>
    </w:p>
    <w:p w14:paraId="04D0D82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参与采购活动的供应商认为自己的权益在采购活动中受到损害的，应当自知道或者应当知道其权益受到损害之日起七个工作日内向采购人、采购代理机构以书面形式提出质疑。</w:t>
      </w:r>
    </w:p>
    <w:p w14:paraId="2DFD838D">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52.2法律依据</w:t>
      </w:r>
    </w:p>
    <w:p w14:paraId="1C81E11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中华人民共和国政府采购法》、《中华人民共和国政府采购法实施条例》、《深圳经济特区政府采购条例》、《深圳经济特区政府采购条例实施细则》、《政府采购质疑和投诉办法》（财政部令第94号）和其他有关法律法规规定。</w:t>
      </w:r>
    </w:p>
    <w:p w14:paraId="0381B4E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52.3质疑条件</w:t>
      </w:r>
    </w:p>
    <w:p w14:paraId="5FB0992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52.3.1提出质疑的供应商应当是参与所质疑项目采购活动的供应商；</w:t>
      </w:r>
      <w:bookmarkStart w:id="97" w:name="_Hlk75374941"/>
      <w:r>
        <w:rPr>
          <w:rFonts w:hint="eastAsia" w:ascii="宋体" w:hAnsi="宋体" w:eastAsia="宋体"/>
          <w:kern w:val="2"/>
          <w:sz w:val="21"/>
          <w:szCs w:val="21"/>
          <w:lang w:eastAsia="zh-CN"/>
        </w:rPr>
        <w:t>以联合体形式参与的，质疑应当由组成联合体的所有成员共同提出</w:t>
      </w:r>
      <w:bookmarkEnd w:id="97"/>
      <w:r>
        <w:rPr>
          <w:rFonts w:hint="eastAsia" w:ascii="宋体" w:hAnsi="宋体" w:eastAsia="宋体"/>
          <w:kern w:val="2"/>
          <w:sz w:val="21"/>
          <w:szCs w:val="21"/>
          <w:lang w:eastAsia="zh-CN"/>
        </w:rPr>
        <w:t>；</w:t>
      </w:r>
    </w:p>
    <w:p w14:paraId="07F30837">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52.3.2应当在法定质疑期内一次性提出针对同一采购程序环节的质疑，法定质疑期为自知道或应当知道权益受到损害之日起7个工作日内。应当知道其权益受到损害之日是指：对采购文件的质疑，为采购文件公布之日；对采购过程的质疑，为各采购程序环节结束之日；对中标（成交）结果以及评审委员会组成人员的质疑，为中标（成交）结果公示之日；</w:t>
      </w:r>
    </w:p>
    <w:p w14:paraId="582260D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52.3.3应提交书面质疑函，质疑函应当包括以下内容： </w:t>
      </w:r>
    </w:p>
    <w:p w14:paraId="3FEA4E0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（1）供应商的名称（或者姓名）、地址、邮编、邮箱、联系人及联系电话；</w:t>
      </w:r>
    </w:p>
    <w:p w14:paraId="3386E6C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（2）质疑项目的名称、编号；</w:t>
      </w:r>
    </w:p>
    <w:p w14:paraId="10329F7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（3）具体、明确的质疑对象、质疑事项和质疑请求；</w:t>
      </w:r>
    </w:p>
    <w:p w14:paraId="38923B8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（4）因质疑事项而受损害的权益；</w:t>
      </w:r>
    </w:p>
    <w:p w14:paraId="5F87E19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（5）事实依据；</w:t>
      </w:r>
    </w:p>
    <w:p w14:paraId="1113A3F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（6）必要的法律依据；</w:t>
      </w:r>
    </w:p>
    <w:p w14:paraId="587B60E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（7）提出质疑的日期。</w:t>
      </w:r>
    </w:p>
    <w:p w14:paraId="0338A84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供应商为自然人的，应当由本人签字；供应商为法人或者其他组织的，应当由法定代表人（负责人），或者其授权代理人签字或者盖章，并加盖公章。</w:t>
      </w:r>
    </w:p>
    <w:p w14:paraId="6D969A8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52.4提交材料</w:t>
      </w:r>
    </w:p>
    <w:p w14:paraId="27AE8710">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14:paraId="4D35321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6C8169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52.5收文地点</w:t>
      </w:r>
    </w:p>
    <w:p w14:paraId="5A34F73A">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地址：深圳公共资源交易中心（深圳交易集团有限公司政府采购业务分公司）深圳市南山区沙河西路3185号南山智谷A座（深圳交易集团总部大楼）27楼，质疑咨询电话：0755-</w:t>
      </w:r>
      <w:r>
        <w:rPr>
          <w:rFonts w:hint="eastAsia" w:ascii="宋体" w:hAnsi="宋体" w:eastAsia="宋体"/>
          <w:b/>
          <w:kern w:val="2"/>
          <w:sz w:val="21"/>
          <w:lang w:eastAsia="zh-CN"/>
        </w:rPr>
        <w:t>86500050</w:t>
      </w:r>
      <w:r>
        <w:rPr>
          <w:rFonts w:hint="eastAsia" w:ascii="宋体" w:hAnsi="宋体" w:eastAsia="宋体"/>
          <w:b/>
          <w:bCs/>
          <w:kern w:val="2"/>
          <w:sz w:val="21"/>
          <w:szCs w:val="21"/>
          <w:lang w:eastAsia="zh-CN"/>
        </w:rPr>
        <w:t>。</w:t>
      </w:r>
    </w:p>
    <w:p w14:paraId="49AF2635">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52.6收文办理程序</w:t>
      </w:r>
    </w:p>
    <w:p w14:paraId="78F3EAFA">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52.6.1供应商提交的质疑符合受理条件的，采购代理机构自收到质疑材料之日起即为受理，应当向供应商出具质疑函收文回执并可以要求其递交质疑的法定代表人（负责人）或者授权代理人签署质疑文书送达地址确认书。</w:t>
      </w:r>
    </w:p>
    <w:p w14:paraId="15D3B2E8">
      <w:pPr>
        <w:widowControl w:val="0"/>
        <w:ind w:firstLine="420" w:firstLineChars="200"/>
        <w:jc w:val="both"/>
        <w:rPr>
          <w:rFonts w:ascii="仿宋" w:hAnsi="仿宋" w:eastAsia="仿宋"/>
          <w:kern w:val="2"/>
          <w:sz w:val="21"/>
          <w:szCs w:val="21"/>
          <w:lang w:eastAsia="zh-CN"/>
        </w:rPr>
      </w:pPr>
      <w:r>
        <w:rPr>
          <w:rFonts w:hint="eastAsia" w:ascii="宋体" w:hAnsi="宋体" w:eastAsia="宋体"/>
          <w:kern w:val="2"/>
          <w:sz w:val="21"/>
          <w:szCs w:val="21"/>
          <w:lang w:eastAsia="zh-CN"/>
        </w:rPr>
        <w:t>52.6.2供应商提交的质疑材料不符合质疑条件的，视情况处理：</w:t>
      </w:r>
    </w:p>
    <w:p w14:paraId="3844D184">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供应商提交的质疑材料不全或者未按要求签字或者盖章的，采购代理机构应当一次性告知供应商需补正的内容和补正期限。</w:t>
      </w:r>
    </w:p>
    <w:p w14:paraId="7001D3F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供应商提交的质疑存在下列情形之一的，不予受理：</w:t>
      </w:r>
    </w:p>
    <w:p w14:paraId="3A8314E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（1）质疑主体不满足要求的；</w:t>
      </w:r>
    </w:p>
    <w:p w14:paraId="25EB1608">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（2）供应商自身权益未受到损害的；</w:t>
      </w:r>
    </w:p>
    <w:p w14:paraId="4C3AB2AF">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（3）供应商未在法定质疑期限内提出质疑的；</w:t>
      </w:r>
    </w:p>
    <w:p w14:paraId="0B0C5FC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（4）质疑材料不全或者未按要求签字或者盖章的情况下，要求补正后，逾期未补正或者补正后仍不符合规定的；</w:t>
      </w:r>
    </w:p>
    <w:p w14:paraId="30109E26">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（5）其他不符合受理条件情形的。</w:t>
      </w:r>
    </w:p>
    <w:p w14:paraId="0F285497">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质疑事项不予受理的，采购代理机构应当向供应商出具不符合质疑条件告知书。</w:t>
      </w:r>
    </w:p>
    <w:p w14:paraId="47D8D3C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52.7质疑答复时限</w:t>
      </w:r>
    </w:p>
    <w:p w14:paraId="01AA8FDB">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自收文之日起七个工作日内。</w:t>
      </w:r>
    </w:p>
    <w:p w14:paraId="7915485E">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52.8投诉</w:t>
      </w:r>
    </w:p>
    <w:p w14:paraId="35EF7203">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对质疑答复不满意或者未在规定时间内答复的，提出质疑的供应商可以在答复期满后15个工作日内向采购文件第一册专用条款，第二章 对通用条款的补充内容及其他关键信息，一、对通用条款的补充内容中规定的单位投诉。</w:t>
      </w:r>
    </w:p>
    <w:p w14:paraId="183DEA74">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53.质疑后续处理</w:t>
      </w:r>
    </w:p>
    <w:p w14:paraId="2F3B53A9">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53.1供应商质疑不成立，或者成立但未对中标、成交结果构成影响的，继续开展采购活动。</w:t>
      </w:r>
    </w:p>
    <w:p w14:paraId="315BDB5D">
      <w:pPr>
        <w:widowControl w:val="0"/>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2BE4CF2B">
      <w:pPr>
        <w:widowControl w:val="0"/>
        <w:ind w:firstLine="420" w:firstLineChars="200"/>
        <w:jc w:val="left"/>
        <w:rPr>
          <w:rFonts w:eastAsia="宋体"/>
          <w:kern w:val="2"/>
          <w:sz w:val="21"/>
          <w:szCs w:val="21"/>
          <w:lang w:eastAsia="zh-CN"/>
        </w:rPr>
      </w:pPr>
      <w:r>
        <w:rPr>
          <w:rFonts w:hint="eastAsia" w:ascii="宋体" w:hAnsi="宋体" w:eastAsia="宋体"/>
          <w:kern w:val="2"/>
          <w:sz w:val="21"/>
          <w:szCs w:val="21"/>
          <w:lang w:eastAsia="zh-CN"/>
        </w:rPr>
        <w:t>53.3被质疑供应商应配合提供质疑答辩意见,并提供相关证据材料,逾期不作书面答辩的,视同放弃答辩权利,依法承担由此可能产生的不利法律后果。</w:t>
      </w:r>
    </w:p>
    <w:p w14:paraId="46C8A0A8">
      <w:pPr>
        <w:widowControl w:val="0"/>
        <w:jc w:val="center"/>
        <w:rPr>
          <w:rFonts w:eastAsia="宋体"/>
          <w:kern w:val="2"/>
          <w:sz w:val="21"/>
          <w:lang w:eastAsia="zh-CN"/>
        </w:rPr>
      </w:pPr>
      <w:r>
        <w:rPr>
          <w:rFonts w:eastAsia="宋体"/>
          <w:kern w:val="2"/>
          <w:sz w:val="21"/>
          <w:lang w:eastAsia="zh-CN"/>
        </w:rPr>
        <w:t>---- END ----</w:t>
      </w:r>
      <w:bookmarkEnd w:id="44"/>
    </w:p>
    <w:p w14:paraId="7774FFB8">
      <w:pPr>
        <w:widowControl w:val="0"/>
        <w:jc w:val="both"/>
        <w:rPr>
          <w:rFonts w:ascii="宋体" w:hAnsi="宋体" w:eastAsia="宋体"/>
          <w:kern w:val="2"/>
          <w:sz w:val="21"/>
          <w:szCs w:val="21"/>
          <w:lang w:eastAsia="zh-CN"/>
        </w:rPr>
      </w:pPr>
    </w:p>
    <w:p w14:paraId="1868157D">
      <w:pPr>
        <w:keepNext/>
        <w:keepLines/>
        <w:widowControl w:val="0"/>
        <w:adjustRightInd w:val="0"/>
        <w:spacing w:before="260" w:after="260" w:line="240" w:lineRule="auto"/>
        <w:jc w:val="center"/>
        <w:textAlignment w:val="baseline"/>
        <w:outlineLvl w:val="1"/>
        <w:rPr>
          <w:rFonts w:ascii="宋体" w:hAnsi="宋体" w:eastAsia="宋体"/>
          <w:b/>
          <w:bCs/>
          <w:szCs w:val="21"/>
          <w:lang w:eastAsia="zh-CN"/>
        </w:rPr>
        <w:sectPr>
          <w:headerReference r:id="rId4" w:type="first"/>
          <w:headerReference r:id="rId3" w:type="default"/>
          <w:footerReference r:id="rId5" w:type="default"/>
          <w:footerReference r:id="rId6" w:type="even"/>
          <w:pgSz w:w="11907" w:h="16840"/>
          <w:pgMar w:top="1361" w:right="1417" w:bottom="1417" w:left="1417" w:header="851" w:footer="992" w:gutter="0"/>
          <w:cols w:space="425" w:num="1"/>
          <w:titlePg/>
          <w:docGrid w:linePitch="462" w:charSpace="0"/>
        </w:sectPr>
      </w:pPr>
    </w:p>
    <w:p w14:paraId="7258380F">
      <w:pPr>
        <w:pBdr>
          <w:top w:val="none" w:color="auto" w:sz="0" w:space="0"/>
          <w:left w:val="single" w:color="DDDDDD" w:sz="6" w:space="0"/>
          <w:bottom w:val="none" w:color="auto" w:sz="0" w:space="0"/>
          <w:right w:val="single" w:color="DDDDDD" w:sz="6" w:space="0"/>
        </w:pBdr>
        <w:spacing w:before="0" w:after="0" w:line="648" w:lineRule="atLeast"/>
        <w:ind w:left="15" w:right="15"/>
        <w:jc w:val="center"/>
        <w:outlineLvl w:val="0"/>
        <w:rPr>
          <w:rFonts w:ascii="仿宋" w:hAnsi="仿宋" w:eastAsia="仿宋" w:cs="仿宋"/>
          <w:b/>
          <w:bCs/>
          <w:color w:val="000000"/>
          <w:sz w:val="48"/>
          <w:szCs w:val="48"/>
          <w:lang w:val="en" w:eastAsia="en"/>
        </w:rPr>
      </w:pPr>
      <w:r>
        <w:rPr>
          <w:rFonts w:ascii="仿宋" w:hAnsi="仿宋" w:eastAsia="仿宋" w:cs="仿宋"/>
          <w:b/>
          <w:bCs/>
          <w:color w:val="000000"/>
          <w:sz w:val="48"/>
          <w:szCs w:val="48"/>
          <w:lang w:val="en" w:eastAsia="en"/>
        </w:rPr>
        <w:t>投标文件格式</w:t>
      </w:r>
    </w:p>
    <w:p w14:paraId="21F6AFD6">
      <w:pPr>
        <w:pBdr>
          <w:top w:val="none" w:color="auto" w:sz="0" w:space="0"/>
          <w:left w:val="none" w:color="auto" w:sz="0" w:space="0"/>
          <w:bottom w:val="none" w:color="auto" w:sz="0" w:space="0"/>
          <w:right w:val="none" w:color="auto" w:sz="0" w:space="0"/>
        </w:pBdr>
        <w:spacing w:before="0" w:after="0" w:line="504" w:lineRule="atLeast"/>
        <w:ind w:left="15" w:right="15"/>
        <w:jc w:val="center"/>
        <w:rPr>
          <w:rFonts w:ascii="仿宋" w:hAnsi="仿宋" w:eastAsia="仿宋" w:cs="仿宋"/>
          <w:b/>
          <w:bCs/>
          <w:color w:val="333333"/>
          <w:sz w:val="28"/>
          <w:szCs w:val="28"/>
          <w:lang w:val="en" w:eastAsia="en"/>
        </w:rPr>
      </w:pPr>
      <w:r>
        <w:rPr>
          <w:rFonts w:ascii="仿宋" w:hAnsi="仿宋" w:eastAsia="仿宋" w:cs="仿宋"/>
          <w:b/>
          <w:bCs/>
          <w:color w:val="333333"/>
          <w:sz w:val="28"/>
          <w:szCs w:val="28"/>
          <w:lang w:val="en" w:eastAsia="en"/>
        </w:rPr>
        <w:t>市急救中心综合楼及园区公共部分气体消防设备检测维护项目</w:t>
      </w:r>
    </w:p>
    <w:tbl>
      <w:tblPr>
        <w:tblStyle w:val="32"/>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644"/>
        <w:gridCol w:w="7492"/>
      </w:tblGrid>
      <w:tr w14:paraId="3AEE0EFD">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Header/>
        </w:trPr>
        <w:tc>
          <w:tcPr>
            <w:tcW w:w="9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5BE8AC6A">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41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417CC1FF">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文件夹/文件名称</w:t>
            </w:r>
          </w:p>
        </w:tc>
      </w:tr>
      <w:tr w14:paraId="334154C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576EA7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2F80AC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投标函</w:t>
            </w:r>
          </w:p>
        </w:tc>
      </w:tr>
      <w:tr w14:paraId="5AC5B7E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B276E5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EC2822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采购投标及履约承诺函</w:t>
            </w:r>
          </w:p>
        </w:tc>
      </w:tr>
      <w:tr w14:paraId="3177CFA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D59D24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C1F949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投标人情况及资格证明文件</w:t>
            </w:r>
          </w:p>
        </w:tc>
      </w:tr>
      <w:tr w14:paraId="2EE61134">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E64D1D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B46589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项目详细报价</w:t>
            </w:r>
          </w:p>
        </w:tc>
      </w:tr>
      <w:tr w14:paraId="266C4CA8">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843F05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9F5B58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供应商基本情况表（须加盖投标单位公章）</w:t>
            </w:r>
          </w:p>
        </w:tc>
      </w:tr>
      <w:tr w14:paraId="5526B648">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54FC5FF">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165DA6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法定代表人（负责人）证明书</w:t>
            </w:r>
          </w:p>
        </w:tc>
      </w:tr>
      <w:tr w14:paraId="17C07D85">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902946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C54BB1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投标文件签署授权委托书</w:t>
            </w:r>
          </w:p>
        </w:tc>
      </w:tr>
      <w:tr w14:paraId="5F372251">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FDFAE7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F4BD811">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实质性条款响应情况表</w:t>
            </w:r>
          </w:p>
        </w:tc>
      </w:tr>
      <w:tr w14:paraId="73C3E3D4">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C9338F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9</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2A650D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实施方案（格式自定）</w:t>
            </w:r>
          </w:p>
        </w:tc>
      </w:tr>
      <w:tr w14:paraId="5639FC3C">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1C2AB6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981C40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项目重点难点分析、应对措施及相关的合理化建议（格式自定）</w:t>
            </w:r>
          </w:p>
        </w:tc>
      </w:tr>
      <w:tr w14:paraId="296C6C02">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1F84E4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967EE0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质量（完成时间、安全、环保）保障措施及方案（格式自定）</w:t>
            </w:r>
          </w:p>
        </w:tc>
      </w:tr>
      <w:tr w14:paraId="662B7508">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D7AAB5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42C521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项目完成（服务期满）后的服务承诺（格式自定）</w:t>
            </w:r>
          </w:p>
        </w:tc>
      </w:tr>
      <w:tr w14:paraId="7F978D0F">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56342F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73F6B3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供应商认证情况（格式自定）</w:t>
            </w:r>
          </w:p>
        </w:tc>
      </w:tr>
      <w:tr w14:paraId="737099A1">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AE61B0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1EAE3F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供应商同类项目业绩情况（格式自定）</w:t>
            </w:r>
          </w:p>
        </w:tc>
      </w:tr>
      <w:tr w14:paraId="5D61F154">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9368F9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B4044F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投标人认为需要加以说明的其他内容</w:t>
            </w:r>
          </w:p>
        </w:tc>
      </w:tr>
    </w:tbl>
    <w:p w14:paraId="6F332866">
      <w:pPr>
        <w:pBdr>
          <w:top w:val="none" w:color="auto" w:sz="0" w:space="0"/>
          <w:left w:val="none" w:color="auto" w:sz="0" w:space="0"/>
          <w:bottom w:val="none" w:color="auto" w:sz="0" w:space="0"/>
          <w:right w:val="none" w:color="auto" w:sz="0" w:space="0"/>
        </w:pBdr>
        <w:spacing w:line="432" w:lineRule="atLeast"/>
        <w:rPr>
          <w:rFonts w:ascii="仿宋" w:hAnsi="仿宋" w:eastAsia="仿宋" w:cs="仿宋"/>
          <w:b/>
          <w:bCs/>
          <w:color w:val="333333"/>
          <w:lang w:val="en" w:eastAsia="en"/>
        </w:rPr>
        <w:sectPr>
          <w:pgMar w:top="1440" w:right="1800" w:bottom="1440" w:left="1800" w:header="708" w:footer="708" w:gutter="0"/>
          <w:cols w:space="708" w:num="1"/>
        </w:sectPr>
      </w:pPr>
    </w:p>
    <w:p w14:paraId="137A0987">
      <w:pPr>
        <w:pBdr>
          <w:top w:val="none" w:color="auto" w:sz="0" w:space="0"/>
          <w:left w:val="single" w:color="DDDDDD" w:sz="6" w:space="0"/>
          <w:bottom w:val="none" w:color="auto" w:sz="0" w:space="0"/>
          <w:right w:val="single" w:color="DDDDDD" w:sz="6" w:space="0"/>
        </w:pBdr>
        <w:spacing w:before="0" w:after="0" w:line="648" w:lineRule="atLeast"/>
        <w:ind w:left="15" w:right="15"/>
        <w:jc w:val="center"/>
        <w:outlineLvl w:val="0"/>
        <w:rPr>
          <w:rFonts w:ascii="仿宋" w:hAnsi="仿宋" w:eastAsia="仿宋" w:cs="仿宋"/>
          <w:b/>
          <w:bCs/>
          <w:color w:val="000000"/>
          <w:sz w:val="48"/>
          <w:szCs w:val="48"/>
          <w:lang w:val="en" w:eastAsia="en"/>
        </w:rPr>
      </w:pPr>
      <w:r>
        <w:rPr>
          <w:rFonts w:ascii="仿宋" w:hAnsi="仿宋" w:eastAsia="仿宋" w:cs="仿宋"/>
          <w:b/>
          <w:bCs/>
          <w:color w:val="000000"/>
          <w:sz w:val="48"/>
          <w:szCs w:val="48"/>
          <w:lang w:val="en" w:eastAsia="en"/>
        </w:rPr>
        <w:t>评标办法附表</w:t>
      </w:r>
    </w:p>
    <w:p w14:paraId="48D50A83">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1.标段基本信息</w:t>
      </w:r>
    </w:p>
    <w:p w14:paraId="02122AD8">
      <w:pPr>
        <w:pBdr>
          <w:top w:val="none" w:color="auto" w:sz="0" w:space="0"/>
          <w:left w:val="none" w:color="auto" w:sz="0" w:space="0"/>
          <w:bottom w:val="none" w:color="auto" w:sz="0" w:space="0"/>
          <w:right w:val="none" w:color="auto" w:sz="0" w:space="0"/>
        </w:pBdr>
        <w:spacing w:after="0" w:line="432" w:lineRule="atLeast"/>
        <w:ind w:left="15" w:right="15"/>
        <w:rPr>
          <w:rFonts w:ascii="仿宋" w:hAnsi="仿宋" w:eastAsia="仿宋" w:cs="仿宋"/>
          <w:color w:val="333333"/>
          <w:lang w:val="en" w:eastAsia="en"/>
        </w:rPr>
      </w:pPr>
      <w:r>
        <w:rPr>
          <w:rFonts w:ascii="仿宋" w:hAnsi="仿宋" w:eastAsia="仿宋" w:cs="仿宋"/>
          <w:color w:val="333333"/>
          <w:lang w:val="en" w:eastAsia="en"/>
        </w:rPr>
        <w:t>标段编号：</w:t>
      </w:r>
      <w:r>
        <w:rPr>
          <w:rFonts w:ascii="微软雅黑" w:hAnsi="微软雅黑" w:eastAsia="微软雅黑" w:cs="微软雅黑"/>
          <w:color w:val="333333"/>
          <w:lang w:val="en" w:eastAsia="en"/>
        </w:rPr>
        <w:t xml:space="preserve"> </w:t>
      </w:r>
      <w:r>
        <w:rPr>
          <w:rFonts w:ascii="仿宋" w:hAnsi="仿宋" w:eastAsia="仿宋" w:cs="仿宋"/>
          <w:color w:val="333333"/>
          <w:u w:val="single" w:color="333333"/>
          <w:lang w:val="en" w:eastAsia="en"/>
        </w:rPr>
        <w:t>SZZXCG-2025-00327-001</w:t>
      </w:r>
      <w:r>
        <w:rPr>
          <w:rFonts w:ascii="仿宋" w:hAnsi="仿宋" w:eastAsia="仿宋" w:cs="仿宋"/>
          <w:color w:val="333333"/>
          <w:u w:val="single" w:color="333333"/>
          <w:lang w:val="en" w:eastAsia="en"/>
        </w:rPr>
        <w:br w:type="textWrapping"/>
      </w:r>
      <w:r>
        <w:rPr>
          <w:rFonts w:ascii="仿宋" w:hAnsi="仿宋" w:eastAsia="仿宋" w:cs="仿宋"/>
          <w:color w:val="333333"/>
          <w:lang w:val="en" w:eastAsia="en"/>
        </w:rPr>
        <w:t>标段名称：</w:t>
      </w:r>
      <w:r>
        <w:rPr>
          <w:rFonts w:ascii="微软雅黑" w:hAnsi="微软雅黑" w:eastAsia="微软雅黑" w:cs="微软雅黑"/>
          <w:color w:val="333333"/>
          <w:lang w:val="en" w:eastAsia="en"/>
        </w:rPr>
        <w:t xml:space="preserve"> </w:t>
      </w:r>
      <w:r>
        <w:rPr>
          <w:rFonts w:ascii="仿宋" w:hAnsi="仿宋" w:eastAsia="仿宋" w:cs="仿宋"/>
          <w:color w:val="333333"/>
          <w:u w:val="single" w:color="333333"/>
          <w:lang w:val="en" w:eastAsia="en"/>
        </w:rPr>
        <w:t>市急救中心综合楼及园区公共部分气体消防设备检测维护项目</w:t>
      </w:r>
      <w:r>
        <w:rPr>
          <w:rFonts w:ascii="仿宋" w:hAnsi="仿宋" w:eastAsia="仿宋" w:cs="仿宋"/>
          <w:color w:val="333333"/>
          <w:u w:val="single" w:color="333333"/>
          <w:lang w:val="en" w:eastAsia="en"/>
        </w:rPr>
        <w:br w:type="textWrapping"/>
      </w:r>
    </w:p>
    <w:p w14:paraId="6B45C4E8">
      <w:pPr>
        <w:keepLines/>
        <w:pBdr>
          <w:top w:val="none" w:color="auto" w:sz="0" w:space="0"/>
          <w:left w:val="none" w:color="auto" w:sz="0" w:space="0"/>
          <w:bottom w:val="none" w:color="auto" w:sz="0" w:space="0"/>
          <w:right w:val="none" w:color="auto" w:sz="0" w:space="0"/>
        </w:pBdr>
        <w:spacing w:before="0" w:after="0" w:line="432" w:lineRule="atLeast"/>
        <w:ind w:left="15" w:right="15"/>
        <w:rPr>
          <w:rFonts w:ascii="微软雅黑" w:hAnsi="微软雅黑" w:eastAsia="微软雅黑" w:cs="微软雅黑"/>
          <w:color w:val="333333"/>
          <w:lang w:val="en" w:eastAsia="en"/>
        </w:rPr>
      </w:pPr>
    </w:p>
    <w:p w14:paraId="30C0BDE5">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2.入围参数</w:t>
      </w:r>
    </w:p>
    <w:p w14:paraId="758C71C3">
      <w:pPr>
        <w:keepLines/>
        <w:pBdr>
          <w:top w:val="none" w:color="auto" w:sz="0" w:space="0"/>
          <w:left w:val="none" w:color="auto" w:sz="0" w:space="0"/>
          <w:bottom w:val="none" w:color="auto" w:sz="0" w:space="0"/>
          <w:right w:val="none" w:color="auto" w:sz="0" w:space="0"/>
        </w:pBdr>
        <w:spacing w:before="0" w:after="0" w:line="432" w:lineRule="atLeast"/>
        <w:ind w:left="15" w:right="15"/>
        <w:rPr>
          <w:rFonts w:ascii="微软雅黑" w:hAnsi="微软雅黑" w:eastAsia="微软雅黑" w:cs="微软雅黑"/>
          <w:color w:val="333333"/>
          <w:lang w:val="en" w:eastAsia="en"/>
        </w:rPr>
      </w:pPr>
      <w:r>
        <w:rPr>
          <w:rFonts w:ascii="仿宋" w:hAnsi="仿宋" w:eastAsia="仿宋" w:cs="仿宋"/>
          <w:color w:val="333333"/>
          <w:lang w:val="en" w:eastAsia="en"/>
        </w:rPr>
        <w:t>是否过多投标人淘汰：</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否</w:t>
      </w:r>
    </w:p>
    <w:p w14:paraId="63CA325B">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3.评审步骤</w:t>
      </w:r>
    </w:p>
    <w:tbl>
      <w:tblPr>
        <w:tblStyle w:val="40"/>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142"/>
        <w:gridCol w:w="6852"/>
        <w:gridCol w:w="1142"/>
      </w:tblGrid>
      <w:tr w14:paraId="0B7BB33E">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56BE02FE">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30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0487DAB9">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评审步骤</w:t>
            </w:r>
          </w:p>
        </w:tc>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34941BEC">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分值</w:t>
            </w:r>
          </w:p>
        </w:tc>
      </w:tr>
      <w:tr w14:paraId="71C44522">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4F818B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9E5B45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资格性审查</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31714E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170AA974">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34B3D6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33DD3C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符合性审查</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165582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5EF7B96E">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8BD706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C0C66D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详细评审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4AF47A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70</w:t>
            </w:r>
          </w:p>
        </w:tc>
      </w:tr>
      <w:tr w14:paraId="11830F4E">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F017BA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29C4ED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报价修正</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D520D4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299EAE24">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D21888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8B1E41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价格评审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4C1E01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30</w:t>
            </w:r>
          </w:p>
        </w:tc>
      </w:tr>
      <w:tr w14:paraId="1194A598">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4D12F0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6398CC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综合评分</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E9A3AC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7AC801D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8A7F5CF">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AE95FE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推荐中标候选人</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2CB415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bl>
    <w:p w14:paraId="18845A1C">
      <w:pPr>
        <w:pBdr>
          <w:top w:val="none" w:color="auto" w:sz="0" w:space="0"/>
          <w:left w:val="none" w:color="auto" w:sz="0" w:space="0"/>
          <w:bottom w:val="none" w:color="auto" w:sz="0" w:space="0"/>
          <w:right w:val="none" w:color="auto" w:sz="0" w:space="0"/>
        </w:pBdr>
        <w:spacing w:after="0" w:line="432" w:lineRule="atLeast"/>
        <w:ind w:left="15" w:right="15"/>
        <w:rPr>
          <w:rFonts w:ascii="微软雅黑" w:hAnsi="微软雅黑" w:eastAsia="微软雅黑" w:cs="微软雅黑"/>
          <w:color w:val="333333"/>
          <w:lang w:val="en" w:eastAsia="en"/>
        </w:rPr>
      </w:pPr>
    </w:p>
    <w:p w14:paraId="0FE6D7A1">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4.评审条款</w:t>
      </w:r>
    </w:p>
    <w:p w14:paraId="3A717C1F">
      <w:pPr>
        <w:pBdr>
          <w:top w:val="none" w:color="auto" w:sz="0" w:space="0"/>
          <w:left w:val="none" w:color="auto" w:sz="0" w:space="0"/>
          <w:bottom w:val="none" w:color="auto" w:sz="0" w:space="0"/>
          <w:right w:val="none" w:color="auto" w:sz="0" w:space="0"/>
        </w:pBdr>
        <w:spacing w:line="432" w:lineRule="atLeast"/>
        <w:ind w:left="15" w:right="15"/>
        <w:rPr>
          <w:rFonts w:ascii="仿宋" w:hAnsi="仿宋" w:eastAsia="仿宋" w:cs="仿宋"/>
          <w:color w:val="333333"/>
          <w:lang w:val="en" w:eastAsia="en"/>
        </w:rPr>
      </w:pPr>
      <w:r>
        <w:rPr>
          <w:rFonts w:ascii="仿宋" w:hAnsi="仿宋" w:eastAsia="仿宋" w:cs="仿宋"/>
          <w:color w:val="333333"/>
          <w:lang w:val="en" w:eastAsia="en"/>
        </w:rPr>
        <w:t>中标候选人：</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委托评标委员会直接定标</w:t>
      </w:r>
      <w:r>
        <w:rPr>
          <w:rFonts w:ascii="仿宋" w:hAnsi="仿宋" w:eastAsia="仿宋" w:cs="仿宋"/>
          <w:color w:val="333333"/>
          <w:lang w:val="en" w:eastAsia="en"/>
        </w:rPr>
        <w:br w:type="textWrapping"/>
      </w:r>
      <w:r>
        <w:rPr>
          <w:rFonts w:ascii="仿宋" w:hAnsi="仿宋" w:eastAsia="仿宋" w:cs="仿宋"/>
          <w:color w:val="333333"/>
          <w:lang w:val="en" w:eastAsia="en"/>
        </w:rPr>
        <w:br w:type="textWrapping"/>
      </w:r>
      <w:r>
        <w:rPr>
          <w:rFonts w:ascii="仿宋" w:hAnsi="仿宋" w:eastAsia="仿宋" w:cs="仿宋"/>
          <w:b/>
          <w:bCs/>
          <w:color w:val="000000"/>
          <w:lang w:val="en" w:eastAsia="en"/>
        </w:rPr>
        <w:t>4.1 资格性审查</w:t>
      </w:r>
      <w:r>
        <w:rPr>
          <w:rFonts w:ascii="仿宋" w:hAnsi="仿宋" w:eastAsia="仿宋" w:cs="仿宋"/>
          <w:b/>
          <w:bCs/>
          <w:color w:val="000000"/>
          <w:lang w:val="en" w:eastAsia="en"/>
        </w:rPr>
        <w:br w:type="textWrapping"/>
      </w:r>
      <w:r>
        <w:rPr>
          <w:rFonts w:ascii="仿宋" w:hAnsi="仿宋" w:eastAsia="仿宋" w:cs="仿宋"/>
          <w:color w:val="333333"/>
          <w:lang w:val="en" w:eastAsia="en"/>
        </w:rPr>
        <w:t>汇总规则：</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按分项自动汇总并发起否决投标</w:t>
      </w:r>
      <w:r>
        <w:rPr>
          <w:rFonts w:ascii="微软雅黑" w:hAnsi="微软雅黑" w:eastAsia="微软雅黑" w:cs="微软雅黑"/>
          <w:color w:val="333333"/>
          <w:lang w:val="en" w:eastAsia="en"/>
        </w:rPr>
        <w:t xml:space="preserve"> </w:t>
      </w:r>
    </w:p>
    <w:tbl>
      <w:tblPr>
        <w:tblStyle w:val="40"/>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612"/>
        <w:gridCol w:w="3762"/>
        <w:gridCol w:w="3762"/>
      </w:tblGrid>
      <w:tr w14:paraId="46332A52">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41511253">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4D97ED5A">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评审要素</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1ABA131C">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评审标准</w:t>
            </w:r>
          </w:p>
        </w:tc>
      </w:tr>
      <w:tr w14:paraId="66EDD91B">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29E9C8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63EEEE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资质要求</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37B539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1.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r>
              <w:rPr>
                <w:rFonts w:ascii="仿宋" w:hAnsi="仿宋" w:eastAsia="仿宋" w:cs="仿宋"/>
                <w:color w:val="666666"/>
                <w:lang w:val="en" w:eastAsia="en"/>
              </w:rPr>
              <w:br w:type="textWrapping"/>
            </w:r>
            <w:r>
              <w:rPr>
                <w:rFonts w:ascii="仿宋" w:hAnsi="仿宋" w:eastAsia="仿宋" w:cs="仿宋"/>
                <w:color w:val="666666"/>
                <w:lang w:val="en" w:eastAsia="en"/>
              </w:rPr>
              <w:t>2.本项目不接受联合体投标，不接受投标人选用进口产品参与投标（由供应商在《采购投标及履约承诺函》中作出声明）；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3.参与本项目采购活动时不存在被有关部门禁止参与政府采购活动且在有效期内的情况（由供应商在《采购投标及履约承诺函》中作出声明）；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4.具备《中华人民共和国政府采购法》第二十二条第一款的条件（由供应商在《采购投标及履约承诺函》中作出声明）；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5.未被列入失信被执行人、重大税收违法案件当事人名单、政府采购严重违法失信行为记录名单（由供应商在《采购投标及履约承诺函》中作出声明）；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6.不存在《深圳市财政局政府采购供应商信用信息管理办法》（深财规〔2023〕3号）列明的严重违法失信行为（由供应商在《采购投标及履约承诺函》中作出声明）；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7.为采购项目提供整体设计、规范编制或者项目管理、监理、检测等服务的供应商，不得再参加该采购项目的其他采购活动（由供应商在《采购投标及履约承诺函》中作出声明）；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采购活动（由供应商提供《供应商基本情况表》并加盖公章扫描件）。</w:t>
            </w:r>
            <w:r>
              <w:rPr>
                <w:rFonts w:ascii="仿宋" w:hAnsi="仿宋" w:eastAsia="仿宋" w:cs="仿宋"/>
                <w:color w:val="666666"/>
                <w:lang w:val="en" w:eastAsia="en"/>
              </w:rPr>
              <w:br w:type="textWrapping"/>
            </w:r>
            <w:r>
              <w:rPr>
                <w:rFonts w:ascii="仿宋" w:hAnsi="仿宋" w:eastAsia="仿宋" w:cs="仿宋"/>
                <w:color w:val="666666"/>
                <w:lang w:val="en" w:eastAsia="en"/>
              </w:rPr>
              <w:t>9.本项目为非专门面向中小企业采购项目。</w:t>
            </w:r>
            <w:r>
              <w:rPr>
                <w:rFonts w:ascii="仿宋" w:hAnsi="仿宋" w:eastAsia="仿宋" w:cs="仿宋"/>
                <w:color w:val="666666"/>
                <w:lang w:val="en" w:eastAsia="en"/>
              </w:rPr>
              <w:br w:type="textWrapping"/>
            </w:r>
            <w:r>
              <w:rPr>
                <w:rFonts w:ascii="仿宋" w:hAnsi="仿宋" w:eastAsia="仿宋" w:cs="仿宋"/>
                <w:color w:val="666666"/>
                <w:lang w:val="en" w:eastAsia="en"/>
              </w:rPr>
              <w:t>10.供应商具有行政主管部门核准颁发的《中华人民共和国特种设备检验检测机构核准证》，检测范围包含：PD1（无缝气瓶检测）和PD2（焊接气瓶检测）（提供对应证书扫描件）。</w:t>
            </w:r>
          </w:p>
        </w:tc>
      </w:tr>
    </w:tbl>
    <w:p w14:paraId="7C23481D">
      <w:pPr>
        <w:pBdr>
          <w:top w:val="none" w:color="auto" w:sz="0" w:space="0"/>
          <w:left w:val="none" w:color="auto" w:sz="0" w:space="0"/>
          <w:bottom w:val="none" w:color="auto" w:sz="0" w:space="0"/>
          <w:right w:val="none" w:color="auto" w:sz="0" w:space="0"/>
        </w:pBdr>
        <w:spacing w:line="240" w:lineRule="atLeast"/>
        <w:ind w:left="15" w:right="15"/>
        <w:rPr>
          <w:rFonts w:ascii="仿宋" w:hAnsi="仿宋" w:eastAsia="仿宋" w:cs="仿宋"/>
          <w:b/>
          <w:bCs/>
          <w:color w:val="000000"/>
          <w:lang w:val="en" w:eastAsia="en"/>
        </w:rPr>
      </w:pPr>
      <w:r>
        <w:rPr>
          <w:rFonts w:ascii="仿宋" w:hAnsi="仿宋" w:eastAsia="仿宋" w:cs="仿宋"/>
          <w:b/>
          <w:bCs/>
          <w:color w:val="000000"/>
          <w:lang w:val="en" w:eastAsia="en"/>
        </w:rPr>
        <w:t>4.2 符合性审查</w:t>
      </w:r>
      <w:r>
        <w:rPr>
          <w:rFonts w:ascii="仿宋" w:hAnsi="仿宋" w:eastAsia="仿宋" w:cs="仿宋"/>
          <w:b/>
          <w:bCs/>
          <w:color w:val="000000"/>
          <w:lang w:val="en" w:eastAsia="en"/>
        </w:rPr>
        <w:br w:type="textWrapping"/>
      </w:r>
      <w:r>
        <w:rPr>
          <w:rFonts w:ascii="仿宋" w:hAnsi="仿宋" w:eastAsia="仿宋" w:cs="仿宋"/>
          <w:color w:val="333333"/>
          <w:lang w:val="en" w:eastAsia="en"/>
        </w:rPr>
        <w:t>汇总规则：</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按分项自动汇总并发起否决投标</w:t>
      </w:r>
      <w:r>
        <w:rPr>
          <w:rFonts w:ascii="微软雅黑" w:hAnsi="微软雅黑" w:eastAsia="微软雅黑" w:cs="微软雅黑"/>
          <w:color w:val="333333"/>
          <w:lang w:val="en" w:eastAsia="en"/>
        </w:rPr>
        <w:t xml:space="preserve"> </w:t>
      </w:r>
    </w:p>
    <w:tbl>
      <w:tblPr>
        <w:tblStyle w:val="40"/>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612"/>
        <w:gridCol w:w="3762"/>
        <w:gridCol w:w="3762"/>
      </w:tblGrid>
      <w:tr w14:paraId="3098784E">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55A40CCC">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3EB0AF6F">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评审要素</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5E321D26">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评审标准</w:t>
            </w:r>
          </w:p>
        </w:tc>
      </w:tr>
      <w:tr w14:paraId="354BDB17">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61D53F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898117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不得将一个包内容拆开投标；</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B8019B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不得将一个包内容拆开投标；</w:t>
            </w:r>
          </w:p>
        </w:tc>
      </w:tr>
      <w:tr w14:paraId="09F7D7F2">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DE48D1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7BC275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对同一项目投标时，不得提供两套以上的投标方案（招标文件另有规定的除外）；</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9DB90C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对同一项目投标时，不得提供两套以上的投标方案（招标文件另有规定的除外）；</w:t>
            </w:r>
          </w:p>
        </w:tc>
      </w:tr>
      <w:tr w14:paraId="3B84DCFD">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47B43C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6242F4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分项报价或投标总价不得高于相应预算金额（或设定的预算金额下的最高限价）；</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612661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分项报价或投标总价不得高于相应预算金额（或设定的预算金额下的最高限价）；</w:t>
            </w:r>
          </w:p>
        </w:tc>
      </w:tr>
      <w:tr w14:paraId="4205AD8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516BDF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15377A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2A80F9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6882B74E">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52EAA1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17D8E5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7091C0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17FE76C5">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2F7FD5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A68B9B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未按招标文件所提供的样式填写《投标函》；未按招标文件所提供的《采购投标及履约承诺函》进行承诺；未按招标文件对投标文件组成的要求提供投标文件；</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F65E3B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未按招标文件所提供的样式填写《投标函》；未按招标文件所提供的《采购投标及履约承诺函》进行承诺；未按招标文件对投标文件组成的要求提供投标文件；</w:t>
            </w:r>
          </w:p>
        </w:tc>
      </w:tr>
      <w:tr w14:paraId="454D54D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6DFCAB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114B8D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采购标的/服务清单/报价等任意一类有缺漏项或响应不全，或者对招标文件规定的项目需求内容或者需求数量进行修改，评审委员会判定投标响应不满足采购需求；</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48112E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采购标的/服务清单/报价等任意一类有缺漏项或响应不全，或者对招标文件规定的项目需求内容或者需求数量进行修改，评审委员会判定投标响应不满足采购需求；</w:t>
            </w:r>
          </w:p>
        </w:tc>
      </w:tr>
      <w:tr w14:paraId="6B8D7E0D">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2F41FD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256C5C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投标文件电子文档不得带病毒；</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7B2285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投标文件电子文档不得带病毒；</w:t>
            </w:r>
          </w:p>
        </w:tc>
      </w:tr>
      <w:tr w14:paraId="797197D5">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D19793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9</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608D6D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投标文件用不属于本公司的电子密钥进行加密；</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ED72BF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投标文件用不属于本公司的电子密钥进行加密；</w:t>
            </w:r>
          </w:p>
        </w:tc>
      </w:tr>
      <w:tr w14:paraId="407A4F8F">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338E2B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20F605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法律、法规、规章、规范性文件规定的其他情形。</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57D72F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法律、法规、规章、规范性文件规定的其他情形。</w:t>
            </w:r>
          </w:p>
        </w:tc>
      </w:tr>
    </w:tbl>
    <w:p w14:paraId="4C760EF2">
      <w:pPr>
        <w:pBdr>
          <w:top w:val="none" w:color="auto" w:sz="0" w:space="0"/>
          <w:left w:val="none" w:color="auto" w:sz="0" w:space="0"/>
          <w:bottom w:val="none" w:color="auto" w:sz="0" w:space="0"/>
          <w:right w:val="none" w:color="auto" w:sz="0" w:space="0"/>
        </w:pBdr>
        <w:spacing w:line="240" w:lineRule="atLeast"/>
        <w:ind w:left="15" w:right="15"/>
        <w:rPr>
          <w:rFonts w:ascii="仿宋" w:hAnsi="仿宋" w:eastAsia="仿宋" w:cs="仿宋"/>
          <w:b/>
          <w:bCs/>
          <w:color w:val="000000"/>
          <w:lang w:val="en" w:eastAsia="en"/>
        </w:rPr>
      </w:pPr>
      <w:r>
        <w:rPr>
          <w:rFonts w:ascii="仿宋" w:hAnsi="仿宋" w:eastAsia="仿宋" w:cs="仿宋"/>
          <w:b/>
          <w:bCs/>
          <w:color w:val="000000"/>
          <w:lang w:val="en" w:eastAsia="en"/>
        </w:rPr>
        <w:t>4.3 详细评审</w:t>
      </w:r>
      <w:r>
        <w:rPr>
          <w:rFonts w:ascii="仿宋" w:hAnsi="仿宋" w:eastAsia="仿宋" w:cs="仿宋"/>
          <w:b/>
          <w:bCs/>
          <w:color w:val="000000"/>
          <w:lang w:val="en" w:eastAsia="en"/>
        </w:rPr>
        <w:br w:type="textWrapping"/>
      </w:r>
      <w:r>
        <w:rPr>
          <w:rFonts w:ascii="仿宋" w:hAnsi="仿宋" w:eastAsia="仿宋" w:cs="仿宋"/>
          <w:color w:val="333333"/>
          <w:lang w:val="en" w:eastAsia="en"/>
        </w:rPr>
        <w:t>汇总规则：</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按评委打分直接平均</w:t>
      </w:r>
      <w:r>
        <w:rPr>
          <w:rFonts w:ascii="微软雅黑" w:hAnsi="微软雅黑" w:eastAsia="微软雅黑" w:cs="微软雅黑"/>
          <w:color w:val="333333"/>
          <w:lang w:val="en" w:eastAsia="en"/>
        </w:rPr>
        <w:t xml:space="preserve"> </w:t>
      </w:r>
    </w:p>
    <w:tbl>
      <w:tblPr>
        <w:tblStyle w:val="40"/>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913"/>
        <w:gridCol w:w="3289"/>
        <w:gridCol w:w="3289"/>
        <w:gridCol w:w="914"/>
        <w:gridCol w:w="731"/>
      </w:tblGrid>
      <w:tr w14:paraId="494995E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4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57EAA1CE">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18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35C7D202">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评审要素</w:t>
            </w:r>
          </w:p>
        </w:tc>
        <w:tc>
          <w:tcPr>
            <w:tcW w:w="18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41B1A797">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评审标准</w:t>
            </w:r>
          </w:p>
        </w:tc>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24DF0F20">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分值</w:t>
            </w:r>
          </w:p>
        </w:tc>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1E7C577A">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权重</w:t>
            </w:r>
          </w:p>
        </w:tc>
      </w:tr>
      <w:tr w14:paraId="038A48DF">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01CCAE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100705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实施方案</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85E5DF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实施方案</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2DF9FA8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5D48F92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15</w:t>
            </w:r>
          </w:p>
        </w:tc>
      </w:tr>
      <w:tr w14:paraId="69358756">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8BC1B0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24E3D2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项目重点难点分析、应对措施及相关的合理化建议</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729620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项目重点难点分析、应对措施及相关的合理化建议</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47E7516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2F5E9F3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15</w:t>
            </w:r>
          </w:p>
        </w:tc>
      </w:tr>
      <w:tr w14:paraId="03FEE608">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3E7899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5099E8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质量（完成时间、安全、环保）保障措施及方案</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946F47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质量（完成时间、安全、环保）保障措施及方案</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074E3A5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0EF34B2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r>
      <w:tr w14:paraId="173544FD">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B9F271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52F4E3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项目完成（服务期满）后的服务承诺</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6080F2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项目完成（服务期满）后的服务承诺</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3CCB031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078D59F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r>
      <w:tr w14:paraId="3C6E878E">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3DD2B1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C83A4F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供应商认证情况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E4FB42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供应商认证情况</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09124B1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58DAC6D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r>
      <w:tr w14:paraId="1A69E8F5">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B27305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E65ACC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供应商同类项目业绩情况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DD6F32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供应商同类项目业绩情况</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0DA02C2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5A373BF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r>
      <w:tr w14:paraId="63FFDA32">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F35E86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A4A0C3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诚信情况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928CD6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诚信情况</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4D2675E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14623FE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r>
    </w:tbl>
    <w:p w14:paraId="4A2CADFC">
      <w:pPr>
        <w:keepLines/>
        <w:pBdr>
          <w:top w:val="none" w:color="auto" w:sz="0" w:space="0"/>
          <w:left w:val="none" w:color="auto" w:sz="0" w:space="0"/>
          <w:bottom w:val="none" w:color="auto" w:sz="0" w:space="0"/>
          <w:right w:val="none" w:color="auto" w:sz="0" w:space="0"/>
        </w:pBdr>
        <w:spacing w:before="0" w:line="432" w:lineRule="atLeast"/>
        <w:ind w:left="15" w:right="15"/>
        <w:rPr>
          <w:rFonts w:ascii="微软雅黑" w:hAnsi="微软雅黑" w:eastAsia="微软雅黑" w:cs="微软雅黑"/>
          <w:color w:val="333333"/>
          <w:lang w:val="en" w:eastAsia="en"/>
        </w:rPr>
      </w:pPr>
      <w:r>
        <w:rPr>
          <w:rFonts w:ascii="仿宋" w:hAnsi="仿宋" w:eastAsia="仿宋" w:cs="仿宋"/>
          <w:b/>
          <w:bCs/>
          <w:color w:val="000000"/>
          <w:lang w:val="en" w:eastAsia="en"/>
        </w:rPr>
        <w:t>4.5 价格评审</w:t>
      </w:r>
      <w:r>
        <w:rPr>
          <w:rFonts w:ascii="微软雅黑" w:hAnsi="微软雅黑" w:eastAsia="微软雅黑" w:cs="微软雅黑"/>
          <w:color w:val="333333"/>
          <w:lang w:val="en" w:eastAsia="en"/>
        </w:rPr>
        <w:t xml:space="preserve"> </w:t>
      </w:r>
    </w:p>
    <w:p w14:paraId="38217D93">
      <w:pPr>
        <w:keepLines/>
        <w:pBdr>
          <w:top w:val="none" w:color="auto" w:sz="0" w:space="0"/>
          <w:left w:val="none" w:color="auto" w:sz="0" w:space="0"/>
          <w:bottom w:val="none" w:color="auto" w:sz="0" w:space="0"/>
          <w:right w:val="none" w:color="auto" w:sz="0" w:space="0"/>
        </w:pBdr>
        <w:spacing w:before="0" w:after="0" w:line="432" w:lineRule="atLeast"/>
        <w:ind w:left="15" w:right="15"/>
        <w:rPr>
          <w:rFonts w:ascii="微软雅黑" w:hAnsi="微软雅黑" w:eastAsia="微软雅黑" w:cs="微软雅黑"/>
          <w:color w:val="333333"/>
          <w:lang w:val="en" w:eastAsia="en"/>
        </w:rPr>
      </w:pPr>
      <w:r>
        <w:rPr>
          <w:rFonts w:ascii="仿宋" w:hAnsi="仿宋" w:eastAsia="仿宋" w:cs="仿宋"/>
          <w:color w:val="333333"/>
          <w:lang w:val="en" w:eastAsia="en"/>
        </w:rPr>
        <w:t>4.5.1 投标总价</w:t>
      </w:r>
      <w:r>
        <w:rPr>
          <w:rFonts w:ascii="仿宋" w:hAnsi="仿宋" w:eastAsia="仿宋" w:cs="仿宋"/>
          <w:color w:val="333333"/>
          <w:lang w:val="en" w:eastAsia="en"/>
        </w:rPr>
        <w:br w:type="textWrapping"/>
      </w:r>
      <w:r>
        <w:rPr>
          <w:rFonts w:ascii="仿宋" w:hAnsi="仿宋" w:eastAsia="仿宋" w:cs="仿宋"/>
          <w:color w:val="333333"/>
          <w:lang w:val="en" w:eastAsia="en"/>
        </w:rPr>
        <w:t>价格得分满分：</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30</w:t>
      </w:r>
      <w:r>
        <w:rPr>
          <w:rFonts w:ascii="仿宋" w:hAnsi="仿宋" w:eastAsia="仿宋" w:cs="仿宋"/>
          <w:color w:val="333333"/>
          <w:lang w:val="en" w:eastAsia="en"/>
        </w:rPr>
        <w:br w:type="textWrapping"/>
      </w:r>
      <w:r>
        <w:rPr>
          <w:rFonts w:ascii="仿宋" w:hAnsi="仿宋" w:eastAsia="仿宋" w:cs="仿宋"/>
          <w:color w:val="333333"/>
          <w:lang w:val="en" w:eastAsia="en"/>
        </w:rPr>
        <w:t>报价打分方式：</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自动算分（内插法）</w:t>
      </w:r>
      <w:r>
        <w:rPr>
          <w:rFonts w:ascii="仿宋" w:hAnsi="仿宋" w:eastAsia="仿宋" w:cs="仿宋"/>
          <w:color w:val="333333"/>
          <w:lang w:val="en" w:eastAsia="en"/>
        </w:rPr>
        <w:br w:type="textWrapping"/>
      </w:r>
      <w:r>
        <w:rPr>
          <w:rFonts w:ascii="仿宋" w:hAnsi="仿宋" w:eastAsia="仿宋" w:cs="仿宋"/>
          <w:color w:val="333333"/>
          <w:lang w:val="en" w:eastAsia="en"/>
        </w:rPr>
        <w:t>参与基准价计算范围的计算公式：全部投标报价</w:t>
      </w:r>
      <w:r>
        <w:rPr>
          <w:rFonts w:ascii="仿宋" w:hAnsi="仿宋" w:eastAsia="仿宋" w:cs="仿宋"/>
          <w:color w:val="333333"/>
          <w:lang w:val="en" w:eastAsia="en"/>
        </w:rPr>
        <w:br w:type="textWrapping"/>
      </w:r>
      <w:r>
        <w:rPr>
          <w:rFonts w:ascii="仿宋" w:hAnsi="仿宋" w:eastAsia="仿宋" w:cs="仿宋"/>
          <w:color w:val="333333"/>
          <w:lang w:val="en" w:eastAsia="en"/>
        </w:rPr>
        <w:t>评标价计算公式：评标价=投标函中的投标报价*价格扣除（上浮）比例：中小微企业（或监狱企业或残疾人福利性单位）价格扣除比例：10%；中小微联合体（协议合同金额占到联合体协议合同总金额30%以上）价格扣除比例：0%；失信供应商价格上浮比例：0%。</w:t>
      </w:r>
      <w:r>
        <w:rPr>
          <w:rFonts w:ascii="仿宋" w:hAnsi="仿宋" w:eastAsia="仿宋" w:cs="仿宋"/>
          <w:color w:val="333333"/>
          <w:lang w:val="en" w:eastAsia="en"/>
        </w:rPr>
        <w:br w:type="textWrapping"/>
      </w:r>
      <w:r>
        <w:rPr>
          <w:rFonts w:ascii="仿宋" w:hAnsi="仿宋" w:eastAsia="仿宋" w:cs="仿宋"/>
          <w:color w:val="333333"/>
          <w:lang w:val="en" w:eastAsia="en"/>
        </w:rPr>
        <w:t>基准价计算公式：基准价=最低评标价</w:t>
      </w:r>
      <w:r>
        <w:rPr>
          <w:rFonts w:ascii="仿宋" w:hAnsi="仿宋" w:eastAsia="仿宋" w:cs="仿宋"/>
          <w:color w:val="333333"/>
          <w:lang w:val="en" w:eastAsia="en"/>
        </w:rPr>
        <w:br w:type="textWrapping"/>
      </w:r>
      <w:r>
        <w:rPr>
          <w:rFonts w:ascii="仿宋" w:hAnsi="仿宋" w:eastAsia="仿宋" w:cs="仿宋"/>
          <w:color w:val="333333"/>
          <w:lang w:val="en" w:eastAsia="en"/>
        </w:rPr>
        <w:t>报价打分计算公式：得分=（基准价/评标价）*总分</w:t>
      </w:r>
    </w:p>
    <w:sectPr>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ˎ̥">
    <w:altName w:val="华文仿宋"/>
    <w:panose1 w:val="00000000000000000000"/>
    <w:charset w:val="00"/>
    <w:family w:val="roman"/>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9AACE">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CB9F9">
    <w:pPr>
      <w:pStyle w:val="10"/>
      <w:framePr w:wrap="around" w:vAnchor="text" w:hAnchor="margin" w:xAlign="center" w:y="1"/>
      <w:rPr>
        <w:rStyle w:val="16"/>
      </w:rPr>
    </w:pPr>
    <w:r>
      <w:rPr>
        <w:rStyle w:val="16"/>
      </w:rPr>
      <w:fldChar w:fldCharType="begin"/>
    </w:r>
    <w:r>
      <w:rPr>
        <w:rStyle w:val="16"/>
      </w:rPr>
      <w:instrText xml:space="preserve">PAGE  </w:instrText>
    </w:r>
    <w:r>
      <w:rPr>
        <w:rStyle w:val="16"/>
      </w:rPr>
      <w:fldChar w:fldCharType="separate"/>
    </w:r>
    <w:r>
      <w:rPr>
        <w:rStyle w:val="16"/>
      </w:rPr>
      <w:t>10</w:t>
    </w:r>
    <w:r>
      <w:rPr>
        <w:rStyle w:val="16"/>
      </w:rPr>
      <w:fldChar w:fldCharType="end"/>
    </w:r>
  </w:p>
  <w:p w14:paraId="154BB687">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FB5B0">
    <w:pPr>
      <w:pBdr>
        <w:top w:val="none" w:color="auto" w:sz="0" w:space="1"/>
        <w:left w:val="none" w:color="auto" w:sz="0" w:space="4"/>
        <w:bottom w:val="none" w:color="auto" w:sz="0" w:space="1"/>
        <w:right w:val="none" w:color="auto" w:sz="0" w:space="4"/>
      </w:pBdr>
      <w:tabs>
        <w:tab w:val="center" w:pos="4153"/>
        <w:tab w:val="right" w:pos="8306"/>
      </w:tabs>
      <w:snapToGrid w:val="0"/>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6925F">
    <w:pPr>
      <w:pStyle w:val="11"/>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BBF41D"/>
    <w:multiLevelType w:val="multilevel"/>
    <w:tmpl w:val="A7BBF41D"/>
    <w:lvl w:ilvl="0" w:tentative="0">
      <w:start w:val="2"/>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C8DD0360"/>
    <w:multiLevelType w:val="singleLevel"/>
    <w:tmpl w:val="C8DD0360"/>
    <w:lvl w:ilvl="0" w:tentative="0">
      <w:start w:val="2"/>
      <w:numFmt w:val="decimal"/>
      <w:suff w:val="nothing"/>
      <w:lvlText w:val="（%1）"/>
      <w:lvlJc w:val="left"/>
    </w:lvl>
  </w:abstractNum>
  <w:abstractNum w:abstractNumId="2">
    <w:nsid w:val="0000000B"/>
    <w:multiLevelType w:val="multilevel"/>
    <w:tmpl w:val="0000000B"/>
    <w:lvl w:ilvl="0" w:tentative="0">
      <w:start w:val="1"/>
      <w:numFmt w:val="japaneseCounting"/>
      <w:lvlText w:val="第%1章"/>
      <w:lvlJc w:val="left"/>
      <w:pPr>
        <w:ind w:left="1080" w:hanging="108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F540BA1"/>
    <w:multiLevelType w:val="multilevel"/>
    <w:tmpl w:val="7F540BA1"/>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3"/>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720"/>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A77B3E"/>
    <w:rsid w:val="00CA2A55"/>
    <w:rsid w:val="05C45FD3"/>
    <w:rsid w:val="0B910BCF"/>
    <w:rsid w:val="0C0568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3"/>
    <w:next w:val="1"/>
    <w:link w:val="23"/>
    <w:qFormat/>
    <w:uiPriority w:val="0"/>
    <w:pPr>
      <w:spacing w:before="340" w:after="330" w:line="360" w:lineRule="auto"/>
      <w:jc w:val="center"/>
      <w:outlineLvl w:val="0"/>
    </w:pPr>
    <w:rPr>
      <w:rFonts w:eastAsia="黑体"/>
      <w:kern w:val="44"/>
      <w:szCs w:val="44"/>
    </w:rPr>
  </w:style>
  <w:style w:type="paragraph" w:styleId="5">
    <w:name w:val="heading 2"/>
    <w:basedOn w:val="3"/>
    <w:next w:val="4"/>
    <w:link w:val="24"/>
    <w:qFormat/>
    <w:uiPriority w:val="0"/>
    <w:pPr>
      <w:adjustRightInd w:val="0"/>
      <w:jc w:val="center"/>
      <w:textAlignment w:val="baseline"/>
      <w:outlineLvl w:val="1"/>
    </w:pPr>
    <w:rPr>
      <w:kern w:val="0"/>
      <w:sz w:val="24"/>
      <w:szCs w:val="20"/>
    </w:rPr>
  </w:style>
  <w:style w:type="paragraph" w:styleId="3">
    <w:name w:val="heading 3"/>
    <w:basedOn w:val="4"/>
    <w:next w:val="1"/>
    <w:link w:val="22"/>
    <w:qFormat/>
    <w:uiPriority w:val="9"/>
    <w:pPr>
      <w:spacing w:before="260" w:after="260" w:line="240" w:lineRule="auto"/>
      <w:outlineLvl w:val="2"/>
    </w:pPr>
    <w:rPr>
      <w:rFonts w:ascii="宋体" w:hAnsi="宋体" w:eastAsia="宋体"/>
      <w:szCs w:val="32"/>
    </w:rPr>
  </w:style>
  <w:style w:type="paragraph" w:styleId="4">
    <w:name w:val="heading 4"/>
    <w:basedOn w:val="1"/>
    <w:next w:val="1"/>
    <w:link w:val="21"/>
    <w:qFormat/>
    <w:uiPriority w:val="9"/>
    <w:pPr>
      <w:keepNext/>
      <w:keepLines/>
      <w:widowControl w:val="0"/>
      <w:spacing w:before="280" w:after="290" w:line="376" w:lineRule="auto"/>
      <w:jc w:val="both"/>
      <w:outlineLvl w:val="3"/>
    </w:pPr>
    <w:rPr>
      <w:rFonts w:ascii="Arial" w:hAnsi="Arial" w:eastAsia="黑体"/>
      <w:b/>
      <w:bCs/>
      <w:kern w:val="2"/>
      <w:sz w:val="28"/>
      <w:szCs w:val="28"/>
      <w:lang w:eastAsia="zh-CN"/>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6">
    <w:name w:val="Normal Indent"/>
    <w:basedOn w:val="1"/>
    <w:link w:val="27"/>
    <w:qFormat/>
    <w:uiPriority w:val="0"/>
    <w:pPr>
      <w:widowControl w:val="0"/>
      <w:ind w:firstLine="420"/>
      <w:jc w:val="both"/>
    </w:pPr>
    <w:rPr>
      <w:rFonts w:eastAsia="宋体"/>
      <w:kern w:val="2"/>
      <w:sz w:val="21"/>
      <w:szCs w:val="20"/>
      <w:lang w:eastAsia="zh-CN"/>
    </w:rPr>
  </w:style>
  <w:style w:type="paragraph" w:styleId="7">
    <w:name w:val="Body Text"/>
    <w:basedOn w:val="1"/>
    <w:next w:val="8"/>
    <w:link w:val="20"/>
    <w:qFormat/>
    <w:uiPriority w:val="0"/>
    <w:pPr>
      <w:widowControl w:val="0"/>
      <w:spacing w:line="360" w:lineRule="auto"/>
      <w:jc w:val="both"/>
    </w:pPr>
    <w:rPr>
      <w:rFonts w:eastAsia="宋体"/>
      <w:b/>
      <w:bCs/>
      <w:kern w:val="2"/>
      <w:lang w:eastAsia="zh-CN"/>
    </w:rPr>
  </w:style>
  <w:style w:type="paragraph" w:styleId="8">
    <w:name w:val="Body Text 2"/>
    <w:basedOn w:val="1"/>
    <w:link w:val="19"/>
    <w:qFormat/>
    <w:uiPriority w:val="0"/>
    <w:pPr>
      <w:widowControl w:val="0"/>
      <w:spacing w:line="360" w:lineRule="auto"/>
      <w:jc w:val="both"/>
    </w:pPr>
    <w:rPr>
      <w:rFonts w:eastAsia="宋体"/>
      <w:kern w:val="2"/>
      <w:lang w:eastAsia="zh-CN"/>
    </w:rPr>
  </w:style>
  <w:style w:type="paragraph" w:styleId="9">
    <w:name w:val="Body Text Indent"/>
    <w:basedOn w:val="1"/>
    <w:link w:val="30"/>
    <w:qFormat/>
    <w:uiPriority w:val="0"/>
    <w:pPr>
      <w:widowControl w:val="0"/>
      <w:spacing w:line="360" w:lineRule="auto"/>
      <w:ind w:firstLine="420" w:firstLineChars="200"/>
      <w:jc w:val="both"/>
    </w:pPr>
    <w:rPr>
      <w:rFonts w:eastAsia="宋体"/>
      <w:kern w:val="2"/>
      <w:sz w:val="21"/>
      <w:lang w:eastAsia="zh-CN"/>
    </w:rPr>
  </w:style>
  <w:style w:type="paragraph" w:styleId="10">
    <w:name w:val="footer"/>
    <w:basedOn w:val="1"/>
    <w:link w:val="17"/>
    <w:qFormat/>
    <w:uiPriority w:val="0"/>
    <w:pPr>
      <w:widowControl w:val="0"/>
      <w:tabs>
        <w:tab w:val="center" w:pos="4153"/>
        <w:tab w:val="right" w:pos="8306"/>
      </w:tabs>
      <w:snapToGrid w:val="0"/>
    </w:pPr>
    <w:rPr>
      <w:rFonts w:eastAsia="宋体"/>
      <w:kern w:val="2"/>
      <w:sz w:val="18"/>
      <w:szCs w:val="18"/>
      <w:lang w:eastAsia="zh-CN"/>
    </w:rPr>
  </w:style>
  <w:style w:type="paragraph" w:styleId="11">
    <w:name w:val="header"/>
    <w:basedOn w:val="1"/>
    <w:link w:val="28"/>
    <w:qFormat/>
    <w:uiPriority w:val="99"/>
    <w:pPr>
      <w:widowControl w:val="0"/>
      <w:pBdr>
        <w:bottom w:val="single" w:color="auto" w:sz="6" w:space="1"/>
      </w:pBdr>
      <w:tabs>
        <w:tab w:val="center" w:pos="4153"/>
        <w:tab w:val="right" w:pos="8306"/>
      </w:tabs>
      <w:snapToGrid w:val="0"/>
      <w:jc w:val="center"/>
    </w:pPr>
    <w:rPr>
      <w:rFonts w:eastAsia="宋体"/>
      <w:kern w:val="2"/>
      <w:sz w:val="18"/>
      <w:szCs w:val="18"/>
      <w:lang w:eastAsia="zh-CN"/>
    </w:rPr>
  </w:style>
  <w:style w:type="paragraph" w:styleId="12">
    <w:name w:val="Normal (Web)"/>
    <w:basedOn w:val="1"/>
    <w:link w:val="18"/>
    <w:qFormat/>
    <w:uiPriority w:val="99"/>
    <w:pPr>
      <w:widowControl w:val="0"/>
      <w:spacing w:beforeAutospacing="1" w:afterAutospacing="1"/>
    </w:pPr>
    <w:rPr>
      <w:rFonts w:eastAsia="宋体"/>
      <w:lang w:eastAsia="zh-CN" w:bidi="ar"/>
    </w:rPr>
  </w:style>
  <w:style w:type="table" w:styleId="14">
    <w:name w:val="Table Grid"/>
    <w:basedOn w:val="13"/>
    <w:qFormat/>
    <w:uiPriority w:val="39"/>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16">
    <w:name w:val="page number"/>
    <w:basedOn w:val="15"/>
    <w:qFormat/>
    <w:uiPriority w:val="0"/>
  </w:style>
  <w:style w:type="character" w:customStyle="1" w:styleId="17">
    <w:name w:val="页脚 Char"/>
    <w:link w:val="10"/>
    <w:qFormat/>
    <w:uiPriority w:val="0"/>
    <w:rPr>
      <w:rFonts w:eastAsia="宋体"/>
      <w:kern w:val="2"/>
      <w:sz w:val="18"/>
      <w:szCs w:val="18"/>
      <w:lang w:eastAsia="zh-CN"/>
    </w:rPr>
  </w:style>
  <w:style w:type="character" w:customStyle="1" w:styleId="18">
    <w:name w:val="普通(网站) Char"/>
    <w:link w:val="12"/>
    <w:qFormat/>
    <w:uiPriority w:val="0"/>
    <w:rPr>
      <w:rFonts w:eastAsia="宋体"/>
      <w:kern w:val="2"/>
      <w:sz w:val="24"/>
      <w:szCs w:val="24"/>
    </w:rPr>
  </w:style>
  <w:style w:type="character" w:customStyle="1" w:styleId="19">
    <w:name w:val="正文文本 2 Char"/>
    <w:link w:val="8"/>
    <w:qFormat/>
    <w:uiPriority w:val="0"/>
    <w:rPr>
      <w:rFonts w:eastAsia="宋体"/>
      <w:kern w:val="2"/>
      <w:sz w:val="24"/>
      <w:szCs w:val="24"/>
      <w:lang w:eastAsia="zh-CN"/>
    </w:rPr>
  </w:style>
  <w:style w:type="character" w:customStyle="1" w:styleId="20">
    <w:name w:val="正文文本 Char"/>
    <w:link w:val="7"/>
    <w:qFormat/>
    <w:uiPriority w:val="0"/>
    <w:rPr>
      <w:rFonts w:eastAsia="宋体"/>
      <w:b/>
      <w:bCs/>
      <w:kern w:val="2"/>
      <w:sz w:val="24"/>
      <w:szCs w:val="24"/>
      <w:lang w:eastAsia="zh-CN"/>
    </w:rPr>
  </w:style>
  <w:style w:type="character" w:customStyle="1" w:styleId="21">
    <w:name w:val="标题 4 Char"/>
    <w:link w:val="4"/>
    <w:qFormat/>
    <w:uiPriority w:val="9"/>
    <w:rPr>
      <w:rFonts w:ascii="Arial" w:hAnsi="Arial" w:eastAsia="黑体"/>
      <w:b/>
      <w:bCs/>
      <w:kern w:val="2"/>
      <w:sz w:val="28"/>
      <w:szCs w:val="28"/>
      <w:lang w:eastAsia="zh-CN"/>
    </w:rPr>
  </w:style>
  <w:style w:type="character" w:customStyle="1" w:styleId="22">
    <w:name w:val="标题 3 Char1"/>
    <w:link w:val="3"/>
    <w:qFormat/>
    <w:uiPriority w:val="9"/>
    <w:rPr>
      <w:rFonts w:ascii="宋体" w:hAnsi="宋体" w:eastAsia="宋体"/>
      <w:b/>
      <w:bCs/>
      <w:kern w:val="2"/>
      <w:sz w:val="28"/>
      <w:szCs w:val="32"/>
      <w:lang w:eastAsia="zh-CN"/>
    </w:rPr>
  </w:style>
  <w:style w:type="character" w:customStyle="1" w:styleId="23">
    <w:name w:val="标题 1 Char"/>
    <w:link w:val="2"/>
    <w:qFormat/>
    <w:uiPriority w:val="0"/>
    <w:rPr>
      <w:rFonts w:ascii="宋体" w:hAnsi="宋体" w:eastAsia="黑体"/>
      <w:b/>
      <w:bCs/>
      <w:kern w:val="44"/>
      <w:sz w:val="28"/>
      <w:szCs w:val="44"/>
      <w:lang w:eastAsia="zh-CN"/>
    </w:rPr>
  </w:style>
  <w:style w:type="character" w:customStyle="1" w:styleId="24">
    <w:name w:val="标题 2 Char"/>
    <w:link w:val="5"/>
    <w:qFormat/>
    <w:uiPriority w:val="0"/>
    <w:rPr>
      <w:rFonts w:ascii="宋体" w:hAnsi="宋体" w:eastAsia="宋体"/>
      <w:b/>
      <w:bCs/>
      <w:sz w:val="24"/>
      <w:lang w:eastAsia="zh-CN"/>
    </w:rPr>
  </w:style>
  <w:style w:type="character" w:customStyle="1" w:styleId="25">
    <w:name w:val="标题 3 Char"/>
    <w:qFormat/>
    <w:uiPriority w:val="0"/>
    <w:rPr>
      <w:rFonts w:ascii="黑体" w:eastAsia="黑体"/>
      <w:bCs/>
      <w:sz w:val="30"/>
    </w:rPr>
  </w:style>
  <w:style w:type="paragraph" w:styleId="26">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27">
    <w:name w:val="正文缩进 Char"/>
    <w:link w:val="6"/>
    <w:qFormat/>
    <w:uiPriority w:val="0"/>
    <w:rPr>
      <w:rFonts w:eastAsia="宋体"/>
      <w:kern w:val="2"/>
      <w:sz w:val="21"/>
      <w:lang w:eastAsia="zh-CN"/>
    </w:rPr>
  </w:style>
  <w:style w:type="character" w:customStyle="1" w:styleId="28">
    <w:name w:val="页眉 Char"/>
    <w:link w:val="11"/>
    <w:qFormat/>
    <w:uiPriority w:val="99"/>
    <w:rPr>
      <w:rFonts w:eastAsia="宋体"/>
      <w:kern w:val="2"/>
      <w:sz w:val="18"/>
      <w:szCs w:val="18"/>
      <w:lang w:eastAsia="zh-CN"/>
    </w:rPr>
  </w:style>
  <w:style w:type="table" w:customStyle="1" w:styleId="29">
    <w:name w:val="网格型1"/>
    <w:basedOn w:val="13"/>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
    <w:name w:val="正文文本缩进 Char"/>
    <w:link w:val="9"/>
    <w:qFormat/>
    <w:uiPriority w:val="0"/>
    <w:rPr>
      <w:rFonts w:eastAsia="宋体"/>
      <w:kern w:val="2"/>
      <w:sz w:val="21"/>
      <w:szCs w:val="24"/>
      <w:lang w:eastAsia="zh-CN"/>
    </w:rPr>
  </w:style>
  <w:style w:type="paragraph" w:styleId="31">
    <w:name w:val="List Paragraph"/>
    <w:basedOn w:val="1"/>
    <w:qFormat/>
    <w:uiPriority w:val="34"/>
    <w:pPr>
      <w:widowControl w:val="0"/>
      <w:ind w:firstLine="420" w:firstLineChars="200"/>
      <w:jc w:val="both"/>
    </w:pPr>
    <w:rPr>
      <w:rFonts w:ascii="Calibri" w:hAnsi="Calibri" w:eastAsia="宋体"/>
      <w:kern w:val="2"/>
      <w:sz w:val="21"/>
      <w:szCs w:val="22"/>
      <w:lang w:eastAsia="zh-CN"/>
    </w:rPr>
  </w:style>
  <w:style w:type="table" w:customStyle="1" w:styleId="32">
    <w:name w:val="typo_table"/>
    <w:basedOn w:val="13"/>
    <w:qFormat/>
    <w:uiPriority w:val="0"/>
  </w:style>
  <w:style w:type="paragraph" w:customStyle="1" w:styleId="33">
    <w:name w:val="typo_h1"/>
    <w:basedOn w:val="1"/>
    <w:qFormat/>
    <w:uiPriority w:val="0"/>
    <w:pPr>
      <w:spacing w:line="648" w:lineRule="atLeast"/>
    </w:pPr>
    <w:rPr>
      <w:rFonts w:ascii="微软雅黑" w:hAnsi="微软雅黑" w:eastAsia="微软雅黑" w:cs="微软雅黑"/>
      <w:color w:val="333333"/>
      <w:sz w:val="48"/>
      <w:szCs w:val="48"/>
    </w:rPr>
  </w:style>
  <w:style w:type="character" w:customStyle="1" w:styleId="34">
    <w:name w:val="base"/>
    <w:basedOn w:val="15"/>
    <w:qFormat/>
    <w:uiPriority w:val="0"/>
    <w:rPr>
      <w:rFonts w:ascii="仿宋" w:hAnsi="仿宋" w:eastAsia="仿宋" w:cs="仿宋"/>
      <w:b/>
      <w:bCs/>
      <w:sz w:val="28"/>
      <w:szCs w:val="28"/>
    </w:rPr>
  </w:style>
  <w:style w:type="paragraph" w:customStyle="1" w:styleId="35">
    <w:name w:val="typo_p"/>
    <w:basedOn w:val="1"/>
    <w:qFormat/>
    <w:uiPriority w:val="0"/>
    <w:pPr>
      <w:spacing w:line="432" w:lineRule="atLeast"/>
    </w:pPr>
    <w:rPr>
      <w:rFonts w:ascii="微软雅黑" w:hAnsi="微软雅黑" w:eastAsia="微软雅黑" w:cs="微软雅黑"/>
      <w:color w:val="333333"/>
    </w:rPr>
  </w:style>
  <w:style w:type="character" w:customStyle="1" w:styleId="36">
    <w:name w:val="span"/>
    <w:basedOn w:val="15"/>
    <w:qFormat/>
    <w:uiPriority w:val="0"/>
    <w:rPr>
      <w:rFonts w:ascii="仿宋" w:hAnsi="仿宋" w:eastAsia="仿宋" w:cs="仿宋"/>
    </w:rPr>
  </w:style>
  <w:style w:type="character" w:customStyle="1" w:styleId="37">
    <w:name w:val="underline"/>
    <w:basedOn w:val="15"/>
    <w:qFormat/>
    <w:uiPriority w:val="0"/>
  </w:style>
  <w:style w:type="paragraph" w:customStyle="1" w:styleId="38">
    <w:name w:val="div"/>
    <w:basedOn w:val="1"/>
    <w:qFormat/>
    <w:uiPriority w:val="0"/>
    <w:pPr>
      <w:keepLines/>
      <w:spacing w:line="432" w:lineRule="atLeast"/>
    </w:pPr>
    <w:rPr>
      <w:rFonts w:ascii="微软雅黑" w:hAnsi="微软雅黑" w:eastAsia="微软雅黑" w:cs="微软雅黑"/>
      <w:color w:val="333333"/>
    </w:rPr>
  </w:style>
  <w:style w:type="character" w:customStyle="1" w:styleId="39">
    <w:name w:val="step-methods_step-item_label"/>
    <w:basedOn w:val="15"/>
    <w:qFormat/>
    <w:uiPriority w:val="0"/>
  </w:style>
  <w:style w:type="table" w:customStyle="1" w:styleId="40">
    <w:name w:val="typo_table_0"/>
    <w:basedOn w:val="13"/>
    <w:qFormat/>
    <w:uiPriority w:val="0"/>
  </w:style>
  <w:style w:type="character" w:customStyle="1" w:styleId="41">
    <w:name w:val="strong"/>
    <w:basedOn w:val="15"/>
    <w:qFormat/>
    <w:uiPriority w:val="0"/>
    <w:rPr>
      <w:b/>
      <w:bCs/>
      <w:color w:val="00000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Pages>59</Pages>
  <Words>2424</Words>
  <Characters>2440</Characters>
  <Lines>1</Lines>
  <Paragraphs>1</Paragraphs>
  <TotalTime>5</TotalTime>
  <ScaleCrop>false</ScaleCrop>
  <LinksUpToDate>false</LinksUpToDate>
  <CharactersWithSpaces>2444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2025-08-12T12:30:00Z</dcterms:created>
  <dc:creator>zan</dc:creator>
  <cp:lastModifiedBy>大白熊与小花花</cp:lastModifiedBy>
  <dcterms:modified xsi:type="dcterms:W3CDTF">2025-08-12T13:26:52Z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eyJoZGlkIjoiMjk5YTc0NzhhNjg4MmI0MTE1YWVjOTUzM2VlYjMwMTYiLCJ1c2VySWQiOiIyMTc0OTU0NzIifQ==</vt:lpwstr>
  </property>
  <property fmtid="{D5CDD505-2E9C-101B-9397-08002B2CF9AE}" pid="3" name="KSOProductBuildVer">
    <vt:lpwstr>2052-12.1.0.21915</vt:lpwstr>
  </property>
  <property fmtid="{D5CDD505-2E9C-101B-9397-08002B2CF9AE}" pid="4" name="ICV">
    <vt:lpwstr>08CDA109CAD440CB9B2B861A9BBC87C1_13</vt:lpwstr>
  </property>
</Properties>
</file>