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E8514">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kern w:val="2"/>
          <w:sz w:val="21"/>
          <w:szCs w:val="21"/>
          <w:lang w:eastAsia="zh-CN"/>
        </w:rPr>
      </w:pPr>
      <w:bookmarkStart w:id="0" w:name="_Hlk71456902"/>
      <w:r>
        <w:rPr>
          <w:rFonts w:hint="eastAsia" w:ascii="宋体" w:hAnsi="宋体" w:eastAsia="黑体" w:cs="黑体"/>
          <w:b/>
          <w:bCs/>
          <w:color w:val="FF0000"/>
          <w:kern w:val="44"/>
          <w:sz w:val="28"/>
          <w:szCs w:val="44"/>
          <w:lang w:eastAsia="zh-CN" w:bidi="ar"/>
        </w:rPr>
        <w:t>特别警示条款</w:t>
      </w:r>
    </w:p>
    <w:p w14:paraId="0443557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4"/>
        <w:gridCol w:w="8350"/>
      </w:tblGrid>
      <w:tr w14:paraId="26A8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D5E835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87AFEA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供应商参与投标禁止情形</w:t>
            </w:r>
          </w:p>
        </w:tc>
      </w:tr>
      <w:tr w14:paraId="13D9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ADAD4A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6DB61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bidi="ar"/>
              </w:rPr>
              <w:t>同一人、属同一单位或者在同一单位缴纳社会保险</w:t>
            </w:r>
            <w:r>
              <w:rPr>
                <w:rFonts w:hint="eastAsia" w:ascii="宋体" w:hAnsi="宋体" w:eastAsia="宋体" w:cs="宋体"/>
                <w:color w:val="FF0000"/>
                <w:kern w:val="2"/>
                <w:sz w:val="21"/>
                <w:szCs w:val="21"/>
                <w:lang w:eastAsia="zh-CN" w:bidi="ar"/>
              </w:rPr>
              <w:t>。</w:t>
            </w:r>
          </w:p>
        </w:tc>
      </w:tr>
      <w:tr w14:paraId="6D26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E5F337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FD1DF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参与本项目采购活动时，与其他投标供应商存在单位负责人为</w:t>
            </w:r>
            <w:r>
              <w:rPr>
                <w:rFonts w:hint="eastAsia" w:ascii="宋体" w:hAnsi="宋体" w:eastAsia="宋体" w:cs="宋体"/>
                <w:b/>
                <w:bCs/>
                <w:color w:val="FF0000"/>
                <w:kern w:val="2"/>
                <w:sz w:val="21"/>
                <w:szCs w:val="21"/>
                <w:lang w:eastAsia="zh-CN" w:bidi="ar"/>
              </w:rPr>
              <w:t>同一人或直接控股、管理关系</w:t>
            </w:r>
            <w:r>
              <w:rPr>
                <w:rFonts w:hint="eastAsia" w:ascii="宋体" w:hAnsi="宋体" w:eastAsia="宋体" w:cs="宋体"/>
                <w:color w:val="FF0000"/>
                <w:kern w:val="2"/>
                <w:sz w:val="21"/>
                <w:szCs w:val="21"/>
                <w:lang w:eastAsia="zh-CN" w:bidi="ar"/>
              </w:rPr>
              <w:t>。</w:t>
            </w:r>
          </w:p>
        </w:tc>
      </w:tr>
      <w:tr w14:paraId="6D6C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0B603B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B4E1C9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与其他投标供应商的投标文件或部分投标文件</w:t>
            </w:r>
            <w:r>
              <w:rPr>
                <w:rFonts w:hint="eastAsia" w:ascii="宋体" w:hAnsi="宋体" w:eastAsia="宋体" w:cs="宋体"/>
                <w:b/>
                <w:bCs/>
                <w:color w:val="FF0000"/>
                <w:kern w:val="2"/>
                <w:sz w:val="21"/>
                <w:szCs w:val="21"/>
                <w:lang w:eastAsia="zh-CN" w:bidi="ar"/>
              </w:rPr>
              <w:t>相互混装或存在非正常一致</w:t>
            </w:r>
            <w:r>
              <w:rPr>
                <w:rFonts w:hint="eastAsia" w:ascii="宋体" w:hAnsi="宋体" w:eastAsia="宋体" w:cs="宋体"/>
                <w:color w:val="FF0000"/>
                <w:kern w:val="2"/>
                <w:sz w:val="21"/>
                <w:szCs w:val="21"/>
                <w:lang w:eastAsia="zh-CN" w:bidi="ar"/>
              </w:rPr>
              <w:t>。</w:t>
            </w:r>
          </w:p>
        </w:tc>
      </w:tr>
      <w:tr w14:paraId="292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C5722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044A5A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与其他投标供应商的投标文件由</w:t>
            </w:r>
            <w:r>
              <w:rPr>
                <w:rFonts w:hint="eastAsia" w:ascii="宋体" w:hAnsi="宋体" w:eastAsia="宋体" w:cs="宋体"/>
                <w:b/>
                <w:bCs/>
                <w:color w:val="FF0000"/>
                <w:kern w:val="2"/>
                <w:sz w:val="21"/>
                <w:szCs w:val="21"/>
                <w:lang w:eastAsia="zh-CN" w:bidi="ar"/>
              </w:rPr>
              <w:t>同一单位或者同一人编制</w:t>
            </w:r>
            <w:r>
              <w:rPr>
                <w:rFonts w:hint="eastAsia" w:ascii="宋体" w:hAnsi="宋体" w:eastAsia="宋体" w:cs="宋体"/>
                <w:color w:val="FF0000"/>
                <w:kern w:val="2"/>
                <w:sz w:val="21"/>
                <w:szCs w:val="21"/>
                <w:lang w:eastAsia="zh-CN" w:bidi="ar"/>
              </w:rPr>
              <w:t>，或者使用</w:t>
            </w:r>
            <w:r>
              <w:rPr>
                <w:rFonts w:hint="eastAsia" w:ascii="宋体" w:hAnsi="宋体" w:eastAsia="宋体" w:cs="宋体"/>
                <w:b/>
                <w:bCs/>
                <w:color w:val="FF0000"/>
                <w:kern w:val="2"/>
                <w:sz w:val="21"/>
                <w:szCs w:val="21"/>
                <w:lang w:eastAsia="zh-CN" w:bidi="ar"/>
              </w:rPr>
              <w:t>同一设备编制</w:t>
            </w:r>
            <w:r>
              <w:rPr>
                <w:rFonts w:hint="eastAsia" w:ascii="宋体" w:hAnsi="宋体" w:eastAsia="宋体" w:cs="宋体"/>
                <w:color w:val="FF0000"/>
                <w:kern w:val="2"/>
                <w:sz w:val="21"/>
                <w:szCs w:val="21"/>
                <w:lang w:eastAsia="zh-CN" w:bidi="ar"/>
              </w:rPr>
              <w:t>。</w:t>
            </w:r>
          </w:p>
        </w:tc>
      </w:tr>
      <w:tr w14:paraId="7420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C25814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59B3EE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提供</w:t>
            </w:r>
            <w:r>
              <w:rPr>
                <w:rFonts w:hint="eastAsia" w:ascii="宋体" w:hAnsi="宋体" w:eastAsia="宋体" w:cs="宋体"/>
                <w:b/>
                <w:bCs/>
                <w:color w:val="FF0000"/>
                <w:kern w:val="2"/>
                <w:sz w:val="21"/>
                <w:szCs w:val="21"/>
                <w:lang w:eastAsia="zh-CN" w:bidi="ar"/>
              </w:rPr>
              <w:t>未经出具机构核实</w:t>
            </w:r>
            <w:r>
              <w:rPr>
                <w:rFonts w:hint="eastAsia" w:ascii="宋体" w:hAnsi="宋体" w:eastAsia="宋体" w:cs="宋体"/>
                <w:color w:val="FF0000"/>
                <w:kern w:val="2"/>
                <w:sz w:val="21"/>
                <w:szCs w:val="21"/>
                <w:lang w:eastAsia="zh-CN" w:bidi="ar"/>
              </w:rPr>
              <w:t>的虚假的检验检测报告、业绩材料、社保缴纳证明、学历学位证书、职称认证证书等材料。</w:t>
            </w:r>
          </w:p>
        </w:tc>
      </w:tr>
      <w:tr w14:paraId="2187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699146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EF082A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3115D8A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p>
    <w:p w14:paraId="6682A4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w:t>
      </w:r>
      <w:r>
        <w:rPr>
          <w:rFonts w:hint="eastAsia" w:ascii="宋体" w:hAnsi="宋体" w:eastAsia="宋体" w:cs="宋体"/>
          <w:b/>
          <w:bCs/>
          <w:color w:val="FF0000"/>
          <w:kern w:val="2"/>
          <w:sz w:val="21"/>
          <w:szCs w:val="21"/>
          <w:lang w:eastAsia="zh-CN" w:bidi="ar"/>
        </w:rPr>
        <w:t>《深圳经济特区政府采购条例》第五十七条</w:t>
      </w:r>
      <w:r>
        <w:rPr>
          <w:rFonts w:hint="eastAsia" w:ascii="宋体" w:hAnsi="宋体" w:eastAsia="宋体" w:cs="宋体"/>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54F66E5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（一）在采购活动中应当回避而未回避的；</w:t>
      </w:r>
    </w:p>
    <w:p w14:paraId="73209DD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（二）未按本条例规定签订、履行采购合同，造成严重后果的；</w:t>
      </w:r>
    </w:p>
    <w:p w14:paraId="1CE6A1D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（三）隐瞒真实情况，提供虚假资料的；</w:t>
      </w:r>
    </w:p>
    <w:p w14:paraId="5E0BC84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（四）以非法手段排斥其他供应商参与竞争的；</w:t>
      </w:r>
    </w:p>
    <w:p w14:paraId="6405C0A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（五）与其他采购参加人串通投标的；</w:t>
      </w:r>
    </w:p>
    <w:p w14:paraId="226B8C9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（六）恶意投诉的；</w:t>
      </w:r>
    </w:p>
    <w:p w14:paraId="29D089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（七）向采购项目相关人行贿或者提供其他不当利益的；</w:t>
      </w:r>
    </w:p>
    <w:p w14:paraId="1C995CD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（八）阻碍、抗拒主管部门监督检查的；</w:t>
      </w:r>
    </w:p>
    <w:p w14:paraId="66DD7F3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（九）其他违反本条例规定的行为。</w:t>
      </w:r>
    </w:p>
    <w:p w14:paraId="6C896BB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二、《深圳经济特区政府采购条例实施细则》第七十五条 </w:t>
      </w:r>
      <w:r>
        <w:rPr>
          <w:rFonts w:hint="eastAsia" w:ascii="宋体" w:hAnsi="宋体" w:eastAsia="宋体" w:cs="宋体"/>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B93D9F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三、《深圳经济特区政府采购条例实施细则》第七十七条 </w:t>
      </w:r>
      <w:r>
        <w:rPr>
          <w:rFonts w:hint="eastAsia" w:ascii="宋体" w:hAnsi="宋体" w:eastAsia="宋体" w:cs="宋体"/>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E041F4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投标供应商不能提供项目负责人或者主要技术人员的劳动合同、社会保险等劳动关系证明材料的，视为存在前款第（三）项规定的情形。</w:t>
      </w:r>
    </w:p>
    <w:p w14:paraId="054DFF0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bCs/>
          <w:color w:val="FF0000"/>
          <w:kern w:val="2"/>
          <w:sz w:val="21"/>
          <w:szCs w:val="21"/>
          <w:lang w:eastAsia="zh-CN"/>
        </w:rPr>
      </w:pPr>
      <w:r>
        <w:rPr>
          <w:rFonts w:hint="eastAsia" w:eastAsia="宋体" w:cs="宋体"/>
          <w:b/>
          <w:color w:val="FF0000"/>
          <w:kern w:val="2"/>
          <w:sz w:val="21"/>
          <w:szCs w:val="21"/>
          <w:lang w:eastAsia="zh-CN" w:bidi="ar"/>
        </w:rPr>
        <w:t>四、根据《深圳经济特区政府采购条例实施细则》第七十五条规定</w:t>
      </w:r>
      <w:r>
        <w:rPr>
          <w:rFonts w:hint="eastAsia" w:eastAsia="宋体" w:cs="宋体"/>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eastAsia="zh-CN" w:bidi="ar"/>
        </w:rPr>
        <w:t>取消参与本市政府采购资格</w:t>
      </w:r>
      <w:r>
        <w:rPr>
          <w:rFonts w:hint="eastAsia" w:hAnsi="宋体" w:eastAsia="宋体" w:cs="宋体"/>
          <w:color w:val="FF0000"/>
          <w:kern w:val="2"/>
          <w:sz w:val="21"/>
          <w:szCs w:val="21"/>
          <w:lang w:eastAsia="zh-CN" w:bidi="ar"/>
        </w:rPr>
        <w:t>、</w:t>
      </w:r>
      <w:r>
        <w:rPr>
          <w:rFonts w:hint="eastAsia" w:ascii="宋体" w:hAnsi="宋体" w:eastAsia="宋体" w:cs="宋体"/>
          <w:color w:val="FF0000"/>
          <w:kern w:val="2"/>
          <w:sz w:val="21"/>
          <w:szCs w:val="21"/>
          <w:lang w:eastAsia="zh-CN" w:bidi="ar"/>
        </w:rPr>
        <w:t>依法吊销其营业</w:t>
      </w:r>
      <w:r>
        <w:rPr>
          <w:rFonts w:hint="eastAsia" w:hAnsi="宋体" w:eastAsia="宋体" w:cs="宋体"/>
          <w:color w:val="FF0000"/>
          <w:kern w:val="2"/>
          <w:sz w:val="21"/>
          <w:szCs w:val="21"/>
          <w:lang w:eastAsia="zh-CN" w:bidi="ar"/>
        </w:rPr>
        <w:t>执照等行政处罚，</w:t>
      </w:r>
      <w:r>
        <w:rPr>
          <w:rFonts w:hint="eastAsia" w:ascii="宋体" w:hAnsi="宋体" w:eastAsia="宋体" w:cs="宋体"/>
          <w:color w:val="FF0000"/>
          <w:kern w:val="2"/>
          <w:sz w:val="21"/>
          <w:szCs w:val="21"/>
          <w:lang w:eastAsia="zh-CN" w:bidi="ar"/>
        </w:rPr>
        <w:t>构成犯罪的，依法追究刑事责任</w:t>
      </w:r>
      <w:r>
        <w:rPr>
          <w:rFonts w:hint="eastAsia" w:eastAsia="宋体" w:cs="宋体"/>
          <w:bCs/>
          <w:color w:val="FF0000"/>
          <w:kern w:val="2"/>
          <w:sz w:val="21"/>
          <w:szCs w:val="21"/>
          <w:lang w:eastAsia="zh-CN" w:bidi="ar"/>
        </w:rPr>
        <w:t>，请各供应商独立编制、上传投标文件，妥善保管和使用电子秘钥。</w:t>
      </w:r>
    </w:p>
    <w:p w14:paraId="4E52408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kern w:val="2"/>
          <w:sz w:val="21"/>
          <w:szCs w:val="21"/>
          <w:lang w:eastAsia="zh-CN"/>
        </w:rPr>
      </w:pPr>
      <w:r>
        <w:rPr>
          <w:rFonts w:hint="eastAsia" w:eastAsia="宋体" w:cs="宋体"/>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0D039F6C">
      <w:pPr>
        <w:keepNext w:val="0"/>
        <w:keepLines w:val="0"/>
        <w:widowControl/>
        <w:suppressLineNumbers w:val="0"/>
        <w:spacing w:before="0" w:beforeAutospacing="1" w:after="0" w:afterAutospacing="1"/>
        <w:ind w:left="0" w:right="0"/>
        <w:jc w:val="left"/>
        <w:outlineLvl w:val="1"/>
        <w:rPr>
          <w:rFonts w:hint="eastAsia" w:ascii="黑体" w:hAnsi="宋体" w:eastAsia="黑体" w:cs="黑体"/>
          <w:sz w:val="21"/>
          <w:szCs w:val="21"/>
          <w:lang w:eastAsia="zh-CN"/>
        </w:rPr>
      </w:pPr>
      <w:r>
        <w:rPr>
          <w:rFonts w:hint="eastAsia" w:eastAsia="宋体" w:cs="宋体"/>
          <w:b/>
          <w:color w:val="FF0000"/>
          <w:kern w:val="2"/>
          <w:sz w:val="21"/>
          <w:szCs w:val="21"/>
          <w:lang w:eastAsia="zh-CN" w:bidi="ar"/>
        </w:rPr>
        <w:t>注：“特别警示条款”和《采购违法行为风险知悉确认书》用于对供应商违法行为的提醒，不作为供应商资格性审查及符合性审查条件。</w:t>
      </w:r>
    </w:p>
    <w:p w14:paraId="1D91B014">
      <w:pPr>
        <w:widowControl w:val="0"/>
        <w:jc w:val="both"/>
        <w:rPr>
          <w:rFonts w:hint="eastAsia" w:ascii="方正小标宋简体" w:hAnsi="方正小标宋简体" w:eastAsia="方正小标宋简体" w:cs="方正小标宋简体"/>
          <w:bCs/>
          <w:color w:val="000000"/>
          <w:kern w:val="2"/>
          <w:sz w:val="21"/>
          <w:szCs w:val="21"/>
          <w:lang w:eastAsia="zh-CN"/>
        </w:rPr>
      </w:pPr>
      <w:r>
        <w:rPr>
          <w:rFonts w:hint="eastAsia" w:ascii="方正小标宋简体" w:hAnsi="方正小标宋简体" w:eastAsia="方正小标宋简体" w:cs="方正小标宋简体"/>
          <w:bCs/>
          <w:color w:val="000000"/>
          <w:kern w:val="2"/>
          <w:sz w:val="21"/>
          <w:szCs w:val="21"/>
          <w:lang w:eastAsia="zh-CN"/>
        </w:rPr>
        <w:br w:type="page"/>
      </w:r>
    </w:p>
    <w:p w14:paraId="5BD20B2D">
      <w:pPr>
        <w:widowControl/>
        <w:spacing w:beforeAutospacing="1" w:afterAutospacing="1"/>
        <w:jc w:val="center"/>
        <w:outlineLvl w:val="1"/>
        <w:rPr>
          <w:rFonts w:hint="eastAsia"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14"/>
        <w:tblW w:w="5000" w:type="pct"/>
        <w:jc w:val="center"/>
        <w:tblCellSpacing w:w="0" w:type="dxa"/>
        <w:tblLayout w:type="fixed"/>
        <w:tblCellMar>
          <w:top w:w="45" w:type="dxa"/>
          <w:left w:w="45" w:type="dxa"/>
          <w:bottom w:w="45" w:type="dxa"/>
          <w:right w:w="45" w:type="dxa"/>
        </w:tblCellMar>
      </w:tblPr>
      <w:tblGrid>
        <w:gridCol w:w="3102"/>
        <w:gridCol w:w="5946"/>
      </w:tblGrid>
      <w:tr w14:paraId="368E3F3A">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E9DB926">
            <w:pPr>
              <w:widowControl/>
              <w:jc w:val="right"/>
              <w:rPr>
                <w:rFonts w:eastAsia="宋体"/>
                <w:kern w:val="2"/>
                <w:sz w:val="30"/>
                <w:szCs w:val="30"/>
                <w:lang w:eastAsia="zh-CN"/>
              </w:rPr>
            </w:pPr>
            <w:r>
              <w:rPr>
                <w:rFonts w:ascii="宋体" w:hAnsi="宋体" w:eastAsia="宋体" w:cs="宋体"/>
                <w:sz w:val="30"/>
                <w:szCs w:val="30"/>
                <w:lang w:eastAsia="zh-CN" w:bidi="ar"/>
              </w:rPr>
              <w:t>项目编号：</w:t>
            </w:r>
          </w:p>
        </w:tc>
        <w:tc>
          <w:tcPr>
            <w:tcW w:w="5220" w:type="dxa"/>
            <w:vAlign w:val="center"/>
          </w:tcPr>
          <w:p w14:paraId="077EB298">
            <w:pPr>
              <w:widowControl/>
              <w:jc w:val="left"/>
              <w:rPr>
                <w:rFonts w:eastAsia="宋体"/>
                <w:kern w:val="2"/>
                <w:sz w:val="30"/>
                <w:szCs w:val="30"/>
                <w:lang w:eastAsia="zh-CN"/>
              </w:rPr>
            </w:pPr>
            <w:r>
              <w:rPr>
                <w:rFonts w:hint="eastAsia" w:eastAsia="宋体"/>
                <w:kern w:val="2"/>
                <w:sz w:val="30"/>
                <w:szCs w:val="30"/>
                <w:lang w:eastAsia="zh-CN"/>
              </w:rPr>
              <w:t>SZZXCG-2025-00405</w:t>
            </w:r>
          </w:p>
        </w:tc>
      </w:tr>
      <w:tr w14:paraId="4BEDB7BE">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E0E6CEA">
            <w:pPr>
              <w:widowControl/>
              <w:jc w:val="right"/>
              <w:rPr>
                <w:rFonts w:eastAsia="宋体"/>
                <w:kern w:val="2"/>
                <w:sz w:val="30"/>
                <w:szCs w:val="30"/>
                <w:lang w:eastAsia="zh-CN"/>
              </w:rPr>
            </w:pPr>
            <w:r>
              <w:rPr>
                <w:rFonts w:ascii="宋体" w:hAnsi="宋体" w:eastAsia="宋体" w:cs="宋体"/>
                <w:sz w:val="30"/>
                <w:szCs w:val="30"/>
                <w:lang w:eastAsia="zh-CN" w:bidi="ar"/>
              </w:rPr>
              <w:t>项目名称：</w:t>
            </w:r>
          </w:p>
        </w:tc>
        <w:tc>
          <w:tcPr>
            <w:tcW w:w="5220" w:type="dxa"/>
            <w:vAlign w:val="center"/>
          </w:tcPr>
          <w:p w14:paraId="51B2AD67">
            <w:pPr>
              <w:widowControl/>
              <w:jc w:val="left"/>
              <w:rPr>
                <w:rFonts w:eastAsia="宋体"/>
                <w:kern w:val="2"/>
                <w:sz w:val="30"/>
                <w:szCs w:val="30"/>
                <w:lang w:eastAsia="zh-CN"/>
              </w:rPr>
            </w:pPr>
            <w:r>
              <w:rPr>
                <w:rFonts w:hint="eastAsia" w:eastAsia="宋体"/>
                <w:kern w:val="2"/>
                <w:sz w:val="30"/>
                <w:szCs w:val="30"/>
                <w:lang w:eastAsia="zh-CN"/>
              </w:rPr>
              <w:t xml:space="preserve">香港中文大学（深圳）医院病床类设备采购项目 </w:t>
            </w:r>
          </w:p>
        </w:tc>
      </w:tr>
      <w:tr w14:paraId="53401296">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8B3DE26">
            <w:pPr>
              <w:widowControl/>
              <w:jc w:val="right"/>
              <w:rPr>
                <w:rFonts w:eastAsia="宋体"/>
                <w:kern w:val="2"/>
                <w:sz w:val="30"/>
                <w:szCs w:val="30"/>
                <w:lang w:eastAsia="zh-CN"/>
              </w:rPr>
            </w:pPr>
            <w:r>
              <w:rPr>
                <w:rFonts w:ascii="宋体" w:hAnsi="宋体" w:eastAsia="宋体" w:cs="宋体"/>
                <w:sz w:val="30"/>
                <w:szCs w:val="30"/>
                <w:lang w:eastAsia="zh-CN" w:bidi="ar"/>
              </w:rPr>
              <w:t xml:space="preserve">包 </w:t>
            </w:r>
            <w:r>
              <w:rPr>
                <w:rFonts w:hint="eastAsia" w:ascii="宋体" w:hAnsi="宋体" w:eastAsia="宋体" w:cs="宋体"/>
                <w:sz w:val="30"/>
                <w:szCs w:val="30"/>
                <w:lang w:eastAsia="zh-CN" w:bidi="ar"/>
              </w:rPr>
              <w:t xml:space="preserve">   </w:t>
            </w:r>
            <w:r>
              <w:rPr>
                <w:rFonts w:ascii="宋体" w:hAnsi="宋体" w:eastAsia="宋体" w:cs="宋体"/>
                <w:sz w:val="30"/>
                <w:szCs w:val="30"/>
                <w:lang w:eastAsia="zh-CN" w:bidi="ar"/>
              </w:rPr>
              <w:t>号：</w:t>
            </w:r>
          </w:p>
        </w:tc>
        <w:tc>
          <w:tcPr>
            <w:tcW w:w="5220" w:type="dxa"/>
            <w:vAlign w:val="center"/>
          </w:tcPr>
          <w:p w14:paraId="57425F50">
            <w:pPr>
              <w:widowControl/>
              <w:jc w:val="left"/>
              <w:rPr>
                <w:rFonts w:eastAsia="宋体"/>
                <w:kern w:val="2"/>
                <w:sz w:val="30"/>
                <w:szCs w:val="30"/>
                <w:lang w:eastAsia="zh-CN"/>
              </w:rPr>
            </w:pPr>
            <w:r>
              <w:rPr>
                <w:rFonts w:ascii="宋体" w:hAnsi="宋体" w:eastAsia="宋体" w:cs="宋体"/>
                <w:sz w:val="30"/>
                <w:szCs w:val="30"/>
                <w:lang w:eastAsia="zh-CN" w:bidi="ar"/>
              </w:rPr>
              <w:t>A</w:t>
            </w:r>
          </w:p>
        </w:tc>
      </w:tr>
      <w:tr w14:paraId="3FA20512">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0CD1FF41">
            <w:pPr>
              <w:widowControl/>
              <w:jc w:val="right"/>
              <w:rPr>
                <w:rFonts w:eastAsia="宋体"/>
                <w:kern w:val="2"/>
                <w:sz w:val="30"/>
                <w:szCs w:val="30"/>
                <w:lang w:eastAsia="zh-CN"/>
              </w:rPr>
            </w:pPr>
            <w:r>
              <w:rPr>
                <w:rFonts w:ascii="宋体" w:hAnsi="宋体" w:eastAsia="宋体" w:cs="宋体"/>
                <w:sz w:val="30"/>
                <w:szCs w:val="30"/>
                <w:lang w:eastAsia="zh-CN" w:bidi="ar"/>
              </w:rPr>
              <w:t>项目类型：</w:t>
            </w:r>
          </w:p>
        </w:tc>
        <w:tc>
          <w:tcPr>
            <w:tcW w:w="5220" w:type="dxa"/>
            <w:vAlign w:val="center"/>
          </w:tcPr>
          <w:p w14:paraId="61A01F29">
            <w:pPr>
              <w:widowControl/>
              <w:jc w:val="left"/>
              <w:rPr>
                <w:rFonts w:eastAsia="宋体"/>
                <w:kern w:val="2"/>
                <w:sz w:val="30"/>
                <w:szCs w:val="30"/>
                <w:lang w:eastAsia="zh-CN"/>
              </w:rPr>
            </w:pPr>
            <w:r>
              <w:rPr>
                <w:rFonts w:ascii="宋体" w:hAnsi="宋体" w:eastAsia="宋体" w:cs="宋体"/>
                <w:sz w:val="30"/>
                <w:szCs w:val="30"/>
                <w:lang w:eastAsia="zh-CN" w:bidi="ar"/>
              </w:rPr>
              <w:t>货物类</w:t>
            </w:r>
          </w:p>
        </w:tc>
      </w:tr>
      <w:tr w14:paraId="3438D249">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05358A78">
            <w:pPr>
              <w:widowControl/>
              <w:jc w:val="right"/>
              <w:rPr>
                <w:rFonts w:eastAsia="宋体"/>
                <w:kern w:val="2"/>
                <w:sz w:val="30"/>
                <w:szCs w:val="30"/>
                <w:lang w:eastAsia="zh-CN"/>
              </w:rPr>
            </w:pPr>
            <w:r>
              <w:rPr>
                <w:rFonts w:ascii="宋体" w:hAnsi="宋体" w:eastAsia="宋体" w:cs="宋体"/>
                <w:sz w:val="30"/>
                <w:szCs w:val="30"/>
                <w:lang w:eastAsia="zh-CN" w:bidi="ar"/>
              </w:rPr>
              <w:t>采购方式：</w:t>
            </w:r>
          </w:p>
        </w:tc>
        <w:tc>
          <w:tcPr>
            <w:tcW w:w="5220" w:type="dxa"/>
            <w:vAlign w:val="center"/>
          </w:tcPr>
          <w:p w14:paraId="7F99949F">
            <w:pPr>
              <w:widowControl/>
              <w:jc w:val="left"/>
              <w:rPr>
                <w:rFonts w:eastAsia="宋体"/>
                <w:kern w:val="2"/>
                <w:sz w:val="30"/>
                <w:szCs w:val="30"/>
                <w:lang w:eastAsia="zh-CN"/>
              </w:rPr>
            </w:pPr>
            <w:r>
              <w:rPr>
                <w:rFonts w:ascii="宋体" w:hAnsi="宋体" w:eastAsia="宋体" w:cs="宋体"/>
                <w:sz w:val="30"/>
                <w:szCs w:val="30"/>
                <w:lang w:eastAsia="zh-CN" w:bidi="ar"/>
              </w:rPr>
              <w:t>公开招标</w:t>
            </w:r>
          </w:p>
        </w:tc>
      </w:tr>
      <w:tr w14:paraId="637C949F">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562CF596">
            <w:pPr>
              <w:widowControl/>
              <w:jc w:val="right"/>
              <w:rPr>
                <w:rFonts w:eastAsia="宋体"/>
                <w:kern w:val="2"/>
                <w:sz w:val="30"/>
                <w:szCs w:val="30"/>
                <w:lang w:eastAsia="zh-CN"/>
              </w:rPr>
            </w:pPr>
            <w:r>
              <w:rPr>
                <w:rFonts w:ascii="宋体" w:hAnsi="宋体" w:eastAsia="宋体" w:cs="宋体"/>
                <w:sz w:val="30"/>
                <w:szCs w:val="30"/>
                <w:lang w:eastAsia="zh-CN" w:bidi="ar"/>
              </w:rPr>
              <w:t>货币类型：</w:t>
            </w:r>
          </w:p>
        </w:tc>
        <w:tc>
          <w:tcPr>
            <w:tcW w:w="5220" w:type="dxa"/>
            <w:vAlign w:val="center"/>
          </w:tcPr>
          <w:p w14:paraId="7DE78335">
            <w:pPr>
              <w:widowControl/>
              <w:jc w:val="left"/>
              <w:rPr>
                <w:rFonts w:eastAsia="宋体"/>
                <w:kern w:val="2"/>
                <w:sz w:val="30"/>
                <w:szCs w:val="30"/>
                <w:lang w:eastAsia="zh-CN"/>
              </w:rPr>
            </w:pPr>
            <w:r>
              <w:rPr>
                <w:rFonts w:ascii="宋体" w:hAnsi="宋体" w:eastAsia="宋体" w:cs="宋体"/>
                <w:sz w:val="30"/>
                <w:szCs w:val="30"/>
                <w:lang w:eastAsia="zh-CN" w:bidi="ar"/>
              </w:rPr>
              <w:t>人民币</w:t>
            </w:r>
          </w:p>
        </w:tc>
      </w:tr>
      <w:tr w14:paraId="1CDCD6A0">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0BD589C">
            <w:pPr>
              <w:widowControl/>
              <w:jc w:val="right"/>
              <w:rPr>
                <w:rFonts w:eastAsia="宋体"/>
                <w:kern w:val="2"/>
                <w:sz w:val="30"/>
                <w:szCs w:val="30"/>
                <w:lang w:eastAsia="zh-CN"/>
              </w:rPr>
            </w:pPr>
            <w:r>
              <w:rPr>
                <w:rFonts w:ascii="宋体" w:hAnsi="宋体" w:eastAsia="宋体" w:cs="宋体"/>
                <w:sz w:val="30"/>
                <w:szCs w:val="30"/>
                <w:lang w:eastAsia="zh-CN" w:bidi="ar"/>
              </w:rPr>
              <w:t>评标方法：</w:t>
            </w:r>
          </w:p>
        </w:tc>
        <w:tc>
          <w:tcPr>
            <w:tcW w:w="5220" w:type="dxa"/>
            <w:vAlign w:val="center"/>
          </w:tcPr>
          <w:p w14:paraId="1B6E577E">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bookmarkEnd w:id="0"/>
    </w:tbl>
    <w:p w14:paraId="297CD77B">
      <w:pPr>
        <w:widowControl/>
        <w:spacing w:beforeAutospacing="1" w:afterAutospacing="1"/>
        <w:jc w:val="center"/>
        <w:outlineLvl w:val="1"/>
        <w:rPr>
          <w:rFonts w:hint="eastAsia" w:ascii="黑体" w:hAnsi="宋体" w:eastAsia="黑体" w:cs="黑体"/>
          <w:sz w:val="40"/>
          <w:szCs w:val="40"/>
          <w:lang w:eastAsia="zh-CN"/>
        </w:rPr>
        <w:sectPr>
          <w:headerReference r:id="rId3" w:type="first"/>
          <w:footerReference r:id="rId4" w:type="default"/>
          <w:pgSz w:w="11907" w:h="16840"/>
          <w:pgMar w:top="1497" w:right="1418" w:bottom="1440" w:left="1531" w:header="851" w:footer="992" w:gutter="0"/>
          <w:cols w:space="425" w:num="1"/>
          <w:titlePg/>
          <w:docGrid w:linePitch="462" w:charSpace="0"/>
        </w:sectPr>
      </w:pPr>
    </w:p>
    <w:p w14:paraId="417583E6">
      <w:pPr>
        <w:widowControl/>
        <w:spacing w:beforeAutospacing="1" w:afterAutospacing="1"/>
        <w:jc w:val="center"/>
        <w:outlineLvl w:val="1"/>
        <w:rPr>
          <w:rFonts w:hint="eastAsia" w:ascii="黑体" w:hAnsi="宋体" w:eastAsia="黑体" w:cs="黑体"/>
          <w:sz w:val="40"/>
          <w:szCs w:val="40"/>
          <w:lang w:eastAsia="zh-CN"/>
        </w:rPr>
      </w:pPr>
      <w:r>
        <w:rPr>
          <w:rFonts w:hint="eastAsia" w:ascii="黑体" w:hAnsi="宋体" w:eastAsia="黑体" w:cs="黑体"/>
          <w:sz w:val="40"/>
          <w:szCs w:val="40"/>
          <w:lang w:eastAsia="zh-CN"/>
        </w:rPr>
        <w:t>资格性审查表</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14:paraId="149C0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D157765">
            <w:pPr>
              <w:widowControl/>
              <w:jc w:val="center"/>
              <w:rPr>
                <w:rFonts w:eastAsia="宋体"/>
                <w:kern w:val="2"/>
                <w:sz w:val="22"/>
                <w:szCs w:val="22"/>
                <w:lang w:eastAsia="zh-CN"/>
              </w:rPr>
            </w:pPr>
            <w:r>
              <w:rPr>
                <w:rFonts w:ascii="宋体" w:hAnsi="宋体" w:eastAsia="宋体" w:cs="宋体"/>
                <w:sz w:val="22"/>
                <w:szCs w:val="22"/>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6C5BDC">
            <w:pPr>
              <w:widowControl/>
              <w:jc w:val="center"/>
              <w:rPr>
                <w:rFonts w:eastAsia="宋体"/>
                <w:kern w:val="2"/>
                <w:sz w:val="22"/>
                <w:szCs w:val="22"/>
                <w:lang w:eastAsia="zh-CN"/>
              </w:rPr>
            </w:pPr>
            <w:r>
              <w:rPr>
                <w:rFonts w:ascii="宋体" w:hAnsi="宋体" w:eastAsia="宋体" w:cs="宋体"/>
                <w:sz w:val="22"/>
                <w:szCs w:val="22"/>
                <w:lang w:eastAsia="zh-CN" w:bidi="ar"/>
              </w:rPr>
              <w:t>内容</w:t>
            </w:r>
          </w:p>
        </w:tc>
      </w:tr>
      <w:tr w14:paraId="6FCBA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48BA5B5">
            <w:pPr>
              <w:widowControl/>
              <w:jc w:val="center"/>
              <w:textAlignment w:val="top"/>
              <w:rPr>
                <w:rFonts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tcPr>
          <w:p w14:paraId="2C3133EA">
            <w:pPr>
              <w:widowControl/>
              <w:jc w:val="left"/>
              <w:textAlignment w:val="top"/>
              <w:rPr>
                <w:rFonts w:eastAsia="宋体"/>
                <w:kern w:val="2"/>
                <w:sz w:val="21"/>
                <w:szCs w:val="21"/>
                <w:lang w:eastAsia="zh-CN"/>
              </w:rPr>
            </w:pPr>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bidi="ar"/>
              </w:rPr>
              <w:t>）</w:t>
            </w:r>
          </w:p>
        </w:tc>
      </w:tr>
    </w:tbl>
    <w:p w14:paraId="72665963">
      <w:pPr>
        <w:widowControl/>
        <w:spacing w:before="280" w:beforeAutospacing="0" w:afterAutospacing="1"/>
        <w:jc w:val="center"/>
        <w:outlineLvl w:val="1"/>
        <w:rPr>
          <w:rFonts w:hint="eastAsia" w:ascii="黑体" w:hAnsi="宋体" w:eastAsia="黑体" w:cs="黑体"/>
          <w:sz w:val="40"/>
          <w:szCs w:val="40"/>
          <w:lang w:eastAsia="zh-CN"/>
        </w:rPr>
      </w:pPr>
      <w:r>
        <w:rPr>
          <w:rFonts w:hint="eastAsia" w:ascii="黑体" w:hAnsi="宋体" w:eastAsia="黑体" w:cs="黑体"/>
          <w:sz w:val="40"/>
          <w:szCs w:val="40"/>
          <w:lang w:eastAsia="zh-CN"/>
        </w:rPr>
        <w:t>符合性审查表</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14:paraId="3AEEC4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tcPr>
          <w:p w14:paraId="6449F033">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1397EC8">
            <w:pPr>
              <w:keepNext w:val="0"/>
              <w:keepLines w:val="0"/>
              <w:widowControl/>
              <w:suppressLineNumbers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550D64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CDFC878">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F38602">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14:paraId="065BF1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C46494B">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794BDED">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14:paraId="79BDC2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1620A6B">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885029A">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r>
              <w:rPr>
                <w:rFonts w:hint="eastAsia" w:ascii="宋体" w:hAnsi="宋体" w:eastAsia="宋体" w:cs="宋体"/>
                <w:b/>
                <w:color w:val="FF0000"/>
                <w:sz w:val="21"/>
                <w:szCs w:val="21"/>
                <w:lang w:eastAsia="zh-CN"/>
              </w:rPr>
              <w:t>单价不得高于相应单价限价；</w:t>
            </w:r>
          </w:p>
        </w:tc>
      </w:tr>
      <w:tr w14:paraId="259ED9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tcPr>
          <w:p w14:paraId="1990161B">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63CCAD">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17838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0FAC6865">
            <w:pPr>
              <w:keepNext w:val="0"/>
              <w:keepLines w:val="0"/>
              <w:widowControl w:val="0"/>
              <w:suppressLineNumbers w:val="0"/>
              <w:spacing w:before="0" w:beforeAutospacing="0" w:after="0" w:afterAutospacing="0"/>
              <w:ind w:left="0" w:right="0"/>
              <w:jc w:val="center"/>
              <w:rPr>
                <w:rFonts w:ascii="宋体" w:hAnsi="宋体" w:eastAsia="宋体"/>
                <w:kern w:val="2"/>
                <w:sz w:val="21"/>
                <w:szCs w:val="21"/>
                <w:highlight w:val="yellow"/>
                <w:lang w:eastAsia="zh-CN"/>
              </w:rPr>
            </w:pPr>
            <w:r>
              <w:rPr>
                <w:rFonts w:eastAsia="宋体"/>
                <w:kern w:val="2"/>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425AADC">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4E4FB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007F3DC0">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eastAsia="宋体"/>
                <w:kern w:val="2"/>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91C59E0">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40353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21" w:hRule="atLeast"/>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14CD2C69">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eastAsia="宋体"/>
                <w:kern w:val="2"/>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B519BBD">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采购标的/所投产品/货物清单/报价等任意一类有缺漏项或响应不全，或者对招标文件规定的项目需求内容或者需求数量进行修改，评审委员会判定投标响应不满足采购需求；</w:t>
            </w:r>
          </w:p>
        </w:tc>
      </w:tr>
      <w:tr w14:paraId="317D5A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8075A7E">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451AF8D">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14:paraId="7AE354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82205DC">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E8B3AE9">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14:paraId="34ED35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0B7BBD2">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E665E81">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14:paraId="0D12914A">
      <w:pPr>
        <w:widowControl/>
        <w:spacing w:beforeAutospacing="1" w:afterAutospacing="1"/>
        <w:jc w:val="center"/>
        <w:outlineLvl w:val="1"/>
        <w:rPr>
          <w:rFonts w:hint="eastAsia" w:ascii="黑体" w:hAnsi="宋体" w:eastAsia="黑体" w:cs="黑体"/>
          <w:sz w:val="40"/>
          <w:szCs w:val="40"/>
          <w:lang w:eastAsia="zh-CN"/>
        </w:rPr>
        <w:sectPr>
          <w:pgSz w:w="11907" w:h="16840"/>
          <w:pgMar w:top="1440" w:right="1418" w:bottom="1440" w:left="1418" w:header="851" w:footer="992" w:gutter="0"/>
          <w:cols w:space="425" w:num="1"/>
          <w:titlePg/>
          <w:docGrid w:linePitch="462" w:charSpace="0"/>
        </w:sectPr>
      </w:pPr>
    </w:p>
    <w:p w14:paraId="22C03C9D">
      <w:pPr>
        <w:widowControl/>
        <w:spacing w:beforeAutospacing="1" w:afterAutospacing="1"/>
        <w:jc w:val="center"/>
        <w:outlineLvl w:val="1"/>
        <w:rPr>
          <w:rFonts w:hint="eastAsia" w:ascii="黑体" w:hAnsi="宋体" w:eastAsia="黑体" w:cs="黑体"/>
          <w:sz w:val="40"/>
          <w:szCs w:val="40"/>
          <w:lang w:eastAsia="zh-CN"/>
        </w:rPr>
      </w:pPr>
      <w:r>
        <w:rPr>
          <w:rFonts w:hint="eastAsia" w:ascii="黑体" w:hAnsi="宋体" w:eastAsia="黑体" w:cs="黑体"/>
          <w:sz w:val="40"/>
          <w:szCs w:val="40"/>
          <w:lang w:eastAsia="zh-CN"/>
        </w:rPr>
        <w:t>评标信息</w:t>
      </w:r>
    </w:p>
    <w:tbl>
      <w:tblPr>
        <w:tblStyle w:val="14"/>
        <w:tblpPr w:leftFromText="180" w:rightFromText="180" w:vertAnchor="text" w:tblpXSpec="center" w:tblpY="1"/>
        <w:tblOverlap w:val="neve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577"/>
        <w:gridCol w:w="580"/>
        <w:gridCol w:w="1753"/>
        <w:gridCol w:w="801"/>
        <w:gridCol w:w="4692"/>
      </w:tblGrid>
      <w:tr w14:paraId="0520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trPr>
        <w:tc>
          <w:tcPr>
            <w:tcW w:w="10023" w:type="dxa"/>
            <w:gridSpan w:val="5"/>
            <w:vAlign w:val="center"/>
          </w:tcPr>
          <w:p w14:paraId="7C1D2CE5">
            <w:pPr>
              <w:widowControl w:val="0"/>
              <w:jc w:val="left"/>
              <w:rPr>
                <w:rFonts w:ascii="宋体" w:eastAsia="宋体"/>
                <w:b/>
                <w:bCs/>
                <w:kern w:val="2"/>
                <w:lang w:eastAsia="zh-CN"/>
              </w:rPr>
            </w:pPr>
            <w:r>
              <w:rPr>
                <w:rFonts w:eastAsia="宋体"/>
                <w:b/>
                <w:bCs/>
                <w:kern w:val="2"/>
                <w:sz w:val="21"/>
                <w:lang w:eastAsia="zh-CN"/>
              </w:rPr>
              <w:t>评标方法：综合评分法</w:t>
            </w:r>
          </w:p>
        </w:tc>
      </w:tr>
      <w:tr w14:paraId="69CC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trPr>
        <w:tc>
          <w:tcPr>
            <w:tcW w:w="10023" w:type="dxa"/>
            <w:gridSpan w:val="5"/>
            <w:vAlign w:val="center"/>
          </w:tcPr>
          <w:p w14:paraId="4ED1FD88">
            <w:pPr>
              <w:widowControl w:val="0"/>
              <w:ind w:firstLine="420"/>
              <w:jc w:val="both"/>
              <w:rPr>
                <w:rFonts w:eastAsia="宋体"/>
                <w:kern w:val="2"/>
                <w:sz w:val="21"/>
                <w:szCs w:val="21"/>
                <w:lang w:eastAsia="zh-CN"/>
              </w:rPr>
            </w:pPr>
            <w:r>
              <w:rPr>
                <w:rFonts w:eastAsia="宋体"/>
                <w:kern w:val="2"/>
                <w:sz w:val="21"/>
                <w:szCs w:val="21"/>
                <w:lang w:eastAsia="zh-CN"/>
              </w:rPr>
              <w:t>综合评分法，</w:t>
            </w:r>
            <w:r>
              <w:rPr>
                <w:rFonts w:hint="eastAsia" w:eastAsia="宋体"/>
                <w:kern w:val="2"/>
                <w:sz w:val="21"/>
                <w:szCs w:val="21"/>
                <w:lang w:eastAsia="zh-CN"/>
              </w:rPr>
              <w:t>是指投标文件满足招标文件全部实质性要求，且按照评审因素的量化指标评审得分排名前列</w:t>
            </w:r>
            <w:r>
              <w:rPr>
                <w:rFonts w:eastAsia="宋体"/>
                <w:kern w:val="2"/>
                <w:sz w:val="21"/>
                <w:szCs w:val="21"/>
                <w:lang w:eastAsia="zh-CN"/>
              </w:rPr>
              <w:t>的投标人为中标候选人的评标方法。</w:t>
            </w:r>
            <w:r>
              <w:rPr>
                <w:rFonts w:hint="eastAsia" w:eastAsia="宋体"/>
                <w:kern w:val="2"/>
                <w:sz w:val="21"/>
                <w:szCs w:val="21"/>
                <w:lang w:eastAsia="zh-CN"/>
              </w:rPr>
              <w:t>（适用于中标候选人为2家或以上的情形）</w:t>
            </w:r>
          </w:p>
          <w:p w14:paraId="5665DE39">
            <w:pPr>
              <w:widowControl w:val="0"/>
              <w:ind w:firstLine="420"/>
              <w:jc w:val="both"/>
              <w:rPr>
                <w:rFonts w:eastAsia="宋体"/>
                <w:kern w:val="2"/>
                <w:sz w:val="21"/>
                <w:lang w:eastAsia="zh-CN"/>
              </w:rPr>
            </w:pPr>
          </w:p>
          <w:p w14:paraId="6852D27A">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14:paraId="73041E4A">
            <w:pPr>
              <w:widowControl/>
              <w:spacing w:beforeAutospacing="0" w:afterAutospacing="0"/>
              <w:ind w:left="420"/>
              <w:jc w:val="left"/>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14:paraId="2F346F21">
            <w:pPr>
              <w:widowControl/>
              <w:spacing w:beforeAutospacing="0" w:afterAutospacing="0"/>
              <w:ind w:left="420"/>
              <w:jc w:val="left"/>
              <w:rPr>
                <w:rFonts w:eastAsia="宋体"/>
                <w:kern w:val="2"/>
                <w:sz w:val="21"/>
                <w:szCs w:val="21"/>
                <w:lang w:eastAsia="zh-CN"/>
              </w:rPr>
            </w:pPr>
            <w:r>
              <w:rPr>
                <w:rFonts w:eastAsia="宋体"/>
                <w:kern w:val="2"/>
                <w:sz w:val="21"/>
                <w:szCs w:val="21"/>
                <w:lang w:eastAsia="zh-CN"/>
              </w:rPr>
              <w:t xml:space="preserve">投标报价得分=(评标基准价／投标报价)×100 </w:t>
            </w:r>
          </w:p>
          <w:p w14:paraId="0A808DA2">
            <w:pPr>
              <w:widowControl/>
              <w:spacing w:beforeAutospacing="0" w:afterAutospacing="0"/>
              <w:ind w:left="420"/>
              <w:jc w:val="left"/>
              <w:rPr>
                <w:rFonts w:eastAsia="宋体"/>
                <w:kern w:val="2"/>
                <w:sz w:val="21"/>
                <w:szCs w:val="21"/>
                <w:lang w:eastAsia="zh-CN"/>
              </w:rPr>
            </w:pPr>
            <w:r>
              <w:rPr>
                <w:rFonts w:eastAsia="宋体"/>
                <w:kern w:val="2"/>
                <w:sz w:val="21"/>
                <w:szCs w:val="21"/>
                <w:lang w:eastAsia="zh-CN"/>
              </w:rPr>
              <w:t xml:space="preserve">评标总得分＝F1×A1＋F2×A2＋……＋Fn×An </w:t>
            </w:r>
          </w:p>
          <w:p w14:paraId="76AEE370">
            <w:pPr>
              <w:widowControl/>
              <w:spacing w:beforeAutospacing="0" w:afterAutospacing="0"/>
              <w:ind w:left="420"/>
              <w:jc w:val="left"/>
              <w:rPr>
                <w:rFonts w:eastAsia="宋体"/>
                <w:kern w:val="2"/>
                <w:sz w:val="21"/>
                <w:szCs w:val="21"/>
                <w:lang w:eastAsia="zh-CN"/>
              </w:rPr>
            </w:pPr>
            <w:r>
              <w:rPr>
                <w:rFonts w:eastAsia="宋体"/>
                <w:kern w:val="2"/>
                <w:sz w:val="21"/>
                <w:szCs w:val="21"/>
                <w:lang w:eastAsia="zh-CN"/>
              </w:rPr>
              <w:t xml:space="preserve">F1、F2……Fn分别为各项评审因素的得分； </w:t>
            </w:r>
          </w:p>
          <w:p w14:paraId="5E552332">
            <w:pPr>
              <w:widowControl/>
              <w:spacing w:beforeAutospacing="0" w:afterAutospacing="0"/>
              <w:ind w:left="420"/>
              <w:jc w:val="left"/>
              <w:rPr>
                <w:rFonts w:eastAsia="宋体"/>
                <w:kern w:val="2"/>
                <w:sz w:val="21"/>
                <w:szCs w:val="21"/>
                <w:lang w:eastAsia="zh-CN"/>
              </w:rPr>
            </w:pPr>
            <w:r>
              <w:rPr>
                <w:rFonts w:eastAsia="宋体"/>
                <w:kern w:val="2"/>
                <w:sz w:val="21"/>
                <w:szCs w:val="21"/>
                <w:lang w:eastAsia="zh-CN"/>
              </w:rPr>
              <w:t xml:space="preserve">A1、A2、……An 分别为各项评审因素所占的权重(A1＋A2＋……＋An＝1)。 </w:t>
            </w:r>
          </w:p>
          <w:p w14:paraId="0F249FBC">
            <w:pPr>
              <w:widowControl/>
              <w:spacing w:beforeAutospacing="0" w:afterAutospacing="0"/>
              <w:ind w:left="420"/>
              <w:jc w:val="left"/>
              <w:rPr>
                <w:rFonts w:eastAsia="宋体"/>
                <w:kern w:val="2"/>
                <w:sz w:val="21"/>
                <w:szCs w:val="21"/>
                <w:lang w:eastAsia="zh-CN"/>
              </w:rPr>
            </w:pPr>
            <w:r>
              <w:rPr>
                <w:rFonts w:eastAsia="宋体"/>
                <w:kern w:val="2"/>
                <w:sz w:val="21"/>
                <w:szCs w:val="21"/>
                <w:lang w:eastAsia="zh-CN"/>
              </w:rPr>
              <w:t>评标过程中，不得去掉报价中的最高报价和最低报价。</w:t>
            </w:r>
          </w:p>
          <w:p w14:paraId="448CC5CC">
            <w:pPr>
              <w:widowControl/>
              <w:spacing w:beforeAutospacing="0" w:afterAutospacing="0"/>
              <w:ind w:left="420"/>
              <w:jc w:val="left"/>
              <w:rPr>
                <w:rFonts w:eastAsia="宋体"/>
                <w:lang w:eastAsia="zh-CN"/>
              </w:rPr>
            </w:pPr>
            <w:r>
              <w:rPr>
                <w:rFonts w:hint="eastAsia" w:eastAsia="宋体"/>
                <w:kern w:val="2"/>
                <w:sz w:val="21"/>
                <w:szCs w:val="21"/>
                <w:lang w:eastAsia="zh-CN"/>
              </w:rPr>
              <w:t>因落实政府采购政策进行价格调整的，以调整后的价格计算评标基准价和投标报价。</w:t>
            </w:r>
          </w:p>
          <w:p w14:paraId="19F5C43A">
            <w:pPr>
              <w:widowControl/>
              <w:spacing w:beforeAutospacing="0" w:afterAutospacing="0"/>
              <w:jc w:val="left"/>
              <w:rPr>
                <w:rFonts w:eastAsia="宋体"/>
                <w:lang w:eastAsia="zh-CN"/>
              </w:rPr>
            </w:pPr>
            <w:r>
              <w:rPr>
                <w:rFonts w:hint="eastAsia" w:eastAsia="宋体"/>
                <w:b/>
                <w:bCs/>
                <w:sz w:val="22"/>
                <w:szCs w:val="22"/>
                <w:lang w:eastAsia="zh-CN"/>
              </w:rPr>
              <w:t>注：投标人的“投标技术响应”“技术要求偏离表中偏离情况”等必须与客观实际保持一致，响应不实且情节严重的，经查实，将依法记入供应商诚信档案或受到行政处罚。</w:t>
            </w:r>
          </w:p>
        </w:tc>
      </w:tr>
      <w:tr w14:paraId="07C977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4CE7189">
            <w:pPr>
              <w:widowControl w:val="0"/>
              <w:wordWrap w:val="0"/>
              <w:jc w:val="center"/>
              <w:rPr>
                <w:rFonts w:eastAsia="宋体"/>
                <w:b/>
                <w:bCs/>
                <w:kern w:val="2"/>
                <w:sz w:val="21"/>
                <w:szCs w:val="21"/>
                <w:lang w:eastAsia="zh-CN"/>
              </w:rPr>
            </w:pPr>
            <w:r>
              <w:rPr>
                <w:rFonts w:eastAsia="宋体"/>
                <w:b/>
                <w:bCs/>
                <w:kern w:val="2"/>
                <w:sz w:val="21"/>
                <w:szCs w:val="21"/>
                <w:lang w:eastAsia="zh-CN"/>
              </w:rPr>
              <w:t>序号</w:t>
            </w:r>
          </w:p>
        </w:tc>
        <w:tc>
          <w:tcPr>
            <w:tcW w:w="366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2FDEF49B">
            <w:pPr>
              <w:widowControl w:val="0"/>
              <w:wordWrap w:val="0"/>
              <w:jc w:val="center"/>
              <w:rPr>
                <w:rFonts w:eastAsia="宋体"/>
                <w:b/>
                <w:bCs/>
                <w:kern w:val="2"/>
                <w:sz w:val="21"/>
                <w:szCs w:val="21"/>
                <w:lang w:eastAsia="zh-CN"/>
              </w:rPr>
            </w:pPr>
            <w:r>
              <w:rPr>
                <w:rFonts w:eastAsia="宋体"/>
                <w:b/>
                <w:bCs/>
                <w:kern w:val="2"/>
                <w:sz w:val="21"/>
                <w:szCs w:val="21"/>
                <w:lang w:eastAsia="zh-CN"/>
              </w:rPr>
              <w:t>评分项</w:t>
            </w:r>
          </w:p>
        </w:tc>
        <w:tc>
          <w:tcPr>
            <w:tcW w:w="571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3D7AEF5">
            <w:pPr>
              <w:widowControl w:val="0"/>
              <w:wordWrap w:val="0"/>
              <w:jc w:val="center"/>
              <w:rPr>
                <w:rFonts w:eastAsia="宋体"/>
                <w:b/>
                <w:bCs/>
                <w:kern w:val="2"/>
                <w:sz w:val="21"/>
                <w:szCs w:val="21"/>
                <w:lang w:eastAsia="zh-CN"/>
              </w:rPr>
            </w:pPr>
            <w:r>
              <w:rPr>
                <w:rFonts w:eastAsia="宋体"/>
                <w:b/>
                <w:bCs/>
                <w:kern w:val="2"/>
                <w:sz w:val="21"/>
                <w:szCs w:val="21"/>
                <w:lang w:eastAsia="zh-CN"/>
              </w:rPr>
              <w:t>权重(%)</w:t>
            </w:r>
          </w:p>
        </w:tc>
      </w:tr>
      <w:tr w14:paraId="2DD561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87" w:hRule="atLeast"/>
          <w:tblCellSpacing w:w="0" w:type="dxa"/>
        </w:trPr>
        <w:tc>
          <w:tcPr>
            <w:tcW w:w="646" w:type="dxa"/>
            <w:tcBorders>
              <w:top w:val="single" w:color="000000" w:sz="8" w:space="0"/>
              <w:left w:val="single" w:color="000000" w:sz="8" w:space="0"/>
              <w:bottom w:val="single" w:color="000000" w:sz="8" w:space="0"/>
              <w:right w:val="single" w:color="000000" w:sz="8" w:space="0"/>
            </w:tcBorders>
          </w:tcPr>
          <w:p w14:paraId="114C6EDB">
            <w:pPr>
              <w:widowControl w:val="0"/>
              <w:wordWrap w:val="0"/>
              <w:jc w:val="center"/>
              <w:rPr>
                <w:rFonts w:eastAsia="宋体"/>
                <w:b/>
                <w:bCs/>
                <w:color w:val="0000FF"/>
                <w:kern w:val="2"/>
                <w:sz w:val="21"/>
                <w:szCs w:val="21"/>
                <w:lang w:eastAsia="zh-CN"/>
              </w:rPr>
            </w:pPr>
            <w:r>
              <w:rPr>
                <w:rFonts w:eastAsia="宋体"/>
                <w:b/>
                <w:bCs/>
                <w:color w:val="0000FF"/>
                <w:kern w:val="2"/>
                <w:sz w:val="21"/>
                <w:szCs w:val="21"/>
                <w:lang w:eastAsia="zh-CN"/>
              </w:rPr>
              <w:t>1</w:t>
            </w:r>
          </w:p>
        </w:tc>
        <w:tc>
          <w:tcPr>
            <w:tcW w:w="3666" w:type="dxa"/>
            <w:gridSpan w:val="3"/>
            <w:tcBorders>
              <w:top w:val="single" w:color="000000" w:sz="8" w:space="0"/>
              <w:left w:val="single" w:color="000000" w:sz="8" w:space="0"/>
              <w:bottom w:val="single" w:color="000000" w:sz="8" w:space="0"/>
              <w:right w:val="single" w:color="000000" w:sz="8" w:space="0"/>
            </w:tcBorders>
          </w:tcPr>
          <w:p w14:paraId="6B7744FD">
            <w:pPr>
              <w:widowControl w:val="0"/>
              <w:wordWrap w:val="0"/>
              <w:jc w:val="center"/>
              <w:rPr>
                <w:rFonts w:eastAsia="宋体"/>
                <w:b/>
                <w:bCs/>
                <w:color w:val="0000FF"/>
                <w:kern w:val="2"/>
                <w:sz w:val="21"/>
                <w:szCs w:val="21"/>
                <w:lang w:eastAsia="zh-CN"/>
              </w:rPr>
            </w:pPr>
            <w:r>
              <w:rPr>
                <w:rFonts w:eastAsia="宋体"/>
                <w:b/>
                <w:bCs/>
                <w:color w:val="0000FF"/>
                <w:kern w:val="2"/>
                <w:sz w:val="21"/>
                <w:szCs w:val="21"/>
                <w:lang w:eastAsia="zh-CN"/>
              </w:rPr>
              <w:t>价格</w:t>
            </w:r>
          </w:p>
        </w:tc>
        <w:tc>
          <w:tcPr>
            <w:tcW w:w="5711" w:type="dxa"/>
            <w:tcBorders>
              <w:top w:val="single" w:color="000000" w:sz="8" w:space="0"/>
              <w:left w:val="single" w:color="000000" w:sz="8" w:space="0"/>
              <w:bottom w:val="single" w:color="000000" w:sz="8" w:space="0"/>
              <w:right w:val="single" w:color="000000" w:sz="8" w:space="0"/>
            </w:tcBorders>
          </w:tcPr>
          <w:p w14:paraId="56DA4239">
            <w:pPr>
              <w:widowControl w:val="0"/>
              <w:wordWrap w:val="0"/>
              <w:jc w:val="center"/>
              <w:rPr>
                <w:rFonts w:eastAsia="宋体"/>
                <w:b/>
                <w:bCs/>
                <w:color w:val="0000FF"/>
                <w:kern w:val="2"/>
                <w:sz w:val="21"/>
                <w:szCs w:val="21"/>
                <w:lang w:eastAsia="zh-CN"/>
              </w:rPr>
            </w:pPr>
            <w:r>
              <w:rPr>
                <w:rFonts w:eastAsia="宋体"/>
                <w:b/>
                <w:bCs/>
                <w:color w:val="0000FF"/>
                <w:kern w:val="2"/>
                <w:sz w:val="21"/>
                <w:szCs w:val="21"/>
                <w:lang w:eastAsia="zh-CN"/>
              </w:rPr>
              <w:t>30</w:t>
            </w:r>
          </w:p>
        </w:tc>
      </w:tr>
      <w:tr w14:paraId="3EBEA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vMerge w:val="restart"/>
            <w:tcBorders>
              <w:top w:val="single" w:color="000000" w:sz="8" w:space="0"/>
              <w:left w:val="single" w:color="000000" w:sz="8" w:space="0"/>
              <w:right w:val="single" w:color="000000" w:sz="8" w:space="0"/>
            </w:tcBorders>
          </w:tcPr>
          <w:p w14:paraId="09F827BE">
            <w:pPr>
              <w:widowControl w:val="0"/>
              <w:wordWrap w:val="0"/>
              <w:jc w:val="center"/>
              <w:rPr>
                <w:rFonts w:eastAsia="宋体"/>
                <w:b/>
                <w:bCs/>
                <w:color w:val="0000FF"/>
                <w:kern w:val="2"/>
                <w:sz w:val="21"/>
                <w:szCs w:val="21"/>
                <w:lang w:eastAsia="zh-CN"/>
              </w:rPr>
            </w:pPr>
            <w:r>
              <w:rPr>
                <w:rFonts w:eastAsia="宋体"/>
                <w:b/>
                <w:bCs/>
                <w:color w:val="0000FF"/>
                <w:kern w:val="2"/>
                <w:sz w:val="21"/>
                <w:szCs w:val="21"/>
                <w:lang w:eastAsia="zh-CN"/>
              </w:rPr>
              <w:t>2</w:t>
            </w:r>
          </w:p>
        </w:tc>
        <w:tc>
          <w:tcPr>
            <w:tcW w:w="3666" w:type="dxa"/>
            <w:gridSpan w:val="3"/>
            <w:tcBorders>
              <w:top w:val="single" w:color="000000" w:sz="8" w:space="0"/>
              <w:left w:val="single" w:color="000000" w:sz="8" w:space="0"/>
              <w:bottom w:val="single" w:color="000000" w:sz="8" w:space="0"/>
              <w:right w:val="single" w:color="000000" w:sz="8" w:space="0"/>
            </w:tcBorders>
          </w:tcPr>
          <w:p w14:paraId="6DD3E078">
            <w:pPr>
              <w:widowControl w:val="0"/>
              <w:wordWrap w:val="0"/>
              <w:jc w:val="center"/>
              <w:rPr>
                <w:rFonts w:eastAsia="宋体"/>
                <w:b/>
                <w:bCs/>
                <w:color w:val="0000FF"/>
                <w:kern w:val="2"/>
                <w:sz w:val="21"/>
                <w:szCs w:val="21"/>
                <w:lang w:eastAsia="zh-CN"/>
              </w:rPr>
            </w:pPr>
            <w:r>
              <w:rPr>
                <w:rFonts w:eastAsia="宋体"/>
                <w:b/>
                <w:bCs/>
                <w:color w:val="0000FF"/>
                <w:kern w:val="2"/>
                <w:sz w:val="21"/>
                <w:szCs w:val="21"/>
                <w:lang w:eastAsia="zh-CN"/>
              </w:rPr>
              <w:t>技术部分</w:t>
            </w:r>
          </w:p>
        </w:tc>
        <w:tc>
          <w:tcPr>
            <w:tcW w:w="5711" w:type="dxa"/>
            <w:tcBorders>
              <w:top w:val="single" w:color="000000" w:sz="8" w:space="0"/>
              <w:left w:val="single" w:color="000000" w:sz="8" w:space="0"/>
              <w:bottom w:val="single" w:color="000000" w:sz="8" w:space="0"/>
              <w:right w:val="single" w:color="000000" w:sz="8" w:space="0"/>
            </w:tcBorders>
          </w:tcPr>
          <w:p w14:paraId="715CFC07">
            <w:pPr>
              <w:widowControl w:val="0"/>
              <w:wordWrap w:val="0"/>
              <w:jc w:val="center"/>
              <w:rPr>
                <w:rFonts w:eastAsia="宋体"/>
                <w:b/>
                <w:bCs/>
                <w:color w:val="0000FF"/>
                <w:kern w:val="2"/>
                <w:sz w:val="21"/>
                <w:szCs w:val="21"/>
                <w:lang w:eastAsia="zh-CN"/>
              </w:rPr>
            </w:pPr>
            <w:r>
              <w:rPr>
                <w:rFonts w:hint="eastAsia" w:eastAsia="宋体"/>
                <w:b/>
                <w:bCs/>
                <w:color w:val="0000FF"/>
                <w:kern w:val="2"/>
                <w:sz w:val="21"/>
                <w:szCs w:val="21"/>
                <w:lang w:eastAsia="zh-CN"/>
              </w:rPr>
              <w:t>65</w:t>
            </w:r>
          </w:p>
        </w:tc>
      </w:tr>
      <w:tr w14:paraId="35DAD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vMerge w:val="continue"/>
            <w:tcBorders>
              <w:left w:val="single" w:color="000000" w:sz="8" w:space="0"/>
              <w:right w:val="single" w:color="000000" w:sz="8" w:space="0"/>
            </w:tcBorders>
            <w:shd w:val="clear" w:color="auto" w:fill="E6EFFA"/>
            <w:vAlign w:val="center"/>
          </w:tcPr>
          <w:p w14:paraId="05877959">
            <w:pPr>
              <w:widowControl w:val="0"/>
              <w:jc w:val="both"/>
              <w:rPr>
                <w:rFonts w:eastAsia="宋体"/>
                <w:b/>
                <w:bCs/>
                <w:color w:val="0000FF"/>
                <w:kern w:val="2"/>
                <w:sz w:val="21"/>
                <w:szCs w:val="21"/>
                <w:lang w:eastAsia="zh-CN"/>
              </w:rPr>
            </w:pPr>
          </w:p>
        </w:tc>
        <w:tc>
          <w:tcPr>
            <w:tcW w:w="65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813CFAF">
            <w:pPr>
              <w:widowControl w:val="0"/>
              <w:wordWrap w:val="0"/>
              <w:jc w:val="center"/>
              <w:rPr>
                <w:rFonts w:eastAsia="宋体"/>
                <w:kern w:val="2"/>
                <w:sz w:val="21"/>
                <w:szCs w:val="21"/>
                <w:lang w:eastAsia="zh-CN"/>
              </w:rPr>
            </w:pPr>
            <w:r>
              <w:rPr>
                <w:rFonts w:eastAsia="宋体"/>
                <w:kern w:val="2"/>
                <w:sz w:val="21"/>
                <w:szCs w:val="21"/>
                <w:lang w:eastAsia="zh-CN"/>
              </w:rPr>
              <w:t>序号</w:t>
            </w:r>
          </w:p>
        </w:tc>
        <w:tc>
          <w:tcPr>
            <w:tcW w:w="209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6B60F37">
            <w:pPr>
              <w:widowControl w:val="0"/>
              <w:wordWrap w:val="0"/>
              <w:jc w:val="center"/>
              <w:rPr>
                <w:rFonts w:eastAsia="宋体"/>
                <w:kern w:val="2"/>
                <w:sz w:val="21"/>
                <w:szCs w:val="21"/>
                <w:lang w:eastAsia="zh-CN"/>
              </w:rPr>
            </w:pPr>
            <w:r>
              <w:rPr>
                <w:rFonts w:eastAsia="宋体"/>
                <w:kern w:val="2"/>
                <w:sz w:val="21"/>
                <w:szCs w:val="21"/>
                <w:lang w:eastAsia="zh-CN"/>
              </w:rPr>
              <w:t>评分因素</w:t>
            </w:r>
          </w:p>
        </w:tc>
        <w:tc>
          <w:tcPr>
            <w:tcW w:w="92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F5A1BB5">
            <w:pPr>
              <w:widowControl w:val="0"/>
              <w:wordWrap w:val="0"/>
              <w:jc w:val="center"/>
              <w:rPr>
                <w:rFonts w:eastAsia="宋体"/>
                <w:kern w:val="2"/>
                <w:sz w:val="21"/>
                <w:szCs w:val="21"/>
                <w:lang w:eastAsia="zh-CN"/>
              </w:rPr>
            </w:pPr>
            <w:r>
              <w:rPr>
                <w:rFonts w:eastAsia="宋体"/>
                <w:kern w:val="2"/>
                <w:sz w:val="21"/>
                <w:szCs w:val="21"/>
                <w:lang w:eastAsia="zh-CN"/>
              </w:rPr>
              <w:t>权重(%)</w:t>
            </w:r>
          </w:p>
        </w:tc>
        <w:tc>
          <w:tcPr>
            <w:tcW w:w="571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C3B86B5">
            <w:pPr>
              <w:widowControl w:val="0"/>
              <w:wordWrap w:val="0"/>
              <w:jc w:val="center"/>
              <w:rPr>
                <w:rFonts w:eastAsia="宋体"/>
                <w:kern w:val="2"/>
                <w:sz w:val="21"/>
                <w:szCs w:val="21"/>
                <w:lang w:eastAsia="zh-CN"/>
              </w:rPr>
            </w:pPr>
            <w:r>
              <w:rPr>
                <w:rFonts w:eastAsia="宋体"/>
                <w:kern w:val="2"/>
                <w:sz w:val="21"/>
                <w:szCs w:val="21"/>
                <w:lang w:eastAsia="zh-CN"/>
              </w:rPr>
              <w:t>评分准则</w:t>
            </w:r>
          </w:p>
        </w:tc>
      </w:tr>
      <w:tr w14:paraId="4FFDB6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vMerge w:val="continue"/>
            <w:tcBorders>
              <w:left w:val="single" w:color="000000" w:sz="8" w:space="0"/>
              <w:right w:val="single" w:color="000000" w:sz="8" w:space="0"/>
            </w:tcBorders>
            <w:vAlign w:val="center"/>
          </w:tcPr>
          <w:p w14:paraId="2A43659D">
            <w:pPr>
              <w:widowControl w:val="0"/>
              <w:jc w:val="both"/>
              <w:rPr>
                <w:rFonts w:eastAsia="宋体"/>
                <w:b/>
                <w:bCs/>
                <w:color w:val="0000FF"/>
                <w:kern w:val="2"/>
                <w:sz w:val="21"/>
                <w:szCs w:val="21"/>
                <w:lang w:eastAsia="zh-CN"/>
              </w:rPr>
            </w:pPr>
          </w:p>
        </w:tc>
        <w:tc>
          <w:tcPr>
            <w:tcW w:w="650" w:type="dxa"/>
            <w:tcBorders>
              <w:top w:val="single" w:color="000000" w:sz="8" w:space="0"/>
              <w:left w:val="single" w:color="000000" w:sz="8" w:space="0"/>
              <w:bottom w:val="single" w:color="000000" w:sz="8" w:space="0"/>
              <w:right w:val="single" w:color="000000" w:sz="8" w:space="0"/>
            </w:tcBorders>
            <w:vAlign w:val="center"/>
          </w:tcPr>
          <w:p w14:paraId="515EC92E">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1</w:t>
            </w:r>
          </w:p>
        </w:tc>
        <w:tc>
          <w:tcPr>
            <w:tcW w:w="2094" w:type="dxa"/>
            <w:tcBorders>
              <w:top w:val="single" w:color="000000" w:sz="8" w:space="0"/>
              <w:left w:val="single" w:color="000000" w:sz="8" w:space="0"/>
              <w:bottom w:val="single" w:color="000000" w:sz="8" w:space="0"/>
              <w:right w:val="single" w:color="000000" w:sz="8" w:space="0"/>
            </w:tcBorders>
            <w:vAlign w:val="center"/>
          </w:tcPr>
          <w:p w14:paraId="193A8A6E">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售后服务方案</w:t>
            </w:r>
          </w:p>
        </w:tc>
        <w:tc>
          <w:tcPr>
            <w:tcW w:w="922" w:type="dxa"/>
            <w:tcBorders>
              <w:top w:val="single" w:color="000000" w:sz="8" w:space="0"/>
              <w:left w:val="single" w:color="000000" w:sz="8" w:space="0"/>
              <w:bottom w:val="single" w:color="000000" w:sz="8" w:space="0"/>
              <w:right w:val="single" w:color="000000" w:sz="8" w:space="0"/>
            </w:tcBorders>
            <w:vAlign w:val="center"/>
          </w:tcPr>
          <w:p w14:paraId="76613865">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p>
        </w:tc>
        <w:tc>
          <w:tcPr>
            <w:tcW w:w="5711" w:type="dxa"/>
            <w:tcBorders>
              <w:top w:val="single" w:color="000000" w:sz="8" w:space="0"/>
              <w:left w:val="single" w:color="000000" w:sz="8" w:space="0"/>
              <w:bottom w:val="single" w:color="000000" w:sz="8" w:space="0"/>
              <w:right w:val="single" w:color="000000" w:sz="8" w:space="0"/>
            </w:tcBorders>
          </w:tcPr>
          <w:p w14:paraId="650F517C">
            <w:pPr>
              <w:widowControl w:val="0"/>
              <w:wordWrap w:val="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（一）评审内容</w:t>
            </w:r>
          </w:p>
          <w:p w14:paraId="4841AC05">
            <w:pPr>
              <w:widowControl w:val="0"/>
              <w:wordWrap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考察投标人对本项目的售后服务方案。</w:t>
            </w:r>
          </w:p>
          <w:p w14:paraId="73EEB98E">
            <w:pPr>
              <w:widowControl w:val="0"/>
              <w:wordWrap w:val="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（二）评审依据</w:t>
            </w:r>
          </w:p>
          <w:p w14:paraId="14BB4B0A">
            <w:pPr>
              <w:widowControl w:val="0"/>
              <w:wordWrap w:val="0"/>
              <w:jc w:val="both"/>
              <w:rPr>
                <w:rFonts w:hint="eastAsia" w:ascii="宋体" w:hAnsi="宋体" w:eastAsia="宋体"/>
                <w:kern w:val="2"/>
                <w:sz w:val="21"/>
                <w:szCs w:val="21"/>
                <w:lang w:eastAsia="zh-CN"/>
              </w:rPr>
            </w:pPr>
            <w:r>
              <w:rPr>
                <w:rFonts w:hint="eastAsia" w:ascii="宋体" w:hAnsi="宋体" w:eastAsia="宋体" w:cs="宋体"/>
                <w:kern w:val="2"/>
                <w:sz w:val="21"/>
                <w:szCs w:val="21"/>
                <w:lang w:eastAsia="zh-CN"/>
              </w:rPr>
              <w:t>投标人提供</w:t>
            </w:r>
            <w:r>
              <w:rPr>
                <w:rFonts w:hint="eastAsia" w:ascii="宋体" w:hAnsi="宋体" w:eastAsia="宋体"/>
                <w:kern w:val="2"/>
                <w:sz w:val="21"/>
                <w:szCs w:val="21"/>
                <w:lang w:eastAsia="zh-CN"/>
              </w:rPr>
              <w:t>售后服务</w:t>
            </w:r>
            <w:r>
              <w:rPr>
                <w:rFonts w:hint="eastAsia" w:ascii="宋体" w:hAnsi="宋体" w:eastAsia="宋体" w:cs="宋体"/>
                <w:kern w:val="2"/>
                <w:sz w:val="21"/>
                <w:szCs w:val="21"/>
                <w:lang w:eastAsia="zh-CN"/>
              </w:rPr>
              <w:t>方案得60分。</w:t>
            </w:r>
            <w:r>
              <w:rPr>
                <w:rFonts w:hint="eastAsia" w:ascii="宋体" w:hAnsi="宋体" w:eastAsia="宋体"/>
                <w:kern w:val="2"/>
                <w:sz w:val="21"/>
                <w:szCs w:val="21"/>
                <w:lang w:eastAsia="zh-CN"/>
              </w:rPr>
              <w:t>在此基础上，根据以下标准对投标人具体响应内容进行评价评分：</w:t>
            </w:r>
          </w:p>
          <w:p w14:paraId="749AC879">
            <w:pPr>
              <w:widowControl w:val="0"/>
              <w:wordWrap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（1）售后服务方案合理、详细、清晰、完整，充分满足采购人的应用需求，评价为优得40分；</w:t>
            </w:r>
          </w:p>
          <w:p w14:paraId="23A8163B">
            <w:pPr>
              <w:widowControl w:val="0"/>
              <w:wordWrap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（2）售后服务方案较为完整，比较满足采购人的应用需求，评价为良得30分；</w:t>
            </w:r>
          </w:p>
          <w:p w14:paraId="3A0E2F6C">
            <w:pPr>
              <w:widowControl w:val="0"/>
              <w:wordWrap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（3）售后服务方案基本完整，相对满足采购人的应用需求，评价为中得20分。</w:t>
            </w:r>
          </w:p>
          <w:p w14:paraId="5C391272">
            <w:pPr>
              <w:widowControl w:val="0"/>
              <w:wordWrap w:val="0"/>
              <w:jc w:val="both"/>
              <w:rPr>
                <w:rFonts w:hint="eastAsia" w:ascii="宋体" w:hAnsi="宋体" w:eastAsia="宋体"/>
                <w:b/>
                <w:kern w:val="2"/>
                <w:sz w:val="21"/>
                <w:szCs w:val="21"/>
                <w:lang w:eastAsia="zh-CN"/>
              </w:rPr>
            </w:pPr>
            <w:r>
              <w:rPr>
                <w:rFonts w:hint="eastAsia" w:ascii="宋体" w:hAnsi="宋体" w:eastAsia="宋体"/>
                <w:kern w:val="2"/>
                <w:sz w:val="21"/>
                <w:szCs w:val="21"/>
                <w:lang w:eastAsia="zh-CN"/>
              </w:rPr>
              <w:t>（4）售后服务方案内容简单，不满足采购人的应用需求，评价为差得0分。</w:t>
            </w:r>
            <w:r>
              <w:rPr>
                <w:rFonts w:hint="eastAsia" w:eastAsia="宋体"/>
                <w:kern w:val="2"/>
                <w:sz w:val="21"/>
                <w:lang w:eastAsia="zh-CN"/>
              </w:rPr>
              <w:t>如果评审为差，要求专家书面说明理由，并记录在档。</w:t>
            </w:r>
          </w:p>
        </w:tc>
      </w:tr>
      <w:tr w14:paraId="4AD681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vMerge w:val="continue"/>
            <w:tcBorders>
              <w:left w:val="single" w:color="000000" w:sz="8" w:space="0"/>
              <w:right w:val="single" w:color="000000" w:sz="8" w:space="0"/>
            </w:tcBorders>
            <w:vAlign w:val="center"/>
          </w:tcPr>
          <w:p w14:paraId="68680A66">
            <w:pPr>
              <w:widowControl w:val="0"/>
              <w:jc w:val="both"/>
              <w:rPr>
                <w:rFonts w:eastAsia="宋体"/>
                <w:b/>
                <w:bCs/>
                <w:color w:val="0000FF"/>
                <w:kern w:val="2"/>
                <w:sz w:val="21"/>
                <w:szCs w:val="21"/>
                <w:lang w:eastAsia="zh-CN"/>
              </w:rPr>
            </w:pPr>
          </w:p>
        </w:tc>
        <w:tc>
          <w:tcPr>
            <w:tcW w:w="650" w:type="dxa"/>
            <w:tcBorders>
              <w:top w:val="single" w:color="000000" w:sz="8" w:space="0"/>
              <w:left w:val="single" w:color="000000" w:sz="8" w:space="0"/>
              <w:bottom w:val="single" w:color="000000" w:sz="8" w:space="0"/>
              <w:right w:val="single" w:color="000000" w:sz="8" w:space="0"/>
            </w:tcBorders>
            <w:vAlign w:val="center"/>
          </w:tcPr>
          <w:p w14:paraId="01FC631A">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p>
        </w:tc>
        <w:tc>
          <w:tcPr>
            <w:tcW w:w="2094" w:type="dxa"/>
            <w:tcBorders>
              <w:top w:val="single" w:color="000000" w:sz="8" w:space="0"/>
              <w:left w:val="single" w:color="000000" w:sz="8" w:space="0"/>
              <w:bottom w:val="single" w:color="000000" w:sz="8" w:space="0"/>
              <w:right w:val="single" w:color="000000" w:sz="8" w:space="0"/>
            </w:tcBorders>
            <w:vAlign w:val="center"/>
          </w:tcPr>
          <w:p w14:paraId="31A60DD7">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重要技术要求响应情况</w:t>
            </w:r>
          </w:p>
        </w:tc>
        <w:tc>
          <w:tcPr>
            <w:tcW w:w="922" w:type="dxa"/>
            <w:tcBorders>
              <w:top w:val="single" w:color="000000" w:sz="8" w:space="0"/>
              <w:left w:val="single" w:color="000000" w:sz="8" w:space="0"/>
              <w:bottom w:val="single" w:color="000000" w:sz="8" w:space="0"/>
              <w:right w:val="single" w:color="000000" w:sz="8" w:space="0"/>
            </w:tcBorders>
            <w:vAlign w:val="center"/>
          </w:tcPr>
          <w:p w14:paraId="348A966C">
            <w:pPr>
              <w:widowControl w:val="0"/>
              <w:wordWrap w:val="0"/>
              <w:jc w:val="center"/>
              <w:rPr>
                <w:rFonts w:ascii="宋体" w:hAnsi="宋体" w:eastAsia="宋体"/>
                <w:kern w:val="2"/>
                <w:sz w:val="21"/>
                <w:szCs w:val="21"/>
                <w:lang w:eastAsia="zh-CN"/>
              </w:rPr>
            </w:pPr>
            <w:r>
              <w:rPr>
                <w:rFonts w:hint="eastAsia" w:ascii="宋体" w:hAnsi="宋体" w:eastAsia="宋体"/>
                <w:kern w:val="2"/>
                <w:sz w:val="21"/>
                <w:szCs w:val="21"/>
                <w:lang w:eastAsia="zh-CN"/>
              </w:rPr>
              <w:t>40</w:t>
            </w:r>
          </w:p>
        </w:tc>
        <w:tc>
          <w:tcPr>
            <w:tcW w:w="5711" w:type="dxa"/>
            <w:tcBorders>
              <w:top w:val="single" w:color="000000" w:sz="8" w:space="0"/>
              <w:left w:val="single" w:color="000000" w:sz="8" w:space="0"/>
              <w:bottom w:val="single" w:color="000000" w:sz="8" w:space="0"/>
              <w:right w:val="single" w:color="000000" w:sz="8" w:space="0"/>
            </w:tcBorders>
          </w:tcPr>
          <w:p w14:paraId="159C50CE">
            <w:pPr>
              <w:widowControl w:val="0"/>
              <w:wordWrap w:val="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（一）评审内容</w:t>
            </w:r>
          </w:p>
          <w:p w14:paraId="27815029">
            <w:pPr>
              <w:widowControl w:val="0"/>
              <w:wordWrap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根据项目需求中标注“▲”的重要</w:t>
            </w:r>
            <w:r>
              <w:rPr>
                <w:rFonts w:hint="eastAsia" w:eastAsia="宋体"/>
                <w:bCs/>
                <w:kern w:val="2"/>
                <w:sz w:val="21"/>
                <w:szCs w:val="21"/>
                <w:lang w:eastAsia="zh-CN"/>
              </w:rPr>
              <w:t>参数</w:t>
            </w:r>
            <w:r>
              <w:rPr>
                <w:rFonts w:hint="eastAsia" w:ascii="宋体" w:hAnsi="宋体" w:eastAsia="宋体"/>
                <w:kern w:val="2"/>
                <w:sz w:val="21"/>
                <w:szCs w:val="21"/>
                <w:lang w:eastAsia="zh-CN"/>
              </w:rPr>
              <w:t>的满足程度进行评审，评审委员会以投标文件《技术要求偏离表》中重要参数的响应情况进行打分。</w:t>
            </w:r>
          </w:p>
          <w:p w14:paraId="1EDA41E5">
            <w:pPr>
              <w:widowControl w:val="0"/>
              <w:wordWrap w:val="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（二）评审依据</w:t>
            </w:r>
          </w:p>
          <w:p w14:paraId="4539EA84">
            <w:pPr>
              <w:widowControl w:val="0"/>
              <w:wordWrap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带“▲”号重要参数全部满足得100分，每有一项负偏离的扣</w:t>
            </w:r>
            <w:r>
              <w:rPr>
                <w:rFonts w:hint="eastAsia" w:ascii="宋体" w:hAnsi="宋体" w:eastAsia="宋体"/>
                <w:b/>
                <w:bCs/>
                <w:kern w:val="2"/>
                <w:sz w:val="21"/>
                <w:szCs w:val="21"/>
                <w:lang w:eastAsia="zh-CN"/>
              </w:rPr>
              <w:t>7.2</w:t>
            </w:r>
            <w:r>
              <w:rPr>
                <w:rFonts w:hint="eastAsia" w:ascii="宋体" w:hAnsi="宋体" w:eastAsia="宋体"/>
                <w:kern w:val="2"/>
                <w:sz w:val="21"/>
                <w:szCs w:val="21"/>
                <w:lang w:eastAsia="zh-CN"/>
              </w:rPr>
              <w:t>分，扣完为止</w:t>
            </w:r>
            <w:r>
              <w:rPr>
                <w:rFonts w:hint="eastAsia" w:eastAsia="宋体"/>
                <w:kern w:val="2"/>
                <w:sz w:val="21"/>
                <w:szCs w:val="21"/>
                <w:lang w:eastAsia="zh-CN"/>
              </w:rPr>
              <w:t>。</w:t>
            </w:r>
            <w:r>
              <w:rPr>
                <w:rFonts w:hint="eastAsia" w:ascii="宋体" w:hAnsi="宋体" w:eastAsia="宋体"/>
                <w:kern w:val="2"/>
                <w:sz w:val="21"/>
                <w:szCs w:val="21"/>
                <w:lang w:eastAsia="zh-CN"/>
              </w:rPr>
              <w:t>如技术要求中载明提供证明资料的，需提供对应的证明资料，</w:t>
            </w:r>
            <w:r>
              <w:rPr>
                <w:rFonts w:hint="eastAsia" w:eastAsia="宋体"/>
                <w:kern w:val="2"/>
                <w:sz w:val="21"/>
                <w:lang w:eastAsia="zh-CN"/>
              </w:rPr>
              <w:t>未提供证明</w:t>
            </w:r>
            <w:r>
              <w:rPr>
                <w:rFonts w:hint="eastAsia" w:ascii="宋体" w:hAnsi="宋体" w:eastAsia="宋体"/>
                <w:kern w:val="2"/>
                <w:sz w:val="21"/>
                <w:szCs w:val="21"/>
                <w:lang w:eastAsia="zh-CN"/>
              </w:rPr>
              <w:t>资</w:t>
            </w:r>
            <w:r>
              <w:rPr>
                <w:rFonts w:hint="eastAsia" w:eastAsia="宋体"/>
                <w:kern w:val="2"/>
                <w:sz w:val="21"/>
                <w:lang w:eastAsia="zh-CN"/>
              </w:rPr>
              <w:t>料或证明</w:t>
            </w:r>
            <w:r>
              <w:rPr>
                <w:rFonts w:hint="eastAsia" w:ascii="宋体" w:hAnsi="宋体" w:eastAsia="宋体"/>
                <w:kern w:val="2"/>
                <w:sz w:val="21"/>
                <w:szCs w:val="21"/>
                <w:lang w:eastAsia="zh-CN"/>
              </w:rPr>
              <w:t>资</w:t>
            </w:r>
            <w:r>
              <w:rPr>
                <w:rFonts w:hint="eastAsia" w:eastAsia="宋体"/>
                <w:kern w:val="2"/>
                <w:sz w:val="21"/>
                <w:lang w:eastAsia="zh-CN"/>
              </w:rPr>
              <w:t>料不符合要求的视为负偏离，证明</w:t>
            </w:r>
            <w:r>
              <w:rPr>
                <w:rFonts w:hint="eastAsia" w:ascii="宋体" w:hAnsi="宋体" w:eastAsia="宋体"/>
                <w:kern w:val="2"/>
                <w:sz w:val="21"/>
                <w:szCs w:val="21"/>
                <w:lang w:eastAsia="zh-CN"/>
              </w:rPr>
              <w:t>资</w:t>
            </w:r>
            <w:r>
              <w:rPr>
                <w:rFonts w:hint="eastAsia" w:eastAsia="宋体"/>
                <w:kern w:val="2"/>
                <w:sz w:val="21"/>
                <w:lang w:eastAsia="zh-CN"/>
              </w:rPr>
              <w:t>料是否符合要求由评审委员会根据招标文件要求判定。</w:t>
            </w:r>
          </w:p>
        </w:tc>
      </w:tr>
      <w:tr w14:paraId="22286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vMerge w:val="continue"/>
            <w:tcBorders>
              <w:left w:val="single" w:color="000000" w:sz="8" w:space="0"/>
              <w:right w:val="single" w:color="000000" w:sz="8" w:space="0"/>
            </w:tcBorders>
            <w:vAlign w:val="center"/>
          </w:tcPr>
          <w:p w14:paraId="53DB429D">
            <w:pPr>
              <w:widowControl w:val="0"/>
              <w:jc w:val="both"/>
              <w:rPr>
                <w:rFonts w:eastAsia="宋体"/>
                <w:b/>
                <w:bCs/>
                <w:color w:val="0000FF"/>
                <w:kern w:val="2"/>
                <w:sz w:val="21"/>
                <w:szCs w:val="21"/>
                <w:lang w:eastAsia="zh-CN"/>
              </w:rPr>
            </w:pPr>
          </w:p>
        </w:tc>
        <w:tc>
          <w:tcPr>
            <w:tcW w:w="650" w:type="dxa"/>
            <w:tcBorders>
              <w:top w:val="single" w:color="000000" w:sz="8" w:space="0"/>
              <w:left w:val="single" w:color="000000" w:sz="8" w:space="0"/>
              <w:bottom w:val="single" w:color="000000" w:sz="8" w:space="0"/>
              <w:right w:val="single" w:color="000000" w:sz="8" w:space="0"/>
            </w:tcBorders>
            <w:vAlign w:val="center"/>
          </w:tcPr>
          <w:p w14:paraId="2139F566">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3</w:t>
            </w:r>
          </w:p>
        </w:tc>
        <w:tc>
          <w:tcPr>
            <w:tcW w:w="2094" w:type="dxa"/>
            <w:tcBorders>
              <w:top w:val="single" w:color="000000" w:sz="8" w:space="0"/>
              <w:left w:val="single" w:color="000000" w:sz="8" w:space="0"/>
              <w:bottom w:val="single" w:color="000000" w:sz="8" w:space="0"/>
              <w:right w:val="single" w:color="000000" w:sz="8" w:space="0"/>
            </w:tcBorders>
            <w:vAlign w:val="center"/>
          </w:tcPr>
          <w:p w14:paraId="53B23926">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一般技术要求响应情况</w:t>
            </w:r>
          </w:p>
        </w:tc>
        <w:tc>
          <w:tcPr>
            <w:tcW w:w="922" w:type="dxa"/>
            <w:tcBorders>
              <w:top w:val="single" w:color="000000" w:sz="8" w:space="0"/>
              <w:left w:val="single" w:color="000000" w:sz="8" w:space="0"/>
              <w:bottom w:val="single" w:color="000000" w:sz="8" w:space="0"/>
              <w:right w:val="single" w:color="000000" w:sz="8" w:space="0"/>
            </w:tcBorders>
            <w:vAlign w:val="center"/>
          </w:tcPr>
          <w:p w14:paraId="2F265715">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23</w:t>
            </w:r>
          </w:p>
        </w:tc>
        <w:tc>
          <w:tcPr>
            <w:tcW w:w="5711" w:type="dxa"/>
            <w:tcBorders>
              <w:top w:val="single" w:color="000000" w:sz="8" w:space="0"/>
              <w:left w:val="single" w:color="000000" w:sz="8" w:space="0"/>
              <w:bottom w:val="single" w:color="000000" w:sz="8" w:space="0"/>
              <w:right w:val="single" w:color="000000" w:sz="8" w:space="0"/>
            </w:tcBorders>
          </w:tcPr>
          <w:p w14:paraId="2911F684">
            <w:pPr>
              <w:widowControl w:val="0"/>
              <w:wordWrap w:val="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（一）评审内容</w:t>
            </w:r>
          </w:p>
          <w:p w14:paraId="48F71920">
            <w:pPr>
              <w:widowControl w:val="0"/>
              <w:wordWrap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根据项目需求中一般参数的满足程度进行评审，评审委员会以投标文件《技术要求偏离表》中一般参数响应情况进行打分。</w:t>
            </w:r>
          </w:p>
          <w:p w14:paraId="41E494BC">
            <w:pPr>
              <w:widowControl w:val="0"/>
              <w:wordWrap w:val="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（二）评审依据</w:t>
            </w:r>
          </w:p>
          <w:p w14:paraId="24A828AC">
            <w:pPr>
              <w:widowControl w:val="0"/>
              <w:wordWrap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一般参数全部满足得100分，每有一项负偏离的扣2分，扣完为止。如技术要求中载明提供证明资料的，需提供对应的证明资料，</w:t>
            </w:r>
            <w:r>
              <w:rPr>
                <w:rFonts w:hint="eastAsia" w:eastAsia="宋体"/>
                <w:kern w:val="2"/>
                <w:sz w:val="21"/>
                <w:lang w:eastAsia="zh-CN"/>
              </w:rPr>
              <w:t>未提供证明</w:t>
            </w:r>
            <w:r>
              <w:rPr>
                <w:rFonts w:hint="eastAsia" w:ascii="宋体" w:hAnsi="宋体" w:eastAsia="宋体"/>
                <w:kern w:val="2"/>
                <w:sz w:val="21"/>
                <w:szCs w:val="21"/>
                <w:lang w:eastAsia="zh-CN"/>
              </w:rPr>
              <w:t>资</w:t>
            </w:r>
            <w:r>
              <w:rPr>
                <w:rFonts w:hint="eastAsia" w:eastAsia="宋体"/>
                <w:kern w:val="2"/>
                <w:sz w:val="21"/>
                <w:lang w:eastAsia="zh-CN"/>
              </w:rPr>
              <w:t>料或证明</w:t>
            </w:r>
            <w:r>
              <w:rPr>
                <w:rFonts w:hint="eastAsia" w:ascii="宋体" w:hAnsi="宋体" w:eastAsia="宋体"/>
                <w:kern w:val="2"/>
                <w:sz w:val="21"/>
                <w:szCs w:val="21"/>
                <w:lang w:eastAsia="zh-CN"/>
              </w:rPr>
              <w:t>资</w:t>
            </w:r>
            <w:r>
              <w:rPr>
                <w:rFonts w:hint="eastAsia" w:eastAsia="宋体"/>
                <w:kern w:val="2"/>
                <w:sz w:val="21"/>
                <w:lang w:eastAsia="zh-CN"/>
              </w:rPr>
              <w:t>料不符合要求的视为负偏离，证明</w:t>
            </w:r>
            <w:r>
              <w:rPr>
                <w:rFonts w:hint="eastAsia" w:ascii="宋体" w:hAnsi="宋体" w:eastAsia="宋体"/>
                <w:kern w:val="2"/>
                <w:sz w:val="21"/>
                <w:szCs w:val="21"/>
                <w:lang w:eastAsia="zh-CN"/>
              </w:rPr>
              <w:t>资</w:t>
            </w:r>
            <w:r>
              <w:rPr>
                <w:rFonts w:hint="eastAsia" w:eastAsia="宋体"/>
                <w:kern w:val="2"/>
                <w:sz w:val="21"/>
                <w:lang w:eastAsia="zh-CN"/>
              </w:rPr>
              <w:t>料是否符合要求由评审委员会根据招标文件要求判定</w:t>
            </w:r>
            <w:r>
              <w:rPr>
                <w:rFonts w:hint="eastAsia" w:ascii="宋体" w:hAnsi="宋体" w:eastAsia="宋体"/>
                <w:kern w:val="2"/>
                <w:sz w:val="21"/>
                <w:szCs w:val="21"/>
                <w:lang w:eastAsia="zh-CN"/>
              </w:rPr>
              <w:t>。</w:t>
            </w:r>
          </w:p>
        </w:tc>
      </w:tr>
      <w:tr w14:paraId="1B3129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vMerge w:val="restart"/>
            <w:tcBorders>
              <w:top w:val="single" w:color="000000" w:sz="8" w:space="0"/>
              <w:left w:val="single" w:color="000000" w:sz="8" w:space="0"/>
              <w:right w:val="single" w:color="000000" w:sz="8" w:space="0"/>
            </w:tcBorders>
          </w:tcPr>
          <w:p w14:paraId="18F7BBEE">
            <w:pPr>
              <w:widowControl w:val="0"/>
              <w:wordWrap w:val="0"/>
              <w:jc w:val="center"/>
              <w:rPr>
                <w:rFonts w:eastAsia="宋体"/>
                <w:b/>
                <w:bCs/>
                <w:color w:val="0000FF"/>
                <w:kern w:val="2"/>
                <w:sz w:val="21"/>
                <w:szCs w:val="21"/>
                <w:lang w:eastAsia="zh-CN"/>
              </w:rPr>
            </w:pPr>
            <w:r>
              <w:rPr>
                <w:rFonts w:hint="eastAsia" w:eastAsia="宋体"/>
                <w:b/>
                <w:bCs/>
                <w:color w:val="0000FF"/>
                <w:kern w:val="2"/>
                <w:sz w:val="21"/>
                <w:szCs w:val="21"/>
                <w:lang w:eastAsia="zh-CN"/>
              </w:rPr>
              <w:t>3</w:t>
            </w:r>
          </w:p>
        </w:tc>
        <w:tc>
          <w:tcPr>
            <w:tcW w:w="3666" w:type="dxa"/>
            <w:gridSpan w:val="3"/>
            <w:tcBorders>
              <w:top w:val="single" w:color="000000" w:sz="8" w:space="0"/>
              <w:left w:val="single" w:color="000000" w:sz="8" w:space="0"/>
              <w:bottom w:val="single" w:color="000000" w:sz="8" w:space="0"/>
              <w:right w:val="single" w:color="000000" w:sz="8" w:space="0"/>
            </w:tcBorders>
          </w:tcPr>
          <w:p w14:paraId="4A03D0BB">
            <w:pPr>
              <w:widowControl w:val="0"/>
              <w:wordWrap w:val="0"/>
              <w:jc w:val="center"/>
              <w:rPr>
                <w:rFonts w:eastAsia="宋体"/>
                <w:b/>
                <w:bCs/>
                <w:color w:val="0000FF"/>
                <w:kern w:val="2"/>
                <w:sz w:val="21"/>
                <w:szCs w:val="21"/>
                <w:lang w:eastAsia="zh-CN"/>
              </w:rPr>
            </w:pPr>
            <w:r>
              <w:rPr>
                <w:rFonts w:eastAsia="宋体"/>
                <w:b/>
                <w:bCs/>
                <w:color w:val="0000FF"/>
                <w:kern w:val="2"/>
                <w:sz w:val="21"/>
                <w:szCs w:val="21"/>
                <w:lang w:eastAsia="zh-CN"/>
              </w:rPr>
              <w:t>综合实力部分</w:t>
            </w:r>
          </w:p>
        </w:tc>
        <w:tc>
          <w:tcPr>
            <w:tcW w:w="5711" w:type="dxa"/>
            <w:tcBorders>
              <w:top w:val="single" w:color="000000" w:sz="8" w:space="0"/>
              <w:left w:val="single" w:color="000000" w:sz="8" w:space="0"/>
              <w:bottom w:val="single" w:color="000000" w:sz="8" w:space="0"/>
              <w:right w:val="single" w:color="000000" w:sz="8" w:space="0"/>
            </w:tcBorders>
          </w:tcPr>
          <w:p w14:paraId="545E17CB">
            <w:pPr>
              <w:widowControl w:val="0"/>
              <w:wordWrap w:val="0"/>
              <w:jc w:val="center"/>
              <w:rPr>
                <w:rFonts w:hint="eastAsia" w:eastAsia="宋体"/>
                <w:b/>
                <w:bCs/>
                <w:color w:val="0000FF"/>
                <w:kern w:val="2"/>
                <w:sz w:val="21"/>
                <w:szCs w:val="21"/>
                <w:lang w:eastAsia="zh-CN"/>
              </w:rPr>
            </w:pPr>
            <w:r>
              <w:rPr>
                <w:rFonts w:hint="eastAsia" w:eastAsia="宋体"/>
                <w:b/>
                <w:bCs/>
                <w:color w:val="0000FF"/>
                <w:kern w:val="2"/>
                <w:sz w:val="21"/>
                <w:szCs w:val="21"/>
                <w:lang w:eastAsia="zh-CN"/>
              </w:rPr>
              <w:t>4</w:t>
            </w:r>
          </w:p>
        </w:tc>
      </w:tr>
      <w:tr w14:paraId="6F583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vMerge w:val="continue"/>
            <w:tcBorders>
              <w:left w:val="single" w:color="000000" w:sz="8" w:space="0"/>
              <w:right w:val="single" w:color="000000" w:sz="8" w:space="0"/>
            </w:tcBorders>
            <w:shd w:val="clear" w:color="auto" w:fill="E6EFFA"/>
            <w:vAlign w:val="center"/>
          </w:tcPr>
          <w:p w14:paraId="22C2A81A">
            <w:pPr>
              <w:widowControl w:val="0"/>
              <w:jc w:val="both"/>
              <w:rPr>
                <w:rFonts w:eastAsia="宋体"/>
                <w:b/>
                <w:bCs/>
                <w:color w:val="0000FF"/>
                <w:kern w:val="2"/>
                <w:sz w:val="21"/>
                <w:szCs w:val="21"/>
                <w:lang w:eastAsia="zh-CN"/>
              </w:rPr>
            </w:pPr>
          </w:p>
        </w:tc>
        <w:tc>
          <w:tcPr>
            <w:tcW w:w="65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CD8FD88">
            <w:pPr>
              <w:widowControl w:val="0"/>
              <w:wordWrap w:val="0"/>
              <w:jc w:val="center"/>
              <w:rPr>
                <w:rFonts w:eastAsia="宋体"/>
                <w:kern w:val="2"/>
                <w:sz w:val="21"/>
                <w:szCs w:val="21"/>
                <w:lang w:eastAsia="zh-CN"/>
              </w:rPr>
            </w:pPr>
            <w:r>
              <w:rPr>
                <w:rFonts w:eastAsia="宋体"/>
                <w:kern w:val="2"/>
                <w:sz w:val="21"/>
                <w:szCs w:val="21"/>
                <w:lang w:eastAsia="zh-CN"/>
              </w:rPr>
              <w:t>序号</w:t>
            </w:r>
          </w:p>
        </w:tc>
        <w:tc>
          <w:tcPr>
            <w:tcW w:w="209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1E2763A">
            <w:pPr>
              <w:widowControl w:val="0"/>
              <w:wordWrap w:val="0"/>
              <w:jc w:val="center"/>
              <w:rPr>
                <w:rFonts w:eastAsia="宋体"/>
                <w:kern w:val="2"/>
                <w:sz w:val="21"/>
                <w:szCs w:val="21"/>
                <w:lang w:eastAsia="zh-CN"/>
              </w:rPr>
            </w:pPr>
            <w:r>
              <w:rPr>
                <w:rFonts w:eastAsia="宋体"/>
                <w:kern w:val="2"/>
                <w:sz w:val="21"/>
                <w:szCs w:val="21"/>
                <w:lang w:eastAsia="zh-CN"/>
              </w:rPr>
              <w:t>评分因素</w:t>
            </w:r>
          </w:p>
        </w:tc>
        <w:tc>
          <w:tcPr>
            <w:tcW w:w="92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E49BE51">
            <w:pPr>
              <w:widowControl w:val="0"/>
              <w:wordWrap w:val="0"/>
              <w:jc w:val="center"/>
              <w:rPr>
                <w:rFonts w:eastAsia="宋体"/>
                <w:kern w:val="2"/>
                <w:sz w:val="21"/>
                <w:szCs w:val="21"/>
                <w:lang w:eastAsia="zh-CN"/>
              </w:rPr>
            </w:pPr>
            <w:r>
              <w:rPr>
                <w:rFonts w:eastAsia="宋体"/>
                <w:kern w:val="2"/>
                <w:sz w:val="21"/>
                <w:szCs w:val="21"/>
                <w:lang w:eastAsia="zh-CN"/>
              </w:rPr>
              <w:t>权重(%)</w:t>
            </w:r>
          </w:p>
        </w:tc>
        <w:tc>
          <w:tcPr>
            <w:tcW w:w="571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27E9A78">
            <w:pPr>
              <w:widowControl w:val="0"/>
              <w:wordWrap w:val="0"/>
              <w:jc w:val="center"/>
              <w:rPr>
                <w:rFonts w:eastAsia="宋体"/>
                <w:kern w:val="2"/>
                <w:sz w:val="21"/>
                <w:szCs w:val="21"/>
                <w:lang w:eastAsia="zh-CN"/>
              </w:rPr>
            </w:pPr>
            <w:r>
              <w:rPr>
                <w:rFonts w:eastAsia="宋体"/>
                <w:kern w:val="2"/>
                <w:sz w:val="21"/>
                <w:szCs w:val="21"/>
                <w:lang w:eastAsia="zh-CN"/>
              </w:rPr>
              <w:t>评分准则</w:t>
            </w:r>
          </w:p>
        </w:tc>
      </w:tr>
      <w:tr w14:paraId="4372F9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vMerge w:val="continue"/>
            <w:tcBorders>
              <w:left w:val="single" w:color="000000" w:sz="8" w:space="0"/>
              <w:right w:val="single" w:color="000000" w:sz="8" w:space="0"/>
            </w:tcBorders>
            <w:vAlign w:val="center"/>
          </w:tcPr>
          <w:p w14:paraId="5FE4A486">
            <w:pPr>
              <w:widowControl w:val="0"/>
              <w:jc w:val="both"/>
              <w:rPr>
                <w:rFonts w:eastAsia="宋体"/>
                <w:b/>
                <w:bCs/>
                <w:color w:val="0000FF"/>
                <w:kern w:val="2"/>
                <w:sz w:val="21"/>
                <w:szCs w:val="21"/>
                <w:lang w:eastAsia="zh-CN"/>
              </w:rPr>
            </w:pPr>
          </w:p>
        </w:tc>
        <w:tc>
          <w:tcPr>
            <w:tcW w:w="650" w:type="dxa"/>
            <w:tcBorders>
              <w:top w:val="single" w:color="000000" w:sz="8" w:space="0"/>
              <w:left w:val="single" w:color="000000" w:sz="8" w:space="0"/>
              <w:bottom w:val="single" w:color="000000" w:sz="8" w:space="0"/>
              <w:right w:val="single" w:color="000000" w:sz="8" w:space="0"/>
            </w:tcBorders>
            <w:vAlign w:val="center"/>
          </w:tcPr>
          <w:p w14:paraId="0B926B3C">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1</w:t>
            </w:r>
          </w:p>
        </w:tc>
        <w:tc>
          <w:tcPr>
            <w:tcW w:w="2094" w:type="dxa"/>
            <w:tcBorders>
              <w:top w:val="single" w:color="000000" w:sz="8" w:space="0"/>
              <w:left w:val="single" w:color="000000" w:sz="8" w:space="0"/>
              <w:bottom w:val="single" w:color="000000" w:sz="8" w:space="0"/>
              <w:right w:val="single" w:color="000000" w:sz="8" w:space="0"/>
            </w:tcBorders>
            <w:vAlign w:val="center"/>
          </w:tcPr>
          <w:p w14:paraId="3F6B14DA">
            <w:pPr>
              <w:widowControl w:val="0"/>
              <w:wordWrap w:val="0"/>
              <w:jc w:val="center"/>
              <w:rPr>
                <w:rFonts w:hint="eastAsia" w:ascii="宋体" w:hAnsi="宋体" w:eastAsia="宋体"/>
                <w:kern w:val="2"/>
                <w:sz w:val="21"/>
                <w:szCs w:val="21"/>
                <w:lang w:eastAsia="zh-CN"/>
              </w:rPr>
            </w:pPr>
            <w:r>
              <w:rPr>
                <w:rFonts w:hint="eastAsia" w:ascii="宋体" w:hAnsi="宋体" w:eastAsia="宋体" w:cs="宋体"/>
                <w:kern w:val="2"/>
                <w:sz w:val="21"/>
                <w:szCs w:val="21"/>
                <w:lang w:eastAsia="zh-CN"/>
              </w:rPr>
              <w:t>投标人</w:t>
            </w:r>
            <w:r>
              <w:rPr>
                <w:rFonts w:hint="eastAsia" w:ascii="宋体" w:hAnsi="宋体" w:eastAsia="宋体"/>
                <w:kern w:val="2"/>
                <w:sz w:val="21"/>
                <w:szCs w:val="21"/>
                <w:lang w:eastAsia="zh-CN"/>
              </w:rPr>
              <w:t>同类</w:t>
            </w:r>
            <w:r>
              <w:rPr>
                <w:rFonts w:ascii="宋体" w:hAnsi="宋体" w:eastAsia="宋体"/>
                <w:kern w:val="2"/>
                <w:sz w:val="21"/>
                <w:szCs w:val="21"/>
                <w:lang w:eastAsia="zh-CN"/>
              </w:rPr>
              <w:t>业绩</w:t>
            </w:r>
          </w:p>
        </w:tc>
        <w:tc>
          <w:tcPr>
            <w:tcW w:w="922" w:type="dxa"/>
            <w:tcBorders>
              <w:top w:val="single" w:color="000000" w:sz="8" w:space="0"/>
              <w:left w:val="single" w:color="000000" w:sz="8" w:space="0"/>
              <w:bottom w:val="single" w:color="000000" w:sz="8" w:space="0"/>
              <w:right w:val="single" w:color="000000" w:sz="8" w:space="0"/>
            </w:tcBorders>
            <w:vAlign w:val="center"/>
          </w:tcPr>
          <w:p w14:paraId="529213AB">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p>
        </w:tc>
        <w:tc>
          <w:tcPr>
            <w:tcW w:w="5711" w:type="dxa"/>
            <w:tcBorders>
              <w:top w:val="single" w:color="000000" w:sz="8" w:space="0"/>
              <w:left w:val="single" w:color="000000" w:sz="8" w:space="0"/>
              <w:bottom w:val="single" w:color="000000" w:sz="8" w:space="0"/>
              <w:right w:val="single" w:color="000000" w:sz="8" w:space="0"/>
            </w:tcBorders>
          </w:tcPr>
          <w:p w14:paraId="1277A6FA">
            <w:pPr>
              <w:widowControl w:val="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（一）评审内容</w:t>
            </w:r>
          </w:p>
          <w:p w14:paraId="63F8DC74">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提供自2022年7月1日至投标截止之日（以合同签订时间为准）的以下投标人同类业绩：</w:t>
            </w:r>
          </w:p>
          <w:p w14:paraId="3A785FF7">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所投病床类设备的同类业绩，每提供一个项目得10分，最高得100分。</w:t>
            </w:r>
          </w:p>
          <w:p w14:paraId="1F8B4F8F">
            <w:pPr>
              <w:widowControl w:val="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4AB703D4">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1.要求提供合同关键信息作为得分依据，合同关键信息需包含项目名称、合同甲乙双方名称页、合同签字盖章页、签订日期等信息。</w:t>
            </w:r>
          </w:p>
          <w:p w14:paraId="3582498A">
            <w:pPr>
              <w:widowControl w:val="0"/>
              <w:wordWrap w:val="0"/>
              <w:jc w:val="both"/>
              <w:rPr>
                <w:rFonts w:hint="eastAsia" w:ascii="宋体" w:hAnsi="宋体" w:eastAsia="宋体"/>
                <w:kern w:val="2"/>
                <w:sz w:val="21"/>
                <w:szCs w:val="21"/>
                <w:lang w:eastAsia="zh-CN"/>
              </w:rPr>
            </w:pPr>
            <w:r>
              <w:rPr>
                <w:rFonts w:hint="eastAsia" w:ascii="宋体" w:hAnsi="宋体" w:eastAsia="宋体" w:cs="宋体"/>
                <w:kern w:val="2"/>
                <w:sz w:val="21"/>
                <w:szCs w:val="21"/>
                <w:lang w:eastAsia="zh-CN"/>
              </w:rPr>
              <w:t>2.以上资料均要求提供扫描件，评分中出现无证明资料或专家无法凭所提供资料判断是否得分的情况，一律作不得分处理。</w:t>
            </w:r>
          </w:p>
        </w:tc>
      </w:tr>
      <w:tr w14:paraId="447EC5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vMerge w:val="continue"/>
            <w:tcBorders>
              <w:left w:val="single" w:color="000000" w:sz="8" w:space="0"/>
              <w:right w:val="single" w:color="000000" w:sz="8" w:space="0"/>
            </w:tcBorders>
            <w:vAlign w:val="center"/>
          </w:tcPr>
          <w:p w14:paraId="55FC8D28">
            <w:pPr>
              <w:widowControl w:val="0"/>
              <w:jc w:val="both"/>
              <w:rPr>
                <w:rFonts w:eastAsia="宋体"/>
                <w:b/>
                <w:bCs/>
                <w:color w:val="0000FF"/>
                <w:kern w:val="2"/>
                <w:sz w:val="21"/>
                <w:szCs w:val="21"/>
                <w:lang w:eastAsia="zh-CN"/>
              </w:rPr>
            </w:pPr>
          </w:p>
        </w:tc>
        <w:tc>
          <w:tcPr>
            <w:tcW w:w="650" w:type="dxa"/>
            <w:tcBorders>
              <w:top w:val="single" w:color="000000" w:sz="8" w:space="0"/>
              <w:left w:val="single" w:color="000000" w:sz="8" w:space="0"/>
              <w:bottom w:val="single" w:color="000000" w:sz="8" w:space="0"/>
              <w:right w:val="single" w:color="000000" w:sz="8" w:space="0"/>
            </w:tcBorders>
            <w:vAlign w:val="center"/>
          </w:tcPr>
          <w:p w14:paraId="79EE6110">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p>
        </w:tc>
        <w:tc>
          <w:tcPr>
            <w:tcW w:w="2094" w:type="dxa"/>
            <w:tcBorders>
              <w:top w:val="single" w:color="000000" w:sz="8" w:space="0"/>
              <w:left w:val="single" w:color="000000" w:sz="8" w:space="0"/>
              <w:bottom w:val="single" w:color="000000" w:sz="8" w:space="0"/>
              <w:right w:val="single" w:color="000000" w:sz="8" w:space="0"/>
            </w:tcBorders>
            <w:vAlign w:val="center"/>
          </w:tcPr>
          <w:p w14:paraId="40E9BFE4">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履约评价</w:t>
            </w:r>
          </w:p>
        </w:tc>
        <w:tc>
          <w:tcPr>
            <w:tcW w:w="922" w:type="dxa"/>
            <w:tcBorders>
              <w:top w:val="single" w:color="000000" w:sz="8" w:space="0"/>
              <w:left w:val="single" w:color="000000" w:sz="8" w:space="0"/>
              <w:bottom w:val="single" w:color="000000" w:sz="8" w:space="0"/>
              <w:right w:val="single" w:color="000000" w:sz="8" w:space="0"/>
            </w:tcBorders>
            <w:vAlign w:val="center"/>
          </w:tcPr>
          <w:p w14:paraId="05E2CF0F">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p>
        </w:tc>
        <w:tc>
          <w:tcPr>
            <w:tcW w:w="5711" w:type="dxa"/>
            <w:tcBorders>
              <w:top w:val="single" w:color="000000" w:sz="8" w:space="0"/>
              <w:left w:val="single" w:color="000000" w:sz="8" w:space="0"/>
              <w:bottom w:val="single" w:color="000000" w:sz="8" w:space="0"/>
              <w:right w:val="single" w:color="000000" w:sz="8" w:space="0"/>
            </w:tcBorders>
          </w:tcPr>
          <w:p w14:paraId="62637191">
            <w:pPr>
              <w:widowControl w:val="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（一）评审内容</w:t>
            </w:r>
          </w:p>
          <w:p w14:paraId="3226433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投标人需提供针对上述“投标人</w:t>
            </w:r>
            <w:r>
              <w:rPr>
                <w:rFonts w:hint="eastAsia" w:ascii="宋体" w:hAnsi="宋体" w:eastAsia="宋体"/>
                <w:kern w:val="2"/>
                <w:sz w:val="21"/>
                <w:szCs w:val="21"/>
                <w:lang w:eastAsia="zh-CN"/>
              </w:rPr>
              <w:t>同类</w:t>
            </w:r>
            <w:r>
              <w:rPr>
                <w:rFonts w:ascii="宋体" w:hAnsi="宋体" w:eastAsia="宋体"/>
                <w:kern w:val="2"/>
                <w:sz w:val="21"/>
                <w:szCs w:val="21"/>
                <w:lang w:eastAsia="zh-CN"/>
              </w:rPr>
              <w:t>业绩</w:t>
            </w:r>
            <w:r>
              <w:rPr>
                <w:rFonts w:hint="eastAsia" w:ascii="宋体" w:hAnsi="宋体" w:eastAsia="宋体"/>
                <w:kern w:val="2"/>
                <w:sz w:val="21"/>
                <w:szCs w:val="21"/>
                <w:lang w:eastAsia="zh-CN"/>
              </w:rPr>
              <w:t>”合同甲方出具的履约评价证明，每</w:t>
            </w:r>
            <w:r>
              <w:rPr>
                <w:rFonts w:hint="eastAsia" w:ascii="宋体" w:hAnsi="宋体" w:eastAsia="宋体" w:cs="宋体"/>
                <w:kern w:val="2"/>
                <w:sz w:val="21"/>
                <w:szCs w:val="21"/>
                <w:lang w:eastAsia="zh-CN"/>
              </w:rPr>
              <w:t>提供一份</w:t>
            </w:r>
            <w:r>
              <w:rPr>
                <w:rFonts w:hint="eastAsia" w:ascii="宋体" w:hAnsi="宋体" w:eastAsia="宋体"/>
                <w:kern w:val="2"/>
                <w:sz w:val="21"/>
                <w:szCs w:val="21"/>
                <w:lang w:eastAsia="zh-CN"/>
              </w:rPr>
              <w:t>合同</w:t>
            </w:r>
            <w:r>
              <w:rPr>
                <w:rFonts w:hint="eastAsia" w:ascii="宋体" w:hAnsi="宋体" w:eastAsia="宋体" w:cs="宋体"/>
                <w:kern w:val="2"/>
                <w:sz w:val="21"/>
                <w:szCs w:val="21"/>
                <w:lang w:eastAsia="zh-CN"/>
              </w:rPr>
              <w:t>甲方出具的得优或满意或90分以上履约评价证明得20分，最高100分，同一</w:t>
            </w:r>
            <w:r>
              <w:rPr>
                <w:rFonts w:hint="eastAsia" w:ascii="宋体" w:hAnsi="宋体" w:eastAsia="宋体"/>
                <w:kern w:val="2"/>
                <w:sz w:val="21"/>
                <w:szCs w:val="21"/>
                <w:lang w:eastAsia="zh-CN"/>
              </w:rPr>
              <w:t>合同</w:t>
            </w:r>
            <w:r>
              <w:rPr>
                <w:rFonts w:hint="eastAsia" w:ascii="宋体" w:hAnsi="宋体" w:eastAsia="宋体" w:cs="宋体"/>
                <w:kern w:val="2"/>
                <w:sz w:val="21"/>
                <w:szCs w:val="21"/>
                <w:lang w:eastAsia="zh-CN"/>
              </w:rPr>
              <w:t>甲方单位出具的履约评价不重复得分。</w:t>
            </w:r>
          </w:p>
          <w:p w14:paraId="0D147B77">
            <w:pPr>
              <w:widowControl w:val="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5DB1E9D6">
            <w:pPr>
              <w:widowControl w:val="0"/>
              <w:wordWrap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以上资料均要求提供扫描件，评分中出现无证明资料或专家无法凭所提供资料判断是否得分的情况，一律作不得分处理。</w:t>
            </w:r>
          </w:p>
        </w:tc>
      </w:tr>
      <w:tr w14:paraId="57254B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vMerge w:val="restart"/>
            <w:tcBorders>
              <w:top w:val="single" w:color="000000" w:sz="8" w:space="0"/>
              <w:left w:val="single" w:color="000000" w:sz="8" w:space="0"/>
              <w:bottom w:val="single" w:color="000000" w:sz="8" w:space="0"/>
              <w:right w:val="single" w:color="000000" w:sz="8" w:space="0"/>
            </w:tcBorders>
          </w:tcPr>
          <w:p w14:paraId="783AA782">
            <w:pPr>
              <w:widowControl w:val="0"/>
              <w:wordWrap w:val="0"/>
              <w:jc w:val="center"/>
              <w:rPr>
                <w:rFonts w:eastAsia="宋体"/>
                <w:b/>
                <w:bCs/>
                <w:color w:val="0000FF"/>
                <w:kern w:val="2"/>
                <w:sz w:val="21"/>
                <w:szCs w:val="21"/>
                <w:lang w:eastAsia="zh-CN"/>
              </w:rPr>
            </w:pPr>
            <w:r>
              <w:rPr>
                <w:rFonts w:hint="eastAsia" w:eastAsia="宋体"/>
                <w:b/>
                <w:bCs/>
                <w:color w:val="0000FF"/>
                <w:kern w:val="2"/>
                <w:sz w:val="21"/>
                <w:szCs w:val="21"/>
                <w:lang w:eastAsia="zh-CN"/>
              </w:rPr>
              <w:t>4</w:t>
            </w:r>
          </w:p>
        </w:tc>
        <w:tc>
          <w:tcPr>
            <w:tcW w:w="3666" w:type="dxa"/>
            <w:gridSpan w:val="3"/>
            <w:tcBorders>
              <w:top w:val="single" w:color="000000" w:sz="8" w:space="0"/>
              <w:left w:val="single" w:color="000000" w:sz="8" w:space="0"/>
              <w:bottom w:val="single" w:color="000000" w:sz="8" w:space="0"/>
              <w:right w:val="single" w:color="000000" w:sz="8" w:space="0"/>
            </w:tcBorders>
          </w:tcPr>
          <w:p w14:paraId="59E5B5FE">
            <w:pPr>
              <w:widowControl w:val="0"/>
              <w:wordWrap w:val="0"/>
              <w:jc w:val="center"/>
              <w:rPr>
                <w:rFonts w:eastAsia="宋体"/>
                <w:b/>
                <w:bCs/>
                <w:color w:val="0000FF"/>
                <w:kern w:val="2"/>
                <w:sz w:val="21"/>
                <w:szCs w:val="21"/>
                <w:lang w:eastAsia="zh-CN"/>
              </w:rPr>
            </w:pPr>
            <w:r>
              <w:rPr>
                <w:rFonts w:eastAsia="宋体"/>
                <w:b/>
                <w:bCs/>
                <w:color w:val="0000FF"/>
                <w:kern w:val="2"/>
                <w:sz w:val="21"/>
                <w:szCs w:val="21"/>
                <w:lang w:eastAsia="zh-CN"/>
              </w:rPr>
              <w:t>诚信情况</w:t>
            </w:r>
          </w:p>
        </w:tc>
        <w:tc>
          <w:tcPr>
            <w:tcW w:w="5711" w:type="dxa"/>
            <w:tcBorders>
              <w:top w:val="single" w:color="000000" w:sz="8" w:space="0"/>
              <w:left w:val="single" w:color="000000" w:sz="8" w:space="0"/>
              <w:bottom w:val="single" w:color="000000" w:sz="8" w:space="0"/>
              <w:right w:val="single" w:color="000000" w:sz="8" w:space="0"/>
            </w:tcBorders>
          </w:tcPr>
          <w:p w14:paraId="62F5232D">
            <w:pPr>
              <w:widowControl w:val="0"/>
              <w:wordWrap w:val="0"/>
              <w:jc w:val="center"/>
              <w:rPr>
                <w:rFonts w:eastAsia="宋体"/>
                <w:b/>
                <w:bCs/>
                <w:color w:val="0000FF"/>
                <w:kern w:val="2"/>
                <w:sz w:val="21"/>
                <w:szCs w:val="21"/>
                <w:lang w:eastAsia="zh-CN"/>
              </w:rPr>
            </w:pPr>
            <w:r>
              <w:rPr>
                <w:rFonts w:hint="eastAsia" w:eastAsia="宋体"/>
                <w:b/>
                <w:bCs/>
                <w:color w:val="0000FF"/>
                <w:kern w:val="2"/>
                <w:sz w:val="21"/>
                <w:szCs w:val="21"/>
                <w:lang w:eastAsia="zh-CN"/>
              </w:rPr>
              <w:t>1</w:t>
            </w:r>
          </w:p>
        </w:tc>
      </w:tr>
      <w:tr w14:paraId="3F997F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31DA854">
            <w:pPr>
              <w:widowControl w:val="0"/>
              <w:jc w:val="both"/>
              <w:rPr>
                <w:rFonts w:eastAsia="宋体"/>
                <w:b/>
                <w:bCs/>
                <w:color w:val="0000FF"/>
                <w:kern w:val="2"/>
                <w:sz w:val="21"/>
                <w:szCs w:val="21"/>
                <w:lang w:eastAsia="zh-CN"/>
              </w:rPr>
            </w:pPr>
          </w:p>
        </w:tc>
        <w:tc>
          <w:tcPr>
            <w:tcW w:w="65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B86A319">
            <w:pPr>
              <w:widowControl w:val="0"/>
              <w:wordWrap w:val="0"/>
              <w:jc w:val="center"/>
              <w:rPr>
                <w:rFonts w:eastAsia="宋体"/>
                <w:kern w:val="2"/>
                <w:sz w:val="21"/>
                <w:szCs w:val="21"/>
                <w:lang w:eastAsia="zh-CN"/>
              </w:rPr>
            </w:pPr>
            <w:r>
              <w:rPr>
                <w:rFonts w:eastAsia="宋体"/>
                <w:kern w:val="2"/>
                <w:sz w:val="21"/>
                <w:szCs w:val="21"/>
                <w:lang w:eastAsia="zh-CN"/>
              </w:rPr>
              <w:t>序号</w:t>
            </w:r>
          </w:p>
        </w:tc>
        <w:tc>
          <w:tcPr>
            <w:tcW w:w="209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B50015C">
            <w:pPr>
              <w:widowControl w:val="0"/>
              <w:wordWrap w:val="0"/>
              <w:jc w:val="center"/>
              <w:rPr>
                <w:rFonts w:eastAsia="宋体"/>
                <w:kern w:val="2"/>
                <w:sz w:val="21"/>
                <w:szCs w:val="21"/>
                <w:lang w:eastAsia="zh-CN"/>
              </w:rPr>
            </w:pPr>
            <w:r>
              <w:rPr>
                <w:rFonts w:eastAsia="宋体"/>
                <w:kern w:val="2"/>
                <w:sz w:val="21"/>
                <w:szCs w:val="21"/>
                <w:lang w:eastAsia="zh-CN"/>
              </w:rPr>
              <w:t>评分因素</w:t>
            </w:r>
          </w:p>
        </w:tc>
        <w:tc>
          <w:tcPr>
            <w:tcW w:w="92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4A1C38E">
            <w:pPr>
              <w:widowControl w:val="0"/>
              <w:wordWrap w:val="0"/>
              <w:jc w:val="center"/>
              <w:rPr>
                <w:rFonts w:eastAsia="宋体"/>
                <w:kern w:val="2"/>
                <w:sz w:val="21"/>
                <w:szCs w:val="21"/>
                <w:lang w:eastAsia="zh-CN"/>
              </w:rPr>
            </w:pPr>
            <w:r>
              <w:rPr>
                <w:rFonts w:eastAsia="宋体"/>
                <w:kern w:val="2"/>
                <w:sz w:val="21"/>
                <w:szCs w:val="21"/>
                <w:lang w:eastAsia="zh-CN"/>
              </w:rPr>
              <w:t>权重(%)</w:t>
            </w:r>
          </w:p>
        </w:tc>
        <w:tc>
          <w:tcPr>
            <w:tcW w:w="571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DC61DA5">
            <w:pPr>
              <w:widowControl w:val="0"/>
              <w:wordWrap w:val="0"/>
              <w:jc w:val="center"/>
              <w:rPr>
                <w:rFonts w:eastAsia="宋体"/>
                <w:kern w:val="2"/>
                <w:sz w:val="21"/>
                <w:szCs w:val="21"/>
                <w:lang w:eastAsia="zh-CN"/>
              </w:rPr>
            </w:pPr>
            <w:r>
              <w:rPr>
                <w:rFonts w:eastAsia="宋体"/>
                <w:kern w:val="2"/>
                <w:sz w:val="21"/>
                <w:szCs w:val="21"/>
                <w:lang w:eastAsia="zh-CN"/>
              </w:rPr>
              <w:t>评分准则</w:t>
            </w:r>
          </w:p>
        </w:tc>
      </w:tr>
      <w:tr w14:paraId="0307DA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46" w:type="dxa"/>
            <w:vMerge w:val="continue"/>
            <w:tcBorders>
              <w:top w:val="single" w:color="000000" w:sz="8" w:space="0"/>
              <w:left w:val="single" w:color="000000" w:sz="8" w:space="0"/>
              <w:bottom w:val="single" w:color="000000" w:sz="8" w:space="0"/>
              <w:right w:val="single" w:color="000000" w:sz="8" w:space="0"/>
            </w:tcBorders>
            <w:vAlign w:val="center"/>
          </w:tcPr>
          <w:p w14:paraId="28A66F19">
            <w:pPr>
              <w:widowControl w:val="0"/>
              <w:jc w:val="both"/>
              <w:rPr>
                <w:rFonts w:eastAsia="宋体"/>
                <w:b/>
                <w:bCs/>
                <w:color w:val="0000FF"/>
                <w:kern w:val="2"/>
                <w:sz w:val="21"/>
                <w:szCs w:val="21"/>
                <w:lang w:eastAsia="zh-CN"/>
              </w:rPr>
            </w:pPr>
          </w:p>
        </w:tc>
        <w:tc>
          <w:tcPr>
            <w:tcW w:w="650" w:type="dxa"/>
            <w:tcBorders>
              <w:top w:val="single" w:color="000000" w:sz="8" w:space="0"/>
              <w:left w:val="single" w:color="000000" w:sz="8" w:space="0"/>
              <w:bottom w:val="single" w:color="000000" w:sz="8" w:space="0"/>
              <w:right w:val="single" w:color="000000" w:sz="8" w:space="0"/>
            </w:tcBorders>
            <w:vAlign w:val="center"/>
          </w:tcPr>
          <w:p w14:paraId="382807E7">
            <w:pPr>
              <w:widowControl w:val="0"/>
              <w:wordWrap w:val="0"/>
              <w:jc w:val="center"/>
              <w:rPr>
                <w:rFonts w:eastAsia="宋体"/>
                <w:kern w:val="2"/>
                <w:sz w:val="21"/>
                <w:szCs w:val="21"/>
                <w:lang w:eastAsia="zh-CN"/>
              </w:rPr>
            </w:pPr>
            <w:r>
              <w:rPr>
                <w:rFonts w:eastAsia="宋体"/>
                <w:kern w:val="2"/>
                <w:sz w:val="21"/>
                <w:szCs w:val="21"/>
                <w:lang w:eastAsia="zh-CN"/>
              </w:rPr>
              <w:t>1</w:t>
            </w:r>
          </w:p>
        </w:tc>
        <w:tc>
          <w:tcPr>
            <w:tcW w:w="2094" w:type="dxa"/>
            <w:tcBorders>
              <w:top w:val="single" w:color="000000" w:sz="8" w:space="0"/>
              <w:left w:val="single" w:color="000000" w:sz="8" w:space="0"/>
              <w:bottom w:val="single" w:color="000000" w:sz="8" w:space="0"/>
              <w:right w:val="single" w:color="000000" w:sz="8" w:space="0"/>
            </w:tcBorders>
            <w:vAlign w:val="center"/>
          </w:tcPr>
          <w:p w14:paraId="3F263801">
            <w:pPr>
              <w:widowControl/>
              <w:wordWrap w:val="0"/>
              <w:jc w:val="center"/>
              <w:rPr>
                <w:rFonts w:hint="eastAsia" w:ascii="宋体" w:hAnsi="宋体" w:eastAsia="宋体" w:cs="宋体"/>
                <w:sz w:val="21"/>
                <w:szCs w:val="21"/>
                <w:lang w:eastAsia="zh-CN"/>
              </w:rPr>
            </w:pPr>
            <w:r>
              <w:rPr>
                <w:rFonts w:ascii="宋体" w:hAnsi="宋体" w:eastAsia="宋体"/>
                <w:sz w:val="21"/>
                <w:szCs w:val="21"/>
                <w:lang w:eastAsia="zh-CN"/>
              </w:rPr>
              <w:t>诚信</w:t>
            </w:r>
          </w:p>
        </w:tc>
        <w:tc>
          <w:tcPr>
            <w:tcW w:w="922" w:type="dxa"/>
            <w:tcBorders>
              <w:top w:val="single" w:color="000000" w:sz="8" w:space="0"/>
              <w:left w:val="single" w:color="000000" w:sz="8" w:space="0"/>
              <w:bottom w:val="single" w:color="000000" w:sz="8" w:space="0"/>
              <w:right w:val="single" w:color="000000" w:sz="8" w:space="0"/>
            </w:tcBorders>
            <w:vAlign w:val="center"/>
          </w:tcPr>
          <w:p w14:paraId="466C38FC">
            <w:pPr>
              <w:widowControl/>
              <w:wordWrap w:val="0"/>
              <w:jc w:val="center"/>
              <w:rPr>
                <w:rFonts w:hint="eastAsia" w:ascii="宋体" w:hAnsi="宋体" w:eastAsia="宋体" w:cs="宋体"/>
                <w:sz w:val="21"/>
                <w:szCs w:val="21"/>
                <w:lang w:eastAsia="zh-CN"/>
              </w:rPr>
            </w:pPr>
            <w:r>
              <w:rPr>
                <w:rFonts w:hint="eastAsia" w:ascii="宋体" w:hAnsi="宋体" w:eastAsia="宋体"/>
                <w:sz w:val="21"/>
                <w:szCs w:val="21"/>
                <w:lang w:eastAsia="zh-CN"/>
              </w:rPr>
              <w:t>1</w:t>
            </w:r>
          </w:p>
        </w:tc>
        <w:tc>
          <w:tcPr>
            <w:tcW w:w="5711" w:type="dxa"/>
            <w:tcBorders>
              <w:top w:val="single" w:color="000000" w:sz="8" w:space="0"/>
              <w:left w:val="single" w:color="000000" w:sz="8" w:space="0"/>
              <w:bottom w:val="single" w:color="000000" w:sz="8" w:space="0"/>
              <w:right w:val="single" w:color="000000" w:sz="8" w:space="0"/>
            </w:tcBorders>
          </w:tcPr>
          <w:p w14:paraId="7E1990F1">
            <w:pPr>
              <w:widowControl/>
              <w:wordWrap w:val="0"/>
              <w:jc w:val="left"/>
              <w:rPr>
                <w:rFonts w:eastAsia="宋体"/>
                <w:b/>
                <w:bCs/>
                <w:kern w:val="2"/>
                <w:sz w:val="21"/>
                <w:szCs w:val="21"/>
                <w:lang w:eastAsia="zh-CN"/>
              </w:rPr>
            </w:pPr>
            <w:r>
              <w:rPr>
                <w:rFonts w:hint="eastAsia" w:eastAsia="宋体"/>
                <w:b/>
                <w:bCs/>
                <w:kern w:val="2"/>
                <w:sz w:val="21"/>
                <w:szCs w:val="21"/>
                <w:lang w:eastAsia="zh-CN"/>
              </w:rPr>
              <w:t>（一）评分内容</w:t>
            </w:r>
          </w:p>
          <w:p w14:paraId="46AAD2FD">
            <w:pPr>
              <w:widowControl/>
              <w:wordWrap w:val="0"/>
              <w:jc w:val="left"/>
              <w:rPr>
                <w:rFonts w:eastAsia="宋体"/>
                <w:kern w:val="2"/>
                <w:sz w:val="21"/>
                <w:szCs w:val="21"/>
                <w:lang w:eastAsia="zh-CN"/>
              </w:rPr>
            </w:pPr>
            <w:r>
              <w:rPr>
                <w:rFonts w:hint="eastAsia" w:eastAsia="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0404DE86">
            <w:pPr>
              <w:widowControl/>
              <w:wordWrap w:val="0"/>
              <w:jc w:val="left"/>
              <w:rPr>
                <w:rFonts w:eastAsia="宋体"/>
                <w:b/>
                <w:bCs/>
                <w:kern w:val="2"/>
                <w:sz w:val="21"/>
                <w:szCs w:val="21"/>
                <w:lang w:eastAsia="zh-CN"/>
              </w:rPr>
            </w:pPr>
            <w:r>
              <w:rPr>
                <w:rFonts w:hint="eastAsia" w:eastAsia="宋体"/>
                <w:b/>
                <w:bCs/>
                <w:kern w:val="2"/>
                <w:sz w:val="21"/>
                <w:szCs w:val="21"/>
                <w:lang w:eastAsia="zh-CN"/>
              </w:rPr>
              <w:t>（二）评</w:t>
            </w:r>
            <w:r>
              <w:rPr>
                <w:rFonts w:hint="eastAsia" w:ascii="宋体" w:hAnsi="宋体" w:eastAsia="宋体" w:cs="宋体"/>
                <w:b/>
                <w:kern w:val="2"/>
                <w:sz w:val="21"/>
                <w:szCs w:val="21"/>
                <w:lang w:eastAsia="zh-CN"/>
              </w:rPr>
              <w:t>审</w:t>
            </w:r>
            <w:r>
              <w:rPr>
                <w:rFonts w:hint="eastAsia" w:eastAsia="宋体"/>
                <w:b/>
                <w:bCs/>
                <w:kern w:val="2"/>
                <w:sz w:val="21"/>
                <w:szCs w:val="21"/>
                <w:lang w:eastAsia="zh-CN"/>
              </w:rPr>
              <w:t>依据</w:t>
            </w:r>
          </w:p>
          <w:p w14:paraId="600E7C39">
            <w:pPr>
              <w:widowControl w:val="0"/>
              <w:jc w:val="both"/>
              <w:rPr>
                <w:rFonts w:hint="eastAsia" w:ascii="宋体" w:hAnsi="宋体" w:eastAsia="宋体" w:cs="宋体"/>
                <w:sz w:val="21"/>
                <w:szCs w:val="21"/>
                <w:lang w:eastAsia="zh-CN"/>
              </w:rPr>
            </w:pPr>
            <w:r>
              <w:rPr>
                <w:rFonts w:hint="eastAsia" w:eastAsia="宋体"/>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352FB46D">
      <w:pPr>
        <w:widowControl w:val="0"/>
        <w:jc w:val="left"/>
        <w:rPr>
          <w:rFonts w:eastAsia="宋体"/>
          <w:kern w:val="2"/>
          <w:sz w:val="21"/>
          <w:lang w:eastAsia="zh-CN"/>
        </w:rPr>
      </w:pPr>
      <w:r>
        <w:rPr>
          <w:rFonts w:eastAsia="宋体"/>
          <w:kern w:val="2"/>
          <w:sz w:val="21"/>
          <w:lang w:eastAsia="zh-CN"/>
        </w:rPr>
        <w:br w:type="page"/>
      </w:r>
    </w:p>
    <w:p w14:paraId="76DBF55D">
      <w:pPr>
        <w:widowControl w:val="0"/>
        <w:spacing w:line="360" w:lineRule="auto"/>
        <w:jc w:val="both"/>
        <w:rPr>
          <w:rFonts w:eastAsia="宋体"/>
          <w:b/>
          <w:bCs/>
          <w:kern w:val="2"/>
          <w:lang w:eastAsia="zh-CN"/>
        </w:rPr>
      </w:pPr>
    </w:p>
    <w:p w14:paraId="5B0F028B">
      <w:pPr>
        <w:widowControl w:val="0"/>
        <w:jc w:val="center"/>
        <w:rPr>
          <w:rFonts w:eastAsia="宋体"/>
          <w:b/>
          <w:kern w:val="2"/>
          <w:sz w:val="120"/>
          <w:szCs w:val="120"/>
          <w:lang w:eastAsia="zh-CN"/>
        </w:rPr>
      </w:pPr>
    </w:p>
    <w:p w14:paraId="6D2016C8">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47D6D6E1">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045731A9">
      <w:pPr>
        <w:widowControl w:val="0"/>
        <w:jc w:val="center"/>
        <w:rPr>
          <w:rFonts w:eastAsia="宋体"/>
          <w:b/>
          <w:kern w:val="2"/>
          <w:sz w:val="52"/>
          <w:szCs w:val="52"/>
          <w:lang w:eastAsia="zh-CN"/>
        </w:rPr>
      </w:pPr>
      <w:r>
        <w:rPr>
          <w:rFonts w:hint="eastAsia" w:eastAsia="宋体"/>
          <w:b/>
          <w:kern w:val="2"/>
          <w:sz w:val="52"/>
          <w:szCs w:val="52"/>
          <w:lang w:eastAsia="zh-CN"/>
        </w:rPr>
        <w:t>（货物类）</w:t>
      </w:r>
    </w:p>
    <w:p w14:paraId="0961BD69">
      <w:pPr>
        <w:widowControl w:val="0"/>
        <w:jc w:val="both"/>
        <w:rPr>
          <w:rFonts w:eastAsia="宋体"/>
          <w:kern w:val="2"/>
          <w:sz w:val="21"/>
          <w:lang w:eastAsia="zh-CN"/>
        </w:rPr>
      </w:pPr>
    </w:p>
    <w:p w14:paraId="00928C64">
      <w:pPr>
        <w:widowControl w:val="0"/>
        <w:jc w:val="both"/>
        <w:rPr>
          <w:rFonts w:eastAsia="宋体"/>
          <w:kern w:val="2"/>
          <w:sz w:val="21"/>
          <w:lang w:eastAsia="zh-CN"/>
        </w:rPr>
      </w:pPr>
    </w:p>
    <w:p w14:paraId="23F8E458">
      <w:pPr>
        <w:widowControl w:val="0"/>
        <w:jc w:val="both"/>
        <w:rPr>
          <w:rFonts w:eastAsia="宋体"/>
          <w:kern w:val="2"/>
          <w:sz w:val="21"/>
          <w:lang w:eastAsia="zh-CN"/>
        </w:rPr>
      </w:pPr>
    </w:p>
    <w:p w14:paraId="4CC319F4">
      <w:pPr>
        <w:widowControl w:val="0"/>
        <w:jc w:val="both"/>
        <w:rPr>
          <w:rFonts w:eastAsia="宋体"/>
          <w:kern w:val="2"/>
          <w:sz w:val="21"/>
          <w:lang w:eastAsia="zh-CN"/>
        </w:rPr>
      </w:pPr>
    </w:p>
    <w:p w14:paraId="78728A11">
      <w:pPr>
        <w:widowControl w:val="0"/>
        <w:jc w:val="both"/>
        <w:rPr>
          <w:rFonts w:eastAsia="宋体"/>
          <w:kern w:val="2"/>
          <w:sz w:val="21"/>
          <w:lang w:eastAsia="zh-CN"/>
        </w:rPr>
      </w:pPr>
    </w:p>
    <w:p w14:paraId="78A545DA">
      <w:pPr>
        <w:widowControl w:val="0"/>
        <w:jc w:val="both"/>
        <w:rPr>
          <w:rFonts w:eastAsia="宋体"/>
          <w:kern w:val="2"/>
          <w:sz w:val="21"/>
          <w:lang w:eastAsia="zh-CN"/>
        </w:rPr>
      </w:pPr>
    </w:p>
    <w:p w14:paraId="0F9091B9">
      <w:pPr>
        <w:widowControl w:val="0"/>
        <w:jc w:val="both"/>
        <w:rPr>
          <w:rFonts w:eastAsia="宋体"/>
          <w:kern w:val="2"/>
          <w:sz w:val="21"/>
          <w:lang w:eastAsia="zh-CN"/>
        </w:rPr>
      </w:pPr>
    </w:p>
    <w:p w14:paraId="3A3C3948">
      <w:pPr>
        <w:widowControl w:val="0"/>
        <w:jc w:val="both"/>
        <w:rPr>
          <w:rFonts w:eastAsia="宋体"/>
          <w:kern w:val="2"/>
          <w:sz w:val="21"/>
          <w:lang w:eastAsia="zh-CN"/>
        </w:rPr>
      </w:pPr>
    </w:p>
    <w:p w14:paraId="6E8F156A">
      <w:pPr>
        <w:widowControl w:val="0"/>
        <w:jc w:val="both"/>
        <w:rPr>
          <w:rFonts w:eastAsia="宋体"/>
          <w:kern w:val="2"/>
          <w:sz w:val="21"/>
          <w:lang w:eastAsia="zh-CN"/>
        </w:rPr>
      </w:pPr>
    </w:p>
    <w:p w14:paraId="25EFC521">
      <w:pPr>
        <w:widowControl w:val="0"/>
        <w:jc w:val="both"/>
        <w:rPr>
          <w:rFonts w:eastAsia="宋体"/>
          <w:kern w:val="2"/>
          <w:sz w:val="21"/>
          <w:lang w:eastAsia="zh-CN"/>
        </w:rPr>
      </w:pPr>
    </w:p>
    <w:p w14:paraId="2D017023">
      <w:pPr>
        <w:widowControl w:val="0"/>
        <w:jc w:val="both"/>
        <w:rPr>
          <w:rFonts w:eastAsia="宋体"/>
          <w:kern w:val="2"/>
          <w:sz w:val="21"/>
          <w:lang w:eastAsia="zh-CN"/>
        </w:rPr>
      </w:pPr>
    </w:p>
    <w:p w14:paraId="3E8F277C">
      <w:pPr>
        <w:widowControl w:val="0"/>
        <w:jc w:val="both"/>
        <w:rPr>
          <w:rFonts w:eastAsia="宋体"/>
          <w:kern w:val="2"/>
          <w:sz w:val="21"/>
          <w:lang w:eastAsia="zh-CN"/>
        </w:rPr>
      </w:pPr>
    </w:p>
    <w:p w14:paraId="39984884">
      <w:pPr>
        <w:widowControl w:val="0"/>
        <w:jc w:val="both"/>
        <w:rPr>
          <w:rFonts w:eastAsia="宋体"/>
          <w:kern w:val="2"/>
          <w:sz w:val="21"/>
          <w:lang w:eastAsia="zh-CN"/>
        </w:rPr>
      </w:pPr>
    </w:p>
    <w:p w14:paraId="1DBE83E2">
      <w:pPr>
        <w:widowControl w:val="0"/>
        <w:jc w:val="both"/>
        <w:rPr>
          <w:rFonts w:eastAsia="宋体"/>
          <w:kern w:val="2"/>
          <w:sz w:val="21"/>
          <w:lang w:eastAsia="zh-CN"/>
        </w:rPr>
      </w:pPr>
    </w:p>
    <w:p w14:paraId="51147EBE">
      <w:pPr>
        <w:widowControl w:val="0"/>
        <w:jc w:val="both"/>
        <w:rPr>
          <w:rFonts w:eastAsia="宋体"/>
          <w:kern w:val="2"/>
          <w:sz w:val="21"/>
          <w:lang w:eastAsia="zh-CN"/>
        </w:rPr>
      </w:pPr>
    </w:p>
    <w:p w14:paraId="1708060E">
      <w:pPr>
        <w:widowControl w:val="0"/>
        <w:jc w:val="both"/>
        <w:rPr>
          <w:rFonts w:eastAsia="宋体"/>
          <w:kern w:val="2"/>
          <w:sz w:val="21"/>
          <w:lang w:eastAsia="zh-CN"/>
        </w:rPr>
      </w:pPr>
    </w:p>
    <w:p w14:paraId="06F6914D">
      <w:pPr>
        <w:widowControl w:val="0"/>
        <w:jc w:val="both"/>
        <w:rPr>
          <w:rFonts w:eastAsia="宋体"/>
          <w:kern w:val="2"/>
          <w:sz w:val="21"/>
          <w:lang w:eastAsia="zh-CN"/>
        </w:rPr>
      </w:pPr>
    </w:p>
    <w:p w14:paraId="6D6CE92A">
      <w:pPr>
        <w:widowControl w:val="0"/>
        <w:jc w:val="both"/>
        <w:rPr>
          <w:rFonts w:eastAsia="宋体"/>
          <w:kern w:val="2"/>
          <w:sz w:val="21"/>
          <w:lang w:eastAsia="zh-CN"/>
        </w:rPr>
      </w:pPr>
    </w:p>
    <w:p w14:paraId="6C12D709">
      <w:pPr>
        <w:widowControl w:val="0"/>
        <w:jc w:val="both"/>
        <w:rPr>
          <w:rFonts w:eastAsia="宋体"/>
          <w:kern w:val="2"/>
          <w:sz w:val="21"/>
          <w:lang w:eastAsia="zh-CN"/>
        </w:rPr>
      </w:pPr>
    </w:p>
    <w:p w14:paraId="7E8C6C81">
      <w:pPr>
        <w:widowControl w:val="0"/>
        <w:jc w:val="center"/>
        <w:rPr>
          <w:rFonts w:eastAsia="宋体"/>
          <w:b/>
          <w:kern w:val="2"/>
          <w:sz w:val="44"/>
          <w:szCs w:val="44"/>
          <w:lang w:eastAsia="zh-CN"/>
        </w:rPr>
      </w:pPr>
      <w:bookmarkStart w:id="1" w:name="_Hlk71465316"/>
      <w:r>
        <w:rPr>
          <w:rFonts w:hint="eastAsia" w:eastAsia="宋体"/>
          <w:b/>
          <w:kern w:val="2"/>
          <w:sz w:val="44"/>
          <w:szCs w:val="44"/>
          <w:lang w:eastAsia="zh-CN"/>
        </w:rPr>
        <w:t>深圳公共资源交易中心</w:t>
      </w:r>
    </w:p>
    <w:p w14:paraId="0E5CBA1E">
      <w:pPr>
        <w:widowControl w:val="0"/>
        <w:jc w:val="center"/>
        <w:rPr>
          <w:rFonts w:eastAsia="宋体"/>
          <w:b/>
          <w:kern w:val="2"/>
          <w:sz w:val="44"/>
          <w:szCs w:val="44"/>
          <w:lang w:eastAsia="zh-CN"/>
        </w:rPr>
      </w:pPr>
      <w:r>
        <w:rPr>
          <w:rFonts w:hint="eastAsia" w:eastAsia="宋体"/>
          <w:b/>
          <w:kern w:val="2"/>
          <w:sz w:val="44"/>
          <w:szCs w:val="44"/>
          <w:lang w:eastAsia="zh-CN"/>
        </w:rPr>
        <w:t>（</w:t>
      </w:r>
      <w:r>
        <w:rPr>
          <w:rFonts w:eastAsia="宋体"/>
          <w:b/>
          <w:kern w:val="2"/>
          <w:sz w:val="44"/>
          <w:szCs w:val="44"/>
          <w:lang w:eastAsia="zh-CN"/>
        </w:rPr>
        <w:t>20</w:t>
      </w:r>
      <w:r>
        <w:rPr>
          <w:rFonts w:hint="eastAsia" w:eastAsia="宋体"/>
          <w:b/>
          <w:kern w:val="2"/>
          <w:sz w:val="44"/>
          <w:szCs w:val="44"/>
          <w:lang w:eastAsia="zh-CN"/>
        </w:rPr>
        <w:t>25）</w:t>
      </w:r>
    </w:p>
    <w:bookmarkEnd w:id="1"/>
    <w:p w14:paraId="77C1BEF7">
      <w:pPr>
        <w:widowControl/>
        <w:jc w:val="center"/>
        <w:rPr>
          <w:rFonts w:eastAsia="宋体"/>
          <w:kern w:val="2"/>
          <w:sz w:val="21"/>
          <w:lang w:eastAsia="zh-CN"/>
        </w:rPr>
      </w:pPr>
      <w:r>
        <w:rPr>
          <w:rFonts w:eastAsia="宋体"/>
          <w:kern w:val="2"/>
          <w:sz w:val="21"/>
          <w:lang w:eastAsia="zh-CN"/>
        </w:rPr>
        <w:br w:type="page"/>
      </w:r>
    </w:p>
    <w:p w14:paraId="59A6A845">
      <w:pPr>
        <w:widowControl w:val="0"/>
        <w:spacing w:before="240" w:beforeLines="100" w:after="240" w:afterLines="100"/>
        <w:jc w:val="center"/>
        <w:rPr>
          <w:rFonts w:hint="eastAsia" w:ascii="黑体" w:hAnsi="黑体" w:eastAsia="黑体" w:cs="黑体"/>
          <w:b/>
          <w:bCs/>
          <w:kern w:val="2"/>
          <w:sz w:val="28"/>
          <w:szCs w:val="36"/>
          <w:lang w:eastAsia="zh-CN"/>
        </w:rPr>
      </w:pPr>
      <w:bookmarkStart w:id="2" w:name="_Hlk72218009"/>
      <w:r>
        <w:rPr>
          <w:rFonts w:hint="eastAsia" w:ascii="黑体" w:hAnsi="黑体" w:eastAsia="黑体" w:cs="黑体"/>
          <w:b/>
          <w:bCs/>
          <w:kern w:val="2"/>
          <w:sz w:val="28"/>
          <w:szCs w:val="36"/>
          <w:lang w:eastAsia="zh-CN"/>
        </w:rPr>
        <w:t>目   录</w:t>
      </w:r>
    </w:p>
    <w:p w14:paraId="365DE5FF">
      <w:pPr>
        <w:widowControl w:val="0"/>
        <w:jc w:val="both"/>
        <w:outlineLvl w:val="0"/>
        <w:rPr>
          <w:rFonts w:eastAsia="宋体"/>
          <w:b/>
          <w:kern w:val="2"/>
          <w:lang w:eastAsia="zh-CN"/>
        </w:rPr>
      </w:pPr>
      <w:r>
        <w:rPr>
          <w:rFonts w:hint="eastAsia" w:eastAsia="宋体"/>
          <w:b/>
          <w:kern w:val="2"/>
          <w:lang w:eastAsia="zh-CN"/>
        </w:rPr>
        <w:t>第一册    专用条款</w:t>
      </w:r>
    </w:p>
    <w:p w14:paraId="117A765B">
      <w:pPr>
        <w:widowControl w:val="0"/>
        <w:ind w:firstLine="960" w:firstLineChars="400"/>
        <w:jc w:val="both"/>
        <w:rPr>
          <w:rFonts w:eastAsia="宋体"/>
          <w:kern w:val="2"/>
          <w:lang w:eastAsia="zh-CN"/>
        </w:rPr>
      </w:pPr>
      <w:r>
        <w:rPr>
          <w:rFonts w:hint="eastAsia" w:eastAsia="宋体"/>
          <w:kern w:val="2"/>
          <w:lang w:eastAsia="zh-CN"/>
        </w:rPr>
        <w:t>关键信息</w:t>
      </w:r>
    </w:p>
    <w:p w14:paraId="55868BEF">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5C429C06">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3" w:name="_Hlk71994379"/>
      <w:r>
        <w:rPr>
          <w:rFonts w:hint="eastAsia" w:ascii="宋体" w:hAnsi="宋体" w:eastAsia="宋体"/>
          <w:kern w:val="2"/>
          <w:sz w:val="21"/>
          <w:szCs w:val="21"/>
          <w:lang w:eastAsia="zh-CN"/>
        </w:rPr>
        <w:t>对通用条款的补充内容及其他关键信息</w:t>
      </w:r>
      <w:bookmarkEnd w:id="3"/>
    </w:p>
    <w:p w14:paraId="709379B6">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66196C59">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6FEC9B01">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29496275">
      <w:pPr>
        <w:widowControl w:val="0"/>
        <w:jc w:val="both"/>
        <w:rPr>
          <w:rFonts w:eastAsia="宋体"/>
          <w:b/>
          <w:kern w:val="2"/>
          <w:lang w:eastAsia="zh-CN"/>
        </w:rPr>
      </w:pPr>
    </w:p>
    <w:p w14:paraId="18CFD0DB">
      <w:pPr>
        <w:widowControl w:val="0"/>
        <w:jc w:val="both"/>
        <w:outlineLvl w:val="0"/>
        <w:rPr>
          <w:rFonts w:eastAsia="宋体"/>
          <w:b/>
          <w:kern w:val="2"/>
          <w:lang w:eastAsia="zh-CN"/>
        </w:rPr>
      </w:pPr>
      <w:r>
        <w:rPr>
          <w:rFonts w:hint="eastAsia" w:eastAsia="宋体"/>
          <w:b/>
          <w:kern w:val="2"/>
          <w:lang w:eastAsia="zh-CN"/>
        </w:rPr>
        <w:t>第二册    通用条款</w:t>
      </w:r>
    </w:p>
    <w:p w14:paraId="0AEFEA49">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0E204726">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124558C1">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5297FC94">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10C607F4">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6EEC9301">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6B5983BA">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07414AAF">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30CCC66C">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3ECC4D31">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2CF03448">
      <w:pPr>
        <w:widowControl w:val="0"/>
        <w:ind w:firstLine="1050" w:firstLineChars="500"/>
        <w:jc w:val="both"/>
        <w:rPr>
          <w:rFonts w:eastAsia="宋体"/>
          <w:kern w:val="2"/>
          <w:sz w:val="21"/>
          <w:lang w:eastAsia="zh-CN"/>
        </w:rPr>
      </w:pPr>
      <w:r>
        <w:rPr>
          <w:rFonts w:hint="eastAsia" w:eastAsia="宋体"/>
          <w:kern w:val="2"/>
          <w:sz w:val="21"/>
          <w:lang w:eastAsia="zh-CN"/>
        </w:rPr>
        <w:t>第十一章  质疑处理</w:t>
      </w:r>
    </w:p>
    <w:p w14:paraId="08AE8729">
      <w:pPr>
        <w:widowControl w:val="0"/>
        <w:spacing w:line="360" w:lineRule="auto"/>
        <w:jc w:val="both"/>
        <w:rPr>
          <w:rFonts w:eastAsia="宋体"/>
          <w:kern w:val="2"/>
          <w:lang w:eastAsia="zh-CN"/>
        </w:rPr>
      </w:pPr>
    </w:p>
    <w:p w14:paraId="59C6FADB">
      <w:pPr>
        <w:widowControl w:val="0"/>
        <w:spacing w:line="360" w:lineRule="auto"/>
        <w:jc w:val="both"/>
        <w:rPr>
          <w:rFonts w:eastAsia="宋体"/>
          <w:b/>
          <w:bCs/>
          <w:kern w:val="2"/>
          <w:lang w:eastAsia="zh-CN"/>
        </w:rPr>
        <w:sectPr>
          <w:pgSz w:w="11907" w:h="16840"/>
          <w:pgMar w:top="1440" w:right="1797" w:bottom="1440" w:left="1797" w:header="851" w:footer="992" w:gutter="0"/>
          <w:cols w:space="425" w:num="1"/>
          <w:titlePg/>
          <w:docGrid w:linePitch="462" w:charSpace="0"/>
        </w:sectPr>
      </w:pPr>
    </w:p>
    <w:bookmarkEnd w:id="2"/>
    <w:p w14:paraId="7F30D558">
      <w:pPr>
        <w:keepNext/>
        <w:keepLines/>
        <w:pageBreakBefore w:val="0"/>
        <w:widowControl w:val="0"/>
        <w:kinsoku/>
        <w:wordWrap/>
        <w:overflowPunct/>
        <w:topLinePunct w:val="0"/>
        <w:autoSpaceDE/>
        <w:autoSpaceDN/>
        <w:bidi w:val="0"/>
        <w:snapToGrid/>
        <w:spacing w:line="240" w:lineRule="auto"/>
        <w:jc w:val="center"/>
        <w:outlineLvl w:val="0"/>
        <w:rPr>
          <w:rFonts w:hint="eastAsia" w:ascii="宋体" w:hAnsi="宋体" w:eastAsia="黑体"/>
          <w:b/>
          <w:color w:val="FF0000"/>
          <w:kern w:val="44"/>
          <w:szCs w:val="44"/>
          <w:lang w:eastAsia="zh-CN"/>
        </w:rPr>
      </w:pPr>
      <w:bookmarkStart w:id="4" w:name="bt说明"/>
      <w:bookmarkEnd w:id="4"/>
      <w:bookmarkStart w:id="5" w:name="bt项目管理班子配备情况"/>
      <w:bookmarkEnd w:id="5"/>
      <w:bookmarkStart w:id="6" w:name="bt本工程承诺书"/>
      <w:bookmarkEnd w:id="6"/>
      <w:bookmarkStart w:id="7" w:name="bt投标文件签署授权委托书"/>
      <w:bookmarkEnd w:id="7"/>
      <w:bookmarkStart w:id="8" w:name="bt合同条款"/>
      <w:bookmarkEnd w:id="8"/>
      <w:bookmarkStart w:id="9" w:name="bt其他资料2"/>
      <w:bookmarkEnd w:id="9"/>
      <w:bookmarkStart w:id="10" w:name="bt投标人情况介绍"/>
      <w:bookmarkEnd w:id="10"/>
      <w:bookmarkStart w:id="11" w:name="bt其他资料由投标人自定"/>
      <w:bookmarkEnd w:id="11"/>
      <w:bookmarkStart w:id="12" w:name="合同格式"/>
      <w:bookmarkEnd w:id="12"/>
      <w:bookmarkStart w:id="13" w:name="bt投标报价汇总表"/>
      <w:bookmarkEnd w:id="13"/>
      <w:bookmarkStart w:id="14" w:name="bt技术标投标文件格式"/>
      <w:bookmarkEnd w:id="14"/>
      <w:bookmarkStart w:id="15" w:name="bt投标人须知"/>
      <w:bookmarkEnd w:id="15"/>
      <w:bookmarkStart w:id="16" w:name="bt投标函"/>
      <w:bookmarkEnd w:id="16"/>
      <w:bookmarkStart w:id="17" w:name="bt合同格式"/>
      <w:bookmarkEnd w:id="17"/>
      <w:bookmarkStart w:id="18" w:name="bt商务标投标文件格式"/>
      <w:bookmarkEnd w:id="18"/>
      <w:bookmarkStart w:id="19" w:name="bt合同条款及格式"/>
      <w:bookmarkEnd w:id="19"/>
      <w:bookmarkStart w:id="20" w:name="bt开标一览表"/>
      <w:bookmarkEnd w:id="20"/>
      <w:r>
        <w:rPr>
          <w:rFonts w:hint="eastAsia" w:ascii="宋体" w:hAnsi="宋体" w:eastAsia="黑体"/>
          <w:b/>
          <w:kern w:val="44"/>
          <w:szCs w:val="44"/>
          <w:lang w:eastAsia="zh-CN"/>
        </w:rPr>
        <w:t>第一册  专用条款</w:t>
      </w:r>
    </w:p>
    <w:p w14:paraId="63373F46">
      <w:pPr>
        <w:keepNext/>
        <w:keepLines/>
        <w:pageBreakBefore w:val="0"/>
        <w:widowControl w:val="0"/>
        <w:kinsoku/>
        <w:wordWrap/>
        <w:overflowPunct/>
        <w:topLinePunct w:val="0"/>
        <w:autoSpaceDE/>
        <w:autoSpaceDN/>
        <w:bidi w:val="0"/>
        <w:adjustRightInd w:val="0"/>
        <w:snapToGrid/>
        <w:spacing w:line="240" w:lineRule="auto"/>
        <w:jc w:val="center"/>
        <w:textAlignment w:val="baseline"/>
        <w:outlineLvl w:val="1"/>
        <w:rPr>
          <w:rFonts w:hint="eastAsia" w:ascii="宋体" w:hAnsi="宋体" w:eastAsia="宋体"/>
          <w:b/>
          <w:sz w:val="28"/>
          <w:szCs w:val="28"/>
          <w:lang w:eastAsia="zh-CN"/>
        </w:rPr>
      </w:pPr>
      <w:r>
        <w:rPr>
          <w:rFonts w:hint="eastAsia" w:ascii="宋体" w:hAnsi="宋体" w:eastAsia="宋体"/>
          <w:b/>
          <w:sz w:val="28"/>
          <w:szCs w:val="28"/>
          <w:lang w:eastAsia="zh-CN"/>
        </w:rPr>
        <w:t>第一章  招标公告</w:t>
      </w:r>
    </w:p>
    <w:p w14:paraId="5A598638">
      <w:pPr>
        <w:widowControl w:val="0"/>
        <w:spacing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3936FF96">
      <w:pPr>
        <w:widowControl w:val="0"/>
        <w:ind w:firstLine="420" w:firstLineChars="200"/>
        <w:jc w:val="both"/>
        <w:rPr>
          <w:rFonts w:hint="eastAsia" w:ascii="宋体" w:hAnsi="宋体" w:eastAsia="宋体" w:cs="宋体"/>
          <w:color w:val="FF0000"/>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21"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1"/>
    </w:p>
    <w:p w14:paraId="20C1F9C2">
      <w:pPr>
        <w:widowControl w:val="0"/>
        <w:ind w:firstLine="420" w:firstLineChars="2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2.投标人若为生产企业：所投产品为第一类医疗器械的，提供监督管理部门签发的涵盖所投报医疗器械的第一类医疗器械生产备案凭证扫描件；所投产品为第二、三类医疗器械的，提供监督管理部门签发的涵盖所投报医疗器械的《医疗器械生产许可证》(有效期内)扫描件；若为经营企业，所投产品为第二类医疗器械的，提供监督管理部门签发的涵盖所投报医疗器械的《医疗器械经营备案凭证》扫描件；所投产品为第三类医疗器械的，提供监督管理部门签发的涵盖所投报医疗器械的《医疗器械经营许可证》(有效期内)扫描件；</w:t>
      </w:r>
    </w:p>
    <w:p w14:paraId="40CF5062">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3.本项目不接受联合体投标，是否接受投标人选用进口产品参与投标，详见招标文件“第三章 用户需求书”；</w:t>
      </w:r>
    </w:p>
    <w:p w14:paraId="1EDEA2F2">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参与本项目政府采购活动时不存在被有关部门禁止参与政府采购活动且在有效期内的情况（由供应商在《政府采购投标及履约承诺函》中作出声明）；</w:t>
      </w:r>
    </w:p>
    <w:p w14:paraId="380452F0">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具备《中华人民共和国政府采购法》第二十二条第一款的条件（由供应商在《政府采购投标及履约承诺函》中作出声明）；</w:t>
      </w:r>
    </w:p>
    <w:p w14:paraId="39D9897F">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未被列入失信被执行人、重大税收违法案件当事人名单、政府采购严重违法失信行为记录名单（由供应商在《政府采购投标及履约承诺函》中作出声明）；</w:t>
      </w:r>
    </w:p>
    <w:p w14:paraId="2A31DF44">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7.不存在《深圳市财政局政府采购供应商信用信息管理办法》（深财规〔2023〕3号）列明的严重违法失信行为（由供应商在《政府采购投标及履约承诺函》中作出声明）；</w:t>
      </w:r>
    </w:p>
    <w:p w14:paraId="19B90A5B">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8.为采购项目提供整体设计、规范编制或者项目管理、监理、检测等服务的供应商，不得再参加该采购项目的其他采购活动（由供应商在《政府采购投标及履约承诺函》中作出声明）；</w:t>
      </w:r>
    </w:p>
    <w:p w14:paraId="175375E5">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color w:val="FF0000"/>
          <w:sz w:val="21"/>
          <w:szCs w:val="21"/>
          <w:lang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宋体" w:cs="宋体"/>
          <w:b/>
          <w:color w:val="FF0000"/>
          <w:kern w:val="2"/>
          <w:sz w:val="21"/>
          <w:szCs w:val="21"/>
          <w:lang w:eastAsia="zh-CN"/>
        </w:rPr>
        <w:t>（由供应商提供《供应商基本情况表》并加盖公章扫描件）</w:t>
      </w:r>
      <w:r>
        <w:rPr>
          <w:rFonts w:hint="eastAsia" w:ascii="宋体" w:hAnsi="宋体" w:eastAsia="宋体" w:cs="宋体"/>
          <w:color w:val="FF0000"/>
          <w:sz w:val="21"/>
          <w:szCs w:val="21"/>
          <w:lang w:eastAsia="zh-CN"/>
        </w:rPr>
        <w:t>；</w:t>
      </w:r>
    </w:p>
    <w:p w14:paraId="3B7F5DF5">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10.本项目为非专门面向中小企业采购项目。</w:t>
      </w:r>
    </w:p>
    <w:p w14:paraId="4D9984F0">
      <w:pPr>
        <w:widowControl w:val="0"/>
        <w:wordWrap w:val="0"/>
        <w:ind w:firstLine="420" w:firstLineChars="200"/>
        <w:jc w:val="both"/>
        <w:rPr>
          <w:rFonts w:hint="eastAsia" w:ascii="宋体" w:hAnsi="宋体" w:eastAsia="宋体" w:cs="宋体"/>
          <w:sz w:val="21"/>
          <w:szCs w:val="21"/>
          <w:lang w:eastAsia="zh-CN"/>
        </w:rPr>
      </w:pPr>
    </w:p>
    <w:p w14:paraId="555AD2D2">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7418C4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14:paraId="3F53BD37">
      <w:pPr>
        <w:widowControl w:val="0"/>
        <w:ind w:firstLine="420" w:firstLineChars="200"/>
        <w:jc w:val="both"/>
        <w:rPr>
          <w:rFonts w:ascii="宋体" w:hAnsi="宋体" w:eastAsia="宋体" w:cs="宋体"/>
          <w:color w:val="FF0000"/>
          <w:kern w:val="2"/>
          <w:sz w:val="21"/>
          <w:szCs w:val="21"/>
          <w:lang w:eastAsia="zh-CN"/>
        </w:rPr>
      </w:pPr>
    </w:p>
    <w:p w14:paraId="7A7A23D2">
      <w:pPr>
        <w:widowControl w:val="0"/>
        <w:jc w:val="left"/>
        <w:rPr>
          <w:rFonts w:eastAsia="宋体"/>
          <w:b/>
          <w:bCs/>
          <w:kern w:val="2"/>
          <w:sz w:val="22"/>
          <w:szCs w:val="18"/>
          <w:lang w:eastAsia="zh-CN"/>
        </w:rPr>
      </w:pPr>
      <w:r>
        <w:rPr>
          <w:rFonts w:hint="eastAsia" w:eastAsia="宋体"/>
          <w:b/>
          <w:bCs/>
          <w:kern w:val="2"/>
          <w:sz w:val="22"/>
          <w:szCs w:val="18"/>
          <w:lang w:eastAsia="zh-CN"/>
        </w:rPr>
        <w:t>完整公告内容详见：深圳交易集团（深圳公共资源交易中心）官网https://www.szexgrp.com/jyfw/zfcg-view.html?id=zfcg</w:t>
      </w:r>
    </w:p>
    <w:p w14:paraId="2A0391C5">
      <w:pPr>
        <w:widowControl w:val="0"/>
        <w:jc w:val="both"/>
        <w:rPr>
          <w:rFonts w:eastAsia="宋体"/>
          <w:kern w:val="2"/>
          <w:lang w:eastAsia="zh-CN"/>
        </w:rPr>
        <w:sectPr>
          <w:pgSz w:w="11907" w:h="16840"/>
          <w:pgMar w:top="1440" w:right="1797" w:bottom="1440" w:left="1797" w:header="851" w:footer="992" w:gutter="0"/>
          <w:cols w:space="425" w:num="1"/>
          <w:titlePg/>
          <w:docGrid w:linePitch="462" w:charSpace="0"/>
        </w:sectPr>
      </w:pPr>
    </w:p>
    <w:p w14:paraId="7776FCA2">
      <w:pPr>
        <w:keepNext/>
        <w:keepLines/>
        <w:widowControl w:val="0"/>
        <w:adjustRightInd w:val="0"/>
        <w:spacing w:before="260" w:after="260" w:line="240" w:lineRule="auto"/>
        <w:jc w:val="center"/>
        <w:textAlignment w:val="baseline"/>
        <w:outlineLvl w:val="1"/>
        <w:rPr>
          <w:rFonts w:hint="eastAsia" w:ascii="宋体" w:hAnsi="宋体" w:eastAsia="宋体"/>
          <w:b/>
          <w:sz w:val="28"/>
          <w:szCs w:val="28"/>
          <w:lang w:eastAsia="zh-CN"/>
        </w:rPr>
      </w:pPr>
      <w:r>
        <w:rPr>
          <w:rFonts w:hint="eastAsia" w:ascii="宋体" w:hAnsi="宋体" w:eastAsia="宋体"/>
          <w:b/>
          <w:sz w:val="28"/>
          <w:szCs w:val="28"/>
          <w:lang w:eastAsia="zh-CN"/>
        </w:rPr>
        <w:t xml:space="preserve">第二章 </w:t>
      </w:r>
      <w:bookmarkStart w:id="22" w:name="_Hlk71926094"/>
      <w:r>
        <w:rPr>
          <w:rFonts w:hint="eastAsia" w:ascii="宋体" w:hAnsi="宋体" w:eastAsia="宋体"/>
          <w:b/>
          <w:sz w:val="28"/>
          <w:szCs w:val="28"/>
          <w:lang w:eastAsia="zh-CN"/>
        </w:rPr>
        <w:t>对通用条款的补充内容及其他关键信息</w:t>
      </w:r>
      <w:bookmarkEnd w:id="22"/>
    </w:p>
    <w:p w14:paraId="0874C914">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lang w:eastAsia="zh-CN"/>
        </w:rPr>
      </w:pPr>
      <w:bookmarkStart w:id="23" w:name="_Toc73521635"/>
      <w:bookmarkStart w:id="24" w:name="_Toc60631620"/>
      <w:bookmarkStart w:id="25" w:name="_Toc73521547"/>
      <w:bookmarkStart w:id="26" w:name="_Toc101074876"/>
      <w:bookmarkStart w:id="27" w:name="_Toc73518117"/>
      <w:bookmarkStart w:id="28" w:name="_Toc60560625"/>
      <w:bookmarkStart w:id="29" w:name="_Toc100052364"/>
      <w:bookmarkStart w:id="30" w:name="_Toc73517639"/>
      <w:r>
        <w:rPr>
          <w:rFonts w:hint="eastAsia" w:ascii="宋体" w:hAnsi="宋体" w:eastAsia="宋体"/>
          <w:b/>
          <w:lang w:eastAsia="zh-CN"/>
        </w:rPr>
        <w:t>一、对通用条款的补充内容</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13"/>
        <w:gridCol w:w="2636"/>
        <w:gridCol w:w="5355"/>
      </w:tblGrid>
      <w:tr w14:paraId="4DFCF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29C43CED">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8" w:type="dxa"/>
            <w:vAlign w:val="center"/>
          </w:tcPr>
          <w:p w14:paraId="042314B7">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5136" w:type="dxa"/>
            <w:vAlign w:val="center"/>
          </w:tcPr>
          <w:p w14:paraId="348DEA93">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593AD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636" w:type="dxa"/>
            <w:gridSpan w:val="3"/>
            <w:vAlign w:val="center"/>
          </w:tcPr>
          <w:p w14:paraId="41686D6B">
            <w:pPr>
              <w:widowControl w:val="0"/>
              <w:jc w:val="center"/>
              <w:rPr>
                <w:rFonts w:ascii="宋体" w:hAnsi="宋体" w:eastAsia="宋体"/>
                <w:b/>
                <w:bCs/>
                <w:kern w:val="2"/>
                <w:sz w:val="21"/>
                <w:lang w:eastAsia="zh-CN"/>
              </w:rPr>
            </w:pPr>
            <w:r>
              <w:rPr>
                <w:rFonts w:hint="eastAsia" w:eastAsia="宋体"/>
                <w:kern w:val="2"/>
                <w:sz w:val="21"/>
                <w:lang w:eastAsia="zh-CN"/>
              </w:rPr>
              <w:t>本项目为自行采购项目，相关事宜按照招标文件要求及采购单位内控制度执行。</w:t>
            </w:r>
          </w:p>
        </w:tc>
      </w:tr>
      <w:tr w14:paraId="7D28D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4CE2A07A">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8" w:type="dxa"/>
            <w:vAlign w:val="center"/>
          </w:tcPr>
          <w:p w14:paraId="2A451BA4">
            <w:pPr>
              <w:widowControl w:val="0"/>
              <w:jc w:val="center"/>
              <w:rPr>
                <w:rFonts w:eastAsia="宋体"/>
                <w:kern w:val="2"/>
                <w:sz w:val="21"/>
                <w:lang w:eastAsia="zh-CN"/>
              </w:rPr>
            </w:pPr>
            <w:r>
              <w:rPr>
                <w:rFonts w:hint="eastAsia" w:eastAsia="宋体"/>
                <w:kern w:val="2"/>
                <w:sz w:val="21"/>
                <w:lang w:eastAsia="zh-CN"/>
              </w:rPr>
              <w:t>采购人</w:t>
            </w:r>
          </w:p>
        </w:tc>
        <w:tc>
          <w:tcPr>
            <w:tcW w:w="5136" w:type="dxa"/>
            <w:vAlign w:val="center"/>
          </w:tcPr>
          <w:p w14:paraId="539F82CB">
            <w:pPr>
              <w:widowControl w:val="0"/>
              <w:jc w:val="center"/>
              <w:rPr>
                <w:rFonts w:ascii="宋体" w:hAnsi="宋体" w:eastAsia="宋体"/>
                <w:kern w:val="2"/>
                <w:sz w:val="21"/>
                <w:lang w:eastAsia="zh-CN"/>
              </w:rPr>
            </w:pPr>
            <w:r>
              <w:rPr>
                <w:rFonts w:hint="eastAsia" w:ascii="宋体" w:hAnsi="宋体" w:eastAsia="宋体"/>
                <w:kern w:val="2"/>
                <w:sz w:val="21"/>
                <w:lang w:eastAsia="zh-CN"/>
              </w:rPr>
              <w:t>香港中文大学（深圳）医院</w:t>
            </w:r>
          </w:p>
        </w:tc>
      </w:tr>
      <w:tr w14:paraId="0F888E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2D79C8DE">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8" w:type="dxa"/>
            <w:vAlign w:val="center"/>
          </w:tcPr>
          <w:p w14:paraId="02BE7C56">
            <w:pPr>
              <w:widowControl w:val="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5136" w:type="dxa"/>
            <w:vAlign w:val="center"/>
          </w:tcPr>
          <w:p w14:paraId="00B6DC43">
            <w:pPr>
              <w:widowControl w:val="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4F404A54">
            <w:pPr>
              <w:widowControl w:val="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47BC16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728F167B">
            <w:pPr>
              <w:widowControl w:val="0"/>
              <w:jc w:val="center"/>
              <w:rPr>
                <w:rFonts w:ascii="宋体" w:hAnsi="宋体" w:eastAsia="宋体"/>
                <w:kern w:val="2"/>
                <w:sz w:val="21"/>
                <w:lang w:eastAsia="zh-CN"/>
              </w:rPr>
            </w:pPr>
            <w:r>
              <w:rPr>
                <w:rFonts w:hint="eastAsia" w:ascii="宋体" w:hAnsi="宋体" w:eastAsia="宋体"/>
                <w:kern w:val="2"/>
                <w:sz w:val="21"/>
                <w:lang w:eastAsia="zh-CN"/>
              </w:rPr>
              <w:t>9</w:t>
            </w:r>
          </w:p>
        </w:tc>
        <w:tc>
          <w:tcPr>
            <w:tcW w:w="2528" w:type="dxa"/>
            <w:vAlign w:val="center"/>
          </w:tcPr>
          <w:p w14:paraId="06600358">
            <w:pPr>
              <w:widowControl w:val="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5136" w:type="dxa"/>
            <w:vAlign w:val="center"/>
          </w:tcPr>
          <w:p w14:paraId="47CDC48A">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092C30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20389EEE">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8" w:type="dxa"/>
            <w:vAlign w:val="center"/>
          </w:tcPr>
          <w:p w14:paraId="19870C6C">
            <w:pPr>
              <w:widowControl w:val="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5136" w:type="dxa"/>
            <w:vAlign w:val="center"/>
          </w:tcPr>
          <w:p w14:paraId="61F4F3B9">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0AB80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4B3D9219">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8" w:type="dxa"/>
            <w:vAlign w:val="center"/>
          </w:tcPr>
          <w:p w14:paraId="3A47FE40">
            <w:pPr>
              <w:widowControl w:val="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5136" w:type="dxa"/>
            <w:vAlign w:val="center"/>
          </w:tcPr>
          <w:p w14:paraId="4A92C2F4">
            <w:pPr>
              <w:widowControl w:val="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14:paraId="042D3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2E06608A">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8" w:type="dxa"/>
            <w:vAlign w:val="center"/>
          </w:tcPr>
          <w:p w14:paraId="67A3CAC8">
            <w:pPr>
              <w:widowControl w:val="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5136" w:type="dxa"/>
            <w:vAlign w:val="center"/>
          </w:tcPr>
          <w:p w14:paraId="6929F737">
            <w:pPr>
              <w:widowControl w:val="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65EE70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75B59C86">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8" w:type="dxa"/>
            <w:vAlign w:val="center"/>
          </w:tcPr>
          <w:p w14:paraId="66549A12">
            <w:pPr>
              <w:widowControl w:val="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5136" w:type="dxa"/>
            <w:vAlign w:val="center"/>
          </w:tcPr>
          <w:p w14:paraId="12E71465">
            <w:pPr>
              <w:widowControl w:val="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07073A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319E3EA3">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8" w:type="dxa"/>
            <w:vAlign w:val="center"/>
          </w:tcPr>
          <w:p w14:paraId="660E6A56">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5136" w:type="dxa"/>
            <w:vAlign w:val="center"/>
          </w:tcPr>
          <w:p w14:paraId="20073CF5">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18080B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22CBEBDE">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8" w:type="dxa"/>
            <w:vAlign w:val="center"/>
          </w:tcPr>
          <w:p w14:paraId="67979A0F">
            <w:pPr>
              <w:widowControl w:val="0"/>
              <w:jc w:val="center"/>
              <w:rPr>
                <w:rFonts w:ascii="宋体" w:hAnsi="宋体" w:eastAsia="宋体"/>
                <w:kern w:val="2"/>
                <w:sz w:val="21"/>
                <w:lang w:eastAsia="zh-CN"/>
              </w:rPr>
            </w:pPr>
            <w:r>
              <w:rPr>
                <w:rFonts w:hint="eastAsia" w:ascii="宋体" w:hAnsi="宋体" w:eastAsia="宋体"/>
                <w:kern w:val="2"/>
                <w:sz w:val="21"/>
                <w:lang w:eastAsia="zh-CN"/>
              </w:rPr>
              <w:t>样品、演示、方案讲解</w:t>
            </w:r>
          </w:p>
        </w:tc>
        <w:tc>
          <w:tcPr>
            <w:tcW w:w="5136" w:type="dxa"/>
            <w:vAlign w:val="center"/>
          </w:tcPr>
          <w:p w14:paraId="19C92B28">
            <w:pPr>
              <w:widowControl w:val="0"/>
              <w:jc w:val="center"/>
              <w:rPr>
                <w:rFonts w:ascii="宋体" w:hAnsi="宋体" w:eastAsia="宋体"/>
                <w:kern w:val="2"/>
                <w:sz w:val="21"/>
                <w:lang w:eastAsia="zh-CN"/>
              </w:rPr>
            </w:pPr>
            <w:r>
              <w:rPr>
                <w:rFonts w:hint="eastAsia" w:ascii="宋体" w:hAnsi="宋体" w:eastAsia="宋体"/>
                <w:kern w:val="2"/>
                <w:sz w:val="21"/>
                <w:lang w:eastAsia="zh-CN"/>
              </w:rPr>
              <w:t>无</w:t>
            </w:r>
          </w:p>
        </w:tc>
      </w:tr>
      <w:tr w14:paraId="3E0D12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638857BC">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8" w:type="dxa"/>
            <w:vAlign w:val="center"/>
          </w:tcPr>
          <w:p w14:paraId="27F5C77E">
            <w:pPr>
              <w:widowControl w:val="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5136" w:type="dxa"/>
            <w:vAlign w:val="center"/>
          </w:tcPr>
          <w:p w14:paraId="042355F7">
            <w:pPr>
              <w:widowControl w:val="0"/>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14:paraId="4C1FAF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2" w:type="dxa"/>
            <w:vAlign w:val="center"/>
          </w:tcPr>
          <w:p w14:paraId="55C390E1">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8" w:type="dxa"/>
            <w:vAlign w:val="center"/>
          </w:tcPr>
          <w:p w14:paraId="1458E58D">
            <w:pPr>
              <w:widowControl w:val="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5136" w:type="dxa"/>
            <w:vAlign w:val="center"/>
          </w:tcPr>
          <w:p w14:paraId="5AE60131">
            <w:pPr>
              <w:widowControl w:val="0"/>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14:paraId="732A3B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52341C29">
            <w:pPr>
              <w:widowControl w:val="0"/>
              <w:jc w:val="center"/>
              <w:rPr>
                <w:rFonts w:ascii="宋体" w:hAnsi="宋体" w:eastAsia="宋体"/>
                <w:kern w:val="2"/>
                <w:sz w:val="21"/>
                <w:lang w:eastAsia="zh-CN"/>
              </w:rPr>
            </w:pPr>
            <w:r>
              <w:rPr>
                <w:rFonts w:hint="eastAsia" w:ascii="宋体" w:hAnsi="宋体" w:eastAsia="宋体"/>
                <w:kern w:val="2"/>
                <w:sz w:val="21"/>
                <w:lang w:eastAsia="zh-CN"/>
              </w:rPr>
              <w:t>42</w:t>
            </w:r>
          </w:p>
        </w:tc>
        <w:tc>
          <w:tcPr>
            <w:tcW w:w="2528" w:type="dxa"/>
            <w:vAlign w:val="center"/>
          </w:tcPr>
          <w:p w14:paraId="7A5BFD8C">
            <w:pPr>
              <w:widowControl w:val="0"/>
              <w:jc w:val="both"/>
              <w:rPr>
                <w:rFonts w:ascii="宋体" w:hAnsi="宋体" w:eastAsia="宋体"/>
                <w:kern w:val="2"/>
                <w:sz w:val="21"/>
                <w:lang w:eastAsia="zh-CN"/>
              </w:rPr>
            </w:pPr>
            <w:r>
              <w:rPr>
                <w:rFonts w:hint="eastAsia" w:eastAsia="宋体"/>
                <w:kern w:val="2"/>
                <w:sz w:val="21"/>
                <w:lang w:eastAsia="zh-CN"/>
              </w:rPr>
              <w:t>公开招标失败的处理</w:t>
            </w:r>
          </w:p>
        </w:tc>
        <w:tc>
          <w:tcPr>
            <w:tcW w:w="5136" w:type="dxa"/>
            <w:vAlign w:val="center"/>
          </w:tcPr>
          <w:p w14:paraId="27B4A380">
            <w:pPr>
              <w:widowControl w:val="0"/>
              <w:jc w:val="both"/>
              <w:rPr>
                <w:rFonts w:ascii="宋体" w:hAnsi="宋体" w:eastAsia="宋体"/>
                <w:b/>
                <w:kern w:val="2"/>
                <w:sz w:val="21"/>
                <w:lang w:eastAsia="zh-CN"/>
              </w:rPr>
            </w:pPr>
            <w:r>
              <w:rPr>
                <w:rFonts w:hint="eastAsia" w:eastAsia="宋体"/>
                <w:kern w:val="2"/>
                <w:sz w:val="21"/>
                <w:lang w:eastAsia="zh-CN"/>
              </w:rPr>
              <w:t>公开招标有效供应商不足三家的，项目根据以下情况开展：项目公开招标失败，重新采购。</w:t>
            </w:r>
          </w:p>
        </w:tc>
      </w:tr>
      <w:tr w14:paraId="44F7E6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2BF51B2B">
            <w:pPr>
              <w:widowControl w:val="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8" w:type="dxa"/>
            <w:vAlign w:val="center"/>
          </w:tcPr>
          <w:p w14:paraId="13513027">
            <w:pPr>
              <w:widowControl w:val="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5136" w:type="dxa"/>
            <w:vAlign w:val="center"/>
          </w:tcPr>
          <w:p w14:paraId="78A9D5CE">
            <w:pPr>
              <w:widowControl w:val="0"/>
              <w:jc w:val="both"/>
              <w:rPr>
                <w:rFonts w:ascii="宋体" w:hAnsi="宋体" w:eastAsia="宋体"/>
                <w:kern w:val="2"/>
                <w:sz w:val="21"/>
                <w:lang w:eastAsia="zh-CN"/>
              </w:rPr>
            </w:pPr>
            <w:r>
              <w:rPr>
                <w:rFonts w:hint="eastAsia" w:ascii="宋体" w:hAnsi="宋体" w:eastAsia="宋体"/>
                <w:kern w:val="2"/>
                <w:sz w:val="21"/>
                <w:lang w:eastAsia="zh-CN"/>
              </w:rPr>
              <w:t>需要，大型企业按合同金额10%提交履约保证金，中小企业按合同金额5%提交履约保证金。供应商自主选择支票、汇票、本票、保函等非现金缴纳或提交。履约保证金在中标人履约完成合同的约定权利义务事项且无违约情形前提下在免费维保期到期之日起30日内退还，不计利息。采购人逾期退还履约保证金的，向中标人每日偿付履约保证金的万分之五/日的利息。</w:t>
            </w:r>
          </w:p>
        </w:tc>
      </w:tr>
      <w:tr w14:paraId="27A3FD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2" w:type="dxa"/>
            <w:vAlign w:val="center"/>
          </w:tcPr>
          <w:p w14:paraId="55EFDF18">
            <w:pPr>
              <w:widowControl w:val="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2528" w:type="dxa"/>
            <w:vAlign w:val="center"/>
          </w:tcPr>
          <w:p w14:paraId="0CEC48F8">
            <w:pPr>
              <w:widowControl w:val="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5136" w:type="dxa"/>
            <w:vAlign w:val="center"/>
          </w:tcPr>
          <w:p w14:paraId="33343BF9">
            <w:pPr>
              <w:widowControl w:val="0"/>
              <w:jc w:val="both"/>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bookmarkEnd w:id="23"/>
      <w:bookmarkEnd w:id="24"/>
      <w:bookmarkEnd w:id="25"/>
      <w:bookmarkEnd w:id="26"/>
      <w:bookmarkEnd w:id="27"/>
      <w:bookmarkEnd w:id="28"/>
      <w:bookmarkEnd w:id="29"/>
      <w:bookmarkEnd w:id="30"/>
    </w:tbl>
    <w:p w14:paraId="45B9A2CD">
      <w:pPr>
        <w:widowControl w:val="0"/>
        <w:jc w:val="both"/>
        <w:rPr>
          <w:rFonts w:eastAsia="宋体"/>
          <w:b/>
          <w:kern w:val="2"/>
          <w:sz w:val="21"/>
          <w:lang w:eastAsia="zh-CN"/>
        </w:rPr>
      </w:pPr>
      <w:bookmarkStart w:id="31" w:name="_Hlk72218097"/>
      <w:r>
        <w:rPr>
          <w:rFonts w:hint="eastAsia" w:eastAsia="宋体"/>
          <w:kern w:val="2"/>
          <w:sz w:val="21"/>
          <w:szCs w:val="21"/>
          <w:lang w:eastAsia="zh-CN"/>
        </w:rPr>
        <w:t>备注：本表是通用条款相关条款的补充和明确，如与通用条款内容相冲突的，以本表为准。</w:t>
      </w:r>
    </w:p>
    <w:bookmarkEnd w:id="31"/>
    <w:p w14:paraId="627C2EC8">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lang w:eastAsia="zh-CN"/>
        </w:rPr>
      </w:pPr>
      <w:bookmarkStart w:id="32" w:name="_Hlk72218117"/>
      <w:r>
        <w:rPr>
          <w:rFonts w:hint="eastAsia" w:ascii="宋体" w:hAnsi="宋体" w:eastAsia="宋体"/>
          <w:b/>
          <w:lang w:eastAsia="zh-CN"/>
        </w:rPr>
        <w:t>二、其他关键信息</w:t>
      </w:r>
    </w:p>
    <w:p w14:paraId="1109745F">
      <w:pPr>
        <w:widowControl w:val="0"/>
        <w:ind w:firstLine="422" w:firstLineChars="200"/>
        <w:jc w:val="both"/>
        <w:rPr>
          <w:rFonts w:eastAsia="宋体"/>
          <w:b/>
          <w:bCs/>
          <w:kern w:val="2"/>
          <w:sz w:val="21"/>
          <w:lang w:eastAsia="zh-CN"/>
        </w:rPr>
      </w:pPr>
      <w:bookmarkStart w:id="33" w:name="_Hlk72579427"/>
      <w:r>
        <w:rPr>
          <w:rFonts w:hint="eastAsia" w:eastAsia="宋体"/>
          <w:b/>
          <w:bCs/>
          <w:kern w:val="2"/>
          <w:sz w:val="21"/>
          <w:lang w:eastAsia="zh-CN"/>
        </w:rPr>
        <w:t>（一）与“对通用条款的补充内容”章节相关的事项</w:t>
      </w:r>
    </w:p>
    <w:p w14:paraId="011B474F">
      <w:pPr>
        <w:widowControl w:val="0"/>
        <w:spacing w:line="276" w:lineRule="auto"/>
        <w:ind w:firstLine="422" w:firstLineChars="200"/>
        <w:jc w:val="left"/>
        <w:rPr>
          <w:rFonts w:hint="eastAsia" w:ascii="宋体" w:hAnsi="宋体" w:eastAsia="宋体"/>
          <w:b/>
          <w:sz w:val="21"/>
          <w:szCs w:val="20"/>
          <w:lang w:eastAsia="zh-CN"/>
        </w:rPr>
      </w:pPr>
      <w:r>
        <w:rPr>
          <w:rFonts w:hint="eastAsia" w:ascii="宋体" w:hAnsi="宋体" w:eastAsia="宋体"/>
          <w:b/>
          <w:sz w:val="21"/>
          <w:szCs w:val="20"/>
          <w:lang w:eastAsia="zh-CN"/>
        </w:rPr>
        <w:t>1、评标定标信息</w:t>
      </w:r>
    </w:p>
    <w:p w14:paraId="6426B533">
      <w:pPr>
        <w:widowControl w:val="0"/>
        <w:jc w:val="center"/>
        <w:rPr>
          <w:rFonts w:eastAsia="宋体"/>
          <w:kern w:val="2"/>
          <w:sz w:val="21"/>
          <w:lang w:eastAsia="zh-CN"/>
        </w:rPr>
      </w:pPr>
      <w:r>
        <w:rPr>
          <w:rFonts w:hint="eastAsia" w:eastAsia="宋体"/>
          <w:b/>
          <w:kern w:val="2"/>
          <w:sz w:val="21"/>
          <w:lang w:eastAsia="zh-CN"/>
        </w:rPr>
        <w:t>非评定分离项目</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2"/>
        <w:gridCol w:w="4792"/>
      </w:tblGrid>
      <w:tr w14:paraId="45B8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FE6BEF7">
            <w:pPr>
              <w:widowControl w:val="0"/>
              <w:jc w:val="center"/>
              <w:rPr>
                <w:rFonts w:eastAsia="宋体"/>
                <w:kern w:val="2"/>
                <w:sz w:val="21"/>
                <w:lang w:eastAsia="zh-CN"/>
              </w:rPr>
            </w:pPr>
            <w:r>
              <w:rPr>
                <w:rFonts w:hint="eastAsia" w:eastAsia="宋体"/>
                <w:kern w:val="2"/>
                <w:sz w:val="21"/>
                <w:lang w:eastAsia="zh-CN"/>
              </w:rPr>
              <w:t>评标方法</w:t>
            </w:r>
          </w:p>
        </w:tc>
        <w:tc>
          <w:tcPr>
            <w:tcW w:w="2660" w:type="pct"/>
          </w:tcPr>
          <w:p w14:paraId="6C32E6B0">
            <w:pPr>
              <w:widowControl w:val="0"/>
              <w:jc w:val="center"/>
              <w:rPr>
                <w:rFonts w:eastAsia="宋体"/>
                <w:kern w:val="2"/>
                <w:sz w:val="21"/>
                <w:lang w:eastAsia="zh-CN"/>
              </w:rPr>
            </w:pPr>
            <w:r>
              <w:rPr>
                <w:rFonts w:hint="eastAsia" w:eastAsia="宋体"/>
                <w:kern w:val="2"/>
                <w:sz w:val="21"/>
                <w:lang w:eastAsia="zh-CN"/>
              </w:rPr>
              <w:t>综合评分法</w:t>
            </w:r>
          </w:p>
        </w:tc>
      </w:tr>
      <w:tr w14:paraId="309B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5A508B1">
            <w:pPr>
              <w:widowControl w:val="0"/>
              <w:jc w:val="center"/>
              <w:rPr>
                <w:rFonts w:eastAsia="宋体"/>
                <w:kern w:val="2"/>
                <w:sz w:val="21"/>
                <w:lang w:eastAsia="zh-CN"/>
              </w:rPr>
            </w:pPr>
            <w:r>
              <w:rPr>
                <w:rFonts w:hint="eastAsia" w:eastAsia="宋体"/>
                <w:kern w:val="2"/>
                <w:sz w:val="21"/>
                <w:lang w:eastAsia="zh-CN"/>
              </w:rPr>
              <w:t>候选中标供应商家数</w:t>
            </w:r>
          </w:p>
        </w:tc>
        <w:tc>
          <w:tcPr>
            <w:tcW w:w="2660" w:type="pct"/>
          </w:tcPr>
          <w:p w14:paraId="5E229459">
            <w:pPr>
              <w:widowControl w:val="0"/>
              <w:jc w:val="center"/>
              <w:rPr>
                <w:rFonts w:eastAsia="宋体"/>
                <w:kern w:val="2"/>
                <w:sz w:val="21"/>
                <w:lang w:eastAsia="zh-CN"/>
              </w:rPr>
            </w:pPr>
            <w:r>
              <w:rPr>
                <w:rFonts w:hint="eastAsia" w:eastAsia="宋体"/>
                <w:kern w:val="2"/>
                <w:sz w:val="21"/>
                <w:lang w:eastAsia="zh-CN"/>
              </w:rPr>
              <w:t>3</w:t>
            </w:r>
          </w:p>
        </w:tc>
      </w:tr>
      <w:tr w14:paraId="05D8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4DBBB33">
            <w:pPr>
              <w:widowControl w:val="0"/>
              <w:jc w:val="center"/>
              <w:rPr>
                <w:rFonts w:eastAsia="宋体"/>
                <w:kern w:val="2"/>
                <w:sz w:val="21"/>
                <w:lang w:eastAsia="zh-CN"/>
              </w:rPr>
            </w:pPr>
            <w:r>
              <w:rPr>
                <w:rFonts w:hint="eastAsia" w:eastAsia="宋体"/>
                <w:kern w:val="2"/>
                <w:sz w:val="21"/>
                <w:lang w:eastAsia="zh-CN"/>
              </w:rPr>
              <w:t>中标供应商家数</w:t>
            </w:r>
          </w:p>
        </w:tc>
        <w:tc>
          <w:tcPr>
            <w:tcW w:w="2660" w:type="pct"/>
          </w:tcPr>
          <w:p w14:paraId="4A5FCCD6">
            <w:pPr>
              <w:widowControl w:val="0"/>
              <w:jc w:val="center"/>
              <w:rPr>
                <w:rFonts w:eastAsia="宋体"/>
                <w:kern w:val="2"/>
                <w:sz w:val="21"/>
                <w:lang w:eastAsia="zh-CN"/>
              </w:rPr>
            </w:pPr>
            <w:r>
              <w:rPr>
                <w:rFonts w:hint="eastAsia" w:eastAsia="宋体"/>
                <w:kern w:val="2"/>
                <w:sz w:val="21"/>
                <w:lang w:eastAsia="zh-CN"/>
              </w:rPr>
              <w:t>1</w:t>
            </w:r>
          </w:p>
        </w:tc>
      </w:tr>
    </w:tbl>
    <w:p w14:paraId="27112B67">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bookmarkEnd w:id="33"/>
    </w:p>
    <w:p w14:paraId="3D3BEDE2">
      <w:pPr>
        <w:widowControl w:val="0"/>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、关于享受优惠政策的主体、价格扣除比例及采购标的所属行业的说明</w:t>
      </w:r>
    </w:p>
    <w:p w14:paraId="31B7D6C1">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6B1D1D90">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（2）非专门面向中小企业采购的项目，应执行价格扣除比例：投标人提供的货物（以招标文件用户需求书“货物清单明细”的“货物名称”一栏为准）全部均由优惠主体制造，则对其投标总价给予</w:t>
      </w:r>
      <w:r>
        <w:rPr>
          <w:rFonts w:eastAsia="宋体"/>
          <w:color w:val="FF0000"/>
          <w:kern w:val="2"/>
          <w:sz w:val="21"/>
          <w:u w:val="single"/>
          <w:lang w:eastAsia="zh-CN"/>
        </w:rPr>
        <w:t xml:space="preserve"> </w:t>
      </w:r>
      <w:r>
        <w:rPr>
          <w:rFonts w:hint="eastAsia" w:eastAsia="宋体"/>
          <w:b/>
          <w:bCs/>
          <w:color w:val="FF0000"/>
          <w:kern w:val="2"/>
          <w:sz w:val="21"/>
          <w:u w:val="single"/>
          <w:lang w:eastAsia="zh-CN"/>
        </w:rPr>
        <w:t>10</w:t>
      </w:r>
      <w:r>
        <w:rPr>
          <w:rFonts w:eastAsia="宋体"/>
          <w:b/>
          <w:bCs/>
          <w:color w:val="FF0000"/>
          <w:kern w:val="2"/>
          <w:sz w:val="21"/>
          <w:u w:val="single"/>
          <w:lang w:eastAsia="zh-CN"/>
        </w:rPr>
        <w:t>%</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的扣除，用扣除后的价格参与评审。满足多项优惠政策的供应商，不重复享受多项价格扣除政策。</w:t>
      </w:r>
    </w:p>
    <w:p w14:paraId="13623B6F">
      <w:pPr>
        <w:widowControl w:val="0"/>
        <w:ind w:firstLine="420" w:firstLineChars="200"/>
        <w:jc w:val="both"/>
        <w:rPr>
          <w:rFonts w:eastAsia="宋体"/>
          <w:kern w:val="2"/>
          <w:sz w:val="21"/>
          <w:lang w:eastAsia="zh-CN"/>
        </w:rPr>
      </w:pPr>
      <w:r>
        <w:rPr>
          <w:rFonts w:hint="eastAsia" w:eastAsia="宋体"/>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eastAsia="宋体"/>
          <w:kern w:val="2"/>
          <w:sz w:val="21"/>
          <w:lang w:eastAsia="zh-CN"/>
        </w:rPr>
        <w:t>b)</w:t>
      </w:r>
      <w:r>
        <w:rPr>
          <w:rFonts w:hint="eastAsia" w:eastAsia="宋体"/>
          <w:kern w:val="2"/>
          <w:sz w:val="21"/>
          <w:lang w:eastAsia="zh-CN"/>
        </w:rPr>
        <w:t>优惠主体制造是指货物由优惠主体生产且使用该优惠主体商号或者注册商标；投标人提供的货物既有优惠主体制造货物，又有非优惠主体制造货物的，不给予价格扣除。</w:t>
      </w:r>
    </w:p>
    <w:p w14:paraId="27C27784">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34" w:name="_Hlk71970739"/>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kern w:val="2"/>
          <w:sz w:val="21"/>
          <w:szCs w:val="21"/>
          <w:lang w:eastAsia="zh-CN"/>
        </w:rPr>
        <w:t>《中小企业声明函》中相关企业（货物制造商）所属行业应当与采购标的所属行业相一致，</w:t>
      </w:r>
      <w:r>
        <w:rPr>
          <w:rFonts w:hint="eastAsia" w:eastAsia="宋体"/>
          <w:b/>
          <w:bCs/>
          <w:color w:val="FF0000"/>
          <w:kern w:val="2"/>
          <w:sz w:val="21"/>
          <w:lang w:eastAsia="zh-CN"/>
        </w:rPr>
        <w:t>标的所属行业以招标文件第一册第三章用户需求书“货物清单明细”的“标的所属行业”一栏为准</w:t>
      </w:r>
      <w:r>
        <w:rPr>
          <w:rFonts w:hint="eastAsia" w:ascii="宋体" w:hAnsi="宋体" w:eastAsia="宋体" w:cs="宋体"/>
          <w:b/>
          <w:bCs/>
          <w:color w:val="FF0000"/>
          <w:kern w:val="2"/>
          <w:sz w:val="21"/>
          <w:szCs w:val="21"/>
          <w:lang w:eastAsia="zh-CN"/>
        </w:rPr>
        <w:t>。</w:t>
      </w:r>
      <w:bookmarkEnd w:id="34"/>
    </w:p>
    <w:p w14:paraId="137CA4DD">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w:t>
      </w:r>
      <w:r>
        <w:rPr>
          <w:rFonts w:hint="eastAsia" w:eastAsia="宋体"/>
          <w:kern w:val="2"/>
          <w:sz w:val="21"/>
          <w:lang w:eastAsia="zh-CN"/>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15207F2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color w:val="FF0000"/>
          <w:kern w:val="2"/>
          <w:sz w:val="21"/>
          <w:lang w:eastAsia="zh-CN"/>
        </w:rPr>
      </w:pPr>
      <w:r>
        <w:rPr>
          <w:rFonts w:hint="eastAsia" w:eastAsia="宋体"/>
          <w:kern w:val="2"/>
          <w:sz w:val="21"/>
          <w:lang w:eastAsia="zh-CN"/>
        </w:rPr>
        <w:t>（5）享受价格扣除获得政府采购合同的，小微企业不得将合同分包给大中型企业。</w:t>
      </w:r>
    </w:p>
    <w:bookmarkEnd w:id="32"/>
    <w:p w14:paraId="3CF1FF06">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eastAsia="宋体"/>
          <w:b/>
          <w:bCs/>
          <w:kern w:val="2"/>
          <w:sz w:val="21"/>
          <w:lang w:eastAsia="zh-CN"/>
        </w:rPr>
      </w:pPr>
      <w:r>
        <w:rPr>
          <w:rFonts w:hint="eastAsia" w:eastAsia="宋体"/>
          <w:b/>
          <w:bCs/>
          <w:kern w:val="2"/>
          <w:sz w:val="21"/>
          <w:lang w:eastAsia="zh-CN"/>
        </w:rPr>
        <w:t>2、本项目为代理服务项目，将向中标（成交）供应商收取代理服务费。</w:t>
      </w:r>
    </w:p>
    <w:p w14:paraId="6CF8474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以</w:t>
      </w:r>
      <w:r>
        <w:rPr>
          <w:rFonts w:hint="eastAsia" w:eastAsia="宋体"/>
          <w:b/>
          <w:bCs/>
          <w:color w:val="FF0000"/>
          <w:kern w:val="2"/>
          <w:sz w:val="21"/>
          <w:lang w:eastAsia="zh-CN"/>
        </w:rPr>
        <w:t>折扣率80%</w:t>
      </w:r>
      <w:r>
        <w:rPr>
          <w:rFonts w:hint="eastAsia" w:eastAsia="宋体"/>
          <w:kern w:val="2"/>
          <w:sz w:val="21"/>
          <w:lang w:eastAsia="zh-CN"/>
        </w:rPr>
        <w:t>收取。</w:t>
      </w:r>
      <w:r>
        <w:rPr>
          <w:rFonts w:hint="eastAsia" w:eastAsia="宋体"/>
          <w:b/>
          <w:color w:val="FF0000"/>
          <w:kern w:val="2"/>
          <w:sz w:val="21"/>
          <w:lang w:eastAsia="zh-CN"/>
        </w:rPr>
        <w:t>本项目类型为货物采购：</w:t>
      </w:r>
    </w:p>
    <w:p w14:paraId="773881D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6A9B2EB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（2）中标（成交）金额的各部分费率如下表：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901"/>
        <w:gridCol w:w="1901"/>
        <w:gridCol w:w="1901"/>
      </w:tblGrid>
      <w:tr w14:paraId="1D6F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254D3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中标（成交）金额</w:t>
            </w:r>
          </w:p>
        </w:tc>
        <w:tc>
          <w:tcPr>
            <w:tcW w:w="1799" w:type="dxa"/>
            <w:vAlign w:val="center"/>
          </w:tcPr>
          <w:p w14:paraId="639A9A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货物采购</w:t>
            </w:r>
          </w:p>
        </w:tc>
        <w:tc>
          <w:tcPr>
            <w:tcW w:w="1799" w:type="dxa"/>
            <w:vAlign w:val="center"/>
          </w:tcPr>
          <w:p w14:paraId="10C5DE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服务采购</w:t>
            </w:r>
          </w:p>
        </w:tc>
        <w:tc>
          <w:tcPr>
            <w:tcW w:w="1799" w:type="dxa"/>
            <w:vAlign w:val="center"/>
          </w:tcPr>
          <w:p w14:paraId="2613A6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工程采购</w:t>
            </w:r>
          </w:p>
        </w:tc>
      </w:tr>
      <w:tr w14:paraId="353F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219AD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100万元以下</w:t>
            </w:r>
          </w:p>
        </w:tc>
        <w:tc>
          <w:tcPr>
            <w:tcW w:w="1799" w:type="dxa"/>
            <w:vAlign w:val="center"/>
          </w:tcPr>
          <w:p w14:paraId="610E40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1.5%</w:t>
            </w:r>
          </w:p>
        </w:tc>
        <w:tc>
          <w:tcPr>
            <w:tcW w:w="1799" w:type="dxa"/>
            <w:vAlign w:val="center"/>
          </w:tcPr>
          <w:p w14:paraId="682118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1.5%</w:t>
            </w:r>
          </w:p>
        </w:tc>
        <w:tc>
          <w:tcPr>
            <w:tcW w:w="1799" w:type="dxa"/>
            <w:vAlign w:val="center"/>
          </w:tcPr>
          <w:p w14:paraId="2A5047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1.0%</w:t>
            </w:r>
          </w:p>
        </w:tc>
      </w:tr>
      <w:tr w14:paraId="016B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C984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75CC1E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1.1%</w:t>
            </w:r>
          </w:p>
        </w:tc>
        <w:tc>
          <w:tcPr>
            <w:tcW w:w="1799" w:type="dxa"/>
            <w:vAlign w:val="center"/>
          </w:tcPr>
          <w:p w14:paraId="6F8D5D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0.8%</w:t>
            </w:r>
          </w:p>
        </w:tc>
        <w:tc>
          <w:tcPr>
            <w:tcW w:w="1799" w:type="dxa"/>
            <w:vAlign w:val="center"/>
          </w:tcPr>
          <w:p w14:paraId="0726C9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0.7%</w:t>
            </w:r>
          </w:p>
        </w:tc>
      </w:tr>
      <w:tr w14:paraId="16E4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F36EA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43CB56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0.8%</w:t>
            </w:r>
          </w:p>
        </w:tc>
        <w:tc>
          <w:tcPr>
            <w:tcW w:w="1799" w:type="dxa"/>
            <w:vAlign w:val="center"/>
          </w:tcPr>
          <w:p w14:paraId="25454C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0.45%</w:t>
            </w:r>
          </w:p>
        </w:tc>
        <w:tc>
          <w:tcPr>
            <w:tcW w:w="1799" w:type="dxa"/>
            <w:vAlign w:val="center"/>
          </w:tcPr>
          <w:p w14:paraId="547217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0.55%</w:t>
            </w:r>
          </w:p>
        </w:tc>
      </w:tr>
      <w:tr w14:paraId="07B2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14:paraId="0A556A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7E5342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0.5%</w:t>
            </w:r>
          </w:p>
        </w:tc>
        <w:tc>
          <w:tcPr>
            <w:tcW w:w="1799" w:type="dxa"/>
            <w:vAlign w:val="center"/>
          </w:tcPr>
          <w:p w14:paraId="212BAD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0.25%</w:t>
            </w:r>
          </w:p>
        </w:tc>
        <w:tc>
          <w:tcPr>
            <w:tcW w:w="1799" w:type="dxa"/>
            <w:vAlign w:val="center"/>
          </w:tcPr>
          <w:p w14:paraId="07B0F3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0.35%</w:t>
            </w:r>
          </w:p>
        </w:tc>
      </w:tr>
      <w:tr w14:paraId="5830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68D2D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6BDDE7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0.25%</w:t>
            </w:r>
          </w:p>
        </w:tc>
        <w:tc>
          <w:tcPr>
            <w:tcW w:w="1799" w:type="dxa"/>
            <w:vAlign w:val="center"/>
          </w:tcPr>
          <w:p w14:paraId="2D96BF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0.1%</w:t>
            </w:r>
          </w:p>
        </w:tc>
        <w:tc>
          <w:tcPr>
            <w:tcW w:w="1799" w:type="dxa"/>
            <w:vAlign w:val="center"/>
          </w:tcPr>
          <w:p w14:paraId="59A9ED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0.2%</w:t>
            </w:r>
          </w:p>
        </w:tc>
      </w:tr>
      <w:tr w14:paraId="7CA1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3755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1亿元（含）-5亿元</w:t>
            </w:r>
          </w:p>
        </w:tc>
        <w:tc>
          <w:tcPr>
            <w:tcW w:w="1799" w:type="dxa"/>
            <w:vAlign w:val="center"/>
          </w:tcPr>
          <w:p w14:paraId="4D7F32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0.05%</w:t>
            </w:r>
          </w:p>
        </w:tc>
        <w:tc>
          <w:tcPr>
            <w:tcW w:w="1799" w:type="dxa"/>
            <w:vAlign w:val="center"/>
          </w:tcPr>
          <w:p w14:paraId="2F3A5C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0.05%</w:t>
            </w:r>
          </w:p>
        </w:tc>
        <w:tc>
          <w:tcPr>
            <w:tcW w:w="1799" w:type="dxa"/>
            <w:vAlign w:val="center"/>
          </w:tcPr>
          <w:p w14:paraId="1421B8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0.05%</w:t>
            </w:r>
          </w:p>
        </w:tc>
      </w:tr>
      <w:tr w14:paraId="6185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EFCF7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5亿元（含）-10亿元</w:t>
            </w:r>
          </w:p>
        </w:tc>
        <w:tc>
          <w:tcPr>
            <w:tcW w:w="1799" w:type="dxa"/>
            <w:vAlign w:val="center"/>
          </w:tcPr>
          <w:p w14:paraId="45C995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0.035%</w:t>
            </w:r>
          </w:p>
        </w:tc>
        <w:tc>
          <w:tcPr>
            <w:tcW w:w="1799" w:type="dxa"/>
            <w:vAlign w:val="center"/>
          </w:tcPr>
          <w:p w14:paraId="5D5458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0.035%</w:t>
            </w:r>
          </w:p>
        </w:tc>
        <w:tc>
          <w:tcPr>
            <w:tcW w:w="1799" w:type="dxa"/>
            <w:vAlign w:val="center"/>
          </w:tcPr>
          <w:p w14:paraId="68FD16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0.035%</w:t>
            </w:r>
          </w:p>
        </w:tc>
      </w:tr>
      <w:tr w14:paraId="0528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47E3E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10亿元（含）-50亿元</w:t>
            </w:r>
          </w:p>
        </w:tc>
        <w:tc>
          <w:tcPr>
            <w:tcW w:w="1799" w:type="dxa"/>
            <w:vAlign w:val="center"/>
          </w:tcPr>
          <w:p w14:paraId="512EF0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0.008%</w:t>
            </w:r>
          </w:p>
        </w:tc>
        <w:tc>
          <w:tcPr>
            <w:tcW w:w="1799" w:type="dxa"/>
            <w:vAlign w:val="center"/>
          </w:tcPr>
          <w:p w14:paraId="4A86B7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0.008%</w:t>
            </w:r>
          </w:p>
        </w:tc>
        <w:tc>
          <w:tcPr>
            <w:tcW w:w="1799" w:type="dxa"/>
            <w:vAlign w:val="center"/>
          </w:tcPr>
          <w:p w14:paraId="1917A5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0.008%</w:t>
            </w:r>
          </w:p>
        </w:tc>
      </w:tr>
      <w:tr w14:paraId="7F22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F85C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283648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0.006%</w:t>
            </w:r>
          </w:p>
        </w:tc>
        <w:tc>
          <w:tcPr>
            <w:tcW w:w="1799" w:type="dxa"/>
            <w:vAlign w:val="center"/>
          </w:tcPr>
          <w:p w14:paraId="588C5F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0.006%</w:t>
            </w:r>
          </w:p>
        </w:tc>
        <w:tc>
          <w:tcPr>
            <w:tcW w:w="1799" w:type="dxa"/>
            <w:vAlign w:val="center"/>
          </w:tcPr>
          <w:p w14:paraId="3C59ED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0.006%</w:t>
            </w:r>
          </w:p>
        </w:tc>
      </w:tr>
      <w:tr w14:paraId="46E0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0552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100亿元（含）以上</w:t>
            </w:r>
          </w:p>
        </w:tc>
        <w:tc>
          <w:tcPr>
            <w:tcW w:w="1799" w:type="dxa"/>
            <w:vAlign w:val="center"/>
          </w:tcPr>
          <w:p w14:paraId="68BF61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0.004%</w:t>
            </w:r>
          </w:p>
        </w:tc>
        <w:tc>
          <w:tcPr>
            <w:tcW w:w="1799" w:type="dxa"/>
            <w:vAlign w:val="center"/>
          </w:tcPr>
          <w:p w14:paraId="553D8C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0.004%</w:t>
            </w:r>
          </w:p>
        </w:tc>
        <w:tc>
          <w:tcPr>
            <w:tcW w:w="1799" w:type="dxa"/>
            <w:vAlign w:val="center"/>
          </w:tcPr>
          <w:p w14:paraId="7CB724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0.004%</w:t>
            </w:r>
          </w:p>
        </w:tc>
      </w:tr>
    </w:tbl>
    <w:p w14:paraId="40C7AF2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备注：1.每宗交易代理服务费不低于 5000 元；</w:t>
      </w:r>
    </w:p>
    <w:p w14:paraId="40B1CA7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259AE5E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如某服务采购项目，中标（成交）金额为600万元，总共交纳的代理服务费的具体计算过程如下：</w:t>
      </w:r>
    </w:p>
    <w:p w14:paraId="165061B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标准代理服务费＝（100万以下部分的代理服务费）+（100万～500万部分的代理服务费）+（500万～600万部分的代理服务费）＝100万元×1.5%+（500-100）万元×0.8%+（600-500）万元×0.45%=1.5万元+3.2万元+0.45万元＝5.15万元</w:t>
      </w:r>
    </w:p>
    <w:p w14:paraId="0158078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（3）中标（成交）供应商中标（成交）后，必须按规定采用银行对公转账方式向深圳交易集团有限公司直接交纳代理服务费，交纳信息及要求按照缴款（付款）通知书执行。</w:t>
      </w:r>
    </w:p>
    <w:p w14:paraId="0154E3B9">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14:paraId="169183F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14:paraId="1F9C7E5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14:paraId="16C5DAC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14:paraId="1184DD76">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14:paraId="40D3673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14:paraId="03BC61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宋体"/>
          <w:kern w:val="2"/>
          <w:sz w:val="28"/>
          <w:szCs w:val="28"/>
          <w:lang w:eastAsia="zh-CN"/>
        </w:rPr>
      </w:pPr>
      <w:r>
        <w:rPr>
          <w:rFonts w:hint="eastAsia" w:eastAsia="宋体"/>
          <w:kern w:val="2"/>
          <w:sz w:val="28"/>
          <w:szCs w:val="28"/>
          <w:lang w:eastAsia="zh-CN"/>
        </w:rPr>
        <w:br w:type="page"/>
      </w:r>
    </w:p>
    <w:p w14:paraId="1B706F0B">
      <w:pPr>
        <w:keepNext/>
        <w:keepLines/>
        <w:pageBreakBefore w:val="0"/>
        <w:widowControl w:val="0"/>
        <w:kinsoku/>
        <w:wordWrap/>
        <w:overflowPunct/>
        <w:topLinePunct w:val="0"/>
        <w:autoSpaceDE/>
        <w:autoSpaceDN/>
        <w:bidi w:val="0"/>
        <w:adjustRightInd w:val="0"/>
        <w:snapToGrid/>
        <w:spacing w:before="0" w:after="0" w:line="240" w:lineRule="auto"/>
        <w:jc w:val="center"/>
        <w:textAlignment w:val="baseline"/>
        <w:outlineLvl w:val="1"/>
        <w:rPr>
          <w:rFonts w:hint="eastAsia" w:ascii="宋体" w:hAnsi="宋体" w:eastAsia="宋体"/>
          <w:b/>
          <w:sz w:val="28"/>
          <w:szCs w:val="28"/>
          <w:lang w:eastAsia="zh-CN"/>
        </w:rPr>
      </w:pPr>
      <w:r>
        <w:rPr>
          <w:rFonts w:hint="eastAsia" w:ascii="宋体" w:hAnsi="宋体" w:eastAsia="宋体"/>
          <w:b/>
          <w:sz w:val="28"/>
          <w:szCs w:val="28"/>
          <w:lang w:eastAsia="zh-CN"/>
        </w:rPr>
        <w:t>第三章 用户需求书</w:t>
      </w:r>
    </w:p>
    <w:p w14:paraId="3C4C833C">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lang w:eastAsia="zh-CN"/>
        </w:rPr>
      </w:pPr>
      <w:r>
        <w:rPr>
          <w:rFonts w:hint="eastAsia" w:ascii="宋体" w:hAnsi="宋体" w:eastAsia="宋体"/>
          <w:b/>
          <w:lang w:eastAsia="zh-CN"/>
        </w:rPr>
        <w:t>一、项目基本信息</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5582"/>
        <w:gridCol w:w="2485"/>
      </w:tblGrid>
      <w:tr w14:paraId="130C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4851C8A8">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3099" w:type="pct"/>
            <w:vAlign w:val="center"/>
          </w:tcPr>
          <w:p w14:paraId="199D1E22">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1380" w:type="pct"/>
            <w:vAlign w:val="center"/>
          </w:tcPr>
          <w:p w14:paraId="3AF54441">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26D4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20" w:type="pct"/>
            <w:vAlign w:val="center"/>
          </w:tcPr>
          <w:p w14:paraId="5B4D7363">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3099" w:type="pct"/>
            <w:vAlign w:val="center"/>
          </w:tcPr>
          <w:p w14:paraId="1EAE02BF">
            <w:pPr>
              <w:widowControl w:val="0"/>
              <w:jc w:val="center"/>
              <w:rPr>
                <w:rFonts w:eastAsia="宋体"/>
                <w:bCs/>
                <w:kern w:val="2"/>
                <w:sz w:val="21"/>
                <w:szCs w:val="21"/>
                <w:lang w:eastAsia="zh-CN"/>
              </w:rPr>
            </w:pPr>
            <w:r>
              <w:rPr>
                <w:rFonts w:hint="eastAsia" w:eastAsia="宋体"/>
                <w:bCs/>
                <w:kern w:val="2"/>
                <w:sz w:val="21"/>
                <w:szCs w:val="21"/>
                <w:lang w:eastAsia="zh-CN"/>
              </w:rPr>
              <w:t>香港中文大学（深圳）医院病床类设备采购项目</w:t>
            </w:r>
          </w:p>
        </w:tc>
        <w:tc>
          <w:tcPr>
            <w:tcW w:w="1380" w:type="pct"/>
            <w:vAlign w:val="center"/>
          </w:tcPr>
          <w:p w14:paraId="4A250A5E">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957800.00</w:t>
            </w:r>
          </w:p>
        </w:tc>
      </w:tr>
    </w:tbl>
    <w:p w14:paraId="61293B09">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lang w:eastAsia="zh-CN"/>
        </w:rPr>
      </w:pPr>
      <w:bookmarkStart w:id="35" w:name="_Hlk72258617"/>
      <w:r>
        <w:rPr>
          <w:rFonts w:hint="eastAsia" w:ascii="宋体" w:hAnsi="宋体" w:eastAsia="宋体"/>
          <w:b/>
          <w:lang w:eastAsia="zh-CN"/>
        </w:rPr>
        <w:t>二、货物清单明细</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9"/>
        <w:gridCol w:w="2368"/>
        <w:gridCol w:w="691"/>
        <w:gridCol w:w="712"/>
        <w:gridCol w:w="1221"/>
        <w:gridCol w:w="1198"/>
        <w:gridCol w:w="1175"/>
        <w:gridCol w:w="958"/>
      </w:tblGrid>
      <w:tr w14:paraId="7569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25" w:type="pct"/>
            <w:vAlign w:val="center"/>
          </w:tcPr>
          <w:p w14:paraId="5975FED9">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eastAsia="宋体"/>
                <w:bCs/>
                <w:kern w:val="2"/>
                <w:sz w:val="21"/>
                <w:szCs w:val="21"/>
                <w:lang w:eastAsia="zh-CN"/>
              </w:rPr>
            </w:pPr>
            <w:r>
              <w:rPr>
                <w:rFonts w:hint="eastAsia" w:eastAsia="宋体"/>
                <w:bCs/>
                <w:kern w:val="2"/>
                <w:sz w:val="21"/>
                <w:szCs w:val="21"/>
                <w:lang w:eastAsia="zh-CN"/>
              </w:rPr>
              <w:t>序号</w:t>
            </w:r>
          </w:p>
        </w:tc>
        <w:tc>
          <w:tcPr>
            <w:tcW w:w="1329" w:type="pct"/>
            <w:vAlign w:val="center"/>
          </w:tcPr>
          <w:p w14:paraId="543D6653">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eastAsia="宋体"/>
                <w:bCs/>
                <w:kern w:val="2"/>
                <w:sz w:val="21"/>
                <w:szCs w:val="21"/>
                <w:lang w:eastAsia="zh-CN"/>
              </w:rPr>
            </w:pPr>
            <w:r>
              <w:rPr>
                <w:rFonts w:hint="eastAsia" w:eastAsia="宋体"/>
                <w:bCs/>
                <w:kern w:val="2"/>
                <w:sz w:val="21"/>
                <w:szCs w:val="21"/>
                <w:lang w:eastAsia="zh-CN"/>
              </w:rPr>
              <w:t>货物名称（标的名称）</w:t>
            </w:r>
          </w:p>
        </w:tc>
        <w:tc>
          <w:tcPr>
            <w:tcW w:w="388" w:type="pct"/>
            <w:vAlign w:val="center"/>
          </w:tcPr>
          <w:p w14:paraId="63A62616">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eastAsia="宋体"/>
                <w:bCs/>
                <w:kern w:val="2"/>
                <w:sz w:val="21"/>
                <w:szCs w:val="21"/>
                <w:lang w:eastAsia="zh-CN"/>
              </w:rPr>
            </w:pPr>
            <w:r>
              <w:rPr>
                <w:rFonts w:hint="eastAsia" w:eastAsia="宋体"/>
                <w:bCs/>
                <w:kern w:val="2"/>
                <w:sz w:val="21"/>
                <w:szCs w:val="21"/>
                <w:lang w:eastAsia="zh-CN"/>
              </w:rPr>
              <w:t>数量</w:t>
            </w:r>
          </w:p>
        </w:tc>
        <w:tc>
          <w:tcPr>
            <w:tcW w:w="400" w:type="pct"/>
            <w:vAlign w:val="center"/>
          </w:tcPr>
          <w:p w14:paraId="52AA6E34">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eastAsia="宋体"/>
                <w:bCs/>
                <w:kern w:val="2"/>
                <w:sz w:val="21"/>
                <w:szCs w:val="21"/>
                <w:lang w:eastAsia="zh-CN"/>
              </w:rPr>
            </w:pPr>
            <w:r>
              <w:rPr>
                <w:rFonts w:hint="eastAsia" w:eastAsia="宋体"/>
                <w:bCs/>
                <w:kern w:val="2"/>
                <w:sz w:val="21"/>
                <w:szCs w:val="21"/>
                <w:lang w:eastAsia="zh-CN"/>
              </w:rPr>
              <w:t>单位</w:t>
            </w:r>
          </w:p>
        </w:tc>
        <w:tc>
          <w:tcPr>
            <w:tcW w:w="685" w:type="pct"/>
            <w:vAlign w:val="center"/>
          </w:tcPr>
          <w:p w14:paraId="571A728A">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hint="eastAsia" w:eastAsia="宋体"/>
                <w:b/>
                <w:color w:val="FF0000"/>
                <w:kern w:val="2"/>
                <w:sz w:val="21"/>
                <w:szCs w:val="21"/>
                <w:lang w:eastAsia="zh-CN"/>
              </w:rPr>
            </w:pPr>
            <w:r>
              <w:rPr>
                <w:rFonts w:hint="eastAsia" w:eastAsia="宋体"/>
                <w:b/>
                <w:color w:val="FF0000"/>
                <w:kern w:val="2"/>
                <w:sz w:val="21"/>
                <w:szCs w:val="21"/>
                <w:lang w:eastAsia="zh-CN"/>
              </w:rPr>
              <w:t>单价限价（元）</w:t>
            </w:r>
          </w:p>
        </w:tc>
        <w:tc>
          <w:tcPr>
            <w:tcW w:w="672" w:type="pct"/>
            <w:vAlign w:val="center"/>
          </w:tcPr>
          <w:p w14:paraId="268140F5">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eastAsia="宋体"/>
                <w:bCs/>
                <w:kern w:val="2"/>
                <w:sz w:val="21"/>
                <w:szCs w:val="21"/>
                <w:lang w:eastAsia="zh-CN"/>
              </w:rPr>
            </w:pPr>
            <w:r>
              <w:rPr>
                <w:rFonts w:hint="eastAsia" w:eastAsia="宋体"/>
                <w:bCs/>
                <w:kern w:val="2"/>
                <w:sz w:val="21"/>
                <w:szCs w:val="21"/>
                <w:lang w:eastAsia="zh-CN"/>
              </w:rPr>
              <w:t>是否接受进口</w:t>
            </w:r>
          </w:p>
        </w:tc>
        <w:tc>
          <w:tcPr>
            <w:tcW w:w="659" w:type="pct"/>
            <w:vAlign w:val="center"/>
          </w:tcPr>
          <w:p w14:paraId="5FCD8A37">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eastAsia="宋体"/>
                <w:b/>
                <w:bCs/>
                <w:color w:val="FF0000"/>
                <w:kern w:val="2"/>
                <w:sz w:val="21"/>
                <w:szCs w:val="21"/>
                <w:lang w:eastAsia="zh-CN"/>
              </w:rPr>
            </w:pPr>
            <w:r>
              <w:rPr>
                <w:rFonts w:hint="eastAsia" w:eastAsia="宋体"/>
                <w:b/>
                <w:bCs/>
                <w:color w:val="FF0000"/>
                <w:kern w:val="2"/>
                <w:sz w:val="21"/>
                <w:szCs w:val="21"/>
                <w:lang w:eastAsia="zh-CN"/>
              </w:rPr>
              <w:t>是否专门面向中小企业</w:t>
            </w:r>
          </w:p>
        </w:tc>
        <w:tc>
          <w:tcPr>
            <w:tcW w:w="538" w:type="pct"/>
            <w:vAlign w:val="center"/>
          </w:tcPr>
          <w:p w14:paraId="794EF94C">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eastAsia="宋体"/>
                <w:b/>
                <w:bCs/>
                <w:color w:val="FF0000"/>
                <w:kern w:val="2"/>
                <w:sz w:val="21"/>
                <w:szCs w:val="21"/>
                <w:lang w:eastAsia="zh-CN"/>
              </w:rPr>
            </w:pPr>
            <w:r>
              <w:rPr>
                <w:rFonts w:hint="eastAsia" w:eastAsia="宋体"/>
                <w:b/>
                <w:bCs/>
                <w:color w:val="FF0000"/>
                <w:kern w:val="2"/>
                <w:sz w:val="21"/>
                <w:szCs w:val="21"/>
                <w:lang w:eastAsia="zh-CN"/>
              </w:rPr>
              <w:t>标的所属行业</w:t>
            </w:r>
          </w:p>
        </w:tc>
      </w:tr>
      <w:tr w14:paraId="30AD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325" w:type="pct"/>
            <w:vAlign w:val="center"/>
          </w:tcPr>
          <w:p w14:paraId="409BC772">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eastAsia="宋体"/>
                <w:bCs/>
                <w:kern w:val="2"/>
                <w:sz w:val="21"/>
                <w:szCs w:val="21"/>
                <w:lang w:eastAsia="zh-CN"/>
              </w:rPr>
            </w:pPr>
            <w:r>
              <w:rPr>
                <w:rFonts w:eastAsia="宋体"/>
                <w:bCs/>
                <w:kern w:val="2"/>
                <w:sz w:val="21"/>
                <w:szCs w:val="21"/>
                <w:lang w:eastAsia="zh-CN"/>
              </w:rPr>
              <w:t>1.</w:t>
            </w:r>
          </w:p>
        </w:tc>
        <w:tc>
          <w:tcPr>
            <w:tcW w:w="1329" w:type="pct"/>
            <w:vAlign w:val="top"/>
          </w:tcPr>
          <w:p w14:paraId="14C146A3">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护理病床</w:t>
            </w:r>
          </w:p>
        </w:tc>
        <w:tc>
          <w:tcPr>
            <w:tcW w:w="388" w:type="pct"/>
            <w:vAlign w:val="top"/>
          </w:tcPr>
          <w:p w14:paraId="7CF1057D">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80</w:t>
            </w:r>
          </w:p>
        </w:tc>
        <w:tc>
          <w:tcPr>
            <w:tcW w:w="400" w:type="pct"/>
            <w:vAlign w:val="center"/>
          </w:tcPr>
          <w:p w14:paraId="531F62BC">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685" w:type="pct"/>
            <w:vAlign w:val="center"/>
          </w:tcPr>
          <w:p w14:paraId="24FA9E43">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5500</w:t>
            </w:r>
          </w:p>
        </w:tc>
        <w:tc>
          <w:tcPr>
            <w:tcW w:w="672" w:type="pct"/>
            <w:vAlign w:val="center"/>
          </w:tcPr>
          <w:p w14:paraId="67AAB360">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r>
              <w:rPr>
                <w:rFonts w:hint="eastAsia" w:eastAsia="宋体"/>
                <w:bCs/>
                <w:kern w:val="2"/>
                <w:sz w:val="21"/>
                <w:szCs w:val="21"/>
                <w:lang w:eastAsia="zh-CN"/>
              </w:rPr>
              <w:t>拒绝进口</w:t>
            </w:r>
          </w:p>
        </w:tc>
        <w:tc>
          <w:tcPr>
            <w:tcW w:w="659" w:type="pct"/>
            <w:vAlign w:val="center"/>
          </w:tcPr>
          <w:p w14:paraId="3B9933F2">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r>
              <w:rPr>
                <w:rFonts w:eastAsia="宋体"/>
                <w:b/>
                <w:bCs/>
                <w:color w:val="FF0000"/>
                <w:kern w:val="2"/>
                <w:sz w:val="21"/>
                <w:szCs w:val="21"/>
                <w:lang w:eastAsia="zh-CN"/>
              </w:rPr>
              <w:t>否</w:t>
            </w:r>
          </w:p>
        </w:tc>
        <w:tc>
          <w:tcPr>
            <w:tcW w:w="538" w:type="pct"/>
            <w:vAlign w:val="center"/>
          </w:tcPr>
          <w:p w14:paraId="5B806DC9">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r>
              <w:rPr>
                <w:rFonts w:hint="eastAsia" w:eastAsia="宋体"/>
                <w:b/>
                <w:bCs/>
                <w:color w:val="FF0000"/>
                <w:kern w:val="2"/>
                <w:sz w:val="21"/>
                <w:szCs w:val="21"/>
                <w:lang w:eastAsia="zh-CN"/>
              </w:rPr>
              <w:t>工业</w:t>
            </w:r>
          </w:p>
        </w:tc>
      </w:tr>
      <w:tr w14:paraId="2CB6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325" w:type="pct"/>
            <w:vAlign w:val="center"/>
          </w:tcPr>
          <w:p w14:paraId="28184464">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2.</w:t>
            </w:r>
          </w:p>
        </w:tc>
        <w:tc>
          <w:tcPr>
            <w:tcW w:w="1329" w:type="pct"/>
            <w:shd w:val="clear" w:color="auto" w:fill="auto"/>
            <w:vAlign w:val="center"/>
          </w:tcPr>
          <w:p w14:paraId="0DF00352">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r>
              <w:rPr>
                <w:rFonts w:hint="eastAsia" w:ascii="微软雅黑" w:hAnsi="微软雅黑" w:eastAsia="微软雅黑" w:cs="微软雅黑"/>
                <w:bCs/>
                <w:sz w:val="22"/>
                <w:szCs w:val="22"/>
                <w:lang w:eastAsia="zh-CN" w:bidi="ar"/>
              </w:rPr>
              <w:t>诊疗床</w:t>
            </w:r>
          </w:p>
        </w:tc>
        <w:tc>
          <w:tcPr>
            <w:tcW w:w="388" w:type="pct"/>
            <w:shd w:val="clear" w:color="auto" w:fill="auto"/>
            <w:vAlign w:val="center"/>
          </w:tcPr>
          <w:p w14:paraId="7C03FC2A">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宋体" w:hAnsi="宋体" w:eastAsia="宋体" w:cs="宋体"/>
                <w:bCs/>
                <w:sz w:val="22"/>
                <w:szCs w:val="22"/>
                <w:lang w:eastAsia="zh-CN" w:bidi="ar"/>
              </w:rPr>
              <w:t>52</w:t>
            </w:r>
          </w:p>
        </w:tc>
        <w:tc>
          <w:tcPr>
            <w:tcW w:w="400" w:type="pct"/>
            <w:shd w:val="clear" w:color="auto" w:fill="auto"/>
            <w:vAlign w:val="center"/>
          </w:tcPr>
          <w:p w14:paraId="4A10CD44">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685" w:type="pct"/>
            <w:shd w:val="clear" w:color="auto" w:fill="auto"/>
            <w:vAlign w:val="center"/>
          </w:tcPr>
          <w:p w14:paraId="63E8870C">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3000</w:t>
            </w:r>
          </w:p>
        </w:tc>
        <w:tc>
          <w:tcPr>
            <w:tcW w:w="672" w:type="pct"/>
            <w:shd w:val="clear" w:color="auto" w:fill="auto"/>
            <w:vAlign w:val="center"/>
          </w:tcPr>
          <w:p w14:paraId="04313891">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Cs/>
                <w:kern w:val="2"/>
                <w:sz w:val="21"/>
                <w:szCs w:val="21"/>
                <w:lang w:eastAsia="zh-CN"/>
              </w:rPr>
            </w:pPr>
            <w:r>
              <w:rPr>
                <w:rFonts w:hint="eastAsia" w:eastAsia="宋体"/>
                <w:bCs/>
                <w:kern w:val="2"/>
                <w:sz w:val="21"/>
                <w:szCs w:val="21"/>
                <w:lang w:eastAsia="zh-CN"/>
              </w:rPr>
              <w:t>拒绝进口</w:t>
            </w:r>
          </w:p>
        </w:tc>
        <w:tc>
          <w:tcPr>
            <w:tcW w:w="659" w:type="pct"/>
            <w:shd w:val="clear" w:color="auto" w:fill="auto"/>
            <w:vAlign w:val="center"/>
          </w:tcPr>
          <w:p w14:paraId="1A596B59">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r>
              <w:rPr>
                <w:rFonts w:eastAsia="宋体"/>
                <w:b/>
                <w:bCs/>
                <w:color w:val="FF0000"/>
                <w:kern w:val="2"/>
                <w:sz w:val="21"/>
                <w:szCs w:val="21"/>
                <w:lang w:eastAsia="zh-CN"/>
              </w:rPr>
              <w:t>否</w:t>
            </w:r>
          </w:p>
        </w:tc>
        <w:tc>
          <w:tcPr>
            <w:tcW w:w="538" w:type="pct"/>
            <w:shd w:val="clear" w:color="auto" w:fill="auto"/>
            <w:vAlign w:val="center"/>
          </w:tcPr>
          <w:p w14:paraId="3B5968C9">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r>
              <w:rPr>
                <w:rFonts w:hint="eastAsia" w:eastAsia="宋体"/>
                <w:b/>
                <w:bCs/>
                <w:color w:val="FF0000"/>
                <w:kern w:val="2"/>
                <w:sz w:val="21"/>
                <w:szCs w:val="21"/>
                <w:lang w:eastAsia="zh-CN"/>
              </w:rPr>
              <w:t>工业</w:t>
            </w:r>
          </w:p>
        </w:tc>
      </w:tr>
      <w:tr w14:paraId="4689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325" w:type="pct"/>
            <w:vAlign w:val="center"/>
          </w:tcPr>
          <w:p w14:paraId="7B39DE60">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3.</w:t>
            </w:r>
          </w:p>
        </w:tc>
        <w:tc>
          <w:tcPr>
            <w:tcW w:w="1329" w:type="pct"/>
            <w:shd w:val="clear" w:color="auto" w:fill="auto"/>
            <w:vAlign w:val="top"/>
          </w:tcPr>
          <w:p w14:paraId="561B5CC9">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儿科病床</w:t>
            </w:r>
          </w:p>
        </w:tc>
        <w:tc>
          <w:tcPr>
            <w:tcW w:w="388" w:type="pct"/>
            <w:shd w:val="clear" w:color="auto" w:fill="auto"/>
            <w:vAlign w:val="top"/>
          </w:tcPr>
          <w:p w14:paraId="6659FD47">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6</w:t>
            </w:r>
          </w:p>
        </w:tc>
        <w:tc>
          <w:tcPr>
            <w:tcW w:w="400" w:type="pct"/>
            <w:shd w:val="clear" w:color="auto" w:fill="auto"/>
            <w:vAlign w:val="center"/>
          </w:tcPr>
          <w:p w14:paraId="5ED09FDD">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685" w:type="pct"/>
            <w:shd w:val="clear" w:color="auto" w:fill="auto"/>
            <w:vAlign w:val="center"/>
          </w:tcPr>
          <w:p w14:paraId="41B780F1">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5000</w:t>
            </w:r>
          </w:p>
        </w:tc>
        <w:tc>
          <w:tcPr>
            <w:tcW w:w="672" w:type="pct"/>
            <w:shd w:val="clear" w:color="auto" w:fill="auto"/>
            <w:vAlign w:val="center"/>
          </w:tcPr>
          <w:p w14:paraId="06E8466C">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r>
              <w:rPr>
                <w:rFonts w:hint="eastAsia" w:eastAsia="宋体"/>
                <w:bCs/>
                <w:kern w:val="2"/>
                <w:sz w:val="21"/>
                <w:szCs w:val="21"/>
                <w:lang w:eastAsia="zh-CN"/>
              </w:rPr>
              <w:t>拒绝进口</w:t>
            </w:r>
          </w:p>
        </w:tc>
        <w:tc>
          <w:tcPr>
            <w:tcW w:w="659" w:type="pct"/>
            <w:shd w:val="clear" w:color="auto" w:fill="auto"/>
            <w:vAlign w:val="center"/>
          </w:tcPr>
          <w:p w14:paraId="07AA63A0">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r>
              <w:rPr>
                <w:rFonts w:eastAsia="宋体"/>
                <w:b/>
                <w:bCs/>
                <w:color w:val="FF0000"/>
                <w:kern w:val="2"/>
                <w:sz w:val="21"/>
                <w:szCs w:val="21"/>
                <w:lang w:eastAsia="zh-CN"/>
              </w:rPr>
              <w:t>否</w:t>
            </w:r>
          </w:p>
        </w:tc>
        <w:tc>
          <w:tcPr>
            <w:tcW w:w="538" w:type="pct"/>
            <w:shd w:val="clear" w:color="auto" w:fill="auto"/>
            <w:vAlign w:val="center"/>
          </w:tcPr>
          <w:p w14:paraId="0D3C2C00">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r>
              <w:rPr>
                <w:rFonts w:hint="eastAsia" w:eastAsia="宋体"/>
                <w:b/>
                <w:bCs/>
                <w:color w:val="FF0000"/>
                <w:kern w:val="2"/>
                <w:sz w:val="21"/>
                <w:szCs w:val="21"/>
                <w:lang w:eastAsia="zh-CN"/>
              </w:rPr>
              <w:t>工业</w:t>
            </w:r>
          </w:p>
        </w:tc>
      </w:tr>
      <w:tr w14:paraId="24A0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325" w:type="pct"/>
            <w:vAlign w:val="center"/>
          </w:tcPr>
          <w:p w14:paraId="7072931F">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4.</w:t>
            </w:r>
          </w:p>
        </w:tc>
        <w:tc>
          <w:tcPr>
            <w:tcW w:w="1329" w:type="pct"/>
            <w:shd w:val="clear" w:color="auto" w:fill="auto"/>
            <w:vAlign w:val="top"/>
          </w:tcPr>
          <w:p w14:paraId="30479998">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气垫床垫</w:t>
            </w:r>
          </w:p>
        </w:tc>
        <w:tc>
          <w:tcPr>
            <w:tcW w:w="388" w:type="pct"/>
            <w:shd w:val="clear" w:color="auto" w:fill="auto"/>
            <w:vAlign w:val="top"/>
          </w:tcPr>
          <w:p w14:paraId="11402EF5">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4</w:t>
            </w:r>
          </w:p>
        </w:tc>
        <w:tc>
          <w:tcPr>
            <w:tcW w:w="400" w:type="pct"/>
            <w:shd w:val="clear" w:color="auto" w:fill="auto"/>
            <w:vAlign w:val="center"/>
          </w:tcPr>
          <w:p w14:paraId="27CB1B5A">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685" w:type="pct"/>
            <w:shd w:val="clear" w:color="auto" w:fill="auto"/>
            <w:vAlign w:val="center"/>
          </w:tcPr>
          <w:p w14:paraId="62D1701C">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800</w:t>
            </w:r>
          </w:p>
        </w:tc>
        <w:tc>
          <w:tcPr>
            <w:tcW w:w="672" w:type="pct"/>
            <w:shd w:val="clear" w:color="auto" w:fill="auto"/>
            <w:vAlign w:val="center"/>
          </w:tcPr>
          <w:p w14:paraId="48CA4267">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r>
              <w:rPr>
                <w:rFonts w:hint="eastAsia" w:eastAsia="宋体"/>
                <w:bCs/>
                <w:kern w:val="2"/>
                <w:sz w:val="21"/>
                <w:szCs w:val="21"/>
                <w:lang w:eastAsia="zh-CN"/>
              </w:rPr>
              <w:t>拒绝进口</w:t>
            </w:r>
          </w:p>
        </w:tc>
        <w:tc>
          <w:tcPr>
            <w:tcW w:w="659" w:type="pct"/>
            <w:shd w:val="clear" w:color="auto" w:fill="auto"/>
            <w:vAlign w:val="center"/>
          </w:tcPr>
          <w:p w14:paraId="2BAAD3DA">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r>
              <w:rPr>
                <w:rFonts w:eastAsia="宋体"/>
                <w:b/>
                <w:bCs/>
                <w:color w:val="FF0000"/>
                <w:kern w:val="2"/>
                <w:sz w:val="21"/>
                <w:szCs w:val="21"/>
                <w:lang w:eastAsia="zh-CN"/>
              </w:rPr>
              <w:t>否</w:t>
            </w:r>
          </w:p>
        </w:tc>
        <w:tc>
          <w:tcPr>
            <w:tcW w:w="538" w:type="pct"/>
            <w:shd w:val="clear" w:color="auto" w:fill="auto"/>
            <w:vAlign w:val="center"/>
          </w:tcPr>
          <w:p w14:paraId="476D4369">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r>
              <w:rPr>
                <w:rFonts w:hint="eastAsia" w:eastAsia="宋体"/>
                <w:b/>
                <w:bCs/>
                <w:color w:val="FF0000"/>
                <w:kern w:val="2"/>
                <w:sz w:val="21"/>
                <w:szCs w:val="21"/>
                <w:lang w:eastAsia="zh-CN"/>
              </w:rPr>
              <w:t>工业</w:t>
            </w:r>
          </w:p>
        </w:tc>
      </w:tr>
      <w:tr w14:paraId="0BEE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325" w:type="pct"/>
            <w:vAlign w:val="center"/>
          </w:tcPr>
          <w:p w14:paraId="4F613748">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5.</w:t>
            </w:r>
          </w:p>
        </w:tc>
        <w:tc>
          <w:tcPr>
            <w:tcW w:w="1329" w:type="pct"/>
            <w:shd w:val="clear" w:color="auto" w:fill="auto"/>
            <w:vAlign w:val="top"/>
          </w:tcPr>
          <w:p w14:paraId="78A51515">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静态防压疮床垫</w:t>
            </w:r>
          </w:p>
        </w:tc>
        <w:tc>
          <w:tcPr>
            <w:tcW w:w="388" w:type="pct"/>
            <w:shd w:val="clear" w:color="auto" w:fill="auto"/>
            <w:vAlign w:val="top"/>
          </w:tcPr>
          <w:p w14:paraId="0EB59AC5">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4</w:t>
            </w:r>
          </w:p>
        </w:tc>
        <w:tc>
          <w:tcPr>
            <w:tcW w:w="400" w:type="pct"/>
            <w:shd w:val="clear" w:color="auto" w:fill="auto"/>
            <w:vAlign w:val="center"/>
          </w:tcPr>
          <w:p w14:paraId="114A52F8">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685" w:type="pct"/>
            <w:shd w:val="clear" w:color="auto" w:fill="auto"/>
            <w:vAlign w:val="center"/>
          </w:tcPr>
          <w:p w14:paraId="2BC5F0C8">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4500</w:t>
            </w:r>
          </w:p>
        </w:tc>
        <w:tc>
          <w:tcPr>
            <w:tcW w:w="672" w:type="pct"/>
            <w:shd w:val="clear" w:color="auto" w:fill="auto"/>
            <w:vAlign w:val="center"/>
          </w:tcPr>
          <w:p w14:paraId="57DD9A57">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r>
              <w:rPr>
                <w:rFonts w:hint="eastAsia" w:eastAsia="宋体"/>
                <w:bCs/>
                <w:kern w:val="2"/>
                <w:sz w:val="21"/>
                <w:szCs w:val="21"/>
                <w:lang w:eastAsia="zh-CN"/>
              </w:rPr>
              <w:t>拒绝进口</w:t>
            </w:r>
          </w:p>
        </w:tc>
        <w:tc>
          <w:tcPr>
            <w:tcW w:w="659" w:type="pct"/>
            <w:shd w:val="clear" w:color="auto" w:fill="auto"/>
            <w:vAlign w:val="center"/>
          </w:tcPr>
          <w:p w14:paraId="3DB41B44">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r>
              <w:rPr>
                <w:rFonts w:eastAsia="宋体"/>
                <w:b/>
                <w:bCs/>
                <w:color w:val="FF0000"/>
                <w:kern w:val="2"/>
                <w:sz w:val="21"/>
                <w:szCs w:val="21"/>
                <w:lang w:eastAsia="zh-CN"/>
              </w:rPr>
              <w:t>否</w:t>
            </w:r>
          </w:p>
        </w:tc>
        <w:tc>
          <w:tcPr>
            <w:tcW w:w="538" w:type="pct"/>
            <w:shd w:val="clear" w:color="auto" w:fill="auto"/>
            <w:vAlign w:val="center"/>
          </w:tcPr>
          <w:p w14:paraId="5B769947">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r>
              <w:rPr>
                <w:rFonts w:hint="eastAsia" w:eastAsia="宋体"/>
                <w:b/>
                <w:bCs/>
                <w:color w:val="FF0000"/>
                <w:kern w:val="2"/>
                <w:sz w:val="21"/>
                <w:szCs w:val="21"/>
                <w:lang w:eastAsia="zh-CN"/>
              </w:rPr>
              <w:t>工业</w:t>
            </w:r>
          </w:p>
        </w:tc>
      </w:tr>
      <w:tr w14:paraId="299C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325" w:type="pct"/>
            <w:vAlign w:val="center"/>
          </w:tcPr>
          <w:p w14:paraId="4F74F8B5">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6.</w:t>
            </w:r>
          </w:p>
        </w:tc>
        <w:tc>
          <w:tcPr>
            <w:tcW w:w="1329" w:type="pct"/>
            <w:shd w:val="clear" w:color="auto" w:fill="auto"/>
            <w:vAlign w:val="top"/>
          </w:tcPr>
          <w:p w14:paraId="731DF1E8">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轮椅</w:t>
            </w:r>
          </w:p>
        </w:tc>
        <w:tc>
          <w:tcPr>
            <w:tcW w:w="388" w:type="pct"/>
            <w:shd w:val="clear" w:color="auto" w:fill="auto"/>
            <w:vAlign w:val="top"/>
          </w:tcPr>
          <w:p w14:paraId="73A61FE9">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23</w:t>
            </w:r>
          </w:p>
        </w:tc>
        <w:tc>
          <w:tcPr>
            <w:tcW w:w="400" w:type="pct"/>
            <w:shd w:val="clear" w:color="auto" w:fill="auto"/>
            <w:vAlign w:val="center"/>
          </w:tcPr>
          <w:p w14:paraId="02FEB48F">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685" w:type="pct"/>
            <w:shd w:val="clear" w:color="auto" w:fill="auto"/>
            <w:vAlign w:val="center"/>
          </w:tcPr>
          <w:p w14:paraId="4AB10D16">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800</w:t>
            </w:r>
          </w:p>
        </w:tc>
        <w:tc>
          <w:tcPr>
            <w:tcW w:w="672" w:type="pct"/>
            <w:shd w:val="clear" w:color="auto" w:fill="auto"/>
            <w:vAlign w:val="center"/>
          </w:tcPr>
          <w:p w14:paraId="66C733A9">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r>
              <w:rPr>
                <w:rFonts w:hint="eastAsia" w:eastAsia="宋体"/>
                <w:bCs/>
                <w:kern w:val="2"/>
                <w:sz w:val="21"/>
                <w:szCs w:val="21"/>
                <w:lang w:eastAsia="zh-CN"/>
              </w:rPr>
              <w:t>拒绝进口</w:t>
            </w:r>
          </w:p>
        </w:tc>
        <w:tc>
          <w:tcPr>
            <w:tcW w:w="659" w:type="pct"/>
            <w:shd w:val="clear" w:color="auto" w:fill="auto"/>
            <w:vAlign w:val="center"/>
          </w:tcPr>
          <w:p w14:paraId="3C459175">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r>
              <w:rPr>
                <w:rFonts w:eastAsia="宋体"/>
                <w:b/>
                <w:bCs/>
                <w:color w:val="FF0000"/>
                <w:kern w:val="2"/>
                <w:sz w:val="21"/>
                <w:szCs w:val="21"/>
                <w:lang w:eastAsia="zh-CN"/>
              </w:rPr>
              <w:t>否</w:t>
            </w:r>
          </w:p>
        </w:tc>
        <w:tc>
          <w:tcPr>
            <w:tcW w:w="538" w:type="pct"/>
            <w:shd w:val="clear" w:color="auto" w:fill="auto"/>
            <w:vAlign w:val="center"/>
          </w:tcPr>
          <w:p w14:paraId="3B34AE85">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r>
              <w:rPr>
                <w:rFonts w:hint="eastAsia" w:eastAsia="宋体"/>
                <w:b/>
                <w:bCs/>
                <w:color w:val="FF0000"/>
                <w:kern w:val="2"/>
                <w:sz w:val="21"/>
                <w:szCs w:val="21"/>
                <w:lang w:eastAsia="zh-CN"/>
              </w:rPr>
              <w:t>工业</w:t>
            </w:r>
          </w:p>
        </w:tc>
      </w:tr>
      <w:tr w14:paraId="6483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325" w:type="pct"/>
            <w:vAlign w:val="center"/>
          </w:tcPr>
          <w:p w14:paraId="12D6CF4B">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7.</w:t>
            </w:r>
          </w:p>
        </w:tc>
        <w:tc>
          <w:tcPr>
            <w:tcW w:w="1329" w:type="pct"/>
            <w:shd w:val="clear" w:color="auto" w:fill="auto"/>
            <w:vAlign w:val="top"/>
          </w:tcPr>
          <w:p w14:paraId="1FD54B65">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称重轮椅</w:t>
            </w:r>
          </w:p>
        </w:tc>
        <w:tc>
          <w:tcPr>
            <w:tcW w:w="388" w:type="pct"/>
            <w:shd w:val="clear" w:color="auto" w:fill="auto"/>
            <w:vAlign w:val="top"/>
          </w:tcPr>
          <w:p w14:paraId="4F0D4A4A">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1</w:t>
            </w:r>
          </w:p>
        </w:tc>
        <w:tc>
          <w:tcPr>
            <w:tcW w:w="400" w:type="pct"/>
            <w:shd w:val="clear" w:color="auto" w:fill="auto"/>
            <w:vAlign w:val="center"/>
          </w:tcPr>
          <w:p w14:paraId="24929F58">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685" w:type="pct"/>
            <w:shd w:val="clear" w:color="auto" w:fill="auto"/>
            <w:vAlign w:val="center"/>
          </w:tcPr>
          <w:p w14:paraId="6B6FE10B">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3000</w:t>
            </w:r>
          </w:p>
        </w:tc>
        <w:tc>
          <w:tcPr>
            <w:tcW w:w="672" w:type="pct"/>
            <w:shd w:val="clear" w:color="auto" w:fill="auto"/>
            <w:vAlign w:val="center"/>
          </w:tcPr>
          <w:p w14:paraId="02A88CB6">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r>
              <w:rPr>
                <w:rFonts w:hint="eastAsia" w:eastAsia="宋体"/>
                <w:bCs/>
                <w:kern w:val="2"/>
                <w:sz w:val="21"/>
                <w:szCs w:val="21"/>
                <w:lang w:eastAsia="zh-CN"/>
              </w:rPr>
              <w:t>拒绝进口</w:t>
            </w:r>
          </w:p>
        </w:tc>
        <w:tc>
          <w:tcPr>
            <w:tcW w:w="659" w:type="pct"/>
            <w:shd w:val="clear" w:color="auto" w:fill="auto"/>
            <w:vAlign w:val="center"/>
          </w:tcPr>
          <w:p w14:paraId="473AB95F">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r>
              <w:rPr>
                <w:rFonts w:eastAsia="宋体"/>
                <w:b/>
                <w:bCs/>
                <w:color w:val="FF0000"/>
                <w:kern w:val="2"/>
                <w:sz w:val="21"/>
                <w:szCs w:val="21"/>
                <w:lang w:eastAsia="zh-CN"/>
              </w:rPr>
              <w:t>否</w:t>
            </w:r>
          </w:p>
        </w:tc>
        <w:tc>
          <w:tcPr>
            <w:tcW w:w="538" w:type="pct"/>
            <w:shd w:val="clear" w:color="auto" w:fill="auto"/>
            <w:vAlign w:val="center"/>
          </w:tcPr>
          <w:p w14:paraId="1CA5B2C5">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r>
              <w:rPr>
                <w:rFonts w:hint="eastAsia" w:eastAsia="宋体"/>
                <w:b/>
                <w:bCs/>
                <w:color w:val="FF0000"/>
                <w:kern w:val="2"/>
                <w:sz w:val="21"/>
                <w:szCs w:val="21"/>
                <w:lang w:eastAsia="zh-CN"/>
              </w:rPr>
              <w:t>工业</w:t>
            </w:r>
          </w:p>
        </w:tc>
      </w:tr>
      <w:tr w14:paraId="2CE0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325" w:type="pct"/>
            <w:vAlign w:val="center"/>
          </w:tcPr>
          <w:p w14:paraId="6A718969">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8.</w:t>
            </w:r>
          </w:p>
        </w:tc>
        <w:tc>
          <w:tcPr>
            <w:tcW w:w="1329" w:type="pct"/>
            <w:shd w:val="clear" w:color="auto" w:fill="auto"/>
            <w:vAlign w:val="top"/>
          </w:tcPr>
          <w:p w14:paraId="3C6A4E87">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转运车</w:t>
            </w:r>
          </w:p>
        </w:tc>
        <w:tc>
          <w:tcPr>
            <w:tcW w:w="388" w:type="pct"/>
            <w:shd w:val="clear" w:color="auto" w:fill="auto"/>
            <w:vAlign w:val="top"/>
          </w:tcPr>
          <w:p w14:paraId="4DB69536">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30</w:t>
            </w:r>
          </w:p>
        </w:tc>
        <w:tc>
          <w:tcPr>
            <w:tcW w:w="400" w:type="pct"/>
            <w:shd w:val="clear" w:color="auto" w:fill="auto"/>
            <w:vAlign w:val="center"/>
          </w:tcPr>
          <w:p w14:paraId="231382F3">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685" w:type="pct"/>
            <w:shd w:val="clear" w:color="auto" w:fill="auto"/>
            <w:vAlign w:val="center"/>
          </w:tcPr>
          <w:p w14:paraId="0928AB64">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9600</w:t>
            </w:r>
          </w:p>
        </w:tc>
        <w:tc>
          <w:tcPr>
            <w:tcW w:w="672" w:type="pct"/>
            <w:shd w:val="clear" w:color="auto" w:fill="auto"/>
            <w:vAlign w:val="center"/>
          </w:tcPr>
          <w:p w14:paraId="41A89824">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r>
              <w:rPr>
                <w:rFonts w:hint="eastAsia" w:eastAsia="宋体"/>
                <w:bCs/>
                <w:kern w:val="2"/>
                <w:sz w:val="21"/>
                <w:szCs w:val="21"/>
                <w:lang w:eastAsia="zh-CN"/>
              </w:rPr>
              <w:t>拒绝进口</w:t>
            </w:r>
          </w:p>
        </w:tc>
        <w:tc>
          <w:tcPr>
            <w:tcW w:w="659" w:type="pct"/>
            <w:shd w:val="clear" w:color="auto" w:fill="auto"/>
            <w:vAlign w:val="center"/>
          </w:tcPr>
          <w:p w14:paraId="776D3B8C">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r>
              <w:rPr>
                <w:rFonts w:eastAsia="宋体"/>
                <w:b/>
                <w:bCs/>
                <w:color w:val="FF0000"/>
                <w:kern w:val="2"/>
                <w:sz w:val="21"/>
                <w:szCs w:val="21"/>
                <w:lang w:eastAsia="zh-CN"/>
              </w:rPr>
              <w:t>否</w:t>
            </w:r>
          </w:p>
        </w:tc>
        <w:tc>
          <w:tcPr>
            <w:tcW w:w="538" w:type="pct"/>
            <w:shd w:val="clear" w:color="auto" w:fill="auto"/>
            <w:vAlign w:val="center"/>
          </w:tcPr>
          <w:p w14:paraId="28F8557F">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r>
              <w:rPr>
                <w:rFonts w:hint="eastAsia" w:eastAsia="宋体"/>
                <w:b/>
                <w:bCs/>
                <w:color w:val="FF0000"/>
                <w:kern w:val="2"/>
                <w:sz w:val="21"/>
                <w:szCs w:val="21"/>
                <w:lang w:eastAsia="zh-CN"/>
              </w:rPr>
              <w:t>工业</w:t>
            </w:r>
          </w:p>
        </w:tc>
      </w:tr>
      <w:tr w14:paraId="069C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325" w:type="pct"/>
            <w:vAlign w:val="center"/>
          </w:tcPr>
          <w:p w14:paraId="0CA9DB3F">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9.</w:t>
            </w:r>
          </w:p>
        </w:tc>
        <w:tc>
          <w:tcPr>
            <w:tcW w:w="1329" w:type="pct"/>
            <w:shd w:val="clear" w:color="auto" w:fill="auto"/>
            <w:vAlign w:val="top"/>
          </w:tcPr>
          <w:p w14:paraId="5813A977">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可折叠助行器</w:t>
            </w:r>
          </w:p>
        </w:tc>
        <w:tc>
          <w:tcPr>
            <w:tcW w:w="388" w:type="pct"/>
            <w:shd w:val="clear" w:color="auto" w:fill="auto"/>
            <w:vAlign w:val="top"/>
          </w:tcPr>
          <w:p w14:paraId="69B87A03">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4</w:t>
            </w:r>
          </w:p>
        </w:tc>
        <w:tc>
          <w:tcPr>
            <w:tcW w:w="400" w:type="pct"/>
            <w:shd w:val="clear" w:color="auto" w:fill="auto"/>
            <w:vAlign w:val="center"/>
          </w:tcPr>
          <w:p w14:paraId="4793B1F7">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个</w:t>
            </w:r>
          </w:p>
        </w:tc>
        <w:tc>
          <w:tcPr>
            <w:tcW w:w="685" w:type="pct"/>
            <w:shd w:val="clear" w:color="auto" w:fill="auto"/>
            <w:vAlign w:val="center"/>
          </w:tcPr>
          <w:p w14:paraId="5CBA5B83">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300</w:t>
            </w:r>
          </w:p>
        </w:tc>
        <w:tc>
          <w:tcPr>
            <w:tcW w:w="672" w:type="pct"/>
            <w:shd w:val="clear" w:color="auto" w:fill="auto"/>
            <w:vAlign w:val="center"/>
          </w:tcPr>
          <w:p w14:paraId="33888D61">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r>
              <w:rPr>
                <w:rFonts w:hint="eastAsia" w:eastAsia="宋体"/>
                <w:bCs/>
                <w:kern w:val="2"/>
                <w:sz w:val="21"/>
                <w:szCs w:val="21"/>
                <w:lang w:eastAsia="zh-CN"/>
              </w:rPr>
              <w:t>拒绝进口</w:t>
            </w:r>
          </w:p>
        </w:tc>
        <w:tc>
          <w:tcPr>
            <w:tcW w:w="659" w:type="pct"/>
            <w:shd w:val="clear" w:color="auto" w:fill="auto"/>
            <w:vAlign w:val="center"/>
          </w:tcPr>
          <w:p w14:paraId="5129DEB3">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r>
              <w:rPr>
                <w:rFonts w:eastAsia="宋体"/>
                <w:b/>
                <w:bCs/>
                <w:color w:val="FF0000"/>
                <w:kern w:val="2"/>
                <w:sz w:val="21"/>
                <w:szCs w:val="21"/>
                <w:lang w:eastAsia="zh-CN"/>
              </w:rPr>
              <w:t>否</w:t>
            </w:r>
          </w:p>
        </w:tc>
        <w:tc>
          <w:tcPr>
            <w:tcW w:w="538" w:type="pct"/>
            <w:shd w:val="clear" w:color="auto" w:fill="auto"/>
            <w:vAlign w:val="center"/>
          </w:tcPr>
          <w:p w14:paraId="7BCF7E6E">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r>
              <w:rPr>
                <w:rFonts w:hint="eastAsia" w:eastAsia="宋体"/>
                <w:b/>
                <w:bCs/>
                <w:color w:val="FF0000"/>
                <w:kern w:val="2"/>
                <w:sz w:val="21"/>
                <w:szCs w:val="21"/>
                <w:lang w:eastAsia="zh-CN"/>
              </w:rPr>
              <w:t>工业</w:t>
            </w:r>
          </w:p>
        </w:tc>
      </w:tr>
      <w:bookmarkEnd w:id="35"/>
    </w:tbl>
    <w:p w14:paraId="6822578B">
      <w:pPr>
        <w:widowControl w:val="0"/>
        <w:jc w:val="both"/>
        <w:rPr>
          <w:rFonts w:hint="eastAsia"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注：1、“是否接受进口”栏注明“拒绝进口”的产品不接受投标人选用进口产品参与投标；注明“接受进口”的产品允许投标人选用进口产品参与投标，但不排斥国内产品。</w:t>
      </w:r>
    </w:p>
    <w:p w14:paraId="294DAB5C">
      <w:pPr>
        <w:widowControl w:val="0"/>
        <w:ind w:firstLine="422" w:firstLineChars="200"/>
        <w:jc w:val="both"/>
        <w:rPr>
          <w:rFonts w:hint="eastAsia"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6B33BB7">
      <w:pPr>
        <w:widowControl w:val="0"/>
        <w:ind w:firstLine="422" w:firstLineChars="200"/>
        <w:jc w:val="both"/>
        <w:rPr>
          <w:rFonts w:hint="eastAsia" w:ascii="宋体" w:hAnsi="宋体" w:eastAsia="宋体" w:cs="宋体"/>
          <w:b/>
          <w:color w:val="FF0000"/>
          <w:sz w:val="21"/>
          <w:szCs w:val="21"/>
          <w:lang w:eastAsia="zh-CN"/>
        </w:rPr>
      </w:pPr>
      <w:r>
        <w:rPr>
          <w:rFonts w:hint="eastAsia" w:ascii="宋体" w:hAnsi="宋体" w:eastAsia="宋体"/>
          <w:b/>
          <w:color w:val="FF0000"/>
          <w:kern w:val="2"/>
          <w:sz w:val="21"/>
          <w:szCs w:val="21"/>
          <w:lang w:eastAsia="zh-CN"/>
        </w:rPr>
        <w:t>3、本项目核心产品为：护理病床（</w:t>
      </w:r>
      <w:r>
        <w:rPr>
          <w:rFonts w:hint="eastAsia" w:ascii="宋体" w:hAnsi="宋体" w:eastAsia="宋体" w:cs="宋体"/>
          <w:b/>
          <w:color w:val="FF0000"/>
          <w:sz w:val="21"/>
          <w:szCs w:val="21"/>
          <w:lang w:eastAsia="zh-CN"/>
        </w:rPr>
        <w:t>序号1）。</w:t>
      </w:r>
    </w:p>
    <w:p w14:paraId="23A7D802">
      <w:pPr>
        <w:widowControl w:val="0"/>
        <w:ind w:firstLine="422" w:firstLineChars="200"/>
        <w:jc w:val="both"/>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4、投标人填报的单价不得高于相应单价限价，否则将导致投标无效。</w:t>
      </w:r>
    </w:p>
    <w:p w14:paraId="00ABAA24">
      <w:pPr>
        <w:widowControl w:val="0"/>
        <w:ind w:firstLine="422" w:firstLineChars="200"/>
        <w:jc w:val="both"/>
        <w:rPr>
          <w:rFonts w:ascii="宋体" w:hAnsi="宋体" w:eastAsia="宋体" w:cs="宋体"/>
          <w:b/>
          <w:color w:val="FF0000"/>
          <w:sz w:val="21"/>
          <w:szCs w:val="21"/>
          <w:lang w:eastAsia="zh-CN"/>
        </w:rPr>
      </w:pPr>
    </w:p>
    <w:p w14:paraId="584BBA33">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sz w:val="28"/>
          <w:szCs w:val="28"/>
          <w:lang w:eastAsia="zh-CN"/>
        </w:rPr>
      </w:pPr>
      <w:bookmarkStart w:id="36" w:name="_Toc128884461"/>
      <w:r>
        <w:rPr>
          <w:rFonts w:hint="eastAsia" w:ascii="宋体" w:hAnsi="宋体" w:eastAsia="宋体"/>
          <w:b/>
          <w:sz w:val="28"/>
          <w:szCs w:val="28"/>
          <w:lang w:eastAsia="zh-CN"/>
        </w:rPr>
        <w:t>三、实质性条款</w:t>
      </w:r>
    </w:p>
    <w:tbl>
      <w:tblPr>
        <w:tblStyle w:val="14"/>
        <w:tblW w:w="5000" w:type="pct"/>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7867"/>
      </w:tblGrid>
      <w:tr w14:paraId="6924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14:paraId="7A920CAB">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7612" w:type="dxa"/>
            <w:vAlign w:val="center"/>
          </w:tcPr>
          <w:p w14:paraId="00F71879">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r>
      <w:tr w14:paraId="7E93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0" w:type="dxa"/>
            <w:vAlign w:val="center"/>
          </w:tcPr>
          <w:p w14:paraId="086A3671">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7612" w:type="dxa"/>
            <w:vAlign w:val="center"/>
          </w:tcPr>
          <w:p w14:paraId="0ABA3B28">
            <w:pPr>
              <w:widowControl w:val="0"/>
              <w:adjustRightInd w:val="0"/>
              <w:snapToGrid w:val="0"/>
              <w:spacing w:line="360" w:lineRule="auto"/>
              <w:jc w:val="left"/>
              <w:rPr>
                <w:rFonts w:hint="eastAsia" w:hAnsi="宋体" w:eastAsia="宋体"/>
                <w:sz w:val="21"/>
                <w:szCs w:val="21"/>
                <w:lang w:eastAsia="zh-CN"/>
              </w:rPr>
            </w:pPr>
            <w:r>
              <w:rPr>
                <w:rFonts w:hint="eastAsia" w:eastAsia="宋体"/>
                <w:color w:val="000000"/>
                <w:kern w:val="2"/>
                <w:sz w:val="21"/>
                <w:szCs w:val="21"/>
                <w:lang w:eastAsia="zh-CN"/>
              </w:rPr>
              <w:t>具体以采购文件第三章 用户需求书中带“★”的需求项为准。</w:t>
            </w:r>
          </w:p>
        </w:tc>
      </w:tr>
    </w:tbl>
    <w:p w14:paraId="5FC08BB9">
      <w:pPr>
        <w:widowControl w:val="0"/>
        <w:jc w:val="both"/>
        <w:rPr>
          <w:rFonts w:hint="eastAsia" w:ascii="宋体" w:hAnsi="宋体" w:eastAsia="宋体" w:cs="宋体"/>
          <w:color w:val="000000"/>
          <w:sz w:val="21"/>
          <w:szCs w:val="21"/>
          <w:lang w:eastAsia="zh-CN" w:bidi="ar"/>
        </w:rPr>
      </w:pPr>
      <w:r>
        <w:rPr>
          <w:rFonts w:hint="eastAsia" w:eastAsia="宋体"/>
          <w:b/>
          <w:kern w:val="2"/>
          <w:sz w:val="21"/>
          <w:lang w:eastAsia="zh-CN"/>
        </w:rPr>
        <w:t>注：上表所列内容为不可负偏离条款</w:t>
      </w:r>
      <w:bookmarkEnd w:id="36"/>
      <w:r>
        <w:rPr>
          <w:rFonts w:hint="eastAsia" w:eastAsia="宋体"/>
          <w:b/>
          <w:kern w:val="2"/>
          <w:sz w:val="21"/>
          <w:lang w:eastAsia="zh-CN"/>
        </w:rPr>
        <w:t>，负偏离将视为未实质性满足招标文件要求作投标无效处理。</w:t>
      </w:r>
    </w:p>
    <w:p w14:paraId="71E4A0B5">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sz w:val="28"/>
          <w:szCs w:val="28"/>
          <w:lang w:eastAsia="zh-CN"/>
        </w:rPr>
      </w:pPr>
      <w:r>
        <w:rPr>
          <w:rFonts w:hint="eastAsia" w:ascii="宋体" w:hAnsi="宋体" w:eastAsia="宋体"/>
          <w:b/>
          <w:sz w:val="28"/>
          <w:szCs w:val="28"/>
          <w:lang w:eastAsia="zh-CN"/>
        </w:rPr>
        <w:t>四、技术要求</w:t>
      </w:r>
    </w:p>
    <w:p w14:paraId="6ACC82D8">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hint="eastAsia" w:eastAsia="宋体"/>
          <w:b/>
          <w:kern w:val="2"/>
          <w:sz w:val="21"/>
          <w:lang w:eastAsia="zh-CN"/>
        </w:rPr>
        <w:t>、评分时，如对一项招标技术要求（以划分框为准）中的内容存在两处（或以上）负偏离的，在评分时只作一项负偏离扣分。</w:t>
      </w:r>
    </w:p>
    <w:p w14:paraId="025950F2">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”指标项为重要参数条款，负偏离时依相关评分准则内容作重点扣分处理。</w:t>
      </w:r>
    </w:p>
    <w:p w14:paraId="4E387218">
      <w:pPr>
        <w:widowControl w:val="0"/>
        <w:ind w:firstLine="422" w:firstLineChars="200"/>
        <w:jc w:val="both"/>
        <w:rPr>
          <w:rFonts w:eastAsia="宋体"/>
          <w:b/>
          <w:kern w:val="2"/>
          <w:sz w:val="21"/>
          <w:szCs w:val="21"/>
          <w:lang w:eastAsia="zh-CN"/>
        </w:rPr>
      </w:pPr>
      <w:r>
        <w:rPr>
          <w:rFonts w:eastAsia="宋体"/>
          <w:b/>
          <w:kern w:val="2"/>
          <w:sz w:val="21"/>
          <w:szCs w:val="21"/>
          <w:lang w:eastAsia="zh-CN"/>
        </w:rPr>
        <w:t>3</w:t>
      </w:r>
      <w:r>
        <w:rPr>
          <w:rFonts w:hint="eastAsia" w:eastAsia="宋体"/>
          <w:b/>
          <w:kern w:val="2"/>
          <w:sz w:val="21"/>
          <w:szCs w:val="21"/>
          <w:lang w:eastAsia="zh-CN"/>
        </w:rPr>
        <w:t>、</w:t>
      </w:r>
      <w:bookmarkStart w:id="37" w:name="_Hlk72585069"/>
      <w:r>
        <w:rPr>
          <w:rFonts w:hint="eastAsia" w:eastAsia="宋体"/>
          <w:b/>
          <w:kern w:val="2"/>
          <w:sz w:val="21"/>
          <w:szCs w:val="21"/>
          <w:lang w:eastAsia="zh-CN"/>
        </w:rPr>
        <w:t>招标技术要求中，用</w:t>
      </w:r>
      <w:r>
        <w:rPr>
          <w:rFonts w:hint="eastAsia" w:eastAsia="宋体"/>
          <w:b/>
          <w:color w:val="FF0000"/>
          <w:kern w:val="2"/>
          <w:sz w:val="21"/>
          <w:szCs w:val="21"/>
          <w:lang w:eastAsia="zh-CN"/>
        </w:rPr>
        <w:t>红色加粗字体标注</w:t>
      </w:r>
      <w:r>
        <w:rPr>
          <w:rFonts w:hint="eastAsia" w:eastAsia="宋体"/>
          <w:b/>
          <w:kern w:val="2"/>
          <w:sz w:val="21"/>
          <w:szCs w:val="21"/>
          <w:lang w:eastAsia="zh-CN"/>
        </w:rPr>
        <w:t>的指标项均要求提供证明资料；其余指标项未要求提供证明资料，无需提供相关证明资料。</w:t>
      </w:r>
    </w:p>
    <w:p w14:paraId="6AADD6E1">
      <w:pPr>
        <w:widowControl w:val="0"/>
        <w:ind w:firstLine="422" w:firstLineChars="200"/>
        <w:jc w:val="both"/>
        <w:rPr>
          <w:rFonts w:hint="eastAsia" w:eastAsia="宋体"/>
          <w:b/>
          <w:color w:val="FF0000"/>
          <w:kern w:val="2"/>
          <w:sz w:val="21"/>
          <w:szCs w:val="21"/>
          <w:lang w:eastAsia="zh-CN"/>
        </w:rPr>
      </w:pPr>
      <w:r>
        <w:rPr>
          <w:rFonts w:hint="eastAsia" w:eastAsia="宋体"/>
          <w:b/>
          <w:color w:val="FF0000"/>
          <w:kern w:val="2"/>
          <w:sz w:val="21"/>
          <w:szCs w:val="21"/>
          <w:lang w:eastAsia="zh-CN"/>
        </w:rPr>
        <w:t>4、涉及区间的参数除特别注明以外，产品参数区间不在招标要求区间范围内的视为负偏离。例：区间要求为5-20ML, 所投产品，范围最小值≥5ML，范围最大值≤20ML，即为满足该项技术要求。</w:t>
      </w:r>
    </w:p>
    <w:bookmarkEnd w:id="37"/>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0"/>
        <w:gridCol w:w="1402"/>
        <w:gridCol w:w="2442"/>
        <w:gridCol w:w="5358"/>
      </w:tblGrid>
      <w:tr w14:paraId="7840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shd w:val="clear" w:color="auto" w:fill="auto"/>
            <w:noWrap/>
            <w:vAlign w:val="center"/>
          </w:tcPr>
          <w:p w14:paraId="1165FC52">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sz w:val="21"/>
                <w:szCs w:val="21"/>
                <w:lang w:eastAsia="zh-CN"/>
              </w:rPr>
              <w:t>序号</w:t>
            </w:r>
          </w:p>
        </w:tc>
        <w:tc>
          <w:tcPr>
            <w:tcW w:w="1393" w:type="dxa"/>
            <w:shd w:val="clear" w:color="auto" w:fill="auto"/>
            <w:noWrap/>
            <w:vAlign w:val="center"/>
          </w:tcPr>
          <w:p w14:paraId="3F7194A6">
            <w:pPr>
              <w:keepNext w:val="0"/>
              <w:keepLines w:val="0"/>
              <w:widowControl/>
              <w:suppressLineNumbers w:val="0"/>
              <w:wordWrap w:val="0"/>
              <w:jc w:val="center"/>
              <w:textAlignment w:val="top"/>
              <w:rPr>
                <w:rFonts w:hint="eastAsia" w:ascii="宋体" w:hAnsi="宋体" w:eastAsia="宋体" w:cs="宋体"/>
                <w:sz w:val="21"/>
                <w:szCs w:val="21"/>
                <w:lang w:eastAsia="zh-CN"/>
              </w:rPr>
            </w:pPr>
            <w:r>
              <w:rPr>
                <w:rFonts w:hint="eastAsia" w:ascii="宋体" w:hAnsi="宋体" w:eastAsia="宋体" w:cs="宋体"/>
                <w:sz w:val="21"/>
                <w:szCs w:val="21"/>
                <w:lang w:eastAsia="zh-CN"/>
              </w:rPr>
              <w:t>货物名称</w:t>
            </w:r>
          </w:p>
          <w:p w14:paraId="23AB554C">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sz w:val="21"/>
                <w:szCs w:val="21"/>
                <w:lang w:eastAsia="zh-CN"/>
              </w:rPr>
              <w:t>（标的名称）</w:t>
            </w:r>
          </w:p>
        </w:tc>
        <w:tc>
          <w:tcPr>
            <w:tcW w:w="2443" w:type="dxa"/>
            <w:shd w:val="clear" w:color="auto" w:fill="auto"/>
            <w:noWrap/>
            <w:vAlign w:val="center"/>
          </w:tcPr>
          <w:p w14:paraId="1B059F80">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sz w:val="21"/>
                <w:szCs w:val="21"/>
                <w:lang w:eastAsia="zh-CN"/>
              </w:rPr>
              <w:t>参考图片</w:t>
            </w:r>
          </w:p>
        </w:tc>
        <w:tc>
          <w:tcPr>
            <w:tcW w:w="5383" w:type="dxa"/>
            <w:shd w:val="clear" w:color="auto" w:fill="auto"/>
            <w:noWrap/>
            <w:vAlign w:val="center"/>
          </w:tcPr>
          <w:p w14:paraId="6A771B62">
            <w:pPr>
              <w:keepNext w:val="0"/>
              <w:keepLines w:val="0"/>
              <w:widowControl/>
              <w:suppressLineNumbers w:val="0"/>
              <w:wordWrap w:val="0"/>
              <w:jc w:val="center"/>
              <w:textAlignment w:val="center"/>
              <w:rPr>
                <w:rFonts w:ascii="宋体" w:hAnsi="宋体" w:eastAsia="宋体" w:cs="宋体"/>
                <w:color w:val="000000"/>
                <w:sz w:val="21"/>
                <w:szCs w:val="21"/>
                <w:lang w:eastAsia="zh-CN" w:bidi="ar"/>
              </w:rPr>
            </w:pPr>
            <w:r>
              <w:rPr>
                <w:rFonts w:hint="eastAsia" w:ascii="宋体" w:hAnsi="宋体" w:eastAsia="宋体" w:cs="宋体"/>
                <w:sz w:val="21"/>
                <w:szCs w:val="21"/>
                <w:lang w:eastAsia="zh-CN"/>
              </w:rPr>
              <w:t>招标技术要求</w:t>
            </w:r>
          </w:p>
        </w:tc>
      </w:tr>
      <w:tr w14:paraId="761A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2D936775">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w:t>
            </w:r>
          </w:p>
        </w:tc>
        <w:tc>
          <w:tcPr>
            <w:tcW w:w="1393" w:type="dxa"/>
            <w:vMerge w:val="restart"/>
            <w:shd w:val="clear" w:color="auto" w:fill="auto"/>
            <w:noWrap/>
            <w:vAlign w:val="center"/>
          </w:tcPr>
          <w:p w14:paraId="26DE4BF8">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护理病床</w:t>
            </w:r>
          </w:p>
        </w:tc>
        <w:tc>
          <w:tcPr>
            <w:tcW w:w="2443" w:type="dxa"/>
            <w:vMerge w:val="restart"/>
            <w:shd w:val="clear" w:color="auto" w:fill="auto"/>
            <w:noWrap/>
            <w:vAlign w:val="center"/>
          </w:tcPr>
          <w:p w14:paraId="7B4A8B6F">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r>
              <w:rPr>
                <w:sz w:val="21"/>
                <w:szCs w:val="21"/>
                <w:highlight w:val="none"/>
              </w:rPr>
              <w:drawing>
                <wp:inline distT="0" distB="0" distL="114300" distR="114300">
                  <wp:extent cx="1406525" cy="876935"/>
                  <wp:effectExtent l="0" t="0" r="3175" b="18415"/>
                  <wp:docPr id="2"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06525" cy="876935"/>
                          </a:xfrm>
                          <a:prstGeom prst="rect">
                            <a:avLst/>
                          </a:prstGeom>
                        </pic:spPr>
                      </pic:pic>
                    </a:graphicData>
                  </a:graphic>
                </wp:inline>
              </w:drawing>
            </w:r>
          </w:p>
        </w:tc>
        <w:tc>
          <w:tcPr>
            <w:tcW w:w="5383" w:type="dxa"/>
            <w:shd w:val="clear" w:color="auto" w:fill="auto"/>
            <w:noWrap/>
            <w:vAlign w:val="center"/>
          </w:tcPr>
          <w:p w14:paraId="714627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sz w:val="21"/>
                <w:szCs w:val="21"/>
                <w:lang w:eastAsia="zh-CN"/>
              </w:rPr>
              <w:t>▲</w:t>
            </w:r>
            <w:r>
              <w:rPr>
                <w:rFonts w:hint="eastAsia" w:ascii="宋体" w:hAnsi="宋体" w:eastAsia="宋体" w:cs="宋体"/>
                <w:color w:val="000000"/>
                <w:sz w:val="21"/>
                <w:szCs w:val="21"/>
                <w:lang w:eastAsia="zh-CN" w:bidi="ar"/>
              </w:rPr>
              <w:t>1、尺寸规格：整体2150*1025*430-740mm(±50mm），床板尺寸1950x900mm(±50mm）</w:t>
            </w:r>
          </w:p>
        </w:tc>
      </w:tr>
      <w:tr w14:paraId="4CFA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6692FA0">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058AB63">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1D93223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7474D600">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r>
              <w:rPr>
                <w:rFonts w:hint="eastAsia" w:ascii="宋体" w:hAnsi="宋体" w:eastAsia="宋体" w:cs="宋体"/>
                <w:color w:val="000000"/>
                <w:sz w:val="21"/>
                <w:szCs w:val="21"/>
                <w:lang w:eastAsia="zh-CN" w:bidi="ar"/>
              </w:rPr>
              <w:t>功能：</w:t>
            </w:r>
          </w:p>
        </w:tc>
      </w:tr>
      <w:tr w14:paraId="03BD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36550F9">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7E59556">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0E0AF8E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617D3AD2">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★2.1背部抬起0-75°(±5°),腿部抬起0-38°(±5°),整体升降床板离地高度：430-740mm(±50mm）</w:t>
            </w:r>
          </w:p>
        </w:tc>
      </w:tr>
      <w:tr w14:paraId="5FDE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963AAF0">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F2EA1E7">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160CC73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427036F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▲2.2背部退回功能：在背板抬起后回退不低于7cm，减少病患褥疮风险。</w:t>
            </w:r>
          </w:p>
        </w:tc>
      </w:tr>
      <w:tr w14:paraId="5664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5E16020">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B8A44D0">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458F4B0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719C6B7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3、部件及设备技术参数要求：</w:t>
            </w:r>
          </w:p>
          <w:p w14:paraId="79C9FE2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3.1床头床尾：采用全新PP或HDPE高强度工程聚塑材料整体—次性吹塑成形，无毒、无味、抗菌，可在100℃以上温度进行消毒，耐冲击强度50kg，拉伸强度不低于30Mpa，耐磨、耐腐蚀、阻燃，性能稳定可靠，不变形。表面光滑无缝隙，易擦拭；弧线型设计，有符合人体工程学结构的把手，床头及床尾架有对称式自动锁插接装置，可以拆卸及锁定，床头尾各带有防撞轮。</w:t>
            </w:r>
          </w:p>
        </w:tc>
      </w:tr>
      <w:tr w14:paraId="45BF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C99580D">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767D517">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041CCF9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1532481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3.2隐藏式摇手：伸缩摇杆为不锈钢材质，钢制万向节，丝杆采用45#高级结构钢双挤压成型，摇手柄采用全新高强度ABS强化工程塑料—次性注塑成型，内镶钢芯，结实耐用。内部结构采用精密轴承加含油铜螺母，具备双向过盈保护装置、到位过载保护功能，内加适量黄油，无噪音，全封闭设计。</w:t>
            </w:r>
          </w:p>
        </w:tc>
      </w:tr>
      <w:tr w14:paraId="5EDE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6ECBE27B">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2A8BDE1">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35F931C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03C3FDC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3.3床板：采用制造工艺搭配—体化床板设计，经全新PP或HDPE工程塑料打造而成的独立式可拆卸4片式凹凸床板。</w:t>
            </w:r>
          </w:p>
        </w:tc>
      </w:tr>
      <w:tr w14:paraId="27BA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63F3B136">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2BBFBE9">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4F40C26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3EE6D00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b/>
                <w:bCs/>
                <w:color w:val="FF0000"/>
                <w:sz w:val="21"/>
                <w:szCs w:val="21"/>
                <w:lang w:eastAsia="zh-CN" w:bidi="ar"/>
              </w:rPr>
              <w:t>▲3.4床框：采用80*40*1.5mm或60*40*2mm的钢制矩形管，经智能机器人焊接制成日字框，无虚焊假焊现象，两侧床头床尾（及床中部）均带输液架孔，及6个引流袋挂钩，8个约束带固定钩（肩部、臀部、腿部、脚部）。（提供机器人焊接工艺实拍图或技术说明书或其他证明资料佐证）</w:t>
            </w:r>
          </w:p>
        </w:tc>
      </w:tr>
      <w:tr w14:paraId="55CB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9A26B07">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D2BEBC0">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7647034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636A327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3.5底盘：采用30*60*1.5焊接矩形管焊接成口字型，自动化机器人焊接，360°无死角焊接。</w:t>
            </w:r>
          </w:p>
        </w:tc>
      </w:tr>
      <w:tr w14:paraId="363F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89D29F4">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6243B44">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1369D1C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1637971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3.6护栏：四片式护栏，PP或HDPE材质，全新料—次性吹塑成型。床外侧设有锁定机构，缓冲式下降。护栏与床头尾板、护栏与护栏之间间距小于15cm，预防病患发生坠床事故。可承载横向≥500N拉力。床尾护栏和背板护栏均具有角度显示器。</w:t>
            </w:r>
          </w:p>
        </w:tc>
      </w:tr>
      <w:tr w14:paraId="1F9C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A284DC9">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739BE91">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318D2CFF">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0004712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3.7脚轮：中控刹车，直径≥125mmTPR材质静音脚轮，耐磨无声轮，每个脚轮均带刹车，运行平稳。</w:t>
            </w:r>
          </w:p>
        </w:tc>
      </w:tr>
      <w:tr w14:paraId="7922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E04F2C4">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0A60DB9">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3544E1F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243E689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3.8鞋架便盆架：床底配置鞋架，高度可放入便盆。</w:t>
            </w:r>
          </w:p>
        </w:tc>
      </w:tr>
      <w:tr w14:paraId="54DE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2397B6C">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0C0C6725">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015EDD5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25E6226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▲3.9餐桌板：配置阻尼式餐桌，带有缓冲装置，可缓慢放下，在放倒时不会损伤到人员。餐桌距离床板高度≥420cm，减少病患用餐时弯腰。</w:t>
            </w:r>
          </w:p>
        </w:tc>
      </w:tr>
      <w:tr w14:paraId="21F1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120DD9D">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66E5D61">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556F58F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59FC4A1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3.10床垫：面料采用复合TPU材质，床垫厚度8cm，20mm棕丝+60mm高回弹海绵。</w:t>
            </w:r>
          </w:p>
        </w:tc>
      </w:tr>
      <w:tr w14:paraId="649D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03" w:type="dxa"/>
            <w:vMerge w:val="continue"/>
            <w:shd w:val="clear" w:color="auto" w:fill="auto"/>
            <w:noWrap/>
            <w:vAlign w:val="center"/>
          </w:tcPr>
          <w:p w14:paraId="0DDFF894">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29490EF">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6963454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61ED500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★3.11配套床头柜1个，尺寸：480*480*760mm（均可±20mm）配置：托盘+抽屉+柜门（标配一块活动层板）+左右毛巾架+底部配4只带刹车脚轮</w:t>
            </w:r>
          </w:p>
          <w:p w14:paraId="0AD9567B">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材质：原生料ABS材质</w:t>
            </w:r>
          </w:p>
        </w:tc>
      </w:tr>
      <w:tr w14:paraId="2C91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9AA1CB8">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D183925">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51247E84">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7CF382B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4、工艺及性能要求：</w:t>
            </w:r>
          </w:p>
          <w:p w14:paraId="6C71A80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4.1钢架单品部件采用模具—体成型，牢固安全可靠；塑料件采用模具注塑，吹塑，吸塑等工艺成型，外观线条柔和且美观，并且整体强度高，耐用，易清洁；</w:t>
            </w:r>
          </w:p>
        </w:tc>
      </w:tr>
      <w:tr w14:paraId="5F01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E702476">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C292F4E">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2D4877A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1D9537F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4.2高精度焊接工艺，确保病床安全可靠，牢固结实；</w:t>
            </w:r>
          </w:p>
        </w:tc>
      </w:tr>
      <w:tr w14:paraId="0FEA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6C4CE497">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ED1CDC0">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1FA348C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1D4FE00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4.3表面涂装采用双重涂层技术，经去油、除锈处理后电泳涂装+静电喷粉，喷塑材料无毒、防霉；涂层表面光洁亮丽，不脱落，不生锈、防静电；</w:t>
            </w:r>
          </w:p>
        </w:tc>
      </w:tr>
      <w:tr w14:paraId="701F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06F0BC0">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00BC213">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0A6AE374">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356FBBE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b/>
                <w:bCs/>
                <w:color w:val="FF0000"/>
                <w:sz w:val="21"/>
                <w:szCs w:val="21"/>
                <w:lang w:eastAsia="zh-CN" w:bidi="ar"/>
              </w:rPr>
              <w:t>▲4.4、喷涂抗菌：对金色葡萄球菌和大肠杆菌均有抗菌作用，符合GB/T21866-2008《抗菌涂料（漆膜）抗菌性测定法和抗菌效果》的要求。</w:t>
            </w:r>
          </w:p>
          <w:p w14:paraId="5C61C88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b/>
                <w:bCs/>
                <w:color w:val="FF0000"/>
                <w:sz w:val="21"/>
                <w:szCs w:val="21"/>
                <w:lang w:eastAsia="zh-CN" w:bidi="ar"/>
              </w:rPr>
              <w:t>提供证明材料：①提供2022年1月1日至本项目投标截止之日，第三方检测机构出具的具有CMA标识的</w:t>
            </w:r>
            <w:r>
              <w:rPr>
                <w:rFonts w:hint="eastAsia" w:eastAsia="宋体"/>
                <w:b/>
                <w:bCs/>
                <w:color w:val="FF0000"/>
                <w:kern w:val="2"/>
                <w:sz w:val="21"/>
                <w:lang w:eastAsia="zh-CN"/>
              </w:rPr>
              <w:t>病床或病床架</w:t>
            </w:r>
            <w:r>
              <w:rPr>
                <w:rFonts w:hint="eastAsia" w:ascii="宋体" w:hAnsi="宋体" w:eastAsia="宋体" w:cs="宋体"/>
                <w:b/>
                <w:bCs/>
                <w:color w:val="FF0000"/>
                <w:sz w:val="21"/>
                <w:szCs w:val="21"/>
                <w:lang w:eastAsia="zh-CN" w:bidi="ar"/>
              </w:rPr>
              <w:t>检验检测报告（报告委托单位为投标人或病床的制造商）；②需同时提供全国认证认可信息公共服务平台（认e云）查询有效的截图（http://cx.cnca.cn）且编号一致；③检测报告封面货物名称不一致时，需提供书面说明以证明是同种货物，否则该项不予认可。</w:t>
            </w:r>
            <w:r>
              <w:rPr>
                <w:rFonts w:hint="eastAsia" w:ascii="宋体" w:hAnsi="宋体" w:eastAsia="宋体" w:cs="宋体"/>
                <w:b/>
                <w:bCs/>
                <w:color w:val="FF0000"/>
                <w:sz w:val="21"/>
                <w:szCs w:val="21"/>
                <w:lang w:eastAsia="zh-CN" w:bidi="ar"/>
              </w:rPr>
              <w:fldChar w:fldCharType="begin"/>
            </w:r>
            <w:r>
              <w:rPr>
                <w:rFonts w:hint="eastAsia" w:ascii="宋体" w:hAnsi="宋体" w:eastAsia="宋体" w:cs="宋体"/>
                <w:b/>
                <w:bCs/>
                <w:color w:val="FF0000"/>
                <w:sz w:val="21"/>
                <w:szCs w:val="21"/>
                <w:lang w:eastAsia="zh-CN" w:bidi="ar"/>
              </w:rPr>
              <w:instrText xml:space="preserve"> = 4 \* GB3 \* MERGEFORMAT </w:instrText>
            </w:r>
            <w:r>
              <w:rPr>
                <w:rFonts w:hint="eastAsia" w:ascii="宋体" w:hAnsi="宋体" w:eastAsia="宋体" w:cs="宋体"/>
                <w:b/>
                <w:bCs/>
                <w:color w:val="FF0000"/>
                <w:sz w:val="21"/>
                <w:szCs w:val="21"/>
                <w:lang w:eastAsia="zh-CN" w:bidi="ar"/>
              </w:rPr>
              <w:fldChar w:fldCharType="separate"/>
            </w:r>
            <w:r>
              <w:rPr>
                <w:rFonts w:eastAsia="宋体"/>
                <w:b/>
                <w:bCs/>
                <w:color w:val="FF0000"/>
                <w:kern w:val="2"/>
                <w:sz w:val="21"/>
                <w:lang w:eastAsia="zh-CN"/>
              </w:rPr>
              <w:t>④</w:t>
            </w:r>
            <w:r>
              <w:rPr>
                <w:rFonts w:hint="eastAsia" w:ascii="宋体" w:hAnsi="宋体" w:eastAsia="宋体" w:cs="宋体"/>
                <w:b/>
                <w:bCs/>
                <w:color w:val="FF0000"/>
                <w:sz w:val="21"/>
                <w:szCs w:val="21"/>
                <w:lang w:eastAsia="zh-CN" w:bidi="ar"/>
              </w:rPr>
              <w:fldChar w:fldCharType="end"/>
            </w:r>
            <w:r>
              <w:rPr>
                <w:rFonts w:hint="eastAsia" w:eastAsia="宋体"/>
                <w:b/>
                <w:bCs/>
                <w:color w:val="FF0000"/>
                <w:kern w:val="2"/>
                <w:sz w:val="21"/>
                <w:lang w:eastAsia="zh-CN"/>
              </w:rPr>
              <w:t>检验（检测）报告要求具有CMA标识的，若有材料证明相关检测事项不在实施该项检测的机构许可（认可）CMA资质范围或检测范围内的，该检验（检测）报告视为不满足招标文件要求，作负偏离处理。</w:t>
            </w:r>
          </w:p>
        </w:tc>
      </w:tr>
      <w:tr w14:paraId="5514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587964A5">
            <w:pPr>
              <w:keepNext w:val="0"/>
              <w:keepLines w:val="0"/>
              <w:widowControl/>
              <w:suppressLineNumbers w:val="0"/>
              <w:wordWrap w:val="0"/>
              <w:jc w:val="center"/>
              <w:textAlignment w:val="top"/>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w:t>
            </w:r>
          </w:p>
        </w:tc>
        <w:tc>
          <w:tcPr>
            <w:tcW w:w="1393" w:type="dxa"/>
            <w:vMerge w:val="restart"/>
            <w:shd w:val="clear" w:color="auto" w:fill="auto"/>
            <w:noWrap/>
            <w:vAlign w:val="center"/>
          </w:tcPr>
          <w:p w14:paraId="4E2B3DE2">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kern w:val="2"/>
                <w:sz w:val="21"/>
                <w:szCs w:val="21"/>
                <w:lang w:eastAsia="zh-CN"/>
              </w:rPr>
              <w:t>诊疗床</w:t>
            </w:r>
          </w:p>
        </w:tc>
        <w:tc>
          <w:tcPr>
            <w:tcW w:w="2443" w:type="dxa"/>
            <w:vMerge w:val="restart"/>
            <w:shd w:val="clear" w:color="auto" w:fill="auto"/>
            <w:noWrap/>
            <w:vAlign w:val="center"/>
          </w:tcPr>
          <w:p w14:paraId="54737ECF">
            <w:pPr>
              <w:keepNext w:val="0"/>
              <w:keepLines w:val="0"/>
              <w:widowControl/>
              <w:suppressLineNumbers w:val="0"/>
              <w:wordWrap w:val="0"/>
              <w:jc w:val="both"/>
              <w:textAlignment w:val="center"/>
              <w:rPr>
                <w:rFonts w:hint="eastAsia" w:ascii="宋体" w:hAnsi="宋体" w:eastAsia="宋体" w:cs="宋体"/>
                <w:kern w:val="2"/>
                <w:sz w:val="21"/>
                <w:szCs w:val="21"/>
                <w:lang w:eastAsia="zh-CN"/>
              </w:rPr>
            </w:pPr>
          </w:p>
        </w:tc>
        <w:tc>
          <w:tcPr>
            <w:tcW w:w="5383" w:type="dxa"/>
            <w:shd w:val="clear" w:color="auto" w:fill="auto"/>
            <w:noWrap/>
            <w:vAlign w:val="center"/>
          </w:tcPr>
          <w:p w14:paraId="5FA3AA2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rPr>
              <w:t>▲</w:t>
            </w:r>
            <w:r>
              <w:rPr>
                <w:rFonts w:hint="eastAsia" w:ascii="宋体" w:hAnsi="宋体" w:eastAsia="宋体" w:cs="宋体"/>
                <w:sz w:val="21"/>
                <w:szCs w:val="21"/>
                <w:lang w:eastAsia="zh-CN" w:bidi="ar"/>
              </w:rPr>
              <w:t>1、常规尺寸1900*600*650mm（±20mm）</w:t>
            </w:r>
          </w:p>
        </w:tc>
      </w:tr>
      <w:tr w14:paraId="781DE4E7">
        <w:tblPrEx>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F6D5307">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7A3BEDBC">
            <w:pPr>
              <w:keepNext w:val="0"/>
              <w:keepLines w:val="0"/>
              <w:widowControl/>
              <w:suppressLineNumbers w:val="0"/>
              <w:wordWrap w:val="0"/>
              <w:jc w:val="both"/>
              <w:textAlignment w:val="center"/>
              <w:rPr>
                <w:rFonts w:eastAsia="宋体"/>
                <w:kern w:val="2"/>
                <w:sz w:val="21"/>
                <w:lang w:eastAsia="zh-CN"/>
              </w:rPr>
            </w:pPr>
          </w:p>
        </w:tc>
        <w:tc>
          <w:tcPr>
            <w:tcW w:w="2443" w:type="dxa"/>
            <w:vMerge w:val="continue"/>
            <w:shd w:val="clear" w:color="auto" w:fill="auto"/>
            <w:noWrap/>
            <w:vAlign w:val="center"/>
          </w:tcPr>
          <w:p w14:paraId="5A5D2BF7">
            <w:pPr>
              <w:keepNext w:val="0"/>
              <w:keepLines w:val="0"/>
              <w:widowControl/>
              <w:suppressLineNumbers w:val="0"/>
              <w:wordWrap w:val="0"/>
              <w:jc w:val="both"/>
              <w:textAlignment w:val="center"/>
              <w:rPr>
                <w:rFonts w:eastAsia="宋体"/>
                <w:kern w:val="2"/>
                <w:sz w:val="21"/>
                <w:lang w:eastAsia="zh-CN"/>
              </w:rPr>
            </w:pPr>
          </w:p>
        </w:tc>
        <w:tc>
          <w:tcPr>
            <w:tcW w:w="5383" w:type="dxa"/>
            <w:shd w:val="clear" w:color="auto" w:fill="auto"/>
            <w:noWrap/>
            <w:vAlign w:val="center"/>
          </w:tcPr>
          <w:p w14:paraId="7BDB4DD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rPr>
              <w:t>▲</w:t>
            </w:r>
            <w:r>
              <w:rPr>
                <w:rFonts w:hint="eastAsia" w:ascii="宋体" w:hAnsi="宋体" w:eastAsia="宋体" w:cs="宋体"/>
                <w:sz w:val="21"/>
                <w:szCs w:val="21"/>
                <w:lang w:eastAsia="zh-CN" w:bidi="ar"/>
              </w:rPr>
              <w:t>2、面料：采用有机硅或改性PVC医疗皮革，耐84消毒液，皮面光泽度好，透气性强，柔软而富有韧性，厚度适</w:t>
            </w:r>
            <w:r>
              <w:rPr>
                <w:highlight w:val="none"/>
              </w:rPr>
              <w:drawing>
                <wp:anchor distT="0" distB="0" distL="114300" distR="114300" simplePos="0" relativeHeight="251659264" behindDoc="0" locked="0" layoutInCell="1" allowOverlap="1">
                  <wp:simplePos x="0" y="0"/>
                  <wp:positionH relativeFrom="column">
                    <wp:posOffset>-1312545</wp:posOffset>
                  </wp:positionH>
                  <wp:positionV relativeFrom="paragraph">
                    <wp:posOffset>201930</wp:posOffset>
                  </wp:positionV>
                  <wp:extent cx="1043940" cy="1043940"/>
                  <wp:effectExtent l="0" t="0" r="3810" b="3810"/>
                  <wp:wrapNone/>
                  <wp:docPr id="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anchor>
              </w:drawing>
            </w:r>
            <w:r>
              <w:rPr>
                <w:rFonts w:hint="eastAsia" w:ascii="宋体" w:hAnsi="宋体" w:eastAsia="宋体" w:cs="宋体"/>
                <w:sz w:val="21"/>
                <w:szCs w:val="21"/>
                <w:lang w:eastAsia="zh-CN" w:bidi="ar"/>
              </w:rPr>
              <w:t>中，皮质无残疵点，无龟裂，破损，色差小；车缝手工整齐，规则，精细均匀，线条流畅</w:t>
            </w:r>
          </w:p>
        </w:tc>
      </w:tr>
      <w:tr w14:paraId="3671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9C195C9">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F32D03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03F0803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4E6FBD40">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3、海绵：采用高密度高回弹发泡定型海绵,表面有—层保护面，可防氧化 ,防碎,经过HD测试不变形；弹性优异，软硬适中、座感舒适；床面带一体化头枕。</w:t>
            </w:r>
          </w:p>
        </w:tc>
      </w:tr>
      <w:tr w14:paraId="1C74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1FE11B9">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676D92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413F1A9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50F00DC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4、脚架：立柱采用50*25*1.2mm方管，主横梁为25*50*1.2方管，柜门采用0.8mm电解钢板。四脚配加厚塑料扣件，增大方管与现场地胶接触面，外套耐84消毒液的胶套。</w:t>
            </w:r>
          </w:p>
        </w:tc>
      </w:tr>
      <w:tr w14:paraId="3EF5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CF8E9F0">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574D57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2B64C55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08CD4F6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5、储物抽屉：左侧大号单抽屉，右侧两层抽屉。抽面彩喷不锈钢，颜色由甲方选定，抽面与脚架同垂直面。五金采用静音缓冲滑轨，每个抽屉承重不低于25kg。</w:t>
            </w:r>
          </w:p>
        </w:tc>
      </w:tr>
      <w:tr w14:paraId="5FF2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195AFAD2">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w:t>
            </w:r>
          </w:p>
        </w:tc>
        <w:tc>
          <w:tcPr>
            <w:tcW w:w="1393" w:type="dxa"/>
            <w:vMerge w:val="restart"/>
            <w:shd w:val="clear" w:color="auto" w:fill="auto"/>
            <w:noWrap/>
            <w:vAlign w:val="center"/>
          </w:tcPr>
          <w:p w14:paraId="011DE8BB">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儿科病床</w:t>
            </w:r>
          </w:p>
        </w:tc>
        <w:tc>
          <w:tcPr>
            <w:tcW w:w="2443" w:type="dxa"/>
            <w:vMerge w:val="restart"/>
            <w:shd w:val="clear" w:color="auto" w:fill="auto"/>
            <w:noWrap/>
            <w:vAlign w:val="center"/>
          </w:tcPr>
          <w:p w14:paraId="2F574758">
            <w:pPr>
              <w:keepNext w:val="0"/>
              <w:keepLines w:val="0"/>
              <w:widowControl/>
              <w:suppressLineNumbers w:val="0"/>
              <w:wordWrap w:val="0"/>
              <w:jc w:val="both"/>
              <w:textAlignment w:val="center"/>
              <w:rPr>
                <w:rFonts w:hint="eastAsia" w:ascii="宋体" w:hAnsi="宋体" w:eastAsia="宋体" w:cs="宋体"/>
                <w:kern w:val="2"/>
                <w:sz w:val="21"/>
                <w:szCs w:val="21"/>
                <w:lang w:eastAsia="zh-CN"/>
              </w:rPr>
            </w:pPr>
            <w:r>
              <w:rPr>
                <w:rFonts w:hint="eastAsia" w:ascii="宋体" w:hAnsi="宋体" w:eastAsia="宋体" w:cs="宋体"/>
                <w:b w:val="0"/>
                <w:bCs w:val="0"/>
                <w:sz w:val="21"/>
                <w:szCs w:val="21"/>
                <w:highlight w:val="none"/>
              </w:rPr>
              <w:drawing>
                <wp:inline distT="0" distB="0" distL="114300" distR="114300">
                  <wp:extent cx="1391920" cy="1856105"/>
                  <wp:effectExtent l="0" t="0" r="17780" b="10795"/>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391920" cy="1856105"/>
                          </a:xfrm>
                          <a:prstGeom prst="rect">
                            <a:avLst/>
                          </a:prstGeom>
                        </pic:spPr>
                      </pic:pic>
                    </a:graphicData>
                  </a:graphic>
                </wp:inline>
              </w:drawing>
            </w:r>
          </w:p>
        </w:tc>
        <w:tc>
          <w:tcPr>
            <w:tcW w:w="5383" w:type="dxa"/>
            <w:shd w:val="clear" w:color="auto" w:fill="auto"/>
            <w:noWrap/>
            <w:vAlign w:val="center"/>
          </w:tcPr>
          <w:p w14:paraId="01F7F05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sz w:val="21"/>
                <w:szCs w:val="21"/>
                <w:lang w:eastAsia="zh-CN"/>
              </w:rPr>
              <w:t>▲</w:t>
            </w:r>
            <w:r>
              <w:rPr>
                <w:rFonts w:hint="eastAsia" w:ascii="宋体" w:hAnsi="宋体" w:eastAsia="宋体" w:cs="宋体"/>
                <w:color w:val="000000"/>
                <w:sz w:val="21"/>
                <w:szCs w:val="21"/>
                <w:lang w:eastAsia="zh-CN" w:bidi="ar"/>
              </w:rPr>
              <w:t>1、外形尺寸：1910mm×930mm×(575-1260)mm(±50mm)</w:t>
            </w:r>
          </w:p>
        </w:tc>
      </w:tr>
      <w:tr w14:paraId="02CA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3276477">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1279A596">
            <w:pPr>
              <w:keepNext w:val="0"/>
              <w:keepLines w:val="0"/>
              <w:widowControl/>
              <w:suppressLineNumbers w:val="0"/>
              <w:wordWrap w:val="0"/>
              <w:jc w:val="both"/>
              <w:textAlignment w:val="center"/>
              <w:rPr>
                <w:rFonts w:eastAsia="宋体"/>
                <w:kern w:val="2"/>
                <w:sz w:val="21"/>
                <w:lang w:eastAsia="zh-CN"/>
              </w:rPr>
            </w:pPr>
          </w:p>
        </w:tc>
        <w:tc>
          <w:tcPr>
            <w:tcW w:w="2443" w:type="dxa"/>
            <w:vMerge w:val="continue"/>
            <w:shd w:val="clear" w:color="auto" w:fill="auto"/>
            <w:noWrap/>
            <w:vAlign w:val="center"/>
          </w:tcPr>
          <w:p w14:paraId="7C92E3E9">
            <w:pPr>
              <w:keepNext w:val="0"/>
              <w:keepLines w:val="0"/>
              <w:widowControl/>
              <w:suppressLineNumbers w:val="0"/>
              <w:wordWrap w:val="0"/>
              <w:jc w:val="both"/>
              <w:textAlignment w:val="center"/>
              <w:rPr>
                <w:rFonts w:eastAsia="宋体"/>
                <w:kern w:val="2"/>
                <w:sz w:val="21"/>
                <w:lang w:eastAsia="zh-CN"/>
              </w:rPr>
            </w:pPr>
          </w:p>
        </w:tc>
        <w:tc>
          <w:tcPr>
            <w:tcW w:w="5383" w:type="dxa"/>
            <w:shd w:val="clear" w:color="auto" w:fill="auto"/>
            <w:noWrap/>
            <w:vAlign w:val="center"/>
          </w:tcPr>
          <w:p w14:paraId="50D7CE8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2、主要材质：整床钢结构，栅栏式护栏，PP吹塑床头尾板</w:t>
            </w:r>
          </w:p>
        </w:tc>
      </w:tr>
      <w:tr w14:paraId="3D21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9A76CB0">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1B2C19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1CABBD8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008F5D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3、喷塑床面板凹型透气孔设计，透气性强，能有效防止褥疮。床面板采用钣金连接件连接，组装更方便。床面尺寸：1775mm×710mm(±50mm)</w:t>
            </w:r>
          </w:p>
        </w:tc>
      </w:tr>
      <w:tr w14:paraId="6F91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5AE6B0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EE83DA9">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2E0AA66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1FE744F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4、4个5寸静音脚轮，每个都带独立刹车</w:t>
            </w:r>
          </w:p>
        </w:tc>
      </w:tr>
      <w:tr w14:paraId="350A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25CF69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7497B3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4F292DF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75C00A3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5、背部升降0°-70°,腿部升降0°-45°</w:t>
            </w:r>
          </w:p>
        </w:tc>
      </w:tr>
      <w:tr w14:paraId="445C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11DA08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D3B95C9">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7CF0FAB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2A4CFC0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6、床架采用钣金折弯焊接成型，使产品喷塑死角下降，产品更美观。</w:t>
            </w:r>
          </w:p>
        </w:tc>
      </w:tr>
      <w:tr w14:paraId="53A2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6596FF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61D6CE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5E0DE59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674B2A1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7、床头尾板采用PP吹塑—体成型，可有效保护床体和病人与墙壁发生碰撞。</w:t>
            </w:r>
          </w:p>
        </w:tc>
      </w:tr>
      <w:tr w14:paraId="5425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B5DF46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FE8946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611ABB5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19B8DD3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8、采用塑钢可升降护栏，防护管间距小于8公分，并有3档位设置可调节高度，方便又安全。护栏尺寸：1780*570mm(±5mm)，护栏三挡可调，护栏离床面高度分别为80mm(±5mm)，310mm(±5mm)，500mm(±5mm)。</w:t>
            </w:r>
          </w:p>
        </w:tc>
      </w:tr>
      <w:tr w14:paraId="043F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2762EC98">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w:t>
            </w:r>
          </w:p>
        </w:tc>
        <w:tc>
          <w:tcPr>
            <w:tcW w:w="1393" w:type="dxa"/>
            <w:vMerge w:val="restart"/>
            <w:shd w:val="clear" w:color="auto" w:fill="auto"/>
            <w:noWrap/>
            <w:vAlign w:val="center"/>
          </w:tcPr>
          <w:p w14:paraId="03810819">
            <w:pPr>
              <w:keepNext w:val="0"/>
              <w:keepLines w:val="0"/>
              <w:widowControl/>
              <w:suppressLineNumbers w:val="0"/>
              <w:wordWrap/>
              <w:jc w:val="left"/>
              <w:textAlignment w:val="auto"/>
              <w:rPr>
                <w:rFonts w:eastAsia="宋体"/>
                <w:kern w:val="2"/>
                <w:sz w:val="21"/>
                <w:lang w:eastAsia="zh-CN" w:bidi="ar"/>
              </w:rPr>
            </w:pPr>
            <w:r>
              <w:rPr>
                <w:rFonts w:eastAsia="宋体"/>
                <w:kern w:val="2"/>
                <w:sz w:val="21"/>
                <w:lang w:eastAsia="zh-CN" w:bidi="ar"/>
              </w:rPr>
              <w:t>气垫床垫</w:t>
            </w:r>
          </w:p>
        </w:tc>
        <w:tc>
          <w:tcPr>
            <w:tcW w:w="2443" w:type="dxa"/>
            <w:vMerge w:val="restart"/>
            <w:shd w:val="clear" w:color="auto" w:fill="auto"/>
            <w:noWrap/>
            <w:vAlign w:val="center"/>
          </w:tcPr>
          <w:p w14:paraId="511220FB">
            <w:pPr>
              <w:keepNext w:val="0"/>
              <w:keepLines w:val="0"/>
              <w:widowControl/>
              <w:suppressLineNumbers w:val="0"/>
              <w:wordWrap w:val="0"/>
              <w:jc w:val="both"/>
              <w:textAlignment w:val="center"/>
              <w:rPr>
                <w:rFonts w:hint="eastAsia" w:ascii="宋体" w:hAnsi="宋体" w:eastAsia="宋体" w:cs="宋体"/>
                <w:kern w:val="2"/>
                <w:sz w:val="21"/>
                <w:szCs w:val="21"/>
                <w:lang w:eastAsia="zh-CN"/>
              </w:rPr>
            </w:pPr>
            <w:r>
              <w:rPr>
                <w:rFonts w:hint="eastAsia" w:ascii="宋体" w:hAnsi="宋体" w:eastAsia="宋体" w:cs="宋体"/>
                <w:b w:val="0"/>
                <w:bCs w:val="0"/>
                <w:sz w:val="21"/>
                <w:szCs w:val="21"/>
                <w:highlight w:val="none"/>
              </w:rPr>
              <w:drawing>
                <wp:inline distT="0" distB="0" distL="114300" distR="114300">
                  <wp:extent cx="1101090" cy="680085"/>
                  <wp:effectExtent l="0" t="0" r="3810" b="5715"/>
                  <wp:docPr id="11"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101090" cy="680085"/>
                          </a:xfrm>
                          <a:prstGeom prst="rect">
                            <a:avLst/>
                          </a:prstGeom>
                        </pic:spPr>
                      </pic:pic>
                    </a:graphicData>
                  </a:graphic>
                </wp:inline>
              </w:drawing>
            </w:r>
          </w:p>
        </w:tc>
        <w:tc>
          <w:tcPr>
            <w:tcW w:w="5383" w:type="dxa"/>
            <w:shd w:val="clear" w:color="auto" w:fill="auto"/>
            <w:noWrap/>
            <w:vAlign w:val="center"/>
          </w:tcPr>
          <w:p w14:paraId="18E9F42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1、泵</w:t>
            </w:r>
          </w:p>
          <w:p w14:paraId="3E47244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1.1电源：AC220-240V/100-120V,50/60Hz</w:t>
            </w:r>
          </w:p>
        </w:tc>
      </w:tr>
      <w:tr w14:paraId="0752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4F6EFE3">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142789F8">
            <w:pPr>
              <w:keepNext w:val="0"/>
              <w:keepLines w:val="0"/>
              <w:widowControl/>
              <w:suppressLineNumbers w:val="0"/>
              <w:wordWrap w:val="0"/>
              <w:jc w:val="both"/>
              <w:textAlignment w:val="center"/>
              <w:rPr>
                <w:rFonts w:eastAsia="宋体"/>
                <w:kern w:val="2"/>
                <w:sz w:val="21"/>
                <w:lang w:eastAsia="zh-CN"/>
              </w:rPr>
            </w:pPr>
          </w:p>
        </w:tc>
        <w:tc>
          <w:tcPr>
            <w:tcW w:w="2443" w:type="dxa"/>
            <w:vMerge w:val="continue"/>
            <w:shd w:val="clear" w:color="auto" w:fill="auto"/>
            <w:noWrap/>
            <w:vAlign w:val="center"/>
          </w:tcPr>
          <w:p w14:paraId="58068B1F">
            <w:pPr>
              <w:keepNext w:val="0"/>
              <w:keepLines w:val="0"/>
              <w:widowControl/>
              <w:suppressLineNumbers w:val="0"/>
              <w:wordWrap w:val="0"/>
              <w:jc w:val="both"/>
              <w:textAlignment w:val="center"/>
              <w:rPr>
                <w:rFonts w:eastAsia="宋体"/>
                <w:kern w:val="2"/>
                <w:sz w:val="21"/>
                <w:lang w:eastAsia="zh-CN"/>
              </w:rPr>
            </w:pPr>
          </w:p>
        </w:tc>
        <w:tc>
          <w:tcPr>
            <w:tcW w:w="5383" w:type="dxa"/>
            <w:shd w:val="clear" w:color="auto" w:fill="auto"/>
            <w:noWrap/>
            <w:vAlign w:val="center"/>
          </w:tcPr>
          <w:p w14:paraId="21A7551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1.2输出流量：≥4L/min</w:t>
            </w:r>
          </w:p>
        </w:tc>
      </w:tr>
      <w:tr w14:paraId="2DCA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8BC99F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F805B4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63799524">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0994DFC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1.3压力范围：≥12kPa(90mmHg)</w:t>
            </w:r>
          </w:p>
        </w:tc>
      </w:tr>
      <w:tr w14:paraId="509D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835F9B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55A99D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2F240A0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240B8D9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1.4循环周期：5-6min</w:t>
            </w:r>
          </w:p>
        </w:tc>
      </w:tr>
      <w:tr w14:paraId="559B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9AA73F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F012E27">
            <w:pPr>
              <w:keepNext w:val="0"/>
              <w:keepLines w:val="0"/>
              <w:widowControl/>
              <w:suppressLineNumbers w:val="0"/>
              <w:wordWrap/>
              <w:jc w:val="left"/>
              <w:textAlignment w:val="auto"/>
              <w:rPr>
                <w:rFonts w:eastAsia="宋体"/>
                <w:kern w:val="2"/>
                <w:sz w:val="21"/>
                <w:lang w:eastAsia="zh-CN" w:bidi="ar"/>
              </w:rPr>
            </w:pPr>
          </w:p>
        </w:tc>
        <w:tc>
          <w:tcPr>
            <w:tcW w:w="2443" w:type="dxa"/>
            <w:vMerge w:val="continue"/>
            <w:shd w:val="clear" w:color="auto" w:fill="auto"/>
            <w:noWrap/>
            <w:vAlign w:val="center"/>
          </w:tcPr>
          <w:p w14:paraId="1FF6CB5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3F3A95B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2、床垫</w:t>
            </w:r>
          </w:p>
          <w:p w14:paraId="6511500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2.1配置：2.5"气垫</w:t>
            </w:r>
          </w:p>
        </w:tc>
      </w:tr>
      <w:tr w14:paraId="05D7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F0AB2FC">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1BCD16C4">
            <w:pPr>
              <w:keepNext w:val="0"/>
              <w:keepLines w:val="0"/>
              <w:widowControl/>
              <w:suppressLineNumbers w:val="0"/>
              <w:wordWrap w:val="0"/>
              <w:jc w:val="both"/>
              <w:textAlignment w:val="center"/>
              <w:rPr>
                <w:rFonts w:eastAsia="宋体"/>
                <w:kern w:val="2"/>
                <w:sz w:val="21"/>
                <w:lang w:eastAsia="zh-CN"/>
              </w:rPr>
            </w:pPr>
          </w:p>
        </w:tc>
        <w:tc>
          <w:tcPr>
            <w:tcW w:w="2443" w:type="dxa"/>
            <w:vMerge w:val="continue"/>
            <w:shd w:val="clear" w:color="auto" w:fill="auto"/>
            <w:noWrap/>
            <w:vAlign w:val="center"/>
          </w:tcPr>
          <w:p w14:paraId="02775C6F">
            <w:pPr>
              <w:keepNext w:val="0"/>
              <w:keepLines w:val="0"/>
              <w:widowControl/>
              <w:suppressLineNumbers w:val="0"/>
              <w:wordWrap w:val="0"/>
              <w:jc w:val="both"/>
              <w:textAlignment w:val="center"/>
              <w:rPr>
                <w:rFonts w:eastAsia="宋体"/>
                <w:kern w:val="2"/>
                <w:sz w:val="21"/>
                <w:lang w:eastAsia="zh-CN"/>
              </w:rPr>
            </w:pPr>
          </w:p>
        </w:tc>
        <w:tc>
          <w:tcPr>
            <w:tcW w:w="5383" w:type="dxa"/>
            <w:shd w:val="clear" w:color="auto" w:fill="auto"/>
            <w:noWrap/>
            <w:vAlign w:val="center"/>
          </w:tcPr>
          <w:p w14:paraId="1D818FA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2.2材料：医用级PVC</w:t>
            </w:r>
          </w:p>
        </w:tc>
      </w:tr>
      <w:tr w14:paraId="556E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9F674C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27E5CB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01D31CD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714932A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2.3尺寸(LxWxH)：1900x900x64mm(±5mm)</w:t>
            </w:r>
          </w:p>
        </w:tc>
      </w:tr>
      <w:tr w14:paraId="3D94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5BC0B1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0539A69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23BCC794">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4D577C9C">
            <w:pPr>
              <w:keepNext w:val="0"/>
              <w:keepLines w:val="0"/>
              <w:pageBreakBefore w:val="0"/>
              <w:widowControl/>
              <w:kinsoku/>
              <w:wordWrap/>
              <w:overflowPunct/>
              <w:topLinePunct w:val="0"/>
              <w:autoSpaceDE/>
              <w:autoSpaceDN/>
              <w:bidi w:val="0"/>
              <w:adjustRightInd/>
              <w:snapToGrid/>
              <w:jc w:val="both"/>
              <w:textAlignment w:val="center"/>
              <w:rPr>
                <w:rFonts w:eastAsia="宋体"/>
                <w:kern w:val="2"/>
                <w:sz w:val="21"/>
                <w:lang w:eastAsia="zh-CN"/>
              </w:rPr>
            </w:pPr>
            <w:r>
              <w:rPr>
                <w:rFonts w:hint="eastAsia" w:ascii="宋体" w:hAnsi="宋体" w:eastAsia="宋体" w:cs="宋体"/>
                <w:sz w:val="21"/>
                <w:szCs w:val="21"/>
                <w:lang w:eastAsia="zh-CN" w:bidi="ar"/>
              </w:rPr>
              <w:t>2.4重量：≥2.0kgs</w:t>
            </w:r>
          </w:p>
        </w:tc>
      </w:tr>
      <w:tr w14:paraId="40A0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shd w:val="clear" w:color="auto" w:fill="auto"/>
            <w:noWrap/>
            <w:vAlign w:val="center"/>
          </w:tcPr>
          <w:p w14:paraId="73E6C60C">
            <w:pPr>
              <w:widowControl w:val="0"/>
              <w:spacing w:line="360" w:lineRule="auto"/>
              <w:jc w:val="both"/>
              <w:rPr>
                <w:rFonts w:eastAsia="宋体"/>
                <w:b/>
                <w:bCs/>
                <w:kern w:val="2"/>
                <w:lang w:eastAsia="zh-CN"/>
              </w:rPr>
            </w:pPr>
          </w:p>
        </w:tc>
        <w:tc>
          <w:tcPr>
            <w:tcW w:w="1393" w:type="dxa"/>
            <w:vMerge w:val="continue"/>
            <w:shd w:val="clear" w:color="auto" w:fill="auto"/>
            <w:noWrap/>
            <w:vAlign w:val="center"/>
          </w:tcPr>
          <w:p w14:paraId="2B087D19">
            <w:pPr>
              <w:widowControl w:val="0"/>
              <w:spacing w:line="360" w:lineRule="auto"/>
              <w:jc w:val="both"/>
              <w:rPr>
                <w:rFonts w:eastAsia="宋体"/>
                <w:b/>
                <w:bCs/>
                <w:kern w:val="2"/>
                <w:lang w:eastAsia="zh-CN"/>
              </w:rPr>
            </w:pPr>
          </w:p>
        </w:tc>
        <w:tc>
          <w:tcPr>
            <w:tcW w:w="2443" w:type="dxa"/>
            <w:vMerge w:val="continue"/>
            <w:shd w:val="clear" w:color="auto" w:fill="auto"/>
            <w:noWrap/>
            <w:vAlign w:val="center"/>
          </w:tcPr>
          <w:p w14:paraId="24B3D2CB">
            <w:pPr>
              <w:widowControl w:val="0"/>
              <w:spacing w:line="360" w:lineRule="auto"/>
              <w:jc w:val="both"/>
              <w:rPr>
                <w:rFonts w:eastAsia="宋体"/>
                <w:b/>
                <w:bCs/>
                <w:kern w:val="2"/>
                <w:lang w:eastAsia="zh-CN"/>
              </w:rPr>
            </w:pPr>
          </w:p>
        </w:tc>
        <w:tc>
          <w:tcPr>
            <w:tcW w:w="5383" w:type="dxa"/>
            <w:shd w:val="clear" w:color="auto" w:fill="auto"/>
            <w:noWrap/>
            <w:vAlign w:val="center"/>
          </w:tcPr>
          <w:p w14:paraId="41B5DDD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2.5静音、电源线长度大于等于2.5M</w:t>
            </w:r>
          </w:p>
        </w:tc>
      </w:tr>
      <w:tr w14:paraId="2D6F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78D9E448">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w:t>
            </w:r>
          </w:p>
        </w:tc>
        <w:tc>
          <w:tcPr>
            <w:tcW w:w="1393" w:type="dxa"/>
            <w:vMerge w:val="restart"/>
            <w:shd w:val="clear" w:color="auto" w:fill="auto"/>
            <w:noWrap/>
            <w:vAlign w:val="center"/>
          </w:tcPr>
          <w:p w14:paraId="21CF3497">
            <w:pPr>
              <w:keepNext w:val="0"/>
              <w:keepLines w:val="0"/>
              <w:widowControl/>
              <w:suppressLineNumbers w:val="0"/>
              <w:wordWrap/>
              <w:jc w:val="center"/>
              <w:textAlignment w:val="auto"/>
              <w:rPr>
                <w:rFonts w:eastAsia="宋体"/>
                <w:kern w:val="2"/>
                <w:sz w:val="21"/>
                <w:lang w:eastAsia="zh-CN" w:bidi="ar"/>
              </w:rPr>
            </w:pPr>
            <w:r>
              <w:rPr>
                <w:rFonts w:eastAsia="宋体"/>
                <w:kern w:val="2"/>
                <w:sz w:val="21"/>
                <w:lang w:eastAsia="zh-CN" w:bidi="ar"/>
              </w:rPr>
              <w:t>静态防压疮床垫</w:t>
            </w:r>
          </w:p>
        </w:tc>
        <w:tc>
          <w:tcPr>
            <w:tcW w:w="2443" w:type="dxa"/>
            <w:vMerge w:val="restart"/>
            <w:shd w:val="clear" w:color="auto" w:fill="auto"/>
            <w:noWrap/>
            <w:vAlign w:val="center"/>
          </w:tcPr>
          <w:p w14:paraId="1A44D574">
            <w:pPr>
              <w:keepNext w:val="0"/>
              <w:keepLines w:val="0"/>
              <w:widowControl/>
              <w:suppressLineNumbers w:val="0"/>
              <w:wordWrap w:val="0"/>
              <w:jc w:val="both"/>
              <w:textAlignment w:val="center"/>
              <w:rPr>
                <w:rFonts w:hint="eastAsia" w:ascii="宋体" w:hAnsi="宋体" w:eastAsia="宋体" w:cs="宋体"/>
                <w:kern w:val="2"/>
                <w:sz w:val="21"/>
                <w:szCs w:val="21"/>
                <w:lang w:eastAsia="zh-CN"/>
              </w:rPr>
            </w:pPr>
            <w:r>
              <w:rPr>
                <w:rFonts w:hint="eastAsia" w:ascii="宋体" w:hAnsi="宋体" w:eastAsia="宋体" w:cs="宋体"/>
                <w:b w:val="0"/>
                <w:bCs w:val="0"/>
                <w:sz w:val="21"/>
                <w:szCs w:val="21"/>
                <w:highlight w:val="none"/>
              </w:rPr>
              <w:drawing>
                <wp:inline distT="0" distB="0" distL="114300" distR="114300">
                  <wp:extent cx="927100" cy="981710"/>
                  <wp:effectExtent l="0" t="0" r="6350" b="8890"/>
                  <wp:docPr id="12" name="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27100" cy="981710"/>
                          </a:xfrm>
                          <a:prstGeom prst="rect">
                            <a:avLst/>
                          </a:prstGeom>
                        </pic:spPr>
                      </pic:pic>
                    </a:graphicData>
                  </a:graphic>
                </wp:inline>
              </w:drawing>
            </w:r>
          </w:p>
        </w:tc>
        <w:tc>
          <w:tcPr>
            <w:tcW w:w="5383" w:type="dxa"/>
            <w:shd w:val="clear" w:color="auto" w:fill="auto"/>
            <w:noWrap/>
            <w:vAlign w:val="center"/>
          </w:tcPr>
          <w:p w14:paraId="0911DDA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1、海绵：三明治结构：床边缘及中间层为高回弹海绵，密度不低于45kg/m³；上层为惰性海绵，经激光切割为格子状；下层为慢回弹海绵1、海绵：三明治结构：床边缘及中间层为高回弹海绵，密度不低于45；上层为惰性海绵，经激光切割为格子状；下层为慢回弹海绵</w:t>
            </w:r>
          </w:p>
        </w:tc>
      </w:tr>
      <w:tr w14:paraId="3FBF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69F4FE1">
            <w:pPr>
              <w:keepNext w:val="0"/>
              <w:keepLines w:val="0"/>
              <w:widowControl/>
              <w:suppressLineNumbers w:val="0"/>
              <w:wordWrap w:val="0"/>
              <w:jc w:val="center"/>
              <w:textAlignment w:val="center"/>
              <w:rPr>
                <w:rFonts w:eastAsia="宋体"/>
                <w:kern w:val="2"/>
                <w:sz w:val="21"/>
                <w:lang w:eastAsia="zh-CN"/>
              </w:rPr>
            </w:pPr>
          </w:p>
        </w:tc>
        <w:tc>
          <w:tcPr>
            <w:tcW w:w="1393" w:type="dxa"/>
            <w:vMerge w:val="continue"/>
            <w:shd w:val="clear" w:color="auto" w:fill="auto"/>
            <w:noWrap/>
            <w:vAlign w:val="center"/>
          </w:tcPr>
          <w:p w14:paraId="627F83EE">
            <w:pPr>
              <w:keepNext w:val="0"/>
              <w:keepLines w:val="0"/>
              <w:widowControl/>
              <w:suppressLineNumbers w:val="0"/>
              <w:wordWrap/>
              <w:jc w:val="center"/>
              <w:textAlignment w:val="auto"/>
              <w:rPr>
                <w:rFonts w:eastAsia="宋体"/>
                <w:kern w:val="2"/>
                <w:sz w:val="21"/>
                <w:lang w:eastAsia="zh-CN"/>
              </w:rPr>
            </w:pPr>
          </w:p>
        </w:tc>
        <w:tc>
          <w:tcPr>
            <w:tcW w:w="2443" w:type="dxa"/>
            <w:vMerge w:val="continue"/>
            <w:shd w:val="clear" w:color="auto" w:fill="auto"/>
            <w:noWrap/>
            <w:vAlign w:val="center"/>
          </w:tcPr>
          <w:p w14:paraId="1A170A68">
            <w:pPr>
              <w:keepNext w:val="0"/>
              <w:keepLines w:val="0"/>
              <w:widowControl/>
              <w:suppressLineNumbers w:val="0"/>
              <w:wordWrap w:val="0"/>
              <w:jc w:val="both"/>
              <w:textAlignment w:val="center"/>
              <w:rPr>
                <w:rFonts w:eastAsia="宋体"/>
                <w:kern w:val="2"/>
                <w:sz w:val="21"/>
                <w:lang w:eastAsia="zh-CN"/>
              </w:rPr>
            </w:pPr>
          </w:p>
        </w:tc>
        <w:tc>
          <w:tcPr>
            <w:tcW w:w="5383" w:type="dxa"/>
            <w:shd w:val="clear" w:color="auto" w:fill="auto"/>
            <w:noWrap/>
            <w:vAlign w:val="center"/>
          </w:tcPr>
          <w:p w14:paraId="0438AFD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2、床罩为尼龙PU钮扣式床罩面</w:t>
            </w:r>
          </w:p>
        </w:tc>
      </w:tr>
      <w:tr w14:paraId="79A2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034CFB68">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6</w:t>
            </w:r>
          </w:p>
        </w:tc>
        <w:tc>
          <w:tcPr>
            <w:tcW w:w="1393" w:type="dxa"/>
            <w:vMerge w:val="restart"/>
            <w:shd w:val="clear" w:color="auto" w:fill="auto"/>
            <w:noWrap/>
            <w:vAlign w:val="center"/>
          </w:tcPr>
          <w:p w14:paraId="1420FE1D">
            <w:pPr>
              <w:keepNext w:val="0"/>
              <w:keepLines w:val="0"/>
              <w:widowControl/>
              <w:suppressLineNumbers w:val="0"/>
              <w:wordWrap/>
              <w:jc w:val="center"/>
              <w:textAlignment w:val="auto"/>
              <w:rPr>
                <w:rFonts w:eastAsia="宋体"/>
                <w:kern w:val="2"/>
                <w:sz w:val="21"/>
                <w:lang w:eastAsia="zh-CN" w:bidi="ar"/>
              </w:rPr>
            </w:pPr>
            <w:r>
              <w:rPr>
                <w:rFonts w:eastAsia="宋体"/>
                <w:kern w:val="2"/>
                <w:sz w:val="21"/>
                <w:lang w:eastAsia="zh-CN" w:bidi="ar"/>
              </w:rPr>
              <w:t>轮椅</w:t>
            </w:r>
          </w:p>
        </w:tc>
        <w:tc>
          <w:tcPr>
            <w:tcW w:w="2443" w:type="dxa"/>
            <w:vMerge w:val="restart"/>
            <w:shd w:val="clear" w:color="auto" w:fill="auto"/>
            <w:noWrap/>
            <w:vAlign w:val="center"/>
          </w:tcPr>
          <w:p w14:paraId="3DAB5226">
            <w:pPr>
              <w:keepNext w:val="0"/>
              <w:keepLines w:val="0"/>
              <w:widowControl/>
              <w:suppressLineNumbers w:val="0"/>
              <w:wordWrap w:val="0"/>
              <w:jc w:val="both"/>
              <w:textAlignment w:val="center"/>
              <w:rPr>
                <w:rFonts w:hint="eastAsia" w:ascii="宋体" w:hAnsi="宋体" w:eastAsia="宋体" w:cs="宋体"/>
                <w:kern w:val="2"/>
                <w:sz w:val="21"/>
                <w:szCs w:val="21"/>
                <w:lang w:eastAsia="zh-CN"/>
              </w:rPr>
            </w:pPr>
          </w:p>
        </w:tc>
        <w:tc>
          <w:tcPr>
            <w:tcW w:w="5383" w:type="dxa"/>
            <w:shd w:val="clear" w:color="auto" w:fill="auto"/>
            <w:noWrap/>
            <w:vAlign w:val="center"/>
          </w:tcPr>
          <w:p w14:paraId="5777F662">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宋体" w:hAnsi="宋体" w:eastAsia="宋体" w:cs="宋体"/>
                <w:sz w:val="21"/>
                <w:szCs w:val="21"/>
                <w:lang w:eastAsia="zh-CN" w:bidi="ar"/>
              </w:rPr>
            </w:pPr>
            <w:r>
              <w:rPr>
                <w:rFonts w:hint="eastAsia" w:ascii="宋体" w:hAnsi="宋体" w:eastAsia="宋体" w:cs="宋体"/>
                <w:sz w:val="21"/>
                <w:szCs w:val="21"/>
                <w:lang w:eastAsia="zh-CN" w:bidi="ar"/>
              </w:rPr>
              <w:t>1、铝合金结构，坐垫牛津布材质三防处理；</w:t>
            </w:r>
          </w:p>
        </w:tc>
      </w:tr>
      <w:tr w14:paraId="03D7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3C8294E">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475E54B3">
            <w:pPr>
              <w:keepNext w:val="0"/>
              <w:keepLines w:val="0"/>
              <w:widowControl/>
              <w:suppressLineNumbers w:val="0"/>
              <w:wordWrap w:val="0"/>
              <w:jc w:val="both"/>
              <w:textAlignment w:val="center"/>
              <w:rPr>
                <w:rFonts w:eastAsia="宋体"/>
                <w:kern w:val="2"/>
                <w:sz w:val="21"/>
                <w:lang w:eastAsia="zh-CN"/>
              </w:rPr>
            </w:pPr>
          </w:p>
        </w:tc>
        <w:tc>
          <w:tcPr>
            <w:tcW w:w="2443" w:type="dxa"/>
            <w:vMerge w:val="continue"/>
            <w:shd w:val="clear" w:color="auto" w:fill="auto"/>
            <w:noWrap/>
            <w:vAlign w:val="center"/>
          </w:tcPr>
          <w:p w14:paraId="043E3AFC">
            <w:pPr>
              <w:keepNext w:val="0"/>
              <w:keepLines w:val="0"/>
              <w:widowControl/>
              <w:suppressLineNumbers w:val="0"/>
              <w:wordWrap w:val="0"/>
              <w:jc w:val="both"/>
              <w:textAlignment w:val="center"/>
              <w:rPr>
                <w:rFonts w:eastAsia="宋体"/>
                <w:kern w:val="2"/>
                <w:sz w:val="21"/>
                <w:lang w:eastAsia="zh-CN"/>
              </w:rPr>
            </w:pPr>
          </w:p>
        </w:tc>
        <w:tc>
          <w:tcPr>
            <w:tcW w:w="5383" w:type="dxa"/>
            <w:shd w:val="clear" w:color="auto" w:fill="auto"/>
            <w:noWrap/>
            <w:vAlign w:val="center"/>
          </w:tcPr>
          <w:p w14:paraId="2D6FD5D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2、可折叠设计；</w:t>
            </w:r>
          </w:p>
        </w:tc>
      </w:tr>
      <w:tr w14:paraId="446C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3CE4ED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5745FE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7A5D880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4FE79FC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drawing>
                <wp:anchor distT="0" distB="0" distL="114300" distR="114300" simplePos="0" relativeHeight="251660288" behindDoc="0" locked="0" layoutInCell="1" allowOverlap="1">
                  <wp:simplePos x="0" y="0"/>
                  <wp:positionH relativeFrom="column">
                    <wp:posOffset>-1544955</wp:posOffset>
                  </wp:positionH>
                  <wp:positionV relativeFrom="paragraph">
                    <wp:posOffset>33655</wp:posOffset>
                  </wp:positionV>
                  <wp:extent cx="1299845" cy="1398270"/>
                  <wp:effectExtent l="0" t="0" r="14605" b="11430"/>
                  <wp:wrapNone/>
                  <wp:docPr id="1" name="图片 1" descr="3e4f7f9d-8fff-422d-93bf-b0512a3025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e4f7f9d-8fff-422d-93bf-b0512a3025ba"/>
                          <pic:cNvPicPr>
                            <a:picLocks noChangeAspect="1"/>
                          </pic:cNvPicPr>
                        </pic:nvPicPr>
                        <pic:blipFill>
                          <a:blip r:embed="rId13"/>
                          <a:stretch>
                            <a:fillRect/>
                          </a:stretch>
                        </pic:blipFill>
                        <pic:spPr>
                          <a:xfrm>
                            <a:off x="0" y="0"/>
                            <a:ext cx="1299845" cy="1398270"/>
                          </a:xfrm>
                          <a:prstGeom prst="rect">
                            <a:avLst/>
                          </a:prstGeom>
                        </pic:spPr>
                      </pic:pic>
                    </a:graphicData>
                  </a:graphic>
                </wp:anchor>
              </w:drawing>
            </w:r>
            <w:r>
              <w:rPr>
                <w:rFonts w:hint="eastAsia" w:ascii="宋体" w:hAnsi="宋体" w:eastAsia="宋体" w:cs="宋体"/>
                <w:sz w:val="21"/>
                <w:szCs w:val="21"/>
                <w:lang w:eastAsia="zh-CN" w:bidi="ar"/>
              </w:rPr>
              <w:t>3、固定式脚托；</w:t>
            </w:r>
          </w:p>
        </w:tc>
      </w:tr>
      <w:tr w14:paraId="4278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B90CE1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2F88EC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2D14F41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3EA19D9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4、坐宽：46厘米；</w:t>
            </w:r>
          </w:p>
        </w:tc>
      </w:tr>
      <w:tr w14:paraId="0E4C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1A6141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9EDA929">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17EBA33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24E5A25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5、大小：1000*650*880mm(±10mm)；</w:t>
            </w:r>
          </w:p>
        </w:tc>
      </w:tr>
      <w:tr w14:paraId="021D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687761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CB1EEF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4F790C8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659B1D4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6、实心轮胎;</w:t>
            </w:r>
          </w:p>
        </w:tc>
      </w:tr>
      <w:tr w14:paraId="7C8E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A578383">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683B1A0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21E11B53">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43495BA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7、承重≥100KG；</w:t>
            </w:r>
          </w:p>
        </w:tc>
      </w:tr>
      <w:tr w14:paraId="7F44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C871249">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0AE122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39942379">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22EF0A6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8、有输液架插孔（配输液架）</w:t>
            </w:r>
          </w:p>
        </w:tc>
      </w:tr>
      <w:tr w14:paraId="0117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B12173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6AF3BA8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3B38739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609EC575">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9、有约束带，有病历袋，两侧有引流袋挂钩加手刹，肘节式刹车。</w:t>
            </w:r>
          </w:p>
        </w:tc>
      </w:tr>
      <w:tr w14:paraId="407D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6C518975">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7</w:t>
            </w:r>
          </w:p>
        </w:tc>
        <w:tc>
          <w:tcPr>
            <w:tcW w:w="1393" w:type="dxa"/>
            <w:vMerge w:val="restart"/>
            <w:shd w:val="clear" w:color="auto" w:fill="auto"/>
            <w:noWrap/>
            <w:vAlign w:val="center"/>
          </w:tcPr>
          <w:p w14:paraId="27A221DE">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称重轮椅</w:t>
            </w:r>
          </w:p>
        </w:tc>
        <w:tc>
          <w:tcPr>
            <w:tcW w:w="2443" w:type="dxa"/>
            <w:vMerge w:val="restart"/>
            <w:shd w:val="clear" w:color="auto" w:fill="auto"/>
            <w:noWrap/>
            <w:vAlign w:val="center"/>
          </w:tcPr>
          <w:p w14:paraId="14E22519">
            <w:pPr>
              <w:keepNext w:val="0"/>
              <w:keepLines w:val="0"/>
              <w:widowControl/>
              <w:suppressLineNumbers w:val="0"/>
              <w:wordWrap w:val="0"/>
              <w:jc w:val="both"/>
              <w:textAlignment w:val="center"/>
              <w:rPr>
                <w:rFonts w:hint="eastAsia" w:ascii="宋体" w:hAnsi="宋体" w:eastAsia="宋体" w:cs="宋体"/>
                <w:kern w:val="2"/>
                <w:sz w:val="21"/>
                <w:szCs w:val="21"/>
                <w:lang w:eastAsia="zh-CN"/>
              </w:rPr>
            </w:pPr>
            <w:r>
              <w:rPr>
                <w:rFonts w:hint="eastAsia" w:ascii="宋体" w:hAnsi="宋体" w:eastAsia="宋体" w:cs="宋体"/>
                <w:b w:val="0"/>
                <w:bCs w:val="0"/>
                <w:sz w:val="21"/>
                <w:szCs w:val="21"/>
                <w:highlight w:val="none"/>
              </w:rPr>
              <w:drawing>
                <wp:inline distT="0" distB="0" distL="114300" distR="114300">
                  <wp:extent cx="989965" cy="1049020"/>
                  <wp:effectExtent l="0" t="0" r="635" b="17780"/>
                  <wp:docPr id="13"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9965" cy="1049020"/>
                          </a:xfrm>
                          <a:prstGeom prst="rect">
                            <a:avLst/>
                          </a:prstGeom>
                        </pic:spPr>
                      </pic:pic>
                    </a:graphicData>
                  </a:graphic>
                </wp:inline>
              </w:drawing>
            </w:r>
          </w:p>
        </w:tc>
        <w:tc>
          <w:tcPr>
            <w:tcW w:w="5383" w:type="dxa"/>
            <w:shd w:val="clear" w:color="auto" w:fill="auto"/>
            <w:noWrap/>
            <w:vAlign w:val="center"/>
          </w:tcPr>
          <w:p w14:paraId="04ED8A1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1、规格：宽度≥540mm，深度≥660mm，高度≥930mm</w:t>
            </w:r>
          </w:p>
        </w:tc>
      </w:tr>
      <w:tr w14:paraId="3A80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226D01B">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1FEBF372">
            <w:pPr>
              <w:keepNext w:val="0"/>
              <w:keepLines w:val="0"/>
              <w:widowControl/>
              <w:suppressLineNumbers w:val="0"/>
              <w:wordWrap w:val="0"/>
              <w:jc w:val="both"/>
              <w:textAlignment w:val="center"/>
              <w:rPr>
                <w:rFonts w:eastAsia="宋体"/>
                <w:kern w:val="2"/>
                <w:sz w:val="21"/>
                <w:lang w:eastAsia="zh-CN"/>
              </w:rPr>
            </w:pPr>
          </w:p>
        </w:tc>
        <w:tc>
          <w:tcPr>
            <w:tcW w:w="2443" w:type="dxa"/>
            <w:vMerge w:val="continue"/>
            <w:shd w:val="clear" w:color="auto" w:fill="auto"/>
            <w:noWrap/>
            <w:vAlign w:val="center"/>
          </w:tcPr>
          <w:p w14:paraId="4CF324CC">
            <w:pPr>
              <w:keepNext w:val="0"/>
              <w:keepLines w:val="0"/>
              <w:widowControl/>
              <w:suppressLineNumbers w:val="0"/>
              <w:wordWrap w:val="0"/>
              <w:jc w:val="both"/>
              <w:textAlignment w:val="center"/>
              <w:rPr>
                <w:rFonts w:eastAsia="宋体"/>
                <w:kern w:val="2"/>
                <w:sz w:val="21"/>
                <w:lang w:eastAsia="zh-CN"/>
              </w:rPr>
            </w:pPr>
          </w:p>
        </w:tc>
        <w:tc>
          <w:tcPr>
            <w:tcW w:w="5383" w:type="dxa"/>
            <w:shd w:val="clear" w:color="auto" w:fill="auto"/>
            <w:noWrap/>
            <w:vAlign w:val="center"/>
          </w:tcPr>
          <w:p w14:paraId="5709F3D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2、称重范围：0-200kg，测量精度：0.1kg</w:t>
            </w:r>
          </w:p>
        </w:tc>
      </w:tr>
      <w:tr w14:paraId="4889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8DD40E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AC54094">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0F78186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65D9206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3、LED屏幕显示读数，自带电池</w:t>
            </w:r>
          </w:p>
        </w:tc>
      </w:tr>
      <w:tr w14:paraId="1D59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0551D60">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6C31E060">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13169853">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4217F68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4、脚轮：PU静音万向轮（四轮均带有刹车）</w:t>
            </w:r>
          </w:p>
        </w:tc>
      </w:tr>
      <w:tr w14:paraId="0721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4A9F6E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D22EA3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21B1839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134746B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5、脚踏、扶手可收起放下</w:t>
            </w:r>
          </w:p>
        </w:tc>
      </w:tr>
      <w:tr w14:paraId="5CCB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DDB8B6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A9AD65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53EF49B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6E69035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6、碳钢骨架，壁厚不低于2.0mm</w:t>
            </w:r>
          </w:p>
        </w:tc>
      </w:tr>
      <w:tr w14:paraId="3908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ED738A0">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8F4B18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2B1D79D0">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4B3DF8FF">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★7.配置一个分体式铝合金板组合铲式担架，最大承重大于等于150kg，调节长度170-220cm</w:t>
            </w:r>
          </w:p>
        </w:tc>
      </w:tr>
      <w:tr w14:paraId="16F2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014C99EC">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8</w:t>
            </w:r>
          </w:p>
        </w:tc>
        <w:tc>
          <w:tcPr>
            <w:tcW w:w="1393" w:type="dxa"/>
            <w:vMerge w:val="restart"/>
            <w:shd w:val="clear" w:color="auto" w:fill="auto"/>
            <w:noWrap/>
            <w:vAlign w:val="center"/>
          </w:tcPr>
          <w:p w14:paraId="2F7573C4">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转运车</w:t>
            </w:r>
          </w:p>
        </w:tc>
        <w:tc>
          <w:tcPr>
            <w:tcW w:w="2443" w:type="dxa"/>
            <w:vMerge w:val="restart"/>
            <w:shd w:val="clear" w:color="auto" w:fill="auto"/>
            <w:noWrap/>
            <w:vAlign w:val="center"/>
          </w:tcPr>
          <w:p w14:paraId="12026F7C">
            <w:pPr>
              <w:keepNext w:val="0"/>
              <w:keepLines w:val="0"/>
              <w:widowControl/>
              <w:suppressLineNumbers w:val="0"/>
              <w:wordWrap w:val="0"/>
              <w:jc w:val="both"/>
              <w:textAlignment w:val="center"/>
              <w:rPr>
                <w:rFonts w:hint="eastAsia" w:ascii="宋体" w:hAnsi="宋体" w:eastAsia="宋体" w:cs="宋体"/>
                <w:kern w:val="2"/>
                <w:sz w:val="21"/>
                <w:szCs w:val="21"/>
                <w:lang w:eastAsia="zh-CN"/>
              </w:rPr>
            </w:pPr>
            <w:r>
              <w:rPr>
                <w:rFonts w:hint="eastAsia" w:ascii="宋体" w:hAnsi="宋体" w:eastAsia="宋体" w:cs="宋体"/>
                <w:b w:val="0"/>
                <w:bCs w:val="0"/>
                <w:sz w:val="21"/>
                <w:szCs w:val="21"/>
                <w:highlight w:val="none"/>
              </w:rPr>
              <w:drawing>
                <wp:inline distT="0" distB="0" distL="114300" distR="114300">
                  <wp:extent cx="1579245" cy="1229995"/>
                  <wp:effectExtent l="0" t="0" r="1905" b="8255"/>
                  <wp:docPr id="14"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579245" cy="1229995"/>
                          </a:xfrm>
                          <a:prstGeom prst="rect">
                            <a:avLst/>
                          </a:prstGeom>
                        </pic:spPr>
                      </pic:pic>
                    </a:graphicData>
                  </a:graphic>
                </wp:inline>
              </w:drawing>
            </w:r>
          </w:p>
        </w:tc>
        <w:tc>
          <w:tcPr>
            <w:tcW w:w="5383" w:type="dxa"/>
            <w:shd w:val="clear" w:color="auto" w:fill="auto"/>
            <w:noWrap/>
            <w:vAlign w:val="center"/>
          </w:tcPr>
          <w:p w14:paraId="3807681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sz w:val="21"/>
                <w:szCs w:val="21"/>
                <w:lang w:eastAsia="zh-CN"/>
              </w:rPr>
              <w:t>▲</w:t>
            </w:r>
            <w:r>
              <w:rPr>
                <w:rFonts w:hint="eastAsia" w:ascii="宋体" w:hAnsi="宋体" w:eastAsia="宋体" w:cs="宋体"/>
                <w:color w:val="000000"/>
                <w:sz w:val="21"/>
                <w:szCs w:val="21"/>
                <w:lang w:eastAsia="zh-CN" w:bidi="ar"/>
              </w:rPr>
              <w:t>1、规格：1930*660*510-850mm（±30mm）。</w:t>
            </w:r>
          </w:p>
        </w:tc>
      </w:tr>
      <w:tr w14:paraId="39E3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83B1B69">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4F86BBDD">
            <w:pPr>
              <w:keepNext w:val="0"/>
              <w:keepLines w:val="0"/>
              <w:widowControl/>
              <w:suppressLineNumbers w:val="0"/>
              <w:wordWrap w:val="0"/>
              <w:jc w:val="both"/>
              <w:textAlignment w:val="center"/>
              <w:rPr>
                <w:rFonts w:eastAsia="宋体"/>
                <w:kern w:val="2"/>
                <w:sz w:val="21"/>
                <w:lang w:eastAsia="zh-CN"/>
              </w:rPr>
            </w:pPr>
          </w:p>
        </w:tc>
        <w:tc>
          <w:tcPr>
            <w:tcW w:w="2443" w:type="dxa"/>
            <w:vMerge w:val="continue"/>
            <w:shd w:val="clear" w:color="auto" w:fill="auto"/>
            <w:noWrap/>
            <w:vAlign w:val="center"/>
          </w:tcPr>
          <w:p w14:paraId="0E3F89B3">
            <w:pPr>
              <w:keepNext w:val="0"/>
              <w:keepLines w:val="0"/>
              <w:widowControl/>
              <w:suppressLineNumbers w:val="0"/>
              <w:wordWrap w:val="0"/>
              <w:jc w:val="both"/>
              <w:textAlignment w:val="center"/>
              <w:rPr>
                <w:rFonts w:eastAsia="宋体"/>
                <w:kern w:val="2"/>
                <w:sz w:val="21"/>
                <w:lang w:eastAsia="zh-CN"/>
              </w:rPr>
            </w:pPr>
          </w:p>
        </w:tc>
        <w:tc>
          <w:tcPr>
            <w:tcW w:w="5383" w:type="dxa"/>
            <w:shd w:val="clear" w:color="auto" w:fill="auto"/>
            <w:noWrap/>
            <w:vAlign w:val="center"/>
          </w:tcPr>
          <w:p w14:paraId="08AC0EF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2、升降调节：背部升降≥70°,背部升降采用静音气弹簧控制。高低调节：金属材质摇杆系统，过载保护功能，不易折断。</w:t>
            </w:r>
          </w:p>
        </w:tc>
      </w:tr>
      <w:tr w14:paraId="5AE7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6D60080">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6D5B53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3A74109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6FFC5D2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3、床板：PP树脂成型制品，配制魔术贴</w:t>
            </w:r>
            <w:r>
              <w:rPr>
                <w:rFonts w:hint="eastAsia" w:eastAsia="宋体"/>
                <w:kern w:val="2"/>
                <w:sz w:val="21"/>
                <w:lang w:eastAsia="zh-CN"/>
              </w:rPr>
              <w:t>安全带固定在床框上。</w:t>
            </w:r>
          </w:p>
        </w:tc>
      </w:tr>
      <w:tr w14:paraId="1628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5F98AA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BF93AD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38CBFB0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722C639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4、框架：采用钢材焊接加工制成。</w:t>
            </w:r>
          </w:p>
        </w:tc>
      </w:tr>
      <w:tr w14:paraId="073F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8016230">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603AA8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4021DA1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51576BC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护栏板：PP树脂成型两侧护栏板，高度≥290mm，患者更安全，也可以水平固定，增加床体宽度，让输液者的手臂有舒适的放置处；并具有双安全锁进行锁定，防止误操作，提高了操作的安全性。护栏板上设有角度显示，方便护理时知道背部升起的角度；两侧护栏板中间有凹槽，防止导管滑落，方便输液引流。</w:t>
            </w:r>
          </w:p>
        </w:tc>
      </w:tr>
      <w:tr w14:paraId="284C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7065C8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66F2386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0436CDA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720406E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6、脚轮：四个直径≥150mm的脚轮，推车四角都有脚轮控制系统，—脚制动，四轮同时固定。再踩解除固定。</w:t>
            </w:r>
          </w:p>
        </w:tc>
      </w:tr>
      <w:tr w14:paraId="0B94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61A67E1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0C325B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0E2C6D4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2EE5BDA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7、独立的中心第五轮系统：推车的两侧都安装有控制踏杆，中心第五轮收起时即自由行进；使用时，即"直行"状态，可克服运送过程中的惯性作用力，有效地控制前进方向，使运送过程更加安全。第五轮有弹簧减震机构，可以更好地通过颠簸路面。未使用时第五轮离地高度≥30mm，通过性更好。第五轮可以独立进行拆装维修。</w:t>
            </w:r>
          </w:p>
        </w:tc>
      </w:tr>
      <w:tr w14:paraId="77E8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431DFF3">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6AF36DA3">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59C654D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7FD08CB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8、床体下有二段式托盘，托盘分为大小、深浅不同的两部分，设有≥6个漏水孔，使用方便，托盘承重≥10Kg。</w:t>
            </w:r>
          </w:p>
        </w:tc>
      </w:tr>
      <w:tr w14:paraId="24AA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106481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75B8AB4">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1025602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41F2BDE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▲9、床头尾两侧有4组输液架收藏架，固定收藏输液架，收藏架内有塑料套管防止输液架与收藏管碰撞。标配2根可调节高度的输液杆，单钩可挂≥3kg，最大承重≥12kg。</w:t>
            </w:r>
          </w:p>
        </w:tc>
      </w:tr>
      <w:tr w14:paraId="0F0D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CC726C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58A50A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18FD8BE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26E1A93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10、可配合医院定制氧气瓶搁架，不用时可以收纳在床体下方，使用时可以旋转出来。</w:t>
            </w:r>
          </w:p>
        </w:tc>
      </w:tr>
      <w:tr w14:paraId="1752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05A5A4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D14A4CF">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00C325C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7129445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eastAsia="宋体"/>
                <w:kern w:val="2"/>
                <w:sz w:val="21"/>
                <w:lang w:eastAsia="zh-CN"/>
              </w:rPr>
              <w:t>▲11、转运床垫：面料表面防水处理，易于清洗，四角装有拉链，外部面料可水洗；防静电3段式构造，只需—人操作即可以平行对接和转运病人。床垫可作为应急担架使用，头尾左右两侧都有提手。</w:t>
            </w:r>
          </w:p>
        </w:tc>
      </w:tr>
      <w:tr w14:paraId="730D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143CAE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498C0C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2517D41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59831F7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12、床侧边有两组共6个不锈钢金属挂钩。床体四周设有直径≥100mm防撞轮，防止在推行过程中发生碰撞可以起到防护作用</w:t>
            </w:r>
          </w:p>
        </w:tc>
      </w:tr>
      <w:tr w14:paraId="1A58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503" w:type="dxa"/>
            <w:vMerge w:val="continue"/>
            <w:shd w:val="clear" w:color="auto" w:fill="auto"/>
            <w:noWrap/>
            <w:vAlign w:val="center"/>
          </w:tcPr>
          <w:p w14:paraId="0F2B616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C00F4F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3C4F1C4F">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1DDE1FC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★13、配置清单（每张）：</w:t>
            </w:r>
          </w:p>
          <w:p w14:paraId="7A90EFF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13.1床本体1台；</w:t>
            </w:r>
          </w:p>
          <w:p w14:paraId="0757078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13.2—体式护栏2片；</w:t>
            </w:r>
          </w:p>
          <w:p w14:paraId="5B530C8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13双面脚轮4只；</w:t>
            </w:r>
          </w:p>
          <w:p w14:paraId="7C61332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13.4中控锁定踏板4套；</w:t>
            </w:r>
          </w:p>
          <w:p w14:paraId="0BBC15D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13.5中心第五轮1套；</w:t>
            </w:r>
          </w:p>
          <w:p w14:paraId="3B83D40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13.6整体升降摇杆1套；</w:t>
            </w:r>
          </w:p>
          <w:p w14:paraId="440E42B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13.7背部升降气压弹簧1套；</w:t>
            </w:r>
          </w:p>
          <w:p w14:paraId="2C4869F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13.8大型底部托盘1块；</w:t>
            </w:r>
          </w:p>
          <w:p w14:paraId="587C0E2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13.9输液架2根；</w:t>
            </w:r>
          </w:p>
          <w:p w14:paraId="65C97C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13.10标准输液架插孔4个；</w:t>
            </w:r>
          </w:p>
          <w:p w14:paraId="084F3E6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13.11氧气瓶挂架1个；</w:t>
            </w:r>
          </w:p>
          <w:p w14:paraId="6A903EE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13.12转运床垫1张；</w:t>
            </w:r>
          </w:p>
          <w:p w14:paraId="619A21C9">
            <w:pPr>
              <w:keepNext w:val="0"/>
              <w:keepLines w:val="0"/>
              <w:pageBreakBefore w:val="0"/>
              <w:widowControl w:val="0"/>
              <w:kinsoku/>
              <w:wordWrap/>
              <w:overflowPunct/>
              <w:topLinePunct w:val="0"/>
              <w:autoSpaceDE/>
              <w:autoSpaceDN/>
              <w:bidi w:val="0"/>
              <w:adjustRightInd/>
              <w:snapToGrid/>
              <w:spacing w:line="240" w:lineRule="auto"/>
              <w:jc w:val="both"/>
              <w:rPr>
                <w:rFonts w:eastAsia="宋体"/>
                <w:b/>
                <w:bCs/>
                <w:kern w:val="2"/>
                <w:lang w:eastAsia="zh-CN"/>
              </w:rPr>
            </w:pPr>
            <w:r>
              <w:rPr>
                <w:rFonts w:hint="eastAsia" w:ascii="宋体" w:hAnsi="宋体" w:eastAsia="宋体" w:cs="宋体"/>
                <w:color w:val="000000"/>
                <w:sz w:val="21"/>
                <w:szCs w:val="21"/>
                <w:lang w:eastAsia="zh-CN" w:bidi="ar"/>
              </w:rPr>
              <w:t>13.13引流挂钩6个；</w:t>
            </w:r>
          </w:p>
        </w:tc>
      </w:tr>
      <w:tr w14:paraId="1AE3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54A36300">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9</w:t>
            </w:r>
          </w:p>
        </w:tc>
        <w:tc>
          <w:tcPr>
            <w:tcW w:w="1393" w:type="dxa"/>
            <w:vMerge w:val="restart"/>
            <w:shd w:val="clear" w:color="auto" w:fill="auto"/>
            <w:noWrap/>
            <w:vAlign w:val="center"/>
          </w:tcPr>
          <w:p w14:paraId="7538F60A">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可折叠助行器</w:t>
            </w:r>
          </w:p>
        </w:tc>
        <w:tc>
          <w:tcPr>
            <w:tcW w:w="2443" w:type="dxa"/>
            <w:vMerge w:val="restart"/>
            <w:shd w:val="clear" w:color="auto" w:fill="auto"/>
            <w:noWrap/>
            <w:vAlign w:val="center"/>
          </w:tcPr>
          <w:p w14:paraId="78B46DF6">
            <w:pPr>
              <w:keepNext w:val="0"/>
              <w:keepLines w:val="0"/>
              <w:widowControl/>
              <w:suppressLineNumbers w:val="0"/>
              <w:wordWrap w:val="0"/>
              <w:jc w:val="both"/>
              <w:textAlignment w:val="center"/>
              <w:rPr>
                <w:rFonts w:hint="eastAsia" w:ascii="宋体" w:hAnsi="宋体" w:eastAsia="宋体" w:cs="宋体"/>
                <w:kern w:val="2"/>
                <w:sz w:val="21"/>
                <w:szCs w:val="21"/>
                <w:lang w:eastAsia="zh-CN"/>
              </w:rPr>
            </w:pPr>
            <w:r>
              <w:rPr>
                <w:rFonts w:hint="eastAsia" w:ascii="宋体" w:hAnsi="宋体" w:eastAsia="宋体" w:cs="宋体"/>
                <w:b w:val="0"/>
                <w:bCs w:val="0"/>
                <w:sz w:val="21"/>
                <w:szCs w:val="21"/>
                <w:highlight w:val="none"/>
              </w:rPr>
              <w:drawing>
                <wp:inline distT="0" distB="0" distL="114300" distR="114300">
                  <wp:extent cx="1020445" cy="1416685"/>
                  <wp:effectExtent l="0" t="0" r="8255" b="12065"/>
                  <wp:docPr id="15" name="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020445" cy="1416685"/>
                          </a:xfrm>
                          <a:prstGeom prst="rect">
                            <a:avLst/>
                          </a:prstGeom>
                        </pic:spPr>
                      </pic:pic>
                    </a:graphicData>
                  </a:graphic>
                </wp:inline>
              </w:drawing>
            </w:r>
          </w:p>
        </w:tc>
        <w:tc>
          <w:tcPr>
            <w:tcW w:w="5383" w:type="dxa"/>
            <w:shd w:val="clear" w:color="auto" w:fill="auto"/>
            <w:noWrap/>
            <w:vAlign w:val="center"/>
          </w:tcPr>
          <w:p w14:paraId="65DC3F15">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宋体" w:hAnsi="宋体" w:eastAsia="宋体" w:cs="宋体"/>
                <w:color w:val="000000"/>
                <w:sz w:val="21"/>
                <w:szCs w:val="21"/>
                <w:lang w:eastAsia="zh-CN" w:bidi="ar"/>
              </w:rPr>
            </w:pPr>
            <w:r>
              <w:rPr>
                <w:rFonts w:hint="eastAsia" w:eastAsia="宋体"/>
                <w:kern w:val="2"/>
                <w:sz w:val="21"/>
                <w:lang w:eastAsia="zh-CN"/>
              </w:rPr>
              <w:t>▲</w:t>
            </w:r>
            <w:r>
              <w:rPr>
                <w:rFonts w:hint="eastAsia" w:ascii="宋体" w:hAnsi="宋体" w:eastAsia="宋体" w:cs="宋体"/>
                <w:color w:val="000000"/>
                <w:sz w:val="21"/>
                <w:szCs w:val="21"/>
                <w:lang w:eastAsia="zh-CN" w:bidi="ar"/>
              </w:rPr>
              <w:t>1、高度：</w:t>
            </w:r>
            <w:r>
              <w:rPr>
                <w:rFonts w:ascii="宋体" w:hAnsi="宋体" w:eastAsia="宋体" w:cs="宋体"/>
                <w:kern w:val="2"/>
                <w:lang w:eastAsia="zh-CN"/>
              </w:rPr>
              <w:t>70-90cm±10cm</w:t>
            </w:r>
          </w:p>
        </w:tc>
      </w:tr>
      <w:tr w14:paraId="0491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10AFFDC">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3E7CFABE">
            <w:pPr>
              <w:keepNext w:val="0"/>
              <w:keepLines w:val="0"/>
              <w:widowControl/>
              <w:suppressLineNumbers w:val="0"/>
              <w:wordWrap w:val="0"/>
              <w:jc w:val="both"/>
              <w:textAlignment w:val="center"/>
              <w:rPr>
                <w:rFonts w:eastAsia="宋体"/>
                <w:kern w:val="2"/>
                <w:sz w:val="21"/>
                <w:lang w:eastAsia="zh-CN"/>
              </w:rPr>
            </w:pPr>
          </w:p>
        </w:tc>
        <w:tc>
          <w:tcPr>
            <w:tcW w:w="2443" w:type="dxa"/>
            <w:vMerge w:val="continue"/>
            <w:shd w:val="clear" w:color="auto" w:fill="auto"/>
            <w:noWrap/>
            <w:vAlign w:val="center"/>
          </w:tcPr>
          <w:p w14:paraId="79027AF1">
            <w:pPr>
              <w:keepNext w:val="0"/>
              <w:keepLines w:val="0"/>
              <w:widowControl/>
              <w:suppressLineNumbers w:val="0"/>
              <w:wordWrap w:val="0"/>
              <w:jc w:val="both"/>
              <w:textAlignment w:val="center"/>
              <w:rPr>
                <w:rFonts w:eastAsia="宋体"/>
                <w:kern w:val="2"/>
                <w:sz w:val="21"/>
                <w:lang w:eastAsia="zh-CN"/>
              </w:rPr>
            </w:pPr>
          </w:p>
        </w:tc>
        <w:tc>
          <w:tcPr>
            <w:tcW w:w="5383" w:type="dxa"/>
            <w:shd w:val="clear" w:color="auto" w:fill="auto"/>
            <w:noWrap/>
            <w:vAlign w:val="center"/>
          </w:tcPr>
          <w:p w14:paraId="4210E31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2、高度八档可调节，高强度弹珠锁定高度</w:t>
            </w:r>
          </w:p>
        </w:tc>
      </w:tr>
      <w:tr w14:paraId="3F78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D8A9EB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45504C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614F95E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544E4AC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3、按压横杆上的按钮即可收缩折叠</w:t>
            </w:r>
          </w:p>
        </w:tc>
      </w:tr>
      <w:tr w14:paraId="353A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46E288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CEC0F6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7F47F7D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68C26EF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4、铝合金材质，承重不低于136kg，撑杆壁厚不低于1.5mm；</w:t>
            </w:r>
          </w:p>
        </w:tc>
      </w:tr>
      <w:tr w14:paraId="1C6D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F625D9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D97233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0C9880B0">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6324DB9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5、握手防滑手垫，四脚防滑垫包裹</w:t>
            </w:r>
          </w:p>
        </w:tc>
      </w:tr>
      <w:tr w14:paraId="155B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07775B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1A4DF2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2443" w:type="dxa"/>
            <w:vMerge w:val="continue"/>
            <w:shd w:val="clear" w:color="auto" w:fill="auto"/>
            <w:noWrap/>
            <w:vAlign w:val="center"/>
          </w:tcPr>
          <w:p w14:paraId="34CA1BD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5383" w:type="dxa"/>
            <w:shd w:val="clear" w:color="auto" w:fill="auto"/>
            <w:noWrap/>
            <w:vAlign w:val="center"/>
          </w:tcPr>
          <w:p w14:paraId="3B38895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6、扶手间间距不低于50cm</w:t>
            </w:r>
          </w:p>
        </w:tc>
      </w:tr>
    </w:tbl>
    <w:p w14:paraId="7F363747">
      <w:pPr>
        <w:widowControl w:val="0"/>
        <w:ind w:firstLine="420" w:firstLineChars="0"/>
        <w:jc w:val="both"/>
        <w:rPr>
          <w:rFonts w:eastAsia="宋体"/>
          <w:bCs/>
          <w:kern w:val="2"/>
          <w:szCs w:val="20"/>
          <w:lang w:eastAsia="zh-CN"/>
        </w:rPr>
      </w:pPr>
    </w:p>
    <w:p w14:paraId="3665F1D5">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sz w:val="28"/>
          <w:szCs w:val="28"/>
          <w:lang w:eastAsia="zh-CN"/>
        </w:rPr>
      </w:pPr>
      <w:r>
        <w:rPr>
          <w:rFonts w:hint="eastAsia" w:ascii="宋体" w:hAnsi="宋体" w:eastAsia="宋体" w:cs="宋体"/>
          <w:b/>
          <w:bCs/>
          <w:szCs w:val="21"/>
          <w:lang w:eastAsia="zh-CN" w:bidi="ar"/>
        </w:rPr>
        <w:t>★</w:t>
      </w:r>
      <w:r>
        <w:rPr>
          <w:rFonts w:hint="eastAsia" w:ascii="宋体" w:hAnsi="宋体" w:eastAsia="宋体"/>
          <w:b/>
          <w:sz w:val="28"/>
          <w:szCs w:val="28"/>
          <w:lang w:eastAsia="zh-CN"/>
        </w:rPr>
        <w:t>六、商务要求</w:t>
      </w:r>
    </w:p>
    <w:p w14:paraId="04948BF6">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、评分时，如对一项招标商务要求（以划分框为准）中的内容存在两处（或以上）负偏离的，在评分时只作一项负偏离扣分。</w:t>
      </w:r>
    </w:p>
    <w:p w14:paraId="2B43F77C">
      <w:pPr>
        <w:widowControl w:val="0"/>
        <w:numPr>
          <w:ilvl w:val="0"/>
          <w:numId w:val="1"/>
        </w:numPr>
        <w:ind w:firstLine="422" w:firstLineChars="200"/>
        <w:jc w:val="both"/>
        <w:rPr>
          <w:rFonts w:eastAsia="宋体"/>
          <w:b/>
          <w:kern w:val="2"/>
          <w:sz w:val="21"/>
          <w:szCs w:val="21"/>
          <w:lang w:eastAsia="zh-CN"/>
        </w:rPr>
      </w:pPr>
      <w:r>
        <w:rPr>
          <w:rFonts w:hint="eastAsia" w:eastAsia="宋体"/>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”指标项为重要参数，负偏离时依相关评分准则内容作重点扣分处理。</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97"/>
        <w:gridCol w:w="7027"/>
      </w:tblGrid>
      <w:tr w14:paraId="0942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Align w:val="center"/>
          </w:tcPr>
          <w:p w14:paraId="1A0686D2">
            <w:pPr>
              <w:widowControl/>
              <w:jc w:val="center"/>
              <w:textAlignment w:val="center"/>
              <w:rPr>
                <w:rFonts w:hint="eastAsia" w:ascii="宋体" w:hAnsi="宋体" w:eastAsia="宋体" w:cs="宋体"/>
                <w:b/>
                <w:bCs/>
                <w:color w:val="000000"/>
                <w:kern w:val="2"/>
                <w:sz w:val="21"/>
                <w:szCs w:val="21"/>
                <w:lang w:eastAsia="zh-CN"/>
              </w:rPr>
            </w:pPr>
            <w:bookmarkStart w:id="38" w:name="OLE_LINK1"/>
            <w:r>
              <w:rPr>
                <w:rFonts w:hint="eastAsia" w:ascii="宋体" w:hAnsi="宋体" w:eastAsia="宋体" w:cs="宋体"/>
                <w:b/>
                <w:bCs/>
                <w:color w:val="000000"/>
                <w:sz w:val="21"/>
                <w:szCs w:val="21"/>
                <w:lang w:eastAsia="zh-CN" w:bidi="ar"/>
              </w:rPr>
              <w:t>序号</w:t>
            </w:r>
          </w:p>
        </w:tc>
        <w:tc>
          <w:tcPr>
            <w:tcW w:w="1350" w:type="dxa"/>
            <w:vAlign w:val="center"/>
          </w:tcPr>
          <w:p w14:paraId="24B77CD4">
            <w:pPr>
              <w:widowControl/>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目录</w:t>
            </w:r>
          </w:p>
        </w:tc>
        <w:tc>
          <w:tcPr>
            <w:tcW w:w="7368" w:type="dxa"/>
            <w:vAlign w:val="center"/>
          </w:tcPr>
          <w:p w14:paraId="12337BAD">
            <w:pPr>
              <w:widowControl/>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招标商务要求</w:t>
            </w:r>
          </w:p>
        </w:tc>
      </w:tr>
      <w:tr w14:paraId="77B7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restart"/>
            <w:vAlign w:val="center"/>
          </w:tcPr>
          <w:p w14:paraId="0E4B9FEC">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w:t>
            </w:r>
          </w:p>
        </w:tc>
        <w:tc>
          <w:tcPr>
            <w:tcW w:w="1350" w:type="dxa"/>
            <w:vMerge w:val="restart"/>
            <w:vAlign w:val="center"/>
          </w:tcPr>
          <w:p w14:paraId="0AC5B8AD">
            <w:pPr>
              <w:widowControl/>
              <w:jc w:val="center"/>
              <w:textAlignment w:val="center"/>
              <w:rPr>
                <w:rFonts w:hint="eastAsia" w:ascii="宋体" w:hAnsi="宋体" w:eastAsia="宋体" w:cs="宋体"/>
                <w:b/>
                <w:bCs/>
                <w:color w:val="FF0000"/>
                <w:kern w:val="2"/>
                <w:sz w:val="21"/>
                <w:szCs w:val="21"/>
                <w:lang w:eastAsia="zh-CN"/>
              </w:rPr>
            </w:pPr>
            <w:r>
              <w:rPr>
                <w:rFonts w:hint="eastAsia" w:ascii="宋体" w:hAnsi="宋体" w:eastAsia="宋体" w:cs="宋体"/>
                <w:b/>
                <w:bCs/>
                <w:sz w:val="21"/>
                <w:szCs w:val="21"/>
                <w:lang w:eastAsia="zh-CN" w:bidi="ar"/>
              </w:rPr>
              <w:t>★关于交货</w:t>
            </w:r>
          </w:p>
        </w:tc>
        <w:tc>
          <w:tcPr>
            <w:tcW w:w="7368" w:type="dxa"/>
            <w:vAlign w:val="center"/>
          </w:tcPr>
          <w:p w14:paraId="0F52D412">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1.1 交货地点：采购人指定地点</w:t>
            </w:r>
          </w:p>
        </w:tc>
      </w:tr>
      <w:tr w14:paraId="5A51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5375D452">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579C5609">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6318C8B9">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1.2 交货期：合同签订后3</w:t>
            </w:r>
            <w:r>
              <w:rPr>
                <w:rFonts w:ascii="宋体" w:hAnsi="宋体" w:eastAsia="宋体" w:cs="宋体"/>
                <w:kern w:val="2"/>
                <w:sz w:val="21"/>
                <w:szCs w:val="21"/>
                <w:lang w:eastAsia="zh-CN" w:bidi="ar"/>
              </w:rPr>
              <w:t>0</w:t>
            </w:r>
            <w:r>
              <w:rPr>
                <w:rFonts w:hint="eastAsia" w:ascii="宋体" w:hAnsi="宋体" w:eastAsia="宋体" w:cs="宋体"/>
                <w:sz w:val="21"/>
                <w:szCs w:val="21"/>
                <w:lang w:eastAsia="zh-CN" w:bidi="ar"/>
              </w:rPr>
              <w:t>日内（自然日）交付合同条款约定的货物或服务。</w:t>
            </w:r>
          </w:p>
        </w:tc>
      </w:tr>
      <w:tr w14:paraId="3B43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637154AA">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60D9B1D1">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7B07E738">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1.3 当货物抵达交货地点时，由中标人自行安排的工作人员和货运方验收货物并签收运单，采购人提供存放地点，采购人对于货物运输过程出现的问题以及其他问题不负任何责任。</w:t>
            </w:r>
          </w:p>
        </w:tc>
      </w:tr>
      <w:tr w14:paraId="3BA8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660B330C">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555C6924">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708985D1">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1.4 中标人必须承担设备运输、安装调试、验收检测和提供设备操作说明书、图纸等其他类似的义务。</w:t>
            </w:r>
          </w:p>
        </w:tc>
      </w:tr>
      <w:tr w14:paraId="35FC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restart"/>
            <w:vAlign w:val="center"/>
          </w:tcPr>
          <w:p w14:paraId="4B07F611">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w:t>
            </w:r>
          </w:p>
        </w:tc>
        <w:tc>
          <w:tcPr>
            <w:tcW w:w="1350" w:type="dxa"/>
            <w:vMerge w:val="restart"/>
            <w:vAlign w:val="center"/>
          </w:tcPr>
          <w:p w14:paraId="7F555E02">
            <w:pPr>
              <w:widowControl/>
              <w:jc w:val="center"/>
              <w:textAlignment w:val="center"/>
              <w:rPr>
                <w:rFonts w:hint="eastAsia" w:ascii="宋体" w:hAnsi="宋体" w:eastAsia="宋体" w:cs="宋体"/>
                <w:b/>
                <w:bCs/>
                <w:color w:val="FF0000"/>
                <w:kern w:val="2"/>
                <w:sz w:val="21"/>
                <w:szCs w:val="21"/>
                <w:lang w:eastAsia="zh-CN"/>
              </w:rPr>
            </w:pPr>
            <w:r>
              <w:rPr>
                <w:rFonts w:hint="eastAsia" w:ascii="宋体" w:hAnsi="宋体" w:eastAsia="宋体" w:cs="宋体"/>
                <w:b/>
                <w:bCs/>
                <w:sz w:val="21"/>
                <w:szCs w:val="21"/>
                <w:lang w:eastAsia="zh-CN" w:bidi="ar"/>
              </w:rPr>
              <w:t>★关于报价方式</w:t>
            </w:r>
          </w:p>
        </w:tc>
        <w:tc>
          <w:tcPr>
            <w:tcW w:w="7368" w:type="dxa"/>
            <w:vAlign w:val="center"/>
          </w:tcPr>
          <w:p w14:paraId="20C1B0A0">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2.1 投标价必须是人民币含税价。</w:t>
            </w:r>
          </w:p>
        </w:tc>
      </w:tr>
      <w:tr w14:paraId="6D35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249654BE">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6D047565">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2F5B0691">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2.2 投标价包含所有费用，包含但不限于医疗设备辅助设施及配件购置、税费、包装、运输、保险、装卸、调试、技术服务、培训、检测、服务、免费保修期（免费保修期内设备及部件故障的更换，维修和退运返修）、售后服务等，验收合格交付使用之前的一切费用，采购人不在另行支付其他费用。</w:t>
            </w:r>
          </w:p>
        </w:tc>
      </w:tr>
      <w:tr w14:paraId="40C1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6C71219D">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0E494E51">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4E1796F0">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2.3 本项目需求中所称的免费是指由此产生的一切费用由中标人承担，中标金额是采购人支付的唯一依据，采购人不再另行支付其他任何费用。</w:t>
            </w:r>
          </w:p>
        </w:tc>
      </w:tr>
      <w:tr w14:paraId="211B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Align w:val="center"/>
          </w:tcPr>
          <w:p w14:paraId="76FD8ABC">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w:t>
            </w:r>
          </w:p>
        </w:tc>
        <w:tc>
          <w:tcPr>
            <w:tcW w:w="1350" w:type="dxa"/>
            <w:noWrap/>
            <w:vAlign w:val="center"/>
          </w:tcPr>
          <w:p w14:paraId="7914762E">
            <w:pPr>
              <w:widowControl/>
              <w:jc w:val="center"/>
              <w:textAlignment w:val="center"/>
              <w:rPr>
                <w:rFonts w:hint="eastAsia" w:ascii="宋体" w:hAnsi="宋体" w:eastAsia="宋体" w:cs="宋体"/>
                <w:b/>
                <w:bCs/>
                <w:color w:val="FF0000"/>
                <w:kern w:val="2"/>
                <w:sz w:val="21"/>
                <w:szCs w:val="21"/>
                <w:lang w:eastAsia="zh-CN"/>
              </w:rPr>
            </w:pPr>
            <w:r>
              <w:rPr>
                <w:rFonts w:hint="eastAsia" w:ascii="宋体" w:hAnsi="宋体" w:eastAsia="宋体" w:cs="宋体"/>
                <w:b/>
                <w:bCs/>
                <w:sz w:val="21"/>
                <w:szCs w:val="21"/>
                <w:lang w:eastAsia="zh-CN" w:bidi="ar"/>
              </w:rPr>
              <w:t>★关于付款方式</w:t>
            </w:r>
          </w:p>
        </w:tc>
        <w:tc>
          <w:tcPr>
            <w:tcW w:w="7368" w:type="dxa"/>
            <w:vAlign w:val="center"/>
          </w:tcPr>
          <w:p w14:paraId="00614517">
            <w:pPr>
              <w:widowControl w:val="0"/>
              <w:jc w:val="both"/>
              <w:rPr>
                <w:rFonts w:hint="eastAsia" w:ascii="宋体" w:hAnsi="宋体" w:eastAsia="宋体" w:cs="宋体"/>
                <w:kern w:val="2"/>
                <w:sz w:val="21"/>
                <w:szCs w:val="21"/>
                <w:lang w:eastAsia="zh-CN"/>
              </w:rPr>
            </w:pPr>
            <w:r>
              <w:rPr>
                <w:rFonts w:hint="eastAsia" w:ascii="宋体" w:hAnsi="宋体" w:eastAsia="宋体" w:cs="宋体"/>
                <w:sz w:val="21"/>
                <w:szCs w:val="21"/>
                <w:lang w:eastAsia="zh-CN" w:bidi="ar"/>
              </w:rPr>
              <w:t>3.1</w:t>
            </w:r>
            <w:r>
              <w:rPr>
                <w:rFonts w:hint="eastAsia" w:ascii="宋体" w:hAnsi="宋体" w:eastAsia="宋体" w:cs="宋体"/>
                <w:kern w:val="2"/>
                <w:sz w:val="21"/>
                <w:szCs w:val="21"/>
                <w:lang w:eastAsia="zh-CN"/>
              </w:rPr>
              <w:t>在合同签订后，中标人需出具原厂订货佐证，采购人将依据既定程序，向中标人支付合同总金额的30%作为预付款。</w:t>
            </w:r>
          </w:p>
          <w:p w14:paraId="1B8E7B7D">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3.2、当全部设备按照要求安装至采购人指定地点，并验收合格后，采购人将向中标人支付剩余70%货款。</w:t>
            </w:r>
          </w:p>
          <w:p w14:paraId="7BD6B42F">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3.3、鉴于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p w14:paraId="516C5BD0">
            <w:pPr>
              <w:widowControl/>
              <w:jc w:val="both"/>
              <w:textAlignment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3.4、若本项目财政下达的资金数额不足以支付合同约定的比例金额，采购人将按照实际财政下达的资金数额支付合同款，不足部分将待新的项目资金下达后进行支付。</w:t>
            </w:r>
          </w:p>
          <w:p w14:paraId="7A7E2DEA">
            <w:pPr>
              <w:widowControl w:val="0"/>
              <w:spacing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中标人提请采购人支付合同价款时，应提交以下资料：</w:t>
            </w:r>
          </w:p>
          <w:p w14:paraId="0A4E47F8">
            <w:pPr>
              <w:widowControl w:val="0"/>
              <w:spacing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（1）与付款金额等额的税务发票；</w:t>
            </w:r>
          </w:p>
          <w:p w14:paraId="2D419413">
            <w:pPr>
              <w:widowControl w:val="0"/>
              <w:spacing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（2）验收合格证明（预付款可免）；</w:t>
            </w:r>
          </w:p>
          <w:p w14:paraId="59AEA7B0">
            <w:pPr>
              <w:widowControl w:val="0"/>
              <w:spacing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（3）合同约定的其他付款资料。</w:t>
            </w:r>
          </w:p>
          <w:p w14:paraId="3EE42069">
            <w:pPr>
              <w:widowControl w:val="0"/>
              <w:spacing w:line="240" w:lineRule="auto"/>
              <w:jc w:val="both"/>
              <w:rPr>
                <w:rFonts w:hint="eastAsia" w:ascii="宋体" w:hAnsi="宋体" w:eastAsia="宋体" w:cs="宋体"/>
                <w:b/>
                <w:bCs/>
                <w:kern w:val="2"/>
                <w:sz w:val="21"/>
                <w:szCs w:val="21"/>
                <w:lang w:eastAsia="zh-CN"/>
              </w:rPr>
            </w:pPr>
            <w:r>
              <w:rPr>
                <w:rFonts w:hint="eastAsia" w:ascii="宋体" w:hAnsi="宋体" w:eastAsia="宋体" w:cs="宋体"/>
                <w:kern w:val="2"/>
                <w:sz w:val="21"/>
                <w:szCs w:val="21"/>
                <w:lang w:eastAsia="zh-CN"/>
              </w:rPr>
              <w:t>付款期限自采购人收到上述合格的付款资料之日起算。若中标人未及时提供付款资料的，采购人有权将付款期限的起始日推迟至中标人按约定提供付款资料之日，而不被视为逾期付款。</w:t>
            </w:r>
          </w:p>
        </w:tc>
      </w:tr>
      <w:tr w14:paraId="107B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restart"/>
            <w:vAlign w:val="center"/>
          </w:tcPr>
          <w:p w14:paraId="29328C4F">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w:t>
            </w:r>
          </w:p>
        </w:tc>
        <w:tc>
          <w:tcPr>
            <w:tcW w:w="1350" w:type="dxa"/>
            <w:vMerge w:val="restart"/>
            <w:vAlign w:val="center"/>
          </w:tcPr>
          <w:p w14:paraId="17EF8474">
            <w:pPr>
              <w:widowControl/>
              <w:jc w:val="center"/>
              <w:textAlignment w:val="center"/>
              <w:rPr>
                <w:rFonts w:hint="eastAsia" w:ascii="宋体" w:hAnsi="宋体" w:eastAsia="宋体" w:cs="宋体"/>
                <w:b/>
                <w:bCs/>
                <w:color w:val="FF0000"/>
                <w:kern w:val="2"/>
                <w:sz w:val="21"/>
                <w:szCs w:val="21"/>
                <w:lang w:eastAsia="zh-CN"/>
              </w:rPr>
            </w:pPr>
            <w:r>
              <w:rPr>
                <w:rFonts w:hint="eastAsia" w:ascii="宋体" w:hAnsi="宋体" w:eastAsia="宋体" w:cs="宋体"/>
                <w:b/>
                <w:bCs/>
                <w:sz w:val="21"/>
                <w:szCs w:val="21"/>
                <w:lang w:eastAsia="zh-CN" w:bidi="ar"/>
              </w:rPr>
              <w:t>★关于售后服务和培训</w:t>
            </w:r>
          </w:p>
        </w:tc>
        <w:tc>
          <w:tcPr>
            <w:tcW w:w="7368" w:type="dxa"/>
            <w:vAlign w:val="center"/>
          </w:tcPr>
          <w:p w14:paraId="29DF18DD">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4.1 中标人需为本项目配备足够的售后服务力量；如果医疗设备发生故障，中标人要排查故障并修复至原最终验收指标和性能的要求。</w:t>
            </w:r>
          </w:p>
        </w:tc>
      </w:tr>
      <w:tr w14:paraId="6560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0480B998">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6C709E72">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609BB08C">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4.2 中标人提供医疗设备的免费保修期≥5年（保修期内免费维修并更换除消耗品以外的零部件，维修人员的路费、食宿等自理），保修期自最终安装验收合格签字确认后算起，并提供相关保修文件材料。</w:t>
            </w:r>
          </w:p>
        </w:tc>
      </w:tr>
      <w:tr w14:paraId="322A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4E9E15EE">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2ECF4CC7">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355A6E1F">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4.3 中标人售后服务响应时间（24小时热线电话、email）：电话响应时间要求2小时内，到场响应时间要求24个小时内（指从接到报障至到达故障现场的时间）；email响应时间要求为24小时内。</w:t>
            </w:r>
          </w:p>
        </w:tc>
      </w:tr>
      <w:tr w14:paraId="0BE2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09FE6308">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4A71B7F5">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56D9DD68">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4.4 中标人必须能够随时提供全新备品，一旦设备出现问题必须保证全新备品能在24小时内到现场，48小时内解决相关问题。</w:t>
            </w:r>
          </w:p>
        </w:tc>
      </w:tr>
      <w:tr w14:paraId="734B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6B45EB3D">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06C0C363">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785C4C1A">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4.5 为保证中标人所提供的医疗设备安全、可靠运行，便于采购人运行维护，中标人必须对采购人培训合格的维护和管理人员。</w:t>
            </w:r>
          </w:p>
        </w:tc>
      </w:tr>
      <w:tr w14:paraId="77B0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73D66BD6">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6784967E">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67A2A39F">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4.6 中标人负责对采购人提供至少2次现场技术培训，以便工作人员在培训后能熟练地掌握系统的维护工作，并能及时排除大部分的系统障碍。</w:t>
            </w:r>
          </w:p>
        </w:tc>
      </w:tr>
      <w:tr w14:paraId="334F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7073C87F">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2254EFEE">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1C046772">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4.7 中标人提供该设备的技术使用说明书及外购配件仪器说明书，并指导在使用该设备时的操作注意。</w:t>
            </w:r>
          </w:p>
        </w:tc>
      </w:tr>
      <w:tr w14:paraId="5CD9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0C6662BD">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6F05F255">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2000B04F">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 xml:space="preserve">4.8 </w:t>
            </w:r>
            <w:r>
              <w:rPr>
                <w:rFonts w:hint="eastAsia" w:ascii="宋体" w:hAnsi="宋体" w:eastAsia="宋体" w:cs="宋体"/>
                <w:color w:val="000000"/>
                <w:kern w:val="2"/>
                <w:sz w:val="21"/>
                <w:szCs w:val="21"/>
                <w:lang w:eastAsia="zh-CN"/>
              </w:rPr>
              <w:t>在保修期内，中标人必须保证设备的年正常开机率≥98%，年正常开机率的计算方式为：（365天-停机天数）/365天，每天工作24小时。若未能达到此开机率，将按以下方式处理：</w:t>
            </w:r>
          </w:p>
          <w:p w14:paraId="78FEBB88">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（1）年正常开机率在95%～98%之间（含95%，不含98%），延长保修期一年；</w:t>
            </w:r>
          </w:p>
          <w:p w14:paraId="0B7520EB">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年正常开机率低于95%（不含95%），中标人必须无条件更换新机，重新计算保修期，并赔偿采购人的直接经济损失和间接经济损失。如果更换新机后依然达不到95%的开机率，则采购人有权单方面取消合约，并对中标方追责。</w:t>
            </w:r>
          </w:p>
          <w:p w14:paraId="7FC3EB8F">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注：间接经济损失可按采购人或同等级医院相同或具备同等功能的货物，最近连续6个月的日平均诊疗服务收入作为计算基数，按日自停机之日起计算至中标人提供替代货物投入正常运行之日止。</w:t>
            </w:r>
          </w:p>
        </w:tc>
      </w:tr>
      <w:tr w14:paraId="3922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03" w:type="dxa"/>
            <w:vMerge w:val="continue"/>
            <w:vAlign w:val="center"/>
          </w:tcPr>
          <w:p w14:paraId="4B199D3D">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59E7B4D1">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1D3055D8">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4.9 保修期满后乙方维修只收取零配件的成本费，维修所更换的部配件皆为原厂部配件，免收维修费及差旅费等其他费用。设备配件成本费之和不得超过采购文件的该设备单价。中标人确保该价格不高于市场深圳市同期同类产品零部件零配件平均价格。</w:t>
            </w:r>
          </w:p>
        </w:tc>
      </w:tr>
      <w:tr w14:paraId="4046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restart"/>
            <w:vAlign w:val="center"/>
          </w:tcPr>
          <w:p w14:paraId="5A43F4DB">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w:t>
            </w:r>
          </w:p>
        </w:tc>
        <w:tc>
          <w:tcPr>
            <w:tcW w:w="1350" w:type="dxa"/>
            <w:vMerge w:val="restart"/>
            <w:vAlign w:val="center"/>
          </w:tcPr>
          <w:p w14:paraId="7366F92A">
            <w:pPr>
              <w:widowControl/>
              <w:jc w:val="center"/>
              <w:textAlignment w:val="center"/>
              <w:rPr>
                <w:rFonts w:hint="eastAsia" w:ascii="宋体" w:hAnsi="宋体" w:eastAsia="宋体" w:cs="宋体"/>
                <w:b/>
                <w:bCs/>
                <w:color w:val="FF0000"/>
                <w:kern w:val="2"/>
                <w:sz w:val="21"/>
                <w:szCs w:val="21"/>
                <w:lang w:eastAsia="zh-CN"/>
              </w:rPr>
            </w:pPr>
            <w:r>
              <w:rPr>
                <w:rFonts w:hint="eastAsia" w:ascii="宋体" w:hAnsi="宋体" w:eastAsia="宋体" w:cs="宋体"/>
                <w:b/>
                <w:bCs/>
                <w:sz w:val="21"/>
                <w:szCs w:val="21"/>
                <w:lang w:eastAsia="zh-CN" w:bidi="ar"/>
              </w:rPr>
              <w:t>★关于安装、调试和验收</w:t>
            </w:r>
          </w:p>
        </w:tc>
        <w:tc>
          <w:tcPr>
            <w:tcW w:w="7368" w:type="dxa"/>
            <w:vAlign w:val="center"/>
          </w:tcPr>
          <w:p w14:paraId="01FD6E40">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5.1 中标人技术工程师负责现场的免费安装、调试；如需特殊安装条件的，中标人应当发货前30天内与采购人进行场地安装事宜的确认。</w:t>
            </w:r>
          </w:p>
        </w:tc>
      </w:tr>
      <w:tr w14:paraId="6AFF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2ADCF2F9">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0A9C488C">
            <w:pPr>
              <w:widowControl/>
              <w:jc w:val="center"/>
              <w:rPr>
                <w:rFonts w:hint="eastAsia" w:ascii="宋体" w:hAnsi="宋体" w:eastAsia="宋体" w:cs="宋体"/>
                <w:b/>
                <w:bCs/>
                <w:color w:val="000000"/>
                <w:kern w:val="2"/>
                <w:sz w:val="21"/>
                <w:szCs w:val="21"/>
                <w:lang w:eastAsia="zh-CN"/>
              </w:rPr>
            </w:pPr>
          </w:p>
        </w:tc>
        <w:tc>
          <w:tcPr>
            <w:tcW w:w="7368" w:type="dxa"/>
            <w:vAlign w:val="center"/>
          </w:tcPr>
          <w:p w14:paraId="06E6B772">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5.2 货物运抵安装现场后，采购人应当与中标人共同开箱；中标人技术工程师负责现场的免费安装、调试；验收结果以采购人的验收报告为最终验收结果，验收时发现短缺、破损, 采购人有权要求中标人立即补发和负责更换。</w:t>
            </w:r>
          </w:p>
        </w:tc>
      </w:tr>
      <w:tr w14:paraId="2AB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0A9C2B94">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6843C40B">
            <w:pPr>
              <w:widowControl/>
              <w:jc w:val="center"/>
              <w:rPr>
                <w:rFonts w:hint="eastAsia" w:ascii="宋体" w:hAnsi="宋体" w:eastAsia="宋体" w:cs="宋体"/>
                <w:b/>
                <w:bCs/>
                <w:color w:val="000000"/>
                <w:kern w:val="2"/>
                <w:sz w:val="21"/>
                <w:szCs w:val="21"/>
                <w:lang w:eastAsia="zh-CN"/>
              </w:rPr>
            </w:pPr>
          </w:p>
        </w:tc>
        <w:tc>
          <w:tcPr>
            <w:tcW w:w="7368" w:type="dxa"/>
            <w:vAlign w:val="center"/>
          </w:tcPr>
          <w:p w14:paraId="48595D44">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5.3 中标人应提出医疗设备测试的内容、项目、指标和方法, 中标人有责任对采购人的技术人员提出的问题作出解答。测试应进行记录, 医疗设备测试结束后, 由中标人技术人员签字后交给采购人验收。</w:t>
            </w:r>
          </w:p>
        </w:tc>
      </w:tr>
      <w:tr w14:paraId="3D80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68C6BD59">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359BB599">
            <w:pPr>
              <w:widowControl/>
              <w:jc w:val="center"/>
              <w:rPr>
                <w:rFonts w:hint="eastAsia" w:ascii="宋体" w:hAnsi="宋体" w:eastAsia="宋体" w:cs="宋体"/>
                <w:b/>
                <w:bCs/>
                <w:color w:val="000000"/>
                <w:kern w:val="2"/>
                <w:sz w:val="21"/>
                <w:szCs w:val="21"/>
                <w:lang w:eastAsia="zh-CN"/>
              </w:rPr>
            </w:pPr>
          </w:p>
        </w:tc>
        <w:tc>
          <w:tcPr>
            <w:tcW w:w="7368" w:type="dxa"/>
            <w:vAlign w:val="center"/>
          </w:tcPr>
          <w:p w14:paraId="09C0B8F6">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5.4 中标人应提前一周将发货信息提供给采购人。货物到达后，采购人应将到货信息立即通知中标人。中标人应协助采购人于到货后一周（7天）内将设备在安装基础上就位，并做好现场安装调试、验收的各项准备工作，包括必要的试件、刀具及检具等。</w:t>
            </w:r>
          </w:p>
        </w:tc>
      </w:tr>
      <w:tr w14:paraId="4146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34371B65">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17A20F4C">
            <w:pPr>
              <w:widowControl/>
              <w:jc w:val="center"/>
              <w:rPr>
                <w:rFonts w:hint="eastAsia" w:ascii="宋体" w:hAnsi="宋体" w:eastAsia="宋体" w:cs="宋体"/>
                <w:b/>
                <w:bCs/>
                <w:color w:val="000000"/>
                <w:kern w:val="2"/>
                <w:sz w:val="21"/>
                <w:szCs w:val="21"/>
                <w:lang w:eastAsia="zh-CN"/>
              </w:rPr>
            </w:pPr>
          </w:p>
        </w:tc>
        <w:tc>
          <w:tcPr>
            <w:tcW w:w="7368" w:type="dxa"/>
            <w:vAlign w:val="center"/>
          </w:tcPr>
          <w:p w14:paraId="083E3726">
            <w:pPr>
              <w:widowControl/>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5.5 当同时满足以下条件时，采购人才向中标人签发设备验收报告：</w:t>
            </w:r>
          </w:p>
          <w:p w14:paraId="20D10A72">
            <w:pPr>
              <w:widowControl/>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a、中标人已按照合同规定提供了全部产品及完整的技术资料。</w:t>
            </w:r>
          </w:p>
          <w:p w14:paraId="08D930EC">
            <w:pPr>
              <w:widowControl/>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b、设备符合</w:t>
            </w:r>
            <w:r>
              <w:rPr>
                <w:rFonts w:hint="eastAsia" w:ascii="宋体" w:hAnsi="宋体" w:eastAsia="宋体" w:cs="宋体"/>
                <w:kern w:val="2"/>
                <w:sz w:val="21"/>
                <w:szCs w:val="21"/>
                <w:lang w:eastAsia="zh-CN"/>
              </w:rPr>
              <w:t>投标人的投标响应情况</w:t>
            </w:r>
            <w:r>
              <w:rPr>
                <w:rFonts w:hint="eastAsia" w:ascii="宋体" w:hAnsi="宋体" w:eastAsia="宋体" w:cs="宋体"/>
                <w:color w:val="000000"/>
                <w:sz w:val="21"/>
                <w:szCs w:val="21"/>
                <w:lang w:eastAsia="zh-CN" w:bidi="ar"/>
              </w:rPr>
              <w:t>，性能满足要求。</w:t>
            </w:r>
          </w:p>
          <w:p w14:paraId="281EE25A">
            <w:pPr>
              <w:widowControl/>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c、设备具备产品合格证。</w:t>
            </w:r>
          </w:p>
          <w:p w14:paraId="0371146A">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d、设备安装、调试完成，控评验收通过方可签发验收报告。</w:t>
            </w:r>
          </w:p>
        </w:tc>
      </w:tr>
      <w:tr w14:paraId="25B3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5F13CB60">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0CC82413">
            <w:pPr>
              <w:widowControl/>
              <w:jc w:val="center"/>
              <w:rPr>
                <w:rFonts w:hint="eastAsia" w:ascii="宋体" w:hAnsi="宋体" w:eastAsia="宋体" w:cs="宋体"/>
                <w:b/>
                <w:bCs/>
                <w:color w:val="000000"/>
                <w:kern w:val="2"/>
                <w:sz w:val="21"/>
                <w:szCs w:val="21"/>
                <w:lang w:eastAsia="zh-CN"/>
              </w:rPr>
            </w:pPr>
          </w:p>
        </w:tc>
        <w:tc>
          <w:tcPr>
            <w:tcW w:w="7368" w:type="dxa"/>
            <w:vAlign w:val="center"/>
          </w:tcPr>
          <w:p w14:paraId="16F48204">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5.6 对于采购人不具备验收测试环境的设备和软件等，</w:t>
            </w:r>
            <w:r>
              <w:rPr>
                <w:rFonts w:hint="eastAsia" w:eastAsia="宋体"/>
                <w:kern w:val="2"/>
                <w:sz w:val="21"/>
                <w:szCs w:val="11"/>
                <w:lang w:eastAsia="zh-CN"/>
              </w:rPr>
              <w:t>中标人应在厂家发货前进行验收测试或</w:t>
            </w:r>
            <w:r>
              <w:rPr>
                <w:rFonts w:hint="eastAsia" w:ascii="宋体" w:hAnsi="宋体" w:eastAsia="宋体" w:cs="宋体"/>
                <w:color w:val="000000"/>
                <w:sz w:val="21"/>
                <w:szCs w:val="21"/>
                <w:lang w:eastAsia="zh-CN" w:bidi="ar"/>
              </w:rPr>
              <w:t>提供有资质的第三方测试报告。</w:t>
            </w:r>
          </w:p>
        </w:tc>
      </w:tr>
      <w:tr w14:paraId="5554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5D91CDDC">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090D5484">
            <w:pPr>
              <w:widowControl/>
              <w:jc w:val="center"/>
              <w:rPr>
                <w:rFonts w:hint="eastAsia" w:ascii="宋体" w:hAnsi="宋体" w:eastAsia="宋体" w:cs="宋体"/>
                <w:b/>
                <w:bCs/>
                <w:color w:val="000000"/>
                <w:kern w:val="2"/>
                <w:sz w:val="21"/>
                <w:szCs w:val="21"/>
                <w:lang w:eastAsia="zh-CN"/>
              </w:rPr>
            </w:pPr>
          </w:p>
        </w:tc>
        <w:tc>
          <w:tcPr>
            <w:tcW w:w="7368" w:type="dxa"/>
            <w:vAlign w:val="center"/>
          </w:tcPr>
          <w:p w14:paraId="425D89FE">
            <w:pPr>
              <w:widowControl/>
              <w:jc w:val="both"/>
              <w:rPr>
                <w:rFonts w:hint="eastAsia" w:ascii="宋体" w:hAnsi="宋体" w:eastAsia="宋体" w:cs="宋体"/>
                <w:sz w:val="21"/>
                <w:szCs w:val="21"/>
                <w:lang w:eastAsia="zh-CN" w:bidi="ar"/>
              </w:rPr>
            </w:pPr>
            <w:r>
              <w:rPr>
                <w:rFonts w:hint="eastAsia" w:ascii="宋体" w:hAnsi="宋体" w:eastAsia="宋体" w:cs="宋体"/>
                <w:kern w:val="2"/>
                <w:sz w:val="21"/>
                <w:szCs w:val="21"/>
                <w:lang w:eastAsia="zh-CN"/>
              </w:rPr>
              <w:t>5.7凡属于国家规定强制检测的设备项目，都必须具备计量质检部门的检测合格证。</w:t>
            </w:r>
          </w:p>
        </w:tc>
      </w:tr>
      <w:tr w14:paraId="09B8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50D1518C">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45C436DE">
            <w:pPr>
              <w:widowControl/>
              <w:jc w:val="center"/>
              <w:rPr>
                <w:rFonts w:hint="eastAsia" w:ascii="宋体" w:hAnsi="宋体" w:eastAsia="宋体" w:cs="宋体"/>
                <w:b/>
                <w:bCs/>
                <w:color w:val="000000"/>
                <w:kern w:val="2"/>
                <w:sz w:val="21"/>
                <w:szCs w:val="21"/>
                <w:lang w:eastAsia="zh-CN"/>
              </w:rPr>
            </w:pPr>
          </w:p>
        </w:tc>
        <w:tc>
          <w:tcPr>
            <w:tcW w:w="7368" w:type="dxa"/>
            <w:vAlign w:val="center"/>
          </w:tcPr>
          <w:p w14:paraId="57B62A4A">
            <w:pPr>
              <w:widowControl/>
              <w:jc w:val="both"/>
              <w:textAlignment w:val="center"/>
              <w:rPr>
                <w:rFonts w:hint="eastAsia" w:ascii="宋体" w:hAnsi="宋体" w:eastAsia="宋体" w:cs="宋体"/>
                <w:sz w:val="21"/>
                <w:szCs w:val="21"/>
                <w:lang w:eastAsia="zh-CN" w:bidi="ar"/>
              </w:rPr>
            </w:pPr>
            <w:r>
              <w:rPr>
                <w:rFonts w:hint="eastAsia" w:ascii="宋体" w:hAnsi="宋体" w:eastAsia="宋体" w:cs="宋体"/>
                <w:kern w:val="2"/>
                <w:sz w:val="21"/>
                <w:szCs w:val="21"/>
                <w:lang w:eastAsia="zh-CN"/>
              </w:rPr>
              <w:t>5.8验收过程中，如采购人拟对货物质量进行实质验收时，有权邀请第三方检测机构对货物进行检测或测试。</w:t>
            </w:r>
          </w:p>
        </w:tc>
      </w:tr>
      <w:tr w14:paraId="471E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3513F9E1">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284E89A5">
            <w:pPr>
              <w:widowControl/>
              <w:jc w:val="center"/>
              <w:rPr>
                <w:rFonts w:hint="eastAsia" w:ascii="宋体" w:hAnsi="宋体" w:eastAsia="宋体" w:cs="宋体"/>
                <w:b/>
                <w:bCs/>
                <w:color w:val="000000"/>
                <w:kern w:val="2"/>
                <w:sz w:val="21"/>
                <w:szCs w:val="21"/>
                <w:lang w:eastAsia="zh-CN"/>
              </w:rPr>
            </w:pPr>
          </w:p>
        </w:tc>
        <w:tc>
          <w:tcPr>
            <w:tcW w:w="7368" w:type="dxa"/>
            <w:vAlign w:val="center"/>
          </w:tcPr>
          <w:p w14:paraId="5B6F3B5B">
            <w:pPr>
              <w:widowControl/>
              <w:jc w:val="both"/>
              <w:textAlignment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5.9在验收过程中，中标人需出具与设备制造商签订的与原合同条款一致的维保合同或原厂维保承诺函。</w:t>
            </w:r>
          </w:p>
        </w:tc>
      </w:tr>
      <w:tr w14:paraId="1E92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Align w:val="center"/>
          </w:tcPr>
          <w:p w14:paraId="560EC775">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w:t>
            </w:r>
          </w:p>
        </w:tc>
        <w:tc>
          <w:tcPr>
            <w:tcW w:w="1350" w:type="dxa"/>
            <w:vAlign w:val="center"/>
          </w:tcPr>
          <w:p w14:paraId="46FB581E">
            <w:pPr>
              <w:widowControl/>
              <w:jc w:val="center"/>
              <w:textAlignment w:val="center"/>
              <w:rPr>
                <w:rFonts w:hint="eastAsia" w:ascii="宋体" w:hAnsi="宋体" w:eastAsia="宋体" w:cs="宋体"/>
                <w:b/>
                <w:bCs/>
                <w:kern w:val="2"/>
                <w:sz w:val="21"/>
                <w:szCs w:val="21"/>
                <w:lang w:eastAsia="zh-CN"/>
              </w:rPr>
            </w:pPr>
            <w:r>
              <w:rPr>
                <w:rFonts w:hint="eastAsia" w:ascii="宋体" w:hAnsi="宋体" w:eastAsia="宋体" w:cs="宋体"/>
                <w:b/>
                <w:bCs/>
                <w:sz w:val="21"/>
                <w:szCs w:val="21"/>
                <w:lang w:eastAsia="zh-CN" w:bidi="ar"/>
              </w:rPr>
              <w:t>★关于运输及包装方式</w:t>
            </w:r>
          </w:p>
        </w:tc>
        <w:tc>
          <w:tcPr>
            <w:tcW w:w="7368" w:type="dxa"/>
            <w:vAlign w:val="center"/>
          </w:tcPr>
          <w:p w14:paraId="7EA66393">
            <w:pPr>
              <w:widowControl/>
              <w:jc w:val="both"/>
              <w:textAlignment w:val="center"/>
              <w:rPr>
                <w:rFonts w:hint="eastAsia" w:ascii="宋体" w:hAnsi="宋体" w:eastAsia="宋体" w:cs="宋体"/>
                <w:kern w:val="2"/>
                <w:sz w:val="21"/>
                <w:szCs w:val="21"/>
                <w:lang w:eastAsia="zh-CN"/>
              </w:rPr>
            </w:pPr>
            <w:r>
              <w:rPr>
                <w:rFonts w:hint="eastAsia" w:ascii="宋体" w:hAnsi="宋体" w:eastAsia="宋体" w:cs="宋体"/>
                <w:sz w:val="21"/>
                <w:szCs w:val="21"/>
                <w:lang w:eastAsia="zh-CN" w:bidi="ar"/>
              </w:rPr>
              <w:t>6.1货物到达采购人指定地点前的包装、运输等均由中标人负责。针对特殊设备应使用崭新坚固的木质包装（标准包装，必要时为木质烟熏包装），适合于空运、或陆运等长途运输方式；适合气候变化；中标人应对任何由于不当包装或防护措施不利而导致的商品损坏、损失、费用增长等后果负责。</w:t>
            </w:r>
          </w:p>
        </w:tc>
      </w:tr>
      <w:tr w14:paraId="172D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03" w:type="dxa"/>
            <w:vMerge w:val="restart"/>
            <w:vAlign w:val="center"/>
          </w:tcPr>
          <w:p w14:paraId="6904BC16">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w:t>
            </w:r>
          </w:p>
        </w:tc>
        <w:tc>
          <w:tcPr>
            <w:tcW w:w="1350" w:type="dxa"/>
            <w:vMerge w:val="restart"/>
            <w:vAlign w:val="center"/>
          </w:tcPr>
          <w:p w14:paraId="6003650E">
            <w:pPr>
              <w:widowControl/>
              <w:jc w:val="center"/>
              <w:textAlignment w:val="center"/>
              <w:rPr>
                <w:rFonts w:hint="eastAsia" w:ascii="宋体" w:hAnsi="宋体" w:eastAsia="宋体" w:cs="宋体"/>
                <w:b/>
                <w:bCs/>
                <w:kern w:val="2"/>
                <w:sz w:val="21"/>
                <w:szCs w:val="21"/>
                <w:lang w:eastAsia="zh-CN"/>
              </w:rPr>
            </w:pPr>
            <w:r>
              <w:rPr>
                <w:rFonts w:hint="eastAsia" w:ascii="宋体" w:hAnsi="宋体" w:eastAsia="宋体" w:cs="宋体"/>
                <w:b/>
                <w:bCs/>
                <w:sz w:val="21"/>
                <w:szCs w:val="21"/>
                <w:lang w:eastAsia="zh-CN" w:bidi="ar"/>
              </w:rPr>
              <w:t>★关于违约责任要求</w:t>
            </w:r>
          </w:p>
        </w:tc>
        <w:tc>
          <w:tcPr>
            <w:tcW w:w="7368" w:type="dxa"/>
            <w:vAlign w:val="center"/>
          </w:tcPr>
          <w:p w14:paraId="2B9A799F">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7.1 由于中标人的原因未能按时供货的，每迟一天支付合同总额的0.05%违约金，累计不超过20%。如超过供货期30天，采购人有权视情况终止采购合同并通过法律程序对供应商进行索赔。</w:t>
            </w:r>
          </w:p>
        </w:tc>
      </w:tr>
      <w:tr w14:paraId="774F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671E9C52">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657197EA">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0B1FFB0E">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7.2 中标人所提供的服务及所交付的产品品种、型号、规格、质量不符合同规定标准的，采购人有权拒绝收货且无需承担任何责任，同时采购人有权要求中标人限期重新供货或解除采购合同，由此造成的一切损失由中标人承担。</w:t>
            </w:r>
          </w:p>
        </w:tc>
      </w:tr>
      <w:tr w14:paraId="0EB1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38E5DA00">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14EE1EC3">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75CC9917">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7.3 保修期内，设备（包括配件、附件、软件）发生故障，中标人没有按售后要求完成维保工作的，每超过一天应向采购人支付合同价款总额0.05%的违约金；若中标人逾期15日未完成维保时，采购人有权另寻第三方解决，由此产生的费用由中标人承担；同时，采购人有权要求中标人支付合同价款总额30%的违约金。违约金不足以弥补采购人损失的，中标人还需继续承担赔偿责任。</w:t>
            </w:r>
          </w:p>
        </w:tc>
      </w:tr>
      <w:tr w14:paraId="2636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23929323">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3397A687">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5AF1659E">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7.4 采购人有权对中标人就本项目要求提供的相关证明资料（原件）进行审查。中标人提供虚假资料被查实的，则可能面临被取消本项目中标资格、列入不良行为记录名单和三年内禁止参与政府采购活动的风险，另外，中标人应当向采购人赔偿合同总金额30%的违约金。违约金不足以弥补采购人损失的，中标人应当继续赔偿。由此造成的一切损失由中标人承担。</w:t>
            </w:r>
          </w:p>
        </w:tc>
      </w:tr>
      <w:tr w14:paraId="08A0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3A3BB7D1">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0A40D82B">
            <w:pPr>
              <w:widowControl/>
              <w:jc w:val="center"/>
              <w:rPr>
                <w:rFonts w:hint="eastAsia" w:ascii="宋体" w:hAnsi="宋体" w:eastAsia="宋体" w:cs="宋体"/>
                <w:b/>
                <w:bCs/>
                <w:color w:val="FF0000"/>
                <w:kern w:val="2"/>
                <w:sz w:val="21"/>
                <w:szCs w:val="21"/>
                <w:lang w:eastAsia="zh-CN"/>
              </w:rPr>
            </w:pPr>
          </w:p>
        </w:tc>
        <w:tc>
          <w:tcPr>
            <w:tcW w:w="7368" w:type="dxa"/>
            <w:vAlign w:val="center"/>
          </w:tcPr>
          <w:p w14:paraId="49D8E428">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7.5 其他由违法导致违约的行为按相关法律法规执行。</w:t>
            </w:r>
          </w:p>
        </w:tc>
      </w:tr>
      <w:tr w14:paraId="5621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restart"/>
            <w:vAlign w:val="center"/>
          </w:tcPr>
          <w:p w14:paraId="323DED35">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w:t>
            </w:r>
          </w:p>
        </w:tc>
        <w:tc>
          <w:tcPr>
            <w:tcW w:w="1350" w:type="dxa"/>
            <w:vMerge w:val="restart"/>
            <w:vAlign w:val="center"/>
          </w:tcPr>
          <w:p w14:paraId="663C7465">
            <w:pPr>
              <w:widowControl/>
              <w:jc w:val="center"/>
              <w:textAlignment w:val="center"/>
              <w:rPr>
                <w:rFonts w:hint="eastAsia" w:ascii="宋体" w:hAnsi="宋体" w:eastAsia="宋体" w:cs="宋体"/>
                <w:b/>
                <w:bCs/>
                <w:color w:val="FF0000"/>
                <w:kern w:val="2"/>
                <w:sz w:val="21"/>
                <w:szCs w:val="21"/>
                <w:lang w:eastAsia="zh-CN"/>
              </w:rPr>
            </w:pPr>
            <w:r>
              <w:rPr>
                <w:rFonts w:hint="eastAsia" w:ascii="宋体" w:hAnsi="宋体" w:eastAsia="宋体" w:cs="宋体"/>
                <w:b/>
                <w:bCs/>
                <w:sz w:val="21"/>
                <w:szCs w:val="21"/>
                <w:lang w:eastAsia="zh-CN" w:bidi="ar"/>
              </w:rPr>
              <w:t>★关于质量及知识产权要求</w:t>
            </w:r>
          </w:p>
        </w:tc>
        <w:tc>
          <w:tcPr>
            <w:tcW w:w="7368" w:type="dxa"/>
            <w:vAlign w:val="center"/>
          </w:tcPr>
          <w:p w14:paraId="62B5073E">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8.1 中标人提供完好、全新的原包装产品（包括零配件），随机技术资料齐全。产品符合国家质量检测标准，必须具有生产日期、厂名、厂址、产品合格证等。</w:t>
            </w:r>
          </w:p>
        </w:tc>
      </w:tr>
      <w:tr w14:paraId="3D0F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32AD7655">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4ACEF85E">
            <w:pPr>
              <w:widowControl/>
              <w:jc w:val="center"/>
              <w:rPr>
                <w:rFonts w:hint="eastAsia" w:ascii="宋体" w:hAnsi="宋体" w:eastAsia="宋体" w:cs="宋体"/>
                <w:b/>
                <w:bCs/>
                <w:color w:val="000000"/>
                <w:kern w:val="2"/>
                <w:sz w:val="21"/>
                <w:szCs w:val="21"/>
                <w:lang w:eastAsia="zh-CN"/>
              </w:rPr>
            </w:pPr>
          </w:p>
        </w:tc>
        <w:tc>
          <w:tcPr>
            <w:tcW w:w="7368" w:type="dxa"/>
            <w:vAlign w:val="center"/>
          </w:tcPr>
          <w:p w14:paraId="0DFF2E76">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8.2 中标人应当保证其交付给采购人的货物或服务不侵犯任何第三人的合法权益。如发生第三人指控采购人实施的技术侵权的，中标人应当承担全部责任。采购人在使用该货物或服务的任何一部分时，免受第三方提出的侵犯其专利权、商标权或工业设计权等知识产权的起诉或司法干预。如果发生上述起诉或干预，则其法律责任均由中标人负责。</w:t>
            </w:r>
          </w:p>
        </w:tc>
      </w:tr>
      <w:tr w14:paraId="4955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03" w:type="dxa"/>
            <w:vMerge w:val="continue"/>
            <w:vAlign w:val="center"/>
          </w:tcPr>
          <w:p w14:paraId="604A5897">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1D8AB5AF">
            <w:pPr>
              <w:widowControl/>
              <w:jc w:val="center"/>
              <w:rPr>
                <w:rFonts w:hint="eastAsia" w:ascii="宋体" w:hAnsi="宋体" w:eastAsia="宋体" w:cs="宋体"/>
                <w:b/>
                <w:bCs/>
                <w:color w:val="000000"/>
                <w:kern w:val="2"/>
                <w:sz w:val="21"/>
                <w:szCs w:val="21"/>
                <w:lang w:eastAsia="zh-CN"/>
              </w:rPr>
            </w:pPr>
          </w:p>
        </w:tc>
        <w:tc>
          <w:tcPr>
            <w:tcW w:w="7368" w:type="dxa"/>
            <w:vAlign w:val="center"/>
          </w:tcPr>
          <w:p w14:paraId="0FDB1669">
            <w:pPr>
              <w:widowControl w:val="0"/>
              <w:autoSpaceDE w:val="0"/>
              <w:autoSpaceDN w:val="0"/>
              <w:adjustRightInd w:val="0"/>
              <w:jc w:val="left"/>
              <w:textAlignment w:val="baseline"/>
              <w:rPr>
                <w:rFonts w:ascii="宋体" w:eastAsia="宋体"/>
                <w:sz w:val="34"/>
                <w:szCs w:val="20"/>
                <w:lang w:eastAsia="zh-CN"/>
              </w:rPr>
            </w:pPr>
            <w:r>
              <w:rPr>
                <w:rFonts w:hint="eastAsia" w:ascii="宋体" w:hAnsi="宋体" w:eastAsia="宋体" w:cs="宋体"/>
                <w:color w:val="000000"/>
                <w:sz w:val="21"/>
                <w:szCs w:val="21"/>
                <w:lang w:eastAsia="zh-CN" w:bidi="ar"/>
              </w:rPr>
              <w:t>8.3 定制开发的货物或服务，所产生的研究开发成果及其相关知识产权权利归属采购人，采购人享有知识产权，知识产权取得后的使用和有关利益分配归采购人所有。</w:t>
            </w:r>
            <w:r>
              <w:rPr>
                <w:rFonts w:hint="eastAsia" w:ascii="宋体" w:hAnsi="宋体" w:eastAsia="宋体" w:cs="宋体"/>
                <w:sz w:val="21"/>
                <w:szCs w:val="21"/>
                <w:lang w:eastAsia="zh-CN"/>
              </w:rPr>
              <w:t>若因为知识产权纠纷造成的一切损害赔偿及损失由投标人承担，包括但不限于实际损失、预期损失和对方要求赔偿损失及支出的律师费、交通费和差旅费等。</w:t>
            </w:r>
          </w:p>
        </w:tc>
      </w:tr>
      <w:tr w14:paraId="4AAF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763B9FC3">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5FB836F3">
            <w:pPr>
              <w:widowControl/>
              <w:jc w:val="center"/>
              <w:rPr>
                <w:rFonts w:hint="eastAsia" w:ascii="宋体" w:hAnsi="宋体" w:eastAsia="宋体" w:cs="宋体"/>
                <w:b/>
                <w:bCs/>
                <w:color w:val="000000"/>
                <w:kern w:val="2"/>
                <w:sz w:val="21"/>
                <w:szCs w:val="21"/>
                <w:lang w:eastAsia="zh-CN"/>
              </w:rPr>
            </w:pPr>
          </w:p>
        </w:tc>
        <w:tc>
          <w:tcPr>
            <w:tcW w:w="7368" w:type="dxa"/>
            <w:vAlign w:val="center"/>
          </w:tcPr>
          <w:p w14:paraId="2ABE476E">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8.4 中标人保证所提供的货物或服务为中标人通过合法来源依法取得，如应采购人要求，中标人有义务向采购人提供相关证明材料。</w:t>
            </w:r>
          </w:p>
        </w:tc>
      </w:tr>
      <w:tr w14:paraId="2DEF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Align w:val="center"/>
          </w:tcPr>
          <w:p w14:paraId="1497CB7C">
            <w:pPr>
              <w:widowControl/>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9</w:t>
            </w:r>
          </w:p>
        </w:tc>
        <w:tc>
          <w:tcPr>
            <w:tcW w:w="1350" w:type="dxa"/>
            <w:vAlign w:val="center"/>
          </w:tcPr>
          <w:p w14:paraId="11E798B9">
            <w:pPr>
              <w:widowControl w:val="0"/>
              <w:jc w:val="center"/>
              <w:rPr>
                <w:rFonts w:hint="eastAsia" w:ascii="宋体" w:hAnsi="宋体" w:eastAsia="宋体" w:cs="宋体"/>
                <w:bCs/>
                <w:kern w:val="2"/>
                <w:sz w:val="21"/>
                <w:szCs w:val="21"/>
                <w:lang w:eastAsia="zh-CN"/>
              </w:rPr>
            </w:pPr>
            <w:r>
              <w:rPr>
                <w:rFonts w:hint="eastAsia" w:ascii="宋体" w:hAnsi="宋体" w:eastAsia="宋体" w:cs="宋体"/>
                <w:b/>
                <w:kern w:val="2"/>
                <w:sz w:val="21"/>
                <w:szCs w:val="21"/>
                <w:lang w:eastAsia="zh-CN"/>
              </w:rPr>
              <w:t>★项目（产品）要求</w:t>
            </w:r>
          </w:p>
        </w:tc>
        <w:tc>
          <w:tcPr>
            <w:tcW w:w="7368" w:type="dxa"/>
          </w:tcPr>
          <w:p w14:paraId="4A902D8A">
            <w:pPr>
              <w:widowControl w:val="0"/>
              <w:jc w:val="both"/>
              <w:rPr>
                <w:rFonts w:hint="eastAsia" w:ascii="宋体" w:hAnsi="宋体" w:eastAsia="宋体" w:cs="宋体"/>
                <w:bCs/>
                <w:sz w:val="21"/>
                <w:szCs w:val="21"/>
                <w:lang w:eastAsia="zh-CN" w:bidi="ar"/>
              </w:rPr>
            </w:pPr>
            <w:r>
              <w:rPr>
                <w:rFonts w:hint="eastAsia" w:ascii="宋体" w:hAnsi="宋体" w:eastAsia="宋体" w:cs="宋体"/>
                <w:b/>
                <w:color w:val="FF0000"/>
                <w:kern w:val="2"/>
                <w:sz w:val="21"/>
                <w:szCs w:val="21"/>
                <w:lang w:eastAsia="zh-CN"/>
              </w:rPr>
              <w:t>9.1投标人所投产品（称重轮椅除外）具备相关主管部门要求的认证资料：所投产品（护理病床、诊疗床、儿科病床、轮椅、转运车、可折叠助行器）为第一类医疗器械的，提供监督管理部门签发的有效的《医疗器械备案凭证》扫描件；所投产品（气垫床垫、静态防压疮床垫）为第二、三类医疗器械的，提供监督管理部门签发的涵盖所投产品的《医疗器械注册证》(有效期内)扫描件。</w:t>
            </w:r>
          </w:p>
        </w:tc>
      </w:tr>
      <w:tr w14:paraId="5265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restart"/>
            <w:vAlign w:val="center"/>
          </w:tcPr>
          <w:p w14:paraId="2ABBA373">
            <w:pPr>
              <w:widowControl/>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10</w:t>
            </w:r>
          </w:p>
        </w:tc>
        <w:tc>
          <w:tcPr>
            <w:tcW w:w="1350" w:type="dxa"/>
            <w:vMerge w:val="restart"/>
            <w:vAlign w:val="center"/>
          </w:tcPr>
          <w:p w14:paraId="4830415E">
            <w:pPr>
              <w:widowControl w:val="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★其他</w:t>
            </w:r>
          </w:p>
        </w:tc>
        <w:tc>
          <w:tcPr>
            <w:tcW w:w="7368" w:type="dxa"/>
          </w:tcPr>
          <w:p w14:paraId="0EB686AC">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10.1中标人所提供的产品须支持物联网协议，便于与医院信息系统的对接，免费开放数据交换接口，并提供免费技术支持，并保证所使用软件的合法性，任何知识产权纠纷与采购人无关。</w:t>
            </w:r>
          </w:p>
        </w:tc>
      </w:tr>
      <w:tr w14:paraId="64BE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7E00EEBC">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223E8428">
            <w:pPr>
              <w:widowControl w:val="0"/>
              <w:jc w:val="center"/>
              <w:rPr>
                <w:rFonts w:hint="eastAsia" w:ascii="宋体" w:hAnsi="宋体" w:eastAsia="宋体" w:cs="宋体"/>
                <w:b/>
                <w:kern w:val="2"/>
                <w:sz w:val="21"/>
                <w:szCs w:val="21"/>
                <w:lang w:eastAsia="zh-CN"/>
              </w:rPr>
            </w:pPr>
          </w:p>
        </w:tc>
        <w:tc>
          <w:tcPr>
            <w:tcW w:w="7368" w:type="dxa"/>
          </w:tcPr>
          <w:p w14:paraId="41BF312D">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10.2本次标的若包含软件服务，需本地化部署，并严格遵照《信息安全法》等相关法律法规，符合网络安全管理相关规定，所有数据未经采购方允许，不得向第三方私自泄漏。</w:t>
            </w:r>
          </w:p>
        </w:tc>
      </w:tr>
      <w:tr w14:paraId="070F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5FE61B01">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40C86526">
            <w:pPr>
              <w:widowControl w:val="0"/>
              <w:jc w:val="center"/>
              <w:rPr>
                <w:rFonts w:hint="eastAsia" w:ascii="宋体" w:hAnsi="宋体" w:eastAsia="宋体" w:cs="宋体"/>
                <w:b/>
                <w:kern w:val="2"/>
                <w:sz w:val="21"/>
                <w:szCs w:val="21"/>
                <w:lang w:eastAsia="zh-CN"/>
              </w:rPr>
            </w:pPr>
          </w:p>
        </w:tc>
        <w:tc>
          <w:tcPr>
            <w:tcW w:w="7368" w:type="dxa"/>
          </w:tcPr>
          <w:p w14:paraId="5C640204">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10.3中标人在交付时需配套按数量1:1提供高频RFID标签（防磁耐用）。</w:t>
            </w:r>
          </w:p>
        </w:tc>
      </w:tr>
      <w:tr w14:paraId="050D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6FFCCEF4">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60325A31">
            <w:pPr>
              <w:widowControl w:val="0"/>
              <w:jc w:val="center"/>
              <w:rPr>
                <w:rFonts w:hint="eastAsia" w:ascii="宋体" w:hAnsi="宋体" w:eastAsia="宋体" w:cs="宋体"/>
                <w:b/>
                <w:kern w:val="2"/>
                <w:sz w:val="21"/>
                <w:szCs w:val="21"/>
                <w:lang w:eastAsia="zh-CN"/>
              </w:rPr>
            </w:pPr>
          </w:p>
        </w:tc>
        <w:tc>
          <w:tcPr>
            <w:tcW w:w="7368" w:type="dxa"/>
          </w:tcPr>
          <w:p w14:paraId="7F7E52F4">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10.4中标人所提供的设备，若该设备配有专用的配套医用耗材，则此类耗材必须通过深圳市医用耗材阳光交易和监管平台进行交易，且供货价格必须遵循阳光平台所公布的最低成交价。</w:t>
            </w:r>
          </w:p>
        </w:tc>
      </w:tr>
      <w:tr w14:paraId="60E6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vAlign w:val="center"/>
          </w:tcPr>
          <w:p w14:paraId="1D3A7B84">
            <w:pPr>
              <w:widowControl/>
              <w:jc w:val="center"/>
              <w:rPr>
                <w:rFonts w:hint="eastAsia" w:ascii="宋体" w:hAnsi="宋体" w:eastAsia="宋体" w:cs="宋体"/>
                <w:color w:val="000000"/>
                <w:kern w:val="2"/>
                <w:sz w:val="21"/>
                <w:szCs w:val="21"/>
                <w:lang w:eastAsia="zh-CN"/>
              </w:rPr>
            </w:pPr>
          </w:p>
        </w:tc>
        <w:tc>
          <w:tcPr>
            <w:tcW w:w="1350" w:type="dxa"/>
            <w:vMerge w:val="continue"/>
            <w:vAlign w:val="center"/>
          </w:tcPr>
          <w:p w14:paraId="36F448F3">
            <w:pPr>
              <w:widowControl w:val="0"/>
              <w:tabs>
                <w:tab w:val="left" w:pos="267"/>
              </w:tabs>
              <w:jc w:val="left"/>
              <w:rPr>
                <w:rFonts w:hint="eastAsia" w:ascii="宋体" w:hAnsi="宋体" w:eastAsia="宋体" w:cs="宋体"/>
                <w:b/>
                <w:kern w:val="2"/>
                <w:sz w:val="21"/>
                <w:szCs w:val="21"/>
                <w:lang w:eastAsia="zh-CN"/>
              </w:rPr>
            </w:pPr>
          </w:p>
        </w:tc>
        <w:tc>
          <w:tcPr>
            <w:tcW w:w="7368" w:type="dxa"/>
          </w:tcPr>
          <w:p w14:paraId="5E4E95D7">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10.5.履约保证金：中标人在合同生效后10个日历日内提供履约保证金。履约保证金为合同金额10%（中小企业为合同金额5%的履约保证金）。供应商自主选择支票、汇票、本票、保函等非现金缴纳或提交。履约保证金在中标人履约完成合同的约定权利义务事项且无违约情形前提下在免费维保期到期之日起30日内退还，不计利息。采购人逾期退还履约保证金的，向中标人每日偿付履约保证金的万分之五/日的利息。【若中标供应商为中小企业，在确认中标后参照《中小企业声明函》格式自行出具《声明函》提供给采购人作为中小企业证明材料。】</w:t>
            </w:r>
          </w:p>
        </w:tc>
      </w:tr>
      <w:bookmarkEnd w:id="38"/>
    </w:tbl>
    <w:p w14:paraId="5461D9AB">
      <w:pPr>
        <w:widowControl w:val="0"/>
        <w:jc w:val="both"/>
        <w:rPr>
          <w:rFonts w:hint="eastAsia" w:eastAsia="宋体"/>
          <w:kern w:val="2"/>
          <w:sz w:val="21"/>
          <w:lang w:eastAsia="zh-CN"/>
        </w:rPr>
      </w:pPr>
    </w:p>
    <w:p w14:paraId="34FE73DF">
      <w:pPr>
        <w:keepNext/>
        <w:keepLines/>
        <w:widowControl w:val="0"/>
        <w:adjustRightInd w:val="0"/>
        <w:spacing w:before="156" w:beforeLines="50" w:after="156" w:afterLines="50" w:line="240" w:lineRule="auto"/>
        <w:jc w:val="center"/>
        <w:textAlignment w:val="baseline"/>
        <w:outlineLvl w:val="1"/>
        <w:rPr>
          <w:rFonts w:hint="eastAsia" w:ascii="宋体" w:hAnsi="宋体" w:eastAsia="宋体"/>
          <w:b/>
          <w:sz w:val="28"/>
          <w:szCs w:val="28"/>
          <w:lang w:eastAsia="zh-CN"/>
        </w:rPr>
      </w:pPr>
      <w:r>
        <w:rPr>
          <w:rFonts w:hint="eastAsia" w:ascii="宋体" w:hAnsi="宋体" w:eastAsia="宋体"/>
          <w:b/>
          <w:sz w:val="28"/>
          <w:szCs w:val="28"/>
          <w:lang w:eastAsia="zh-CN"/>
        </w:rPr>
        <w:t>七、其他重要条款</w:t>
      </w:r>
    </w:p>
    <w:p w14:paraId="2A2CFD30">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C480B1D">
      <w:pPr>
        <w:widowControl w:val="0"/>
        <w:spacing w:before="78" w:beforeLines="25" w:after="78" w:afterLines="25"/>
        <w:ind w:firstLine="392" w:firstLineChars="187"/>
        <w:jc w:val="both"/>
        <w:rPr>
          <w:rFonts w:hint="eastAsia"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、投标人应充分了解项目的位置、情况、道路及任何其它足以影响投标报价的情况，任何因忽视或误解项目情况而导致的索赔或服务期限延长申请将不获批准。</w:t>
      </w:r>
    </w:p>
    <w:p w14:paraId="73ABB6D3">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5B865C05">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4、除政府采购合同继续履行将损害国家利益和社会公共利益外，双方当事人不得擅自变更、中止或者终止合同。</w:t>
      </w:r>
    </w:p>
    <w:p w14:paraId="123727D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1EAD91E6">
      <w:pPr>
        <w:widowControl w:val="0"/>
        <w:jc w:val="both"/>
        <w:rPr>
          <w:rFonts w:eastAsia="宋体"/>
          <w:kern w:val="2"/>
          <w:sz w:val="21"/>
          <w:lang w:eastAsia="zh-CN"/>
        </w:rPr>
      </w:pPr>
      <w:r>
        <w:rPr>
          <w:rFonts w:hint="eastAsia" w:eastAsia="宋体"/>
          <w:kern w:val="2"/>
          <w:sz w:val="21"/>
          <w:lang w:eastAsia="zh-CN"/>
        </w:rPr>
        <w:br w:type="page"/>
      </w:r>
    </w:p>
    <w:p w14:paraId="292D11EB">
      <w:pPr>
        <w:keepNext/>
        <w:keepLines/>
        <w:widowControl w:val="0"/>
        <w:adjustRightInd w:val="0"/>
        <w:spacing w:before="260" w:after="260" w:line="240" w:lineRule="auto"/>
        <w:jc w:val="center"/>
        <w:textAlignment w:val="baseline"/>
        <w:outlineLvl w:val="1"/>
        <w:rPr>
          <w:rFonts w:ascii="宋体" w:hAnsi="宋体" w:eastAsia="宋体"/>
          <w:bCs/>
          <w:sz w:val="28"/>
          <w:szCs w:val="28"/>
          <w:lang w:eastAsia="zh-CN"/>
        </w:rPr>
      </w:pPr>
      <w:r>
        <w:rPr>
          <w:rFonts w:hint="eastAsia" w:ascii="宋体" w:hAnsi="宋体" w:eastAsia="宋体"/>
          <w:bCs/>
          <w:sz w:val="28"/>
          <w:szCs w:val="28"/>
          <w:lang w:eastAsia="zh-CN"/>
        </w:rPr>
        <w:t>第四章 投标文件组成要求及格式</w:t>
      </w:r>
    </w:p>
    <w:p w14:paraId="08F5D739">
      <w:pPr>
        <w:widowControl w:val="0"/>
        <w:jc w:val="both"/>
        <w:rPr>
          <w:rFonts w:ascii="黑体" w:eastAsia="黑体"/>
          <w:bCs/>
          <w:kern w:val="2"/>
          <w:lang w:eastAsia="zh-CN"/>
        </w:rPr>
      </w:pPr>
      <w:r>
        <w:rPr>
          <w:rFonts w:hint="eastAsia" w:ascii="黑体" w:eastAsia="黑体"/>
          <w:bCs/>
          <w:kern w:val="2"/>
          <w:lang w:eastAsia="zh-CN"/>
        </w:rPr>
        <w:t>特别提醒：</w:t>
      </w:r>
    </w:p>
    <w:p w14:paraId="48200530">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1.投标人在编辑投标文件时，在投标文件目录中属于本节点内容的需在对应节点中填写，填写到其他节点后果由供应商自行承担。</w:t>
      </w:r>
    </w:p>
    <w:p w14:paraId="7224748F">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2.投标文件均不对外公开。</w:t>
      </w:r>
    </w:p>
    <w:p w14:paraId="4BD683C0">
      <w:pPr>
        <w:widowControl w:val="0"/>
        <w:tabs>
          <w:tab w:val="left" w:pos="1470"/>
        </w:tabs>
        <w:snapToGrid w:val="0"/>
        <w:spacing w:line="320" w:lineRule="atLeast"/>
        <w:ind w:firstLine="482" w:firstLineChars="200"/>
        <w:jc w:val="both"/>
        <w:rPr>
          <w:rFonts w:hint="eastAsia" w:ascii="宋体" w:hAnsi="宋体" w:eastAsia="宋体" w:cs="宋体"/>
          <w:b/>
          <w:color w:val="FF0000"/>
          <w:kern w:val="2"/>
          <w:lang w:eastAsia="zh-CN"/>
        </w:rPr>
      </w:pPr>
    </w:p>
    <w:p w14:paraId="1AC96F28">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w:t>
      </w:r>
    </w:p>
    <w:p w14:paraId="64DAA557">
      <w:pPr>
        <w:widowControl w:val="0"/>
        <w:ind w:firstLine="480" w:firstLineChars="200"/>
        <w:jc w:val="both"/>
        <w:outlineLvl w:val="0"/>
        <w:rPr>
          <w:rFonts w:ascii="宋体" w:hAnsi="宋体" w:eastAsia="宋体"/>
          <w:kern w:val="2"/>
          <w:lang w:eastAsia="zh-CN"/>
        </w:rPr>
      </w:pPr>
      <w:r>
        <w:rPr>
          <w:rFonts w:hint="eastAsia" w:ascii="宋体" w:hAnsi="宋体" w:eastAsia="宋体"/>
          <w:kern w:val="2"/>
          <w:lang w:eastAsia="zh-CN"/>
        </w:rPr>
        <w:t>投标文件主要包括以下内容：</w:t>
      </w:r>
    </w:p>
    <w:p w14:paraId="6F7D3679">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（1）投标函</w:t>
      </w:r>
    </w:p>
    <w:p w14:paraId="3922BF89">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（2）采购投标及履约承诺函</w:t>
      </w:r>
    </w:p>
    <w:p w14:paraId="0AE3D5FC">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（3）投标人情况及资格证明文件</w:t>
      </w:r>
    </w:p>
    <w:p w14:paraId="558377C3">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（4）项目详细报价</w:t>
      </w:r>
    </w:p>
    <w:p w14:paraId="440AA2B4">
      <w:pPr>
        <w:widowControl w:val="0"/>
        <w:ind w:firstLine="840" w:firstLineChars="400"/>
        <w:jc w:val="both"/>
        <w:rPr>
          <w:rFonts w:hint="eastAsia" w:eastAsia="宋体"/>
          <w:b/>
          <w:bCs/>
          <w:kern w:val="2"/>
          <w:sz w:val="21"/>
          <w:szCs w:val="21"/>
          <w:lang w:eastAsia="zh-CN"/>
        </w:rPr>
      </w:pPr>
      <w:r>
        <w:rPr>
          <w:rFonts w:hint="eastAsia" w:eastAsia="宋体"/>
          <w:kern w:val="2"/>
          <w:sz w:val="21"/>
          <w:szCs w:val="21"/>
          <w:lang w:eastAsia="zh-CN"/>
        </w:rPr>
        <w:t>（5）供应商基本情况表</w:t>
      </w:r>
      <w:r>
        <w:rPr>
          <w:rFonts w:hint="eastAsia" w:eastAsia="宋体"/>
          <w:b/>
          <w:bCs/>
          <w:color w:val="FF0000"/>
          <w:kern w:val="2"/>
          <w:sz w:val="21"/>
          <w:szCs w:val="21"/>
          <w:lang w:eastAsia="zh-CN"/>
        </w:rPr>
        <w:t>（须加盖投标单位公章）</w:t>
      </w:r>
    </w:p>
    <w:p w14:paraId="52CE351E">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（6）法定代表人（负责人）证明书</w:t>
      </w:r>
    </w:p>
    <w:p w14:paraId="4D44BF64">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（7）投标文件签署授权委托书</w:t>
      </w:r>
    </w:p>
    <w:p w14:paraId="033F6A7F">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（8）实质性条款响应情况表</w:t>
      </w:r>
    </w:p>
    <w:p w14:paraId="3E5EE394">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（9）技术要求偏离表</w:t>
      </w:r>
    </w:p>
    <w:p w14:paraId="4F8EDC15">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（10）商务要求偏离表</w:t>
      </w:r>
    </w:p>
    <w:p w14:paraId="26F46976">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（11）</w:t>
      </w:r>
      <w:r>
        <w:rPr>
          <w:rFonts w:ascii="宋体" w:hAnsi="宋体" w:eastAsia="宋体"/>
          <w:kern w:val="2"/>
          <w:sz w:val="21"/>
          <w:szCs w:val="21"/>
          <w:lang w:eastAsia="zh-CN"/>
        </w:rPr>
        <w:t>售后服务方案</w:t>
      </w:r>
      <w:r>
        <w:rPr>
          <w:rFonts w:hint="eastAsia" w:eastAsia="宋体"/>
          <w:kern w:val="2"/>
          <w:sz w:val="21"/>
          <w:szCs w:val="21"/>
          <w:lang w:eastAsia="zh-CN"/>
        </w:rPr>
        <w:t>（格式自定）</w:t>
      </w:r>
    </w:p>
    <w:p w14:paraId="60847275">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（12）投标人同类业绩</w:t>
      </w:r>
    </w:p>
    <w:p w14:paraId="206FADD1">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（13）</w:t>
      </w:r>
      <w:r>
        <w:rPr>
          <w:rFonts w:hint="eastAsia" w:ascii="宋体" w:hAnsi="宋体" w:eastAsia="宋体"/>
          <w:kern w:val="2"/>
          <w:sz w:val="21"/>
          <w:szCs w:val="21"/>
          <w:lang w:eastAsia="zh-CN"/>
        </w:rPr>
        <w:t>履约评价</w:t>
      </w:r>
      <w:r>
        <w:rPr>
          <w:rFonts w:hint="eastAsia" w:eastAsia="宋体"/>
          <w:kern w:val="2"/>
          <w:sz w:val="21"/>
          <w:szCs w:val="21"/>
          <w:lang w:eastAsia="zh-CN"/>
        </w:rPr>
        <w:t>（格式自定）</w:t>
      </w:r>
    </w:p>
    <w:p w14:paraId="1592A76E">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（14）投标人认为需要加以说明的其他内容</w:t>
      </w:r>
    </w:p>
    <w:p w14:paraId="22CA3403">
      <w:pPr>
        <w:widowControl w:val="0"/>
        <w:ind w:firstLine="426" w:firstLineChars="202"/>
        <w:jc w:val="both"/>
        <w:rPr>
          <w:rFonts w:hint="eastAsia" w:ascii="宋体" w:hAnsi="宋体" w:eastAsia="宋体"/>
          <w:b/>
          <w:kern w:val="2"/>
          <w:sz w:val="21"/>
          <w:szCs w:val="21"/>
          <w:lang w:eastAsia="zh-CN"/>
        </w:rPr>
      </w:pPr>
    </w:p>
    <w:p w14:paraId="42E5B2BB">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14:paraId="13485AB9">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50C13128">
      <w:pPr>
        <w:widowControl w:val="0"/>
        <w:jc w:val="left"/>
        <w:rPr>
          <w:rFonts w:ascii="宋体" w:hAnsi="宋体" w:eastAsia="宋体"/>
          <w:b/>
          <w:color w:val="FF0000"/>
          <w:kern w:val="2"/>
          <w:sz w:val="28"/>
          <w:szCs w:val="28"/>
          <w:lang w:eastAsia="zh-CN"/>
        </w:rPr>
      </w:pPr>
      <w:r>
        <w:rPr>
          <w:rFonts w:hint="eastAsia" w:ascii="宋体" w:hAnsi="宋体" w:eastAsia="宋体"/>
          <w:b/>
          <w:color w:val="FF0000"/>
          <w:kern w:val="2"/>
          <w:sz w:val="36"/>
          <w:szCs w:val="36"/>
          <w:lang w:eastAsia="zh-CN"/>
        </w:rPr>
        <w:br w:type="page"/>
      </w:r>
      <w:r>
        <w:rPr>
          <w:rFonts w:hint="eastAsia" w:ascii="宋体" w:hAnsi="宋体" w:eastAsia="宋体"/>
          <w:b/>
          <w:color w:val="FF0000"/>
          <w:kern w:val="2"/>
          <w:sz w:val="28"/>
          <w:szCs w:val="28"/>
          <w:lang w:eastAsia="zh-CN"/>
        </w:rPr>
        <w:t>投标文件</w:t>
      </w:r>
    </w:p>
    <w:p w14:paraId="081DB7DE">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一、投标函</w:t>
      </w:r>
    </w:p>
    <w:p w14:paraId="1C1872C1">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u w:val="single"/>
          <w:lang w:eastAsia="zh-CN"/>
        </w:rPr>
        <w:t>深圳公共资源交易中心（深圳交易集团有限公司政府采购业务分公司）</w:t>
      </w:r>
    </w:p>
    <w:p w14:paraId="76B686DC">
      <w:pPr>
        <w:widowControl w:val="0"/>
        <w:ind w:firstLine="420" w:firstLineChars="200"/>
        <w:jc w:val="both"/>
        <w:rPr>
          <w:rFonts w:ascii="宋体" w:hAnsi="宋体" w:eastAsia="宋体"/>
          <w:kern w:val="2"/>
          <w:sz w:val="21"/>
          <w:szCs w:val="21"/>
          <w:lang w:eastAsia="zh-CN"/>
        </w:rPr>
      </w:pPr>
      <w:bookmarkStart w:id="39" w:name="_Hlk73818812"/>
      <w:r>
        <w:rPr>
          <w:rFonts w:hint="eastAsia" w:eastAsia="宋体"/>
          <w:kern w:val="2"/>
          <w:sz w:val="21"/>
          <w:szCs w:val="21"/>
          <w:lang w:eastAsia="zh-CN"/>
        </w:rPr>
        <w:t>1、根据已收到贵单位的项目编号为</w:t>
      </w:r>
      <w:r>
        <w:rPr>
          <w:rFonts w:hint="eastAsia" w:eastAsia="宋体"/>
          <w:b/>
          <w:bCs/>
          <w:color w:val="1D41D5"/>
          <w:kern w:val="2"/>
          <w:sz w:val="21"/>
          <w:szCs w:val="21"/>
          <w:u w:val="single"/>
          <w:lang w:eastAsia="zh-CN"/>
        </w:rPr>
        <w:t>SZZXCG-2025-00405</w:t>
      </w:r>
      <w:r>
        <w:rPr>
          <w:rFonts w:hint="eastAsia" w:eastAsia="宋体"/>
          <w:kern w:val="2"/>
          <w:sz w:val="21"/>
          <w:szCs w:val="21"/>
          <w:lang w:eastAsia="zh-CN"/>
        </w:rPr>
        <w:t>的</w:t>
      </w:r>
      <w:r>
        <w:rPr>
          <w:rFonts w:hint="eastAsia" w:eastAsia="宋体"/>
          <w:b/>
          <w:bCs/>
          <w:color w:val="1D41D5"/>
          <w:kern w:val="2"/>
          <w:sz w:val="21"/>
          <w:szCs w:val="21"/>
          <w:u w:val="single"/>
          <w:lang w:eastAsia="zh-CN"/>
        </w:rPr>
        <w:t>香港中文大学（深圳）医院病床类设备采购项目</w:t>
      </w:r>
      <w:r>
        <w:rPr>
          <w:rFonts w:hint="eastAsia" w:eastAsia="宋体"/>
          <w:kern w:val="2"/>
          <w:sz w:val="21"/>
          <w:szCs w:val="21"/>
          <w:u w:val="single"/>
          <w:lang w:eastAsia="zh-CN" w:bidi="ar"/>
        </w:rPr>
        <w:t>（项目名称）</w:t>
      </w:r>
      <w:r>
        <w:rPr>
          <w:rFonts w:hint="eastAsia" w:eastAsia="宋体"/>
          <w:kern w:val="2"/>
          <w:sz w:val="21"/>
          <w:szCs w:val="21"/>
          <w:lang w:eastAsia="zh-CN"/>
        </w:rPr>
        <w:t>的招标文件，遵照《深圳经济特区政府采购条例》和《深圳网上政府采购管理暂行办法》等有关规定，我单位经研究上述招标文件的专用条款及通用条款后，</w:t>
      </w:r>
      <w:bookmarkStart w:id="40" w:name="_Hlk72263588"/>
      <w:r>
        <w:rPr>
          <w:rFonts w:hint="eastAsia" w:eastAsia="宋体"/>
          <w:kern w:val="2"/>
          <w:sz w:val="21"/>
          <w:szCs w:val="21"/>
          <w:lang w:eastAsia="zh-CN"/>
        </w:rPr>
        <w:t>愿意按照招标文件要求承包上述项目并修补其任何缺陷。</w:t>
      </w:r>
      <w:bookmarkEnd w:id="40"/>
    </w:p>
    <w:p w14:paraId="3548EFCB">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2D87F24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196A046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0A1844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63CE4A78">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39"/>
    </w:p>
    <w:p w14:paraId="7A0497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14:paraId="6F7E0C97">
      <w:pPr>
        <w:widowControl w:val="0"/>
        <w:spacing w:line="360" w:lineRule="auto"/>
        <w:jc w:val="both"/>
        <w:rPr>
          <w:rFonts w:eastAsia="宋体"/>
          <w:b/>
          <w:bCs/>
          <w:kern w:val="2"/>
          <w:lang w:eastAsia="zh-CN"/>
        </w:rPr>
      </w:pPr>
    </w:p>
    <w:p w14:paraId="0D82CBBC">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36DFDD8C">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6E0720EF">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DB95B74">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14:paraId="5579CF30">
      <w:pPr>
        <w:widowControl w:val="0"/>
        <w:jc w:val="both"/>
        <w:rPr>
          <w:rFonts w:ascii="黑体" w:hAnsi="宋体" w:eastAsia="黑体"/>
          <w:kern w:val="2"/>
          <w:sz w:val="21"/>
          <w:lang w:eastAsia="zh-CN"/>
        </w:rPr>
      </w:pPr>
    </w:p>
    <w:p w14:paraId="1E52344A">
      <w:pPr>
        <w:widowControl w:val="0"/>
        <w:jc w:val="both"/>
        <w:rPr>
          <w:rFonts w:ascii="黑体" w:hAnsi="宋体" w:eastAsia="黑体"/>
          <w:kern w:val="2"/>
          <w:sz w:val="21"/>
          <w:lang w:eastAsia="zh-CN"/>
        </w:rPr>
      </w:pPr>
    </w:p>
    <w:p w14:paraId="7730C9D1">
      <w:pPr>
        <w:widowControl/>
        <w:jc w:val="center"/>
        <w:rPr>
          <w:rFonts w:ascii="黑体" w:hAnsi="宋体" w:eastAsia="黑体"/>
          <w:bCs/>
          <w:szCs w:val="32"/>
          <w:lang w:eastAsia="zh-CN"/>
        </w:rPr>
      </w:pPr>
      <w:r>
        <w:rPr>
          <w:rFonts w:ascii="黑体" w:eastAsia="黑体"/>
          <w:b/>
          <w:lang w:eastAsia="zh-CN"/>
        </w:rPr>
        <w:br w:type="page"/>
      </w:r>
      <w:r>
        <w:rPr>
          <w:rFonts w:hint="eastAsia" w:ascii="黑体" w:hAnsi="宋体" w:eastAsia="黑体"/>
          <w:bCs/>
          <w:szCs w:val="32"/>
          <w:lang w:eastAsia="zh-CN"/>
        </w:rPr>
        <w:t>二、采购投标及履约承诺函</w:t>
      </w:r>
    </w:p>
    <w:p w14:paraId="5E17ADDE">
      <w:pPr>
        <w:widowControl w:val="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致：深圳公共资源交易中心（深圳交易集团有限公司政府采购业务分公司）</w:t>
      </w:r>
    </w:p>
    <w:p w14:paraId="0C41C2D7">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14:paraId="65DC375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14:paraId="20C8595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lang w:eastAsia="zh-CN"/>
        </w:rPr>
        <w:t>符合招标文件关于联合体及进口产品的相关资格要求。</w:t>
      </w:r>
    </w:p>
    <w:p w14:paraId="6C4CE60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14:paraId="4A93E339">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14:paraId="04C1681C">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hint="eastAsia" w:eastAsia="宋体" w:cs="宋体"/>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hint="eastAsia" w:eastAsia="宋体" w:cs="宋体"/>
          <w:color w:val="FF0000"/>
          <w:kern w:val="2"/>
          <w:sz w:val="21"/>
          <w:lang w:eastAsia="zh-CN" w:bidi="ar"/>
        </w:rPr>
        <w:t>〕</w:t>
      </w:r>
      <w:r>
        <w:rPr>
          <w:rFonts w:eastAsia="宋体"/>
          <w:color w:val="FF0000"/>
          <w:kern w:val="2"/>
          <w:sz w:val="21"/>
          <w:lang w:eastAsia="zh-CN" w:bidi="ar"/>
        </w:rPr>
        <w:t>3</w:t>
      </w:r>
      <w:r>
        <w:rPr>
          <w:rFonts w:hint="eastAsia" w:eastAsia="宋体" w:cs="宋体"/>
          <w:color w:val="FF0000"/>
          <w:kern w:val="2"/>
          <w:sz w:val="21"/>
          <w:lang w:eastAsia="zh-CN" w:bidi="ar"/>
        </w:rPr>
        <w:t>号）列明的严重违法失信行为。</w:t>
      </w:r>
    </w:p>
    <w:p w14:paraId="4416ABF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54F00E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22E524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0F5820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72E35F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14:paraId="76728D7B">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7A13F96">
      <w:pPr>
        <w:widowControl w:val="0"/>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号）要求。若所投产品涉及国家强制性标准的，所投产品应符合国家强制性标准相关要求。</w:t>
      </w:r>
    </w:p>
    <w:p w14:paraId="428D9ACF">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14:paraId="7A047949">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7C05399B">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14:paraId="42DC6B22">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5C9570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14:paraId="215CE2E8">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hint="eastAsia" w:eastAsia="宋体" w:cs="宋体"/>
          <w:color w:val="FF0000"/>
          <w:kern w:val="2"/>
          <w:sz w:val="21"/>
          <w:szCs w:val="21"/>
          <w:lang w:eastAsia="zh-CN" w:bidi="ar"/>
        </w:rPr>
        <w:t>投标人</w:t>
      </w:r>
      <w:r>
        <w:rPr>
          <w:rFonts w:hint="eastAsia" w:eastAsia="宋体" w:cs="宋体"/>
          <w:color w:val="FF0000"/>
          <w:kern w:val="2"/>
          <w:sz w:val="21"/>
          <w:szCs w:val="21"/>
          <w:lang w:eastAsia="zh-CN" w:bidi="ar"/>
        </w:rPr>
        <w:t>：</w:t>
      </w:r>
      <w:r>
        <w:rPr>
          <w:rFonts w:eastAsia="宋体"/>
          <w:color w:val="FF0000"/>
          <w:kern w:val="2"/>
          <w:sz w:val="21"/>
          <w:szCs w:val="21"/>
          <w:u w:val="single"/>
          <w:lang w:eastAsia="zh-CN" w:bidi="ar"/>
        </w:rPr>
        <w:t xml:space="preserve">           </w:t>
      </w:r>
      <w:r>
        <w:rPr>
          <w:rFonts w:hint="eastAsia" w:eastAsia="宋体"/>
          <w:color w:val="FF0000"/>
          <w:kern w:val="2"/>
          <w:sz w:val="21"/>
          <w:szCs w:val="21"/>
          <w:u w:val="single"/>
          <w:lang w:val="en-US" w:eastAsia="zh-CN" w:bidi="ar"/>
        </w:rPr>
        <w:t xml:space="preserve">       </w:t>
      </w:r>
      <w:r>
        <w:rPr>
          <w:rFonts w:eastAsia="宋体"/>
          <w:color w:val="FF0000"/>
          <w:kern w:val="2"/>
          <w:sz w:val="21"/>
          <w:szCs w:val="21"/>
          <w:u w:val="single"/>
          <w:lang w:eastAsia="zh-CN" w:bidi="ar"/>
        </w:rPr>
        <w:t xml:space="preserve">         </w:t>
      </w:r>
      <w:r>
        <w:rPr>
          <w:rFonts w:hint="eastAsia" w:eastAsia="宋体" w:cs="宋体"/>
          <w:color w:val="FF0000"/>
          <w:kern w:val="2"/>
          <w:sz w:val="21"/>
          <w:szCs w:val="21"/>
          <w:lang w:eastAsia="zh-CN" w:bidi="ar"/>
        </w:rPr>
        <w:t>；</w:t>
      </w:r>
    </w:p>
    <w:p w14:paraId="11DF9EF4">
      <w:pPr>
        <w:widowControl w:val="0"/>
        <w:spacing w:before="78" w:beforeLines="25" w:after="78" w:afterLines="25"/>
        <w:ind w:firstLine="5460" w:firstLineChars="26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日期：</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年</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月</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日</w:t>
      </w:r>
    </w:p>
    <w:p w14:paraId="51EB7DFE">
      <w:pPr>
        <w:widowControl w:val="0"/>
        <w:jc w:val="both"/>
        <w:rPr>
          <w:rFonts w:eastAsia="宋体"/>
          <w:kern w:val="2"/>
          <w:sz w:val="21"/>
          <w:lang w:eastAsia="zh-CN"/>
        </w:rPr>
      </w:pPr>
    </w:p>
    <w:p w14:paraId="20AF220D">
      <w:pPr>
        <w:widowControl w:val="0"/>
        <w:jc w:val="both"/>
        <w:rPr>
          <w:rFonts w:hint="eastAsia" w:ascii="黑体" w:eastAsia="黑体"/>
          <w:lang w:eastAsia="zh-CN"/>
        </w:rPr>
      </w:pPr>
      <w:r>
        <w:rPr>
          <w:rFonts w:hint="eastAsia" w:ascii="黑体" w:eastAsia="黑体"/>
          <w:lang w:eastAsia="zh-CN"/>
        </w:rPr>
        <w:br w:type="page"/>
      </w:r>
    </w:p>
    <w:p w14:paraId="4D89D583">
      <w:pPr>
        <w:keepNext/>
        <w:keepLines/>
        <w:widowControl w:val="0"/>
        <w:spacing w:before="120" w:after="12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三、投标人情况及资格证明文件</w:t>
      </w:r>
    </w:p>
    <w:p w14:paraId="2BD04CF4">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2EB3AF5A">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83ADC72">
      <w:pPr>
        <w:widowControl/>
        <w:jc w:val="left"/>
        <w:rPr>
          <w:rFonts w:eastAsia="宋体"/>
          <w:kern w:val="2"/>
          <w:sz w:val="21"/>
          <w:lang w:eastAsia="zh-CN"/>
        </w:rPr>
      </w:pPr>
      <w:r>
        <w:rPr>
          <w:rFonts w:eastAsia="宋体"/>
          <w:kern w:val="2"/>
          <w:sz w:val="21"/>
          <w:lang w:eastAsia="zh-CN"/>
        </w:rPr>
        <w:br w:type="page"/>
      </w:r>
    </w:p>
    <w:p w14:paraId="26C00306">
      <w:pPr>
        <w:widowControl w:val="0"/>
        <w:jc w:val="both"/>
        <w:outlineLvl w:val="3"/>
        <w:rPr>
          <w:rFonts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3428387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14:paraId="286265C6">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14:paraId="26DC1600">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3A254300">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527F0577">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p>
    <w:p w14:paraId="618AE23E">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14:paraId="431A6E68">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043D9BD0">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0636081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6AC700F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461D262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68A8263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6BF0187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3D64840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5E89C8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14:paraId="1E8AF9CA">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货物制造商名称。</w:t>
      </w:r>
      <w:r>
        <w:rPr>
          <w:rFonts w:hint="eastAsia" w:ascii="黑体" w:hAnsi="宋体" w:eastAsia="黑体"/>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6B605E4B">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340310B3">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0081466F">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49B4A92">
      <w:pPr>
        <w:widowControl w:val="0"/>
        <w:numPr>
          <w:ilvl w:val="0"/>
          <w:numId w:val="0"/>
        </w:numPr>
        <w:ind w:left="0"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14:paraId="6B906F4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2471B1B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5162BDA6">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451FFBE">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E9CC5F3">
      <w:pPr>
        <w:widowControl w:val="0"/>
        <w:jc w:val="both"/>
        <w:rPr>
          <w:rFonts w:hint="eastAsia" w:ascii="黑体" w:hAnsi="宋体" w:eastAsia="黑体"/>
          <w:bCs/>
          <w:color w:val="FF0000"/>
          <w:sz w:val="21"/>
          <w:szCs w:val="21"/>
          <w:lang w:eastAsia="zh-CN"/>
        </w:rPr>
      </w:pPr>
    </w:p>
    <w:p w14:paraId="1064F982">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center"/>
        <w:textAlignment w:val="auto"/>
        <w:outlineLvl w:val="3"/>
        <w:rPr>
          <w:rFonts w:eastAsia="宋体"/>
          <w:kern w:val="2"/>
          <w:sz w:val="21"/>
          <w:lang w:eastAsia="zh-CN"/>
        </w:rPr>
      </w:pPr>
      <w:r>
        <w:rPr>
          <w:rFonts w:eastAsia="宋体"/>
          <w:b/>
          <w:kern w:val="2"/>
          <w:lang w:eastAsia="zh-CN"/>
        </w:rPr>
        <w:t>中小企业声明函（货物）</w:t>
      </w:r>
    </w:p>
    <w:p w14:paraId="6BCB7D2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eastAsia="宋体"/>
          <w:b/>
          <w:bCs/>
          <w:color w:val="1D41D5"/>
          <w:kern w:val="2"/>
          <w:szCs w:val="21"/>
          <w:u w:val="single"/>
          <w:lang w:eastAsia="zh-CN"/>
        </w:rPr>
        <w:t>香</w:t>
      </w:r>
      <w:r>
        <w:rPr>
          <w:rFonts w:hint="eastAsia" w:eastAsia="宋体"/>
          <w:b/>
          <w:bCs/>
          <w:i/>
          <w:iCs/>
          <w:color w:val="1D41D5"/>
          <w:kern w:val="2"/>
          <w:szCs w:val="21"/>
          <w:u w:val="single"/>
          <w:lang w:eastAsia="zh-CN"/>
        </w:rPr>
        <w:t>港中文大学（深圳）医院</w:t>
      </w:r>
      <w:r>
        <w:rPr>
          <w:rFonts w:hint="eastAsia" w:ascii="宋体" w:hAnsi="宋体" w:eastAsia="宋体" w:cs="宋体"/>
          <w:b/>
          <w:bCs/>
          <w:i/>
          <w:iCs/>
          <w:kern w:val="2"/>
          <w:sz w:val="21"/>
          <w:szCs w:val="21"/>
          <w:u w:val="single"/>
          <w:lang w:eastAsia="zh-CN"/>
        </w:rPr>
        <w:t xml:space="preserve">（单位名称）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w:t>
      </w:r>
      <w:r>
        <w:rPr>
          <w:rFonts w:hint="eastAsia" w:eastAsia="宋体"/>
          <w:b/>
          <w:bCs/>
          <w:i/>
          <w:iCs/>
          <w:color w:val="1D41D5"/>
          <w:kern w:val="2"/>
          <w:szCs w:val="21"/>
          <w:u w:val="single"/>
          <w:lang w:eastAsia="zh-CN"/>
        </w:rPr>
        <w:t>香港中文大学（深圳）医院病床类设备采购项目</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78645D8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b/>
          <w:bCs/>
          <w:i/>
          <w:iCs/>
          <w:color w:val="1D41D5"/>
          <w:kern w:val="2"/>
          <w:sz w:val="21"/>
          <w:szCs w:val="21"/>
          <w:u w:val="single"/>
          <w:lang w:eastAsia="zh-CN"/>
        </w:rPr>
        <w:t>工业</w:t>
      </w:r>
      <w:r>
        <w:rPr>
          <w:rFonts w:hint="eastAsia" w:ascii="宋体" w:hAnsi="宋体" w:eastAsia="宋体" w:cs="宋体"/>
          <w:b/>
          <w:bCs/>
          <w:i/>
          <w:iCs/>
          <w:kern w:val="2"/>
          <w:sz w:val="21"/>
          <w:szCs w:val="21"/>
          <w:u w:val="single"/>
          <w:lang w:eastAsia="zh-CN"/>
        </w:rPr>
        <w:t xml:space="preserve">（采购文件中明确的所属行业）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25260EC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color w:val="1D41D5"/>
          <w:kern w:val="2"/>
          <w:sz w:val="21"/>
          <w:szCs w:val="21"/>
          <w:u w:val="single"/>
          <w:lang w:eastAsia="zh-CN"/>
        </w:rPr>
        <w:t>工业</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7B43D80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7D17E7B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16A7733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kern w:val="2"/>
          <w:sz w:val="21"/>
          <w:szCs w:val="21"/>
          <w:lang w:eastAsia="zh-CN"/>
        </w:rPr>
      </w:pPr>
      <w:bookmarkStart w:id="41" w:name="_Hlk73562203"/>
      <w:r>
        <w:rPr>
          <w:rFonts w:hint="eastAsia" w:ascii="宋体" w:hAnsi="宋体" w:eastAsia="宋体" w:cs="宋体"/>
          <w:kern w:val="2"/>
          <w:sz w:val="21"/>
          <w:szCs w:val="21"/>
          <w:lang w:eastAsia="zh-CN"/>
        </w:rPr>
        <w:t>本投标人对上述声明内容的真实性负责。如有虚假，将依法承担相应责任。</w:t>
      </w:r>
    </w:p>
    <w:p w14:paraId="20A183E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067BB0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eastAsia="宋体"/>
          <w:kern w:val="2"/>
          <w:sz w:val="21"/>
          <w:lang w:eastAsia="zh-CN"/>
        </w:rPr>
      </w:pPr>
    </w:p>
    <w:p w14:paraId="6DF2B21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3"/>
        <w:rPr>
          <w:rFonts w:eastAsia="宋体"/>
          <w:b/>
          <w:bCs/>
          <w:kern w:val="2"/>
          <w:sz w:val="21"/>
          <w:lang w:eastAsia="zh-CN"/>
        </w:rPr>
      </w:pPr>
      <w:r>
        <w:rPr>
          <w:rFonts w:hint="eastAsia" w:eastAsia="宋体"/>
          <w:b/>
          <w:kern w:val="2"/>
          <w:lang w:eastAsia="zh-CN"/>
        </w:rPr>
        <w:t>2、残疾人福利性单位声明函（货物类）</w:t>
      </w:r>
    </w:p>
    <w:p w14:paraId="663462D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kern w:val="2"/>
          <w:sz w:val="21"/>
          <w:szCs w:val="21"/>
          <w:lang w:eastAsia="zh-CN"/>
        </w:rPr>
      </w:pPr>
      <w:bookmarkStart w:id="42" w:name="_Hlk73562331"/>
      <w:bookmarkStart w:id="43"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w:t>
      </w:r>
      <w:r>
        <w:rPr>
          <w:rFonts w:hint="eastAsia" w:eastAsia="宋体"/>
          <w:b/>
          <w:bCs/>
          <w:color w:val="1D41D5"/>
          <w:kern w:val="2"/>
          <w:sz w:val="21"/>
          <w:szCs w:val="21"/>
          <w:u w:val="single"/>
          <w:lang w:eastAsia="zh-CN"/>
        </w:rPr>
        <w:t>香</w:t>
      </w:r>
      <w:r>
        <w:rPr>
          <w:rFonts w:hint="eastAsia" w:eastAsia="宋体"/>
          <w:b/>
          <w:bCs/>
          <w:i/>
          <w:iCs/>
          <w:color w:val="1D41D5"/>
          <w:kern w:val="2"/>
          <w:sz w:val="21"/>
          <w:szCs w:val="21"/>
          <w:u w:val="single"/>
          <w:lang w:eastAsia="zh-CN"/>
        </w:rPr>
        <w:t>港中文大学（深圳）医院</w:t>
      </w:r>
      <w:r>
        <w:rPr>
          <w:rFonts w:hint="eastAsia" w:ascii="宋体" w:hAnsi="宋体" w:eastAsia="宋体" w:cs="宋体"/>
          <w:b/>
          <w:bCs/>
          <w:i/>
          <w:iCs/>
          <w:kern w:val="2"/>
          <w:sz w:val="21"/>
          <w:szCs w:val="21"/>
          <w:u w:val="single"/>
          <w:lang w:eastAsia="zh-CN"/>
        </w:rPr>
        <w:t xml:space="preserve">（单位名称）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013D537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5D173F8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2"/>
    </w:p>
    <w:bookmarkEnd w:id="43"/>
    <w:p w14:paraId="185E11F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kern w:val="2"/>
          <w:sz w:val="21"/>
          <w:szCs w:val="21"/>
          <w:lang w:eastAsia="zh-CN"/>
        </w:rPr>
      </w:pPr>
    </w:p>
    <w:p w14:paraId="4C713ED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kern w:val="2"/>
          <w:sz w:val="21"/>
          <w:szCs w:val="21"/>
          <w:lang w:eastAsia="zh-CN"/>
        </w:rPr>
      </w:pPr>
    </w:p>
    <w:p w14:paraId="1B80C48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3"/>
        <w:rPr>
          <w:rFonts w:eastAsia="宋体"/>
          <w:b/>
          <w:kern w:val="2"/>
          <w:lang w:eastAsia="zh-CN"/>
        </w:rPr>
      </w:pPr>
      <w:r>
        <w:rPr>
          <w:rFonts w:hint="eastAsia" w:eastAsia="宋体"/>
          <w:b/>
          <w:kern w:val="2"/>
          <w:lang w:eastAsia="zh-CN"/>
        </w:rPr>
        <w:t>3、监狱企业声明函【货物类，提供监狱企业货物的供应商如需享受优惠政策，还须另行提供省级以上监狱管理局、戒毒管理局（含新疆生产建设兵团）出具的监狱企业证明文件】</w:t>
      </w:r>
    </w:p>
    <w:p w14:paraId="244E30A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hint="eastAsia" w:eastAsia="宋体"/>
          <w:b/>
          <w:bCs/>
          <w:color w:val="1D41D5"/>
          <w:kern w:val="2"/>
          <w:sz w:val="21"/>
          <w:szCs w:val="21"/>
          <w:u w:val="single"/>
          <w:lang w:eastAsia="zh-CN"/>
        </w:rPr>
        <w:t>香</w:t>
      </w:r>
      <w:r>
        <w:rPr>
          <w:rFonts w:hint="eastAsia" w:eastAsia="宋体"/>
          <w:b/>
          <w:bCs/>
          <w:i/>
          <w:iCs/>
          <w:color w:val="1D41D5"/>
          <w:kern w:val="2"/>
          <w:sz w:val="21"/>
          <w:szCs w:val="21"/>
          <w:u w:val="single"/>
          <w:lang w:eastAsia="zh-CN"/>
        </w:rPr>
        <w:t>港中文大学（深圳）医院</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采购人</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i/>
          <w:iCs/>
          <w:kern w:val="2"/>
          <w:sz w:val="21"/>
          <w:szCs w:val="21"/>
          <w:u w:val="single"/>
          <w:lang w:eastAsia="zh-CN"/>
        </w:rPr>
        <w:t>（项目名称）</w:t>
      </w:r>
      <w:r>
        <w:rPr>
          <w:rFonts w:ascii="宋体" w:hAnsi="宋体" w:eastAsia="宋体"/>
          <w:kern w:val="2"/>
          <w:sz w:val="21"/>
          <w:szCs w:val="21"/>
          <w:lang w:eastAsia="zh-CN"/>
        </w:rPr>
        <w:t>采购活动，提供的货物全部由符合政策要求的</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制造。相关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14:paraId="4BDA1B9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ascii="宋体" w:hAnsi="宋体" w:eastAsia="宋体"/>
          <w:kern w:val="2"/>
          <w:sz w:val="21"/>
          <w:szCs w:val="21"/>
          <w:lang w:eastAsia="zh-CN"/>
        </w:rPr>
        <w:t>；</w:t>
      </w:r>
    </w:p>
    <w:p w14:paraId="6FF22EB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hint="eastAsia" w:ascii="宋体" w:hAnsi="宋体" w:eastAsia="宋体"/>
          <w:kern w:val="2"/>
          <w:sz w:val="21"/>
          <w:szCs w:val="21"/>
          <w:lang w:eastAsia="zh-CN"/>
        </w:rPr>
        <w:t>。</w:t>
      </w:r>
    </w:p>
    <w:p w14:paraId="0CBEF55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3"/>
        <w:rPr>
          <w:rFonts w:ascii="宋体" w:hAnsi="宋体" w:eastAsia="宋体"/>
          <w:kern w:val="2"/>
          <w:sz w:val="21"/>
          <w:szCs w:val="21"/>
          <w:lang w:eastAsia="zh-CN"/>
        </w:rPr>
      </w:pPr>
      <w:r>
        <w:rPr>
          <w:rFonts w:ascii="宋体" w:hAnsi="宋体" w:eastAsia="宋体"/>
          <w:kern w:val="2"/>
          <w:sz w:val="21"/>
          <w:szCs w:val="21"/>
          <w:lang w:eastAsia="zh-CN"/>
        </w:rPr>
        <w:t xml:space="preserve">…… </w:t>
      </w:r>
    </w:p>
    <w:p w14:paraId="14945D0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14:paraId="072906C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14:paraId="0B8C6A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kern w:val="2"/>
          <w:sz w:val="21"/>
          <w:szCs w:val="21"/>
          <w:lang w:eastAsia="zh-CN"/>
        </w:rPr>
      </w:pPr>
    </w:p>
    <w:p w14:paraId="2CA6C5AA">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bCs/>
          <w:kern w:val="2"/>
          <w:lang w:eastAsia="zh-CN"/>
        </w:rPr>
        <w:t>四、项目详细报价</w:t>
      </w:r>
    </w:p>
    <w:p w14:paraId="4727B2D0">
      <w:pPr>
        <w:widowControl w:val="0"/>
        <w:tabs>
          <w:tab w:val="left" w:pos="720"/>
        </w:tabs>
        <w:ind w:firstLine="3132" w:firstLineChars="1300"/>
        <w:jc w:val="both"/>
        <w:rPr>
          <w:rFonts w:eastAsia="宋体"/>
          <w:b/>
          <w:kern w:val="2"/>
          <w:lang w:eastAsia="zh-CN"/>
        </w:rPr>
      </w:pPr>
      <w:r>
        <w:rPr>
          <w:rFonts w:hint="eastAsia" w:eastAsia="宋体"/>
          <w:b/>
          <w:kern w:val="2"/>
          <w:lang w:eastAsia="zh-CN"/>
        </w:rPr>
        <w:t>（一）分项报价表</w:t>
      </w:r>
    </w:p>
    <w:tbl>
      <w:tblPr>
        <w:tblStyle w:val="14"/>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66"/>
        <w:gridCol w:w="1638"/>
        <w:gridCol w:w="557"/>
        <w:gridCol w:w="613"/>
        <w:gridCol w:w="531"/>
        <w:gridCol w:w="806"/>
        <w:gridCol w:w="600"/>
        <w:gridCol w:w="600"/>
        <w:gridCol w:w="1007"/>
        <w:gridCol w:w="579"/>
        <w:gridCol w:w="707"/>
        <w:gridCol w:w="1037"/>
      </w:tblGrid>
      <w:tr w14:paraId="4A0F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54" w:type="pct"/>
            <w:vAlign w:val="center"/>
          </w:tcPr>
          <w:p w14:paraId="60AFDDA2">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eastAsia="宋体"/>
                <w:bCs/>
                <w:kern w:val="2"/>
                <w:sz w:val="21"/>
                <w:szCs w:val="21"/>
                <w:lang w:eastAsia="zh-CN"/>
              </w:rPr>
            </w:pPr>
            <w:r>
              <w:rPr>
                <w:rFonts w:hint="eastAsia" w:eastAsia="宋体"/>
                <w:bCs/>
                <w:kern w:val="2"/>
                <w:sz w:val="21"/>
                <w:szCs w:val="21"/>
                <w:lang w:eastAsia="zh-CN"/>
              </w:rPr>
              <w:t>序号</w:t>
            </w:r>
          </w:p>
        </w:tc>
        <w:tc>
          <w:tcPr>
            <w:tcW w:w="895" w:type="pct"/>
            <w:vAlign w:val="center"/>
          </w:tcPr>
          <w:p w14:paraId="13706866">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eastAsia="宋体"/>
                <w:bCs/>
                <w:kern w:val="2"/>
                <w:sz w:val="21"/>
                <w:szCs w:val="21"/>
                <w:lang w:eastAsia="zh-CN"/>
              </w:rPr>
            </w:pPr>
            <w:r>
              <w:rPr>
                <w:rFonts w:hint="eastAsia" w:eastAsia="宋体"/>
                <w:bCs/>
                <w:kern w:val="2"/>
                <w:sz w:val="21"/>
                <w:szCs w:val="21"/>
                <w:lang w:eastAsia="zh-CN"/>
              </w:rPr>
              <w:t>货物名称</w:t>
            </w:r>
          </w:p>
        </w:tc>
        <w:tc>
          <w:tcPr>
            <w:tcW w:w="304" w:type="pct"/>
            <w:vAlign w:val="center"/>
          </w:tcPr>
          <w:p w14:paraId="1277A509">
            <w:pPr>
              <w:keepNext w:val="0"/>
              <w:keepLines w:val="0"/>
              <w:widowControl w:val="0"/>
              <w:suppressLineNumbers w:val="0"/>
              <w:spacing w:before="0" w:beforeAutospacing="0" w:after="0" w:afterAutospacing="0"/>
              <w:ind w:left="0" w:leftChars="0" w:right="0" w:rightChars="0"/>
              <w:jc w:val="center"/>
              <w:rPr>
                <w:rFonts w:hint="eastAsia" w:eastAsia="宋体"/>
                <w:bCs/>
                <w:kern w:val="2"/>
                <w:sz w:val="21"/>
                <w:szCs w:val="21"/>
                <w:lang w:eastAsia="zh-CN"/>
              </w:rPr>
            </w:pPr>
            <w:r>
              <w:rPr>
                <w:rFonts w:hint="eastAsia" w:eastAsia="宋体"/>
                <w:kern w:val="2"/>
                <w:sz w:val="21"/>
                <w:szCs w:val="21"/>
                <w:lang w:eastAsia="zh-CN"/>
              </w:rPr>
              <w:t>品牌</w:t>
            </w:r>
          </w:p>
        </w:tc>
        <w:tc>
          <w:tcPr>
            <w:tcW w:w="335" w:type="pct"/>
            <w:vAlign w:val="center"/>
          </w:tcPr>
          <w:p w14:paraId="7D23748B">
            <w:pPr>
              <w:keepNext w:val="0"/>
              <w:keepLines w:val="0"/>
              <w:widowControl w:val="0"/>
              <w:suppressLineNumbers w:val="0"/>
              <w:spacing w:before="0" w:beforeAutospacing="0" w:after="0" w:afterAutospacing="0"/>
              <w:ind w:left="0" w:leftChars="0" w:right="0" w:rightChars="0"/>
              <w:jc w:val="center"/>
              <w:rPr>
                <w:rFonts w:hint="eastAsia" w:eastAsia="宋体"/>
                <w:bCs/>
                <w:kern w:val="2"/>
                <w:sz w:val="21"/>
                <w:szCs w:val="21"/>
                <w:lang w:eastAsia="zh-CN"/>
              </w:rPr>
            </w:pPr>
            <w:r>
              <w:rPr>
                <w:rFonts w:hint="eastAsia" w:eastAsia="宋体"/>
                <w:kern w:val="2"/>
                <w:sz w:val="21"/>
                <w:szCs w:val="21"/>
                <w:lang w:eastAsia="zh-CN"/>
              </w:rPr>
              <w:t>规格/型号</w:t>
            </w:r>
          </w:p>
        </w:tc>
        <w:tc>
          <w:tcPr>
            <w:tcW w:w="290" w:type="pct"/>
            <w:vAlign w:val="center"/>
          </w:tcPr>
          <w:p w14:paraId="70FBFE69">
            <w:pPr>
              <w:keepNext w:val="0"/>
              <w:keepLines w:val="0"/>
              <w:widowControl w:val="0"/>
              <w:suppressLineNumbers w:val="0"/>
              <w:spacing w:before="0" w:beforeAutospacing="0" w:after="0" w:afterAutospacing="0"/>
              <w:ind w:left="0" w:leftChars="0" w:right="0" w:rightChars="0"/>
              <w:jc w:val="center"/>
              <w:rPr>
                <w:rFonts w:hint="eastAsia" w:eastAsia="宋体"/>
                <w:bCs/>
                <w:kern w:val="2"/>
                <w:sz w:val="21"/>
                <w:szCs w:val="21"/>
                <w:lang w:eastAsia="zh-CN"/>
              </w:rPr>
            </w:pPr>
            <w:r>
              <w:rPr>
                <w:rFonts w:hint="eastAsia" w:eastAsia="宋体"/>
                <w:b/>
                <w:color w:val="FF0000"/>
                <w:kern w:val="2"/>
                <w:sz w:val="21"/>
                <w:szCs w:val="21"/>
                <w:lang w:eastAsia="zh-CN"/>
              </w:rPr>
              <w:t>原产地</w:t>
            </w:r>
          </w:p>
        </w:tc>
        <w:tc>
          <w:tcPr>
            <w:tcW w:w="440" w:type="pct"/>
            <w:vAlign w:val="center"/>
          </w:tcPr>
          <w:p w14:paraId="3C78C974">
            <w:pPr>
              <w:keepNext w:val="0"/>
              <w:keepLines w:val="0"/>
              <w:widowControl w:val="0"/>
              <w:suppressLineNumbers w:val="0"/>
              <w:spacing w:before="0" w:beforeAutospacing="0" w:after="0" w:afterAutospacing="0"/>
              <w:ind w:left="0" w:leftChars="0" w:right="0" w:rightChars="0"/>
              <w:jc w:val="center"/>
              <w:rPr>
                <w:rFonts w:hint="eastAsia" w:eastAsia="宋体"/>
                <w:bCs/>
                <w:kern w:val="2"/>
                <w:sz w:val="21"/>
                <w:szCs w:val="21"/>
                <w:lang w:eastAsia="zh-CN"/>
              </w:rPr>
            </w:pPr>
            <w:r>
              <w:rPr>
                <w:rFonts w:hint="eastAsia" w:eastAsia="宋体"/>
                <w:kern w:val="2"/>
                <w:sz w:val="21"/>
                <w:szCs w:val="21"/>
                <w:lang w:eastAsia="zh-CN"/>
              </w:rPr>
              <w:t>制造商名称</w:t>
            </w:r>
          </w:p>
        </w:tc>
        <w:tc>
          <w:tcPr>
            <w:tcW w:w="328" w:type="pct"/>
            <w:vAlign w:val="center"/>
          </w:tcPr>
          <w:p w14:paraId="339CB674">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eastAsia="宋体"/>
                <w:bCs/>
                <w:kern w:val="2"/>
                <w:sz w:val="21"/>
                <w:szCs w:val="21"/>
                <w:lang w:eastAsia="zh-CN"/>
              </w:rPr>
            </w:pPr>
            <w:r>
              <w:rPr>
                <w:rFonts w:hint="eastAsia" w:eastAsia="宋体"/>
                <w:bCs/>
                <w:kern w:val="2"/>
                <w:sz w:val="21"/>
                <w:szCs w:val="21"/>
                <w:lang w:eastAsia="zh-CN"/>
              </w:rPr>
              <w:t>数量</w:t>
            </w:r>
          </w:p>
        </w:tc>
        <w:tc>
          <w:tcPr>
            <w:tcW w:w="328" w:type="pct"/>
            <w:vAlign w:val="center"/>
          </w:tcPr>
          <w:p w14:paraId="05C23CFA">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eastAsia="宋体"/>
                <w:bCs/>
                <w:kern w:val="2"/>
                <w:sz w:val="21"/>
                <w:szCs w:val="21"/>
                <w:lang w:eastAsia="zh-CN"/>
              </w:rPr>
            </w:pPr>
            <w:r>
              <w:rPr>
                <w:rFonts w:hint="eastAsia" w:eastAsia="宋体"/>
                <w:bCs/>
                <w:kern w:val="2"/>
                <w:sz w:val="21"/>
                <w:szCs w:val="21"/>
                <w:lang w:eastAsia="zh-CN"/>
              </w:rPr>
              <w:t>单位</w:t>
            </w:r>
          </w:p>
        </w:tc>
        <w:tc>
          <w:tcPr>
            <w:tcW w:w="550" w:type="pct"/>
            <w:vAlign w:val="center"/>
          </w:tcPr>
          <w:p w14:paraId="042F3ED2">
            <w:pPr>
              <w:keepNext w:val="0"/>
              <w:keepLines w:val="0"/>
              <w:pageBreakBefore w:val="0"/>
              <w:widowControl w:val="0"/>
              <w:kinsoku/>
              <w:wordWrap/>
              <w:overflowPunct/>
              <w:topLinePunct w:val="0"/>
              <w:autoSpaceDE/>
              <w:autoSpaceDN/>
              <w:bidi w:val="0"/>
              <w:adjustRightInd/>
              <w:snapToGrid/>
              <w:spacing w:line="160" w:lineRule="atLeast"/>
              <w:ind w:left="0"/>
              <w:jc w:val="center"/>
              <w:textAlignment w:val="auto"/>
              <w:rPr>
                <w:rFonts w:hint="eastAsia" w:eastAsia="宋体"/>
                <w:b/>
                <w:color w:val="FF0000"/>
                <w:kern w:val="2"/>
                <w:sz w:val="21"/>
                <w:szCs w:val="21"/>
                <w:lang w:eastAsia="zh-CN"/>
              </w:rPr>
            </w:pPr>
            <w:r>
              <w:rPr>
                <w:rFonts w:hint="eastAsia" w:eastAsia="宋体"/>
                <w:b/>
                <w:color w:val="FF0000"/>
                <w:kern w:val="2"/>
                <w:sz w:val="21"/>
                <w:szCs w:val="21"/>
                <w:lang w:eastAsia="zh-CN"/>
              </w:rPr>
              <w:t>单价限价（元）</w:t>
            </w:r>
          </w:p>
        </w:tc>
        <w:tc>
          <w:tcPr>
            <w:tcW w:w="316" w:type="pct"/>
            <w:vAlign w:val="center"/>
          </w:tcPr>
          <w:p w14:paraId="24C8647E">
            <w:pPr>
              <w:keepNext w:val="0"/>
              <w:keepLines w:val="0"/>
              <w:widowControl w:val="0"/>
              <w:suppressLineNumbers w:val="0"/>
              <w:spacing w:before="0" w:beforeAutospacing="0" w:after="0" w:afterAutospacing="0"/>
              <w:ind w:left="0" w:leftChars="0" w:right="0" w:rightChars="0"/>
              <w:jc w:val="center"/>
              <w:rPr>
                <w:rFonts w:eastAsia="宋体"/>
                <w:bCs/>
                <w:kern w:val="2"/>
                <w:sz w:val="21"/>
                <w:szCs w:val="21"/>
                <w:lang w:eastAsia="zh-CN"/>
              </w:rPr>
            </w:pPr>
            <w:r>
              <w:rPr>
                <w:rFonts w:hint="eastAsia" w:eastAsia="宋体"/>
                <w:kern w:val="2"/>
                <w:sz w:val="21"/>
                <w:szCs w:val="21"/>
                <w:lang w:eastAsia="zh-CN"/>
              </w:rPr>
              <w:t>单价(元)</w:t>
            </w:r>
          </w:p>
        </w:tc>
        <w:tc>
          <w:tcPr>
            <w:tcW w:w="386" w:type="pct"/>
            <w:vAlign w:val="center"/>
          </w:tcPr>
          <w:p w14:paraId="78CD2B97">
            <w:pPr>
              <w:keepNext w:val="0"/>
              <w:keepLines w:val="0"/>
              <w:widowControl w:val="0"/>
              <w:suppressLineNumbers w:val="0"/>
              <w:spacing w:before="0" w:beforeAutospacing="0" w:after="0" w:afterAutospacing="0"/>
              <w:ind w:left="0" w:leftChars="0" w:right="0" w:rightChars="0"/>
              <w:jc w:val="center"/>
              <w:rPr>
                <w:rFonts w:eastAsia="宋体"/>
                <w:b/>
                <w:bCs/>
                <w:color w:val="FF0000"/>
                <w:kern w:val="2"/>
                <w:sz w:val="21"/>
                <w:szCs w:val="21"/>
                <w:lang w:eastAsia="zh-CN"/>
              </w:rPr>
            </w:pPr>
            <w:r>
              <w:rPr>
                <w:rFonts w:hint="eastAsia" w:eastAsia="宋体"/>
                <w:kern w:val="2"/>
                <w:sz w:val="21"/>
                <w:szCs w:val="21"/>
                <w:lang w:eastAsia="zh-CN"/>
              </w:rPr>
              <w:t>合价(元)</w:t>
            </w:r>
          </w:p>
        </w:tc>
        <w:tc>
          <w:tcPr>
            <w:tcW w:w="567" w:type="pct"/>
            <w:vAlign w:val="center"/>
          </w:tcPr>
          <w:p w14:paraId="23495B31">
            <w:pPr>
              <w:keepNext w:val="0"/>
              <w:keepLines w:val="0"/>
              <w:widowControl w:val="0"/>
              <w:suppressLineNumbers w:val="0"/>
              <w:spacing w:before="0" w:beforeAutospacing="0" w:after="0" w:afterAutospacing="0"/>
              <w:ind w:left="0" w:leftChars="0" w:right="0" w:rightChars="0"/>
              <w:jc w:val="center"/>
              <w:rPr>
                <w:rFonts w:hint="eastAsia"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15C8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254" w:type="pct"/>
            <w:vAlign w:val="center"/>
          </w:tcPr>
          <w:p w14:paraId="0D36995B">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eastAsia="宋体"/>
                <w:bCs/>
                <w:kern w:val="2"/>
                <w:sz w:val="21"/>
                <w:szCs w:val="21"/>
                <w:lang w:eastAsia="zh-CN"/>
              </w:rPr>
            </w:pPr>
            <w:r>
              <w:rPr>
                <w:rFonts w:eastAsia="宋体"/>
                <w:bCs/>
                <w:kern w:val="2"/>
                <w:sz w:val="21"/>
                <w:szCs w:val="21"/>
                <w:lang w:eastAsia="zh-CN"/>
              </w:rPr>
              <w:t>1.</w:t>
            </w:r>
          </w:p>
        </w:tc>
        <w:tc>
          <w:tcPr>
            <w:tcW w:w="895" w:type="pct"/>
            <w:vAlign w:val="top"/>
          </w:tcPr>
          <w:p w14:paraId="7EBBFDCD">
            <w:pPr>
              <w:keepNext w:val="0"/>
              <w:keepLines w:val="0"/>
              <w:pageBreakBefore w:val="0"/>
              <w:widowControl/>
              <w:suppressLineNumbers w:val="0"/>
              <w:kinsoku/>
              <w:wordWrap/>
              <w:overflowPunct/>
              <w:topLinePunct w:val="0"/>
              <w:autoSpaceDE/>
              <w:autoSpaceDN/>
              <w:bidi w:val="0"/>
              <w:adjustRightInd/>
              <w:snapToGrid/>
              <w:spacing w:line="160" w:lineRule="atLeast"/>
              <w:ind w:left="0" w:leftChars="0" w:firstLine="0" w:firstLineChars="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护理病床</w:t>
            </w:r>
          </w:p>
        </w:tc>
        <w:tc>
          <w:tcPr>
            <w:tcW w:w="304" w:type="pct"/>
            <w:vAlign w:val="top"/>
          </w:tcPr>
          <w:p w14:paraId="37A06077">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35" w:type="pct"/>
            <w:vAlign w:val="top"/>
          </w:tcPr>
          <w:p w14:paraId="46DA06CB">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290" w:type="pct"/>
            <w:vAlign w:val="top"/>
          </w:tcPr>
          <w:p w14:paraId="561631EA">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440" w:type="pct"/>
            <w:vAlign w:val="top"/>
          </w:tcPr>
          <w:p w14:paraId="7697251D">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28" w:type="pct"/>
            <w:vAlign w:val="top"/>
          </w:tcPr>
          <w:p w14:paraId="6DF48844">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80</w:t>
            </w:r>
          </w:p>
        </w:tc>
        <w:tc>
          <w:tcPr>
            <w:tcW w:w="328" w:type="pct"/>
            <w:vAlign w:val="center"/>
          </w:tcPr>
          <w:p w14:paraId="3E75C0B0">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550" w:type="pct"/>
            <w:vAlign w:val="center"/>
          </w:tcPr>
          <w:p w14:paraId="5A340BD9">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5500</w:t>
            </w:r>
          </w:p>
        </w:tc>
        <w:tc>
          <w:tcPr>
            <w:tcW w:w="316" w:type="pct"/>
            <w:vAlign w:val="center"/>
          </w:tcPr>
          <w:p w14:paraId="080C9476">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p>
        </w:tc>
        <w:tc>
          <w:tcPr>
            <w:tcW w:w="386" w:type="pct"/>
            <w:vAlign w:val="center"/>
          </w:tcPr>
          <w:p w14:paraId="7B9E5FF4">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p>
        </w:tc>
        <w:tc>
          <w:tcPr>
            <w:tcW w:w="567" w:type="pct"/>
            <w:vMerge w:val="restart"/>
            <w:vAlign w:val="center"/>
          </w:tcPr>
          <w:p w14:paraId="54F93028">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r>
              <w:rPr>
                <w:rFonts w:hint="eastAsia" w:eastAsia="宋体"/>
                <w:b/>
                <w:bCs/>
                <w:color w:val="FF0000"/>
                <w:kern w:val="2"/>
                <w:sz w:val="21"/>
                <w:szCs w:val="21"/>
                <w:lang w:eastAsia="zh-CN"/>
              </w:rPr>
              <w:t>957800</w:t>
            </w:r>
          </w:p>
        </w:tc>
      </w:tr>
      <w:tr w14:paraId="7437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254" w:type="pct"/>
            <w:vAlign w:val="center"/>
          </w:tcPr>
          <w:p w14:paraId="092A99FA">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2.</w:t>
            </w:r>
          </w:p>
        </w:tc>
        <w:tc>
          <w:tcPr>
            <w:tcW w:w="895" w:type="pct"/>
            <w:shd w:val="clear" w:color="auto" w:fill="auto"/>
            <w:vAlign w:val="center"/>
          </w:tcPr>
          <w:p w14:paraId="49DBE048">
            <w:pPr>
              <w:keepNext w:val="0"/>
              <w:keepLines w:val="0"/>
              <w:pageBreakBefore w:val="0"/>
              <w:widowControl/>
              <w:suppressLineNumbers w:val="0"/>
              <w:kinsoku/>
              <w:wordWrap/>
              <w:overflowPunct/>
              <w:topLinePunct w:val="0"/>
              <w:autoSpaceDE/>
              <w:autoSpaceDN/>
              <w:bidi w:val="0"/>
              <w:adjustRightInd/>
              <w:snapToGrid/>
              <w:spacing w:line="160" w:lineRule="atLeast"/>
              <w:ind w:left="0" w:leftChars="0" w:firstLine="0" w:firstLineChars="0"/>
              <w:jc w:val="center"/>
              <w:textAlignment w:val="auto"/>
              <w:rPr>
                <w:rFonts w:ascii="微软雅黑" w:hAnsi="微软雅黑" w:eastAsia="微软雅黑" w:cs="微软雅黑"/>
                <w:bCs/>
                <w:sz w:val="20"/>
                <w:szCs w:val="20"/>
                <w:lang w:eastAsia="zh-CN" w:bidi="ar"/>
              </w:rPr>
            </w:pPr>
            <w:r>
              <w:rPr>
                <w:rFonts w:hint="eastAsia" w:ascii="微软雅黑" w:hAnsi="微软雅黑" w:eastAsia="微软雅黑" w:cs="微软雅黑"/>
                <w:bCs/>
                <w:sz w:val="22"/>
                <w:szCs w:val="22"/>
                <w:lang w:eastAsia="zh-CN" w:bidi="ar"/>
              </w:rPr>
              <w:t>诊疗床</w:t>
            </w:r>
          </w:p>
        </w:tc>
        <w:tc>
          <w:tcPr>
            <w:tcW w:w="304" w:type="pct"/>
            <w:shd w:val="clear" w:color="auto" w:fill="auto"/>
            <w:vAlign w:val="center"/>
          </w:tcPr>
          <w:p w14:paraId="12FCB2BC">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2"/>
                <w:szCs w:val="22"/>
                <w:lang w:eastAsia="zh-CN" w:bidi="ar"/>
              </w:rPr>
            </w:pPr>
          </w:p>
        </w:tc>
        <w:tc>
          <w:tcPr>
            <w:tcW w:w="335" w:type="pct"/>
            <w:shd w:val="clear" w:color="auto" w:fill="auto"/>
            <w:vAlign w:val="center"/>
          </w:tcPr>
          <w:p w14:paraId="12AA3F77">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2"/>
                <w:szCs w:val="22"/>
                <w:lang w:eastAsia="zh-CN" w:bidi="ar"/>
              </w:rPr>
            </w:pPr>
          </w:p>
        </w:tc>
        <w:tc>
          <w:tcPr>
            <w:tcW w:w="290" w:type="pct"/>
            <w:shd w:val="clear" w:color="auto" w:fill="auto"/>
            <w:vAlign w:val="center"/>
          </w:tcPr>
          <w:p w14:paraId="546305A2">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2"/>
                <w:szCs w:val="22"/>
                <w:lang w:eastAsia="zh-CN" w:bidi="ar"/>
              </w:rPr>
            </w:pPr>
          </w:p>
        </w:tc>
        <w:tc>
          <w:tcPr>
            <w:tcW w:w="440" w:type="pct"/>
            <w:shd w:val="clear" w:color="auto" w:fill="auto"/>
            <w:vAlign w:val="center"/>
          </w:tcPr>
          <w:p w14:paraId="32621BE4">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2"/>
                <w:szCs w:val="22"/>
                <w:lang w:eastAsia="zh-CN" w:bidi="ar"/>
              </w:rPr>
            </w:pPr>
          </w:p>
        </w:tc>
        <w:tc>
          <w:tcPr>
            <w:tcW w:w="328" w:type="pct"/>
            <w:shd w:val="clear" w:color="auto" w:fill="auto"/>
            <w:vAlign w:val="center"/>
          </w:tcPr>
          <w:p w14:paraId="403B57D9">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宋体" w:hAnsi="宋体" w:eastAsia="宋体" w:cs="宋体"/>
                <w:bCs/>
                <w:sz w:val="22"/>
                <w:szCs w:val="22"/>
                <w:lang w:eastAsia="zh-CN" w:bidi="ar"/>
              </w:rPr>
              <w:t>52</w:t>
            </w:r>
          </w:p>
        </w:tc>
        <w:tc>
          <w:tcPr>
            <w:tcW w:w="328" w:type="pct"/>
            <w:shd w:val="clear" w:color="auto" w:fill="auto"/>
            <w:vAlign w:val="center"/>
          </w:tcPr>
          <w:p w14:paraId="596BA894">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550" w:type="pct"/>
            <w:shd w:val="clear" w:color="auto" w:fill="auto"/>
            <w:vAlign w:val="center"/>
          </w:tcPr>
          <w:p w14:paraId="3EC23A6D">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3000</w:t>
            </w:r>
          </w:p>
        </w:tc>
        <w:tc>
          <w:tcPr>
            <w:tcW w:w="316" w:type="pct"/>
            <w:shd w:val="clear" w:color="auto" w:fill="auto"/>
            <w:vAlign w:val="center"/>
          </w:tcPr>
          <w:p w14:paraId="36C78748">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Cs/>
                <w:kern w:val="2"/>
                <w:sz w:val="21"/>
                <w:szCs w:val="21"/>
                <w:lang w:eastAsia="zh-CN"/>
              </w:rPr>
            </w:pPr>
          </w:p>
        </w:tc>
        <w:tc>
          <w:tcPr>
            <w:tcW w:w="386" w:type="pct"/>
            <w:shd w:val="clear" w:color="auto" w:fill="auto"/>
            <w:vAlign w:val="center"/>
          </w:tcPr>
          <w:p w14:paraId="21592468">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c>
          <w:tcPr>
            <w:tcW w:w="567" w:type="pct"/>
            <w:vMerge w:val="continue"/>
            <w:shd w:val="clear" w:color="auto" w:fill="auto"/>
            <w:vAlign w:val="center"/>
          </w:tcPr>
          <w:p w14:paraId="5A5B127D">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r>
      <w:tr w14:paraId="5ED7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254" w:type="pct"/>
            <w:vAlign w:val="center"/>
          </w:tcPr>
          <w:p w14:paraId="3A83F3DE">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3.</w:t>
            </w:r>
          </w:p>
        </w:tc>
        <w:tc>
          <w:tcPr>
            <w:tcW w:w="895" w:type="pct"/>
            <w:shd w:val="clear" w:color="auto" w:fill="auto"/>
            <w:vAlign w:val="top"/>
          </w:tcPr>
          <w:p w14:paraId="6E3BAF24">
            <w:pPr>
              <w:keepNext w:val="0"/>
              <w:keepLines w:val="0"/>
              <w:pageBreakBefore w:val="0"/>
              <w:widowControl/>
              <w:suppressLineNumbers w:val="0"/>
              <w:kinsoku/>
              <w:wordWrap/>
              <w:overflowPunct/>
              <w:topLinePunct w:val="0"/>
              <w:autoSpaceDE/>
              <w:autoSpaceDN/>
              <w:bidi w:val="0"/>
              <w:adjustRightInd/>
              <w:snapToGrid/>
              <w:spacing w:line="160" w:lineRule="atLeast"/>
              <w:ind w:left="0" w:leftChars="0" w:firstLine="0" w:firstLineChars="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儿科病床</w:t>
            </w:r>
          </w:p>
        </w:tc>
        <w:tc>
          <w:tcPr>
            <w:tcW w:w="304" w:type="pct"/>
            <w:shd w:val="clear" w:color="auto" w:fill="auto"/>
            <w:vAlign w:val="top"/>
          </w:tcPr>
          <w:p w14:paraId="4B47BCEC">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35" w:type="pct"/>
            <w:shd w:val="clear" w:color="auto" w:fill="auto"/>
            <w:vAlign w:val="top"/>
          </w:tcPr>
          <w:p w14:paraId="1092A1DB">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290" w:type="pct"/>
            <w:shd w:val="clear" w:color="auto" w:fill="auto"/>
            <w:vAlign w:val="top"/>
          </w:tcPr>
          <w:p w14:paraId="4DCBDB6F">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440" w:type="pct"/>
            <w:shd w:val="clear" w:color="auto" w:fill="auto"/>
            <w:vAlign w:val="top"/>
          </w:tcPr>
          <w:p w14:paraId="02952BFE">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28" w:type="pct"/>
            <w:shd w:val="clear" w:color="auto" w:fill="auto"/>
            <w:vAlign w:val="top"/>
          </w:tcPr>
          <w:p w14:paraId="254EE0BB">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6</w:t>
            </w:r>
          </w:p>
        </w:tc>
        <w:tc>
          <w:tcPr>
            <w:tcW w:w="328" w:type="pct"/>
            <w:shd w:val="clear" w:color="auto" w:fill="auto"/>
            <w:vAlign w:val="center"/>
          </w:tcPr>
          <w:p w14:paraId="6328B9C1">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550" w:type="pct"/>
            <w:shd w:val="clear" w:color="auto" w:fill="auto"/>
            <w:vAlign w:val="center"/>
          </w:tcPr>
          <w:p w14:paraId="65CE3EDB">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5000</w:t>
            </w:r>
          </w:p>
        </w:tc>
        <w:tc>
          <w:tcPr>
            <w:tcW w:w="316" w:type="pct"/>
            <w:shd w:val="clear" w:color="auto" w:fill="auto"/>
            <w:vAlign w:val="center"/>
          </w:tcPr>
          <w:p w14:paraId="3AAD378C">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p>
        </w:tc>
        <w:tc>
          <w:tcPr>
            <w:tcW w:w="386" w:type="pct"/>
            <w:shd w:val="clear" w:color="auto" w:fill="auto"/>
            <w:vAlign w:val="center"/>
          </w:tcPr>
          <w:p w14:paraId="573CC209">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p>
        </w:tc>
        <w:tc>
          <w:tcPr>
            <w:tcW w:w="567" w:type="pct"/>
            <w:vMerge w:val="continue"/>
            <w:shd w:val="clear" w:color="auto" w:fill="auto"/>
            <w:vAlign w:val="center"/>
          </w:tcPr>
          <w:p w14:paraId="687EBB60">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hint="eastAsia" w:eastAsia="宋体"/>
                <w:b/>
                <w:bCs/>
                <w:color w:val="FF0000"/>
                <w:kern w:val="2"/>
                <w:sz w:val="21"/>
                <w:szCs w:val="21"/>
                <w:lang w:eastAsia="zh-CN"/>
              </w:rPr>
            </w:pPr>
          </w:p>
        </w:tc>
      </w:tr>
      <w:tr w14:paraId="0069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254" w:type="pct"/>
            <w:vAlign w:val="center"/>
          </w:tcPr>
          <w:p w14:paraId="72364B5B">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4.</w:t>
            </w:r>
          </w:p>
        </w:tc>
        <w:tc>
          <w:tcPr>
            <w:tcW w:w="895" w:type="pct"/>
            <w:shd w:val="clear" w:color="auto" w:fill="auto"/>
            <w:vAlign w:val="top"/>
          </w:tcPr>
          <w:p w14:paraId="18DB5777">
            <w:pPr>
              <w:keepNext w:val="0"/>
              <w:keepLines w:val="0"/>
              <w:pageBreakBefore w:val="0"/>
              <w:widowControl/>
              <w:suppressLineNumbers w:val="0"/>
              <w:kinsoku/>
              <w:wordWrap/>
              <w:overflowPunct/>
              <w:topLinePunct w:val="0"/>
              <w:autoSpaceDE/>
              <w:autoSpaceDN/>
              <w:bidi w:val="0"/>
              <w:adjustRightInd/>
              <w:snapToGrid/>
              <w:spacing w:line="160" w:lineRule="atLeast"/>
              <w:ind w:left="0" w:leftChars="0" w:firstLine="0" w:firstLineChars="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气垫床垫</w:t>
            </w:r>
          </w:p>
        </w:tc>
        <w:tc>
          <w:tcPr>
            <w:tcW w:w="304" w:type="pct"/>
            <w:shd w:val="clear" w:color="auto" w:fill="auto"/>
            <w:vAlign w:val="top"/>
          </w:tcPr>
          <w:p w14:paraId="0651AD75">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35" w:type="pct"/>
            <w:shd w:val="clear" w:color="auto" w:fill="auto"/>
            <w:vAlign w:val="top"/>
          </w:tcPr>
          <w:p w14:paraId="7C060E0E">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290" w:type="pct"/>
            <w:shd w:val="clear" w:color="auto" w:fill="auto"/>
            <w:vAlign w:val="top"/>
          </w:tcPr>
          <w:p w14:paraId="5A59D477">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440" w:type="pct"/>
            <w:shd w:val="clear" w:color="auto" w:fill="auto"/>
            <w:vAlign w:val="top"/>
          </w:tcPr>
          <w:p w14:paraId="6958F628">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28" w:type="pct"/>
            <w:shd w:val="clear" w:color="auto" w:fill="auto"/>
            <w:vAlign w:val="top"/>
          </w:tcPr>
          <w:p w14:paraId="711E48D3">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4</w:t>
            </w:r>
          </w:p>
        </w:tc>
        <w:tc>
          <w:tcPr>
            <w:tcW w:w="328" w:type="pct"/>
            <w:shd w:val="clear" w:color="auto" w:fill="auto"/>
            <w:vAlign w:val="center"/>
          </w:tcPr>
          <w:p w14:paraId="0FE13E6A">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550" w:type="pct"/>
            <w:shd w:val="clear" w:color="auto" w:fill="auto"/>
            <w:vAlign w:val="center"/>
          </w:tcPr>
          <w:p w14:paraId="2BEE1325">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800</w:t>
            </w:r>
          </w:p>
        </w:tc>
        <w:tc>
          <w:tcPr>
            <w:tcW w:w="316" w:type="pct"/>
            <w:shd w:val="clear" w:color="auto" w:fill="auto"/>
            <w:vAlign w:val="center"/>
          </w:tcPr>
          <w:p w14:paraId="354C05DB">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p>
        </w:tc>
        <w:tc>
          <w:tcPr>
            <w:tcW w:w="386" w:type="pct"/>
            <w:shd w:val="clear" w:color="auto" w:fill="auto"/>
            <w:vAlign w:val="center"/>
          </w:tcPr>
          <w:p w14:paraId="7360487E">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c>
          <w:tcPr>
            <w:tcW w:w="567" w:type="pct"/>
            <w:vMerge w:val="continue"/>
            <w:shd w:val="clear" w:color="auto" w:fill="auto"/>
            <w:vAlign w:val="center"/>
          </w:tcPr>
          <w:p w14:paraId="175EC566">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r>
      <w:tr w14:paraId="2C9F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254" w:type="pct"/>
            <w:vAlign w:val="center"/>
          </w:tcPr>
          <w:p w14:paraId="48FA1C3A">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5.</w:t>
            </w:r>
          </w:p>
        </w:tc>
        <w:tc>
          <w:tcPr>
            <w:tcW w:w="895" w:type="pct"/>
            <w:shd w:val="clear" w:color="auto" w:fill="auto"/>
            <w:vAlign w:val="top"/>
          </w:tcPr>
          <w:p w14:paraId="68695762">
            <w:pPr>
              <w:keepNext w:val="0"/>
              <w:keepLines w:val="0"/>
              <w:pageBreakBefore w:val="0"/>
              <w:widowControl/>
              <w:suppressLineNumbers w:val="0"/>
              <w:kinsoku/>
              <w:wordWrap/>
              <w:overflowPunct/>
              <w:topLinePunct w:val="0"/>
              <w:autoSpaceDE/>
              <w:autoSpaceDN/>
              <w:bidi w:val="0"/>
              <w:adjustRightInd/>
              <w:snapToGrid/>
              <w:spacing w:line="160" w:lineRule="atLeast"/>
              <w:ind w:left="0" w:leftChars="0" w:firstLine="0" w:firstLineChars="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静态防压疮床垫</w:t>
            </w:r>
          </w:p>
        </w:tc>
        <w:tc>
          <w:tcPr>
            <w:tcW w:w="304" w:type="pct"/>
            <w:shd w:val="clear" w:color="auto" w:fill="auto"/>
            <w:vAlign w:val="top"/>
          </w:tcPr>
          <w:p w14:paraId="2B03863D">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35" w:type="pct"/>
            <w:shd w:val="clear" w:color="auto" w:fill="auto"/>
            <w:vAlign w:val="top"/>
          </w:tcPr>
          <w:p w14:paraId="30A3BC34">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290" w:type="pct"/>
            <w:shd w:val="clear" w:color="auto" w:fill="auto"/>
            <w:vAlign w:val="top"/>
          </w:tcPr>
          <w:p w14:paraId="39C91EED">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440" w:type="pct"/>
            <w:shd w:val="clear" w:color="auto" w:fill="auto"/>
            <w:vAlign w:val="top"/>
          </w:tcPr>
          <w:p w14:paraId="278236CC">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28" w:type="pct"/>
            <w:shd w:val="clear" w:color="auto" w:fill="auto"/>
            <w:vAlign w:val="top"/>
          </w:tcPr>
          <w:p w14:paraId="12D421EE">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4</w:t>
            </w:r>
          </w:p>
        </w:tc>
        <w:tc>
          <w:tcPr>
            <w:tcW w:w="328" w:type="pct"/>
            <w:shd w:val="clear" w:color="auto" w:fill="auto"/>
            <w:vAlign w:val="center"/>
          </w:tcPr>
          <w:p w14:paraId="7D2965FB">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550" w:type="pct"/>
            <w:shd w:val="clear" w:color="auto" w:fill="auto"/>
            <w:vAlign w:val="center"/>
          </w:tcPr>
          <w:p w14:paraId="103A9381">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4500</w:t>
            </w:r>
          </w:p>
        </w:tc>
        <w:tc>
          <w:tcPr>
            <w:tcW w:w="316" w:type="pct"/>
            <w:shd w:val="clear" w:color="auto" w:fill="auto"/>
            <w:vAlign w:val="center"/>
          </w:tcPr>
          <w:p w14:paraId="7D3586C4">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p>
        </w:tc>
        <w:tc>
          <w:tcPr>
            <w:tcW w:w="386" w:type="pct"/>
            <w:shd w:val="clear" w:color="auto" w:fill="auto"/>
            <w:vAlign w:val="center"/>
          </w:tcPr>
          <w:p w14:paraId="34D4347F">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c>
          <w:tcPr>
            <w:tcW w:w="567" w:type="pct"/>
            <w:vMerge w:val="continue"/>
            <w:shd w:val="clear" w:color="auto" w:fill="auto"/>
            <w:vAlign w:val="center"/>
          </w:tcPr>
          <w:p w14:paraId="35D553A1">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r>
      <w:tr w14:paraId="11C4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254" w:type="pct"/>
            <w:vAlign w:val="center"/>
          </w:tcPr>
          <w:p w14:paraId="5D5B52E6">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6.</w:t>
            </w:r>
          </w:p>
        </w:tc>
        <w:tc>
          <w:tcPr>
            <w:tcW w:w="895" w:type="pct"/>
            <w:shd w:val="clear" w:color="auto" w:fill="auto"/>
            <w:vAlign w:val="top"/>
          </w:tcPr>
          <w:p w14:paraId="61BAAB11">
            <w:pPr>
              <w:keepNext w:val="0"/>
              <w:keepLines w:val="0"/>
              <w:pageBreakBefore w:val="0"/>
              <w:widowControl/>
              <w:suppressLineNumbers w:val="0"/>
              <w:kinsoku/>
              <w:wordWrap/>
              <w:overflowPunct/>
              <w:topLinePunct w:val="0"/>
              <w:autoSpaceDE/>
              <w:autoSpaceDN/>
              <w:bidi w:val="0"/>
              <w:adjustRightInd/>
              <w:snapToGrid/>
              <w:spacing w:line="160" w:lineRule="atLeast"/>
              <w:ind w:left="0" w:leftChars="0" w:firstLine="0" w:firstLineChars="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轮椅</w:t>
            </w:r>
          </w:p>
        </w:tc>
        <w:tc>
          <w:tcPr>
            <w:tcW w:w="304" w:type="pct"/>
            <w:shd w:val="clear" w:color="auto" w:fill="auto"/>
            <w:vAlign w:val="top"/>
          </w:tcPr>
          <w:p w14:paraId="5B3B9FE8">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35" w:type="pct"/>
            <w:shd w:val="clear" w:color="auto" w:fill="auto"/>
            <w:vAlign w:val="top"/>
          </w:tcPr>
          <w:p w14:paraId="02EE82B4">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290" w:type="pct"/>
            <w:shd w:val="clear" w:color="auto" w:fill="auto"/>
            <w:vAlign w:val="top"/>
          </w:tcPr>
          <w:p w14:paraId="73A73C29">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440" w:type="pct"/>
            <w:shd w:val="clear" w:color="auto" w:fill="auto"/>
            <w:vAlign w:val="top"/>
          </w:tcPr>
          <w:p w14:paraId="1D1BB173">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28" w:type="pct"/>
            <w:shd w:val="clear" w:color="auto" w:fill="auto"/>
            <w:vAlign w:val="top"/>
          </w:tcPr>
          <w:p w14:paraId="70217B32">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23</w:t>
            </w:r>
          </w:p>
        </w:tc>
        <w:tc>
          <w:tcPr>
            <w:tcW w:w="328" w:type="pct"/>
            <w:shd w:val="clear" w:color="auto" w:fill="auto"/>
            <w:vAlign w:val="center"/>
          </w:tcPr>
          <w:p w14:paraId="5E2C0AFF">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550" w:type="pct"/>
            <w:shd w:val="clear" w:color="auto" w:fill="auto"/>
            <w:vAlign w:val="center"/>
          </w:tcPr>
          <w:p w14:paraId="767A2ABF">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800</w:t>
            </w:r>
          </w:p>
        </w:tc>
        <w:tc>
          <w:tcPr>
            <w:tcW w:w="316" w:type="pct"/>
            <w:shd w:val="clear" w:color="auto" w:fill="auto"/>
            <w:vAlign w:val="center"/>
          </w:tcPr>
          <w:p w14:paraId="4607BAF9">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p>
        </w:tc>
        <w:tc>
          <w:tcPr>
            <w:tcW w:w="386" w:type="pct"/>
            <w:shd w:val="clear" w:color="auto" w:fill="auto"/>
            <w:vAlign w:val="center"/>
          </w:tcPr>
          <w:p w14:paraId="53FB7FA4">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c>
          <w:tcPr>
            <w:tcW w:w="567" w:type="pct"/>
            <w:vMerge w:val="continue"/>
            <w:shd w:val="clear" w:color="auto" w:fill="auto"/>
            <w:vAlign w:val="center"/>
          </w:tcPr>
          <w:p w14:paraId="089BB1DF">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r>
      <w:tr w14:paraId="7793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254" w:type="pct"/>
            <w:vAlign w:val="center"/>
          </w:tcPr>
          <w:p w14:paraId="2EAC5E70">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7.</w:t>
            </w:r>
          </w:p>
        </w:tc>
        <w:tc>
          <w:tcPr>
            <w:tcW w:w="895" w:type="pct"/>
            <w:shd w:val="clear" w:color="auto" w:fill="auto"/>
            <w:vAlign w:val="top"/>
          </w:tcPr>
          <w:p w14:paraId="3988881D">
            <w:pPr>
              <w:keepNext w:val="0"/>
              <w:keepLines w:val="0"/>
              <w:pageBreakBefore w:val="0"/>
              <w:widowControl/>
              <w:suppressLineNumbers w:val="0"/>
              <w:kinsoku/>
              <w:wordWrap/>
              <w:overflowPunct/>
              <w:topLinePunct w:val="0"/>
              <w:autoSpaceDE/>
              <w:autoSpaceDN/>
              <w:bidi w:val="0"/>
              <w:adjustRightInd/>
              <w:snapToGrid/>
              <w:spacing w:line="160" w:lineRule="atLeast"/>
              <w:ind w:left="0" w:leftChars="0" w:firstLine="0" w:firstLineChars="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称重轮椅</w:t>
            </w:r>
          </w:p>
        </w:tc>
        <w:tc>
          <w:tcPr>
            <w:tcW w:w="304" w:type="pct"/>
            <w:shd w:val="clear" w:color="auto" w:fill="auto"/>
            <w:vAlign w:val="top"/>
          </w:tcPr>
          <w:p w14:paraId="7153A5FF">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35" w:type="pct"/>
            <w:shd w:val="clear" w:color="auto" w:fill="auto"/>
            <w:vAlign w:val="top"/>
          </w:tcPr>
          <w:p w14:paraId="755DF902">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290" w:type="pct"/>
            <w:shd w:val="clear" w:color="auto" w:fill="auto"/>
            <w:vAlign w:val="top"/>
          </w:tcPr>
          <w:p w14:paraId="610C193D">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440" w:type="pct"/>
            <w:shd w:val="clear" w:color="auto" w:fill="auto"/>
            <w:vAlign w:val="top"/>
          </w:tcPr>
          <w:p w14:paraId="0ADF143A">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28" w:type="pct"/>
            <w:shd w:val="clear" w:color="auto" w:fill="auto"/>
            <w:vAlign w:val="top"/>
          </w:tcPr>
          <w:p w14:paraId="138823BB">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1</w:t>
            </w:r>
          </w:p>
        </w:tc>
        <w:tc>
          <w:tcPr>
            <w:tcW w:w="328" w:type="pct"/>
            <w:shd w:val="clear" w:color="auto" w:fill="auto"/>
            <w:vAlign w:val="center"/>
          </w:tcPr>
          <w:p w14:paraId="4C7940BB">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550" w:type="pct"/>
            <w:shd w:val="clear" w:color="auto" w:fill="auto"/>
            <w:vAlign w:val="center"/>
          </w:tcPr>
          <w:p w14:paraId="0453CDA5">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3000</w:t>
            </w:r>
          </w:p>
        </w:tc>
        <w:tc>
          <w:tcPr>
            <w:tcW w:w="316" w:type="pct"/>
            <w:shd w:val="clear" w:color="auto" w:fill="auto"/>
            <w:vAlign w:val="center"/>
          </w:tcPr>
          <w:p w14:paraId="6DC0F219">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p>
        </w:tc>
        <w:tc>
          <w:tcPr>
            <w:tcW w:w="386" w:type="pct"/>
            <w:shd w:val="clear" w:color="auto" w:fill="auto"/>
            <w:vAlign w:val="center"/>
          </w:tcPr>
          <w:p w14:paraId="6371EBDD">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c>
          <w:tcPr>
            <w:tcW w:w="567" w:type="pct"/>
            <w:vMerge w:val="continue"/>
            <w:shd w:val="clear" w:color="auto" w:fill="auto"/>
            <w:vAlign w:val="center"/>
          </w:tcPr>
          <w:p w14:paraId="537F9F95">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r>
      <w:tr w14:paraId="6076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254" w:type="pct"/>
            <w:vAlign w:val="center"/>
          </w:tcPr>
          <w:p w14:paraId="3667B463">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8.</w:t>
            </w:r>
          </w:p>
        </w:tc>
        <w:tc>
          <w:tcPr>
            <w:tcW w:w="895" w:type="pct"/>
            <w:shd w:val="clear" w:color="auto" w:fill="auto"/>
            <w:vAlign w:val="top"/>
          </w:tcPr>
          <w:p w14:paraId="75F7CD58">
            <w:pPr>
              <w:keepNext w:val="0"/>
              <w:keepLines w:val="0"/>
              <w:pageBreakBefore w:val="0"/>
              <w:widowControl/>
              <w:suppressLineNumbers w:val="0"/>
              <w:kinsoku/>
              <w:wordWrap/>
              <w:overflowPunct/>
              <w:topLinePunct w:val="0"/>
              <w:autoSpaceDE/>
              <w:autoSpaceDN/>
              <w:bidi w:val="0"/>
              <w:adjustRightInd/>
              <w:snapToGrid/>
              <w:spacing w:line="160" w:lineRule="atLeast"/>
              <w:ind w:left="0" w:leftChars="0" w:firstLine="0" w:firstLineChars="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转运车</w:t>
            </w:r>
          </w:p>
        </w:tc>
        <w:tc>
          <w:tcPr>
            <w:tcW w:w="304" w:type="pct"/>
            <w:shd w:val="clear" w:color="auto" w:fill="auto"/>
            <w:vAlign w:val="top"/>
          </w:tcPr>
          <w:p w14:paraId="42E9FC60">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35" w:type="pct"/>
            <w:shd w:val="clear" w:color="auto" w:fill="auto"/>
            <w:vAlign w:val="top"/>
          </w:tcPr>
          <w:p w14:paraId="4489B5A2">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290" w:type="pct"/>
            <w:shd w:val="clear" w:color="auto" w:fill="auto"/>
            <w:vAlign w:val="top"/>
          </w:tcPr>
          <w:p w14:paraId="01E7693F">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440" w:type="pct"/>
            <w:shd w:val="clear" w:color="auto" w:fill="auto"/>
            <w:vAlign w:val="top"/>
          </w:tcPr>
          <w:p w14:paraId="2E5659E1">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28" w:type="pct"/>
            <w:shd w:val="clear" w:color="auto" w:fill="auto"/>
            <w:vAlign w:val="top"/>
          </w:tcPr>
          <w:p w14:paraId="2C7B9F74">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30</w:t>
            </w:r>
          </w:p>
        </w:tc>
        <w:tc>
          <w:tcPr>
            <w:tcW w:w="328" w:type="pct"/>
            <w:shd w:val="clear" w:color="auto" w:fill="auto"/>
            <w:vAlign w:val="center"/>
          </w:tcPr>
          <w:p w14:paraId="30C63A2B">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张</w:t>
            </w:r>
          </w:p>
        </w:tc>
        <w:tc>
          <w:tcPr>
            <w:tcW w:w="550" w:type="pct"/>
            <w:shd w:val="clear" w:color="auto" w:fill="auto"/>
            <w:vAlign w:val="center"/>
          </w:tcPr>
          <w:p w14:paraId="1250D787">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9600</w:t>
            </w:r>
          </w:p>
        </w:tc>
        <w:tc>
          <w:tcPr>
            <w:tcW w:w="316" w:type="pct"/>
            <w:shd w:val="clear" w:color="auto" w:fill="auto"/>
            <w:vAlign w:val="center"/>
          </w:tcPr>
          <w:p w14:paraId="5816314C">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p>
        </w:tc>
        <w:tc>
          <w:tcPr>
            <w:tcW w:w="386" w:type="pct"/>
            <w:shd w:val="clear" w:color="auto" w:fill="auto"/>
            <w:vAlign w:val="center"/>
          </w:tcPr>
          <w:p w14:paraId="18C80168">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c>
          <w:tcPr>
            <w:tcW w:w="567" w:type="pct"/>
            <w:vMerge w:val="continue"/>
            <w:shd w:val="clear" w:color="auto" w:fill="auto"/>
            <w:vAlign w:val="center"/>
          </w:tcPr>
          <w:p w14:paraId="7CAB3CAD">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r>
      <w:tr w14:paraId="4008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 w:hRule="atLeast"/>
          <w:jc w:val="center"/>
        </w:trPr>
        <w:tc>
          <w:tcPr>
            <w:tcW w:w="254" w:type="pct"/>
            <w:vAlign w:val="center"/>
          </w:tcPr>
          <w:p w14:paraId="113D66DC">
            <w:pPr>
              <w:keepNext w:val="0"/>
              <w:keepLines w:val="0"/>
              <w:pageBreakBefore w:val="0"/>
              <w:widowControl w:val="0"/>
              <w:numPr>
                <w:ilvl w:val="0"/>
                <w:numId w:val="0"/>
              </w:numPr>
              <w:kinsoku/>
              <w:wordWrap/>
              <w:overflowPunct/>
              <w:topLinePunct w:val="0"/>
              <w:autoSpaceDE/>
              <w:autoSpaceDN/>
              <w:bidi w:val="0"/>
              <w:adjustRightInd/>
              <w:snapToGrid/>
              <w:spacing w:line="160" w:lineRule="atLeast"/>
              <w:ind w:left="0" w:leftChars="0" w:firstLine="0" w:firstLineChars="0"/>
              <w:jc w:val="center"/>
              <w:textAlignment w:val="auto"/>
              <w:rPr>
                <w:rFonts w:hint="eastAsia" w:eastAsia="宋体"/>
                <w:bCs/>
                <w:kern w:val="2"/>
                <w:sz w:val="21"/>
                <w:szCs w:val="21"/>
                <w:lang w:eastAsia="zh-CN"/>
              </w:rPr>
            </w:pPr>
            <w:r>
              <w:rPr>
                <w:rFonts w:eastAsia="宋体"/>
                <w:bCs/>
                <w:kern w:val="2"/>
                <w:sz w:val="21"/>
                <w:szCs w:val="21"/>
                <w:lang w:eastAsia="zh-CN"/>
              </w:rPr>
              <w:t>9.</w:t>
            </w:r>
          </w:p>
        </w:tc>
        <w:tc>
          <w:tcPr>
            <w:tcW w:w="895" w:type="pct"/>
            <w:shd w:val="clear" w:color="auto" w:fill="auto"/>
            <w:vAlign w:val="top"/>
          </w:tcPr>
          <w:p w14:paraId="324871EA">
            <w:pPr>
              <w:keepNext w:val="0"/>
              <w:keepLines w:val="0"/>
              <w:pageBreakBefore w:val="0"/>
              <w:widowControl/>
              <w:suppressLineNumbers w:val="0"/>
              <w:kinsoku/>
              <w:wordWrap/>
              <w:overflowPunct/>
              <w:topLinePunct w:val="0"/>
              <w:autoSpaceDE/>
              <w:autoSpaceDN/>
              <w:bidi w:val="0"/>
              <w:adjustRightInd/>
              <w:snapToGrid/>
              <w:spacing w:line="160" w:lineRule="atLeast"/>
              <w:ind w:left="0" w:leftChars="0" w:firstLine="0" w:firstLineChars="0"/>
              <w:jc w:val="center"/>
              <w:textAlignment w:val="auto"/>
              <w:rPr>
                <w:rFonts w:hint="eastAsia" w:ascii="微软雅黑" w:hAnsi="微软雅黑" w:eastAsia="微软雅黑" w:cs="微软雅黑"/>
                <w:bCs/>
                <w:sz w:val="20"/>
                <w:szCs w:val="20"/>
                <w:lang w:eastAsia="zh-CN" w:bidi="ar"/>
              </w:rPr>
            </w:pPr>
            <w:r>
              <w:rPr>
                <w:rFonts w:ascii="微软雅黑" w:hAnsi="微软雅黑" w:eastAsia="微软雅黑" w:cs="微软雅黑"/>
                <w:bCs/>
                <w:sz w:val="20"/>
                <w:szCs w:val="20"/>
                <w:lang w:eastAsia="zh-CN" w:bidi="ar"/>
              </w:rPr>
              <w:t>可折叠助行器</w:t>
            </w:r>
          </w:p>
        </w:tc>
        <w:tc>
          <w:tcPr>
            <w:tcW w:w="304" w:type="pct"/>
            <w:shd w:val="clear" w:color="auto" w:fill="auto"/>
            <w:vAlign w:val="top"/>
          </w:tcPr>
          <w:p w14:paraId="4DA5E937">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35" w:type="pct"/>
            <w:shd w:val="clear" w:color="auto" w:fill="auto"/>
            <w:vAlign w:val="top"/>
          </w:tcPr>
          <w:p w14:paraId="3816D1F8">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290" w:type="pct"/>
            <w:shd w:val="clear" w:color="auto" w:fill="auto"/>
            <w:vAlign w:val="top"/>
          </w:tcPr>
          <w:p w14:paraId="536E5724">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440" w:type="pct"/>
            <w:shd w:val="clear" w:color="auto" w:fill="auto"/>
            <w:vAlign w:val="top"/>
          </w:tcPr>
          <w:p w14:paraId="052AE1B4">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ascii="微软雅黑" w:hAnsi="微软雅黑" w:eastAsia="微软雅黑" w:cs="微软雅黑"/>
                <w:bCs/>
                <w:sz w:val="20"/>
                <w:szCs w:val="20"/>
                <w:lang w:eastAsia="zh-CN" w:bidi="ar"/>
              </w:rPr>
            </w:pPr>
          </w:p>
        </w:tc>
        <w:tc>
          <w:tcPr>
            <w:tcW w:w="328" w:type="pct"/>
            <w:shd w:val="clear" w:color="auto" w:fill="auto"/>
            <w:vAlign w:val="top"/>
          </w:tcPr>
          <w:p w14:paraId="0ACE1485">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4</w:t>
            </w:r>
          </w:p>
        </w:tc>
        <w:tc>
          <w:tcPr>
            <w:tcW w:w="328" w:type="pct"/>
            <w:shd w:val="clear" w:color="auto" w:fill="auto"/>
            <w:vAlign w:val="center"/>
          </w:tcPr>
          <w:p w14:paraId="66EF72EF">
            <w:pPr>
              <w:keepNext w:val="0"/>
              <w:keepLines w:val="0"/>
              <w:pageBreakBefore w:val="0"/>
              <w:widowControl/>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Cs/>
                <w:sz w:val="20"/>
                <w:szCs w:val="20"/>
                <w:lang w:eastAsia="zh-CN" w:bidi="ar"/>
              </w:rPr>
            </w:pPr>
            <w:r>
              <w:rPr>
                <w:rFonts w:hint="eastAsia" w:ascii="微软雅黑" w:hAnsi="微软雅黑" w:eastAsia="微软雅黑" w:cs="微软雅黑"/>
                <w:bCs/>
                <w:sz w:val="20"/>
                <w:szCs w:val="20"/>
                <w:lang w:eastAsia="zh-CN" w:bidi="ar"/>
              </w:rPr>
              <w:t>个</w:t>
            </w:r>
          </w:p>
        </w:tc>
        <w:tc>
          <w:tcPr>
            <w:tcW w:w="550" w:type="pct"/>
            <w:shd w:val="clear" w:color="auto" w:fill="auto"/>
            <w:vAlign w:val="center"/>
          </w:tcPr>
          <w:p w14:paraId="4FC6DDA8">
            <w:pPr>
              <w:keepNext w:val="0"/>
              <w:keepLines w:val="0"/>
              <w:pageBreakBefore w:val="0"/>
              <w:widowControl/>
              <w:suppressLineNumbers w:val="0"/>
              <w:kinsoku/>
              <w:wordWrap/>
              <w:overflowPunct/>
              <w:topLinePunct w:val="0"/>
              <w:autoSpaceDE/>
              <w:autoSpaceDN/>
              <w:bidi w:val="0"/>
              <w:adjustRightInd/>
              <w:snapToGrid/>
              <w:spacing w:line="160" w:lineRule="atLeast"/>
              <w:ind w:left="0" w:firstLine="0"/>
              <w:jc w:val="center"/>
              <w:textAlignment w:val="auto"/>
              <w:rPr>
                <w:rFonts w:hint="eastAsia" w:ascii="微软雅黑" w:hAnsi="微软雅黑" w:eastAsia="微软雅黑" w:cs="微软雅黑"/>
                <w:b/>
                <w:color w:val="FF0000"/>
                <w:sz w:val="20"/>
                <w:szCs w:val="20"/>
                <w:lang w:eastAsia="zh-CN" w:bidi="ar"/>
              </w:rPr>
            </w:pPr>
            <w:r>
              <w:rPr>
                <w:rFonts w:hint="eastAsia" w:ascii="宋体" w:hAnsi="宋体" w:eastAsia="宋体" w:cs="宋体"/>
                <w:b/>
                <w:color w:val="FF0000"/>
                <w:sz w:val="22"/>
                <w:szCs w:val="22"/>
                <w:lang w:eastAsia="zh-CN" w:bidi="ar"/>
              </w:rPr>
              <w:t>300</w:t>
            </w:r>
          </w:p>
        </w:tc>
        <w:tc>
          <w:tcPr>
            <w:tcW w:w="316" w:type="pct"/>
            <w:shd w:val="clear" w:color="auto" w:fill="auto"/>
            <w:vAlign w:val="center"/>
          </w:tcPr>
          <w:p w14:paraId="23C02AD1">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Cs/>
                <w:kern w:val="2"/>
                <w:sz w:val="21"/>
                <w:szCs w:val="21"/>
                <w:lang w:eastAsia="zh-CN"/>
              </w:rPr>
            </w:pPr>
          </w:p>
        </w:tc>
        <w:tc>
          <w:tcPr>
            <w:tcW w:w="386" w:type="pct"/>
            <w:shd w:val="clear" w:color="auto" w:fill="auto"/>
            <w:vAlign w:val="center"/>
          </w:tcPr>
          <w:p w14:paraId="201A2E78">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c>
          <w:tcPr>
            <w:tcW w:w="567" w:type="pct"/>
            <w:vMerge w:val="continue"/>
            <w:shd w:val="clear" w:color="auto" w:fill="auto"/>
            <w:vAlign w:val="center"/>
          </w:tcPr>
          <w:p w14:paraId="3D779F18">
            <w:pPr>
              <w:keepNext w:val="0"/>
              <w:keepLines w:val="0"/>
              <w:pageBreakBefore w:val="0"/>
              <w:widowControl w:val="0"/>
              <w:kinsoku/>
              <w:wordWrap/>
              <w:overflowPunct/>
              <w:topLinePunct w:val="0"/>
              <w:autoSpaceDE/>
              <w:autoSpaceDN/>
              <w:bidi w:val="0"/>
              <w:adjustRightInd/>
              <w:snapToGrid/>
              <w:spacing w:line="160" w:lineRule="atLeast"/>
              <w:ind w:left="0" w:firstLine="0"/>
              <w:jc w:val="center"/>
              <w:textAlignment w:val="auto"/>
              <w:rPr>
                <w:rFonts w:eastAsia="宋体"/>
                <w:b/>
                <w:bCs/>
                <w:color w:val="FF0000"/>
                <w:kern w:val="2"/>
                <w:sz w:val="21"/>
                <w:szCs w:val="21"/>
                <w:lang w:eastAsia="zh-CN"/>
              </w:rPr>
            </w:pPr>
          </w:p>
        </w:tc>
      </w:tr>
      <w:tr w14:paraId="40A2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jc w:val="center"/>
        </w:trPr>
        <w:tc>
          <w:tcPr>
            <w:tcW w:w="5000" w:type="pct"/>
            <w:gridSpan w:val="12"/>
            <w:vAlign w:val="center"/>
          </w:tcPr>
          <w:p w14:paraId="5F7C0C97">
            <w:pPr>
              <w:keepNext w:val="0"/>
              <w:keepLines w:val="0"/>
              <w:pageBreakBefore w:val="0"/>
              <w:widowControl w:val="0"/>
              <w:kinsoku/>
              <w:wordWrap/>
              <w:overflowPunct/>
              <w:topLinePunct w:val="0"/>
              <w:autoSpaceDE/>
              <w:autoSpaceDN/>
              <w:bidi w:val="0"/>
              <w:adjustRightInd/>
              <w:snapToGrid/>
              <w:spacing w:line="160" w:lineRule="atLeast"/>
              <w:ind w:left="0" w:firstLine="0"/>
              <w:jc w:val="left"/>
              <w:textAlignment w:val="auto"/>
              <w:rPr>
                <w:rFonts w:eastAsia="宋体"/>
                <w:b/>
                <w:bCs/>
                <w:color w:val="FF0000"/>
                <w:kern w:val="2"/>
                <w:sz w:val="21"/>
                <w:szCs w:val="21"/>
                <w:lang w:eastAsia="zh-CN"/>
              </w:rPr>
            </w:pPr>
            <w:r>
              <w:rPr>
                <w:rFonts w:hint="eastAsia" w:eastAsia="宋体"/>
                <w:b/>
                <w:bCs/>
                <w:color w:val="FF0000"/>
                <w:kern w:val="2"/>
                <w:sz w:val="21"/>
                <w:szCs w:val="21"/>
                <w:lang w:eastAsia="zh-CN"/>
              </w:rPr>
              <w:t>合计（即投标总价；币种：人民币；单位：元） 小写：                    大写：</w:t>
            </w:r>
          </w:p>
        </w:tc>
      </w:tr>
    </w:tbl>
    <w:p w14:paraId="2BA6A610">
      <w:pPr>
        <w:widowControl w:val="0"/>
        <w:jc w:val="both"/>
        <w:rPr>
          <w:rFonts w:ascii="宋体" w:hAnsi="宋体" w:eastAsia="宋体"/>
          <w:b/>
          <w:kern w:val="2"/>
          <w:lang w:eastAsia="zh-CN"/>
        </w:rPr>
      </w:pPr>
      <w:r>
        <w:rPr>
          <w:rFonts w:hint="eastAsia" w:ascii="宋体" w:hAnsi="宋体" w:eastAsia="宋体"/>
          <w:b/>
          <w:kern w:val="2"/>
          <w:lang w:eastAsia="zh-CN"/>
        </w:rPr>
        <w:t>注：1.本表可按同样格式扩展。</w:t>
      </w:r>
    </w:p>
    <w:p w14:paraId="13921D44">
      <w:pPr>
        <w:widowControl w:val="0"/>
        <w:ind w:firstLine="472" w:firstLineChars="196"/>
        <w:jc w:val="both"/>
        <w:rPr>
          <w:rFonts w:ascii="宋体" w:hAnsi="宋体" w:eastAsia="宋体"/>
          <w:b/>
          <w:kern w:val="2"/>
          <w:lang w:eastAsia="zh-CN"/>
        </w:rPr>
      </w:pPr>
      <w:r>
        <w:rPr>
          <w:rFonts w:hint="eastAsia" w:ascii="宋体" w:hAnsi="宋体" w:eastAsia="宋体"/>
          <w:b/>
          <w:kern w:val="2"/>
          <w:lang w:eastAsia="zh-CN"/>
        </w:rPr>
        <w:t>2</w:t>
      </w:r>
      <w:r>
        <w:rPr>
          <w:rFonts w:ascii="宋体" w:hAnsi="宋体" w:eastAsia="宋体"/>
          <w:b/>
          <w:kern w:val="2"/>
          <w:lang w:eastAsia="zh-CN"/>
        </w:rPr>
        <w:t>.</w:t>
      </w:r>
      <w:r>
        <w:rPr>
          <w:rFonts w:hint="eastAsia" w:ascii="宋体" w:hAnsi="宋体" w:eastAsia="宋体"/>
          <w:b/>
          <w:kern w:val="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160F1B6C">
      <w:pPr>
        <w:widowControl w:val="0"/>
        <w:ind w:firstLine="472" w:firstLineChars="196"/>
        <w:jc w:val="both"/>
        <w:rPr>
          <w:rFonts w:hint="eastAsia" w:eastAsia="宋体"/>
          <w:b/>
          <w:kern w:val="2"/>
          <w:lang w:eastAsia="zh-CN"/>
        </w:rPr>
      </w:pPr>
      <w:r>
        <w:rPr>
          <w:rFonts w:hint="eastAsia" w:ascii="宋体" w:hAnsi="宋体" w:eastAsia="宋体"/>
          <w:b/>
          <w:kern w:val="2"/>
          <w:lang w:eastAsia="zh-CN"/>
        </w:rPr>
        <w:t>3.如所投货物属于定制类的非量产货物或无具体型号的货物，可以在“规格/型号”栏目仅填写规格信息而不填型号信息（型号信息用“定制”描述即可）；</w:t>
      </w:r>
      <w:bookmarkStart w:id="44" w:name="_Hlk73646428"/>
      <w:r>
        <w:rPr>
          <w:rFonts w:hint="eastAsia" w:ascii="宋体" w:hAnsi="宋体" w:eastAsia="宋体"/>
          <w:b/>
          <w:kern w:val="2"/>
          <w:lang w:eastAsia="zh-CN"/>
        </w:rPr>
        <w:t>此类填写错误或缺漏（所投货物为定制类的非量产货物但供应商却错误填报了型号）的不利后果</w:t>
      </w:r>
      <w:r>
        <w:rPr>
          <w:rFonts w:hint="eastAsia" w:eastAsia="宋体"/>
          <w:b/>
          <w:kern w:val="2"/>
          <w:lang w:eastAsia="zh-CN"/>
        </w:rPr>
        <w:t>由供应商承担。经评审委员会认定，在使用综合评分法的项目中一项此类填写错误或缺漏将按照一项普通招标技术要求（一般参数/普通参数）负偏离扣分处理。</w:t>
      </w:r>
      <w:bookmarkEnd w:id="44"/>
    </w:p>
    <w:p w14:paraId="66E05E92">
      <w:pPr>
        <w:widowControl w:val="0"/>
        <w:ind w:firstLine="472" w:firstLineChars="196"/>
        <w:jc w:val="both"/>
        <w:rPr>
          <w:rFonts w:ascii="宋体" w:hAnsi="宋体" w:eastAsia="宋体"/>
          <w:b/>
          <w:kern w:val="2"/>
          <w:sz w:val="21"/>
          <w:szCs w:val="21"/>
          <w:lang w:eastAsia="zh-CN"/>
        </w:rPr>
      </w:pPr>
      <w:r>
        <w:rPr>
          <w:rFonts w:ascii="宋体" w:hAnsi="宋体" w:eastAsia="宋体"/>
          <w:b/>
          <w:kern w:val="2"/>
          <w:lang w:eastAsia="zh-CN"/>
        </w:rPr>
        <w:t>3</w:t>
      </w:r>
      <w:r>
        <w:rPr>
          <w:rFonts w:hint="eastAsia" w:ascii="宋体" w:hAnsi="宋体" w:eastAsia="宋体"/>
          <w:b/>
          <w:kern w:val="2"/>
          <w:lang w:eastAsia="zh-CN"/>
        </w:rPr>
        <w:t>.“原产地”是指货物的实际生产加工地，非品牌所在地</w:t>
      </w:r>
    </w:p>
    <w:p w14:paraId="160D1C73">
      <w:pPr>
        <w:widowControl w:val="0"/>
        <w:ind w:firstLine="413" w:firstLineChars="196"/>
        <w:jc w:val="both"/>
        <w:rPr>
          <w:rFonts w:ascii="宋体" w:hAnsi="宋体" w:eastAsia="宋体"/>
          <w:b/>
          <w:kern w:val="2"/>
          <w:lang w:eastAsia="zh-CN"/>
        </w:rPr>
      </w:pPr>
      <w:r>
        <w:rPr>
          <w:rFonts w:ascii="宋体" w:hAnsi="宋体" w:eastAsia="宋体"/>
          <w:b/>
          <w:kern w:val="2"/>
          <w:sz w:val="21"/>
          <w:szCs w:val="21"/>
          <w:lang w:eastAsia="zh-CN"/>
        </w:rPr>
        <w:t>4</w:t>
      </w:r>
      <w:r>
        <w:rPr>
          <w:rFonts w:hint="eastAsia" w:ascii="宋体" w:hAnsi="宋体" w:eastAsia="宋体"/>
          <w:b/>
          <w:kern w:val="2"/>
          <w:sz w:val="21"/>
          <w:szCs w:val="21"/>
          <w:lang w:eastAsia="zh-CN"/>
        </w:rPr>
        <w:t>.所投货物均应填写制造商名称，“制造商”是指产品品牌厂商，产品代工制造</w:t>
      </w:r>
      <w:r>
        <w:rPr>
          <w:rFonts w:hint="eastAsia" w:ascii="宋体" w:hAnsi="宋体" w:eastAsia="宋体"/>
          <w:b/>
          <w:kern w:val="2"/>
          <w:lang w:eastAsia="zh-CN"/>
        </w:rPr>
        <w:t>的，应填写接受委托生产制造的制造商。</w:t>
      </w:r>
    </w:p>
    <w:p w14:paraId="1C345211">
      <w:pPr>
        <w:widowControl w:val="0"/>
        <w:ind w:firstLine="482" w:firstLineChars="200"/>
        <w:jc w:val="both"/>
        <w:rPr>
          <w:rFonts w:ascii="宋体" w:hAnsi="宋体" w:eastAsia="宋体"/>
          <w:b/>
          <w:kern w:val="2"/>
          <w:lang w:eastAsia="zh-CN"/>
        </w:rPr>
      </w:pPr>
      <w:r>
        <w:rPr>
          <w:rFonts w:ascii="宋体" w:hAnsi="宋体" w:eastAsia="宋体"/>
          <w:b/>
          <w:kern w:val="2"/>
          <w:lang w:eastAsia="zh-CN"/>
        </w:rPr>
        <w:t>5</w:t>
      </w:r>
      <w:r>
        <w:rPr>
          <w:rFonts w:hint="eastAsia" w:ascii="宋体" w:hAnsi="宋体" w:eastAsia="宋体"/>
          <w:b/>
          <w:kern w:val="2"/>
          <w:lang w:eastAsia="zh-CN"/>
        </w:rPr>
        <w:t>.以上分项报价表的投标总价应当与开标一览表的投标总价一致。</w:t>
      </w:r>
    </w:p>
    <w:p w14:paraId="1153E171">
      <w:pPr>
        <w:widowControl w:val="0"/>
        <w:ind w:firstLine="482" w:firstLineChars="200"/>
        <w:jc w:val="both"/>
        <w:rPr>
          <w:rFonts w:ascii="宋体" w:hAnsi="宋体" w:eastAsia="宋体"/>
          <w:b/>
          <w:kern w:val="2"/>
          <w:lang w:eastAsia="zh-CN"/>
        </w:rPr>
      </w:pPr>
      <w:r>
        <w:rPr>
          <w:rFonts w:ascii="宋体" w:hAnsi="宋体" w:eastAsia="宋体"/>
          <w:b/>
          <w:kern w:val="2"/>
          <w:lang w:eastAsia="zh-CN"/>
        </w:rPr>
        <w:t>6</w:t>
      </w:r>
      <w:r>
        <w:rPr>
          <w:rFonts w:hint="eastAsia" w:ascii="宋体" w:hAnsi="宋体" w:eastAsia="宋体"/>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14:paraId="64C6B341">
      <w:pPr>
        <w:widowControl w:val="0"/>
        <w:ind w:firstLine="482" w:firstLineChars="200"/>
        <w:jc w:val="both"/>
        <w:rPr>
          <w:rFonts w:ascii="宋体" w:hAnsi="宋体" w:eastAsia="宋体"/>
          <w:b/>
          <w:kern w:val="2"/>
          <w:lang w:eastAsia="zh-CN"/>
        </w:rPr>
      </w:pPr>
      <w:r>
        <w:rPr>
          <w:rFonts w:ascii="宋体" w:hAnsi="宋体" w:eastAsia="宋体"/>
          <w:b/>
          <w:kern w:val="2"/>
          <w:lang w:eastAsia="zh-CN"/>
        </w:rPr>
        <w:t>7</w:t>
      </w:r>
      <w:r>
        <w:rPr>
          <w:rFonts w:hint="eastAsia" w:ascii="宋体" w:hAnsi="宋体" w:eastAsia="宋体"/>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14:paraId="79561FA1">
      <w:pPr>
        <w:widowControl w:val="0"/>
        <w:ind w:firstLine="482" w:firstLineChars="200"/>
        <w:jc w:val="both"/>
        <w:rPr>
          <w:rFonts w:eastAsia="宋体"/>
          <w:kern w:val="2"/>
          <w:szCs w:val="32"/>
          <w:lang w:eastAsia="zh-CN"/>
        </w:rPr>
      </w:pPr>
      <w:r>
        <w:rPr>
          <w:rFonts w:hint="eastAsia" w:ascii="宋体" w:hAnsi="宋体" w:eastAsia="宋体" w:cs="宋体"/>
          <w:b/>
          <w:color w:val="FF0000"/>
          <w:lang w:eastAsia="zh-CN"/>
        </w:rPr>
        <w:t>8.投标人填报的单价不得高于相应单价限价，否则将导致投标无效。</w:t>
      </w:r>
    </w:p>
    <w:p w14:paraId="5EEBDCE8">
      <w:pPr>
        <w:widowControl w:val="0"/>
        <w:ind w:firstLine="482" w:firstLineChars="200"/>
        <w:jc w:val="both"/>
        <w:rPr>
          <w:rFonts w:ascii="宋体" w:hAnsi="宋体" w:eastAsia="宋体"/>
          <w:b/>
          <w:color w:val="FF0000"/>
          <w:kern w:val="2"/>
          <w:lang w:eastAsia="zh-CN"/>
        </w:rPr>
      </w:pPr>
    </w:p>
    <w:p w14:paraId="71CFE119">
      <w:pPr>
        <w:widowControl w:val="0"/>
        <w:ind w:firstLine="482" w:firstLineChars="200"/>
        <w:jc w:val="both"/>
        <w:rPr>
          <w:rFonts w:ascii="宋体" w:hAnsi="宋体" w:eastAsia="宋体"/>
          <w:b/>
          <w:color w:val="FF0000"/>
          <w:kern w:val="2"/>
          <w:lang w:eastAsia="zh-CN"/>
        </w:rPr>
      </w:pPr>
    </w:p>
    <w:p w14:paraId="2565C940">
      <w:pPr>
        <w:widowControl w:val="0"/>
        <w:ind w:firstLine="482" w:firstLineChars="200"/>
        <w:jc w:val="both"/>
        <w:rPr>
          <w:rFonts w:ascii="宋体" w:hAnsi="宋体" w:eastAsia="宋体"/>
          <w:b/>
          <w:color w:val="FF0000"/>
          <w:kern w:val="2"/>
          <w:lang w:eastAsia="zh-CN"/>
        </w:rPr>
      </w:pPr>
    </w:p>
    <w:p w14:paraId="7E557C88">
      <w:pPr>
        <w:widowControl w:val="0"/>
        <w:tabs>
          <w:tab w:val="left" w:pos="720"/>
        </w:tabs>
        <w:jc w:val="center"/>
        <w:rPr>
          <w:rFonts w:eastAsia="宋体"/>
          <w:b/>
          <w:kern w:val="2"/>
          <w:lang w:eastAsia="zh-CN"/>
        </w:rPr>
      </w:pPr>
      <w:r>
        <w:rPr>
          <w:rFonts w:hint="eastAsia" w:eastAsia="宋体"/>
          <w:b/>
          <w:kern w:val="2"/>
          <w:lang w:eastAsia="zh-CN"/>
        </w:rPr>
        <w:t>（二）核心产品品牌</w:t>
      </w:r>
    </w:p>
    <w:p w14:paraId="100634F8">
      <w:pPr>
        <w:widowControl w:val="0"/>
        <w:ind w:firstLine="482" w:firstLineChars="200"/>
        <w:jc w:val="both"/>
        <w:rPr>
          <w:rFonts w:ascii="宋体" w:hAnsi="宋体" w:eastAsia="宋体"/>
          <w:b/>
          <w:kern w:val="2"/>
          <w:lang w:eastAsia="zh-CN"/>
        </w:rPr>
      </w:pPr>
      <w:r>
        <w:rPr>
          <w:rFonts w:hint="eastAsia" w:eastAsia="宋体"/>
          <w:b/>
          <w:kern w:val="2"/>
          <w:lang w:eastAsia="zh-CN"/>
        </w:rPr>
        <w:t>我单位所投核心产品的品牌为：</w:t>
      </w:r>
      <w:r>
        <w:rPr>
          <w:rFonts w:hint="eastAsia" w:eastAsia="宋体"/>
          <w:b/>
          <w:kern w:val="2"/>
          <w:u w:val="single"/>
          <w:lang w:eastAsia="zh-CN"/>
        </w:rPr>
        <w:t xml:space="preserve">               </w:t>
      </w:r>
      <w:r>
        <w:rPr>
          <w:rFonts w:hint="eastAsia" w:eastAsia="宋体"/>
          <w:b/>
          <w:kern w:val="2"/>
          <w:lang w:eastAsia="zh-CN"/>
        </w:rPr>
        <w:t>。</w:t>
      </w:r>
    </w:p>
    <w:p w14:paraId="769CE5B1">
      <w:pPr>
        <w:widowControl w:val="0"/>
        <w:ind w:firstLine="442" w:firstLineChars="200"/>
        <w:jc w:val="both"/>
        <w:rPr>
          <w:rFonts w:hint="eastAsia" w:ascii="宋体" w:hAnsi="宋体" w:eastAsia="宋体" w:cs="宋体"/>
          <w:b/>
          <w:color w:val="FF0000"/>
          <w:sz w:val="22"/>
          <w:szCs w:val="22"/>
          <w:u w:val="single"/>
          <w:lang w:eastAsia="zh-CN"/>
        </w:rPr>
      </w:pPr>
      <w:r>
        <w:rPr>
          <w:rFonts w:hint="eastAsia" w:ascii="宋体" w:hAnsi="宋体" w:eastAsia="宋体"/>
          <w:b/>
          <w:color w:val="FF0000"/>
          <w:kern w:val="2"/>
          <w:sz w:val="22"/>
          <w:szCs w:val="22"/>
          <w:lang w:eastAsia="zh-CN"/>
        </w:rPr>
        <w:t>本项目核心产品为：</w:t>
      </w:r>
      <w:r>
        <w:rPr>
          <w:rFonts w:hint="eastAsia" w:ascii="宋体" w:hAnsi="宋体" w:eastAsia="宋体"/>
          <w:b/>
          <w:color w:val="FF0000"/>
          <w:kern w:val="2"/>
          <w:sz w:val="22"/>
          <w:szCs w:val="22"/>
          <w:u w:val="single"/>
          <w:lang w:eastAsia="zh-CN"/>
        </w:rPr>
        <w:t>护理病床（</w:t>
      </w:r>
      <w:r>
        <w:rPr>
          <w:rFonts w:hint="eastAsia" w:ascii="宋体" w:hAnsi="宋体" w:eastAsia="宋体" w:cs="宋体"/>
          <w:b/>
          <w:color w:val="FF0000"/>
          <w:sz w:val="22"/>
          <w:szCs w:val="22"/>
          <w:u w:val="single"/>
          <w:lang w:eastAsia="zh-CN"/>
        </w:rPr>
        <w:t>序号1）。</w:t>
      </w:r>
    </w:p>
    <w:p w14:paraId="481AAEFD">
      <w:pPr>
        <w:widowControl w:val="0"/>
        <w:jc w:val="both"/>
        <w:rPr>
          <w:rFonts w:eastAsia="宋体"/>
          <w:b/>
          <w:kern w:val="2"/>
          <w:lang w:eastAsia="zh-CN"/>
        </w:rPr>
      </w:pPr>
    </w:p>
    <w:p w14:paraId="6803997E">
      <w:pPr>
        <w:widowControl w:val="0"/>
        <w:tabs>
          <w:tab w:val="left" w:pos="720"/>
        </w:tabs>
        <w:ind w:firstLine="1928" w:firstLineChars="800"/>
        <w:jc w:val="both"/>
        <w:rPr>
          <w:rFonts w:hint="eastAsia" w:eastAsia="宋体"/>
          <w:b/>
          <w:kern w:val="2"/>
          <w:lang w:eastAsia="zh-CN"/>
        </w:rPr>
      </w:pPr>
    </w:p>
    <w:p w14:paraId="6016256E">
      <w:pPr>
        <w:widowControl w:val="0"/>
        <w:tabs>
          <w:tab w:val="left" w:pos="720"/>
        </w:tabs>
        <w:ind w:firstLine="1928" w:firstLineChars="800"/>
        <w:jc w:val="both"/>
        <w:rPr>
          <w:rFonts w:hint="eastAsia" w:eastAsia="宋体"/>
          <w:b/>
          <w:kern w:val="2"/>
          <w:lang w:eastAsia="zh-CN"/>
        </w:rPr>
      </w:pPr>
    </w:p>
    <w:p w14:paraId="1D90BA8C">
      <w:pPr>
        <w:widowControl w:val="0"/>
        <w:tabs>
          <w:tab w:val="left" w:pos="720"/>
        </w:tabs>
        <w:ind w:firstLine="1928" w:firstLineChars="800"/>
        <w:jc w:val="both"/>
        <w:rPr>
          <w:rFonts w:hint="eastAsia" w:eastAsia="宋体"/>
          <w:b/>
          <w:kern w:val="2"/>
          <w:lang w:eastAsia="zh-CN"/>
        </w:rPr>
      </w:pPr>
    </w:p>
    <w:p w14:paraId="38DAD631">
      <w:pPr>
        <w:widowControl w:val="0"/>
        <w:jc w:val="both"/>
        <w:rPr>
          <w:rFonts w:hAnsi="宋体" w:eastAsia="宋体"/>
          <w:b/>
          <w:bCs/>
          <w:kern w:val="2"/>
          <w:lang w:eastAsia="zh-CN"/>
        </w:rPr>
      </w:pPr>
    </w:p>
    <w:p w14:paraId="24C14019">
      <w:pPr>
        <w:widowControl w:val="0"/>
        <w:ind w:firstLine="482" w:firstLineChars="200"/>
        <w:jc w:val="both"/>
        <w:rPr>
          <w:rFonts w:hAnsi="宋体" w:eastAsia="宋体"/>
          <w:b/>
          <w:bCs/>
          <w:kern w:val="2"/>
          <w:sz w:val="21"/>
          <w:lang w:eastAsia="zh-CN"/>
        </w:rPr>
      </w:pPr>
      <w:r>
        <w:rPr>
          <w:rFonts w:hint="eastAsia" w:ascii="宋体" w:hAnsi="宋体" w:eastAsia="宋体"/>
          <w:b/>
          <w:bCs/>
          <w:kern w:val="2"/>
          <w:lang w:eastAsia="zh-CN"/>
        </w:rPr>
        <w:t>（三）零配件、消耗品和延续保修合同报价明细清单（不包括在投标总价内）</w:t>
      </w:r>
    </w:p>
    <w:p w14:paraId="099EA903">
      <w:pPr>
        <w:widowControl w:val="0"/>
        <w:ind w:firstLine="422" w:firstLineChars="200"/>
        <w:jc w:val="both"/>
        <w:rPr>
          <w:rFonts w:hAnsi="宋体" w:eastAsia="宋体"/>
          <w:b/>
          <w:bCs/>
          <w:kern w:val="2"/>
          <w:sz w:val="21"/>
          <w:szCs w:val="21"/>
          <w:lang w:eastAsia="zh-CN"/>
        </w:rPr>
      </w:pPr>
      <w:r>
        <w:rPr>
          <w:rFonts w:hint="eastAsia" w:ascii="宋体" w:hAnsi="宋体" w:eastAsia="宋体"/>
          <w:b/>
          <w:bCs/>
          <w:kern w:val="2"/>
          <w:sz w:val="21"/>
          <w:lang w:eastAsia="zh-CN"/>
        </w:rPr>
        <w:t>注：价格最高的前</w:t>
      </w:r>
      <w:r>
        <w:rPr>
          <w:rFonts w:hint="eastAsia" w:eastAsia="宋体"/>
          <w:b/>
          <w:bCs/>
          <w:kern w:val="2"/>
          <w:sz w:val="21"/>
          <w:lang w:eastAsia="zh-CN"/>
        </w:rPr>
        <w:t>5</w:t>
      </w:r>
      <w:r>
        <w:rPr>
          <w:rFonts w:hint="eastAsia" w:ascii="宋体" w:hAnsi="宋体" w:eastAsia="宋体"/>
          <w:b/>
          <w:bCs/>
          <w:kern w:val="2"/>
          <w:sz w:val="21"/>
          <w:lang w:eastAsia="zh-CN"/>
        </w:rPr>
        <w:t>项零配件、消耗品和延续保修合同的报价明细必须填写于此清单中。</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425"/>
        <w:gridCol w:w="1966"/>
        <w:gridCol w:w="1044"/>
        <w:gridCol w:w="1626"/>
        <w:gridCol w:w="823"/>
        <w:gridCol w:w="1151"/>
      </w:tblGrid>
      <w:tr w14:paraId="0CAE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6B1DDD5">
            <w:pPr>
              <w:keepNext w:val="0"/>
              <w:keepLines w:val="0"/>
              <w:widowControl w:val="0"/>
              <w:suppressLineNumbers w:val="0"/>
              <w:spacing w:before="0" w:beforeAutospacing="0" w:after="0" w:afterAutospacing="0"/>
              <w:ind w:left="0" w:right="-79" w:rightChars="-33"/>
              <w:jc w:val="center"/>
              <w:rPr>
                <w:rFonts w:eastAsia="宋体"/>
                <w:kern w:val="2"/>
                <w:sz w:val="21"/>
                <w:lang w:eastAsia="zh-CN"/>
              </w:rPr>
            </w:pPr>
            <w:r>
              <w:rPr>
                <w:rFonts w:hint="eastAsia" w:eastAsia="宋体"/>
                <w:kern w:val="2"/>
                <w:sz w:val="21"/>
                <w:lang w:eastAsia="zh-CN"/>
              </w:rPr>
              <w:t>序号</w:t>
            </w:r>
          </w:p>
        </w:tc>
        <w:tc>
          <w:tcPr>
            <w:tcW w:w="1228" w:type="dxa"/>
            <w:tcBorders>
              <w:top w:val="single" w:color="auto" w:sz="4" w:space="0"/>
              <w:left w:val="nil"/>
              <w:bottom w:val="single" w:color="auto" w:sz="4" w:space="0"/>
              <w:right w:val="single" w:color="auto" w:sz="4" w:space="0"/>
            </w:tcBorders>
            <w:vAlign w:val="center"/>
          </w:tcPr>
          <w:p w14:paraId="5CA83A7C">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货物名称</w:t>
            </w:r>
          </w:p>
        </w:tc>
        <w:tc>
          <w:tcPr>
            <w:tcW w:w="1694" w:type="dxa"/>
            <w:tcBorders>
              <w:top w:val="single" w:color="auto" w:sz="4" w:space="0"/>
              <w:left w:val="nil"/>
              <w:bottom w:val="single" w:color="auto" w:sz="4" w:space="0"/>
              <w:right w:val="single" w:color="auto" w:sz="4" w:space="0"/>
            </w:tcBorders>
            <w:vAlign w:val="center"/>
          </w:tcPr>
          <w:p w14:paraId="49E7D9DF">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规格/</w:t>
            </w:r>
            <w:r>
              <w:rPr>
                <w:rFonts w:hint="eastAsia" w:ascii="宋体" w:hAnsi="宋体" w:eastAsia="宋体"/>
                <w:kern w:val="2"/>
                <w:sz w:val="21"/>
                <w:lang w:eastAsia="zh-CN"/>
              </w:rPr>
              <w:t>型号</w:t>
            </w:r>
          </w:p>
        </w:tc>
        <w:tc>
          <w:tcPr>
            <w:tcW w:w="900" w:type="dxa"/>
            <w:tcBorders>
              <w:top w:val="single" w:color="auto" w:sz="4" w:space="0"/>
              <w:left w:val="nil"/>
              <w:bottom w:val="single" w:color="auto" w:sz="4" w:space="0"/>
              <w:right w:val="single" w:color="auto" w:sz="4" w:space="0"/>
            </w:tcBorders>
            <w:vAlign w:val="center"/>
          </w:tcPr>
          <w:p w14:paraId="59E7F0EB">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原产地</w:t>
            </w:r>
          </w:p>
        </w:tc>
        <w:tc>
          <w:tcPr>
            <w:tcW w:w="1401" w:type="dxa"/>
            <w:tcBorders>
              <w:top w:val="single" w:color="auto" w:sz="4" w:space="0"/>
              <w:left w:val="nil"/>
              <w:bottom w:val="single" w:color="auto" w:sz="4" w:space="0"/>
              <w:right w:val="single" w:color="auto" w:sz="4" w:space="0"/>
            </w:tcBorders>
            <w:vAlign w:val="center"/>
          </w:tcPr>
          <w:p w14:paraId="7109A328">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制造商名称</w:t>
            </w:r>
          </w:p>
        </w:tc>
        <w:tc>
          <w:tcPr>
            <w:tcW w:w="709" w:type="dxa"/>
            <w:tcBorders>
              <w:top w:val="single" w:color="auto" w:sz="4" w:space="0"/>
              <w:left w:val="nil"/>
              <w:bottom w:val="single" w:color="auto" w:sz="4" w:space="0"/>
              <w:right w:val="single" w:color="auto" w:sz="4" w:space="0"/>
            </w:tcBorders>
            <w:vAlign w:val="center"/>
          </w:tcPr>
          <w:p w14:paraId="7190D807">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数量</w:t>
            </w:r>
          </w:p>
        </w:tc>
        <w:tc>
          <w:tcPr>
            <w:tcW w:w="992" w:type="dxa"/>
            <w:tcBorders>
              <w:top w:val="single" w:color="auto" w:sz="4" w:space="0"/>
              <w:left w:val="nil"/>
              <w:bottom w:val="single" w:color="auto" w:sz="4" w:space="0"/>
              <w:right w:val="single" w:color="auto" w:sz="4" w:space="0"/>
            </w:tcBorders>
            <w:vAlign w:val="center"/>
          </w:tcPr>
          <w:p w14:paraId="175561B4">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单价(</w:t>
            </w:r>
            <w:r>
              <w:rPr>
                <w:rFonts w:hint="eastAsia" w:ascii="宋体" w:hAnsi="宋体" w:eastAsia="宋体"/>
                <w:kern w:val="2"/>
                <w:sz w:val="21"/>
                <w:lang w:eastAsia="zh-CN"/>
              </w:rPr>
              <w:t>元</w:t>
            </w:r>
            <w:r>
              <w:rPr>
                <w:rFonts w:hint="eastAsia" w:eastAsia="宋体"/>
                <w:kern w:val="2"/>
                <w:sz w:val="21"/>
                <w:lang w:eastAsia="zh-CN"/>
              </w:rPr>
              <w:t>)</w:t>
            </w:r>
          </w:p>
        </w:tc>
      </w:tr>
      <w:tr w14:paraId="6B27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E75C551">
            <w:pPr>
              <w:keepNext w:val="0"/>
              <w:keepLines w:val="0"/>
              <w:widowControl w:val="0"/>
              <w:suppressLineNumbers w:val="0"/>
              <w:spacing w:before="0" w:beforeAutospacing="0" w:after="0" w:afterAutospacing="0"/>
              <w:ind w:left="0" w:right="-79" w:rightChars="-33"/>
              <w:jc w:val="center"/>
              <w:rPr>
                <w:rFonts w:eastAsia="宋体"/>
                <w:kern w:val="2"/>
                <w:sz w:val="21"/>
                <w:lang w:eastAsia="zh-CN"/>
              </w:rPr>
            </w:pPr>
            <w:r>
              <w:rPr>
                <w:rFonts w:hint="eastAsia" w:eastAsia="宋体"/>
                <w:kern w:val="2"/>
                <w:sz w:val="21"/>
                <w:lang w:eastAsia="zh-CN"/>
              </w:rPr>
              <w:t>1</w:t>
            </w:r>
          </w:p>
        </w:tc>
        <w:tc>
          <w:tcPr>
            <w:tcW w:w="1228" w:type="dxa"/>
            <w:tcBorders>
              <w:top w:val="single" w:color="auto" w:sz="4" w:space="0"/>
              <w:left w:val="nil"/>
              <w:bottom w:val="single" w:color="auto" w:sz="4" w:space="0"/>
              <w:right w:val="single" w:color="auto" w:sz="4" w:space="0"/>
            </w:tcBorders>
          </w:tcPr>
          <w:p w14:paraId="32D27238">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694" w:type="dxa"/>
            <w:tcBorders>
              <w:top w:val="single" w:color="auto" w:sz="4" w:space="0"/>
              <w:left w:val="nil"/>
              <w:bottom w:val="single" w:color="auto" w:sz="4" w:space="0"/>
              <w:right w:val="single" w:color="auto" w:sz="4" w:space="0"/>
            </w:tcBorders>
          </w:tcPr>
          <w:p w14:paraId="013079C0">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900" w:type="dxa"/>
            <w:tcBorders>
              <w:top w:val="single" w:color="auto" w:sz="4" w:space="0"/>
              <w:left w:val="nil"/>
              <w:bottom w:val="single" w:color="auto" w:sz="4" w:space="0"/>
              <w:right w:val="single" w:color="auto" w:sz="4" w:space="0"/>
            </w:tcBorders>
          </w:tcPr>
          <w:p w14:paraId="49F26F0F">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401" w:type="dxa"/>
            <w:tcBorders>
              <w:top w:val="single" w:color="auto" w:sz="4" w:space="0"/>
              <w:left w:val="nil"/>
              <w:bottom w:val="single" w:color="auto" w:sz="4" w:space="0"/>
              <w:right w:val="single" w:color="auto" w:sz="4" w:space="0"/>
            </w:tcBorders>
          </w:tcPr>
          <w:p w14:paraId="5C00C0CA">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709" w:type="dxa"/>
            <w:tcBorders>
              <w:top w:val="single" w:color="auto" w:sz="4" w:space="0"/>
              <w:left w:val="nil"/>
              <w:bottom w:val="single" w:color="auto" w:sz="4" w:space="0"/>
              <w:right w:val="single" w:color="auto" w:sz="4" w:space="0"/>
            </w:tcBorders>
          </w:tcPr>
          <w:p w14:paraId="7546373B">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992" w:type="dxa"/>
            <w:tcBorders>
              <w:top w:val="single" w:color="auto" w:sz="4" w:space="0"/>
              <w:left w:val="nil"/>
              <w:bottom w:val="single" w:color="auto" w:sz="4" w:space="0"/>
              <w:right w:val="single" w:color="auto" w:sz="4" w:space="0"/>
            </w:tcBorders>
          </w:tcPr>
          <w:p w14:paraId="2FCD1C1E">
            <w:pPr>
              <w:keepNext w:val="0"/>
              <w:keepLines w:val="0"/>
              <w:widowControl w:val="0"/>
              <w:suppressLineNumbers w:val="0"/>
              <w:spacing w:before="0" w:beforeAutospacing="0" w:after="0" w:afterAutospacing="0"/>
              <w:ind w:left="0" w:right="0"/>
              <w:jc w:val="both"/>
              <w:rPr>
                <w:rFonts w:eastAsia="宋体"/>
                <w:kern w:val="2"/>
                <w:sz w:val="21"/>
                <w:lang w:eastAsia="zh-CN"/>
              </w:rPr>
            </w:pPr>
          </w:p>
        </w:tc>
      </w:tr>
      <w:tr w14:paraId="0553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7A71AC3E">
            <w:pPr>
              <w:keepNext w:val="0"/>
              <w:keepLines w:val="0"/>
              <w:widowControl w:val="0"/>
              <w:suppressLineNumbers w:val="0"/>
              <w:spacing w:before="0" w:beforeAutospacing="0" w:after="0" w:afterAutospacing="0"/>
              <w:ind w:left="0" w:right="-79" w:rightChars="-33"/>
              <w:jc w:val="center"/>
              <w:rPr>
                <w:rFonts w:eastAsia="宋体"/>
                <w:kern w:val="2"/>
                <w:sz w:val="21"/>
                <w:szCs w:val="21"/>
                <w:lang w:eastAsia="zh-CN"/>
              </w:rPr>
            </w:pPr>
            <w:r>
              <w:rPr>
                <w:rFonts w:hint="eastAsia" w:eastAsia="宋体"/>
                <w:kern w:val="2"/>
                <w:sz w:val="21"/>
                <w:lang w:eastAsia="zh-CN"/>
              </w:rPr>
              <w:t>2</w:t>
            </w:r>
          </w:p>
        </w:tc>
        <w:tc>
          <w:tcPr>
            <w:tcW w:w="1228" w:type="dxa"/>
            <w:tcBorders>
              <w:top w:val="single" w:color="auto" w:sz="4" w:space="0"/>
              <w:left w:val="nil"/>
              <w:bottom w:val="single" w:color="auto" w:sz="4" w:space="0"/>
              <w:right w:val="single" w:color="auto" w:sz="4" w:space="0"/>
            </w:tcBorders>
          </w:tcPr>
          <w:p w14:paraId="7C9FE09A">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694" w:type="dxa"/>
            <w:tcBorders>
              <w:top w:val="single" w:color="auto" w:sz="4" w:space="0"/>
              <w:left w:val="nil"/>
              <w:bottom w:val="single" w:color="auto" w:sz="4" w:space="0"/>
              <w:right w:val="single" w:color="auto" w:sz="4" w:space="0"/>
            </w:tcBorders>
          </w:tcPr>
          <w:p w14:paraId="5865C553">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900" w:type="dxa"/>
            <w:tcBorders>
              <w:top w:val="single" w:color="auto" w:sz="4" w:space="0"/>
              <w:left w:val="nil"/>
              <w:bottom w:val="single" w:color="auto" w:sz="4" w:space="0"/>
              <w:right w:val="single" w:color="auto" w:sz="4" w:space="0"/>
            </w:tcBorders>
          </w:tcPr>
          <w:p w14:paraId="16534F9D">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401" w:type="dxa"/>
            <w:tcBorders>
              <w:top w:val="single" w:color="auto" w:sz="4" w:space="0"/>
              <w:left w:val="nil"/>
              <w:bottom w:val="single" w:color="auto" w:sz="4" w:space="0"/>
              <w:right w:val="single" w:color="auto" w:sz="4" w:space="0"/>
            </w:tcBorders>
          </w:tcPr>
          <w:p w14:paraId="443D996D">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709" w:type="dxa"/>
            <w:tcBorders>
              <w:top w:val="single" w:color="auto" w:sz="4" w:space="0"/>
              <w:left w:val="nil"/>
              <w:bottom w:val="single" w:color="auto" w:sz="4" w:space="0"/>
              <w:right w:val="single" w:color="auto" w:sz="4" w:space="0"/>
            </w:tcBorders>
          </w:tcPr>
          <w:p w14:paraId="18C20F2F">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992" w:type="dxa"/>
            <w:tcBorders>
              <w:top w:val="single" w:color="auto" w:sz="4" w:space="0"/>
              <w:left w:val="nil"/>
              <w:bottom w:val="single" w:color="auto" w:sz="4" w:space="0"/>
              <w:right w:val="single" w:color="auto" w:sz="4" w:space="0"/>
            </w:tcBorders>
          </w:tcPr>
          <w:p w14:paraId="7A6E0522">
            <w:pPr>
              <w:keepNext w:val="0"/>
              <w:keepLines w:val="0"/>
              <w:widowControl w:val="0"/>
              <w:suppressLineNumbers w:val="0"/>
              <w:spacing w:before="0" w:beforeAutospacing="0" w:after="0" w:afterAutospacing="0"/>
              <w:ind w:left="0" w:right="0"/>
              <w:jc w:val="both"/>
              <w:rPr>
                <w:rFonts w:eastAsia="宋体"/>
                <w:kern w:val="2"/>
                <w:sz w:val="21"/>
                <w:lang w:eastAsia="zh-CN"/>
              </w:rPr>
            </w:pPr>
          </w:p>
        </w:tc>
      </w:tr>
      <w:tr w14:paraId="57B4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3D350E50">
            <w:pPr>
              <w:keepNext w:val="0"/>
              <w:keepLines w:val="0"/>
              <w:widowControl w:val="0"/>
              <w:suppressLineNumbers w:val="0"/>
              <w:spacing w:before="0" w:beforeAutospacing="0" w:after="0" w:afterAutospacing="0"/>
              <w:ind w:left="0" w:right="-79" w:rightChars="-33"/>
              <w:jc w:val="center"/>
              <w:rPr>
                <w:rFonts w:eastAsia="宋体"/>
                <w:kern w:val="2"/>
                <w:sz w:val="21"/>
                <w:szCs w:val="21"/>
                <w:lang w:eastAsia="zh-CN"/>
              </w:rPr>
            </w:pPr>
          </w:p>
        </w:tc>
        <w:tc>
          <w:tcPr>
            <w:tcW w:w="1228" w:type="dxa"/>
            <w:tcBorders>
              <w:top w:val="single" w:color="auto" w:sz="4" w:space="0"/>
              <w:left w:val="nil"/>
              <w:bottom w:val="single" w:color="auto" w:sz="4" w:space="0"/>
              <w:right w:val="single" w:color="auto" w:sz="4" w:space="0"/>
            </w:tcBorders>
          </w:tcPr>
          <w:p w14:paraId="2CEA1C59">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694" w:type="dxa"/>
            <w:tcBorders>
              <w:top w:val="single" w:color="auto" w:sz="4" w:space="0"/>
              <w:left w:val="nil"/>
              <w:bottom w:val="single" w:color="auto" w:sz="4" w:space="0"/>
              <w:right w:val="single" w:color="auto" w:sz="4" w:space="0"/>
            </w:tcBorders>
          </w:tcPr>
          <w:p w14:paraId="3BA0A324">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900" w:type="dxa"/>
            <w:tcBorders>
              <w:top w:val="single" w:color="auto" w:sz="4" w:space="0"/>
              <w:left w:val="nil"/>
              <w:bottom w:val="single" w:color="auto" w:sz="4" w:space="0"/>
              <w:right w:val="single" w:color="auto" w:sz="4" w:space="0"/>
            </w:tcBorders>
          </w:tcPr>
          <w:p w14:paraId="740DF760">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401" w:type="dxa"/>
            <w:tcBorders>
              <w:top w:val="single" w:color="auto" w:sz="4" w:space="0"/>
              <w:left w:val="nil"/>
              <w:bottom w:val="single" w:color="auto" w:sz="4" w:space="0"/>
              <w:right w:val="single" w:color="auto" w:sz="4" w:space="0"/>
            </w:tcBorders>
          </w:tcPr>
          <w:p w14:paraId="76B5924D">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709" w:type="dxa"/>
            <w:tcBorders>
              <w:top w:val="single" w:color="auto" w:sz="4" w:space="0"/>
              <w:left w:val="nil"/>
              <w:bottom w:val="single" w:color="auto" w:sz="4" w:space="0"/>
              <w:right w:val="single" w:color="auto" w:sz="4" w:space="0"/>
            </w:tcBorders>
          </w:tcPr>
          <w:p w14:paraId="00112E6C">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992" w:type="dxa"/>
            <w:tcBorders>
              <w:top w:val="single" w:color="auto" w:sz="4" w:space="0"/>
              <w:left w:val="nil"/>
              <w:bottom w:val="single" w:color="auto" w:sz="4" w:space="0"/>
              <w:right w:val="single" w:color="auto" w:sz="4" w:space="0"/>
            </w:tcBorders>
          </w:tcPr>
          <w:p w14:paraId="6534C0A3">
            <w:pPr>
              <w:keepNext w:val="0"/>
              <w:keepLines w:val="0"/>
              <w:widowControl w:val="0"/>
              <w:suppressLineNumbers w:val="0"/>
              <w:spacing w:before="0" w:beforeAutospacing="0" w:after="0" w:afterAutospacing="0"/>
              <w:ind w:left="0" w:right="0"/>
              <w:jc w:val="both"/>
              <w:rPr>
                <w:rFonts w:eastAsia="宋体"/>
                <w:kern w:val="2"/>
                <w:sz w:val="21"/>
                <w:lang w:eastAsia="zh-CN"/>
              </w:rPr>
            </w:pPr>
          </w:p>
        </w:tc>
      </w:tr>
      <w:tr w14:paraId="171F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02F28AF8">
            <w:pPr>
              <w:keepNext w:val="0"/>
              <w:keepLines w:val="0"/>
              <w:widowControl w:val="0"/>
              <w:suppressLineNumbers w:val="0"/>
              <w:spacing w:before="0" w:beforeAutospacing="0" w:after="0" w:afterAutospacing="0"/>
              <w:ind w:left="0" w:right="-79" w:rightChars="-33"/>
              <w:jc w:val="center"/>
              <w:rPr>
                <w:rFonts w:eastAsia="宋体"/>
                <w:kern w:val="2"/>
                <w:sz w:val="21"/>
                <w:szCs w:val="21"/>
                <w:lang w:eastAsia="zh-CN"/>
              </w:rPr>
            </w:pPr>
          </w:p>
        </w:tc>
        <w:tc>
          <w:tcPr>
            <w:tcW w:w="1228" w:type="dxa"/>
            <w:tcBorders>
              <w:top w:val="single" w:color="auto" w:sz="4" w:space="0"/>
              <w:left w:val="nil"/>
              <w:bottom w:val="single" w:color="auto" w:sz="4" w:space="0"/>
              <w:right w:val="single" w:color="auto" w:sz="4" w:space="0"/>
            </w:tcBorders>
          </w:tcPr>
          <w:p w14:paraId="67EABABA">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694" w:type="dxa"/>
            <w:tcBorders>
              <w:top w:val="single" w:color="auto" w:sz="4" w:space="0"/>
              <w:left w:val="nil"/>
              <w:bottom w:val="single" w:color="auto" w:sz="4" w:space="0"/>
              <w:right w:val="single" w:color="auto" w:sz="4" w:space="0"/>
            </w:tcBorders>
          </w:tcPr>
          <w:p w14:paraId="45E3401E">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900" w:type="dxa"/>
            <w:tcBorders>
              <w:top w:val="single" w:color="auto" w:sz="4" w:space="0"/>
              <w:left w:val="nil"/>
              <w:bottom w:val="single" w:color="auto" w:sz="4" w:space="0"/>
              <w:right w:val="single" w:color="auto" w:sz="4" w:space="0"/>
            </w:tcBorders>
          </w:tcPr>
          <w:p w14:paraId="7A1F5CD2">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401" w:type="dxa"/>
            <w:tcBorders>
              <w:top w:val="single" w:color="auto" w:sz="4" w:space="0"/>
              <w:left w:val="nil"/>
              <w:bottom w:val="single" w:color="auto" w:sz="4" w:space="0"/>
              <w:right w:val="single" w:color="auto" w:sz="4" w:space="0"/>
            </w:tcBorders>
          </w:tcPr>
          <w:p w14:paraId="50887936">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709" w:type="dxa"/>
            <w:tcBorders>
              <w:top w:val="single" w:color="auto" w:sz="4" w:space="0"/>
              <w:left w:val="nil"/>
              <w:bottom w:val="single" w:color="auto" w:sz="4" w:space="0"/>
              <w:right w:val="single" w:color="auto" w:sz="4" w:space="0"/>
            </w:tcBorders>
          </w:tcPr>
          <w:p w14:paraId="353544A1">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992" w:type="dxa"/>
            <w:tcBorders>
              <w:top w:val="single" w:color="auto" w:sz="4" w:space="0"/>
              <w:left w:val="nil"/>
              <w:bottom w:val="single" w:color="auto" w:sz="4" w:space="0"/>
              <w:right w:val="single" w:color="auto" w:sz="4" w:space="0"/>
            </w:tcBorders>
          </w:tcPr>
          <w:p w14:paraId="3F9FBCD8">
            <w:pPr>
              <w:keepNext w:val="0"/>
              <w:keepLines w:val="0"/>
              <w:widowControl w:val="0"/>
              <w:suppressLineNumbers w:val="0"/>
              <w:spacing w:before="0" w:beforeAutospacing="0" w:after="0" w:afterAutospacing="0"/>
              <w:ind w:left="0" w:right="0"/>
              <w:jc w:val="both"/>
              <w:rPr>
                <w:rFonts w:eastAsia="宋体"/>
                <w:kern w:val="2"/>
                <w:sz w:val="21"/>
                <w:lang w:eastAsia="zh-CN"/>
              </w:rPr>
            </w:pPr>
          </w:p>
        </w:tc>
      </w:tr>
      <w:tr w14:paraId="6DE2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CE010A7">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228" w:type="dxa"/>
            <w:tcBorders>
              <w:top w:val="single" w:color="auto" w:sz="4" w:space="0"/>
              <w:left w:val="nil"/>
              <w:bottom w:val="single" w:color="auto" w:sz="4" w:space="0"/>
              <w:right w:val="single" w:color="auto" w:sz="4" w:space="0"/>
            </w:tcBorders>
          </w:tcPr>
          <w:p w14:paraId="4181AD4D">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694" w:type="dxa"/>
            <w:tcBorders>
              <w:top w:val="single" w:color="auto" w:sz="4" w:space="0"/>
              <w:left w:val="nil"/>
              <w:bottom w:val="single" w:color="auto" w:sz="4" w:space="0"/>
              <w:right w:val="single" w:color="auto" w:sz="4" w:space="0"/>
            </w:tcBorders>
          </w:tcPr>
          <w:p w14:paraId="28BE2616">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900" w:type="dxa"/>
            <w:tcBorders>
              <w:top w:val="single" w:color="auto" w:sz="4" w:space="0"/>
              <w:left w:val="nil"/>
              <w:bottom w:val="single" w:color="auto" w:sz="4" w:space="0"/>
              <w:right w:val="single" w:color="auto" w:sz="4" w:space="0"/>
            </w:tcBorders>
          </w:tcPr>
          <w:p w14:paraId="24BD270B">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401" w:type="dxa"/>
            <w:tcBorders>
              <w:top w:val="single" w:color="auto" w:sz="4" w:space="0"/>
              <w:left w:val="nil"/>
              <w:bottom w:val="single" w:color="auto" w:sz="4" w:space="0"/>
              <w:right w:val="single" w:color="auto" w:sz="4" w:space="0"/>
            </w:tcBorders>
          </w:tcPr>
          <w:p w14:paraId="0350B12F">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709" w:type="dxa"/>
            <w:tcBorders>
              <w:top w:val="single" w:color="auto" w:sz="4" w:space="0"/>
              <w:left w:val="nil"/>
              <w:bottom w:val="single" w:color="auto" w:sz="4" w:space="0"/>
              <w:right w:val="single" w:color="auto" w:sz="4" w:space="0"/>
            </w:tcBorders>
          </w:tcPr>
          <w:p w14:paraId="3DFEE446">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992" w:type="dxa"/>
            <w:tcBorders>
              <w:top w:val="single" w:color="auto" w:sz="4" w:space="0"/>
              <w:left w:val="nil"/>
              <w:bottom w:val="single" w:color="auto" w:sz="4" w:space="0"/>
              <w:right w:val="single" w:color="auto" w:sz="4" w:space="0"/>
            </w:tcBorders>
          </w:tcPr>
          <w:p w14:paraId="0EABE435">
            <w:pPr>
              <w:keepNext w:val="0"/>
              <w:keepLines w:val="0"/>
              <w:widowControl w:val="0"/>
              <w:suppressLineNumbers w:val="0"/>
              <w:spacing w:before="0" w:beforeAutospacing="0" w:after="0" w:afterAutospacing="0"/>
              <w:ind w:left="0" w:right="0"/>
              <w:jc w:val="both"/>
              <w:rPr>
                <w:rFonts w:eastAsia="宋体"/>
                <w:kern w:val="2"/>
                <w:sz w:val="21"/>
                <w:lang w:eastAsia="zh-CN"/>
              </w:rPr>
            </w:pPr>
          </w:p>
        </w:tc>
      </w:tr>
      <w:tr w14:paraId="7858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56F5AA9D">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228" w:type="dxa"/>
            <w:tcBorders>
              <w:top w:val="single" w:color="auto" w:sz="4" w:space="0"/>
              <w:left w:val="nil"/>
              <w:bottom w:val="single" w:color="auto" w:sz="4" w:space="0"/>
              <w:right w:val="single" w:color="auto" w:sz="4" w:space="0"/>
            </w:tcBorders>
          </w:tcPr>
          <w:p w14:paraId="3E3807EA">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694" w:type="dxa"/>
            <w:tcBorders>
              <w:top w:val="single" w:color="auto" w:sz="4" w:space="0"/>
              <w:left w:val="nil"/>
              <w:bottom w:val="single" w:color="auto" w:sz="4" w:space="0"/>
              <w:right w:val="single" w:color="auto" w:sz="4" w:space="0"/>
            </w:tcBorders>
          </w:tcPr>
          <w:p w14:paraId="18F5C425">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900" w:type="dxa"/>
            <w:tcBorders>
              <w:top w:val="single" w:color="auto" w:sz="4" w:space="0"/>
              <w:left w:val="nil"/>
              <w:bottom w:val="single" w:color="auto" w:sz="4" w:space="0"/>
              <w:right w:val="single" w:color="auto" w:sz="4" w:space="0"/>
            </w:tcBorders>
          </w:tcPr>
          <w:p w14:paraId="71F284EF">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1401" w:type="dxa"/>
            <w:tcBorders>
              <w:top w:val="single" w:color="auto" w:sz="4" w:space="0"/>
              <w:left w:val="nil"/>
              <w:bottom w:val="single" w:color="auto" w:sz="4" w:space="0"/>
              <w:right w:val="single" w:color="auto" w:sz="4" w:space="0"/>
            </w:tcBorders>
          </w:tcPr>
          <w:p w14:paraId="5A838868">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709" w:type="dxa"/>
            <w:tcBorders>
              <w:top w:val="single" w:color="auto" w:sz="4" w:space="0"/>
              <w:left w:val="nil"/>
              <w:bottom w:val="single" w:color="auto" w:sz="4" w:space="0"/>
              <w:right w:val="single" w:color="auto" w:sz="4" w:space="0"/>
            </w:tcBorders>
          </w:tcPr>
          <w:p w14:paraId="2690BA6C">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992" w:type="dxa"/>
            <w:tcBorders>
              <w:top w:val="single" w:color="auto" w:sz="4" w:space="0"/>
              <w:left w:val="nil"/>
              <w:bottom w:val="single" w:color="auto" w:sz="4" w:space="0"/>
              <w:right w:val="single" w:color="auto" w:sz="4" w:space="0"/>
            </w:tcBorders>
          </w:tcPr>
          <w:p w14:paraId="0B298CEE">
            <w:pPr>
              <w:keepNext w:val="0"/>
              <w:keepLines w:val="0"/>
              <w:widowControl w:val="0"/>
              <w:suppressLineNumbers w:val="0"/>
              <w:spacing w:before="0" w:beforeAutospacing="0" w:after="0" w:afterAutospacing="0"/>
              <w:ind w:left="0" w:right="0"/>
              <w:jc w:val="both"/>
              <w:rPr>
                <w:rFonts w:eastAsia="宋体"/>
                <w:kern w:val="2"/>
                <w:sz w:val="21"/>
                <w:lang w:eastAsia="zh-CN"/>
              </w:rPr>
            </w:pPr>
          </w:p>
        </w:tc>
      </w:tr>
    </w:tbl>
    <w:p w14:paraId="7337F240">
      <w:pPr>
        <w:widowControl w:val="0"/>
        <w:ind w:firstLine="482" w:firstLineChars="200"/>
        <w:jc w:val="both"/>
        <w:rPr>
          <w:rFonts w:hAnsi="宋体" w:eastAsia="宋体"/>
          <w:b/>
          <w:bCs/>
          <w:kern w:val="2"/>
          <w:sz w:val="21"/>
          <w:lang w:eastAsia="zh-CN"/>
        </w:rPr>
      </w:pPr>
      <w:r>
        <w:rPr>
          <w:rFonts w:hAnsi="宋体" w:eastAsia="宋体"/>
          <w:b/>
          <w:bCs/>
          <w:kern w:val="2"/>
          <w:lang w:eastAsia="zh-CN"/>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744"/>
        <w:gridCol w:w="3159"/>
        <w:gridCol w:w="2068"/>
      </w:tblGrid>
      <w:tr w14:paraId="0BAC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2BA24B9A">
            <w:pPr>
              <w:keepNext w:val="0"/>
              <w:keepLines w:val="0"/>
              <w:widowControl w:val="0"/>
              <w:suppressLineNumbers w:val="0"/>
              <w:spacing w:before="0" w:beforeAutospacing="0" w:after="0" w:afterAutospacing="0"/>
              <w:ind w:left="0" w:right="0"/>
              <w:jc w:val="center"/>
              <w:rPr>
                <w:rFonts w:eastAsia="宋体"/>
                <w:kern w:val="2"/>
                <w:sz w:val="21"/>
                <w:szCs w:val="21"/>
                <w:lang w:eastAsia="zh-CN"/>
              </w:rPr>
            </w:pPr>
            <w:r>
              <w:rPr>
                <w:rFonts w:hint="eastAsia" w:eastAsia="宋体"/>
                <w:kern w:val="2"/>
                <w:sz w:val="21"/>
                <w:lang w:eastAsia="zh-CN"/>
              </w:rPr>
              <w:t>序号</w:t>
            </w:r>
          </w:p>
        </w:tc>
        <w:tc>
          <w:tcPr>
            <w:tcW w:w="2262" w:type="dxa"/>
            <w:tcBorders>
              <w:top w:val="single" w:color="auto" w:sz="4" w:space="0"/>
              <w:left w:val="nil"/>
              <w:bottom w:val="single" w:color="auto" w:sz="4" w:space="0"/>
              <w:right w:val="single" w:color="auto" w:sz="4" w:space="0"/>
            </w:tcBorders>
          </w:tcPr>
          <w:p w14:paraId="69E492F4">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服务名称</w:t>
            </w:r>
          </w:p>
        </w:tc>
        <w:tc>
          <w:tcPr>
            <w:tcW w:w="2604" w:type="dxa"/>
            <w:tcBorders>
              <w:top w:val="single" w:color="auto" w:sz="4" w:space="0"/>
              <w:left w:val="nil"/>
              <w:bottom w:val="single" w:color="auto" w:sz="4" w:space="0"/>
              <w:right w:val="single" w:color="auto" w:sz="4" w:space="0"/>
            </w:tcBorders>
          </w:tcPr>
          <w:p w14:paraId="30B2ACAB">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服务内容</w:t>
            </w:r>
          </w:p>
        </w:tc>
        <w:tc>
          <w:tcPr>
            <w:tcW w:w="1705" w:type="dxa"/>
            <w:tcBorders>
              <w:top w:val="single" w:color="auto" w:sz="4" w:space="0"/>
              <w:left w:val="nil"/>
              <w:bottom w:val="single" w:color="auto" w:sz="4" w:space="0"/>
              <w:right w:val="single" w:color="auto" w:sz="4" w:space="0"/>
            </w:tcBorders>
          </w:tcPr>
          <w:p w14:paraId="53440F0C">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价格（元）</w:t>
            </w:r>
          </w:p>
        </w:tc>
      </w:tr>
      <w:tr w14:paraId="3F10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48569F48">
            <w:pPr>
              <w:keepNext w:val="0"/>
              <w:keepLines w:val="0"/>
              <w:widowControl w:val="0"/>
              <w:suppressLineNumbers w:val="0"/>
              <w:spacing w:before="0" w:beforeAutospacing="0" w:after="0" w:afterAutospacing="0"/>
              <w:ind w:left="0" w:right="-79" w:rightChars="-33"/>
              <w:jc w:val="center"/>
              <w:rPr>
                <w:rFonts w:eastAsia="宋体"/>
                <w:kern w:val="2"/>
                <w:sz w:val="21"/>
                <w:lang w:eastAsia="zh-CN"/>
              </w:rPr>
            </w:pPr>
            <w:r>
              <w:rPr>
                <w:rFonts w:hint="eastAsia" w:eastAsia="宋体"/>
                <w:kern w:val="2"/>
                <w:sz w:val="21"/>
                <w:lang w:eastAsia="zh-CN"/>
              </w:rPr>
              <w:t>1</w:t>
            </w:r>
          </w:p>
        </w:tc>
        <w:tc>
          <w:tcPr>
            <w:tcW w:w="2262" w:type="dxa"/>
            <w:tcBorders>
              <w:top w:val="single" w:color="auto" w:sz="4" w:space="0"/>
              <w:left w:val="nil"/>
              <w:bottom w:val="single" w:color="auto" w:sz="4" w:space="0"/>
              <w:right w:val="single" w:color="auto" w:sz="4" w:space="0"/>
            </w:tcBorders>
          </w:tcPr>
          <w:p w14:paraId="210C887A">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延续保修合同</w:t>
            </w:r>
          </w:p>
        </w:tc>
        <w:tc>
          <w:tcPr>
            <w:tcW w:w="2604" w:type="dxa"/>
            <w:tcBorders>
              <w:top w:val="single" w:color="auto" w:sz="4" w:space="0"/>
              <w:left w:val="nil"/>
              <w:bottom w:val="single" w:color="auto" w:sz="4" w:space="0"/>
              <w:right w:val="single" w:color="auto" w:sz="4" w:space="0"/>
            </w:tcBorders>
          </w:tcPr>
          <w:p w14:paraId="183C1DC0">
            <w:pPr>
              <w:keepNext w:val="0"/>
              <w:keepLines w:val="0"/>
              <w:widowControl w:val="0"/>
              <w:suppressLineNumbers w:val="0"/>
              <w:spacing w:before="0" w:beforeAutospacing="0" w:after="0" w:afterAutospacing="0"/>
              <w:ind w:left="0" w:right="0"/>
              <w:jc w:val="center"/>
              <w:rPr>
                <w:rFonts w:hAnsi="宋体" w:eastAsia="宋体"/>
                <w:b/>
                <w:bCs/>
                <w:kern w:val="2"/>
                <w:sz w:val="21"/>
                <w:lang w:eastAsia="zh-CN"/>
              </w:rPr>
            </w:pPr>
          </w:p>
        </w:tc>
        <w:tc>
          <w:tcPr>
            <w:tcW w:w="1705" w:type="dxa"/>
            <w:tcBorders>
              <w:top w:val="single" w:color="auto" w:sz="4" w:space="0"/>
              <w:left w:val="nil"/>
              <w:bottom w:val="single" w:color="auto" w:sz="4" w:space="0"/>
              <w:right w:val="single" w:color="auto" w:sz="4" w:space="0"/>
            </w:tcBorders>
          </w:tcPr>
          <w:p w14:paraId="419F5107">
            <w:pPr>
              <w:keepNext w:val="0"/>
              <w:keepLines w:val="0"/>
              <w:widowControl w:val="0"/>
              <w:suppressLineNumbers w:val="0"/>
              <w:spacing w:before="0" w:beforeAutospacing="0" w:after="0" w:afterAutospacing="0"/>
              <w:ind w:left="0" w:right="0"/>
              <w:jc w:val="center"/>
              <w:rPr>
                <w:rFonts w:hAnsi="宋体" w:eastAsia="宋体"/>
                <w:b/>
                <w:bCs/>
                <w:kern w:val="2"/>
                <w:sz w:val="21"/>
                <w:lang w:eastAsia="zh-CN"/>
              </w:rPr>
            </w:pPr>
          </w:p>
        </w:tc>
      </w:tr>
      <w:tr w14:paraId="6BB7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0BDB4A94">
            <w:pPr>
              <w:keepNext w:val="0"/>
              <w:keepLines w:val="0"/>
              <w:widowControl w:val="0"/>
              <w:suppressLineNumbers w:val="0"/>
              <w:spacing w:before="0" w:beforeAutospacing="0" w:after="0" w:afterAutospacing="0"/>
              <w:ind w:left="0" w:right="-79" w:rightChars="-33"/>
              <w:jc w:val="center"/>
              <w:rPr>
                <w:rFonts w:eastAsia="宋体"/>
                <w:kern w:val="2"/>
                <w:sz w:val="21"/>
                <w:szCs w:val="21"/>
                <w:lang w:eastAsia="zh-CN"/>
              </w:rPr>
            </w:pPr>
          </w:p>
        </w:tc>
        <w:tc>
          <w:tcPr>
            <w:tcW w:w="2262" w:type="dxa"/>
            <w:tcBorders>
              <w:top w:val="single" w:color="auto" w:sz="4" w:space="0"/>
              <w:left w:val="nil"/>
              <w:bottom w:val="single" w:color="auto" w:sz="4" w:space="0"/>
              <w:right w:val="single" w:color="auto" w:sz="4" w:space="0"/>
            </w:tcBorders>
          </w:tcPr>
          <w:p w14:paraId="580A8088">
            <w:pPr>
              <w:keepNext w:val="0"/>
              <w:keepLines w:val="0"/>
              <w:widowControl w:val="0"/>
              <w:suppressLineNumbers w:val="0"/>
              <w:spacing w:before="0" w:beforeAutospacing="0" w:after="0" w:afterAutospacing="0"/>
              <w:ind w:left="0" w:right="0"/>
              <w:jc w:val="center"/>
              <w:rPr>
                <w:rFonts w:eastAsia="宋体"/>
                <w:kern w:val="2"/>
                <w:sz w:val="21"/>
                <w:lang w:eastAsia="zh-CN"/>
              </w:rPr>
            </w:pPr>
          </w:p>
        </w:tc>
        <w:tc>
          <w:tcPr>
            <w:tcW w:w="2604" w:type="dxa"/>
            <w:tcBorders>
              <w:top w:val="single" w:color="auto" w:sz="4" w:space="0"/>
              <w:left w:val="nil"/>
              <w:bottom w:val="single" w:color="auto" w:sz="4" w:space="0"/>
              <w:right w:val="single" w:color="auto" w:sz="4" w:space="0"/>
            </w:tcBorders>
          </w:tcPr>
          <w:p w14:paraId="5E9D8CCB">
            <w:pPr>
              <w:keepNext w:val="0"/>
              <w:keepLines w:val="0"/>
              <w:widowControl w:val="0"/>
              <w:suppressLineNumbers w:val="0"/>
              <w:spacing w:before="0" w:beforeAutospacing="0" w:after="0" w:afterAutospacing="0"/>
              <w:ind w:left="0" w:right="0"/>
              <w:jc w:val="center"/>
              <w:rPr>
                <w:rFonts w:hAnsi="宋体" w:eastAsia="宋体"/>
                <w:b/>
                <w:bCs/>
                <w:kern w:val="2"/>
                <w:sz w:val="21"/>
                <w:lang w:eastAsia="zh-CN"/>
              </w:rPr>
            </w:pPr>
          </w:p>
        </w:tc>
        <w:tc>
          <w:tcPr>
            <w:tcW w:w="1705" w:type="dxa"/>
            <w:tcBorders>
              <w:top w:val="single" w:color="auto" w:sz="4" w:space="0"/>
              <w:left w:val="nil"/>
              <w:bottom w:val="single" w:color="auto" w:sz="4" w:space="0"/>
              <w:right w:val="single" w:color="auto" w:sz="4" w:space="0"/>
            </w:tcBorders>
          </w:tcPr>
          <w:p w14:paraId="160EABB2">
            <w:pPr>
              <w:keepNext w:val="0"/>
              <w:keepLines w:val="0"/>
              <w:widowControl w:val="0"/>
              <w:suppressLineNumbers w:val="0"/>
              <w:spacing w:before="0" w:beforeAutospacing="0" w:after="0" w:afterAutospacing="0"/>
              <w:ind w:left="0" w:right="0"/>
              <w:jc w:val="center"/>
              <w:rPr>
                <w:rFonts w:hAnsi="宋体" w:eastAsia="宋体"/>
                <w:b/>
                <w:bCs/>
                <w:kern w:val="2"/>
                <w:sz w:val="21"/>
                <w:lang w:eastAsia="zh-CN"/>
              </w:rPr>
            </w:pPr>
          </w:p>
        </w:tc>
      </w:tr>
    </w:tbl>
    <w:p w14:paraId="66DDE072">
      <w:pPr>
        <w:widowControl w:val="0"/>
        <w:ind w:firstLine="482" w:firstLineChars="200"/>
        <w:jc w:val="both"/>
        <w:rPr>
          <w:rFonts w:hAnsi="宋体" w:eastAsia="宋体"/>
          <w:b/>
          <w:bCs/>
          <w:kern w:val="2"/>
          <w:sz w:val="21"/>
          <w:lang w:eastAsia="zh-CN"/>
        </w:rPr>
      </w:pPr>
      <w:r>
        <w:rPr>
          <w:rFonts w:hAnsi="宋体" w:eastAsia="宋体"/>
          <w:b/>
          <w:bCs/>
          <w:kern w:val="2"/>
          <w:lang w:eastAsia="zh-CN"/>
        </w:rPr>
        <w:t xml:space="preserve"> </w:t>
      </w:r>
    </w:p>
    <w:p w14:paraId="6816CB8A">
      <w:pPr>
        <w:widowControl w:val="0"/>
        <w:tabs>
          <w:tab w:val="left" w:pos="720"/>
        </w:tabs>
        <w:jc w:val="center"/>
        <w:rPr>
          <w:rFonts w:eastAsia="宋体"/>
          <w:b/>
          <w:kern w:val="2"/>
          <w:lang w:eastAsia="zh-CN"/>
        </w:rPr>
      </w:pPr>
    </w:p>
    <w:p w14:paraId="3CAAE055">
      <w:pPr>
        <w:widowControl w:val="0"/>
        <w:tabs>
          <w:tab w:val="left" w:pos="720"/>
        </w:tabs>
        <w:jc w:val="both"/>
        <w:rPr>
          <w:rFonts w:eastAsia="宋体"/>
          <w:b/>
          <w:kern w:val="2"/>
          <w:lang w:eastAsia="zh-CN"/>
        </w:rPr>
      </w:pPr>
    </w:p>
    <w:p w14:paraId="374673EB">
      <w:pPr>
        <w:widowControl w:val="0"/>
        <w:spacing w:line="360" w:lineRule="auto"/>
        <w:jc w:val="both"/>
        <w:rPr>
          <w:rFonts w:hAnsi="宋体" w:eastAsia="宋体"/>
          <w:b/>
          <w:bCs/>
          <w:kern w:val="2"/>
          <w:lang w:eastAsia="zh-CN"/>
        </w:rPr>
      </w:pPr>
    </w:p>
    <w:p w14:paraId="5D70D23A">
      <w:pPr>
        <w:widowControl w:val="0"/>
        <w:spacing w:line="360" w:lineRule="auto"/>
        <w:jc w:val="both"/>
        <w:rPr>
          <w:rFonts w:hAnsi="宋体" w:eastAsia="宋体"/>
          <w:b/>
          <w:bCs/>
          <w:kern w:val="2"/>
          <w:lang w:eastAsia="zh-CN"/>
        </w:rPr>
      </w:pPr>
    </w:p>
    <w:p w14:paraId="56AF3DA3">
      <w:pPr>
        <w:widowControl w:val="0"/>
        <w:spacing w:line="360" w:lineRule="auto"/>
        <w:jc w:val="both"/>
        <w:rPr>
          <w:rFonts w:hAnsi="宋体" w:eastAsia="宋体"/>
          <w:b/>
          <w:bCs/>
          <w:kern w:val="2"/>
          <w:lang w:eastAsia="zh-CN"/>
        </w:rPr>
      </w:pPr>
    </w:p>
    <w:p w14:paraId="18006D91">
      <w:pPr>
        <w:widowControl w:val="0"/>
        <w:tabs>
          <w:tab w:val="left" w:pos="720"/>
        </w:tabs>
        <w:jc w:val="center"/>
        <w:rPr>
          <w:rFonts w:eastAsia="宋体"/>
          <w:b/>
          <w:kern w:val="2"/>
          <w:lang w:eastAsia="zh-CN"/>
        </w:rPr>
      </w:pPr>
      <w:r>
        <w:rPr>
          <w:rFonts w:hint="eastAsia" w:eastAsia="宋体"/>
          <w:b/>
          <w:kern w:val="2"/>
          <w:lang w:eastAsia="zh-CN"/>
        </w:rPr>
        <w:t>（四）</w:t>
      </w:r>
      <w:bookmarkStart w:id="45" w:name="_Hlk72073235"/>
      <w:r>
        <w:rPr>
          <w:rFonts w:hint="eastAsia" w:eastAsia="宋体"/>
          <w:b/>
          <w:kern w:val="2"/>
          <w:lang w:eastAsia="zh-CN"/>
        </w:rPr>
        <w:t>投标人认为需要涉及的其他内容报价清单</w:t>
      </w:r>
      <w:bookmarkEnd w:id="45"/>
    </w:p>
    <w:p w14:paraId="1A6DD4D2">
      <w:pPr>
        <w:widowControl w:val="0"/>
        <w:jc w:val="both"/>
        <w:rPr>
          <w:rFonts w:eastAsia="宋体"/>
          <w:b/>
          <w:bCs/>
          <w:kern w:val="2"/>
          <w:sz w:val="21"/>
          <w:lang w:eastAsia="zh-CN"/>
        </w:rPr>
      </w:pPr>
    </w:p>
    <w:p w14:paraId="50F127C6">
      <w:pPr>
        <w:widowControl w:val="0"/>
        <w:jc w:val="both"/>
        <w:rPr>
          <w:rFonts w:hint="eastAsia" w:ascii="黑体" w:hAnsi="黑体" w:eastAsia="黑体" w:cs="黑体"/>
          <w:kern w:val="2"/>
          <w:szCs w:val="28"/>
          <w:lang w:eastAsia="zh-CN"/>
        </w:rPr>
      </w:pPr>
      <w:r>
        <w:rPr>
          <w:rFonts w:hint="eastAsia" w:ascii="黑体" w:hAnsi="黑体" w:eastAsia="黑体" w:cs="黑体"/>
          <w:kern w:val="2"/>
          <w:szCs w:val="28"/>
          <w:lang w:eastAsia="zh-CN"/>
        </w:rPr>
        <w:br w:type="page"/>
      </w:r>
    </w:p>
    <w:p w14:paraId="5D44AD3C">
      <w:pPr>
        <w:keepNext/>
        <w:keepLines/>
        <w:widowControl w:val="0"/>
        <w:spacing w:before="0" w:after="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五、供应商基本情况表</w:t>
      </w:r>
    </w:p>
    <w:p w14:paraId="42F84314">
      <w:pPr>
        <w:widowControl w:val="0"/>
        <w:jc w:val="both"/>
        <w:rPr>
          <w:rFonts w:eastAsia="宋体"/>
          <w:kern w:val="2"/>
          <w:sz w:val="21"/>
          <w:lang w:eastAsia="zh-CN"/>
        </w:rPr>
      </w:pPr>
    </w:p>
    <w:p w14:paraId="03917406">
      <w:pPr>
        <w:widowControl w:val="0"/>
        <w:jc w:val="both"/>
        <w:rPr>
          <w:rFonts w:ascii="宋体" w:hAnsi="宋体" w:eastAsia="宋体" w:cs="宋体"/>
          <w:kern w:val="2"/>
          <w:lang w:eastAsia="zh-CN"/>
        </w:rPr>
      </w:pPr>
      <w:r>
        <w:rPr>
          <w:rFonts w:hint="eastAsia" w:ascii="宋体" w:hAnsi="宋体" w:eastAsia="宋体" w:cs="宋体"/>
          <w:kern w:val="2"/>
          <w:lang w:eastAsia="zh-CN"/>
        </w:rPr>
        <w:t>填表单位：</w:t>
      </w:r>
      <w:r>
        <w:rPr>
          <w:rFonts w:hint="eastAsia" w:ascii="宋体" w:hAnsi="宋体" w:eastAsia="宋体" w:cs="宋体"/>
          <w:b/>
          <w:color w:val="FF0000"/>
          <w:kern w:val="2"/>
          <w:highlight w:val="yellow"/>
          <w:lang w:eastAsia="zh-CN"/>
        </w:rPr>
        <w:t>（加盖单位公章）</w:t>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34"/>
        <w:gridCol w:w="1770"/>
        <w:gridCol w:w="875"/>
        <w:gridCol w:w="502"/>
        <w:gridCol w:w="1064"/>
        <w:gridCol w:w="1647"/>
        <w:gridCol w:w="1811"/>
      </w:tblGrid>
      <w:tr w14:paraId="10E0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35" w:type="dxa"/>
            <w:gridSpan w:val="2"/>
            <w:tcBorders>
              <w:top w:val="single" w:color="auto" w:sz="4" w:space="0"/>
              <w:left w:val="single" w:color="auto" w:sz="4" w:space="0"/>
              <w:bottom w:val="single" w:color="auto" w:sz="4" w:space="0"/>
              <w:right w:val="single" w:color="auto" w:sz="4" w:space="0"/>
            </w:tcBorders>
            <w:vAlign w:val="center"/>
          </w:tcPr>
          <w:p w14:paraId="4BC4F79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采购人</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6335948F">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2"/>
                <w:szCs w:val="22"/>
                <w:lang w:eastAsia="zh-CN"/>
              </w:rPr>
            </w:pPr>
            <w:r>
              <w:rPr>
                <w:rFonts w:ascii="宋体" w:hAnsi="宋体" w:eastAsia="宋体" w:cs="宋体"/>
                <w:color w:val="1D41D5"/>
                <w:kern w:val="2"/>
                <w:sz w:val="22"/>
                <w:szCs w:val="22"/>
                <w:lang w:eastAsia="zh-CN"/>
              </w:rPr>
              <w:t>香港中文大学（深圳）医院</w:t>
            </w: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446F64F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项目名称</w:t>
            </w:r>
          </w:p>
        </w:tc>
        <w:tc>
          <w:tcPr>
            <w:tcW w:w="3458" w:type="dxa"/>
            <w:gridSpan w:val="2"/>
            <w:tcBorders>
              <w:top w:val="single" w:color="auto" w:sz="4" w:space="0"/>
              <w:left w:val="single" w:color="auto" w:sz="4" w:space="0"/>
              <w:bottom w:val="single" w:color="auto" w:sz="4" w:space="0"/>
              <w:right w:val="single" w:color="auto" w:sz="4" w:space="0"/>
            </w:tcBorders>
            <w:vAlign w:val="center"/>
          </w:tcPr>
          <w:p w14:paraId="59017616">
            <w:pPr>
              <w:keepNext w:val="0"/>
              <w:keepLines w:val="0"/>
              <w:widowControl w:val="0"/>
              <w:suppressLineNumbers w:val="0"/>
              <w:spacing w:before="0" w:beforeAutospacing="0" w:after="0" w:afterAutospacing="0" w:line="400" w:lineRule="exact"/>
              <w:ind w:left="0" w:right="0"/>
              <w:jc w:val="both"/>
              <w:rPr>
                <w:rFonts w:ascii="宋体" w:hAnsi="宋体" w:eastAsia="宋体" w:cs="宋体"/>
                <w:kern w:val="2"/>
                <w:sz w:val="22"/>
                <w:szCs w:val="22"/>
                <w:lang w:eastAsia="zh-CN"/>
              </w:rPr>
            </w:pPr>
            <w:r>
              <w:rPr>
                <w:rFonts w:ascii="宋体" w:hAnsi="宋体" w:eastAsia="宋体" w:cs="宋体"/>
                <w:color w:val="1D41D5"/>
                <w:kern w:val="2"/>
                <w:sz w:val="22"/>
                <w:szCs w:val="22"/>
                <w:lang w:eastAsia="zh-CN"/>
              </w:rPr>
              <w:t>香港中文大学（深圳）医院病床类设备采购项目</w:t>
            </w:r>
            <w:r>
              <w:rPr>
                <w:rFonts w:ascii="宋体" w:hAnsi="宋体" w:eastAsia="宋体" w:cs="宋体"/>
                <w:kern w:val="2"/>
                <w:sz w:val="22"/>
                <w:szCs w:val="22"/>
                <w:lang w:eastAsia="zh-CN"/>
              </w:rPr>
              <w:t xml:space="preserve"> </w:t>
            </w:r>
          </w:p>
        </w:tc>
      </w:tr>
      <w:tr w14:paraId="034C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35" w:type="dxa"/>
            <w:gridSpan w:val="2"/>
            <w:tcBorders>
              <w:top w:val="single" w:color="auto" w:sz="4" w:space="0"/>
              <w:left w:val="single" w:color="auto" w:sz="4" w:space="0"/>
              <w:bottom w:val="single" w:color="auto" w:sz="4" w:space="0"/>
              <w:right w:val="single" w:color="auto" w:sz="4" w:space="0"/>
            </w:tcBorders>
            <w:vAlign w:val="center"/>
          </w:tcPr>
          <w:p w14:paraId="6917FFA2">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投标（响应）供应商</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3B72DD4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190F6ADE">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供应商统一社会信用代码</w:t>
            </w:r>
          </w:p>
        </w:tc>
        <w:tc>
          <w:tcPr>
            <w:tcW w:w="3458" w:type="dxa"/>
            <w:gridSpan w:val="2"/>
            <w:tcBorders>
              <w:top w:val="single" w:color="auto" w:sz="4" w:space="0"/>
              <w:left w:val="single" w:color="auto" w:sz="4" w:space="0"/>
              <w:bottom w:val="single" w:color="auto" w:sz="4" w:space="0"/>
              <w:right w:val="single" w:color="auto" w:sz="4" w:space="0"/>
            </w:tcBorders>
            <w:vAlign w:val="center"/>
          </w:tcPr>
          <w:p w14:paraId="6B83AB0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2F6E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4" w:type="dxa"/>
            <w:gridSpan w:val="8"/>
            <w:tcBorders>
              <w:top w:val="single" w:color="auto" w:sz="4" w:space="0"/>
              <w:left w:val="single" w:color="auto" w:sz="4" w:space="0"/>
              <w:bottom w:val="single" w:color="auto" w:sz="4" w:space="0"/>
              <w:right w:val="single" w:color="auto" w:sz="4" w:space="0"/>
            </w:tcBorders>
            <w:vAlign w:val="center"/>
          </w:tcPr>
          <w:p w14:paraId="72FF515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投标（响应）供应商相关人员情况</w:t>
            </w:r>
          </w:p>
        </w:tc>
      </w:tr>
      <w:tr w14:paraId="7B8B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4889ADD4">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序号</w:t>
            </w:r>
          </w:p>
        </w:tc>
        <w:tc>
          <w:tcPr>
            <w:tcW w:w="2404" w:type="dxa"/>
            <w:gridSpan w:val="2"/>
            <w:tcBorders>
              <w:top w:val="single" w:color="auto" w:sz="4" w:space="0"/>
              <w:left w:val="single" w:color="auto" w:sz="4" w:space="0"/>
              <w:bottom w:val="single" w:color="auto" w:sz="4" w:space="0"/>
              <w:right w:val="single" w:color="auto" w:sz="4" w:space="0"/>
            </w:tcBorders>
            <w:vAlign w:val="center"/>
          </w:tcPr>
          <w:p w14:paraId="5ACE19D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职务</w:t>
            </w:r>
          </w:p>
        </w:tc>
        <w:tc>
          <w:tcPr>
            <w:tcW w:w="875" w:type="dxa"/>
            <w:tcBorders>
              <w:top w:val="single" w:color="auto" w:sz="4" w:space="0"/>
              <w:left w:val="single" w:color="auto" w:sz="4" w:space="0"/>
              <w:bottom w:val="single" w:color="auto" w:sz="4" w:space="0"/>
              <w:right w:val="single" w:color="auto" w:sz="4" w:space="0"/>
            </w:tcBorders>
            <w:vAlign w:val="center"/>
          </w:tcPr>
          <w:p w14:paraId="09C3317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1D4FA47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身份证号码</w:t>
            </w:r>
          </w:p>
        </w:tc>
        <w:tc>
          <w:tcPr>
            <w:tcW w:w="1647" w:type="dxa"/>
            <w:tcBorders>
              <w:top w:val="single" w:color="auto" w:sz="4" w:space="0"/>
              <w:left w:val="single" w:color="auto" w:sz="4" w:space="0"/>
              <w:bottom w:val="single" w:color="auto" w:sz="4" w:space="0"/>
              <w:right w:val="single" w:color="auto" w:sz="4" w:space="0"/>
            </w:tcBorders>
            <w:vAlign w:val="center"/>
          </w:tcPr>
          <w:p w14:paraId="1E68693D">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劳动合同</w:t>
            </w:r>
          </w:p>
          <w:p w14:paraId="75053EBB">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关系单位</w:t>
            </w:r>
          </w:p>
        </w:tc>
        <w:tc>
          <w:tcPr>
            <w:tcW w:w="1811" w:type="dxa"/>
            <w:tcBorders>
              <w:top w:val="single" w:color="auto" w:sz="4" w:space="0"/>
              <w:left w:val="single" w:color="auto" w:sz="4" w:space="0"/>
              <w:bottom w:val="single" w:color="auto" w:sz="4" w:space="0"/>
              <w:right w:val="single" w:color="auto" w:sz="4" w:space="0"/>
            </w:tcBorders>
            <w:vAlign w:val="center"/>
          </w:tcPr>
          <w:p w14:paraId="42C762F3">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缴纳社会</w:t>
            </w:r>
          </w:p>
          <w:p w14:paraId="01F359C3">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保险单位</w:t>
            </w:r>
          </w:p>
        </w:tc>
      </w:tr>
      <w:tr w14:paraId="29EE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4C58B5D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1</w:t>
            </w:r>
          </w:p>
        </w:tc>
        <w:tc>
          <w:tcPr>
            <w:tcW w:w="2404" w:type="dxa"/>
            <w:gridSpan w:val="2"/>
            <w:tcBorders>
              <w:top w:val="single" w:color="auto" w:sz="4" w:space="0"/>
              <w:left w:val="single" w:color="auto" w:sz="4" w:space="0"/>
              <w:bottom w:val="single" w:color="auto" w:sz="4" w:space="0"/>
              <w:right w:val="single" w:color="auto" w:sz="4" w:space="0"/>
            </w:tcBorders>
            <w:vAlign w:val="center"/>
          </w:tcPr>
          <w:p w14:paraId="7E43AC3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法定代表人/单位负责人/主要经营负责人</w:t>
            </w:r>
          </w:p>
        </w:tc>
        <w:tc>
          <w:tcPr>
            <w:tcW w:w="875" w:type="dxa"/>
            <w:tcBorders>
              <w:top w:val="single" w:color="auto" w:sz="4" w:space="0"/>
              <w:left w:val="single" w:color="auto" w:sz="4" w:space="0"/>
              <w:bottom w:val="single" w:color="auto" w:sz="4" w:space="0"/>
              <w:right w:val="single" w:color="auto" w:sz="4" w:space="0"/>
            </w:tcBorders>
            <w:vAlign w:val="center"/>
          </w:tcPr>
          <w:p w14:paraId="682D306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7D89CAA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647" w:type="dxa"/>
            <w:tcBorders>
              <w:top w:val="single" w:color="auto" w:sz="4" w:space="0"/>
              <w:left w:val="single" w:color="auto" w:sz="4" w:space="0"/>
              <w:bottom w:val="single" w:color="auto" w:sz="4" w:space="0"/>
              <w:right w:val="single" w:color="auto" w:sz="4" w:space="0"/>
            </w:tcBorders>
            <w:vAlign w:val="center"/>
          </w:tcPr>
          <w:p w14:paraId="14BAF5A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811" w:type="dxa"/>
            <w:tcBorders>
              <w:top w:val="single" w:color="auto" w:sz="4" w:space="0"/>
              <w:left w:val="single" w:color="auto" w:sz="4" w:space="0"/>
              <w:bottom w:val="single" w:color="auto" w:sz="4" w:space="0"/>
              <w:right w:val="single" w:color="auto" w:sz="4" w:space="0"/>
            </w:tcBorders>
            <w:vAlign w:val="center"/>
          </w:tcPr>
          <w:p w14:paraId="5DAAF23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43E3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35FB49C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2</w:t>
            </w:r>
          </w:p>
        </w:tc>
        <w:tc>
          <w:tcPr>
            <w:tcW w:w="2404" w:type="dxa"/>
            <w:gridSpan w:val="2"/>
            <w:tcBorders>
              <w:top w:val="single" w:color="auto" w:sz="4" w:space="0"/>
              <w:left w:val="single" w:color="auto" w:sz="4" w:space="0"/>
              <w:bottom w:val="single" w:color="auto" w:sz="4" w:space="0"/>
              <w:right w:val="single" w:color="auto" w:sz="4" w:space="0"/>
            </w:tcBorders>
            <w:vAlign w:val="center"/>
          </w:tcPr>
          <w:p w14:paraId="4E1704B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项目投标授权代表人</w:t>
            </w:r>
          </w:p>
        </w:tc>
        <w:tc>
          <w:tcPr>
            <w:tcW w:w="875" w:type="dxa"/>
            <w:tcBorders>
              <w:top w:val="single" w:color="auto" w:sz="4" w:space="0"/>
              <w:left w:val="single" w:color="auto" w:sz="4" w:space="0"/>
              <w:bottom w:val="single" w:color="auto" w:sz="4" w:space="0"/>
              <w:right w:val="single" w:color="auto" w:sz="4" w:space="0"/>
            </w:tcBorders>
            <w:vAlign w:val="center"/>
          </w:tcPr>
          <w:p w14:paraId="6613BA3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6E05CA1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647" w:type="dxa"/>
            <w:tcBorders>
              <w:top w:val="single" w:color="auto" w:sz="4" w:space="0"/>
              <w:left w:val="single" w:color="auto" w:sz="4" w:space="0"/>
              <w:bottom w:val="single" w:color="auto" w:sz="4" w:space="0"/>
              <w:right w:val="single" w:color="auto" w:sz="4" w:space="0"/>
            </w:tcBorders>
            <w:vAlign w:val="center"/>
          </w:tcPr>
          <w:p w14:paraId="11A7D43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811" w:type="dxa"/>
            <w:tcBorders>
              <w:top w:val="single" w:color="auto" w:sz="4" w:space="0"/>
              <w:left w:val="single" w:color="auto" w:sz="4" w:space="0"/>
              <w:bottom w:val="single" w:color="auto" w:sz="4" w:space="0"/>
              <w:right w:val="single" w:color="auto" w:sz="4" w:space="0"/>
            </w:tcBorders>
            <w:vAlign w:val="center"/>
          </w:tcPr>
          <w:p w14:paraId="2E0725B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2834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30A4AEC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3</w:t>
            </w:r>
          </w:p>
        </w:tc>
        <w:tc>
          <w:tcPr>
            <w:tcW w:w="2404" w:type="dxa"/>
            <w:gridSpan w:val="2"/>
            <w:tcBorders>
              <w:top w:val="single" w:color="auto" w:sz="4" w:space="0"/>
              <w:left w:val="single" w:color="auto" w:sz="4" w:space="0"/>
              <w:bottom w:val="single" w:color="auto" w:sz="4" w:space="0"/>
              <w:right w:val="single" w:color="auto" w:sz="4" w:space="0"/>
            </w:tcBorders>
            <w:vAlign w:val="center"/>
          </w:tcPr>
          <w:p w14:paraId="10FAD2D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项目负责人</w:t>
            </w:r>
          </w:p>
        </w:tc>
        <w:tc>
          <w:tcPr>
            <w:tcW w:w="875" w:type="dxa"/>
            <w:tcBorders>
              <w:top w:val="single" w:color="auto" w:sz="4" w:space="0"/>
              <w:left w:val="single" w:color="auto" w:sz="4" w:space="0"/>
              <w:bottom w:val="single" w:color="auto" w:sz="4" w:space="0"/>
              <w:right w:val="single" w:color="auto" w:sz="4" w:space="0"/>
            </w:tcBorders>
            <w:vAlign w:val="center"/>
          </w:tcPr>
          <w:p w14:paraId="3E6711F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6E6C72A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647" w:type="dxa"/>
            <w:tcBorders>
              <w:top w:val="single" w:color="auto" w:sz="4" w:space="0"/>
              <w:left w:val="single" w:color="auto" w:sz="4" w:space="0"/>
              <w:bottom w:val="single" w:color="auto" w:sz="4" w:space="0"/>
              <w:right w:val="single" w:color="auto" w:sz="4" w:space="0"/>
            </w:tcBorders>
            <w:vAlign w:val="center"/>
          </w:tcPr>
          <w:p w14:paraId="5496E92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811" w:type="dxa"/>
            <w:tcBorders>
              <w:top w:val="single" w:color="auto" w:sz="4" w:space="0"/>
              <w:left w:val="single" w:color="auto" w:sz="4" w:space="0"/>
              <w:bottom w:val="single" w:color="auto" w:sz="4" w:space="0"/>
              <w:right w:val="single" w:color="auto" w:sz="4" w:space="0"/>
            </w:tcBorders>
            <w:vAlign w:val="center"/>
          </w:tcPr>
          <w:p w14:paraId="2F64F9A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5424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5E53E12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4</w:t>
            </w:r>
          </w:p>
        </w:tc>
        <w:tc>
          <w:tcPr>
            <w:tcW w:w="2404" w:type="dxa"/>
            <w:gridSpan w:val="2"/>
            <w:tcBorders>
              <w:top w:val="single" w:color="auto" w:sz="4" w:space="0"/>
              <w:left w:val="single" w:color="auto" w:sz="4" w:space="0"/>
              <w:bottom w:val="single" w:color="auto" w:sz="4" w:space="0"/>
              <w:right w:val="single" w:color="auto" w:sz="4" w:space="0"/>
            </w:tcBorders>
            <w:vAlign w:val="center"/>
          </w:tcPr>
          <w:p w14:paraId="0DC0796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主要技术人员</w:t>
            </w:r>
          </w:p>
        </w:tc>
        <w:tc>
          <w:tcPr>
            <w:tcW w:w="875" w:type="dxa"/>
            <w:tcBorders>
              <w:top w:val="single" w:color="auto" w:sz="4" w:space="0"/>
              <w:left w:val="single" w:color="auto" w:sz="4" w:space="0"/>
              <w:bottom w:val="single" w:color="auto" w:sz="4" w:space="0"/>
              <w:right w:val="single" w:color="auto" w:sz="4" w:space="0"/>
            </w:tcBorders>
            <w:vAlign w:val="center"/>
          </w:tcPr>
          <w:p w14:paraId="50C6034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31F9D0F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647" w:type="dxa"/>
            <w:tcBorders>
              <w:top w:val="single" w:color="auto" w:sz="4" w:space="0"/>
              <w:left w:val="single" w:color="auto" w:sz="4" w:space="0"/>
              <w:bottom w:val="single" w:color="auto" w:sz="4" w:space="0"/>
              <w:right w:val="single" w:color="auto" w:sz="4" w:space="0"/>
            </w:tcBorders>
            <w:vAlign w:val="center"/>
          </w:tcPr>
          <w:p w14:paraId="455670A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811" w:type="dxa"/>
            <w:tcBorders>
              <w:top w:val="single" w:color="auto" w:sz="4" w:space="0"/>
              <w:left w:val="single" w:color="auto" w:sz="4" w:space="0"/>
              <w:bottom w:val="single" w:color="auto" w:sz="4" w:space="0"/>
              <w:right w:val="single" w:color="auto" w:sz="4" w:space="0"/>
            </w:tcBorders>
            <w:vAlign w:val="center"/>
          </w:tcPr>
          <w:p w14:paraId="2872973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2625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1548779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5</w:t>
            </w:r>
          </w:p>
        </w:tc>
        <w:tc>
          <w:tcPr>
            <w:tcW w:w="2404" w:type="dxa"/>
            <w:gridSpan w:val="2"/>
            <w:tcBorders>
              <w:top w:val="single" w:color="auto" w:sz="4" w:space="0"/>
              <w:left w:val="single" w:color="auto" w:sz="4" w:space="0"/>
              <w:bottom w:val="single" w:color="auto" w:sz="4" w:space="0"/>
              <w:right w:val="single" w:color="auto" w:sz="4" w:space="0"/>
            </w:tcBorders>
            <w:vAlign w:val="center"/>
          </w:tcPr>
          <w:p w14:paraId="3C098BBA">
            <w:pPr>
              <w:keepNext w:val="0"/>
              <w:keepLines w:val="0"/>
              <w:widowControl w:val="0"/>
              <w:suppressLineNumbers w:val="0"/>
              <w:snapToGrid w:val="0"/>
              <w:spacing w:before="0" w:beforeAutospacing="0" w:after="0" w:afterAutospacing="0" w:line="400" w:lineRule="exact"/>
              <w:ind w:left="0" w:right="0" w:firstLine="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投标文件编制人员</w:t>
            </w:r>
          </w:p>
        </w:tc>
        <w:tc>
          <w:tcPr>
            <w:tcW w:w="875" w:type="dxa"/>
            <w:tcBorders>
              <w:top w:val="single" w:color="auto" w:sz="4" w:space="0"/>
              <w:left w:val="single" w:color="auto" w:sz="4" w:space="0"/>
              <w:bottom w:val="single" w:color="auto" w:sz="4" w:space="0"/>
              <w:right w:val="single" w:color="auto" w:sz="4" w:space="0"/>
            </w:tcBorders>
            <w:vAlign w:val="center"/>
          </w:tcPr>
          <w:p w14:paraId="6B274FA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15B614CA">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647" w:type="dxa"/>
            <w:tcBorders>
              <w:top w:val="single" w:color="auto" w:sz="4" w:space="0"/>
              <w:left w:val="single" w:color="auto" w:sz="4" w:space="0"/>
              <w:bottom w:val="single" w:color="auto" w:sz="4" w:space="0"/>
              <w:right w:val="single" w:color="auto" w:sz="4" w:space="0"/>
            </w:tcBorders>
            <w:vAlign w:val="center"/>
          </w:tcPr>
          <w:p w14:paraId="12EFA77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811" w:type="dxa"/>
            <w:tcBorders>
              <w:top w:val="single" w:color="auto" w:sz="4" w:space="0"/>
              <w:left w:val="single" w:color="auto" w:sz="4" w:space="0"/>
              <w:bottom w:val="single" w:color="auto" w:sz="4" w:space="0"/>
              <w:right w:val="single" w:color="auto" w:sz="4" w:space="0"/>
            </w:tcBorders>
            <w:vAlign w:val="center"/>
          </w:tcPr>
          <w:p w14:paraId="20A021D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5680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4" w:type="dxa"/>
            <w:gridSpan w:val="8"/>
            <w:tcBorders>
              <w:top w:val="single" w:color="auto" w:sz="4" w:space="0"/>
              <w:left w:val="single" w:color="auto" w:sz="4" w:space="0"/>
              <w:bottom w:val="single" w:color="auto" w:sz="4" w:space="0"/>
              <w:right w:val="single" w:color="auto" w:sz="4" w:space="0"/>
            </w:tcBorders>
            <w:vAlign w:val="center"/>
          </w:tcPr>
          <w:p w14:paraId="70027AFD">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说明：同一职务有多人担任（如主要技术人员），应分行填写。</w:t>
            </w:r>
          </w:p>
        </w:tc>
      </w:tr>
      <w:tr w14:paraId="7021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4" w:type="dxa"/>
            <w:gridSpan w:val="8"/>
            <w:tcBorders>
              <w:top w:val="single" w:color="auto" w:sz="4" w:space="0"/>
              <w:left w:val="single" w:color="auto" w:sz="4" w:space="0"/>
              <w:bottom w:val="single" w:color="auto" w:sz="4" w:space="0"/>
              <w:right w:val="single" w:color="auto" w:sz="4" w:space="0"/>
            </w:tcBorders>
            <w:vAlign w:val="center"/>
          </w:tcPr>
          <w:p w14:paraId="0C387059">
            <w:pPr>
              <w:keepNext w:val="0"/>
              <w:keepLines w:val="0"/>
              <w:widowControl w:val="0"/>
              <w:suppressLineNumbers w:val="0"/>
              <w:spacing w:before="0" w:beforeAutospacing="0" w:after="0" w:afterAutospacing="0" w:line="400" w:lineRule="exact"/>
              <w:ind w:left="0" w:right="0"/>
              <w:jc w:val="center"/>
              <w:rPr>
                <w:rFonts w:ascii="宋体" w:hAnsi="宋体" w:eastAsia="宋体" w:cs="宋体"/>
                <w:b/>
                <w:bCs/>
                <w:kern w:val="2"/>
                <w:sz w:val="22"/>
                <w:szCs w:val="22"/>
                <w:lang w:eastAsia="zh-CN"/>
              </w:rPr>
            </w:pPr>
            <w:r>
              <w:rPr>
                <w:rFonts w:hint="eastAsia" w:ascii="宋体" w:hAnsi="宋体" w:eastAsia="宋体" w:cs="宋体"/>
                <w:b/>
                <w:bCs/>
                <w:kern w:val="2"/>
                <w:sz w:val="22"/>
                <w:szCs w:val="22"/>
                <w:lang w:eastAsia="zh-CN"/>
              </w:rPr>
              <w:t>投标（响应）供应商关联关系情况</w:t>
            </w:r>
          </w:p>
        </w:tc>
      </w:tr>
      <w:tr w14:paraId="7038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51597E7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序号</w:t>
            </w:r>
          </w:p>
        </w:tc>
        <w:tc>
          <w:tcPr>
            <w:tcW w:w="2404" w:type="dxa"/>
            <w:gridSpan w:val="2"/>
            <w:tcBorders>
              <w:top w:val="single" w:color="auto" w:sz="4" w:space="0"/>
              <w:left w:val="single" w:color="auto" w:sz="4" w:space="0"/>
              <w:bottom w:val="single" w:color="auto" w:sz="4" w:space="0"/>
              <w:right w:val="single" w:color="auto" w:sz="4" w:space="0"/>
            </w:tcBorders>
            <w:vAlign w:val="center"/>
          </w:tcPr>
          <w:p w14:paraId="665F4E3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关联关系类型</w:t>
            </w:r>
          </w:p>
        </w:tc>
        <w:tc>
          <w:tcPr>
            <w:tcW w:w="1377" w:type="dxa"/>
            <w:gridSpan w:val="2"/>
            <w:tcBorders>
              <w:top w:val="single" w:color="auto" w:sz="4" w:space="0"/>
              <w:left w:val="single" w:color="auto" w:sz="4" w:space="0"/>
              <w:bottom w:val="single" w:color="auto" w:sz="4" w:space="0"/>
              <w:right w:val="single" w:color="auto" w:sz="4" w:space="0"/>
            </w:tcBorders>
            <w:vAlign w:val="center"/>
          </w:tcPr>
          <w:p w14:paraId="0DF7FD1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关联主体名称</w:t>
            </w:r>
          </w:p>
        </w:tc>
        <w:tc>
          <w:tcPr>
            <w:tcW w:w="4522" w:type="dxa"/>
            <w:gridSpan w:val="3"/>
            <w:tcBorders>
              <w:top w:val="single" w:color="auto" w:sz="4" w:space="0"/>
              <w:left w:val="single" w:color="auto" w:sz="4" w:space="0"/>
              <w:bottom w:val="single" w:color="auto" w:sz="4" w:space="0"/>
              <w:right w:val="single" w:color="auto" w:sz="4" w:space="0"/>
            </w:tcBorders>
            <w:vAlign w:val="center"/>
          </w:tcPr>
          <w:p w14:paraId="58ED137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备注</w:t>
            </w:r>
          </w:p>
        </w:tc>
      </w:tr>
      <w:tr w14:paraId="3663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68FED4FA">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1</w:t>
            </w:r>
          </w:p>
        </w:tc>
        <w:tc>
          <w:tcPr>
            <w:tcW w:w="2404" w:type="dxa"/>
            <w:gridSpan w:val="2"/>
            <w:tcBorders>
              <w:top w:val="single" w:color="auto" w:sz="4" w:space="0"/>
              <w:left w:val="single" w:color="auto" w:sz="4" w:space="0"/>
              <w:bottom w:val="single" w:color="auto" w:sz="4" w:space="0"/>
              <w:right w:val="single" w:color="auto" w:sz="4" w:space="0"/>
            </w:tcBorders>
            <w:vAlign w:val="center"/>
          </w:tcPr>
          <w:p w14:paraId="3D9E679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控股股东</w:t>
            </w:r>
          </w:p>
        </w:tc>
        <w:tc>
          <w:tcPr>
            <w:tcW w:w="1377" w:type="dxa"/>
            <w:gridSpan w:val="2"/>
            <w:tcBorders>
              <w:top w:val="single" w:color="auto" w:sz="4" w:space="0"/>
              <w:left w:val="single" w:color="auto" w:sz="4" w:space="0"/>
              <w:bottom w:val="single" w:color="auto" w:sz="4" w:space="0"/>
              <w:right w:val="single" w:color="auto" w:sz="4" w:space="0"/>
            </w:tcBorders>
            <w:vAlign w:val="center"/>
          </w:tcPr>
          <w:p w14:paraId="051435D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4522" w:type="dxa"/>
            <w:gridSpan w:val="3"/>
            <w:tcBorders>
              <w:top w:val="single" w:color="auto" w:sz="4" w:space="0"/>
              <w:left w:val="single" w:color="auto" w:sz="4" w:space="0"/>
              <w:bottom w:val="single" w:color="auto" w:sz="4" w:space="0"/>
              <w:right w:val="single" w:color="auto" w:sz="4" w:space="0"/>
            </w:tcBorders>
            <w:vAlign w:val="center"/>
          </w:tcPr>
          <w:p w14:paraId="020A09AD">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6D6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0E9F95E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2</w:t>
            </w:r>
          </w:p>
        </w:tc>
        <w:tc>
          <w:tcPr>
            <w:tcW w:w="2404" w:type="dxa"/>
            <w:gridSpan w:val="2"/>
            <w:tcBorders>
              <w:top w:val="single" w:color="auto" w:sz="4" w:space="0"/>
              <w:left w:val="single" w:color="auto" w:sz="4" w:space="0"/>
              <w:bottom w:val="single" w:color="auto" w:sz="4" w:space="0"/>
              <w:right w:val="single" w:color="auto" w:sz="4" w:space="0"/>
            </w:tcBorders>
            <w:vAlign w:val="center"/>
          </w:tcPr>
          <w:p w14:paraId="4BE4EBA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管理关系</w:t>
            </w:r>
          </w:p>
        </w:tc>
        <w:tc>
          <w:tcPr>
            <w:tcW w:w="1377" w:type="dxa"/>
            <w:gridSpan w:val="2"/>
            <w:tcBorders>
              <w:top w:val="single" w:color="auto" w:sz="4" w:space="0"/>
              <w:left w:val="single" w:color="auto" w:sz="4" w:space="0"/>
              <w:bottom w:val="single" w:color="auto" w:sz="4" w:space="0"/>
              <w:right w:val="single" w:color="auto" w:sz="4" w:space="0"/>
            </w:tcBorders>
            <w:vAlign w:val="center"/>
          </w:tcPr>
          <w:p w14:paraId="1A5EE8B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4522" w:type="dxa"/>
            <w:gridSpan w:val="3"/>
            <w:tcBorders>
              <w:top w:val="single" w:color="auto" w:sz="4" w:space="0"/>
              <w:left w:val="single" w:color="auto" w:sz="4" w:space="0"/>
              <w:bottom w:val="single" w:color="auto" w:sz="4" w:space="0"/>
              <w:right w:val="single" w:color="auto" w:sz="4" w:space="0"/>
            </w:tcBorders>
            <w:vAlign w:val="center"/>
          </w:tcPr>
          <w:p w14:paraId="2FCE1A52">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指对投标（响应）供应商不具有出资持股关系，但对其存在管理关系的主体。</w:t>
            </w:r>
          </w:p>
        </w:tc>
      </w:tr>
      <w:tr w14:paraId="7F14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4" w:type="dxa"/>
            <w:gridSpan w:val="8"/>
            <w:tcBorders>
              <w:top w:val="single" w:color="auto" w:sz="4" w:space="0"/>
              <w:left w:val="single" w:color="auto" w:sz="4" w:space="0"/>
              <w:bottom w:val="single" w:color="auto" w:sz="4" w:space="0"/>
              <w:right w:val="single" w:color="auto" w:sz="4" w:space="0"/>
            </w:tcBorders>
            <w:vAlign w:val="center"/>
          </w:tcPr>
          <w:p w14:paraId="433FAB9B">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说明：同一关联关系类型有多个主体的，应分行填写。</w:t>
            </w:r>
          </w:p>
        </w:tc>
      </w:tr>
    </w:tbl>
    <w:p w14:paraId="5670066F">
      <w:pPr>
        <w:widowControl/>
        <w:jc w:val="left"/>
        <w:rPr>
          <w:rFonts w:ascii="宋体" w:hAnsi="宋体" w:eastAsia="宋体" w:cs="宋体"/>
          <w:kern w:val="2"/>
          <w:sz w:val="20"/>
          <w:szCs w:val="22"/>
          <w:lang w:eastAsia="zh-CN"/>
        </w:rPr>
        <w:sectPr>
          <w:pgSz w:w="11906" w:h="16838"/>
          <w:pgMar w:top="1417" w:right="1417" w:bottom="1417" w:left="1701" w:header="851" w:footer="1588" w:gutter="0"/>
          <w:pgNumType w:fmt="numberInDash"/>
          <w:cols w:space="720" w:num="1"/>
          <w:docGrid w:type="lines" w:linePitch="312" w:charSpace="0"/>
        </w:sectPr>
      </w:pPr>
    </w:p>
    <w:p w14:paraId="47D4C8E9">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六、法定代表人（负责人）证明书</w:t>
      </w:r>
    </w:p>
    <w:p w14:paraId="0C934FE3">
      <w:pPr>
        <w:widowControl w:val="0"/>
        <w:jc w:val="both"/>
        <w:rPr>
          <w:rFonts w:eastAsia="宋体"/>
          <w:kern w:val="2"/>
          <w:lang w:eastAsia="zh-CN"/>
        </w:rPr>
      </w:pPr>
    </w:p>
    <w:p w14:paraId="39B5BAB3">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1BED7B49">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14:paraId="0308E9C4">
      <w:pPr>
        <w:widowControl w:val="0"/>
        <w:spacing w:line="360" w:lineRule="auto"/>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14:paraId="6077BC1E">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37ABFCC8">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14:paraId="13D60B01">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844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2590DDE6">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14:paraId="2FB90BA8">
            <w:pPr>
              <w:keepNext w:val="0"/>
              <w:keepLines w:val="0"/>
              <w:widowControl w:val="0"/>
              <w:suppressLineNumbers w:val="0"/>
              <w:spacing w:before="0" w:beforeAutospacing="0" w:after="120" w:afterAutospacing="0"/>
              <w:ind w:left="0" w:right="0"/>
              <w:jc w:val="left"/>
              <w:rPr>
                <w:rFonts w:eastAsia="宋体"/>
                <w:lang w:eastAsia="zh-CN"/>
              </w:rPr>
            </w:pPr>
          </w:p>
          <w:p w14:paraId="7B7719A0">
            <w:pPr>
              <w:keepNext w:val="0"/>
              <w:keepLines w:val="0"/>
              <w:widowControl w:val="0"/>
              <w:suppressLineNumbers w:val="0"/>
              <w:spacing w:before="0" w:beforeAutospacing="0" w:after="0" w:afterAutospacing="0" w:line="360" w:lineRule="auto"/>
              <w:ind w:left="0" w:right="0"/>
              <w:jc w:val="left"/>
              <w:rPr>
                <w:rFonts w:eastAsia="宋体"/>
                <w:lang w:eastAsia="zh-CN"/>
              </w:rPr>
            </w:pPr>
          </w:p>
          <w:p w14:paraId="442CE2EE">
            <w:pPr>
              <w:keepNext w:val="0"/>
              <w:keepLines w:val="0"/>
              <w:widowControl w:val="0"/>
              <w:suppressLineNumbers w:val="0"/>
              <w:spacing w:before="0" w:beforeAutospacing="0" w:after="0" w:afterAutospacing="0" w:line="360" w:lineRule="auto"/>
              <w:ind w:left="0" w:right="0"/>
              <w:jc w:val="left"/>
              <w:rPr>
                <w:rFonts w:eastAsia="宋体"/>
                <w:lang w:eastAsia="zh-CN"/>
              </w:rPr>
            </w:pPr>
          </w:p>
          <w:p w14:paraId="11BD7526">
            <w:pPr>
              <w:keepNext w:val="0"/>
              <w:keepLines w:val="0"/>
              <w:widowControl w:val="0"/>
              <w:suppressLineNumbers w:val="0"/>
              <w:spacing w:before="0" w:beforeAutospacing="0" w:after="0" w:afterAutospacing="0" w:line="360" w:lineRule="auto"/>
              <w:ind w:left="0" w:right="0"/>
              <w:jc w:val="left"/>
              <w:rPr>
                <w:rFonts w:eastAsia="宋体"/>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47EE6AB1">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14:paraId="4C3E1F9D">
            <w:pPr>
              <w:keepNext w:val="0"/>
              <w:keepLines w:val="0"/>
              <w:widowControl w:val="0"/>
              <w:suppressLineNumbers w:val="0"/>
              <w:spacing w:before="0" w:beforeAutospacing="0" w:after="120" w:afterAutospacing="0"/>
              <w:ind w:left="0" w:right="0"/>
              <w:jc w:val="center"/>
              <w:rPr>
                <w:rFonts w:eastAsia="宋体"/>
                <w:lang w:eastAsia="zh-CN"/>
              </w:rPr>
            </w:pPr>
          </w:p>
          <w:p w14:paraId="3E576ECE">
            <w:pPr>
              <w:keepNext w:val="0"/>
              <w:keepLines w:val="0"/>
              <w:widowControl w:val="0"/>
              <w:suppressLineNumbers w:val="0"/>
              <w:spacing w:before="0" w:beforeAutospacing="0" w:after="0" w:afterAutospacing="0" w:line="360" w:lineRule="auto"/>
              <w:ind w:left="0" w:right="0"/>
              <w:jc w:val="center"/>
              <w:rPr>
                <w:rFonts w:eastAsia="宋体"/>
                <w:lang w:eastAsia="zh-CN"/>
              </w:rPr>
            </w:pPr>
          </w:p>
        </w:tc>
      </w:tr>
    </w:tbl>
    <w:p w14:paraId="0BEE11DC">
      <w:pPr>
        <w:widowControl w:val="0"/>
        <w:spacing w:beforeAutospacing="1" w:afterAutospacing="1"/>
        <w:jc w:val="left"/>
        <w:rPr>
          <w:rFonts w:eastAsia="宋体"/>
          <w:szCs w:val="22"/>
          <w:lang w:eastAsia="zh-CN"/>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B52B14C">
      <w:pPr>
        <w:widowControl w:val="0"/>
        <w:jc w:val="both"/>
        <w:rPr>
          <w:rFonts w:eastAsia="宋体"/>
          <w:kern w:val="2"/>
          <w:lang w:eastAsia="zh-CN"/>
        </w:rPr>
      </w:pPr>
    </w:p>
    <w:p w14:paraId="7F55BCA0">
      <w:pPr>
        <w:widowControl w:val="0"/>
        <w:jc w:val="both"/>
        <w:rPr>
          <w:rFonts w:ascii="黑体" w:hAnsi="宋体" w:eastAsia="黑体" w:cs="黑体"/>
          <w:bCs/>
          <w:kern w:val="2"/>
          <w:szCs w:val="32"/>
          <w:lang w:eastAsia="zh-CN"/>
        </w:rPr>
      </w:pPr>
      <w:r>
        <w:rPr>
          <w:rFonts w:hint="eastAsia" w:ascii="黑体" w:hAnsi="宋体" w:eastAsia="黑体" w:cs="黑体"/>
          <w:bCs/>
          <w:kern w:val="2"/>
          <w:szCs w:val="32"/>
          <w:lang w:eastAsia="zh-CN"/>
        </w:rPr>
        <w:br w:type="page"/>
      </w:r>
    </w:p>
    <w:p w14:paraId="10093D3A">
      <w:pPr>
        <w:keepNext/>
        <w:keepLines/>
        <w:widowControl/>
        <w:spacing w:before="120" w:after="120" w:line="240" w:lineRule="auto"/>
        <w:jc w:val="center"/>
        <w:outlineLvl w:val="2"/>
        <w:rPr>
          <w:rFonts w:ascii="黑体" w:hAnsi="宋体" w:eastAsia="黑体" w:cs="黑体"/>
          <w:bCs/>
          <w:kern w:val="2"/>
          <w:szCs w:val="32"/>
          <w:lang w:eastAsia="zh-CN"/>
        </w:rPr>
      </w:pPr>
      <w:r>
        <w:rPr>
          <w:rFonts w:hint="eastAsia" w:ascii="黑体" w:hAnsi="宋体" w:eastAsia="黑体" w:cs="黑体"/>
          <w:bCs/>
          <w:kern w:val="2"/>
          <w:szCs w:val="32"/>
          <w:lang w:eastAsia="zh-CN"/>
        </w:rPr>
        <w:t>七、投标文件签署授权委托书</w:t>
      </w:r>
    </w:p>
    <w:p w14:paraId="168CD1BC">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14:paraId="30D96E5F">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14:paraId="09FAF0B5">
      <w:pPr>
        <w:widowControl w:val="0"/>
        <w:spacing w:line="360" w:lineRule="auto"/>
        <w:ind w:firstLine="420" w:firstLineChars="200"/>
        <w:jc w:val="both"/>
        <w:rPr>
          <w:rFonts w:eastAsia="宋体"/>
          <w:kern w:val="2"/>
          <w:sz w:val="21"/>
          <w:szCs w:val="21"/>
          <w:lang w:eastAsia="zh-CN"/>
        </w:rPr>
      </w:pPr>
    </w:p>
    <w:p w14:paraId="309741FF">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F005820">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69469602">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27B9DB2">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14:paraId="3A6392DE">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FC3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23FBD93A">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14:paraId="78A0027C">
            <w:pPr>
              <w:keepNext w:val="0"/>
              <w:keepLines w:val="0"/>
              <w:widowControl w:val="0"/>
              <w:suppressLineNumbers w:val="0"/>
              <w:spacing w:before="0" w:beforeAutospacing="0" w:after="120" w:afterAutospacing="0"/>
              <w:ind w:left="0" w:right="0"/>
              <w:jc w:val="left"/>
              <w:rPr>
                <w:rFonts w:eastAsia="宋体"/>
                <w:lang w:eastAsia="zh-CN"/>
              </w:rPr>
            </w:pPr>
          </w:p>
          <w:p w14:paraId="6448B553">
            <w:pPr>
              <w:keepNext w:val="0"/>
              <w:keepLines w:val="0"/>
              <w:widowControl w:val="0"/>
              <w:suppressLineNumbers w:val="0"/>
              <w:spacing w:before="0" w:beforeAutospacing="0" w:after="0" w:afterAutospacing="0" w:line="360" w:lineRule="auto"/>
              <w:ind w:left="0" w:right="0"/>
              <w:jc w:val="left"/>
              <w:rPr>
                <w:rFonts w:eastAsia="宋体"/>
                <w:lang w:eastAsia="zh-CN"/>
              </w:rPr>
            </w:pPr>
          </w:p>
          <w:p w14:paraId="3ED8D5B7">
            <w:pPr>
              <w:keepNext w:val="0"/>
              <w:keepLines w:val="0"/>
              <w:widowControl w:val="0"/>
              <w:suppressLineNumbers w:val="0"/>
              <w:spacing w:before="0" w:beforeAutospacing="0" w:after="0" w:afterAutospacing="0" w:line="360" w:lineRule="auto"/>
              <w:ind w:left="0" w:right="0"/>
              <w:jc w:val="left"/>
              <w:rPr>
                <w:rFonts w:eastAsia="宋体"/>
                <w:lang w:eastAsia="zh-CN"/>
              </w:rPr>
            </w:pPr>
          </w:p>
          <w:p w14:paraId="2971AE04">
            <w:pPr>
              <w:keepNext w:val="0"/>
              <w:keepLines w:val="0"/>
              <w:widowControl w:val="0"/>
              <w:suppressLineNumbers w:val="0"/>
              <w:spacing w:before="0" w:beforeAutospacing="0" w:after="0" w:afterAutospacing="0" w:line="360" w:lineRule="auto"/>
              <w:ind w:left="0" w:right="0"/>
              <w:jc w:val="left"/>
              <w:rPr>
                <w:rFonts w:eastAsia="宋体"/>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9B45AC5">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14:paraId="329CD11C">
            <w:pPr>
              <w:keepNext w:val="0"/>
              <w:keepLines w:val="0"/>
              <w:widowControl w:val="0"/>
              <w:suppressLineNumbers w:val="0"/>
              <w:spacing w:before="0" w:beforeAutospacing="0" w:after="120" w:afterAutospacing="0"/>
              <w:ind w:left="0" w:right="0"/>
              <w:jc w:val="center"/>
              <w:rPr>
                <w:rFonts w:eastAsia="宋体"/>
                <w:lang w:eastAsia="zh-CN"/>
              </w:rPr>
            </w:pPr>
          </w:p>
          <w:p w14:paraId="4B4A3A16">
            <w:pPr>
              <w:keepNext w:val="0"/>
              <w:keepLines w:val="0"/>
              <w:widowControl w:val="0"/>
              <w:suppressLineNumbers w:val="0"/>
              <w:spacing w:before="0" w:beforeAutospacing="0" w:after="0" w:afterAutospacing="0" w:line="360" w:lineRule="auto"/>
              <w:ind w:left="0" w:right="0"/>
              <w:jc w:val="center"/>
              <w:rPr>
                <w:rFonts w:eastAsia="宋体"/>
                <w:lang w:eastAsia="zh-CN"/>
              </w:rPr>
            </w:pPr>
          </w:p>
        </w:tc>
      </w:tr>
    </w:tbl>
    <w:p w14:paraId="054EF570">
      <w:pPr>
        <w:widowControl w:val="0"/>
        <w:spacing w:beforeAutospacing="1" w:afterAutospacing="1"/>
        <w:jc w:val="left"/>
        <w:rPr>
          <w:rFonts w:eastAsia="宋体"/>
          <w:szCs w:val="22"/>
          <w:lang w:eastAsia="zh-CN"/>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97BBA4">
      <w:pPr>
        <w:widowControl w:val="0"/>
        <w:jc w:val="both"/>
        <w:rPr>
          <w:rFonts w:eastAsia="宋体"/>
          <w:kern w:val="2"/>
          <w:sz w:val="21"/>
          <w:lang w:eastAsia="zh-CN"/>
        </w:rPr>
      </w:pPr>
    </w:p>
    <w:p w14:paraId="20198B99">
      <w:pPr>
        <w:widowControl w:val="0"/>
        <w:spacing w:line="360" w:lineRule="auto"/>
        <w:jc w:val="both"/>
        <w:rPr>
          <w:rFonts w:hAnsi="宋体" w:eastAsia="宋体"/>
          <w:b/>
          <w:bCs/>
          <w:kern w:val="2"/>
          <w:lang w:eastAsia="zh-CN"/>
        </w:rPr>
      </w:pPr>
      <w:r>
        <w:rPr>
          <w:rFonts w:eastAsia="宋体"/>
          <w:b/>
          <w:bCs/>
          <w:kern w:val="2"/>
          <w:lang w:eastAsia="zh-CN"/>
        </w:rPr>
        <w:br w:type="page"/>
      </w:r>
    </w:p>
    <w:p w14:paraId="7B4237B2">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bCs/>
          <w:lang w:eastAsia="zh-CN"/>
        </w:rPr>
        <w:t>八、实质性条款响应情况表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276"/>
        <w:gridCol w:w="2474"/>
        <w:gridCol w:w="1243"/>
        <w:gridCol w:w="839"/>
      </w:tblGrid>
      <w:tr w14:paraId="1685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5A33EEB">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序号</w:t>
            </w:r>
          </w:p>
        </w:tc>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14:paraId="32952354">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74AA8254">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484E087C">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14:paraId="1479A249">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说明</w:t>
            </w:r>
          </w:p>
        </w:tc>
      </w:tr>
      <w:tr w14:paraId="4D40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top w:val="single" w:color="auto" w:sz="4" w:space="0"/>
              <w:left w:val="single" w:color="auto" w:sz="4" w:space="0"/>
              <w:bottom w:val="single" w:color="auto" w:sz="4" w:space="0"/>
              <w:right w:val="single" w:color="auto" w:sz="4" w:space="0"/>
            </w:tcBorders>
            <w:shd w:val="clear" w:color="auto" w:fill="auto"/>
          </w:tcPr>
          <w:p w14:paraId="1B9E6E7E">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1</w:t>
            </w:r>
          </w:p>
        </w:tc>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14:paraId="32254980">
            <w:pPr>
              <w:keepNext w:val="0"/>
              <w:keepLines w:val="0"/>
              <w:widowControl w:val="0"/>
              <w:suppressLineNumbers w:val="0"/>
              <w:adjustRightInd w:val="0"/>
              <w:snapToGrid w:val="0"/>
              <w:spacing w:before="0" w:beforeAutospacing="0" w:after="0" w:afterAutospacing="0" w:line="360" w:lineRule="auto"/>
              <w:ind w:left="0" w:right="0"/>
              <w:jc w:val="center"/>
              <w:rPr>
                <w:rFonts w:hAnsi="宋体" w:eastAsia="宋体"/>
                <w:sz w:val="21"/>
                <w:szCs w:val="21"/>
                <w:lang w:eastAsia="zh-CN"/>
              </w:rPr>
            </w:pPr>
            <w:r>
              <w:rPr>
                <w:rFonts w:hint="eastAsia" w:eastAsia="宋体"/>
                <w:color w:val="000000"/>
                <w:kern w:val="2"/>
                <w:sz w:val="21"/>
                <w:szCs w:val="21"/>
                <w:lang w:eastAsia="zh-CN"/>
              </w:rPr>
              <w:t>具体以采购文件第三章 用户需求书中带“★”的需求项为准。</w:t>
            </w:r>
          </w:p>
        </w:tc>
        <w:tc>
          <w:tcPr>
            <w:tcW w:w="2474" w:type="dxa"/>
            <w:tcBorders>
              <w:top w:val="single" w:color="auto" w:sz="4" w:space="0"/>
              <w:left w:val="single" w:color="auto" w:sz="4" w:space="0"/>
              <w:bottom w:val="single" w:color="auto" w:sz="4" w:space="0"/>
              <w:right w:val="single" w:color="auto" w:sz="4" w:space="0"/>
            </w:tcBorders>
            <w:shd w:val="clear" w:color="auto" w:fill="auto"/>
          </w:tcPr>
          <w:p w14:paraId="1BAB10BC">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1243" w:type="dxa"/>
            <w:tcBorders>
              <w:top w:val="single" w:color="auto" w:sz="4" w:space="0"/>
              <w:left w:val="single" w:color="auto" w:sz="4" w:space="0"/>
              <w:bottom w:val="single" w:color="auto" w:sz="4" w:space="0"/>
              <w:right w:val="single" w:color="auto" w:sz="4" w:space="0"/>
            </w:tcBorders>
            <w:shd w:val="clear" w:color="auto" w:fill="auto"/>
          </w:tcPr>
          <w:p w14:paraId="58DDAD97">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839" w:type="dxa"/>
            <w:tcBorders>
              <w:top w:val="single" w:color="auto" w:sz="4" w:space="0"/>
              <w:left w:val="single" w:color="auto" w:sz="4" w:space="0"/>
              <w:bottom w:val="single" w:color="auto" w:sz="4" w:space="0"/>
              <w:right w:val="single" w:color="auto" w:sz="4" w:space="0"/>
            </w:tcBorders>
            <w:shd w:val="clear" w:color="auto" w:fill="auto"/>
          </w:tcPr>
          <w:p w14:paraId="4462BD4A">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r>
    </w:tbl>
    <w:p w14:paraId="2E73E8EF">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14:paraId="5A09EA5A">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14:paraId="6B44B0FB">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14:paraId="3D317FD3">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14:paraId="47824718">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14:paraId="5FADDBCB">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14:paraId="58A7B079">
      <w:pPr>
        <w:widowControl w:val="0"/>
        <w:jc w:val="both"/>
        <w:rPr>
          <w:rFonts w:eastAsia="宋体"/>
          <w:kern w:val="2"/>
          <w:sz w:val="21"/>
          <w:lang w:eastAsia="zh-CN"/>
        </w:rPr>
      </w:pPr>
    </w:p>
    <w:p w14:paraId="59349CD9">
      <w:pPr>
        <w:widowControl w:val="0"/>
        <w:jc w:val="both"/>
        <w:rPr>
          <w:rFonts w:eastAsia="宋体"/>
          <w:b/>
          <w:bCs/>
          <w:kern w:val="2"/>
          <w:lang w:eastAsia="zh-CN"/>
        </w:rPr>
      </w:pPr>
    </w:p>
    <w:p w14:paraId="6AA72919">
      <w:pPr>
        <w:widowControl/>
        <w:jc w:val="left"/>
        <w:rPr>
          <w:rFonts w:ascii="黑体" w:hAnsi="宋体" w:eastAsia="黑体"/>
          <w:kern w:val="2"/>
          <w:szCs w:val="20"/>
          <w:highlight w:val="yellow"/>
          <w:lang w:eastAsia="zh-CN"/>
        </w:rPr>
      </w:pPr>
      <w:r>
        <w:rPr>
          <w:rFonts w:ascii="黑体" w:hAnsi="宋体" w:eastAsia="黑体"/>
          <w:kern w:val="2"/>
          <w:szCs w:val="20"/>
          <w:highlight w:val="yellow"/>
          <w:lang w:eastAsia="zh-CN"/>
        </w:rPr>
        <w:br w:type="page"/>
      </w:r>
    </w:p>
    <w:p w14:paraId="06D42C0B">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九、技术要求偏离表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6"/>
        <w:gridCol w:w="1190"/>
        <w:gridCol w:w="2837"/>
        <w:gridCol w:w="2454"/>
        <w:gridCol w:w="944"/>
        <w:gridCol w:w="648"/>
      </w:tblGrid>
      <w:tr w14:paraId="6EA4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shd w:val="clear" w:color="auto" w:fill="auto"/>
            <w:noWrap/>
            <w:vAlign w:val="center"/>
          </w:tcPr>
          <w:p w14:paraId="648EECC2">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sz w:val="21"/>
                <w:szCs w:val="21"/>
                <w:lang w:eastAsia="zh-CN"/>
              </w:rPr>
              <w:t>序号</w:t>
            </w:r>
          </w:p>
        </w:tc>
        <w:tc>
          <w:tcPr>
            <w:tcW w:w="1393" w:type="dxa"/>
            <w:shd w:val="clear" w:color="auto" w:fill="auto"/>
            <w:noWrap/>
            <w:vAlign w:val="center"/>
          </w:tcPr>
          <w:p w14:paraId="7E38685F">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sz w:val="21"/>
                <w:szCs w:val="21"/>
                <w:lang w:eastAsia="zh-CN"/>
              </w:rPr>
              <w:t>货物名称</w:t>
            </w:r>
          </w:p>
        </w:tc>
        <w:tc>
          <w:tcPr>
            <w:tcW w:w="3390" w:type="dxa"/>
            <w:shd w:val="clear" w:color="auto" w:fill="auto"/>
            <w:noWrap/>
            <w:vAlign w:val="center"/>
          </w:tcPr>
          <w:p w14:paraId="6400E552">
            <w:pPr>
              <w:keepNext w:val="0"/>
              <w:keepLines w:val="0"/>
              <w:widowControl/>
              <w:suppressLineNumbers w:val="0"/>
              <w:wordWrap w:val="0"/>
              <w:jc w:val="center"/>
              <w:textAlignment w:val="center"/>
              <w:rPr>
                <w:rFonts w:ascii="宋体" w:hAnsi="宋体" w:eastAsia="宋体" w:cs="宋体"/>
                <w:color w:val="000000"/>
                <w:sz w:val="21"/>
                <w:szCs w:val="21"/>
                <w:lang w:eastAsia="zh-CN" w:bidi="ar"/>
              </w:rPr>
            </w:pPr>
            <w:r>
              <w:rPr>
                <w:rFonts w:hint="eastAsia" w:ascii="宋体" w:hAnsi="宋体" w:eastAsia="宋体" w:cs="宋体"/>
                <w:sz w:val="21"/>
                <w:szCs w:val="21"/>
                <w:lang w:eastAsia="zh-CN"/>
              </w:rPr>
              <w:t>招标技术要求</w:t>
            </w:r>
          </w:p>
        </w:tc>
        <w:tc>
          <w:tcPr>
            <w:tcW w:w="2926" w:type="dxa"/>
            <w:shd w:val="clear" w:color="auto" w:fill="auto"/>
            <w:noWrap/>
            <w:vAlign w:val="center"/>
          </w:tcPr>
          <w:p w14:paraId="5CE11007">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eastAsia="宋体"/>
                <w:kern w:val="2"/>
                <w:sz w:val="21"/>
                <w:szCs w:val="21"/>
                <w:lang w:eastAsia="zh-CN"/>
              </w:rPr>
              <w:t>投标技术响应</w:t>
            </w:r>
          </w:p>
        </w:tc>
        <w:tc>
          <w:tcPr>
            <w:tcW w:w="1094" w:type="dxa"/>
            <w:shd w:val="clear" w:color="auto" w:fill="auto"/>
            <w:noWrap/>
            <w:vAlign w:val="center"/>
          </w:tcPr>
          <w:p w14:paraId="652067D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eastAsia="宋体"/>
                <w:kern w:val="2"/>
                <w:sz w:val="21"/>
                <w:szCs w:val="21"/>
                <w:lang w:eastAsia="zh-CN"/>
              </w:rPr>
              <w:t>偏离情况</w:t>
            </w:r>
          </w:p>
        </w:tc>
        <w:tc>
          <w:tcPr>
            <w:tcW w:w="736" w:type="dxa"/>
            <w:shd w:val="clear" w:color="auto" w:fill="auto"/>
            <w:noWrap/>
            <w:vAlign w:val="center"/>
          </w:tcPr>
          <w:p w14:paraId="41AB9A8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eastAsia="宋体"/>
                <w:kern w:val="2"/>
                <w:sz w:val="21"/>
                <w:szCs w:val="21"/>
                <w:lang w:eastAsia="zh-CN"/>
              </w:rPr>
              <w:t>说明</w:t>
            </w:r>
          </w:p>
        </w:tc>
      </w:tr>
      <w:tr w14:paraId="5A2E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4D6095E2">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w:t>
            </w:r>
          </w:p>
        </w:tc>
        <w:tc>
          <w:tcPr>
            <w:tcW w:w="1393" w:type="dxa"/>
            <w:vMerge w:val="restart"/>
            <w:shd w:val="clear" w:color="auto" w:fill="auto"/>
            <w:noWrap/>
            <w:vAlign w:val="center"/>
          </w:tcPr>
          <w:p w14:paraId="6331D4BF">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护理病床</w:t>
            </w:r>
          </w:p>
        </w:tc>
        <w:tc>
          <w:tcPr>
            <w:tcW w:w="3390" w:type="dxa"/>
            <w:shd w:val="clear" w:color="auto" w:fill="auto"/>
            <w:noWrap/>
            <w:vAlign w:val="center"/>
          </w:tcPr>
          <w:p w14:paraId="5D2234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color w:val="000000"/>
                <w:kern w:val="2"/>
                <w:sz w:val="21"/>
                <w:szCs w:val="21"/>
                <w:lang w:eastAsia="zh-CN"/>
              </w:rPr>
            </w:pPr>
            <w:r>
              <w:rPr>
                <w:rFonts w:hint="eastAsia" w:ascii="宋体" w:hAnsi="宋体" w:eastAsia="宋体" w:cs="宋体"/>
                <w:sz w:val="21"/>
                <w:szCs w:val="21"/>
                <w:lang w:eastAsia="zh-CN"/>
              </w:rPr>
              <w:t>▲</w:t>
            </w:r>
            <w:r>
              <w:rPr>
                <w:rFonts w:hint="eastAsia" w:ascii="宋体" w:hAnsi="宋体" w:eastAsia="宋体" w:cs="宋体"/>
                <w:color w:val="000000"/>
                <w:sz w:val="21"/>
                <w:szCs w:val="21"/>
                <w:lang w:eastAsia="zh-CN" w:bidi="ar"/>
              </w:rPr>
              <w:t>1、尺寸规格：整体2150*1025*430-740mm(±50mm），床板尺寸1950x900mm(±50mm）</w:t>
            </w:r>
          </w:p>
        </w:tc>
        <w:tc>
          <w:tcPr>
            <w:tcW w:w="2926" w:type="dxa"/>
            <w:shd w:val="clear" w:color="auto" w:fill="auto"/>
            <w:noWrap/>
            <w:vAlign w:val="center"/>
          </w:tcPr>
          <w:p w14:paraId="764DBC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sz w:val="21"/>
                <w:szCs w:val="21"/>
                <w:lang w:eastAsia="zh-CN"/>
              </w:rPr>
            </w:pPr>
          </w:p>
        </w:tc>
        <w:tc>
          <w:tcPr>
            <w:tcW w:w="1094" w:type="dxa"/>
            <w:shd w:val="clear" w:color="auto" w:fill="auto"/>
            <w:noWrap/>
            <w:vAlign w:val="center"/>
          </w:tcPr>
          <w:p w14:paraId="28D8F7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sz w:val="21"/>
                <w:szCs w:val="21"/>
                <w:lang w:eastAsia="zh-CN"/>
              </w:rPr>
            </w:pPr>
          </w:p>
        </w:tc>
        <w:tc>
          <w:tcPr>
            <w:tcW w:w="736" w:type="dxa"/>
            <w:shd w:val="clear" w:color="auto" w:fill="auto"/>
            <w:noWrap/>
            <w:vAlign w:val="center"/>
          </w:tcPr>
          <w:p w14:paraId="657CFD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sz w:val="21"/>
                <w:szCs w:val="21"/>
                <w:lang w:eastAsia="zh-CN"/>
              </w:rPr>
            </w:pPr>
          </w:p>
        </w:tc>
      </w:tr>
      <w:tr w14:paraId="395D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6C78325D">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52DE77A">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2EA2F8BB">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r>
              <w:rPr>
                <w:rFonts w:hint="eastAsia" w:ascii="宋体" w:hAnsi="宋体" w:eastAsia="宋体" w:cs="宋体"/>
                <w:color w:val="000000"/>
                <w:sz w:val="21"/>
                <w:szCs w:val="21"/>
                <w:lang w:eastAsia="zh-CN" w:bidi="ar"/>
              </w:rPr>
              <w:t>功能：</w:t>
            </w:r>
          </w:p>
        </w:tc>
        <w:tc>
          <w:tcPr>
            <w:tcW w:w="2926" w:type="dxa"/>
            <w:shd w:val="clear" w:color="auto" w:fill="auto"/>
            <w:noWrap/>
            <w:vAlign w:val="center"/>
          </w:tcPr>
          <w:p w14:paraId="2811C2BB">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jc w:val="both"/>
              <w:textAlignment w:val="center"/>
              <w:rPr>
                <w:rFonts w:hint="eastAsia" w:ascii="宋体" w:hAnsi="宋体" w:eastAsia="宋体" w:cs="宋体"/>
                <w:color w:val="000000"/>
                <w:kern w:val="2"/>
                <w:sz w:val="21"/>
                <w:szCs w:val="21"/>
                <w:lang w:eastAsia="zh-CN"/>
              </w:rPr>
            </w:pPr>
          </w:p>
        </w:tc>
        <w:tc>
          <w:tcPr>
            <w:tcW w:w="1094" w:type="dxa"/>
            <w:shd w:val="clear" w:color="auto" w:fill="auto"/>
            <w:noWrap/>
            <w:vAlign w:val="center"/>
          </w:tcPr>
          <w:p w14:paraId="555220AF">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jc w:val="both"/>
              <w:textAlignment w:val="center"/>
              <w:rPr>
                <w:rFonts w:hint="eastAsia" w:ascii="宋体" w:hAnsi="宋体" w:eastAsia="宋体" w:cs="宋体"/>
                <w:color w:val="000000"/>
                <w:kern w:val="2"/>
                <w:sz w:val="21"/>
                <w:szCs w:val="21"/>
                <w:lang w:eastAsia="zh-CN"/>
              </w:rPr>
            </w:pPr>
          </w:p>
        </w:tc>
        <w:tc>
          <w:tcPr>
            <w:tcW w:w="736" w:type="dxa"/>
            <w:shd w:val="clear" w:color="auto" w:fill="auto"/>
            <w:noWrap/>
            <w:vAlign w:val="center"/>
          </w:tcPr>
          <w:p w14:paraId="1385DC67">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jc w:val="both"/>
              <w:textAlignment w:val="center"/>
              <w:rPr>
                <w:rFonts w:hint="eastAsia" w:ascii="宋体" w:hAnsi="宋体" w:eastAsia="宋体" w:cs="宋体"/>
                <w:color w:val="000000"/>
                <w:kern w:val="2"/>
                <w:sz w:val="21"/>
                <w:szCs w:val="21"/>
                <w:lang w:eastAsia="zh-CN"/>
              </w:rPr>
            </w:pPr>
          </w:p>
        </w:tc>
      </w:tr>
      <w:tr w14:paraId="56BD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0DDC184">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C25B3A5">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307204A2">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★2.1背部抬起0-75°(±5°),腿部抬起0-38°(±5°),整体升降床板离地高度：430-740mm(±50mm）</w:t>
            </w:r>
          </w:p>
        </w:tc>
        <w:tc>
          <w:tcPr>
            <w:tcW w:w="2926" w:type="dxa"/>
            <w:shd w:val="clear" w:color="auto" w:fill="auto"/>
            <w:noWrap/>
            <w:vAlign w:val="center"/>
          </w:tcPr>
          <w:p w14:paraId="492DFFCC">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78E5A3ED">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4939493C">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jc w:val="both"/>
              <w:textAlignment w:val="center"/>
              <w:rPr>
                <w:rFonts w:hint="eastAsia" w:ascii="宋体" w:hAnsi="宋体" w:eastAsia="宋体" w:cs="宋体"/>
                <w:color w:val="000000"/>
                <w:sz w:val="21"/>
                <w:szCs w:val="21"/>
                <w:lang w:eastAsia="zh-CN" w:bidi="ar"/>
              </w:rPr>
            </w:pPr>
          </w:p>
        </w:tc>
      </w:tr>
      <w:tr w14:paraId="0951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8857742">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0BD56E22">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05D2B7A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▲2.2背部退回功能：在背板抬起后回退不低于7cm，减少病患褥疮风险。</w:t>
            </w:r>
          </w:p>
        </w:tc>
        <w:tc>
          <w:tcPr>
            <w:tcW w:w="2926" w:type="dxa"/>
            <w:shd w:val="clear" w:color="auto" w:fill="auto"/>
            <w:noWrap/>
            <w:vAlign w:val="center"/>
          </w:tcPr>
          <w:p w14:paraId="04C3276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7A3ADA0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42A650D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12A2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AE15CE2">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7F8A082">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1693A9E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3、部件及设备技术参数要求：</w:t>
            </w:r>
          </w:p>
          <w:p w14:paraId="37869EC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3.1床头床尾：采用全新PP或HDPE高强度工程聚塑材料整体—次性吹塑成形，无毒、无味、抗菌，可在100℃以上温度进行消毒，耐冲击强度50kg，拉伸强度不低于30Mpa，耐磨、耐腐蚀、阻燃，性能稳定可靠，不变形。表面光滑无缝隙，易擦拭；弧线型设计，有符合人体工程学结构的把手，床头及床尾架有对称式自动锁插接装置，可以拆卸及锁定，床头尾各带有防撞轮。</w:t>
            </w:r>
          </w:p>
        </w:tc>
        <w:tc>
          <w:tcPr>
            <w:tcW w:w="2926" w:type="dxa"/>
            <w:shd w:val="clear" w:color="auto" w:fill="auto"/>
            <w:noWrap/>
            <w:vAlign w:val="center"/>
          </w:tcPr>
          <w:p w14:paraId="6045982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78E614F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01532CA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2426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823F51B">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EAE7134">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41AA100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3.2隐藏式摇手：伸缩摇杆为不锈钢材质，钢制万向节，丝杆采用45#高级结构钢双挤压成型，摇手柄采用全新高强度ABS强化工程塑料—次性注塑成型，内镶钢芯，结实耐用。内部结构采用精密轴承加含油铜螺母，具备双向过盈保护装置、到位过载保护功能，内加适量黄油，无噪音，全封闭设计。</w:t>
            </w:r>
          </w:p>
        </w:tc>
        <w:tc>
          <w:tcPr>
            <w:tcW w:w="2926" w:type="dxa"/>
            <w:shd w:val="clear" w:color="auto" w:fill="auto"/>
            <w:noWrap/>
            <w:vAlign w:val="center"/>
          </w:tcPr>
          <w:p w14:paraId="1130841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1A9DC24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5B2D5C7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3D86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D2E9895">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28C3262">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00DF853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3.3床板：采用制造工艺搭配—体化床板设计，经全新PP或HDPE工程塑料打造而成的独立式可拆卸4片式凹凸床板。</w:t>
            </w:r>
          </w:p>
        </w:tc>
        <w:tc>
          <w:tcPr>
            <w:tcW w:w="2926" w:type="dxa"/>
            <w:shd w:val="clear" w:color="auto" w:fill="auto"/>
            <w:noWrap/>
            <w:vAlign w:val="center"/>
          </w:tcPr>
          <w:p w14:paraId="545544D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6283645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0257DB7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799C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6DA443D">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643EA02D">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3FC7E7D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b/>
                <w:bCs/>
                <w:color w:val="FF0000"/>
                <w:sz w:val="21"/>
                <w:szCs w:val="21"/>
                <w:lang w:eastAsia="zh-CN" w:bidi="ar"/>
              </w:rPr>
              <w:t>▲3.4床框：采用80*40*1.5mm或60*40*2mm的钢制矩形管，经智能机器人焊接制成日字框，无虚焊假焊现象，两侧床头床尾（及床中部）均带输液架孔，及6个引流袋挂钩，8个约束带固定钩（肩部、臀部、腿部、脚部）。（提供机器人焊接工艺实拍图或技术说明书或其他证明资料佐证）</w:t>
            </w:r>
          </w:p>
        </w:tc>
        <w:tc>
          <w:tcPr>
            <w:tcW w:w="2926" w:type="dxa"/>
            <w:shd w:val="clear" w:color="auto" w:fill="auto"/>
            <w:noWrap/>
            <w:vAlign w:val="center"/>
          </w:tcPr>
          <w:p w14:paraId="7E4883B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bCs/>
                <w:color w:val="FF0000"/>
                <w:sz w:val="21"/>
                <w:szCs w:val="21"/>
                <w:lang w:eastAsia="zh-CN" w:bidi="ar"/>
              </w:rPr>
            </w:pPr>
          </w:p>
        </w:tc>
        <w:tc>
          <w:tcPr>
            <w:tcW w:w="1094" w:type="dxa"/>
            <w:shd w:val="clear" w:color="auto" w:fill="auto"/>
            <w:noWrap/>
            <w:vAlign w:val="center"/>
          </w:tcPr>
          <w:p w14:paraId="555D34F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bCs/>
                <w:color w:val="FF0000"/>
                <w:sz w:val="21"/>
                <w:szCs w:val="21"/>
                <w:lang w:eastAsia="zh-CN" w:bidi="ar"/>
              </w:rPr>
            </w:pPr>
          </w:p>
        </w:tc>
        <w:tc>
          <w:tcPr>
            <w:tcW w:w="736" w:type="dxa"/>
            <w:shd w:val="clear" w:color="auto" w:fill="auto"/>
            <w:noWrap/>
            <w:vAlign w:val="center"/>
          </w:tcPr>
          <w:p w14:paraId="3208B96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bCs/>
                <w:color w:val="FF0000"/>
                <w:sz w:val="21"/>
                <w:szCs w:val="21"/>
                <w:lang w:eastAsia="zh-CN" w:bidi="ar"/>
              </w:rPr>
            </w:pPr>
          </w:p>
        </w:tc>
      </w:tr>
      <w:tr w14:paraId="46B4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BA52D2F">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1B74362">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09479D6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3.5底盘：采用30*60*1.5焊接矩形管焊接成口字型，自动化机器人焊接，360°无死角焊接。</w:t>
            </w:r>
          </w:p>
        </w:tc>
        <w:tc>
          <w:tcPr>
            <w:tcW w:w="2926" w:type="dxa"/>
            <w:shd w:val="clear" w:color="auto" w:fill="auto"/>
            <w:noWrap/>
            <w:vAlign w:val="center"/>
          </w:tcPr>
          <w:p w14:paraId="745D215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1052EEF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0C80767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0814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0FFD899">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0AA6B4F6">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367CD9B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3.6护栏：四片式护栏，PP或HDPE材质，全新料—次性吹塑成型。床外侧设有锁定机构，缓冲式下降。护栏与床头尾板、护栏与护栏之间间距小于15cm，预防病患发生坠床事故。可承载横向≥500N拉力。床尾护栏和背板护栏均具有角度显示器。</w:t>
            </w:r>
          </w:p>
        </w:tc>
        <w:tc>
          <w:tcPr>
            <w:tcW w:w="2926" w:type="dxa"/>
            <w:shd w:val="clear" w:color="auto" w:fill="auto"/>
            <w:noWrap/>
            <w:vAlign w:val="center"/>
          </w:tcPr>
          <w:p w14:paraId="6E10121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185A6BA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526C210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6D2C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FE0D8BB">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051D3ACB">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4CDF0C3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3.7脚轮：中控刹车，直径≥125mmTPR材质静音脚轮，耐磨无声轮，每个脚轮均带刹车，运行平稳。</w:t>
            </w:r>
          </w:p>
        </w:tc>
        <w:tc>
          <w:tcPr>
            <w:tcW w:w="2926" w:type="dxa"/>
            <w:shd w:val="clear" w:color="auto" w:fill="auto"/>
            <w:noWrap/>
            <w:vAlign w:val="center"/>
          </w:tcPr>
          <w:p w14:paraId="7A3267F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6FD0506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26F5C3B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6897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8E35FCA">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472A636">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6488708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3.8鞋架便盆架：床底配置鞋架，高度可放入便盆。</w:t>
            </w:r>
          </w:p>
        </w:tc>
        <w:tc>
          <w:tcPr>
            <w:tcW w:w="2926" w:type="dxa"/>
            <w:shd w:val="clear" w:color="auto" w:fill="auto"/>
            <w:noWrap/>
            <w:vAlign w:val="center"/>
          </w:tcPr>
          <w:p w14:paraId="5DDE44F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0FBC151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76C2002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35BB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92A3050">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218EFDE">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7E7E50A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▲3.9餐桌板：配置阻尼式餐桌，带有缓冲装置，可缓慢放下，在放倒时不会损伤到人员。餐桌距离床板高度≥420cm，减少病患用餐时弯腰。</w:t>
            </w:r>
          </w:p>
        </w:tc>
        <w:tc>
          <w:tcPr>
            <w:tcW w:w="2926" w:type="dxa"/>
            <w:shd w:val="clear" w:color="auto" w:fill="auto"/>
            <w:noWrap/>
            <w:vAlign w:val="center"/>
          </w:tcPr>
          <w:p w14:paraId="08CE279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4006792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75B782D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3A20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05D1356">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65392290">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035A2FA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3.10床垫：面料采用复合TPU材质，床垫厚度8cm，20mm棕丝+60mm高回弹海绵。</w:t>
            </w:r>
          </w:p>
        </w:tc>
        <w:tc>
          <w:tcPr>
            <w:tcW w:w="2926" w:type="dxa"/>
            <w:shd w:val="clear" w:color="auto" w:fill="auto"/>
            <w:noWrap/>
            <w:vAlign w:val="center"/>
          </w:tcPr>
          <w:p w14:paraId="5B042EF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0EE22BE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12CAE0B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6A53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03" w:type="dxa"/>
            <w:vMerge w:val="continue"/>
            <w:shd w:val="clear" w:color="auto" w:fill="auto"/>
            <w:noWrap/>
            <w:vAlign w:val="center"/>
          </w:tcPr>
          <w:p w14:paraId="6FF1E991">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DFE58AA">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2EE47CF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★3.11配套床头柜1个，尺寸：480*480*760mm（均可±20mm）配置：托盘+抽屉+柜门（标配一块活动层板）+左右毛巾架+底部配4只带刹车脚轮</w:t>
            </w:r>
          </w:p>
          <w:p w14:paraId="2B98A92A">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材质：原生料ABS材质</w:t>
            </w:r>
          </w:p>
        </w:tc>
        <w:tc>
          <w:tcPr>
            <w:tcW w:w="2926" w:type="dxa"/>
            <w:shd w:val="clear" w:color="auto" w:fill="auto"/>
            <w:noWrap/>
            <w:vAlign w:val="center"/>
          </w:tcPr>
          <w:p w14:paraId="170D82B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7CEC107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3865391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22DC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36E26B1">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8AAA09D">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5E3FC8F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4、工艺及性能要求：</w:t>
            </w:r>
          </w:p>
          <w:p w14:paraId="5CDF612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4.1钢架单品部件采用模具—体成型，牢固安全可靠；塑料件采用模具注塑，吹塑，吸塑等工艺成型，外观线条柔和且美观，并且整体强度高，耐用，易清洁；</w:t>
            </w:r>
          </w:p>
        </w:tc>
        <w:tc>
          <w:tcPr>
            <w:tcW w:w="2926" w:type="dxa"/>
            <w:shd w:val="clear" w:color="auto" w:fill="auto"/>
            <w:noWrap/>
            <w:vAlign w:val="center"/>
          </w:tcPr>
          <w:p w14:paraId="369DE9B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4328127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3A53E58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4494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835B74E">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EDD7EA5">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769B721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4.2高精度焊接工艺，确保病床安全可靠，牢固结实；</w:t>
            </w:r>
          </w:p>
        </w:tc>
        <w:tc>
          <w:tcPr>
            <w:tcW w:w="2926" w:type="dxa"/>
            <w:shd w:val="clear" w:color="auto" w:fill="auto"/>
            <w:noWrap/>
            <w:vAlign w:val="center"/>
          </w:tcPr>
          <w:p w14:paraId="0C81AA7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670870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56917C6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0B5C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BC0A0FE">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BE3D33A">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4C416CA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4.3表面涂装采用双重涂层技术，经去油、除锈处理后电泳涂装+静电喷粉，喷塑材料无毒、防霉；涂层表面光洁亮丽，不脱落，不生锈、防静电；</w:t>
            </w:r>
          </w:p>
        </w:tc>
        <w:tc>
          <w:tcPr>
            <w:tcW w:w="2926" w:type="dxa"/>
            <w:shd w:val="clear" w:color="auto" w:fill="auto"/>
            <w:noWrap/>
            <w:vAlign w:val="center"/>
          </w:tcPr>
          <w:p w14:paraId="7FE64C6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7708F6E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3AB3693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7CD6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CA1CDE2">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5F34DCD">
            <w:pPr>
              <w:keepNext w:val="0"/>
              <w:keepLines w:val="0"/>
              <w:widowControl/>
              <w:suppressLineNumbers w:val="0"/>
              <w:wordWrap w:val="0"/>
              <w:jc w:val="center"/>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6F1758F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bCs/>
                <w:color w:val="FF0000"/>
                <w:sz w:val="21"/>
                <w:szCs w:val="21"/>
                <w:lang w:eastAsia="zh-CN" w:bidi="ar"/>
              </w:rPr>
            </w:pPr>
            <w:r>
              <w:rPr>
                <w:rFonts w:hint="eastAsia" w:ascii="宋体" w:hAnsi="宋体" w:eastAsia="宋体" w:cs="宋体"/>
                <w:b/>
                <w:bCs/>
                <w:color w:val="FF0000"/>
                <w:sz w:val="21"/>
                <w:szCs w:val="21"/>
                <w:lang w:eastAsia="zh-CN" w:bidi="ar"/>
              </w:rPr>
              <w:t>▲4.4、喷涂抗菌：对金色葡萄球菌和大肠杆菌均有抗菌作用，符合GB/T21866-2008《抗菌涂料（漆膜）抗菌性测定法和抗菌效果》的要求。</w:t>
            </w:r>
          </w:p>
          <w:p w14:paraId="0684665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b/>
                <w:bCs/>
                <w:color w:val="FF0000"/>
                <w:sz w:val="21"/>
                <w:szCs w:val="21"/>
                <w:lang w:eastAsia="zh-CN" w:bidi="ar"/>
              </w:rPr>
              <w:t>提供证明材料：①提供2022年1月1日至本项目投标截止之日，第三方检测机构出具的具有CMA标识的</w:t>
            </w:r>
            <w:r>
              <w:rPr>
                <w:rFonts w:hint="eastAsia" w:eastAsia="宋体"/>
                <w:b/>
                <w:bCs/>
                <w:color w:val="FF0000"/>
                <w:kern w:val="2"/>
                <w:sz w:val="21"/>
                <w:lang w:eastAsia="zh-CN"/>
              </w:rPr>
              <w:t>病床或病床架</w:t>
            </w:r>
            <w:r>
              <w:rPr>
                <w:rFonts w:hint="eastAsia" w:ascii="宋体" w:hAnsi="宋体" w:eastAsia="宋体" w:cs="宋体"/>
                <w:b/>
                <w:bCs/>
                <w:color w:val="FF0000"/>
                <w:sz w:val="21"/>
                <w:szCs w:val="21"/>
                <w:lang w:eastAsia="zh-CN" w:bidi="ar"/>
              </w:rPr>
              <w:t>检验检测报告（报告委托单位为投标人或病床的制造商）；②需同时提供全国认证认可信息公共服务平台（认e云）查询有效的截图（http://cx.cnca.cn）且编号一致；③检测报告封面货物名称不一致时，需提供书面说明以证明是同种货物，否则该项不予认可。</w:t>
            </w:r>
            <w:r>
              <w:rPr>
                <w:rFonts w:hint="eastAsia" w:ascii="宋体" w:hAnsi="宋体" w:eastAsia="宋体" w:cs="宋体"/>
                <w:b/>
                <w:bCs/>
                <w:color w:val="FF0000"/>
                <w:sz w:val="21"/>
                <w:szCs w:val="21"/>
                <w:lang w:eastAsia="zh-CN" w:bidi="ar"/>
              </w:rPr>
              <w:fldChar w:fldCharType="begin"/>
            </w:r>
            <w:r>
              <w:rPr>
                <w:rFonts w:hint="eastAsia" w:ascii="宋体" w:hAnsi="宋体" w:eastAsia="宋体" w:cs="宋体"/>
                <w:b/>
                <w:bCs/>
                <w:color w:val="FF0000"/>
                <w:sz w:val="21"/>
                <w:szCs w:val="21"/>
                <w:lang w:eastAsia="zh-CN" w:bidi="ar"/>
              </w:rPr>
              <w:instrText xml:space="preserve"> = 4 \* GB3 \* MERGEFORMAT </w:instrText>
            </w:r>
            <w:r>
              <w:rPr>
                <w:rFonts w:hint="eastAsia" w:ascii="宋体" w:hAnsi="宋体" w:eastAsia="宋体" w:cs="宋体"/>
                <w:b/>
                <w:bCs/>
                <w:color w:val="FF0000"/>
                <w:sz w:val="21"/>
                <w:szCs w:val="21"/>
                <w:lang w:eastAsia="zh-CN" w:bidi="ar"/>
              </w:rPr>
              <w:fldChar w:fldCharType="separate"/>
            </w:r>
            <w:r>
              <w:rPr>
                <w:rFonts w:eastAsia="宋体"/>
                <w:b/>
                <w:bCs/>
                <w:color w:val="FF0000"/>
                <w:kern w:val="2"/>
                <w:sz w:val="21"/>
                <w:lang w:eastAsia="zh-CN"/>
              </w:rPr>
              <w:t>④</w:t>
            </w:r>
            <w:r>
              <w:rPr>
                <w:rFonts w:hint="eastAsia" w:ascii="宋体" w:hAnsi="宋体" w:eastAsia="宋体" w:cs="宋体"/>
                <w:b/>
                <w:bCs/>
                <w:color w:val="FF0000"/>
                <w:sz w:val="21"/>
                <w:szCs w:val="21"/>
                <w:lang w:eastAsia="zh-CN" w:bidi="ar"/>
              </w:rPr>
              <w:fldChar w:fldCharType="end"/>
            </w:r>
            <w:r>
              <w:rPr>
                <w:rFonts w:hint="eastAsia" w:eastAsia="宋体"/>
                <w:b/>
                <w:bCs/>
                <w:color w:val="FF0000"/>
                <w:kern w:val="2"/>
                <w:sz w:val="21"/>
                <w:lang w:eastAsia="zh-CN"/>
              </w:rPr>
              <w:t>检验（检测）报告要求具有CMA标识的，若有材料证明相关检测事项不在实施该项检测的机构许可（认可）CMA资质范围或检测范围内的，该检验（检测）报告视为不满足招标文件要求，作负偏离处理。</w:t>
            </w:r>
          </w:p>
        </w:tc>
        <w:tc>
          <w:tcPr>
            <w:tcW w:w="2926" w:type="dxa"/>
            <w:shd w:val="clear" w:color="auto" w:fill="auto"/>
            <w:noWrap/>
            <w:vAlign w:val="center"/>
          </w:tcPr>
          <w:p w14:paraId="09A4F56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bCs/>
                <w:color w:val="FF0000"/>
                <w:sz w:val="21"/>
                <w:szCs w:val="21"/>
                <w:lang w:eastAsia="zh-CN" w:bidi="ar"/>
              </w:rPr>
            </w:pPr>
          </w:p>
        </w:tc>
        <w:tc>
          <w:tcPr>
            <w:tcW w:w="1094" w:type="dxa"/>
            <w:shd w:val="clear" w:color="auto" w:fill="auto"/>
            <w:noWrap/>
            <w:vAlign w:val="center"/>
          </w:tcPr>
          <w:p w14:paraId="088A72B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bCs/>
                <w:color w:val="FF0000"/>
                <w:sz w:val="21"/>
                <w:szCs w:val="21"/>
                <w:lang w:eastAsia="zh-CN" w:bidi="ar"/>
              </w:rPr>
            </w:pPr>
          </w:p>
        </w:tc>
        <w:tc>
          <w:tcPr>
            <w:tcW w:w="736" w:type="dxa"/>
            <w:shd w:val="clear" w:color="auto" w:fill="auto"/>
            <w:noWrap/>
            <w:vAlign w:val="center"/>
          </w:tcPr>
          <w:p w14:paraId="79058DD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bCs/>
                <w:color w:val="FF0000"/>
                <w:sz w:val="21"/>
                <w:szCs w:val="21"/>
                <w:lang w:eastAsia="zh-CN" w:bidi="ar"/>
              </w:rPr>
            </w:pPr>
          </w:p>
        </w:tc>
      </w:tr>
      <w:tr w14:paraId="7E84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46E7F5FD">
            <w:pPr>
              <w:keepNext w:val="0"/>
              <w:keepLines w:val="0"/>
              <w:widowControl/>
              <w:suppressLineNumbers w:val="0"/>
              <w:wordWrap w:val="0"/>
              <w:jc w:val="center"/>
              <w:textAlignment w:val="top"/>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w:t>
            </w:r>
          </w:p>
        </w:tc>
        <w:tc>
          <w:tcPr>
            <w:tcW w:w="1393" w:type="dxa"/>
            <w:vMerge w:val="restart"/>
            <w:shd w:val="clear" w:color="auto" w:fill="auto"/>
            <w:noWrap/>
            <w:vAlign w:val="center"/>
          </w:tcPr>
          <w:p w14:paraId="100461C1">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kern w:val="2"/>
                <w:sz w:val="21"/>
                <w:szCs w:val="21"/>
                <w:lang w:eastAsia="zh-CN"/>
              </w:rPr>
              <w:t>诊疗床</w:t>
            </w:r>
          </w:p>
        </w:tc>
        <w:tc>
          <w:tcPr>
            <w:tcW w:w="3390" w:type="dxa"/>
            <w:shd w:val="clear" w:color="auto" w:fill="auto"/>
            <w:noWrap/>
            <w:vAlign w:val="center"/>
          </w:tcPr>
          <w:p w14:paraId="6412C10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rPr>
              <w:t>▲</w:t>
            </w:r>
            <w:r>
              <w:rPr>
                <w:rFonts w:hint="eastAsia" w:ascii="宋体" w:hAnsi="宋体" w:eastAsia="宋体" w:cs="宋体"/>
                <w:sz w:val="21"/>
                <w:szCs w:val="21"/>
                <w:lang w:eastAsia="zh-CN" w:bidi="ar"/>
              </w:rPr>
              <w:t>1、常规尺寸1900*600*650mm（±20mm）</w:t>
            </w:r>
          </w:p>
        </w:tc>
        <w:tc>
          <w:tcPr>
            <w:tcW w:w="2926" w:type="dxa"/>
            <w:shd w:val="clear" w:color="auto" w:fill="auto"/>
            <w:noWrap/>
            <w:vAlign w:val="center"/>
          </w:tcPr>
          <w:p w14:paraId="7B4A9AA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rPr>
            </w:pPr>
          </w:p>
        </w:tc>
        <w:tc>
          <w:tcPr>
            <w:tcW w:w="1094" w:type="dxa"/>
            <w:shd w:val="clear" w:color="auto" w:fill="auto"/>
            <w:noWrap/>
            <w:vAlign w:val="center"/>
          </w:tcPr>
          <w:p w14:paraId="1155458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rPr>
            </w:pPr>
          </w:p>
        </w:tc>
        <w:tc>
          <w:tcPr>
            <w:tcW w:w="736" w:type="dxa"/>
            <w:shd w:val="clear" w:color="auto" w:fill="auto"/>
            <w:noWrap/>
            <w:vAlign w:val="center"/>
          </w:tcPr>
          <w:p w14:paraId="6B7A741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rPr>
            </w:pPr>
          </w:p>
        </w:tc>
      </w:tr>
      <w:tr w14:paraId="72A4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1D0FD70">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3FC8A25F">
            <w:pPr>
              <w:keepNext w:val="0"/>
              <w:keepLines w:val="0"/>
              <w:widowControl/>
              <w:suppressLineNumbers w:val="0"/>
              <w:wordWrap w:val="0"/>
              <w:jc w:val="both"/>
              <w:textAlignment w:val="center"/>
              <w:rPr>
                <w:rFonts w:eastAsia="宋体"/>
                <w:kern w:val="2"/>
                <w:sz w:val="21"/>
                <w:lang w:eastAsia="zh-CN"/>
              </w:rPr>
            </w:pPr>
          </w:p>
        </w:tc>
        <w:tc>
          <w:tcPr>
            <w:tcW w:w="3390" w:type="dxa"/>
            <w:shd w:val="clear" w:color="auto" w:fill="auto"/>
            <w:noWrap/>
            <w:vAlign w:val="center"/>
          </w:tcPr>
          <w:p w14:paraId="5F23402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rPr>
              <w:t>▲</w:t>
            </w:r>
            <w:r>
              <w:rPr>
                <w:rFonts w:hint="eastAsia" w:ascii="宋体" w:hAnsi="宋体" w:eastAsia="宋体" w:cs="宋体"/>
                <w:sz w:val="21"/>
                <w:szCs w:val="21"/>
                <w:lang w:eastAsia="zh-CN" w:bidi="ar"/>
              </w:rPr>
              <w:t>2、面料：采用有机硅或改性PVC医疗皮革，耐84消毒液，皮面光泽度好，透气性强，柔软而富有韧性，厚度适中，皮质无残疵点，无龟裂，破损，色差小；车缝手工整齐，规则，精细均匀，线条流畅</w:t>
            </w:r>
          </w:p>
        </w:tc>
        <w:tc>
          <w:tcPr>
            <w:tcW w:w="2926" w:type="dxa"/>
            <w:shd w:val="clear" w:color="auto" w:fill="auto"/>
            <w:noWrap/>
            <w:vAlign w:val="center"/>
          </w:tcPr>
          <w:p w14:paraId="41C3650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rPr>
            </w:pPr>
          </w:p>
        </w:tc>
        <w:tc>
          <w:tcPr>
            <w:tcW w:w="1094" w:type="dxa"/>
            <w:shd w:val="clear" w:color="auto" w:fill="auto"/>
            <w:noWrap/>
            <w:vAlign w:val="center"/>
          </w:tcPr>
          <w:p w14:paraId="3F0B47B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rPr>
            </w:pPr>
          </w:p>
        </w:tc>
        <w:tc>
          <w:tcPr>
            <w:tcW w:w="736" w:type="dxa"/>
            <w:shd w:val="clear" w:color="auto" w:fill="auto"/>
            <w:noWrap/>
            <w:vAlign w:val="center"/>
          </w:tcPr>
          <w:p w14:paraId="15E71B4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rPr>
            </w:pPr>
          </w:p>
        </w:tc>
      </w:tr>
      <w:tr w14:paraId="5F02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6AFEC9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4C10F1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015D3D6F">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3、海绵：采用高密度高回弹发泡定型海绵,表面有—层保护面，可防氧化 ,防碎,经过HD测试不变形；弹性优异，软硬适中、座感舒适；床面带一体化头枕。</w:t>
            </w:r>
          </w:p>
        </w:tc>
        <w:tc>
          <w:tcPr>
            <w:tcW w:w="2926" w:type="dxa"/>
            <w:shd w:val="clear" w:color="auto" w:fill="auto"/>
            <w:noWrap/>
            <w:vAlign w:val="center"/>
          </w:tcPr>
          <w:p w14:paraId="4D614C0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1E4406B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45436A9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2675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204ECAF">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0A07591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4C60655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4、脚架：立柱采用50*25*1.2mm方管，主横梁为25*50*1.2方管，柜门采用0.8mm电解钢板。四脚配加厚塑料扣件，增大方管与现场地胶接触面，外套耐84消毒液的胶套。</w:t>
            </w:r>
          </w:p>
        </w:tc>
        <w:tc>
          <w:tcPr>
            <w:tcW w:w="2926" w:type="dxa"/>
            <w:shd w:val="clear" w:color="auto" w:fill="auto"/>
            <w:noWrap/>
            <w:vAlign w:val="center"/>
          </w:tcPr>
          <w:p w14:paraId="7B56362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0F8855A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5D51255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03CE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62259139">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2E8036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06FBA8C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5、储物抽屉：左侧大号单抽屉，右侧两层抽屉。抽面彩喷不锈钢，颜色由甲方选定，抽面与脚架同垂直面。五金采用静音缓冲滑轨，每个抽屉承重不低于25kg。</w:t>
            </w:r>
          </w:p>
        </w:tc>
        <w:tc>
          <w:tcPr>
            <w:tcW w:w="2926" w:type="dxa"/>
            <w:shd w:val="clear" w:color="auto" w:fill="auto"/>
            <w:noWrap/>
            <w:vAlign w:val="center"/>
          </w:tcPr>
          <w:p w14:paraId="5CD4DC9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0DB5E9E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31A02CB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7C1E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4B3BE466">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w:t>
            </w:r>
          </w:p>
        </w:tc>
        <w:tc>
          <w:tcPr>
            <w:tcW w:w="1393" w:type="dxa"/>
            <w:vMerge w:val="restart"/>
            <w:shd w:val="clear" w:color="auto" w:fill="auto"/>
            <w:noWrap/>
            <w:vAlign w:val="center"/>
          </w:tcPr>
          <w:p w14:paraId="7F996316">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儿科病床</w:t>
            </w:r>
          </w:p>
        </w:tc>
        <w:tc>
          <w:tcPr>
            <w:tcW w:w="3390" w:type="dxa"/>
            <w:shd w:val="clear" w:color="auto" w:fill="auto"/>
            <w:noWrap/>
            <w:vAlign w:val="center"/>
          </w:tcPr>
          <w:p w14:paraId="0B93B15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sz w:val="21"/>
                <w:szCs w:val="21"/>
                <w:lang w:eastAsia="zh-CN"/>
              </w:rPr>
              <w:t>▲</w:t>
            </w:r>
            <w:r>
              <w:rPr>
                <w:rFonts w:hint="eastAsia" w:ascii="宋体" w:hAnsi="宋体" w:eastAsia="宋体" w:cs="宋体"/>
                <w:color w:val="000000"/>
                <w:sz w:val="21"/>
                <w:szCs w:val="21"/>
                <w:lang w:eastAsia="zh-CN" w:bidi="ar"/>
              </w:rPr>
              <w:t>1、外形尺寸：1910mm×930mm×(575-1260)mm(±50mm)</w:t>
            </w:r>
          </w:p>
        </w:tc>
        <w:tc>
          <w:tcPr>
            <w:tcW w:w="2926" w:type="dxa"/>
            <w:shd w:val="clear" w:color="auto" w:fill="auto"/>
            <w:noWrap/>
            <w:vAlign w:val="center"/>
          </w:tcPr>
          <w:p w14:paraId="61C0208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rPr>
            </w:pPr>
          </w:p>
        </w:tc>
        <w:tc>
          <w:tcPr>
            <w:tcW w:w="1094" w:type="dxa"/>
            <w:shd w:val="clear" w:color="auto" w:fill="auto"/>
            <w:noWrap/>
            <w:vAlign w:val="center"/>
          </w:tcPr>
          <w:p w14:paraId="354CC1B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rPr>
            </w:pPr>
          </w:p>
        </w:tc>
        <w:tc>
          <w:tcPr>
            <w:tcW w:w="736" w:type="dxa"/>
            <w:shd w:val="clear" w:color="auto" w:fill="auto"/>
            <w:noWrap/>
            <w:vAlign w:val="center"/>
          </w:tcPr>
          <w:p w14:paraId="6764DF4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rPr>
            </w:pPr>
          </w:p>
        </w:tc>
      </w:tr>
      <w:tr w14:paraId="30D8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0E9DE56">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107E4E7D">
            <w:pPr>
              <w:keepNext w:val="0"/>
              <w:keepLines w:val="0"/>
              <w:widowControl/>
              <w:suppressLineNumbers w:val="0"/>
              <w:wordWrap w:val="0"/>
              <w:jc w:val="both"/>
              <w:textAlignment w:val="center"/>
              <w:rPr>
                <w:rFonts w:eastAsia="宋体"/>
                <w:kern w:val="2"/>
                <w:sz w:val="21"/>
                <w:lang w:eastAsia="zh-CN"/>
              </w:rPr>
            </w:pPr>
          </w:p>
        </w:tc>
        <w:tc>
          <w:tcPr>
            <w:tcW w:w="3390" w:type="dxa"/>
            <w:shd w:val="clear" w:color="auto" w:fill="auto"/>
            <w:noWrap/>
            <w:vAlign w:val="center"/>
          </w:tcPr>
          <w:p w14:paraId="00BE0A5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2、主要材质：整床钢结构，栅栏式护栏，PP吹塑床头尾板</w:t>
            </w:r>
          </w:p>
        </w:tc>
        <w:tc>
          <w:tcPr>
            <w:tcW w:w="2926" w:type="dxa"/>
            <w:shd w:val="clear" w:color="auto" w:fill="auto"/>
            <w:noWrap/>
            <w:vAlign w:val="center"/>
          </w:tcPr>
          <w:p w14:paraId="273C19B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23391EB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3E502B2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7A9D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E549224">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62DA3DA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2FE50B7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3、喷塑床面板凹型透气孔设计，透气性强，能有效防止褥疮。床面板采用钣金连接件连接，组装更方便。床面尺寸：1775mm×710mm(±50mm)</w:t>
            </w:r>
          </w:p>
        </w:tc>
        <w:tc>
          <w:tcPr>
            <w:tcW w:w="2926" w:type="dxa"/>
            <w:shd w:val="clear" w:color="auto" w:fill="auto"/>
            <w:noWrap/>
            <w:vAlign w:val="center"/>
          </w:tcPr>
          <w:p w14:paraId="1E27F53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6DB1F8C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4E3EA81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6D14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FB2DC0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6921AFA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046E0BA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4、4个5寸静音脚轮，每个都带独立刹车</w:t>
            </w:r>
          </w:p>
        </w:tc>
        <w:tc>
          <w:tcPr>
            <w:tcW w:w="2926" w:type="dxa"/>
            <w:shd w:val="clear" w:color="auto" w:fill="auto"/>
            <w:noWrap/>
            <w:vAlign w:val="center"/>
          </w:tcPr>
          <w:p w14:paraId="455D084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5C825F5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1C26A9E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632C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75F651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DBCB0C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2CE0F75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5、背部升降0°-70°,腿部升降0°-45°</w:t>
            </w:r>
          </w:p>
        </w:tc>
        <w:tc>
          <w:tcPr>
            <w:tcW w:w="2926" w:type="dxa"/>
            <w:shd w:val="clear" w:color="auto" w:fill="auto"/>
            <w:noWrap/>
            <w:vAlign w:val="center"/>
          </w:tcPr>
          <w:p w14:paraId="1C86E3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76DB0E7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4457816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3E75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56B8C1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495CD73">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6313179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6、床架采用钣金折弯焊接成型，使产品喷塑死角下降，产品更美观。</w:t>
            </w:r>
          </w:p>
        </w:tc>
        <w:tc>
          <w:tcPr>
            <w:tcW w:w="2926" w:type="dxa"/>
            <w:shd w:val="clear" w:color="auto" w:fill="auto"/>
            <w:noWrap/>
            <w:vAlign w:val="center"/>
          </w:tcPr>
          <w:p w14:paraId="574BE7F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43C4037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1631C21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10E6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81911A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AE61D64">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7C05536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7、床头尾板采用PP吹塑—体成型，可有效保护床体和病人与墙壁发生碰撞。</w:t>
            </w:r>
          </w:p>
        </w:tc>
        <w:tc>
          <w:tcPr>
            <w:tcW w:w="2926" w:type="dxa"/>
            <w:shd w:val="clear" w:color="auto" w:fill="auto"/>
            <w:noWrap/>
            <w:vAlign w:val="center"/>
          </w:tcPr>
          <w:p w14:paraId="5E9B914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7FBB352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051AC0C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6EB6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9E2D59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57253AF">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0F1D048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8、采用塑钢可升降护栏，防护管间距小于8公分，并有3档位设置可调节高度，方便又安全。护栏尺寸：1780*570mm(±5mm)，护栏三挡可调，护栏离床面高度分别为80mm(±5mm)，310mm(±5mm)，500mm(±5mm)。</w:t>
            </w:r>
          </w:p>
        </w:tc>
        <w:tc>
          <w:tcPr>
            <w:tcW w:w="2926" w:type="dxa"/>
            <w:shd w:val="clear" w:color="auto" w:fill="auto"/>
            <w:noWrap/>
            <w:vAlign w:val="center"/>
          </w:tcPr>
          <w:p w14:paraId="2687929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07B10E2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4700CCF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51DA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606A93A5">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w:t>
            </w:r>
          </w:p>
        </w:tc>
        <w:tc>
          <w:tcPr>
            <w:tcW w:w="1393" w:type="dxa"/>
            <w:vMerge w:val="restart"/>
            <w:shd w:val="clear" w:color="auto" w:fill="auto"/>
            <w:noWrap/>
            <w:vAlign w:val="center"/>
          </w:tcPr>
          <w:p w14:paraId="38CABC45">
            <w:pPr>
              <w:keepNext w:val="0"/>
              <w:keepLines w:val="0"/>
              <w:widowControl/>
              <w:suppressLineNumbers w:val="0"/>
              <w:wordWrap/>
              <w:jc w:val="left"/>
              <w:textAlignment w:val="auto"/>
              <w:rPr>
                <w:rFonts w:eastAsia="宋体"/>
                <w:kern w:val="2"/>
                <w:sz w:val="21"/>
                <w:lang w:eastAsia="zh-CN" w:bidi="ar"/>
              </w:rPr>
            </w:pPr>
            <w:r>
              <w:rPr>
                <w:rFonts w:eastAsia="宋体"/>
                <w:kern w:val="2"/>
                <w:sz w:val="21"/>
                <w:lang w:eastAsia="zh-CN" w:bidi="ar"/>
              </w:rPr>
              <w:t>气垫床垫</w:t>
            </w:r>
          </w:p>
        </w:tc>
        <w:tc>
          <w:tcPr>
            <w:tcW w:w="3390" w:type="dxa"/>
            <w:shd w:val="clear" w:color="auto" w:fill="auto"/>
            <w:noWrap/>
            <w:vAlign w:val="center"/>
          </w:tcPr>
          <w:p w14:paraId="45B8434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1、泵</w:t>
            </w:r>
          </w:p>
          <w:p w14:paraId="2448590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1.1电源：AC220-240V/100-120V,50/60Hz</w:t>
            </w:r>
          </w:p>
        </w:tc>
        <w:tc>
          <w:tcPr>
            <w:tcW w:w="2926" w:type="dxa"/>
            <w:shd w:val="clear" w:color="auto" w:fill="auto"/>
            <w:noWrap/>
            <w:vAlign w:val="center"/>
          </w:tcPr>
          <w:p w14:paraId="4253D45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22CC2B8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7943262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43C1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62EF38C">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7EC22815">
            <w:pPr>
              <w:keepNext w:val="0"/>
              <w:keepLines w:val="0"/>
              <w:widowControl/>
              <w:suppressLineNumbers w:val="0"/>
              <w:wordWrap w:val="0"/>
              <w:jc w:val="both"/>
              <w:textAlignment w:val="center"/>
              <w:rPr>
                <w:rFonts w:eastAsia="宋体"/>
                <w:kern w:val="2"/>
                <w:sz w:val="21"/>
                <w:lang w:eastAsia="zh-CN"/>
              </w:rPr>
            </w:pPr>
          </w:p>
        </w:tc>
        <w:tc>
          <w:tcPr>
            <w:tcW w:w="3390" w:type="dxa"/>
            <w:shd w:val="clear" w:color="auto" w:fill="auto"/>
            <w:noWrap/>
            <w:vAlign w:val="center"/>
          </w:tcPr>
          <w:p w14:paraId="35F0A9F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1.2输出流量：≥4L/min</w:t>
            </w:r>
          </w:p>
        </w:tc>
        <w:tc>
          <w:tcPr>
            <w:tcW w:w="2926" w:type="dxa"/>
            <w:shd w:val="clear" w:color="auto" w:fill="auto"/>
            <w:noWrap/>
            <w:vAlign w:val="center"/>
          </w:tcPr>
          <w:p w14:paraId="1A52295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63B89B5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033EA1B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5921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65E799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6C767C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759A22F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1.3压力范围：≥12kPa(90mmHg)</w:t>
            </w:r>
          </w:p>
        </w:tc>
        <w:tc>
          <w:tcPr>
            <w:tcW w:w="2926" w:type="dxa"/>
            <w:shd w:val="clear" w:color="auto" w:fill="auto"/>
            <w:noWrap/>
            <w:vAlign w:val="center"/>
          </w:tcPr>
          <w:p w14:paraId="29C9BF3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6842C5C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0552DEA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0A6D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585B89F">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2E9B4E4">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3FFFEF5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1.4循环周期：5-6min</w:t>
            </w:r>
          </w:p>
        </w:tc>
        <w:tc>
          <w:tcPr>
            <w:tcW w:w="2926" w:type="dxa"/>
            <w:shd w:val="clear" w:color="auto" w:fill="auto"/>
            <w:noWrap/>
            <w:vAlign w:val="center"/>
          </w:tcPr>
          <w:p w14:paraId="319187D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2A0117C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769CA3B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3ADC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24FEC3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E8731EC">
            <w:pPr>
              <w:keepNext w:val="0"/>
              <w:keepLines w:val="0"/>
              <w:widowControl/>
              <w:suppressLineNumbers w:val="0"/>
              <w:wordWrap/>
              <w:jc w:val="left"/>
              <w:textAlignment w:val="auto"/>
              <w:rPr>
                <w:rFonts w:eastAsia="宋体"/>
                <w:kern w:val="2"/>
                <w:sz w:val="21"/>
                <w:lang w:eastAsia="zh-CN" w:bidi="ar"/>
              </w:rPr>
            </w:pPr>
          </w:p>
        </w:tc>
        <w:tc>
          <w:tcPr>
            <w:tcW w:w="3390" w:type="dxa"/>
            <w:shd w:val="clear" w:color="auto" w:fill="auto"/>
            <w:noWrap/>
            <w:vAlign w:val="center"/>
          </w:tcPr>
          <w:p w14:paraId="45F0EEE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2、床垫</w:t>
            </w:r>
          </w:p>
          <w:p w14:paraId="53A9FFC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2.1配置：2.5"气垫</w:t>
            </w:r>
          </w:p>
        </w:tc>
        <w:tc>
          <w:tcPr>
            <w:tcW w:w="2926" w:type="dxa"/>
            <w:shd w:val="clear" w:color="auto" w:fill="auto"/>
            <w:noWrap/>
            <w:vAlign w:val="center"/>
          </w:tcPr>
          <w:p w14:paraId="4853D55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58AA6BA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4E56FD0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656D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6F8B3B32">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1A3FF29F">
            <w:pPr>
              <w:keepNext w:val="0"/>
              <w:keepLines w:val="0"/>
              <w:widowControl/>
              <w:suppressLineNumbers w:val="0"/>
              <w:wordWrap w:val="0"/>
              <w:jc w:val="both"/>
              <w:textAlignment w:val="center"/>
              <w:rPr>
                <w:rFonts w:eastAsia="宋体"/>
                <w:kern w:val="2"/>
                <w:sz w:val="21"/>
                <w:lang w:eastAsia="zh-CN"/>
              </w:rPr>
            </w:pPr>
          </w:p>
        </w:tc>
        <w:tc>
          <w:tcPr>
            <w:tcW w:w="3390" w:type="dxa"/>
            <w:shd w:val="clear" w:color="auto" w:fill="auto"/>
            <w:noWrap/>
            <w:vAlign w:val="center"/>
          </w:tcPr>
          <w:p w14:paraId="29EFB59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2.2材料：医用级PVC</w:t>
            </w:r>
          </w:p>
        </w:tc>
        <w:tc>
          <w:tcPr>
            <w:tcW w:w="2926" w:type="dxa"/>
            <w:shd w:val="clear" w:color="auto" w:fill="auto"/>
            <w:noWrap/>
            <w:vAlign w:val="center"/>
          </w:tcPr>
          <w:p w14:paraId="662F316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61C4E1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39D9C24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08FC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87AE8E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65FCCFC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5A2871C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2.3尺寸(LxWxH)：1900x900x64mm(±5mm)</w:t>
            </w:r>
          </w:p>
        </w:tc>
        <w:tc>
          <w:tcPr>
            <w:tcW w:w="2926" w:type="dxa"/>
            <w:shd w:val="clear" w:color="auto" w:fill="auto"/>
            <w:noWrap/>
            <w:vAlign w:val="center"/>
          </w:tcPr>
          <w:p w14:paraId="61967B3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3EC9B14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6FED3CF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344C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43E1D59">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8485DD4">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60244923">
            <w:pPr>
              <w:keepNext w:val="0"/>
              <w:keepLines w:val="0"/>
              <w:pageBreakBefore w:val="0"/>
              <w:widowControl/>
              <w:kinsoku/>
              <w:wordWrap/>
              <w:overflowPunct/>
              <w:topLinePunct w:val="0"/>
              <w:autoSpaceDE/>
              <w:autoSpaceDN/>
              <w:bidi w:val="0"/>
              <w:adjustRightInd/>
              <w:snapToGrid/>
              <w:jc w:val="both"/>
              <w:textAlignment w:val="center"/>
              <w:rPr>
                <w:rFonts w:eastAsia="宋体"/>
                <w:kern w:val="2"/>
                <w:sz w:val="21"/>
                <w:lang w:eastAsia="zh-CN"/>
              </w:rPr>
            </w:pPr>
            <w:r>
              <w:rPr>
                <w:rFonts w:hint="eastAsia" w:ascii="宋体" w:hAnsi="宋体" w:eastAsia="宋体" w:cs="宋体"/>
                <w:sz w:val="21"/>
                <w:szCs w:val="21"/>
                <w:lang w:eastAsia="zh-CN" w:bidi="ar"/>
              </w:rPr>
              <w:t>2.4重量：≥2.0kgs</w:t>
            </w:r>
          </w:p>
        </w:tc>
        <w:tc>
          <w:tcPr>
            <w:tcW w:w="2926" w:type="dxa"/>
            <w:shd w:val="clear" w:color="auto" w:fill="auto"/>
            <w:noWrap/>
            <w:vAlign w:val="center"/>
          </w:tcPr>
          <w:p w14:paraId="08F859E5">
            <w:pPr>
              <w:keepNext w:val="0"/>
              <w:keepLines w:val="0"/>
              <w:pageBreakBefore w:val="0"/>
              <w:widowControl/>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5DD2F7D3">
            <w:pPr>
              <w:keepNext w:val="0"/>
              <w:keepLines w:val="0"/>
              <w:pageBreakBefore w:val="0"/>
              <w:widowControl/>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65670C47">
            <w:pPr>
              <w:keepNext w:val="0"/>
              <w:keepLines w:val="0"/>
              <w:pageBreakBefore w:val="0"/>
              <w:widowControl/>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1687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shd w:val="clear" w:color="auto" w:fill="auto"/>
            <w:noWrap/>
            <w:vAlign w:val="center"/>
          </w:tcPr>
          <w:p w14:paraId="679B307F">
            <w:pPr>
              <w:widowControl w:val="0"/>
              <w:spacing w:line="360" w:lineRule="auto"/>
              <w:jc w:val="both"/>
              <w:rPr>
                <w:rFonts w:eastAsia="宋体"/>
                <w:b/>
                <w:bCs/>
                <w:kern w:val="2"/>
                <w:lang w:eastAsia="zh-CN"/>
              </w:rPr>
            </w:pPr>
          </w:p>
        </w:tc>
        <w:tc>
          <w:tcPr>
            <w:tcW w:w="1393" w:type="dxa"/>
            <w:vMerge w:val="continue"/>
            <w:shd w:val="clear" w:color="auto" w:fill="auto"/>
            <w:noWrap/>
            <w:vAlign w:val="center"/>
          </w:tcPr>
          <w:p w14:paraId="2EE753D9">
            <w:pPr>
              <w:widowControl w:val="0"/>
              <w:spacing w:line="360" w:lineRule="auto"/>
              <w:jc w:val="both"/>
              <w:rPr>
                <w:rFonts w:eastAsia="宋体"/>
                <w:b/>
                <w:bCs/>
                <w:kern w:val="2"/>
                <w:lang w:eastAsia="zh-CN"/>
              </w:rPr>
            </w:pPr>
          </w:p>
        </w:tc>
        <w:tc>
          <w:tcPr>
            <w:tcW w:w="3390" w:type="dxa"/>
            <w:shd w:val="clear" w:color="auto" w:fill="auto"/>
            <w:noWrap/>
            <w:vAlign w:val="center"/>
          </w:tcPr>
          <w:p w14:paraId="7F9EAD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2.5静音、电源线长度大于等于2.5M</w:t>
            </w:r>
          </w:p>
        </w:tc>
        <w:tc>
          <w:tcPr>
            <w:tcW w:w="2926" w:type="dxa"/>
            <w:shd w:val="clear" w:color="auto" w:fill="auto"/>
            <w:noWrap/>
            <w:vAlign w:val="center"/>
          </w:tcPr>
          <w:p w14:paraId="2D2E34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bidi="ar"/>
              </w:rPr>
            </w:pPr>
          </w:p>
        </w:tc>
        <w:tc>
          <w:tcPr>
            <w:tcW w:w="1094" w:type="dxa"/>
            <w:shd w:val="clear" w:color="auto" w:fill="auto"/>
            <w:noWrap/>
            <w:vAlign w:val="center"/>
          </w:tcPr>
          <w:p w14:paraId="13498FE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bidi="ar"/>
              </w:rPr>
            </w:pPr>
          </w:p>
        </w:tc>
        <w:tc>
          <w:tcPr>
            <w:tcW w:w="736" w:type="dxa"/>
            <w:shd w:val="clear" w:color="auto" w:fill="auto"/>
            <w:noWrap/>
            <w:vAlign w:val="center"/>
          </w:tcPr>
          <w:p w14:paraId="773113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bidi="ar"/>
              </w:rPr>
            </w:pPr>
          </w:p>
        </w:tc>
      </w:tr>
      <w:tr w14:paraId="3646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1E6124AA">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w:t>
            </w:r>
          </w:p>
        </w:tc>
        <w:tc>
          <w:tcPr>
            <w:tcW w:w="1393" w:type="dxa"/>
            <w:vMerge w:val="restart"/>
            <w:shd w:val="clear" w:color="auto" w:fill="auto"/>
            <w:noWrap/>
            <w:vAlign w:val="center"/>
          </w:tcPr>
          <w:p w14:paraId="21068F4A">
            <w:pPr>
              <w:keepNext w:val="0"/>
              <w:keepLines w:val="0"/>
              <w:widowControl/>
              <w:suppressLineNumbers w:val="0"/>
              <w:wordWrap/>
              <w:jc w:val="center"/>
              <w:textAlignment w:val="auto"/>
              <w:rPr>
                <w:rFonts w:eastAsia="宋体"/>
                <w:kern w:val="2"/>
                <w:sz w:val="21"/>
                <w:lang w:eastAsia="zh-CN" w:bidi="ar"/>
              </w:rPr>
            </w:pPr>
            <w:r>
              <w:rPr>
                <w:rFonts w:eastAsia="宋体"/>
                <w:kern w:val="2"/>
                <w:sz w:val="21"/>
                <w:lang w:eastAsia="zh-CN" w:bidi="ar"/>
              </w:rPr>
              <w:t>静态防压疮床垫</w:t>
            </w:r>
          </w:p>
        </w:tc>
        <w:tc>
          <w:tcPr>
            <w:tcW w:w="3390" w:type="dxa"/>
            <w:shd w:val="clear" w:color="auto" w:fill="auto"/>
            <w:noWrap/>
            <w:vAlign w:val="center"/>
          </w:tcPr>
          <w:p w14:paraId="4BD4FF3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1、海绵：三明治结构：床边缘及中间层为高回弹海绵，密度不低于45kg/m³；上层为惰性海绵，经激光切割为格子状；下层为慢回弹海绵1、海绵：三明治结构：床边缘及中间层为高回弹海绵，密度不低于45；上层为惰性海绵，经激光切割为格子状；下层为慢回弹海绵</w:t>
            </w:r>
          </w:p>
        </w:tc>
        <w:tc>
          <w:tcPr>
            <w:tcW w:w="2926" w:type="dxa"/>
            <w:shd w:val="clear" w:color="auto" w:fill="auto"/>
            <w:noWrap/>
            <w:vAlign w:val="center"/>
          </w:tcPr>
          <w:p w14:paraId="3A0FEF6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4DDEF3C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0848831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7AC1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BB91339">
            <w:pPr>
              <w:keepNext w:val="0"/>
              <w:keepLines w:val="0"/>
              <w:widowControl/>
              <w:suppressLineNumbers w:val="0"/>
              <w:wordWrap w:val="0"/>
              <w:jc w:val="center"/>
              <w:textAlignment w:val="center"/>
              <w:rPr>
                <w:rFonts w:eastAsia="宋体"/>
                <w:kern w:val="2"/>
                <w:sz w:val="21"/>
                <w:lang w:eastAsia="zh-CN"/>
              </w:rPr>
            </w:pPr>
          </w:p>
        </w:tc>
        <w:tc>
          <w:tcPr>
            <w:tcW w:w="1393" w:type="dxa"/>
            <w:vMerge w:val="continue"/>
            <w:shd w:val="clear" w:color="auto" w:fill="auto"/>
            <w:noWrap/>
            <w:vAlign w:val="center"/>
          </w:tcPr>
          <w:p w14:paraId="03DCD7E3">
            <w:pPr>
              <w:keepNext w:val="0"/>
              <w:keepLines w:val="0"/>
              <w:widowControl/>
              <w:suppressLineNumbers w:val="0"/>
              <w:wordWrap/>
              <w:jc w:val="center"/>
              <w:textAlignment w:val="auto"/>
              <w:rPr>
                <w:rFonts w:eastAsia="宋体"/>
                <w:kern w:val="2"/>
                <w:sz w:val="21"/>
                <w:lang w:eastAsia="zh-CN"/>
              </w:rPr>
            </w:pPr>
          </w:p>
        </w:tc>
        <w:tc>
          <w:tcPr>
            <w:tcW w:w="3390" w:type="dxa"/>
            <w:shd w:val="clear" w:color="auto" w:fill="auto"/>
            <w:noWrap/>
            <w:vAlign w:val="center"/>
          </w:tcPr>
          <w:p w14:paraId="781B578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2、床罩为尼龙PU钮扣式床罩面</w:t>
            </w:r>
          </w:p>
        </w:tc>
        <w:tc>
          <w:tcPr>
            <w:tcW w:w="2926" w:type="dxa"/>
            <w:shd w:val="clear" w:color="auto" w:fill="auto"/>
            <w:noWrap/>
            <w:vAlign w:val="center"/>
          </w:tcPr>
          <w:p w14:paraId="7020CBD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78E3C28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319D0E7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5CA3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45C588F0">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6</w:t>
            </w:r>
          </w:p>
        </w:tc>
        <w:tc>
          <w:tcPr>
            <w:tcW w:w="1393" w:type="dxa"/>
            <w:vMerge w:val="restart"/>
            <w:shd w:val="clear" w:color="auto" w:fill="auto"/>
            <w:noWrap/>
            <w:vAlign w:val="center"/>
          </w:tcPr>
          <w:p w14:paraId="7C4CDFDB">
            <w:pPr>
              <w:keepNext w:val="0"/>
              <w:keepLines w:val="0"/>
              <w:widowControl/>
              <w:suppressLineNumbers w:val="0"/>
              <w:wordWrap/>
              <w:jc w:val="center"/>
              <w:textAlignment w:val="auto"/>
              <w:rPr>
                <w:rFonts w:eastAsia="宋体"/>
                <w:kern w:val="2"/>
                <w:sz w:val="21"/>
                <w:lang w:eastAsia="zh-CN" w:bidi="ar"/>
              </w:rPr>
            </w:pPr>
            <w:r>
              <w:rPr>
                <w:rFonts w:eastAsia="宋体"/>
                <w:kern w:val="2"/>
                <w:sz w:val="21"/>
                <w:lang w:eastAsia="zh-CN" w:bidi="ar"/>
              </w:rPr>
              <w:t>轮椅</w:t>
            </w:r>
          </w:p>
        </w:tc>
        <w:tc>
          <w:tcPr>
            <w:tcW w:w="3390" w:type="dxa"/>
            <w:shd w:val="clear" w:color="auto" w:fill="auto"/>
            <w:noWrap/>
            <w:vAlign w:val="center"/>
          </w:tcPr>
          <w:p w14:paraId="23C2248D">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宋体" w:hAnsi="宋体" w:eastAsia="宋体" w:cs="宋体"/>
                <w:sz w:val="21"/>
                <w:szCs w:val="21"/>
                <w:lang w:eastAsia="zh-CN" w:bidi="ar"/>
              </w:rPr>
            </w:pPr>
            <w:r>
              <w:rPr>
                <w:rFonts w:hint="eastAsia" w:ascii="宋体" w:hAnsi="宋体" w:eastAsia="宋体" w:cs="宋体"/>
                <w:sz w:val="21"/>
                <w:szCs w:val="21"/>
                <w:lang w:eastAsia="zh-CN" w:bidi="ar"/>
              </w:rPr>
              <w:t>1、铝合金结构，坐垫牛津布材质三防处理；</w:t>
            </w:r>
          </w:p>
        </w:tc>
        <w:tc>
          <w:tcPr>
            <w:tcW w:w="2926" w:type="dxa"/>
            <w:shd w:val="clear" w:color="auto" w:fill="auto"/>
            <w:noWrap/>
            <w:vAlign w:val="center"/>
          </w:tcPr>
          <w:p w14:paraId="6844D6C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2B3B8AB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63D8558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3966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6E410A73">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3A225707">
            <w:pPr>
              <w:keepNext w:val="0"/>
              <w:keepLines w:val="0"/>
              <w:widowControl/>
              <w:suppressLineNumbers w:val="0"/>
              <w:wordWrap w:val="0"/>
              <w:jc w:val="both"/>
              <w:textAlignment w:val="center"/>
              <w:rPr>
                <w:rFonts w:eastAsia="宋体"/>
                <w:kern w:val="2"/>
                <w:sz w:val="21"/>
                <w:lang w:eastAsia="zh-CN"/>
              </w:rPr>
            </w:pPr>
          </w:p>
        </w:tc>
        <w:tc>
          <w:tcPr>
            <w:tcW w:w="3390" w:type="dxa"/>
            <w:shd w:val="clear" w:color="auto" w:fill="auto"/>
            <w:noWrap/>
            <w:vAlign w:val="center"/>
          </w:tcPr>
          <w:p w14:paraId="00E2A70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2、可折叠设计；</w:t>
            </w:r>
          </w:p>
        </w:tc>
        <w:tc>
          <w:tcPr>
            <w:tcW w:w="2926" w:type="dxa"/>
            <w:shd w:val="clear" w:color="auto" w:fill="auto"/>
            <w:noWrap/>
            <w:vAlign w:val="center"/>
          </w:tcPr>
          <w:p w14:paraId="2A32624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20FE89E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315F996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2D8F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AF5BAD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6C34800">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57BA519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3、固定式脚托；</w:t>
            </w:r>
          </w:p>
        </w:tc>
        <w:tc>
          <w:tcPr>
            <w:tcW w:w="2926" w:type="dxa"/>
            <w:shd w:val="clear" w:color="auto" w:fill="auto"/>
            <w:noWrap/>
            <w:vAlign w:val="center"/>
          </w:tcPr>
          <w:p w14:paraId="36F8B21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168309D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11244FF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052C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489EC3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6DC6690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094E29A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4、坐宽：46厘米；</w:t>
            </w:r>
          </w:p>
        </w:tc>
        <w:tc>
          <w:tcPr>
            <w:tcW w:w="2926" w:type="dxa"/>
            <w:shd w:val="clear" w:color="auto" w:fill="auto"/>
            <w:noWrap/>
            <w:vAlign w:val="center"/>
          </w:tcPr>
          <w:p w14:paraId="17D5F57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3338906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3B7C001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0303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6F19598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23905F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18D03B4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5、大小：1000*650*880mm(±10mm)；</w:t>
            </w:r>
          </w:p>
        </w:tc>
        <w:tc>
          <w:tcPr>
            <w:tcW w:w="2926" w:type="dxa"/>
            <w:shd w:val="clear" w:color="auto" w:fill="auto"/>
            <w:noWrap/>
            <w:vAlign w:val="center"/>
          </w:tcPr>
          <w:p w14:paraId="583EA0C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3348968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2C08689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5FB2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FE3E619">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120FE1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0179F97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6、实心轮胎;</w:t>
            </w:r>
          </w:p>
        </w:tc>
        <w:tc>
          <w:tcPr>
            <w:tcW w:w="2926" w:type="dxa"/>
            <w:shd w:val="clear" w:color="auto" w:fill="auto"/>
            <w:noWrap/>
            <w:vAlign w:val="center"/>
          </w:tcPr>
          <w:p w14:paraId="3DEE99C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30259FB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2699951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5F25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01D392D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758B5E3">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36B5A9D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7、承重≥100KG；</w:t>
            </w:r>
          </w:p>
        </w:tc>
        <w:tc>
          <w:tcPr>
            <w:tcW w:w="2926" w:type="dxa"/>
            <w:shd w:val="clear" w:color="auto" w:fill="auto"/>
            <w:noWrap/>
            <w:vAlign w:val="center"/>
          </w:tcPr>
          <w:p w14:paraId="1756BC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2CF569A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5D526EB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03E3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6A8838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A58EE0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1B90D57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8、有输液架插孔（配输液架）</w:t>
            </w:r>
          </w:p>
        </w:tc>
        <w:tc>
          <w:tcPr>
            <w:tcW w:w="2926" w:type="dxa"/>
            <w:shd w:val="clear" w:color="auto" w:fill="auto"/>
            <w:noWrap/>
            <w:vAlign w:val="center"/>
          </w:tcPr>
          <w:p w14:paraId="43E840C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1094" w:type="dxa"/>
            <w:shd w:val="clear" w:color="auto" w:fill="auto"/>
            <w:noWrap/>
            <w:vAlign w:val="center"/>
          </w:tcPr>
          <w:p w14:paraId="3B16EFA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c>
          <w:tcPr>
            <w:tcW w:w="736" w:type="dxa"/>
            <w:shd w:val="clear" w:color="auto" w:fill="auto"/>
            <w:noWrap/>
            <w:vAlign w:val="center"/>
          </w:tcPr>
          <w:p w14:paraId="452D09A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bidi="ar"/>
              </w:rPr>
            </w:pPr>
          </w:p>
        </w:tc>
      </w:tr>
      <w:tr w14:paraId="4205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624AA6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B5B5C3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4EAF0F7B">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9、有约束带，有病历袋，两侧有引流袋挂钩加手刹，肘节式刹车。</w:t>
            </w:r>
          </w:p>
        </w:tc>
        <w:tc>
          <w:tcPr>
            <w:tcW w:w="2926" w:type="dxa"/>
            <w:shd w:val="clear" w:color="auto" w:fill="auto"/>
            <w:noWrap/>
            <w:vAlign w:val="center"/>
          </w:tcPr>
          <w:p w14:paraId="1C57A1A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7D14F97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3346EC3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6738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2E262B3B">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7</w:t>
            </w:r>
          </w:p>
        </w:tc>
        <w:tc>
          <w:tcPr>
            <w:tcW w:w="1393" w:type="dxa"/>
            <w:vMerge w:val="restart"/>
            <w:shd w:val="clear" w:color="auto" w:fill="auto"/>
            <w:noWrap/>
            <w:vAlign w:val="center"/>
          </w:tcPr>
          <w:p w14:paraId="5EB57AEB">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称重轮椅</w:t>
            </w:r>
          </w:p>
        </w:tc>
        <w:tc>
          <w:tcPr>
            <w:tcW w:w="3390" w:type="dxa"/>
            <w:shd w:val="clear" w:color="auto" w:fill="auto"/>
            <w:noWrap/>
            <w:vAlign w:val="center"/>
          </w:tcPr>
          <w:p w14:paraId="28591B3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1、规格：宽度≥540mm，深度≥660mm，高度≥930mm</w:t>
            </w:r>
          </w:p>
        </w:tc>
        <w:tc>
          <w:tcPr>
            <w:tcW w:w="2926" w:type="dxa"/>
            <w:shd w:val="clear" w:color="auto" w:fill="auto"/>
            <w:noWrap/>
            <w:vAlign w:val="center"/>
          </w:tcPr>
          <w:p w14:paraId="7B6FE81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0DF67DE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0B8EA1E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2A2B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97EC331">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0198F6CE">
            <w:pPr>
              <w:keepNext w:val="0"/>
              <w:keepLines w:val="0"/>
              <w:widowControl/>
              <w:suppressLineNumbers w:val="0"/>
              <w:wordWrap w:val="0"/>
              <w:jc w:val="both"/>
              <w:textAlignment w:val="center"/>
              <w:rPr>
                <w:rFonts w:eastAsia="宋体"/>
                <w:kern w:val="2"/>
                <w:sz w:val="21"/>
                <w:lang w:eastAsia="zh-CN"/>
              </w:rPr>
            </w:pPr>
          </w:p>
        </w:tc>
        <w:tc>
          <w:tcPr>
            <w:tcW w:w="3390" w:type="dxa"/>
            <w:shd w:val="clear" w:color="auto" w:fill="auto"/>
            <w:noWrap/>
            <w:vAlign w:val="center"/>
          </w:tcPr>
          <w:p w14:paraId="794B8F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2、称重范围：0-200kg，测量精度：0.1kg</w:t>
            </w:r>
          </w:p>
        </w:tc>
        <w:tc>
          <w:tcPr>
            <w:tcW w:w="2926" w:type="dxa"/>
            <w:shd w:val="clear" w:color="auto" w:fill="auto"/>
            <w:noWrap/>
            <w:vAlign w:val="center"/>
          </w:tcPr>
          <w:p w14:paraId="783799A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3732EAC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6A5D34A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6846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5830E2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E673CC9">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6F416CB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3、LED屏幕显示读数，自带电池</w:t>
            </w:r>
          </w:p>
        </w:tc>
        <w:tc>
          <w:tcPr>
            <w:tcW w:w="2926" w:type="dxa"/>
            <w:shd w:val="clear" w:color="auto" w:fill="auto"/>
            <w:noWrap/>
            <w:vAlign w:val="center"/>
          </w:tcPr>
          <w:p w14:paraId="5E6BDE1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72A64F8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4AD827D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50F7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717EE04">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62D6B20">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5ADFE0D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4、脚轮：PU静音万向轮（四轮均带有刹车）</w:t>
            </w:r>
          </w:p>
        </w:tc>
        <w:tc>
          <w:tcPr>
            <w:tcW w:w="2926" w:type="dxa"/>
            <w:shd w:val="clear" w:color="auto" w:fill="auto"/>
            <w:noWrap/>
            <w:vAlign w:val="center"/>
          </w:tcPr>
          <w:p w14:paraId="51A4984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3612ED4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16096C9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45A5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ED5F2A2">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FDC7DB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7C9E565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5、脚踏、扶手可收起放下</w:t>
            </w:r>
          </w:p>
        </w:tc>
        <w:tc>
          <w:tcPr>
            <w:tcW w:w="2926" w:type="dxa"/>
            <w:shd w:val="clear" w:color="auto" w:fill="auto"/>
            <w:noWrap/>
            <w:vAlign w:val="center"/>
          </w:tcPr>
          <w:p w14:paraId="1763679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5F6D3F5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438D616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3899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E7F20A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03C7D4C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3340F56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6、碳钢骨架，壁厚不低于2.0mm</w:t>
            </w:r>
          </w:p>
        </w:tc>
        <w:tc>
          <w:tcPr>
            <w:tcW w:w="2926" w:type="dxa"/>
            <w:shd w:val="clear" w:color="auto" w:fill="auto"/>
            <w:noWrap/>
            <w:vAlign w:val="center"/>
          </w:tcPr>
          <w:p w14:paraId="280D4EC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20444AD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44CBDBB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1931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E7EF54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77A266C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48362FB2">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★7.配置一个分体式铝合金板组合铲式担架，最大承重大于等于150kg，调节长度170-220cm</w:t>
            </w:r>
          </w:p>
        </w:tc>
        <w:tc>
          <w:tcPr>
            <w:tcW w:w="2926" w:type="dxa"/>
            <w:shd w:val="clear" w:color="auto" w:fill="auto"/>
            <w:noWrap/>
            <w:vAlign w:val="center"/>
          </w:tcPr>
          <w:p w14:paraId="1C6D695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79784FC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7B0D5FF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1FA4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08E1E801">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8</w:t>
            </w:r>
          </w:p>
        </w:tc>
        <w:tc>
          <w:tcPr>
            <w:tcW w:w="1393" w:type="dxa"/>
            <w:vMerge w:val="restart"/>
            <w:shd w:val="clear" w:color="auto" w:fill="auto"/>
            <w:noWrap/>
            <w:vAlign w:val="center"/>
          </w:tcPr>
          <w:p w14:paraId="7FAB8A3F">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转运车</w:t>
            </w:r>
          </w:p>
        </w:tc>
        <w:tc>
          <w:tcPr>
            <w:tcW w:w="3390" w:type="dxa"/>
            <w:shd w:val="clear" w:color="auto" w:fill="auto"/>
            <w:noWrap/>
            <w:vAlign w:val="center"/>
          </w:tcPr>
          <w:p w14:paraId="432DA81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sz w:val="21"/>
                <w:szCs w:val="21"/>
                <w:lang w:eastAsia="zh-CN"/>
              </w:rPr>
              <w:t>▲</w:t>
            </w:r>
            <w:r>
              <w:rPr>
                <w:rFonts w:hint="eastAsia" w:ascii="宋体" w:hAnsi="宋体" w:eastAsia="宋体" w:cs="宋体"/>
                <w:color w:val="000000"/>
                <w:sz w:val="21"/>
                <w:szCs w:val="21"/>
                <w:lang w:eastAsia="zh-CN" w:bidi="ar"/>
              </w:rPr>
              <w:t>1、规格：1930*660*510-850mm（±30mm）。</w:t>
            </w:r>
          </w:p>
        </w:tc>
        <w:tc>
          <w:tcPr>
            <w:tcW w:w="2926" w:type="dxa"/>
            <w:shd w:val="clear" w:color="auto" w:fill="auto"/>
            <w:noWrap/>
            <w:vAlign w:val="center"/>
          </w:tcPr>
          <w:p w14:paraId="215E13F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rPr>
            </w:pPr>
          </w:p>
        </w:tc>
        <w:tc>
          <w:tcPr>
            <w:tcW w:w="1094" w:type="dxa"/>
            <w:shd w:val="clear" w:color="auto" w:fill="auto"/>
            <w:noWrap/>
            <w:vAlign w:val="center"/>
          </w:tcPr>
          <w:p w14:paraId="3AD0617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rPr>
            </w:pPr>
          </w:p>
        </w:tc>
        <w:tc>
          <w:tcPr>
            <w:tcW w:w="736" w:type="dxa"/>
            <w:shd w:val="clear" w:color="auto" w:fill="auto"/>
            <w:noWrap/>
            <w:vAlign w:val="center"/>
          </w:tcPr>
          <w:p w14:paraId="0F4351D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sz w:val="21"/>
                <w:szCs w:val="21"/>
                <w:lang w:eastAsia="zh-CN"/>
              </w:rPr>
            </w:pPr>
          </w:p>
        </w:tc>
      </w:tr>
      <w:tr w14:paraId="1B33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61291BB9">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151E8F54">
            <w:pPr>
              <w:keepNext w:val="0"/>
              <w:keepLines w:val="0"/>
              <w:widowControl/>
              <w:suppressLineNumbers w:val="0"/>
              <w:wordWrap w:val="0"/>
              <w:jc w:val="both"/>
              <w:textAlignment w:val="center"/>
              <w:rPr>
                <w:rFonts w:eastAsia="宋体"/>
                <w:kern w:val="2"/>
                <w:sz w:val="21"/>
                <w:lang w:eastAsia="zh-CN"/>
              </w:rPr>
            </w:pPr>
          </w:p>
        </w:tc>
        <w:tc>
          <w:tcPr>
            <w:tcW w:w="3390" w:type="dxa"/>
            <w:shd w:val="clear" w:color="auto" w:fill="auto"/>
            <w:noWrap/>
            <w:vAlign w:val="center"/>
          </w:tcPr>
          <w:p w14:paraId="1230B7F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2、升降调节：背部升降≥70°,背部升降采用静音气弹簧控制。高低调节：金属材质摇杆系统，过载保护功能，不易折断。</w:t>
            </w:r>
          </w:p>
        </w:tc>
        <w:tc>
          <w:tcPr>
            <w:tcW w:w="2926" w:type="dxa"/>
            <w:shd w:val="clear" w:color="auto" w:fill="auto"/>
            <w:noWrap/>
            <w:vAlign w:val="center"/>
          </w:tcPr>
          <w:p w14:paraId="530D38C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5875009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2CCCD4F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31F8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D5FD23D">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973843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1438D12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3、床板：PP树脂成型制品，配制魔术贴</w:t>
            </w:r>
            <w:r>
              <w:rPr>
                <w:rFonts w:hint="eastAsia" w:eastAsia="宋体"/>
                <w:kern w:val="2"/>
                <w:sz w:val="21"/>
                <w:lang w:eastAsia="zh-CN"/>
              </w:rPr>
              <w:t>安全带固定在床框上。</w:t>
            </w:r>
          </w:p>
        </w:tc>
        <w:tc>
          <w:tcPr>
            <w:tcW w:w="2926" w:type="dxa"/>
            <w:shd w:val="clear" w:color="auto" w:fill="auto"/>
            <w:noWrap/>
            <w:vAlign w:val="center"/>
          </w:tcPr>
          <w:p w14:paraId="44C4A9C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3407FA3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4BC1CA4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7A52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8437FF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214755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4FCD392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4、框架：采用钢材焊接加工制成。</w:t>
            </w:r>
          </w:p>
        </w:tc>
        <w:tc>
          <w:tcPr>
            <w:tcW w:w="2926" w:type="dxa"/>
            <w:shd w:val="clear" w:color="auto" w:fill="auto"/>
            <w:noWrap/>
            <w:vAlign w:val="center"/>
          </w:tcPr>
          <w:p w14:paraId="63B784A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0DF15FD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2E1EE90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1849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675DC7C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AD3C19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3B0C697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护栏板：PP树脂成型两侧护栏板，高度≥290mm，患者更安全，也可以水平固定，增加床体宽度，让输液者的手臂有舒适的放置处；并具有双安全锁进行锁定，防止误操作，提高了操作的安全性。护栏板上设有角度显示，方便护理时知道背部升起的角度；两侧护栏板中间有凹槽，防止导管滑落，方便输液引流。</w:t>
            </w:r>
          </w:p>
        </w:tc>
        <w:tc>
          <w:tcPr>
            <w:tcW w:w="2926" w:type="dxa"/>
            <w:shd w:val="clear" w:color="auto" w:fill="auto"/>
            <w:noWrap/>
            <w:vAlign w:val="center"/>
          </w:tcPr>
          <w:p w14:paraId="6988C1F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6747BD2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73C1D4A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7A2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4F980C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5CCEADD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36F61C0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6、脚轮：四个直径≥150mm的脚轮，推车四角都有脚轮控制系统，—脚制动，四轮同时固定。再踩解除固定。</w:t>
            </w:r>
          </w:p>
        </w:tc>
        <w:tc>
          <w:tcPr>
            <w:tcW w:w="2926" w:type="dxa"/>
            <w:shd w:val="clear" w:color="auto" w:fill="auto"/>
            <w:noWrap/>
            <w:vAlign w:val="center"/>
          </w:tcPr>
          <w:p w14:paraId="2171BE6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6C0C18E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7315B8B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3E67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3613ED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DE1249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414615A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7、独立的中心第五轮系统：推车的两侧都安装有控制踏杆，中心第五轮收起时即自由行进；使用时，即"直行"状态，可克服运送过程中的惯性作用力，有效地控制前进方向，使运送过程更加安全。第五轮有弹簧减震机构，可以更好地通过颠簸路面。未使用时第五轮离地高度≥30mm，通过性更好。第五轮可以独立进行拆装维修。</w:t>
            </w:r>
          </w:p>
        </w:tc>
        <w:tc>
          <w:tcPr>
            <w:tcW w:w="2926" w:type="dxa"/>
            <w:shd w:val="clear" w:color="auto" w:fill="auto"/>
            <w:noWrap/>
            <w:vAlign w:val="center"/>
          </w:tcPr>
          <w:p w14:paraId="4ED35D1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06EA07C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01BEC0D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4E4D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D5709D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8381AA8">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2CB04B6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8、床体下有二段式托盘，托盘分为大小、深浅不同的两部分，设有≥6个漏水孔，使用方便，托盘承重≥10Kg。</w:t>
            </w:r>
          </w:p>
        </w:tc>
        <w:tc>
          <w:tcPr>
            <w:tcW w:w="2926" w:type="dxa"/>
            <w:shd w:val="clear" w:color="auto" w:fill="auto"/>
            <w:noWrap/>
            <w:vAlign w:val="center"/>
          </w:tcPr>
          <w:p w14:paraId="462880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281E1AA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35AEF5E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2538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B379E5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057E37D6">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262EECB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▲9、床头尾两侧有4组输液架收藏架，固定收藏输液架，收藏架内有塑料套管防止输液架与收藏管碰撞。标配2根可调节高度的输液杆，单钩可挂≥3kg，最大承重≥12kg。</w:t>
            </w:r>
          </w:p>
        </w:tc>
        <w:tc>
          <w:tcPr>
            <w:tcW w:w="2926" w:type="dxa"/>
            <w:shd w:val="clear" w:color="auto" w:fill="auto"/>
            <w:noWrap/>
            <w:vAlign w:val="center"/>
          </w:tcPr>
          <w:p w14:paraId="5A9B2A1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02E12A1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37CFE60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22E3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1844F62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943DAC5">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593CECE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10、可配合医院定制氧气瓶搁架，不用时可以收纳在床体下方，使用时可以旋转出来。</w:t>
            </w:r>
          </w:p>
        </w:tc>
        <w:tc>
          <w:tcPr>
            <w:tcW w:w="2926" w:type="dxa"/>
            <w:shd w:val="clear" w:color="auto" w:fill="auto"/>
            <w:noWrap/>
            <w:vAlign w:val="center"/>
          </w:tcPr>
          <w:p w14:paraId="6BE58C4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52B47B1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269BF85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1CB3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478F6CC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234B369">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02BC2A3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eastAsia="宋体"/>
                <w:kern w:val="2"/>
                <w:sz w:val="21"/>
                <w:lang w:eastAsia="zh-CN"/>
              </w:rPr>
              <w:t>▲11、转运床垫：面料表面防水处理，易于清洗，四角装有拉链，外部面料可水洗；防静电3段式构造，只需—人操作即可以平行对接和转运病人。床垫可作为应急担架使用，头尾左右两侧都有提手。</w:t>
            </w:r>
          </w:p>
        </w:tc>
        <w:tc>
          <w:tcPr>
            <w:tcW w:w="2926" w:type="dxa"/>
            <w:shd w:val="clear" w:color="auto" w:fill="auto"/>
            <w:noWrap/>
            <w:vAlign w:val="center"/>
          </w:tcPr>
          <w:p w14:paraId="677DEAA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eastAsia="宋体"/>
                <w:kern w:val="2"/>
                <w:sz w:val="21"/>
                <w:lang w:eastAsia="zh-CN"/>
              </w:rPr>
            </w:pPr>
          </w:p>
        </w:tc>
        <w:tc>
          <w:tcPr>
            <w:tcW w:w="1094" w:type="dxa"/>
            <w:shd w:val="clear" w:color="auto" w:fill="auto"/>
            <w:noWrap/>
            <w:vAlign w:val="center"/>
          </w:tcPr>
          <w:p w14:paraId="4C14CD1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eastAsia="宋体"/>
                <w:kern w:val="2"/>
                <w:sz w:val="21"/>
                <w:lang w:eastAsia="zh-CN"/>
              </w:rPr>
            </w:pPr>
          </w:p>
        </w:tc>
        <w:tc>
          <w:tcPr>
            <w:tcW w:w="736" w:type="dxa"/>
            <w:shd w:val="clear" w:color="auto" w:fill="auto"/>
            <w:noWrap/>
            <w:vAlign w:val="center"/>
          </w:tcPr>
          <w:p w14:paraId="0005E92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eastAsia="宋体"/>
                <w:kern w:val="2"/>
                <w:sz w:val="21"/>
                <w:lang w:eastAsia="zh-CN"/>
              </w:rPr>
            </w:pPr>
          </w:p>
        </w:tc>
      </w:tr>
      <w:tr w14:paraId="2A85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ECC34E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05615D13">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5A09367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12、床侧边有两组共6个不锈钢金属挂钩。床体四周设有直径≥100mm防撞轮，防止在推行过程中发生碰撞可以起到防护作用</w:t>
            </w:r>
          </w:p>
        </w:tc>
        <w:tc>
          <w:tcPr>
            <w:tcW w:w="2926" w:type="dxa"/>
            <w:shd w:val="clear" w:color="auto" w:fill="auto"/>
            <w:noWrap/>
            <w:vAlign w:val="center"/>
          </w:tcPr>
          <w:p w14:paraId="72157A7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3181815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3B4D819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6A0A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0" w:hRule="atLeast"/>
          <w:jc w:val="center"/>
        </w:trPr>
        <w:tc>
          <w:tcPr>
            <w:tcW w:w="503" w:type="dxa"/>
            <w:vMerge w:val="continue"/>
            <w:shd w:val="clear" w:color="auto" w:fill="auto"/>
            <w:noWrap/>
            <w:vAlign w:val="center"/>
          </w:tcPr>
          <w:p w14:paraId="2B6FA1E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76272C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5BD4139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★13、配置清单（每张）：</w:t>
            </w:r>
          </w:p>
          <w:p w14:paraId="7D56A8A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13.1床本体1台；</w:t>
            </w:r>
          </w:p>
          <w:p w14:paraId="2EA87F9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13.2—体式护栏2片；</w:t>
            </w:r>
          </w:p>
          <w:p w14:paraId="1197F2F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13双面脚轮4只；</w:t>
            </w:r>
          </w:p>
          <w:p w14:paraId="41AC793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13.4中控锁定踏板4套；</w:t>
            </w:r>
          </w:p>
          <w:p w14:paraId="059D231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13.5中心第五轮1套；</w:t>
            </w:r>
          </w:p>
          <w:p w14:paraId="053C7B9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13.6整体升降摇杆1套；</w:t>
            </w:r>
          </w:p>
          <w:p w14:paraId="6E03366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13.7背部升降气压弹簧1套；</w:t>
            </w:r>
          </w:p>
          <w:p w14:paraId="63233E0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13.8大型底部托盘1块；</w:t>
            </w:r>
          </w:p>
          <w:p w14:paraId="2C166E4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13.9输液架2根；</w:t>
            </w:r>
          </w:p>
          <w:p w14:paraId="2FA94C0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13.10标准输液架插孔4个；</w:t>
            </w:r>
          </w:p>
          <w:p w14:paraId="3295171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13.11氧气瓶挂架1个；</w:t>
            </w:r>
          </w:p>
          <w:p w14:paraId="116D9EA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13.12转运床垫1张；</w:t>
            </w:r>
          </w:p>
          <w:p w14:paraId="54408A6C">
            <w:pPr>
              <w:keepNext w:val="0"/>
              <w:keepLines w:val="0"/>
              <w:pageBreakBefore w:val="0"/>
              <w:widowControl w:val="0"/>
              <w:kinsoku/>
              <w:wordWrap/>
              <w:overflowPunct/>
              <w:topLinePunct w:val="0"/>
              <w:autoSpaceDE/>
              <w:autoSpaceDN/>
              <w:bidi w:val="0"/>
              <w:adjustRightInd/>
              <w:snapToGrid/>
              <w:spacing w:line="240" w:lineRule="auto"/>
              <w:jc w:val="both"/>
              <w:rPr>
                <w:rFonts w:eastAsia="宋体"/>
                <w:b/>
                <w:bCs/>
                <w:kern w:val="2"/>
                <w:lang w:eastAsia="zh-CN"/>
              </w:rPr>
            </w:pPr>
            <w:r>
              <w:rPr>
                <w:rFonts w:hint="eastAsia" w:ascii="宋体" w:hAnsi="宋体" w:eastAsia="宋体" w:cs="宋体"/>
                <w:color w:val="000000"/>
                <w:sz w:val="21"/>
                <w:szCs w:val="21"/>
                <w:lang w:eastAsia="zh-CN" w:bidi="ar"/>
              </w:rPr>
              <w:t>13.13引流挂钩6个；</w:t>
            </w:r>
          </w:p>
        </w:tc>
        <w:tc>
          <w:tcPr>
            <w:tcW w:w="2926" w:type="dxa"/>
            <w:shd w:val="clear" w:color="auto" w:fill="auto"/>
            <w:noWrap/>
            <w:vAlign w:val="center"/>
          </w:tcPr>
          <w:p w14:paraId="5DF65C7C">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color w:val="000000"/>
                <w:sz w:val="21"/>
                <w:szCs w:val="21"/>
                <w:lang w:eastAsia="zh-CN" w:bidi="ar"/>
              </w:rPr>
            </w:pPr>
          </w:p>
        </w:tc>
        <w:tc>
          <w:tcPr>
            <w:tcW w:w="1094" w:type="dxa"/>
            <w:shd w:val="clear" w:color="auto" w:fill="auto"/>
            <w:noWrap/>
            <w:vAlign w:val="center"/>
          </w:tcPr>
          <w:p w14:paraId="04A50E17">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color w:val="000000"/>
                <w:sz w:val="21"/>
                <w:szCs w:val="21"/>
                <w:lang w:eastAsia="zh-CN" w:bidi="ar"/>
              </w:rPr>
            </w:pPr>
          </w:p>
        </w:tc>
        <w:tc>
          <w:tcPr>
            <w:tcW w:w="736" w:type="dxa"/>
            <w:shd w:val="clear" w:color="auto" w:fill="auto"/>
            <w:noWrap/>
            <w:vAlign w:val="center"/>
          </w:tcPr>
          <w:p w14:paraId="1EE080EF">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宋体" w:hAnsi="宋体" w:eastAsia="宋体" w:cs="宋体"/>
                <w:color w:val="000000"/>
                <w:sz w:val="21"/>
                <w:szCs w:val="21"/>
                <w:lang w:eastAsia="zh-CN" w:bidi="ar"/>
              </w:rPr>
            </w:pPr>
          </w:p>
        </w:tc>
      </w:tr>
      <w:tr w14:paraId="708A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restart"/>
            <w:shd w:val="clear" w:color="auto" w:fill="auto"/>
            <w:noWrap/>
            <w:vAlign w:val="center"/>
          </w:tcPr>
          <w:p w14:paraId="2D733B84">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9</w:t>
            </w:r>
          </w:p>
        </w:tc>
        <w:tc>
          <w:tcPr>
            <w:tcW w:w="1393" w:type="dxa"/>
            <w:vMerge w:val="restart"/>
            <w:shd w:val="clear" w:color="auto" w:fill="auto"/>
            <w:noWrap/>
            <w:vAlign w:val="center"/>
          </w:tcPr>
          <w:p w14:paraId="529A0639">
            <w:pPr>
              <w:keepNext w:val="0"/>
              <w:keepLines w:val="0"/>
              <w:widowControl/>
              <w:suppressLineNumbers w:val="0"/>
              <w:wordWrap w:val="0"/>
              <w:jc w:val="center"/>
              <w:textAlignment w:val="top"/>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可折叠助行器</w:t>
            </w:r>
          </w:p>
        </w:tc>
        <w:tc>
          <w:tcPr>
            <w:tcW w:w="3390" w:type="dxa"/>
            <w:shd w:val="clear" w:color="auto" w:fill="auto"/>
            <w:noWrap/>
            <w:vAlign w:val="center"/>
          </w:tcPr>
          <w:p w14:paraId="3C04FB88">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宋体" w:hAnsi="宋体" w:eastAsia="宋体" w:cs="宋体"/>
                <w:color w:val="000000"/>
                <w:sz w:val="21"/>
                <w:szCs w:val="21"/>
                <w:lang w:eastAsia="zh-CN" w:bidi="ar"/>
              </w:rPr>
            </w:pPr>
            <w:r>
              <w:rPr>
                <w:rFonts w:hint="eastAsia" w:eastAsia="宋体"/>
                <w:kern w:val="2"/>
                <w:sz w:val="21"/>
                <w:lang w:eastAsia="zh-CN"/>
              </w:rPr>
              <w:t>▲</w:t>
            </w:r>
            <w:r>
              <w:rPr>
                <w:rFonts w:hint="eastAsia" w:ascii="宋体" w:hAnsi="宋体" w:eastAsia="宋体" w:cs="宋体"/>
                <w:color w:val="000000"/>
                <w:sz w:val="21"/>
                <w:szCs w:val="21"/>
                <w:lang w:eastAsia="zh-CN" w:bidi="ar"/>
              </w:rPr>
              <w:t>1、高度：</w:t>
            </w:r>
            <w:r>
              <w:rPr>
                <w:rFonts w:ascii="宋体" w:hAnsi="宋体" w:eastAsia="宋体" w:cs="宋体"/>
                <w:kern w:val="2"/>
                <w:lang w:eastAsia="zh-CN"/>
              </w:rPr>
              <w:t>70-90cm±10cm</w:t>
            </w:r>
          </w:p>
        </w:tc>
        <w:tc>
          <w:tcPr>
            <w:tcW w:w="2926" w:type="dxa"/>
            <w:shd w:val="clear" w:color="auto" w:fill="auto"/>
            <w:noWrap/>
            <w:vAlign w:val="center"/>
          </w:tcPr>
          <w:p w14:paraId="5C0DEE3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eastAsia="宋体"/>
                <w:kern w:val="2"/>
                <w:sz w:val="21"/>
                <w:lang w:eastAsia="zh-CN"/>
              </w:rPr>
            </w:pPr>
          </w:p>
        </w:tc>
        <w:tc>
          <w:tcPr>
            <w:tcW w:w="1094" w:type="dxa"/>
            <w:shd w:val="clear" w:color="auto" w:fill="auto"/>
            <w:noWrap/>
            <w:vAlign w:val="center"/>
          </w:tcPr>
          <w:p w14:paraId="1674E49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eastAsia="宋体"/>
                <w:kern w:val="2"/>
                <w:sz w:val="21"/>
                <w:lang w:eastAsia="zh-CN"/>
              </w:rPr>
            </w:pPr>
          </w:p>
        </w:tc>
        <w:tc>
          <w:tcPr>
            <w:tcW w:w="736" w:type="dxa"/>
            <w:shd w:val="clear" w:color="auto" w:fill="auto"/>
            <w:noWrap/>
            <w:vAlign w:val="center"/>
          </w:tcPr>
          <w:p w14:paraId="4BA461F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eastAsia="宋体"/>
                <w:kern w:val="2"/>
                <w:sz w:val="21"/>
                <w:lang w:eastAsia="zh-CN"/>
              </w:rPr>
            </w:pPr>
          </w:p>
        </w:tc>
      </w:tr>
      <w:tr w14:paraId="47A1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7EFB0F5E">
            <w:pPr>
              <w:keepNext w:val="0"/>
              <w:keepLines w:val="0"/>
              <w:widowControl/>
              <w:suppressLineNumbers w:val="0"/>
              <w:wordWrap w:val="0"/>
              <w:jc w:val="both"/>
              <w:textAlignment w:val="center"/>
              <w:rPr>
                <w:rFonts w:eastAsia="宋体"/>
                <w:kern w:val="2"/>
                <w:sz w:val="21"/>
                <w:lang w:eastAsia="zh-CN"/>
              </w:rPr>
            </w:pPr>
          </w:p>
        </w:tc>
        <w:tc>
          <w:tcPr>
            <w:tcW w:w="1393" w:type="dxa"/>
            <w:vMerge w:val="continue"/>
            <w:shd w:val="clear" w:color="auto" w:fill="auto"/>
            <w:noWrap/>
            <w:vAlign w:val="center"/>
          </w:tcPr>
          <w:p w14:paraId="6B62F6F8">
            <w:pPr>
              <w:keepNext w:val="0"/>
              <w:keepLines w:val="0"/>
              <w:widowControl/>
              <w:suppressLineNumbers w:val="0"/>
              <w:wordWrap w:val="0"/>
              <w:jc w:val="both"/>
              <w:textAlignment w:val="center"/>
              <w:rPr>
                <w:rFonts w:eastAsia="宋体"/>
                <w:kern w:val="2"/>
                <w:sz w:val="21"/>
                <w:lang w:eastAsia="zh-CN"/>
              </w:rPr>
            </w:pPr>
          </w:p>
        </w:tc>
        <w:tc>
          <w:tcPr>
            <w:tcW w:w="3390" w:type="dxa"/>
            <w:shd w:val="clear" w:color="auto" w:fill="auto"/>
            <w:noWrap/>
            <w:vAlign w:val="center"/>
          </w:tcPr>
          <w:p w14:paraId="2CDD6BA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2、高度八档可调节，高强度弹珠锁定高度</w:t>
            </w:r>
          </w:p>
        </w:tc>
        <w:tc>
          <w:tcPr>
            <w:tcW w:w="2926" w:type="dxa"/>
            <w:shd w:val="clear" w:color="auto" w:fill="auto"/>
            <w:noWrap/>
            <w:vAlign w:val="center"/>
          </w:tcPr>
          <w:p w14:paraId="7B2344F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2DC2D9A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16901F0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402E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235305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3E745DA1">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29CC307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3、按压横杆上的按钮即可收缩折叠</w:t>
            </w:r>
          </w:p>
        </w:tc>
        <w:tc>
          <w:tcPr>
            <w:tcW w:w="2926" w:type="dxa"/>
            <w:shd w:val="clear" w:color="auto" w:fill="auto"/>
            <w:noWrap/>
            <w:vAlign w:val="center"/>
          </w:tcPr>
          <w:p w14:paraId="539974E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2E36256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5C61DEE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2B2D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5A0CFF8E">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4B0B702C">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007C0F2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4、铝合金材质，承重不低于136kg，撑杆壁厚不低于1.5mm；</w:t>
            </w:r>
          </w:p>
        </w:tc>
        <w:tc>
          <w:tcPr>
            <w:tcW w:w="2926" w:type="dxa"/>
            <w:shd w:val="clear" w:color="auto" w:fill="auto"/>
            <w:noWrap/>
            <w:vAlign w:val="center"/>
          </w:tcPr>
          <w:p w14:paraId="0E30255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0A9F890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63BE994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04CD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3263A5C4">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1C4A062B">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649C72E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5、握手防滑手垫，四脚防滑垫包裹</w:t>
            </w:r>
          </w:p>
        </w:tc>
        <w:tc>
          <w:tcPr>
            <w:tcW w:w="2926" w:type="dxa"/>
            <w:shd w:val="clear" w:color="auto" w:fill="auto"/>
            <w:noWrap/>
            <w:vAlign w:val="center"/>
          </w:tcPr>
          <w:p w14:paraId="5917602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5135C2F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71C91FF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r w14:paraId="0F7E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3" w:type="dxa"/>
            <w:vMerge w:val="continue"/>
            <w:shd w:val="clear" w:color="auto" w:fill="auto"/>
            <w:noWrap/>
            <w:vAlign w:val="center"/>
          </w:tcPr>
          <w:p w14:paraId="2CC24C67">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1393" w:type="dxa"/>
            <w:vMerge w:val="continue"/>
            <w:shd w:val="clear" w:color="auto" w:fill="auto"/>
            <w:noWrap/>
            <w:vAlign w:val="center"/>
          </w:tcPr>
          <w:p w14:paraId="2C91309A">
            <w:pPr>
              <w:keepNext w:val="0"/>
              <w:keepLines w:val="0"/>
              <w:widowControl/>
              <w:suppressLineNumbers w:val="0"/>
              <w:wordWrap w:val="0"/>
              <w:jc w:val="both"/>
              <w:textAlignment w:val="center"/>
              <w:rPr>
                <w:rFonts w:hint="eastAsia" w:ascii="宋体" w:hAnsi="宋体" w:eastAsia="宋体" w:cs="宋体"/>
                <w:color w:val="000000"/>
                <w:sz w:val="21"/>
                <w:szCs w:val="21"/>
                <w:lang w:eastAsia="zh-CN" w:bidi="ar"/>
              </w:rPr>
            </w:pPr>
          </w:p>
        </w:tc>
        <w:tc>
          <w:tcPr>
            <w:tcW w:w="3390" w:type="dxa"/>
            <w:shd w:val="clear" w:color="auto" w:fill="auto"/>
            <w:noWrap/>
            <w:vAlign w:val="center"/>
          </w:tcPr>
          <w:p w14:paraId="3EA9881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6、扶手间间距不低于50cm</w:t>
            </w:r>
          </w:p>
        </w:tc>
        <w:tc>
          <w:tcPr>
            <w:tcW w:w="2926" w:type="dxa"/>
            <w:shd w:val="clear" w:color="auto" w:fill="auto"/>
            <w:noWrap/>
            <w:vAlign w:val="center"/>
          </w:tcPr>
          <w:p w14:paraId="2B27C05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1094" w:type="dxa"/>
            <w:shd w:val="clear" w:color="auto" w:fill="auto"/>
            <w:noWrap/>
            <w:vAlign w:val="center"/>
          </w:tcPr>
          <w:p w14:paraId="1A6FC5D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c>
          <w:tcPr>
            <w:tcW w:w="736" w:type="dxa"/>
            <w:shd w:val="clear" w:color="auto" w:fill="auto"/>
            <w:noWrap/>
            <w:vAlign w:val="center"/>
          </w:tcPr>
          <w:p w14:paraId="5E0E609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color w:val="000000"/>
                <w:sz w:val="21"/>
                <w:szCs w:val="21"/>
                <w:lang w:eastAsia="zh-CN" w:bidi="ar"/>
              </w:rPr>
            </w:pPr>
          </w:p>
        </w:tc>
      </w:tr>
    </w:tbl>
    <w:p w14:paraId="777D3EE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证明资料【如有的话，提供的证明资料应统一编号（排序），格式自定】：</w:t>
      </w:r>
    </w:p>
    <w:p w14:paraId="06F41D9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p>
    <w:p w14:paraId="58623CE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《技术要求偏离表》编制指引：</w:t>
      </w:r>
    </w:p>
    <w:p w14:paraId="506B32D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1、技术要求偏离表的序号、货物名称、招标技术要求等栏目对应“用户需求书”中的“技术要求”章节相关内容。</w:t>
      </w:r>
    </w:p>
    <w:p w14:paraId="5DC36F4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color w:val="FF0000"/>
          <w:kern w:val="2"/>
          <w:sz w:val="21"/>
          <w:lang w:eastAsia="zh-CN"/>
        </w:rPr>
      </w:pPr>
      <w:r>
        <w:rPr>
          <w:rFonts w:eastAsia="宋体"/>
          <w:kern w:val="2"/>
          <w:sz w:val="21"/>
          <w:lang w:eastAsia="zh-CN"/>
        </w:rPr>
        <w:t>2</w:t>
      </w:r>
      <w:r>
        <w:rPr>
          <w:rFonts w:hint="eastAsia" w:eastAsia="宋体"/>
          <w:kern w:val="2"/>
          <w:sz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color w:val="FF0000"/>
          <w:kern w:val="2"/>
          <w:sz w:val="21"/>
          <w:lang w:eastAsia="zh-CN"/>
        </w:rPr>
        <w:t>“投标技术响应”必须与所投产品客观实际保持一致，响应不实且情节严重的，经查实，将依法记入供应商诚信档案或受到行政处罚。</w:t>
      </w:r>
    </w:p>
    <w:p w14:paraId="6F4129B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color w:val="FF0000"/>
          <w:kern w:val="2"/>
          <w:sz w:val="21"/>
          <w:lang w:eastAsia="zh-CN"/>
        </w:rPr>
      </w:pPr>
      <w:r>
        <w:rPr>
          <w:rFonts w:eastAsia="宋体"/>
          <w:kern w:val="2"/>
          <w:sz w:val="21"/>
          <w:lang w:eastAsia="zh-CN"/>
        </w:rPr>
        <w:t>3</w:t>
      </w:r>
      <w:r>
        <w:rPr>
          <w:rFonts w:hint="eastAsia" w:eastAsia="宋体"/>
          <w:kern w:val="2"/>
          <w:sz w:val="21"/>
          <w:lang w:eastAsia="zh-CN"/>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color w:val="FF0000"/>
          <w:kern w:val="2"/>
          <w:sz w:val="21"/>
          <w:lang w:eastAsia="zh-CN"/>
        </w:rPr>
        <w:t>“偏离情况”必须与所投产品客观实际保持一致，响应不实且情节严重的，经查实，将依法记入供应商诚信档案或受到行政处罚。</w:t>
      </w:r>
    </w:p>
    <w:p w14:paraId="617BC3E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eastAsia="宋体"/>
          <w:kern w:val="2"/>
          <w:sz w:val="21"/>
          <w:lang w:eastAsia="zh-CN"/>
        </w:rPr>
        <w:t>4</w:t>
      </w:r>
      <w:r>
        <w:rPr>
          <w:rFonts w:hint="eastAsia" w:eastAsia="宋体"/>
          <w:kern w:val="2"/>
          <w:sz w:val="21"/>
          <w:lang w:eastAsia="zh-CN"/>
        </w:rPr>
        <w:t>、未要求提供证明资料的招标技术要求，可以不提供证明资料（如实响应即可）。</w:t>
      </w:r>
    </w:p>
    <w:p w14:paraId="4077FA5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3C9D34A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072299D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7、证明资料的形式及其它具体要求：</w:t>
      </w:r>
    </w:p>
    <w:p w14:paraId="7A24422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（1）除照片、图片（截图）及不需加盖公章的文字说明（技术说明）外，其它证明资料均要求为原件扫描件；</w:t>
      </w:r>
    </w:p>
    <w:p w14:paraId="7F16412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6EA6C2E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74E853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我国政府机构出具的产品检验和核准证件应为证件正面、背面和附件标注的全部具体内容；产品检验和核准证件的尺寸和清晰度应该能够在电脑上被阅读、识别和判断；</w:t>
      </w:r>
    </w:p>
    <w:p w14:paraId="40D7773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750D82E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其它证明资料的形式要求参照以上要求执行；</w:t>
      </w:r>
    </w:p>
    <w:p w14:paraId="48F213C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8、其它注意事项：</w:t>
      </w:r>
    </w:p>
    <w:p w14:paraId="64E8DF6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（1）评审委员会有权对投标人的响应情况作出判断（评审结论）；</w:t>
      </w:r>
    </w:p>
    <w:p w14:paraId="50450A8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（2）评审委员会有权对以谋取中标为目的的技术规格模糊响应（如有意不合理照搬照抄招标文件的技术要求）或虚假响应予以认定。</w:t>
      </w:r>
    </w:p>
    <w:p w14:paraId="4BBD358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p>
    <w:p w14:paraId="209DFE4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p>
    <w:p w14:paraId="3E46CF70">
      <w:pPr>
        <w:widowControl w:val="0"/>
        <w:jc w:val="both"/>
        <w:rPr>
          <w:rFonts w:hint="eastAsia" w:ascii="黑体" w:hAnsi="黑体" w:eastAsia="黑体" w:cs="黑体"/>
          <w:kern w:val="2"/>
          <w:szCs w:val="28"/>
          <w:lang w:eastAsia="zh-CN"/>
        </w:rPr>
      </w:pPr>
      <w:r>
        <w:rPr>
          <w:rFonts w:hint="eastAsia" w:ascii="黑体" w:hAnsi="黑体" w:eastAsia="黑体" w:cs="黑体"/>
          <w:kern w:val="2"/>
          <w:szCs w:val="28"/>
          <w:lang w:eastAsia="zh-CN"/>
        </w:rPr>
        <w:br w:type="page"/>
      </w:r>
    </w:p>
    <w:p w14:paraId="37D063CF">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十、商务要求偏离表</w:t>
      </w:r>
    </w:p>
    <w:tbl>
      <w:tblPr>
        <w:tblStyle w:val="14"/>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132"/>
        <w:gridCol w:w="2780"/>
        <w:gridCol w:w="2486"/>
        <w:gridCol w:w="1350"/>
        <w:gridCol w:w="928"/>
      </w:tblGrid>
      <w:tr w14:paraId="4D1E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Align w:val="center"/>
          </w:tcPr>
          <w:p w14:paraId="3F1AA91D">
            <w:pPr>
              <w:widowControl/>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序号</w:t>
            </w:r>
          </w:p>
        </w:tc>
        <w:tc>
          <w:tcPr>
            <w:tcW w:w="1132" w:type="dxa"/>
            <w:vAlign w:val="center"/>
          </w:tcPr>
          <w:p w14:paraId="6EF34B3C">
            <w:pPr>
              <w:widowControl/>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目录</w:t>
            </w:r>
          </w:p>
        </w:tc>
        <w:tc>
          <w:tcPr>
            <w:tcW w:w="2780" w:type="dxa"/>
            <w:vAlign w:val="center"/>
          </w:tcPr>
          <w:p w14:paraId="07492F7C">
            <w:pPr>
              <w:widowControl/>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招标商务要求</w:t>
            </w:r>
          </w:p>
        </w:tc>
        <w:tc>
          <w:tcPr>
            <w:tcW w:w="2486" w:type="dxa"/>
            <w:vAlign w:val="center"/>
          </w:tcPr>
          <w:p w14:paraId="3A18CFE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bCs/>
                <w:color w:val="000000"/>
                <w:sz w:val="21"/>
                <w:szCs w:val="21"/>
                <w:lang w:eastAsia="zh-CN" w:bidi="ar"/>
              </w:rPr>
            </w:pPr>
            <w:r>
              <w:rPr>
                <w:rFonts w:hint="eastAsia" w:eastAsia="宋体"/>
                <w:b/>
                <w:bCs/>
                <w:kern w:val="2"/>
                <w:lang w:eastAsia="zh-CN"/>
              </w:rPr>
              <w:t>投标商务响应</w:t>
            </w:r>
          </w:p>
        </w:tc>
        <w:tc>
          <w:tcPr>
            <w:tcW w:w="1350" w:type="dxa"/>
            <w:vAlign w:val="center"/>
          </w:tcPr>
          <w:p w14:paraId="0C37D3E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bCs/>
                <w:color w:val="000000"/>
                <w:sz w:val="21"/>
                <w:szCs w:val="21"/>
                <w:lang w:eastAsia="zh-CN" w:bidi="ar"/>
              </w:rPr>
            </w:pPr>
            <w:r>
              <w:rPr>
                <w:rFonts w:hint="eastAsia" w:eastAsia="宋体"/>
                <w:b/>
                <w:bCs/>
                <w:kern w:val="2"/>
                <w:sz w:val="21"/>
                <w:lang w:eastAsia="zh-CN"/>
              </w:rPr>
              <w:t>偏离情况</w:t>
            </w:r>
          </w:p>
        </w:tc>
        <w:tc>
          <w:tcPr>
            <w:tcW w:w="928" w:type="dxa"/>
            <w:vAlign w:val="center"/>
          </w:tcPr>
          <w:p w14:paraId="15A6472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b/>
                <w:bCs/>
                <w:color w:val="000000"/>
                <w:sz w:val="21"/>
                <w:szCs w:val="21"/>
                <w:lang w:eastAsia="zh-CN" w:bidi="ar"/>
              </w:rPr>
            </w:pPr>
            <w:r>
              <w:rPr>
                <w:rFonts w:hint="eastAsia" w:eastAsia="宋体"/>
                <w:b/>
                <w:bCs/>
                <w:kern w:val="2"/>
                <w:lang w:eastAsia="zh-CN"/>
              </w:rPr>
              <w:t>说</w:t>
            </w:r>
            <w:bookmarkStart w:id="106" w:name="_GoBack"/>
            <w:bookmarkEnd w:id="106"/>
            <w:r>
              <w:rPr>
                <w:rFonts w:hint="eastAsia" w:eastAsia="宋体"/>
                <w:b/>
                <w:bCs/>
                <w:kern w:val="2"/>
                <w:lang w:eastAsia="zh-CN"/>
              </w:rPr>
              <w:t>明</w:t>
            </w:r>
          </w:p>
        </w:tc>
      </w:tr>
      <w:tr w14:paraId="0F83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restart"/>
            <w:vAlign w:val="center"/>
          </w:tcPr>
          <w:p w14:paraId="760964AC">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w:t>
            </w:r>
          </w:p>
        </w:tc>
        <w:tc>
          <w:tcPr>
            <w:tcW w:w="1132" w:type="dxa"/>
            <w:vMerge w:val="restart"/>
            <w:vAlign w:val="center"/>
          </w:tcPr>
          <w:p w14:paraId="383E0BAA">
            <w:pPr>
              <w:widowControl/>
              <w:jc w:val="center"/>
              <w:textAlignment w:val="center"/>
              <w:rPr>
                <w:rFonts w:hint="eastAsia" w:ascii="宋体" w:hAnsi="宋体" w:eastAsia="宋体" w:cs="宋体"/>
                <w:b/>
                <w:bCs/>
                <w:color w:val="FF0000"/>
                <w:kern w:val="2"/>
                <w:sz w:val="21"/>
                <w:szCs w:val="21"/>
                <w:lang w:eastAsia="zh-CN"/>
              </w:rPr>
            </w:pPr>
            <w:r>
              <w:rPr>
                <w:rFonts w:hint="eastAsia" w:ascii="宋体" w:hAnsi="宋体" w:eastAsia="宋体" w:cs="宋体"/>
                <w:b/>
                <w:bCs/>
                <w:sz w:val="21"/>
                <w:szCs w:val="21"/>
                <w:lang w:eastAsia="zh-CN" w:bidi="ar"/>
              </w:rPr>
              <w:t>★关于交货</w:t>
            </w:r>
          </w:p>
        </w:tc>
        <w:tc>
          <w:tcPr>
            <w:tcW w:w="2780" w:type="dxa"/>
            <w:vAlign w:val="center"/>
          </w:tcPr>
          <w:p w14:paraId="15D02A92">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1.1 交货地点：采购人指定地点</w:t>
            </w:r>
          </w:p>
        </w:tc>
        <w:tc>
          <w:tcPr>
            <w:tcW w:w="2486" w:type="dxa"/>
            <w:vAlign w:val="center"/>
          </w:tcPr>
          <w:p w14:paraId="768CD9D1">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6FBAA30C">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1CD216C1">
            <w:pPr>
              <w:widowControl/>
              <w:jc w:val="both"/>
              <w:textAlignment w:val="center"/>
              <w:rPr>
                <w:rFonts w:hint="eastAsia" w:ascii="宋体" w:hAnsi="宋体" w:eastAsia="宋体" w:cs="宋体"/>
                <w:color w:val="000000"/>
                <w:sz w:val="21"/>
                <w:szCs w:val="21"/>
                <w:lang w:eastAsia="zh-CN" w:bidi="ar"/>
              </w:rPr>
            </w:pPr>
          </w:p>
        </w:tc>
      </w:tr>
      <w:tr w14:paraId="15F6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28BBB231">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4609938C">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76D95234">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1.2 交货期：合同签订后3</w:t>
            </w:r>
            <w:r>
              <w:rPr>
                <w:rFonts w:ascii="宋体" w:hAnsi="宋体" w:eastAsia="宋体" w:cs="宋体"/>
                <w:kern w:val="2"/>
                <w:sz w:val="21"/>
                <w:szCs w:val="21"/>
                <w:lang w:eastAsia="zh-CN" w:bidi="ar"/>
              </w:rPr>
              <w:t>0</w:t>
            </w:r>
            <w:r>
              <w:rPr>
                <w:rFonts w:hint="eastAsia" w:ascii="宋体" w:hAnsi="宋体" w:eastAsia="宋体" w:cs="宋体"/>
                <w:sz w:val="21"/>
                <w:szCs w:val="21"/>
                <w:lang w:eastAsia="zh-CN" w:bidi="ar"/>
              </w:rPr>
              <w:t>日内（自然日）交付合同条款约定的货物或服务。</w:t>
            </w:r>
          </w:p>
        </w:tc>
        <w:tc>
          <w:tcPr>
            <w:tcW w:w="2486" w:type="dxa"/>
            <w:vAlign w:val="center"/>
          </w:tcPr>
          <w:p w14:paraId="7C74F402">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70E4AE3C">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41D8A0F1">
            <w:pPr>
              <w:widowControl/>
              <w:jc w:val="both"/>
              <w:textAlignment w:val="center"/>
              <w:rPr>
                <w:rFonts w:hint="eastAsia" w:ascii="宋体" w:hAnsi="宋体" w:eastAsia="宋体" w:cs="宋体"/>
                <w:color w:val="000000"/>
                <w:sz w:val="21"/>
                <w:szCs w:val="21"/>
                <w:lang w:eastAsia="zh-CN" w:bidi="ar"/>
              </w:rPr>
            </w:pPr>
          </w:p>
        </w:tc>
      </w:tr>
      <w:tr w14:paraId="646A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0CBA85CD">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2B409D01">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25CBBA25">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1.3 当货物抵达交货地点时，由中标人自行安排的工作人员和货运方验收货物并签收运单，采购人提供存放地点，采购人对于货物运输过程出现的问题以及其他问题不负任何责任。</w:t>
            </w:r>
          </w:p>
        </w:tc>
        <w:tc>
          <w:tcPr>
            <w:tcW w:w="2486" w:type="dxa"/>
            <w:vAlign w:val="center"/>
          </w:tcPr>
          <w:p w14:paraId="01F8D865">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33D72C00">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0FD51E40">
            <w:pPr>
              <w:widowControl/>
              <w:jc w:val="both"/>
              <w:textAlignment w:val="center"/>
              <w:rPr>
                <w:rFonts w:hint="eastAsia" w:ascii="宋体" w:hAnsi="宋体" w:eastAsia="宋体" w:cs="宋体"/>
                <w:color w:val="000000"/>
                <w:sz w:val="21"/>
                <w:szCs w:val="21"/>
                <w:lang w:eastAsia="zh-CN" w:bidi="ar"/>
              </w:rPr>
            </w:pPr>
          </w:p>
        </w:tc>
      </w:tr>
      <w:tr w14:paraId="17A4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69ED55ED">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3FD51036">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6F5FFFBE">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1.4 中标人必须承担设备运输、安装调试、验收检测和提供设备操作说明书、图纸等其他类似的义务。</w:t>
            </w:r>
          </w:p>
        </w:tc>
        <w:tc>
          <w:tcPr>
            <w:tcW w:w="2486" w:type="dxa"/>
            <w:vAlign w:val="center"/>
          </w:tcPr>
          <w:p w14:paraId="0A081BE3">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01FE17E7">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521059DC">
            <w:pPr>
              <w:widowControl/>
              <w:jc w:val="both"/>
              <w:textAlignment w:val="center"/>
              <w:rPr>
                <w:rFonts w:hint="eastAsia" w:ascii="宋体" w:hAnsi="宋体" w:eastAsia="宋体" w:cs="宋体"/>
                <w:color w:val="000000"/>
                <w:sz w:val="21"/>
                <w:szCs w:val="21"/>
                <w:lang w:eastAsia="zh-CN" w:bidi="ar"/>
              </w:rPr>
            </w:pPr>
          </w:p>
        </w:tc>
      </w:tr>
      <w:tr w14:paraId="0A41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restart"/>
            <w:vAlign w:val="center"/>
          </w:tcPr>
          <w:p w14:paraId="6F3B4EF7">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w:t>
            </w:r>
          </w:p>
        </w:tc>
        <w:tc>
          <w:tcPr>
            <w:tcW w:w="1132" w:type="dxa"/>
            <w:vMerge w:val="restart"/>
            <w:vAlign w:val="center"/>
          </w:tcPr>
          <w:p w14:paraId="4CB97C5D">
            <w:pPr>
              <w:widowControl/>
              <w:jc w:val="center"/>
              <w:textAlignment w:val="center"/>
              <w:rPr>
                <w:rFonts w:hint="eastAsia" w:ascii="宋体" w:hAnsi="宋体" w:eastAsia="宋体" w:cs="宋体"/>
                <w:b/>
                <w:bCs/>
                <w:color w:val="FF0000"/>
                <w:kern w:val="2"/>
                <w:sz w:val="21"/>
                <w:szCs w:val="21"/>
                <w:lang w:eastAsia="zh-CN"/>
              </w:rPr>
            </w:pPr>
            <w:r>
              <w:rPr>
                <w:rFonts w:hint="eastAsia" w:ascii="宋体" w:hAnsi="宋体" w:eastAsia="宋体" w:cs="宋体"/>
                <w:b/>
                <w:bCs/>
                <w:sz w:val="21"/>
                <w:szCs w:val="21"/>
                <w:lang w:eastAsia="zh-CN" w:bidi="ar"/>
              </w:rPr>
              <w:t>★关于报价方式</w:t>
            </w:r>
          </w:p>
        </w:tc>
        <w:tc>
          <w:tcPr>
            <w:tcW w:w="2780" w:type="dxa"/>
            <w:vAlign w:val="center"/>
          </w:tcPr>
          <w:p w14:paraId="5B9B7231">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2.1 投标价必须是人民币含税价。</w:t>
            </w:r>
          </w:p>
        </w:tc>
        <w:tc>
          <w:tcPr>
            <w:tcW w:w="2486" w:type="dxa"/>
            <w:vAlign w:val="center"/>
          </w:tcPr>
          <w:p w14:paraId="4127AC40">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6F9CC9E2">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5C895CB1">
            <w:pPr>
              <w:widowControl/>
              <w:jc w:val="both"/>
              <w:textAlignment w:val="center"/>
              <w:rPr>
                <w:rFonts w:hint="eastAsia" w:ascii="宋体" w:hAnsi="宋体" w:eastAsia="宋体" w:cs="宋体"/>
                <w:color w:val="000000"/>
                <w:sz w:val="21"/>
                <w:szCs w:val="21"/>
                <w:lang w:eastAsia="zh-CN" w:bidi="ar"/>
              </w:rPr>
            </w:pPr>
          </w:p>
        </w:tc>
      </w:tr>
      <w:tr w14:paraId="2A81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456294E7">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187A0433">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672A42B8">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2.2 投标价包含所有费用，包含但不限于医疗设备辅助设施及配件购置、税费、包装、运输、保险、装卸、调试、技术服务、培训、检测、服务、免费保修期（免费保修期内设备及部件故障的更换，维修和退运返修）、售后服务等，验收合格交付使用之前的一切费用，采购人不在另行支付其他费用。</w:t>
            </w:r>
          </w:p>
        </w:tc>
        <w:tc>
          <w:tcPr>
            <w:tcW w:w="2486" w:type="dxa"/>
            <w:vAlign w:val="center"/>
          </w:tcPr>
          <w:p w14:paraId="459CA0A0">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1CB6D52A">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7BFCBC42">
            <w:pPr>
              <w:widowControl/>
              <w:jc w:val="both"/>
              <w:textAlignment w:val="center"/>
              <w:rPr>
                <w:rFonts w:hint="eastAsia" w:ascii="宋体" w:hAnsi="宋体" w:eastAsia="宋体" w:cs="宋体"/>
                <w:color w:val="000000"/>
                <w:sz w:val="21"/>
                <w:szCs w:val="21"/>
                <w:lang w:eastAsia="zh-CN" w:bidi="ar"/>
              </w:rPr>
            </w:pPr>
          </w:p>
        </w:tc>
      </w:tr>
      <w:tr w14:paraId="6735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1DEB3CBC">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565AE0CA">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218AC5AD">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2.3 本项目需求中所称的免费是指由此产生的一切费用由中标人承担，中标金额是采购人支付的唯一依据，采购人不再另行支付其他任何费用。</w:t>
            </w:r>
          </w:p>
        </w:tc>
        <w:tc>
          <w:tcPr>
            <w:tcW w:w="2486" w:type="dxa"/>
            <w:vAlign w:val="center"/>
          </w:tcPr>
          <w:p w14:paraId="26D65294">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59B11211">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1AC80241">
            <w:pPr>
              <w:widowControl/>
              <w:jc w:val="both"/>
              <w:textAlignment w:val="center"/>
              <w:rPr>
                <w:rFonts w:hint="eastAsia" w:ascii="宋体" w:hAnsi="宋体" w:eastAsia="宋体" w:cs="宋体"/>
                <w:color w:val="000000"/>
                <w:sz w:val="21"/>
                <w:szCs w:val="21"/>
                <w:lang w:eastAsia="zh-CN" w:bidi="ar"/>
              </w:rPr>
            </w:pPr>
          </w:p>
        </w:tc>
      </w:tr>
      <w:tr w14:paraId="5285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Align w:val="center"/>
          </w:tcPr>
          <w:p w14:paraId="139152A7">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w:t>
            </w:r>
          </w:p>
        </w:tc>
        <w:tc>
          <w:tcPr>
            <w:tcW w:w="1132" w:type="dxa"/>
            <w:noWrap/>
            <w:vAlign w:val="center"/>
          </w:tcPr>
          <w:p w14:paraId="3BEDAA53">
            <w:pPr>
              <w:widowControl/>
              <w:jc w:val="center"/>
              <w:textAlignment w:val="center"/>
              <w:rPr>
                <w:rFonts w:hint="eastAsia" w:ascii="宋体" w:hAnsi="宋体" w:eastAsia="宋体" w:cs="宋体"/>
                <w:b/>
                <w:bCs/>
                <w:color w:val="FF0000"/>
                <w:kern w:val="2"/>
                <w:sz w:val="21"/>
                <w:szCs w:val="21"/>
                <w:lang w:eastAsia="zh-CN"/>
              </w:rPr>
            </w:pPr>
            <w:r>
              <w:rPr>
                <w:rFonts w:hint="eastAsia" w:ascii="宋体" w:hAnsi="宋体" w:eastAsia="宋体" w:cs="宋体"/>
                <w:b/>
                <w:bCs/>
                <w:sz w:val="21"/>
                <w:szCs w:val="21"/>
                <w:lang w:eastAsia="zh-CN" w:bidi="ar"/>
              </w:rPr>
              <w:t>★关于付款方式</w:t>
            </w:r>
          </w:p>
        </w:tc>
        <w:tc>
          <w:tcPr>
            <w:tcW w:w="2780" w:type="dxa"/>
            <w:vAlign w:val="center"/>
          </w:tcPr>
          <w:p w14:paraId="05ADC879">
            <w:pPr>
              <w:widowControl w:val="0"/>
              <w:jc w:val="both"/>
              <w:rPr>
                <w:rFonts w:hint="eastAsia" w:ascii="宋体" w:hAnsi="宋体" w:eastAsia="宋体" w:cs="宋体"/>
                <w:kern w:val="2"/>
                <w:sz w:val="21"/>
                <w:szCs w:val="21"/>
                <w:lang w:eastAsia="zh-CN"/>
              </w:rPr>
            </w:pPr>
            <w:r>
              <w:rPr>
                <w:rFonts w:hint="eastAsia" w:ascii="宋体" w:hAnsi="宋体" w:eastAsia="宋体" w:cs="宋体"/>
                <w:sz w:val="21"/>
                <w:szCs w:val="21"/>
                <w:lang w:eastAsia="zh-CN" w:bidi="ar"/>
              </w:rPr>
              <w:t>3.1</w:t>
            </w:r>
            <w:r>
              <w:rPr>
                <w:rFonts w:hint="eastAsia" w:ascii="宋体" w:hAnsi="宋体" w:eastAsia="宋体" w:cs="宋体"/>
                <w:kern w:val="2"/>
                <w:sz w:val="21"/>
                <w:szCs w:val="21"/>
                <w:lang w:eastAsia="zh-CN"/>
              </w:rPr>
              <w:t>在合同签订后，中标人需出具原厂订货佐证，采购人将依据既定程序，向中标人支付合同总金额的30%作为预付款。</w:t>
            </w:r>
          </w:p>
          <w:p w14:paraId="2540A4F6">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3.2、当全部设备按照要求安装至采购人指定地点，并验收合格后，采购人将向中标人支付剩余70%货款。</w:t>
            </w:r>
          </w:p>
          <w:p w14:paraId="4B64ECBA">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3.3、鉴于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p w14:paraId="10D03027">
            <w:pPr>
              <w:widowControl/>
              <w:jc w:val="both"/>
              <w:textAlignment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3.4、若本项目财政下达的资金数额不足以支付合同约定的比例金额，采购人将按照实际财政下达的资金数额支付合同款，不足部分将待新的项目资金下达后进行支付。</w:t>
            </w:r>
          </w:p>
          <w:p w14:paraId="7EED9EB1">
            <w:pPr>
              <w:widowControl w:val="0"/>
              <w:spacing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中标人提请采购人支付合同价款时，应提交以下资料：</w:t>
            </w:r>
          </w:p>
          <w:p w14:paraId="421CEEBB">
            <w:pPr>
              <w:widowControl w:val="0"/>
              <w:spacing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（1）与付款金额等额的税务发票；</w:t>
            </w:r>
          </w:p>
          <w:p w14:paraId="51255307">
            <w:pPr>
              <w:widowControl w:val="0"/>
              <w:spacing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（2）验收合格证明（预付款可免）；</w:t>
            </w:r>
          </w:p>
          <w:p w14:paraId="3F5CC091">
            <w:pPr>
              <w:widowControl w:val="0"/>
              <w:spacing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（3）合同约定的其他付款资料。</w:t>
            </w:r>
          </w:p>
          <w:p w14:paraId="65D682D5">
            <w:pPr>
              <w:widowControl w:val="0"/>
              <w:spacing w:line="240" w:lineRule="auto"/>
              <w:jc w:val="both"/>
              <w:rPr>
                <w:rFonts w:hint="eastAsia" w:ascii="宋体" w:hAnsi="宋体" w:eastAsia="宋体" w:cs="宋体"/>
                <w:b/>
                <w:bCs/>
                <w:kern w:val="2"/>
                <w:sz w:val="21"/>
                <w:szCs w:val="21"/>
                <w:lang w:eastAsia="zh-CN"/>
              </w:rPr>
            </w:pPr>
            <w:r>
              <w:rPr>
                <w:rFonts w:hint="eastAsia" w:ascii="宋体" w:hAnsi="宋体" w:eastAsia="宋体" w:cs="宋体"/>
                <w:kern w:val="2"/>
                <w:sz w:val="21"/>
                <w:szCs w:val="21"/>
                <w:lang w:eastAsia="zh-CN"/>
              </w:rPr>
              <w:t>付款期限自采购人收到上述合格的付款资料之日起算。若中标人未及时提供付款资料的，采购人有权将付款期限的起始日推迟至中标人按约定提供付款资料之日，而不被视为逾期付款。</w:t>
            </w:r>
          </w:p>
        </w:tc>
        <w:tc>
          <w:tcPr>
            <w:tcW w:w="2486" w:type="dxa"/>
            <w:vAlign w:val="center"/>
          </w:tcPr>
          <w:p w14:paraId="6D36E6BB">
            <w:pPr>
              <w:widowControl w:val="0"/>
              <w:spacing w:line="240" w:lineRule="auto"/>
              <w:jc w:val="both"/>
              <w:rPr>
                <w:rFonts w:hint="eastAsia" w:ascii="宋体" w:hAnsi="宋体" w:eastAsia="宋体" w:cs="宋体"/>
                <w:kern w:val="2"/>
                <w:sz w:val="21"/>
                <w:szCs w:val="21"/>
                <w:lang w:eastAsia="zh-CN"/>
              </w:rPr>
            </w:pPr>
          </w:p>
        </w:tc>
        <w:tc>
          <w:tcPr>
            <w:tcW w:w="1350" w:type="dxa"/>
            <w:vAlign w:val="center"/>
          </w:tcPr>
          <w:p w14:paraId="78802450">
            <w:pPr>
              <w:widowControl w:val="0"/>
              <w:spacing w:line="240" w:lineRule="auto"/>
              <w:jc w:val="both"/>
              <w:rPr>
                <w:rFonts w:hint="eastAsia" w:ascii="宋体" w:hAnsi="宋体" w:eastAsia="宋体" w:cs="宋体"/>
                <w:kern w:val="2"/>
                <w:sz w:val="21"/>
                <w:szCs w:val="21"/>
                <w:lang w:eastAsia="zh-CN"/>
              </w:rPr>
            </w:pPr>
          </w:p>
        </w:tc>
        <w:tc>
          <w:tcPr>
            <w:tcW w:w="928" w:type="dxa"/>
            <w:vAlign w:val="center"/>
          </w:tcPr>
          <w:p w14:paraId="59264C42">
            <w:pPr>
              <w:widowControl w:val="0"/>
              <w:spacing w:line="240" w:lineRule="auto"/>
              <w:jc w:val="both"/>
              <w:rPr>
                <w:rFonts w:hint="eastAsia" w:ascii="宋体" w:hAnsi="宋体" w:eastAsia="宋体" w:cs="宋体"/>
                <w:kern w:val="2"/>
                <w:sz w:val="21"/>
                <w:szCs w:val="21"/>
                <w:lang w:eastAsia="zh-CN"/>
              </w:rPr>
            </w:pPr>
          </w:p>
        </w:tc>
      </w:tr>
      <w:tr w14:paraId="5311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restart"/>
            <w:vAlign w:val="center"/>
          </w:tcPr>
          <w:p w14:paraId="6728A03F">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w:t>
            </w:r>
          </w:p>
        </w:tc>
        <w:tc>
          <w:tcPr>
            <w:tcW w:w="1132" w:type="dxa"/>
            <w:vMerge w:val="restart"/>
            <w:vAlign w:val="center"/>
          </w:tcPr>
          <w:p w14:paraId="6834046A">
            <w:pPr>
              <w:widowControl/>
              <w:jc w:val="center"/>
              <w:textAlignment w:val="center"/>
              <w:rPr>
                <w:rFonts w:hint="eastAsia" w:ascii="宋体" w:hAnsi="宋体" w:eastAsia="宋体" w:cs="宋体"/>
                <w:b/>
                <w:bCs/>
                <w:color w:val="FF0000"/>
                <w:kern w:val="2"/>
                <w:sz w:val="21"/>
                <w:szCs w:val="21"/>
                <w:lang w:eastAsia="zh-CN"/>
              </w:rPr>
            </w:pPr>
            <w:r>
              <w:rPr>
                <w:rFonts w:hint="eastAsia" w:ascii="宋体" w:hAnsi="宋体" w:eastAsia="宋体" w:cs="宋体"/>
                <w:b/>
                <w:bCs/>
                <w:sz w:val="21"/>
                <w:szCs w:val="21"/>
                <w:lang w:eastAsia="zh-CN" w:bidi="ar"/>
              </w:rPr>
              <w:t>★关于售后服务和培训</w:t>
            </w:r>
          </w:p>
        </w:tc>
        <w:tc>
          <w:tcPr>
            <w:tcW w:w="2780" w:type="dxa"/>
            <w:vAlign w:val="center"/>
          </w:tcPr>
          <w:p w14:paraId="4B428D65">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4.1 中标人需为本项目配备足够的售后服务力量；如果医疗设备发生故障，中标人要排查故障并修复至原最终验收指标和性能的要求。</w:t>
            </w:r>
          </w:p>
        </w:tc>
        <w:tc>
          <w:tcPr>
            <w:tcW w:w="2486" w:type="dxa"/>
            <w:vAlign w:val="center"/>
          </w:tcPr>
          <w:p w14:paraId="1FE022EB">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1582103C">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495851AE">
            <w:pPr>
              <w:widowControl/>
              <w:jc w:val="both"/>
              <w:textAlignment w:val="center"/>
              <w:rPr>
                <w:rFonts w:hint="eastAsia" w:ascii="宋体" w:hAnsi="宋体" w:eastAsia="宋体" w:cs="宋体"/>
                <w:color w:val="000000"/>
                <w:sz w:val="21"/>
                <w:szCs w:val="21"/>
                <w:lang w:eastAsia="zh-CN" w:bidi="ar"/>
              </w:rPr>
            </w:pPr>
          </w:p>
        </w:tc>
      </w:tr>
      <w:tr w14:paraId="05F4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66A3DEE3">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53898B8C">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0005D1BB">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4.2 中标人提供医疗设备的免费保修期≥5年（保修期内免费维修并更换除消耗品以外的零部件，维修人员的路费、食宿等自理），保修期自最终安装验收合格签字确认后算起，并提供相关保修文件材料。</w:t>
            </w:r>
          </w:p>
        </w:tc>
        <w:tc>
          <w:tcPr>
            <w:tcW w:w="2486" w:type="dxa"/>
            <w:vAlign w:val="center"/>
          </w:tcPr>
          <w:p w14:paraId="0B27CD68">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31CE9AEE">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6AB26F6E">
            <w:pPr>
              <w:widowControl/>
              <w:jc w:val="both"/>
              <w:textAlignment w:val="center"/>
              <w:rPr>
                <w:rFonts w:hint="eastAsia" w:ascii="宋体" w:hAnsi="宋体" w:eastAsia="宋体" w:cs="宋体"/>
                <w:color w:val="000000"/>
                <w:sz w:val="21"/>
                <w:szCs w:val="21"/>
                <w:lang w:eastAsia="zh-CN" w:bidi="ar"/>
              </w:rPr>
            </w:pPr>
          </w:p>
        </w:tc>
      </w:tr>
      <w:tr w14:paraId="429B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1C701DD7">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5D499173">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2B3CEA0E">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4.3 中标人售后服务响应时间（24小时热线电话、email）：电话响应时间要求2小时内，到场响应时间要求24个小时内（指从接到报障至到达故障现场的时间）；email响应时间要求为24小时内。</w:t>
            </w:r>
          </w:p>
        </w:tc>
        <w:tc>
          <w:tcPr>
            <w:tcW w:w="2486" w:type="dxa"/>
            <w:vAlign w:val="center"/>
          </w:tcPr>
          <w:p w14:paraId="204E25DF">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6BEE4E8B">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38C1AA5E">
            <w:pPr>
              <w:widowControl/>
              <w:jc w:val="both"/>
              <w:textAlignment w:val="center"/>
              <w:rPr>
                <w:rFonts w:hint="eastAsia" w:ascii="宋体" w:hAnsi="宋体" w:eastAsia="宋体" w:cs="宋体"/>
                <w:color w:val="000000"/>
                <w:sz w:val="21"/>
                <w:szCs w:val="21"/>
                <w:lang w:eastAsia="zh-CN" w:bidi="ar"/>
              </w:rPr>
            </w:pPr>
          </w:p>
        </w:tc>
      </w:tr>
      <w:tr w14:paraId="5575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50151DD6">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2AC79630">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1A2D3299">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4.4 中标人必须能够随时提供全新备品，一旦设备出现问题必须保证全新备品能在24小时内到现场，48小时内解决相关问题。</w:t>
            </w:r>
          </w:p>
        </w:tc>
        <w:tc>
          <w:tcPr>
            <w:tcW w:w="2486" w:type="dxa"/>
            <w:vAlign w:val="center"/>
          </w:tcPr>
          <w:p w14:paraId="437A6684">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11A5CE0A">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063E2147">
            <w:pPr>
              <w:widowControl/>
              <w:jc w:val="both"/>
              <w:textAlignment w:val="center"/>
              <w:rPr>
                <w:rFonts w:hint="eastAsia" w:ascii="宋体" w:hAnsi="宋体" w:eastAsia="宋体" w:cs="宋体"/>
                <w:color w:val="000000"/>
                <w:sz w:val="21"/>
                <w:szCs w:val="21"/>
                <w:lang w:eastAsia="zh-CN" w:bidi="ar"/>
              </w:rPr>
            </w:pPr>
          </w:p>
        </w:tc>
      </w:tr>
      <w:tr w14:paraId="52C3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70F034FB">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2EF3101D">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244CB20D">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4.5 为保证中标人所提供的医疗设备安全、可靠运行，便于采购人运行维护，中标人必须对采购人培训合格的维护和管理人员。</w:t>
            </w:r>
          </w:p>
        </w:tc>
        <w:tc>
          <w:tcPr>
            <w:tcW w:w="2486" w:type="dxa"/>
            <w:vAlign w:val="center"/>
          </w:tcPr>
          <w:p w14:paraId="248E2834">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7AC68811">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6CB4CC52">
            <w:pPr>
              <w:widowControl/>
              <w:jc w:val="both"/>
              <w:textAlignment w:val="center"/>
              <w:rPr>
                <w:rFonts w:hint="eastAsia" w:ascii="宋体" w:hAnsi="宋体" w:eastAsia="宋体" w:cs="宋体"/>
                <w:color w:val="000000"/>
                <w:sz w:val="21"/>
                <w:szCs w:val="21"/>
                <w:lang w:eastAsia="zh-CN" w:bidi="ar"/>
              </w:rPr>
            </w:pPr>
          </w:p>
        </w:tc>
      </w:tr>
      <w:tr w14:paraId="42FC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43E0FB1C">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692C7612">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449D6041">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4.6 中标人负责对采购人提供至少2次现场技术培训，以便工作人员在培训后能熟练地掌握系统的维护工作，并能及时排除大部分的系统障碍。</w:t>
            </w:r>
          </w:p>
        </w:tc>
        <w:tc>
          <w:tcPr>
            <w:tcW w:w="2486" w:type="dxa"/>
            <w:vAlign w:val="center"/>
          </w:tcPr>
          <w:p w14:paraId="2B1D2145">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04628C9D">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527483A0">
            <w:pPr>
              <w:widowControl/>
              <w:jc w:val="both"/>
              <w:textAlignment w:val="center"/>
              <w:rPr>
                <w:rFonts w:hint="eastAsia" w:ascii="宋体" w:hAnsi="宋体" w:eastAsia="宋体" w:cs="宋体"/>
                <w:color w:val="000000"/>
                <w:sz w:val="21"/>
                <w:szCs w:val="21"/>
                <w:lang w:eastAsia="zh-CN" w:bidi="ar"/>
              </w:rPr>
            </w:pPr>
          </w:p>
        </w:tc>
      </w:tr>
      <w:tr w14:paraId="13F5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6B8C2D4F">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4B36B1A0">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14B95969">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4.7 中标人提供该设备的技术使用说明书及外购配件仪器说明书，并指导在使用该设备时的操作注意。</w:t>
            </w:r>
          </w:p>
        </w:tc>
        <w:tc>
          <w:tcPr>
            <w:tcW w:w="2486" w:type="dxa"/>
            <w:vAlign w:val="center"/>
          </w:tcPr>
          <w:p w14:paraId="2741B4A3">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778A27B3">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642AC564">
            <w:pPr>
              <w:widowControl/>
              <w:jc w:val="both"/>
              <w:textAlignment w:val="center"/>
              <w:rPr>
                <w:rFonts w:hint="eastAsia" w:ascii="宋体" w:hAnsi="宋体" w:eastAsia="宋体" w:cs="宋体"/>
                <w:color w:val="000000"/>
                <w:sz w:val="21"/>
                <w:szCs w:val="21"/>
                <w:lang w:eastAsia="zh-CN" w:bidi="ar"/>
              </w:rPr>
            </w:pPr>
          </w:p>
        </w:tc>
      </w:tr>
      <w:tr w14:paraId="43DE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2677ED12">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431DF968">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11FAF950">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 xml:space="preserve">4.8 </w:t>
            </w:r>
            <w:r>
              <w:rPr>
                <w:rFonts w:hint="eastAsia" w:ascii="宋体" w:hAnsi="宋体" w:eastAsia="宋体" w:cs="宋体"/>
                <w:color w:val="000000"/>
                <w:kern w:val="2"/>
                <w:sz w:val="21"/>
                <w:szCs w:val="21"/>
                <w:lang w:eastAsia="zh-CN"/>
              </w:rPr>
              <w:t>在保修期内，中标人必须保证设备的年正常开机率≥98%，年正常开机率的计算方式为：（365天-停机天数）/365天，每天工作24小时。若未能达到此开机率，将按以下方式处理：</w:t>
            </w:r>
          </w:p>
          <w:p w14:paraId="22B68E64">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（1）年正常开机率在95%～98%之间（含95%，不含98%），延长保修期一年；</w:t>
            </w:r>
          </w:p>
          <w:p w14:paraId="64116AC2">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年正常开机率低于95%（不含95%），中标人必须无条件更换新机，重新计算保修期，并赔偿采购人的直接经济损失和间接经济损失。如果更换新机后依然达不到95%的开机率，则采购人有权单方面取消合约，并对中标方追责。</w:t>
            </w:r>
          </w:p>
          <w:p w14:paraId="223F7356">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注：间接经济损失可按采购人或同等级医院相同或具备同等功能的货物，最近连续6个月的日平均诊疗服务收入作为计算基数，按日自停机之日起计算至中标人提供替代货物投入正常运行之日止。</w:t>
            </w:r>
          </w:p>
        </w:tc>
        <w:tc>
          <w:tcPr>
            <w:tcW w:w="2486" w:type="dxa"/>
            <w:vAlign w:val="center"/>
          </w:tcPr>
          <w:p w14:paraId="26248913">
            <w:pPr>
              <w:widowControl/>
              <w:jc w:val="both"/>
              <w:textAlignment w:val="center"/>
              <w:rPr>
                <w:rFonts w:hint="eastAsia" w:ascii="宋体" w:hAnsi="宋体" w:eastAsia="宋体" w:cs="宋体"/>
                <w:color w:val="000000"/>
                <w:kern w:val="2"/>
                <w:sz w:val="21"/>
                <w:szCs w:val="21"/>
                <w:lang w:eastAsia="zh-CN"/>
              </w:rPr>
            </w:pPr>
          </w:p>
        </w:tc>
        <w:tc>
          <w:tcPr>
            <w:tcW w:w="1350" w:type="dxa"/>
            <w:vAlign w:val="center"/>
          </w:tcPr>
          <w:p w14:paraId="4966C98E">
            <w:pPr>
              <w:widowControl/>
              <w:jc w:val="both"/>
              <w:textAlignment w:val="center"/>
              <w:rPr>
                <w:rFonts w:hint="eastAsia" w:ascii="宋体" w:hAnsi="宋体" w:eastAsia="宋体" w:cs="宋体"/>
                <w:color w:val="000000"/>
                <w:kern w:val="2"/>
                <w:sz w:val="21"/>
                <w:szCs w:val="21"/>
                <w:lang w:eastAsia="zh-CN"/>
              </w:rPr>
            </w:pPr>
          </w:p>
        </w:tc>
        <w:tc>
          <w:tcPr>
            <w:tcW w:w="928" w:type="dxa"/>
            <w:vAlign w:val="center"/>
          </w:tcPr>
          <w:p w14:paraId="53184388">
            <w:pPr>
              <w:widowControl/>
              <w:jc w:val="both"/>
              <w:textAlignment w:val="center"/>
              <w:rPr>
                <w:rFonts w:hint="eastAsia" w:ascii="宋体" w:hAnsi="宋体" w:eastAsia="宋体" w:cs="宋体"/>
                <w:color w:val="000000"/>
                <w:kern w:val="2"/>
                <w:sz w:val="21"/>
                <w:szCs w:val="21"/>
                <w:lang w:eastAsia="zh-CN"/>
              </w:rPr>
            </w:pPr>
          </w:p>
        </w:tc>
      </w:tr>
      <w:tr w14:paraId="4948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1" w:type="dxa"/>
            <w:vMerge w:val="continue"/>
            <w:vAlign w:val="center"/>
          </w:tcPr>
          <w:p w14:paraId="2116EEB8">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08D1A59E">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0F9747B4">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4.9 保修期满后乙方维修只收取零配件的成本费，维修所更换的部配件皆为原厂部配件，免收维修费及差旅费等其他费用。设备配件成本费之和不得超过采购文件的该设备单价。中标人确保该价格不高于市场深圳市同期同类产品零部件零配件平均价格。</w:t>
            </w:r>
          </w:p>
        </w:tc>
        <w:tc>
          <w:tcPr>
            <w:tcW w:w="2486" w:type="dxa"/>
            <w:vAlign w:val="center"/>
          </w:tcPr>
          <w:p w14:paraId="6690C3AF">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40E29236">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7615B1CA">
            <w:pPr>
              <w:widowControl/>
              <w:jc w:val="both"/>
              <w:textAlignment w:val="center"/>
              <w:rPr>
                <w:rFonts w:hint="eastAsia" w:ascii="宋体" w:hAnsi="宋体" w:eastAsia="宋体" w:cs="宋体"/>
                <w:color w:val="000000"/>
                <w:sz w:val="21"/>
                <w:szCs w:val="21"/>
                <w:lang w:eastAsia="zh-CN" w:bidi="ar"/>
              </w:rPr>
            </w:pPr>
          </w:p>
        </w:tc>
      </w:tr>
      <w:tr w14:paraId="3CC4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restart"/>
            <w:vAlign w:val="center"/>
          </w:tcPr>
          <w:p w14:paraId="0C9C21CB">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w:t>
            </w:r>
          </w:p>
        </w:tc>
        <w:tc>
          <w:tcPr>
            <w:tcW w:w="1132" w:type="dxa"/>
            <w:vMerge w:val="restart"/>
            <w:vAlign w:val="center"/>
          </w:tcPr>
          <w:p w14:paraId="3D15E26C">
            <w:pPr>
              <w:widowControl/>
              <w:jc w:val="center"/>
              <w:textAlignment w:val="center"/>
              <w:rPr>
                <w:rFonts w:hint="eastAsia" w:ascii="宋体" w:hAnsi="宋体" w:eastAsia="宋体" w:cs="宋体"/>
                <w:b/>
                <w:bCs/>
                <w:color w:val="FF0000"/>
                <w:kern w:val="2"/>
                <w:sz w:val="21"/>
                <w:szCs w:val="21"/>
                <w:lang w:eastAsia="zh-CN"/>
              </w:rPr>
            </w:pPr>
            <w:r>
              <w:rPr>
                <w:rFonts w:hint="eastAsia" w:ascii="宋体" w:hAnsi="宋体" w:eastAsia="宋体" w:cs="宋体"/>
                <w:b/>
                <w:bCs/>
                <w:sz w:val="21"/>
                <w:szCs w:val="21"/>
                <w:lang w:eastAsia="zh-CN" w:bidi="ar"/>
              </w:rPr>
              <w:t>★关于安装、调试和验收</w:t>
            </w:r>
          </w:p>
        </w:tc>
        <w:tc>
          <w:tcPr>
            <w:tcW w:w="2780" w:type="dxa"/>
            <w:vAlign w:val="center"/>
          </w:tcPr>
          <w:p w14:paraId="06280583">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5.1 中标人技术工程师负责现场的免费安装、调试；如需特殊安装条件的，中标人应当发货前30天内与采购人进行场地安装事宜的确认。</w:t>
            </w:r>
          </w:p>
        </w:tc>
        <w:tc>
          <w:tcPr>
            <w:tcW w:w="2486" w:type="dxa"/>
            <w:vAlign w:val="center"/>
          </w:tcPr>
          <w:p w14:paraId="4199FBDA">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18B08DDC">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057776C8">
            <w:pPr>
              <w:widowControl/>
              <w:jc w:val="both"/>
              <w:textAlignment w:val="center"/>
              <w:rPr>
                <w:rFonts w:hint="eastAsia" w:ascii="宋体" w:hAnsi="宋体" w:eastAsia="宋体" w:cs="宋体"/>
                <w:color w:val="000000"/>
                <w:sz w:val="21"/>
                <w:szCs w:val="21"/>
                <w:lang w:eastAsia="zh-CN" w:bidi="ar"/>
              </w:rPr>
            </w:pPr>
          </w:p>
        </w:tc>
      </w:tr>
      <w:tr w14:paraId="47E0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4262A2D5">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1686038F">
            <w:pPr>
              <w:widowControl/>
              <w:jc w:val="center"/>
              <w:rPr>
                <w:rFonts w:hint="eastAsia" w:ascii="宋体" w:hAnsi="宋体" w:eastAsia="宋体" w:cs="宋体"/>
                <w:b/>
                <w:bCs/>
                <w:color w:val="000000"/>
                <w:kern w:val="2"/>
                <w:sz w:val="21"/>
                <w:szCs w:val="21"/>
                <w:lang w:eastAsia="zh-CN"/>
              </w:rPr>
            </w:pPr>
          </w:p>
        </w:tc>
        <w:tc>
          <w:tcPr>
            <w:tcW w:w="2780" w:type="dxa"/>
            <w:vAlign w:val="center"/>
          </w:tcPr>
          <w:p w14:paraId="456E27AA">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5.2 货物运抵安装现场后，采购人应当与中标人共同开箱；中标人技术工程师负责现场的免费安装、调试；验收结果以采购人的验收报告为最终验收结果，验收时发现短缺、破损, 采购人有权要求中标人立即补发和负责更换。</w:t>
            </w:r>
          </w:p>
        </w:tc>
        <w:tc>
          <w:tcPr>
            <w:tcW w:w="2486" w:type="dxa"/>
            <w:vAlign w:val="center"/>
          </w:tcPr>
          <w:p w14:paraId="62DC87D7">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1D03B86D">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52EBCFD8">
            <w:pPr>
              <w:widowControl/>
              <w:jc w:val="both"/>
              <w:textAlignment w:val="center"/>
              <w:rPr>
                <w:rFonts w:hint="eastAsia" w:ascii="宋体" w:hAnsi="宋体" w:eastAsia="宋体" w:cs="宋体"/>
                <w:color w:val="000000"/>
                <w:sz w:val="21"/>
                <w:szCs w:val="21"/>
                <w:lang w:eastAsia="zh-CN" w:bidi="ar"/>
              </w:rPr>
            </w:pPr>
          </w:p>
        </w:tc>
      </w:tr>
      <w:tr w14:paraId="7F4A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5B032330">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7E1CF986">
            <w:pPr>
              <w:widowControl/>
              <w:jc w:val="center"/>
              <w:rPr>
                <w:rFonts w:hint="eastAsia" w:ascii="宋体" w:hAnsi="宋体" w:eastAsia="宋体" w:cs="宋体"/>
                <w:b/>
                <w:bCs/>
                <w:color w:val="000000"/>
                <w:kern w:val="2"/>
                <w:sz w:val="21"/>
                <w:szCs w:val="21"/>
                <w:lang w:eastAsia="zh-CN"/>
              </w:rPr>
            </w:pPr>
          </w:p>
        </w:tc>
        <w:tc>
          <w:tcPr>
            <w:tcW w:w="2780" w:type="dxa"/>
            <w:vAlign w:val="center"/>
          </w:tcPr>
          <w:p w14:paraId="2D04332D">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5.3 中标人应提出医疗设备测试的内容、项目、指标和方法, 中标人有责任对采购人的技术人员提出的问题作出解答。测试应进行记录, 医疗设备测试结束后, 由中标人技术人员签字后交给采购人验收。</w:t>
            </w:r>
          </w:p>
        </w:tc>
        <w:tc>
          <w:tcPr>
            <w:tcW w:w="2486" w:type="dxa"/>
            <w:vAlign w:val="center"/>
          </w:tcPr>
          <w:p w14:paraId="2BE530DD">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0BAE30C2">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0B5060C6">
            <w:pPr>
              <w:widowControl/>
              <w:jc w:val="both"/>
              <w:textAlignment w:val="center"/>
              <w:rPr>
                <w:rFonts w:hint="eastAsia" w:ascii="宋体" w:hAnsi="宋体" w:eastAsia="宋体" w:cs="宋体"/>
                <w:color w:val="000000"/>
                <w:sz w:val="21"/>
                <w:szCs w:val="21"/>
                <w:lang w:eastAsia="zh-CN" w:bidi="ar"/>
              </w:rPr>
            </w:pPr>
          </w:p>
        </w:tc>
      </w:tr>
      <w:tr w14:paraId="6D6D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3F9936D4">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3D9551F9">
            <w:pPr>
              <w:widowControl/>
              <w:jc w:val="center"/>
              <w:rPr>
                <w:rFonts w:hint="eastAsia" w:ascii="宋体" w:hAnsi="宋体" w:eastAsia="宋体" w:cs="宋体"/>
                <w:b/>
                <w:bCs/>
                <w:color w:val="000000"/>
                <w:kern w:val="2"/>
                <w:sz w:val="21"/>
                <w:szCs w:val="21"/>
                <w:lang w:eastAsia="zh-CN"/>
              </w:rPr>
            </w:pPr>
          </w:p>
        </w:tc>
        <w:tc>
          <w:tcPr>
            <w:tcW w:w="2780" w:type="dxa"/>
            <w:vAlign w:val="center"/>
          </w:tcPr>
          <w:p w14:paraId="45ACB206">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5.4 中标人应提前一周将发货信息提供给采购人。货物到达后，采购人应将到货信息立即通知中标人。中标人应协助采购人于到货后一周（7天）内将设备在安装基础上就位，并做好现场安装调试、验收的各项准备工作，包括必要的试件、刀具及检具等。</w:t>
            </w:r>
          </w:p>
        </w:tc>
        <w:tc>
          <w:tcPr>
            <w:tcW w:w="2486" w:type="dxa"/>
            <w:vAlign w:val="center"/>
          </w:tcPr>
          <w:p w14:paraId="0B42F6C1">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48C43ADE">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6BE1A5FA">
            <w:pPr>
              <w:widowControl/>
              <w:jc w:val="both"/>
              <w:textAlignment w:val="center"/>
              <w:rPr>
                <w:rFonts w:hint="eastAsia" w:ascii="宋体" w:hAnsi="宋体" w:eastAsia="宋体" w:cs="宋体"/>
                <w:color w:val="000000"/>
                <w:sz w:val="21"/>
                <w:szCs w:val="21"/>
                <w:lang w:eastAsia="zh-CN" w:bidi="ar"/>
              </w:rPr>
            </w:pPr>
          </w:p>
        </w:tc>
      </w:tr>
      <w:tr w14:paraId="138F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5C1DCC07">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04E030F2">
            <w:pPr>
              <w:widowControl/>
              <w:jc w:val="center"/>
              <w:rPr>
                <w:rFonts w:hint="eastAsia" w:ascii="宋体" w:hAnsi="宋体" w:eastAsia="宋体" w:cs="宋体"/>
                <w:b/>
                <w:bCs/>
                <w:color w:val="000000"/>
                <w:kern w:val="2"/>
                <w:sz w:val="21"/>
                <w:szCs w:val="21"/>
                <w:lang w:eastAsia="zh-CN"/>
              </w:rPr>
            </w:pPr>
          </w:p>
        </w:tc>
        <w:tc>
          <w:tcPr>
            <w:tcW w:w="2780" w:type="dxa"/>
            <w:vAlign w:val="center"/>
          </w:tcPr>
          <w:p w14:paraId="31ADD7CF">
            <w:pPr>
              <w:widowControl/>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5.5 当同时满足以下条件时，采购人才向中标人签发设备验收报告：</w:t>
            </w:r>
          </w:p>
          <w:p w14:paraId="70AE55E4">
            <w:pPr>
              <w:widowControl/>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a、中标人已按照合同规定提供了全部产品及完整的技术资料。</w:t>
            </w:r>
          </w:p>
          <w:p w14:paraId="539F90AB">
            <w:pPr>
              <w:widowControl/>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b、设备符合</w:t>
            </w:r>
            <w:r>
              <w:rPr>
                <w:rFonts w:hint="eastAsia" w:ascii="宋体" w:hAnsi="宋体" w:eastAsia="宋体" w:cs="宋体"/>
                <w:kern w:val="2"/>
                <w:sz w:val="21"/>
                <w:szCs w:val="21"/>
                <w:lang w:eastAsia="zh-CN"/>
              </w:rPr>
              <w:t>投标人的投标响应情况</w:t>
            </w:r>
            <w:r>
              <w:rPr>
                <w:rFonts w:hint="eastAsia" w:ascii="宋体" w:hAnsi="宋体" w:eastAsia="宋体" w:cs="宋体"/>
                <w:color w:val="000000"/>
                <w:sz w:val="21"/>
                <w:szCs w:val="21"/>
                <w:lang w:eastAsia="zh-CN" w:bidi="ar"/>
              </w:rPr>
              <w:t>，性能满足要求。</w:t>
            </w:r>
          </w:p>
          <w:p w14:paraId="66079D9F">
            <w:pPr>
              <w:widowControl/>
              <w:jc w:val="both"/>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c、设备具备产品合格证。</w:t>
            </w:r>
          </w:p>
          <w:p w14:paraId="572F2AE7">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d、设备安装、调试完成，控评验收通过方可签发验收报告。</w:t>
            </w:r>
          </w:p>
        </w:tc>
        <w:tc>
          <w:tcPr>
            <w:tcW w:w="2486" w:type="dxa"/>
            <w:vAlign w:val="center"/>
          </w:tcPr>
          <w:p w14:paraId="74FA1AA3">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4FD8491E">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399ED2EE">
            <w:pPr>
              <w:widowControl/>
              <w:jc w:val="both"/>
              <w:textAlignment w:val="center"/>
              <w:rPr>
                <w:rFonts w:hint="eastAsia" w:ascii="宋体" w:hAnsi="宋体" w:eastAsia="宋体" w:cs="宋体"/>
                <w:color w:val="000000"/>
                <w:sz w:val="21"/>
                <w:szCs w:val="21"/>
                <w:lang w:eastAsia="zh-CN" w:bidi="ar"/>
              </w:rPr>
            </w:pPr>
          </w:p>
        </w:tc>
      </w:tr>
      <w:tr w14:paraId="1D85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4EFAE61A">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57EBD1E5">
            <w:pPr>
              <w:widowControl/>
              <w:jc w:val="center"/>
              <w:rPr>
                <w:rFonts w:hint="eastAsia" w:ascii="宋体" w:hAnsi="宋体" w:eastAsia="宋体" w:cs="宋体"/>
                <w:b/>
                <w:bCs/>
                <w:color w:val="000000"/>
                <w:kern w:val="2"/>
                <w:sz w:val="21"/>
                <w:szCs w:val="21"/>
                <w:lang w:eastAsia="zh-CN"/>
              </w:rPr>
            </w:pPr>
          </w:p>
        </w:tc>
        <w:tc>
          <w:tcPr>
            <w:tcW w:w="2780" w:type="dxa"/>
            <w:vAlign w:val="center"/>
          </w:tcPr>
          <w:p w14:paraId="32D6AFA7">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5.6 对于采购人不具备验收测试环境的设备和软件等，</w:t>
            </w:r>
            <w:r>
              <w:rPr>
                <w:rFonts w:hint="eastAsia" w:eastAsia="宋体"/>
                <w:kern w:val="2"/>
                <w:sz w:val="21"/>
                <w:szCs w:val="11"/>
                <w:lang w:eastAsia="zh-CN"/>
              </w:rPr>
              <w:t>中标人应在厂家发货前进行验收测试或</w:t>
            </w:r>
            <w:r>
              <w:rPr>
                <w:rFonts w:hint="eastAsia" w:ascii="宋体" w:hAnsi="宋体" w:eastAsia="宋体" w:cs="宋体"/>
                <w:color w:val="000000"/>
                <w:sz w:val="21"/>
                <w:szCs w:val="21"/>
                <w:lang w:eastAsia="zh-CN" w:bidi="ar"/>
              </w:rPr>
              <w:t>提供有资质的第三方测试报告。</w:t>
            </w:r>
          </w:p>
        </w:tc>
        <w:tc>
          <w:tcPr>
            <w:tcW w:w="2486" w:type="dxa"/>
            <w:vAlign w:val="center"/>
          </w:tcPr>
          <w:p w14:paraId="3D15DEA3">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6886B03D">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7D498B39">
            <w:pPr>
              <w:widowControl/>
              <w:jc w:val="both"/>
              <w:textAlignment w:val="center"/>
              <w:rPr>
                <w:rFonts w:hint="eastAsia" w:ascii="宋体" w:hAnsi="宋体" w:eastAsia="宋体" w:cs="宋体"/>
                <w:color w:val="000000"/>
                <w:sz w:val="21"/>
                <w:szCs w:val="21"/>
                <w:lang w:eastAsia="zh-CN" w:bidi="ar"/>
              </w:rPr>
            </w:pPr>
          </w:p>
        </w:tc>
      </w:tr>
      <w:tr w14:paraId="71E7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459D6784">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40009270">
            <w:pPr>
              <w:widowControl/>
              <w:jc w:val="center"/>
              <w:rPr>
                <w:rFonts w:hint="eastAsia" w:ascii="宋体" w:hAnsi="宋体" w:eastAsia="宋体" w:cs="宋体"/>
                <w:b/>
                <w:bCs/>
                <w:color w:val="000000"/>
                <w:kern w:val="2"/>
                <w:sz w:val="21"/>
                <w:szCs w:val="21"/>
                <w:lang w:eastAsia="zh-CN"/>
              </w:rPr>
            </w:pPr>
          </w:p>
        </w:tc>
        <w:tc>
          <w:tcPr>
            <w:tcW w:w="2780" w:type="dxa"/>
            <w:vAlign w:val="center"/>
          </w:tcPr>
          <w:p w14:paraId="45B3A568">
            <w:pPr>
              <w:widowControl/>
              <w:jc w:val="both"/>
              <w:rPr>
                <w:rFonts w:hint="eastAsia" w:ascii="宋体" w:hAnsi="宋体" w:eastAsia="宋体" w:cs="宋体"/>
                <w:sz w:val="21"/>
                <w:szCs w:val="21"/>
                <w:lang w:eastAsia="zh-CN" w:bidi="ar"/>
              </w:rPr>
            </w:pPr>
            <w:r>
              <w:rPr>
                <w:rFonts w:hint="eastAsia" w:ascii="宋体" w:hAnsi="宋体" w:eastAsia="宋体" w:cs="宋体"/>
                <w:kern w:val="2"/>
                <w:sz w:val="21"/>
                <w:szCs w:val="21"/>
                <w:lang w:eastAsia="zh-CN"/>
              </w:rPr>
              <w:t>5.7凡属于国家规定强制检测的设备项目，都必须具备计量质检部门的检测合格证。</w:t>
            </w:r>
          </w:p>
        </w:tc>
        <w:tc>
          <w:tcPr>
            <w:tcW w:w="2486" w:type="dxa"/>
            <w:vAlign w:val="center"/>
          </w:tcPr>
          <w:p w14:paraId="3FE82558">
            <w:pPr>
              <w:widowControl/>
              <w:jc w:val="both"/>
              <w:rPr>
                <w:rFonts w:hint="eastAsia" w:ascii="宋体" w:hAnsi="宋体" w:eastAsia="宋体" w:cs="宋体"/>
                <w:kern w:val="2"/>
                <w:sz w:val="21"/>
                <w:szCs w:val="21"/>
                <w:lang w:eastAsia="zh-CN"/>
              </w:rPr>
            </w:pPr>
          </w:p>
        </w:tc>
        <w:tc>
          <w:tcPr>
            <w:tcW w:w="1350" w:type="dxa"/>
            <w:vAlign w:val="center"/>
          </w:tcPr>
          <w:p w14:paraId="7C25F7F3">
            <w:pPr>
              <w:widowControl/>
              <w:jc w:val="both"/>
              <w:rPr>
                <w:rFonts w:hint="eastAsia" w:ascii="宋体" w:hAnsi="宋体" w:eastAsia="宋体" w:cs="宋体"/>
                <w:kern w:val="2"/>
                <w:sz w:val="21"/>
                <w:szCs w:val="21"/>
                <w:lang w:eastAsia="zh-CN"/>
              </w:rPr>
            </w:pPr>
          </w:p>
        </w:tc>
        <w:tc>
          <w:tcPr>
            <w:tcW w:w="928" w:type="dxa"/>
            <w:vAlign w:val="center"/>
          </w:tcPr>
          <w:p w14:paraId="7CD64130">
            <w:pPr>
              <w:widowControl/>
              <w:jc w:val="both"/>
              <w:rPr>
                <w:rFonts w:hint="eastAsia" w:ascii="宋体" w:hAnsi="宋体" w:eastAsia="宋体" w:cs="宋体"/>
                <w:kern w:val="2"/>
                <w:sz w:val="21"/>
                <w:szCs w:val="21"/>
                <w:lang w:eastAsia="zh-CN"/>
              </w:rPr>
            </w:pPr>
          </w:p>
        </w:tc>
      </w:tr>
      <w:tr w14:paraId="4B2B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4F3E2069">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7D35D5B2">
            <w:pPr>
              <w:widowControl/>
              <w:jc w:val="center"/>
              <w:rPr>
                <w:rFonts w:hint="eastAsia" w:ascii="宋体" w:hAnsi="宋体" w:eastAsia="宋体" w:cs="宋体"/>
                <w:b/>
                <w:bCs/>
                <w:color w:val="000000"/>
                <w:kern w:val="2"/>
                <w:sz w:val="21"/>
                <w:szCs w:val="21"/>
                <w:lang w:eastAsia="zh-CN"/>
              </w:rPr>
            </w:pPr>
          </w:p>
        </w:tc>
        <w:tc>
          <w:tcPr>
            <w:tcW w:w="2780" w:type="dxa"/>
            <w:vAlign w:val="center"/>
          </w:tcPr>
          <w:p w14:paraId="702C5147">
            <w:pPr>
              <w:widowControl/>
              <w:jc w:val="both"/>
              <w:textAlignment w:val="center"/>
              <w:rPr>
                <w:rFonts w:hint="eastAsia" w:ascii="宋体" w:hAnsi="宋体" w:eastAsia="宋体" w:cs="宋体"/>
                <w:sz w:val="21"/>
                <w:szCs w:val="21"/>
                <w:lang w:eastAsia="zh-CN" w:bidi="ar"/>
              </w:rPr>
            </w:pPr>
            <w:r>
              <w:rPr>
                <w:rFonts w:hint="eastAsia" w:ascii="宋体" w:hAnsi="宋体" w:eastAsia="宋体" w:cs="宋体"/>
                <w:kern w:val="2"/>
                <w:sz w:val="21"/>
                <w:szCs w:val="21"/>
                <w:lang w:eastAsia="zh-CN"/>
              </w:rPr>
              <w:t>5.8验收过程中，如采购人拟对货物质量进行实质验收时，有权邀请第三方检测机构对货物进行检测或测试。</w:t>
            </w:r>
          </w:p>
        </w:tc>
        <w:tc>
          <w:tcPr>
            <w:tcW w:w="2486" w:type="dxa"/>
            <w:vAlign w:val="center"/>
          </w:tcPr>
          <w:p w14:paraId="4374083C">
            <w:pPr>
              <w:widowControl/>
              <w:jc w:val="both"/>
              <w:textAlignment w:val="center"/>
              <w:rPr>
                <w:rFonts w:hint="eastAsia" w:ascii="宋体" w:hAnsi="宋体" w:eastAsia="宋体" w:cs="宋体"/>
                <w:kern w:val="2"/>
                <w:sz w:val="21"/>
                <w:szCs w:val="21"/>
                <w:lang w:eastAsia="zh-CN"/>
              </w:rPr>
            </w:pPr>
          </w:p>
        </w:tc>
        <w:tc>
          <w:tcPr>
            <w:tcW w:w="1350" w:type="dxa"/>
            <w:vAlign w:val="center"/>
          </w:tcPr>
          <w:p w14:paraId="6A517450">
            <w:pPr>
              <w:widowControl/>
              <w:jc w:val="both"/>
              <w:textAlignment w:val="center"/>
              <w:rPr>
                <w:rFonts w:hint="eastAsia" w:ascii="宋体" w:hAnsi="宋体" w:eastAsia="宋体" w:cs="宋体"/>
                <w:kern w:val="2"/>
                <w:sz w:val="21"/>
                <w:szCs w:val="21"/>
                <w:lang w:eastAsia="zh-CN"/>
              </w:rPr>
            </w:pPr>
          </w:p>
        </w:tc>
        <w:tc>
          <w:tcPr>
            <w:tcW w:w="928" w:type="dxa"/>
            <w:vAlign w:val="center"/>
          </w:tcPr>
          <w:p w14:paraId="40FBBA45">
            <w:pPr>
              <w:widowControl/>
              <w:jc w:val="both"/>
              <w:textAlignment w:val="center"/>
              <w:rPr>
                <w:rFonts w:hint="eastAsia" w:ascii="宋体" w:hAnsi="宋体" w:eastAsia="宋体" w:cs="宋体"/>
                <w:kern w:val="2"/>
                <w:sz w:val="21"/>
                <w:szCs w:val="21"/>
                <w:lang w:eastAsia="zh-CN"/>
              </w:rPr>
            </w:pPr>
          </w:p>
        </w:tc>
      </w:tr>
      <w:tr w14:paraId="6831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6C55C319">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5BDFB354">
            <w:pPr>
              <w:widowControl/>
              <w:jc w:val="center"/>
              <w:rPr>
                <w:rFonts w:hint="eastAsia" w:ascii="宋体" w:hAnsi="宋体" w:eastAsia="宋体" w:cs="宋体"/>
                <w:b/>
                <w:bCs/>
                <w:color w:val="000000"/>
                <w:kern w:val="2"/>
                <w:sz w:val="21"/>
                <w:szCs w:val="21"/>
                <w:lang w:eastAsia="zh-CN"/>
              </w:rPr>
            </w:pPr>
          </w:p>
        </w:tc>
        <w:tc>
          <w:tcPr>
            <w:tcW w:w="2780" w:type="dxa"/>
            <w:vAlign w:val="center"/>
          </w:tcPr>
          <w:p w14:paraId="67357C2C">
            <w:pPr>
              <w:widowControl/>
              <w:jc w:val="both"/>
              <w:textAlignment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5.9在验收过程中，中标人需出具与设备制造商签订的与原合同条款一致的维保合同或原厂维保承诺函。</w:t>
            </w:r>
          </w:p>
        </w:tc>
        <w:tc>
          <w:tcPr>
            <w:tcW w:w="2486" w:type="dxa"/>
            <w:vAlign w:val="center"/>
          </w:tcPr>
          <w:p w14:paraId="6E4966FD">
            <w:pPr>
              <w:widowControl/>
              <w:jc w:val="both"/>
              <w:textAlignment w:val="center"/>
              <w:rPr>
                <w:rFonts w:hint="eastAsia" w:ascii="宋体" w:hAnsi="宋体" w:eastAsia="宋体" w:cs="宋体"/>
                <w:kern w:val="2"/>
                <w:sz w:val="21"/>
                <w:szCs w:val="21"/>
                <w:lang w:eastAsia="zh-CN"/>
              </w:rPr>
            </w:pPr>
          </w:p>
        </w:tc>
        <w:tc>
          <w:tcPr>
            <w:tcW w:w="1350" w:type="dxa"/>
            <w:vAlign w:val="center"/>
          </w:tcPr>
          <w:p w14:paraId="787802A2">
            <w:pPr>
              <w:widowControl/>
              <w:jc w:val="both"/>
              <w:textAlignment w:val="center"/>
              <w:rPr>
                <w:rFonts w:hint="eastAsia" w:ascii="宋体" w:hAnsi="宋体" w:eastAsia="宋体" w:cs="宋体"/>
                <w:kern w:val="2"/>
                <w:sz w:val="21"/>
                <w:szCs w:val="21"/>
                <w:lang w:eastAsia="zh-CN"/>
              </w:rPr>
            </w:pPr>
          </w:p>
        </w:tc>
        <w:tc>
          <w:tcPr>
            <w:tcW w:w="928" w:type="dxa"/>
            <w:vAlign w:val="center"/>
          </w:tcPr>
          <w:p w14:paraId="0EA7311F">
            <w:pPr>
              <w:widowControl/>
              <w:jc w:val="both"/>
              <w:textAlignment w:val="center"/>
              <w:rPr>
                <w:rFonts w:hint="eastAsia" w:ascii="宋体" w:hAnsi="宋体" w:eastAsia="宋体" w:cs="宋体"/>
                <w:kern w:val="2"/>
                <w:sz w:val="21"/>
                <w:szCs w:val="21"/>
                <w:lang w:eastAsia="zh-CN"/>
              </w:rPr>
            </w:pPr>
          </w:p>
        </w:tc>
      </w:tr>
      <w:tr w14:paraId="3C81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Align w:val="center"/>
          </w:tcPr>
          <w:p w14:paraId="1765961B">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w:t>
            </w:r>
          </w:p>
        </w:tc>
        <w:tc>
          <w:tcPr>
            <w:tcW w:w="1132" w:type="dxa"/>
            <w:vAlign w:val="center"/>
          </w:tcPr>
          <w:p w14:paraId="262FAFB3">
            <w:pPr>
              <w:widowControl/>
              <w:jc w:val="center"/>
              <w:textAlignment w:val="center"/>
              <w:rPr>
                <w:rFonts w:hint="eastAsia" w:ascii="宋体" w:hAnsi="宋体" w:eastAsia="宋体" w:cs="宋体"/>
                <w:b/>
                <w:bCs/>
                <w:kern w:val="2"/>
                <w:sz w:val="21"/>
                <w:szCs w:val="21"/>
                <w:lang w:eastAsia="zh-CN"/>
              </w:rPr>
            </w:pPr>
            <w:r>
              <w:rPr>
                <w:rFonts w:hint="eastAsia" w:ascii="宋体" w:hAnsi="宋体" w:eastAsia="宋体" w:cs="宋体"/>
                <w:b/>
                <w:bCs/>
                <w:sz w:val="21"/>
                <w:szCs w:val="21"/>
                <w:lang w:eastAsia="zh-CN" w:bidi="ar"/>
              </w:rPr>
              <w:t>★关于运输及包装方式</w:t>
            </w:r>
          </w:p>
        </w:tc>
        <w:tc>
          <w:tcPr>
            <w:tcW w:w="2780" w:type="dxa"/>
            <w:vAlign w:val="center"/>
          </w:tcPr>
          <w:p w14:paraId="191C294D">
            <w:pPr>
              <w:widowControl/>
              <w:jc w:val="both"/>
              <w:textAlignment w:val="center"/>
              <w:rPr>
                <w:rFonts w:hint="eastAsia" w:ascii="宋体" w:hAnsi="宋体" w:eastAsia="宋体" w:cs="宋体"/>
                <w:kern w:val="2"/>
                <w:sz w:val="21"/>
                <w:szCs w:val="21"/>
                <w:lang w:eastAsia="zh-CN"/>
              </w:rPr>
            </w:pPr>
            <w:r>
              <w:rPr>
                <w:rFonts w:hint="eastAsia" w:ascii="宋体" w:hAnsi="宋体" w:eastAsia="宋体" w:cs="宋体"/>
                <w:sz w:val="21"/>
                <w:szCs w:val="21"/>
                <w:lang w:eastAsia="zh-CN" w:bidi="ar"/>
              </w:rPr>
              <w:t>6.1货物到达采购人指定地点前的包装、运输等均由中标人负责。针对特殊设备应使用崭新坚固的木质包装（标准包装，必要时为木质烟熏包装），适合于空运、或陆运等长途运输方式；适合气候变化；中标人应对任何由于不当包装或防护措施不利而导致的商品损坏、损失、费用增长等后果负责。</w:t>
            </w:r>
          </w:p>
        </w:tc>
        <w:tc>
          <w:tcPr>
            <w:tcW w:w="2486" w:type="dxa"/>
            <w:vAlign w:val="center"/>
          </w:tcPr>
          <w:p w14:paraId="56FE0214">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46BA443D">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14D21BF2">
            <w:pPr>
              <w:widowControl/>
              <w:jc w:val="both"/>
              <w:textAlignment w:val="center"/>
              <w:rPr>
                <w:rFonts w:hint="eastAsia" w:ascii="宋体" w:hAnsi="宋体" w:eastAsia="宋体" w:cs="宋体"/>
                <w:color w:val="000000"/>
                <w:sz w:val="21"/>
                <w:szCs w:val="21"/>
                <w:lang w:eastAsia="zh-CN" w:bidi="ar"/>
              </w:rPr>
            </w:pPr>
          </w:p>
        </w:tc>
      </w:tr>
      <w:tr w14:paraId="7C79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11" w:type="dxa"/>
            <w:vMerge w:val="restart"/>
            <w:vAlign w:val="center"/>
          </w:tcPr>
          <w:p w14:paraId="6B3957DC">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w:t>
            </w:r>
          </w:p>
        </w:tc>
        <w:tc>
          <w:tcPr>
            <w:tcW w:w="1132" w:type="dxa"/>
            <w:vMerge w:val="restart"/>
            <w:vAlign w:val="center"/>
          </w:tcPr>
          <w:p w14:paraId="585506FA">
            <w:pPr>
              <w:widowControl/>
              <w:jc w:val="center"/>
              <w:textAlignment w:val="center"/>
              <w:rPr>
                <w:rFonts w:hint="eastAsia" w:ascii="宋体" w:hAnsi="宋体" w:eastAsia="宋体" w:cs="宋体"/>
                <w:b/>
                <w:bCs/>
                <w:kern w:val="2"/>
                <w:sz w:val="21"/>
                <w:szCs w:val="21"/>
                <w:lang w:eastAsia="zh-CN"/>
              </w:rPr>
            </w:pPr>
            <w:r>
              <w:rPr>
                <w:rFonts w:hint="eastAsia" w:ascii="宋体" w:hAnsi="宋体" w:eastAsia="宋体" w:cs="宋体"/>
                <w:b/>
                <w:bCs/>
                <w:sz w:val="21"/>
                <w:szCs w:val="21"/>
                <w:lang w:eastAsia="zh-CN" w:bidi="ar"/>
              </w:rPr>
              <w:t>★关于违约责任要求</w:t>
            </w:r>
          </w:p>
        </w:tc>
        <w:tc>
          <w:tcPr>
            <w:tcW w:w="2780" w:type="dxa"/>
            <w:vAlign w:val="center"/>
          </w:tcPr>
          <w:p w14:paraId="7E17348D">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7.1 由于中标人的原因未能按时供货的，每迟一天支付合同总额的0.05%违约金，累计不超过20%。如超过供货期30天，采购人有权视情况终止采购合同并通过法律程序对供应商进行索赔。</w:t>
            </w:r>
          </w:p>
        </w:tc>
        <w:tc>
          <w:tcPr>
            <w:tcW w:w="2486" w:type="dxa"/>
            <w:vAlign w:val="center"/>
          </w:tcPr>
          <w:p w14:paraId="240DC1F5">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76DEC054">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58E064C2">
            <w:pPr>
              <w:widowControl/>
              <w:jc w:val="both"/>
              <w:textAlignment w:val="center"/>
              <w:rPr>
                <w:rFonts w:hint="eastAsia" w:ascii="宋体" w:hAnsi="宋体" w:eastAsia="宋体" w:cs="宋体"/>
                <w:color w:val="000000"/>
                <w:sz w:val="21"/>
                <w:szCs w:val="21"/>
                <w:lang w:eastAsia="zh-CN" w:bidi="ar"/>
              </w:rPr>
            </w:pPr>
          </w:p>
        </w:tc>
      </w:tr>
      <w:tr w14:paraId="4425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6EA26709">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696A314B">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65E68382">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7.2 中标人所提供的服务及所交付的产品品种、型号、规格、质量不符合同规定标准的，采购人有权拒绝收货且无需承担任何责任，同时采购人有权要求中标人限期重新供货或解除采购合同，由此造成的一切损失由中标人承担。</w:t>
            </w:r>
          </w:p>
        </w:tc>
        <w:tc>
          <w:tcPr>
            <w:tcW w:w="2486" w:type="dxa"/>
            <w:vAlign w:val="center"/>
          </w:tcPr>
          <w:p w14:paraId="41E9E52D">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32B7C3AC">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62818A5C">
            <w:pPr>
              <w:widowControl/>
              <w:jc w:val="both"/>
              <w:textAlignment w:val="center"/>
              <w:rPr>
                <w:rFonts w:hint="eastAsia" w:ascii="宋体" w:hAnsi="宋体" w:eastAsia="宋体" w:cs="宋体"/>
                <w:color w:val="000000"/>
                <w:sz w:val="21"/>
                <w:szCs w:val="21"/>
                <w:lang w:eastAsia="zh-CN" w:bidi="ar"/>
              </w:rPr>
            </w:pPr>
          </w:p>
        </w:tc>
      </w:tr>
      <w:tr w14:paraId="35BB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78DF2923">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4E4B4156">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4E0EBEF1">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7.3 保修期内，设备（包括配件、附件、软件）发生故障，中标人没有按售后要求完成维保工作的，每超过一天应向采购人支付合同价款总额0.05%的违约金；若中标人逾期15日未完成维保时，采购人有权另寻第三方解决，由此产生的费用由中标人承担；同时，采购人有权要求中标人支付合同价款总额30%的违约金。违约金不足以弥补采购人损失的，中标人还需继续承担赔偿责任。</w:t>
            </w:r>
          </w:p>
        </w:tc>
        <w:tc>
          <w:tcPr>
            <w:tcW w:w="2486" w:type="dxa"/>
            <w:vAlign w:val="center"/>
          </w:tcPr>
          <w:p w14:paraId="4E9BA689">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2DE06783">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7C185529">
            <w:pPr>
              <w:widowControl/>
              <w:jc w:val="both"/>
              <w:textAlignment w:val="center"/>
              <w:rPr>
                <w:rFonts w:hint="eastAsia" w:ascii="宋体" w:hAnsi="宋体" w:eastAsia="宋体" w:cs="宋体"/>
                <w:color w:val="000000"/>
                <w:sz w:val="21"/>
                <w:szCs w:val="21"/>
                <w:lang w:eastAsia="zh-CN" w:bidi="ar"/>
              </w:rPr>
            </w:pPr>
          </w:p>
        </w:tc>
      </w:tr>
      <w:tr w14:paraId="2E04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09982DF0">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0A4501C3">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464DCAB1">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7.4 采购人有权对中标人就本项目要求提供的相关证明资料（原件）进行审查。中标人提供虚假资料被查实的，则可能面临被取消本项目中标资格、列入不良行为记录名单和三年内禁止参与政府采购活动的风险，另外，中标人应当向采购人赔偿合同总金额30%的违约金。违约金不足以弥补采购人损失的，中标人应当继续赔偿。由此造成的一切损失由中标人承担。</w:t>
            </w:r>
          </w:p>
        </w:tc>
        <w:tc>
          <w:tcPr>
            <w:tcW w:w="2486" w:type="dxa"/>
            <w:vAlign w:val="center"/>
          </w:tcPr>
          <w:p w14:paraId="4434B504">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5C04A8AA">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1441CDBA">
            <w:pPr>
              <w:widowControl/>
              <w:jc w:val="both"/>
              <w:textAlignment w:val="center"/>
              <w:rPr>
                <w:rFonts w:hint="eastAsia" w:ascii="宋体" w:hAnsi="宋体" w:eastAsia="宋体" w:cs="宋体"/>
                <w:color w:val="000000"/>
                <w:sz w:val="21"/>
                <w:szCs w:val="21"/>
                <w:lang w:eastAsia="zh-CN" w:bidi="ar"/>
              </w:rPr>
            </w:pPr>
          </w:p>
        </w:tc>
      </w:tr>
      <w:tr w14:paraId="04F1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5A52C484">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4148B9AE">
            <w:pPr>
              <w:widowControl/>
              <w:jc w:val="center"/>
              <w:rPr>
                <w:rFonts w:hint="eastAsia" w:ascii="宋体" w:hAnsi="宋体" w:eastAsia="宋体" w:cs="宋体"/>
                <w:b/>
                <w:bCs/>
                <w:color w:val="FF0000"/>
                <w:kern w:val="2"/>
                <w:sz w:val="21"/>
                <w:szCs w:val="21"/>
                <w:lang w:eastAsia="zh-CN"/>
              </w:rPr>
            </w:pPr>
          </w:p>
        </w:tc>
        <w:tc>
          <w:tcPr>
            <w:tcW w:w="2780" w:type="dxa"/>
            <w:vAlign w:val="center"/>
          </w:tcPr>
          <w:p w14:paraId="77D58C0F">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7.5 其他由违法导致违约的行为按相关法律法规执行。</w:t>
            </w:r>
          </w:p>
        </w:tc>
        <w:tc>
          <w:tcPr>
            <w:tcW w:w="2486" w:type="dxa"/>
            <w:vAlign w:val="center"/>
          </w:tcPr>
          <w:p w14:paraId="242DE75A">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05FC96A0">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39402CCB">
            <w:pPr>
              <w:widowControl/>
              <w:jc w:val="both"/>
              <w:textAlignment w:val="center"/>
              <w:rPr>
                <w:rFonts w:hint="eastAsia" w:ascii="宋体" w:hAnsi="宋体" w:eastAsia="宋体" w:cs="宋体"/>
                <w:color w:val="000000"/>
                <w:sz w:val="21"/>
                <w:szCs w:val="21"/>
                <w:lang w:eastAsia="zh-CN" w:bidi="ar"/>
              </w:rPr>
            </w:pPr>
          </w:p>
        </w:tc>
      </w:tr>
      <w:tr w14:paraId="20D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restart"/>
            <w:vAlign w:val="center"/>
          </w:tcPr>
          <w:p w14:paraId="30730A0C">
            <w:pPr>
              <w:widowControl/>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w:t>
            </w:r>
          </w:p>
        </w:tc>
        <w:tc>
          <w:tcPr>
            <w:tcW w:w="1132" w:type="dxa"/>
            <w:vMerge w:val="restart"/>
            <w:vAlign w:val="center"/>
          </w:tcPr>
          <w:p w14:paraId="3D9E29BB">
            <w:pPr>
              <w:widowControl/>
              <w:jc w:val="center"/>
              <w:textAlignment w:val="center"/>
              <w:rPr>
                <w:rFonts w:hint="eastAsia" w:ascii="宋体" w:hAnsi="宋体" w:eastAsia="宋体" w:cs="宋体"/>
                <w:b/>
                <w:bCs/>
                <w:color w:val="FF0000"/>
                <w:kern w:val="2"/>
                <w:sz w:val="21"/>
                <w:szCs w:val="21"/>
                <w:lang w:eastAsia="zh-CN"/>
              </w:rPr>
            </w:pPr>
            <w:r>
              <w:rPr>
                <w:rFonts w:hint="eastAsia" w:ascii="宋体" w:hAnsi="宋体" w:eastAsia="宋体" w:cs="宋体"/>
                <w:b/>
                <w:bCs/>
                <w:sz w:val="21"/>
                <w:szCs w:val="21"/>
                <w:lang w:eastAsia="zh-CN" w:bidi="ar"/>
              </w:rPr>
              <w:t>★关于质量及知识产权要求</w:t>
            </w:r>
          </w:p>
        </w:tc>
        <w:tc>
          <w:tcPr>
            <w:tcW w:w="2780" w:type="dxa"/>
            <w:vAlign w:val="center"/>
          </w:tcPr>
          <w:p w14:paraId="3E6D30F4">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8.1 中标人提供完好、全新的原包装产品（包括零配件），随机技术资料齐全。产品符合国家质量检测标准，必须具有生产日期、厂名、厂址、产品合格证等。</w:t>
            </w:r>
          </w:p>
        </w:tc>
        <w:tc>
          <w:tcPr>
            <w:tcW w:w="2486" w:type="dxa"/>
            <w:vAlign w:val="center"/>
          </w:tcPr>
          <w:p w14:paraId="577A6C5A">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15535D30">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34054518">
            <w:pPr>
              <w:widowControl/>
              <w:jc w:val="both"/>
              <w:textAlignment w:val="center"/>
              <w:rPr>
                <w:rFonts w:hint="eastAsia" w:ascii="宋体" w:hAnsi="宋体" w:eastAsia="宋体" w:cs="宋体"/>
                <w:color w:val="000000"/>
                <w:sz w:val="21"/>
                <w:szCs w:val="21"/>
                <w:lang w:eastAsia="zh-CN" w:bidi="ar"/>
              </w:rPr>
            </w:pPr>
          </w:p>
        </w:tc>
      </w:tr>
      <w:tr w14:paraId="2A30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5BB536A0">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4A78AFB9">
            <w:pPr>
              <w:widowControl/>
              <w:jc w:val="center"/>
              <w:rPr>
                <w:rFonts w:hint="eastAsia" w:ascii="宋体" w:hAnsi="宋体" w:eastAsia="宋体" w:cs="宋体"/>
                <w:b/>
                <w:bCs/>
                <w:color w:val="000000"/>
                <w:kern w:val="2"/>
                <w:sz w:val="21"/>
                <w:szCs w:val="21"/>
                <w:lang w:eastAsia="zh-CN"/>
              </w:rPr>
            </w:pPr>
          </w:p>
        </w:tc>
        <w:tc>
          <w:tcPr>
            <w:tcW w:w="2780" w:type="dxa"/>
            <w:vAlign w:val="center"/>
          </w:tcPr>
          <w:p w14:paraId="69148680">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8.2 中标人应当保证其交付给采购人的货物或服务不侵犯任何第三人的合法权益。如发生第三人指控采购人实施的技术侵权的，中标人应当承担全部责任。采购人在使用该货物或服务的任何一部分时，免受第三方提出的侵犯其专利权、商标权或工业设计权等知识产权的起诉或司法干预。如果发生上述起诉或干预，则其法律责任均由中标人负责。</w:t>
            </w:r>
          </w:p>
        </w:tc>
        <w:tc>
          <w:tcPr>
            <w:tcW w:w="2486" w:type="dxa"/>
            <w:vAlign w:val="center"/>
          </w:tcPr>
          <w:p w14:paraId="06E2265E">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6EFB2C5B">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24F103A5">
            <w:pPr>
              <w:widowControl/>
              <w:jc w:val="both"/>
              <w:textAlignment w:val="center"/>
              <w:rPr>
                <w:rFonts w:hint="eastAsia" w:ascii="宋体" w:hAnsi="宋体" w:eastAsia="宋体" w:cs="宋体"/>
                <w:color w:val="000000"/>
                <w:sz w:val="21"/>
                <w:szCs w:val="21"/>
                <w:lang w:eastAsia="zh-CN" w:bidi="ar"/>
              </w:rPr>
            </w:pPr>
          </w:p>
        </w:tc>
      </w:tr>
      <w:tr w14:paraId="0E51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11" w:type="dxa"/>
            <w:vMerge w:val="continue"/>
            <w:vAlign w:val="center"/>
          </w:tcPr>
          <w:p w14:paraId="02FD00C8">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36BBF97B">
            <w:pPr>
              <w:widowControl/>
              <w:jc w:val="center"/>
              <w:rPr>
                <w:rFonts w:hint="eastAsia" w:ascii="宋体" w:hAnsi="宋体" w:eastAsia="宋体" w:cs="宋体"/>
                <w:b/>
                <w:bCs/>
                <w:color w:val="000000"/>
                <w:kern w:val="2"/>
                <w:sz w:val="21"/>
                <w:szCs w:val="21"/>
                <w:lang w:eastAsia="zh-CN"/>
              </w:rPr>
            </w:pPr>
          </w:p>
        </w:tc>
        <w:tc>
          <w:tcPr>
            <w:tcW w:w="2780" w:type="dxa"/>
            <w:vAlign w:val="center"/>
          </w:tcPr>
          <w:p w14:paraId="39D0EDEA">
            <w:pPr>
              <w:widowControl w:val="0"/>
              <w:autoSpaceDE w:val="0"/>
              <w:autoSpaceDN w:val="0"/>
              <w:adjustRightInd w:val="0"/>
              <w:jc w:val="left"/>
              <w:textAlignment w:val="baseline"/>
              <w:rPr>
                <w:rFonts w:ascii="宋体" w:eastAsia="宋体"/>
                <w:sz w:val="34"/>
                <w:szCs w:val="20"/>
                <w:lang w:eastAsia="zh-CN"/>
              </w:rPr>
            </w:pPr>
            <w:r>
              <w:rPr>
                <w:rFonts w:hint="eastAsia" w:ascii="宋体" w:hAnsi="宋体" w:eastAsia="宋体" w:cs="宋体"/>
                <w:color w:val="000000"/>
                <w:sz w:val="21"/>
                <w:szCs w:val="21"/>
                <w:lang w:eastAsia="zh-CN" w:bidi="ar"/>
              </w:rPr>
              <w:t>8.3 定制开发的货物或服务，所产生的研究开发成果及其相关知识产权权利归属采购人，采购人享有知识产权，知识产权取得后的使用和有关利益分配归采购人所有。</w:t>
            </w:r>
            <w:r>
              <w:rPr>
                <w:rFonts w:hint="eastAsia" w:ascii="宋体" w:hAnsi="宋体" w:eastAsia="宋体" w:cs="宋体"/>
                <w:sz w:val="21"/>
                <w:szCs w:val="21"/>
                <w:lang w:eastAsia="zh-CN"/>
              </w:rPr>
              <w:t>若因为知识产权纠纷造成的一切损害赔偿及损失由投标人承担，包括但不限于实际损失、预期损失和对方要求赔偿损失及支出的律师费、交通费和差旅费等。</w:t>
            </w:r>
          </w:p>
        </w:tc>
        <w:tc>
          <w:tcPr>
            <w:tcW w:w="2486" w:type="dxa"/>
            <w:vAlign w:val="center"/>
          </w:tcPr>
          <w:p w14:paraId="0A090AE1">
            <w:pPr>
              <w:widowControl w:val="0"/>
              <w:autoSpaceDE w:val="0"/>
              <w:autoSpaceDN w:val="0"/>
              <w:adjustRightInd w:val="0"/>
              <w:jc w:val="left"/>
              <w:textAlignment w:val="baseline"/>
              <w:rPr>
                <w:rFonts w:hint="eastAsia" w:ascii="宋体" w:hAnsi="宋体" w:eastAsia="宋体" w:cs="宋体"/>
                <w:color w:val="000000"/>
                <w:sz w:val="21"/>
                <w:szCs w:val="21"/>
                <w:lang w:eastAsia="zh-CN" w:bidi="ar"/>
              </w:rPr>
            </w:pPr>
          </w:p>
        </w:tc>
        <w:tc>
          <w:tcPr>
            <w:tcW w:w="1350" w:type="dxa"/>
            <w:vAlign w:val="center"/>
          </w:tcPr>
          <w:p w14:paraId="54AE2F89">
            <w:pPr>
              <w:widowControl w:val="0"/>
              <w:autoSpaceDE w:val="0"/>
              <w:autoSpaceDN w:val="0"/>
              <w:adjustRightInd w:val="0"/>
              <w:jc w:val="left"/>
              <w:textAlignment w:val="baseline"/>
              <w:rPr>
                <w:rFonts w:hint="eastAsia" w:ascii="宋体" w:hAnsi="宋体" w:eastAsia="宋体" w:cs="宋体"/>
                <w:color w:val="000000"/>
                <w:sz w:val="21"/>
                <w:szCs w:val="21"/>
                <w:lang w:eastAsia="zh-CN" w:bidi="ar"/>
              </w:rPr>
            </w:pPr>
          </w:p>
        </w:tc>
        <w:tc>
          <w:tcPr>
            <w:tcW w:w="928" w:type="dxa"/>
            <w:vAlign w:val="center"/>
          </w:tcPr>
          <w:p w14:paraId="70920978">
            <w:pPr>
              <w:widowControl w:val="0"/>
              <w:autoSpaceDE w:val="0"/>
              <w:autoSpaceDN w:val="0"/>
              <w:adjustRightInd w:val="0"/>
              <w:jc w:val="left"/>
              <w:textAlignment w:val="baseline"/>
              <w:rPr>
                <w:rFonts w:hint="eastAsia" w:ascii="宋体" w:hAnsi="宋体" w:eastAsia="宋体" w:cs="宋体"/>
                <w:color w:val="000000"/>
                <w:sz w:val="21"/>
                <w:szCs w:val="21"/>
                <w:lang w:eastAsia="zh-CN" w:bidi="ar"/>
              </w:rPr>
            </w:pPr>
          </w:p>
        </w:tc>
      </w:tr>
      <w:tr w14:paraId="46D7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30B4C33D">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3EC81F92">
            <w:pPr>
              <w:widowControl/>
              <w:jc w:val="center"/>
              <w:rPr>
                <w:rFonts w:hint="eastAsia" w:ascii="宋体" w:hAnsi="宋体" w:eastAsia="宋体" w:cs="宋体"/>
                <w:b/>
                <w:bCs/>
                <w:color w:val="000000"/>
                <w:kern w:val="2"/>
                <w:sz w:val="21"/>
                <w:szCs w:val="21"/>
                <w:lang w:eastAsia="zh-CN"/>
              </w:rPr>
            </w:pPr>
          </w:p>
        </w:tc>
        <w:tc>
          <w:tcPr>
            <w:tcW w:w="2780" w:type="dxa"/>
            <w:vAlign w:val="center"/>
          </w:tcPr>
          <w:p w14:paraId="10201825">
            <w:pPr>
              <w:widowControl/>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8.4 中标人保证所提供的货物或服务为中标人通过合法来源依法取得，如应采购人要求，中标人有义务向采购人提供相关证明材料。</w:t>
            </w:r>
          </w:p>
        </w:tc>
        <w:tc>
          <w:tcPr>
            <w:tcW w:w="2486" w:type="dxa"/>
            <w:vAlign w:val="center"/>
          </w:tcPr>
          <w:p w14:paraId="53E940B9">
            <w:pPr>
              <w:widowControl/>
              <w:jc w:val="both"/>
              <w:textAlignment w:val="center"/>
              <w:rPr>
                <w:rFonts w:hint="eastAsia" w:ascii="宋体" w:hAnsi="宋体" w:eastAsia="宋体" w:cs="宋体"/>
                <w:color w:val="000000"/>
                <w:sz w:val="21"/>
                <w:szCs w:val="21"/>
                <w:lang w:eastAsia="zh-CN" w:bidi="ar"/>
              </w:rPr>
            </w:pPr>
          </w:p>
        </w:tc>
        <w:tc>
          <w:tcPr>
            <w:tcW w:w="1350" w:type="dxa"/>
            <w:vAlign w:val="center"/>
          </w:tcPr>
          <w:p w14:paraId="7044207C">
            <w:pPr>
              <w:widowControl/>
              <w:jc w:val="both"/>
              <w:textAlignment w:val="center"/>
              <w:rPr>
                <w:rFonts w:hint="eastAsia" w:ascii="宋体" w:hAnsi="宋体" w:eastAsia="宋体" w:cs="宋体"/>
                <w:color w:val="000000"/>
                <w:sz w:val="21"/>
                <w:szCs w:val="21"/>
                <w:lang w:eastAsia="zh-CN" w:bidi="ar"/>
              </w:rPr>
            </w:pPr>
          </w:p>
        </w:tc>
        <w:tc>
          <w:tcPr>
            <w:tcW w:w="928" w:type="dxa"/>
            <w:vAlign w:val="center"/>
          </w:tcPr>
          <w:p w14:paraId="46BD8E17">
            <w:pPr>
              <w:widowControl/>
              <w:jc w:val="both"/>
              <w:textAlignment w:val="center"/>
              <w:rPr>
                <w:rFonts w:hint="eastAsia" w:ascii="宋体" w:hAnsi="宋体" w:eastAsia="宋体" w:cs="宋体"/>
                <w:color w:val="000000"/>
                <w:sz w:val="21"/>
                <w:szCs w:val="21"/>
                <w:lang w:eastAsia="zh-CN" w:bidi="ar"/>
              </w:rPr>
            </w:pPr>
          </w:p>
        </w:tc>
      </w:tr>
      <w:tr w14:paraId="5171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Align w:val="center"/>
          </w:tcPr>
          <w:p w14:paraId="67463539">
            <w:pPr>
              <w:widowControl/>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9</w:t>
            </w:r>
          </w:p>
        </w:tc>
        <w:tc>
          <w:tcPr>
            <w:tcW w:w="1132" w:type="dxa"/>
            <w:vAlign w:val="center"/>
          </w:tcPr>
          <w:p w14:paraId="65C260DA">
            <w:pPr>
              <w:widowControl w:val="0"/>
              <w:jc w:val="center"/>
              <w:rPr>
                <w:rFonts w:hint="eastAsia" w:ascii="宋体" w:hAnsi="宋体" w:eastAsia="宋体" w:cs="宋体"/>
                <w:bCs/>
                <w:kern w:val="2"/>
                <w:sz w:val="21"/>
                <w:szCs w:val="21"/>
                <w:lang w:eastAsia="zh-CN"/>
              </w:rPr>
            </w:pPr>
            <w:r>
              <w:rPr>
                <w:rFonts w:hint="eastAsia" w:ascii="宋体" w:hAnsi="宋体" w:eastAsia="宋体" w:cs="宋体"/>
                <w:b/>
                <w:kern w:val="2"/>
                <w:sz w:val="21"/>
                <w:szCs w:val="21"/>
                <w:lang w:eastAsia="zh-CN"/>
              </w:rPr>
              <w:t>★项目（产品）要求</w:t>
            </w:r>
          </w:p>
        </w:tc>
        <w:tc>
          <w:tcPr>
            <w:tcW w:w="2780" w:type="dxa"/>
          </w:tcPr>
          <w:p w14:paraId="1B1C1CF1">
            <w:pPr>
              <w:widowControl w:val="0"/>
              <w:jc w:val="both"/>
              <w:rPr>
                <w:rFonts w:hint="eastAsia" w:ascii="宋体" w:hAnsi="宋体" w:eastAsia="宋体" w:cs="宋体"/>
                <w:bCs/>
                <w:sz w:val="21"/>
                <w:szCs w:val="21"/>
                <w:lang w:eastAsia="zh-CN" w:bidi="ar"/>
              </w:rPr>
            </w:pPr>
            <w:r>
              <w:rPr>
                <w:rFonts w:hint="eastAsia" w:ascii="宋体" w:hAnsi="宋体" w:eastAsia="宋体" w:cs="宋体"/>
                <w:b/>
                <w:color w:val="FF0000"/>
                <w:kern w:val="2"/>
                <w:sz w:val="21"/>
                <w:szCs w:val="21"/>
                <w:lang w:eastAsia="zh-CN"/>
              </w:rPr>
              <w:t>9.1投标人所投产品（称重轮椅除外）具备相关主管部门要求的认证资料：所投产品（护理病床、诊疗床、儿科病床、轮椅、转运车、可折叠助行器）为第一类医疗器械的，提供监督管理部门签发的有效的《医疗器械备案凭证》扫描件；所投产品（气垫床垫、静态防压疮床垫）为第二、三类医疗器械的，提供监督管理部门签发的涵盖所投产品的《医疗器械注册证》(有效期内)扫描件。</w:t>
            </w:r>
          </w:p>
        </w:tc>
        <w:tc>
          <w:tcPr>
            <w:tcW w:w="2486" w:type="dxa"/>
          </w:tcPr>
          <w:p w14:paraId="7FA811B9">
            <w:pPr>
              <w:widowControl w:val="0"/>
              <w:jc w:val="both"/>
              <w:rPr>
                <w:rFonts w:hint="eastAsia" w:ascii="宋体" w:hAnsi="宋体" w:eastAsia="宋体" w:cs="宋体"/>
                <w:b/>
                <w:color w:val="FF0000"/>
                <w:kern w:val="2"/>
                <w:sz w:val="21"/>
                <w:szCs w:val="21"/>
                <w:lang w:eastAsia="zh-CN"/>
              </w:rPr>
            </w:pPr>
          </w:p>
        </w:tc>
        <w:tc>
          <w:tcPr>
            <w:tcW w:w="1350" w:type="dxa"/>
          </w:tcPr>
          <w:p w14:paraId="397EC6AE">
            <w:pPr>
              <w:widowControl w:val="0"/>
              <w:jc w:val="both"/>
              <w:rPr>
                <w:rFonts w:hint="eastAsia" w:ascii="宋体" w:hAnsi="宋体" w:eastAsia="宋体" w:cs="宋体"/>
                <w:b/>
                <w:color w:val="FF0000"/>
                <w:kern w:val="2"/>
                <w:sz w:val="21"/>
                <w:szCs w:val="21"/>
                <w:lang w:eastAsia="zh-CN"/>
              </w:rPr>
            </w:pPr>
          </w:p>
        </w:tc>
        <w:tc>
          <w:tcPr>
            <w:tcW w:w="928" w:type="dxa"/>
          </w:tcPr>
          <w:p w14:paraId="74C77E35">
            <w:pPr>
              <w:widowControl w:val="0"/>
              <w:jc w:val="both"/>
              <w:rPr>
                <w:rFonts w:hint="eastAsia" w:ascii="宋体" w:hAnsi="宋体" w:eastAsia="宋体" w:cs="宋体"/>
                <w:b/>
                <w:color w:val="FF0000"/>
                <w:kern w:val="2"/>
                <w:sz w:val="21"/>
                <w:szCs w:val="21"/>
                <w:lang w:eastAsia="zh-CN"/>
              </w:rPr>
            </w:pPr>
          </w:p>
        </w:tc>
      </w:tr>
      <w:tr w14:paraId="393C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restart"/>
            <w:vAlign w:val="center"/>
          </w:tcPr>
          <w:p w14:paraId="4E8CC45B">
            <w:pPr>
              <w:widowControl/>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10</w:t>
            </w:r>
          </w:p>
        </w:tc>
        <w:tc>
          <w:tcPr>
            <w:tcW w:w="1132" w:type="dxa"/>
            <w:vMerge w:val="restart"/>
            <w:vAlign w:val="center"/>
          </w:tcPr>
          <w:p w14:paraId="5D47004C">
            <w:pPr>
              <w:widowControl w:val="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★其他</w:t>
            </w:r>
          </w:p>
        </w:tc>
        <w:tc>
          <w:tcPr>
            <w:tcW w:w="2780" w:type="dxa"/>
          </w:tcPr>
          <w:p w14:paraId="784F544B">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10.1中标人所提供的产品须支持物联网协议，便于与医院信息系统的对接，免费开放数据交换接口，并提供免费技术支持，并保证所使用软件的合法性，任何知识产权纠纷与采购人无关。</w:t>
            </w:r>
          </w:p>
        </w:tc>
        <w:tc>
          <w:tcPr>
            <w:tcW w:w="2486" w:type="dxa"/>
          </w:tcPr>
          <w:p w14:paraId="42EF690D">
            <w:pPr>
              <w:widowControl w:val="0"/>
              <w:jc w:val="both"/>
              <w:rPr>
                <w:rFonts w:hint="eastAsia" w:ascii="宋体" w:hAnsi="宋体" w:eastAsia="宋体" w:cs="宋体"/>
                <w:kern w:val="2"/>
                <w:sz w:val="21"/>
                <w:szCs w:val="21"/>
                <w:lang w:eastAsia="zh-CN"/>
              </w:rPr>
            </w:pPr>
          </w:p>
        </w:tc>
        <w:tc>
          <w:tcPr>
            <w:tcW w:w="1350" w:type="dxa"/>
          </w:tcPr>
          <w:p w14:paraId="27CFF191">
            <w:pPr>
              <w:widowControl w:val="0"/>
              <w:jc w:val="both"/>
              <w:rPr>
                <w:rFonts w:hint="eastAsia" w:ascii="宋体" w:hAnsi="宋体" w:eastAsia="宋体" w:cs="宋体"/>
                <w:kern w:val="2"/>
                <w:sz w:val="21"/>
                <w:szCs w:val="21"/>
                <w:lang w:eastAsia="zh-CN"/>
              </w:rPr>
            </w:pPr>
          </w:p>
        </w:tc>
        <w:tc>
          <w:tcPr>
            <w:tcW w:w="928" w:type="dxa"/>
          </w:tcPr>
          <w:p w14:paraId="206EA954">
            <w:pPr>
              <w:widowControl w:val="0"/>
              <w:jc w:val="both"/>
              <w:rPr>
                <w:rFonts w:hint="eastAsia" w:ascii="宋体" w:hAnsi="宋体" w:eastAsia="宋体" w:cs="宋体"/>
                <w:kern w:val="2"/>
                <w:sz w:val="21"/>
                <w:szCs w:val="21"/>
                <w:lang w:eastAsia="zh-CN"/>
              </w:rPr>
            </w:pPr>
          </w:p>
        </w:tc>
      </w:tr>
      <w:tr w14:paraId="4D2C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55895113">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174267E9">
            <w:pPr>
              <w:widowControl w:val="0"/>
              <w:jc w:val="center"/>
              <w:rPr>
                <w:rFonts w:hint="eastAsia" w:ascii="宋体" w:hAnsi="宋体" w:eastAsia="宋体" w:cs="宋体"/>
                <w:b/>
                <w:kern w:val="2"/>
                <w:sz w:val="21"/>
                <w:szCs w:val="21"/>
                <w:lang w:eastAsia="zh-CN"/>
              </w:rPr>
            </w:pPr>
          </w:p>
        </w:tc>
        <w:tc>
          <w:tcPr>
            <w:tcW w:w="2780" w:type="dxa"/>
          </w:tcPr>
          <w:p w14:paraId="344CD8ED">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10.2本次标的若包含软件服务，需本地化部署，并严格遵照《信息安全法》等相关法律法规，符合网络安全管理相关规定，所有数据未经采购方允许，不得向第三方私自泄漏。</w:t>
            </w:r>
          </w:p>
        </w:tc>
        <w:tc>
          <w:tcPr>
            <w:tcW w:w="2486" w:type="dxa"/>
          </w:tcPr>
          <w:p w14:paraId="70930972">
            <w:pPr>
              <w:widowControl w:val="0"/>
              <w:jc w:val="both"/>
              <w:rPr>
                <w:rFonts w:hint="eastAsia" w:ascii="宋体" w:hAnsi="宋体" w:eastAsia="宋体" w:cs="宋体"/>
                <w:kern w:val="2"/>
                <w:sz w:val="21"/>
                <w:szCs w:val="21"/>
                <w:lang w:eastAsia="zh-CN"/>
              </w:rPr>
            </w:pPr>
          </w:p>
        </w:tc>
        <w:tc>
          <w:tcPr>
            <w:tcW w:w="1350" w:type="dxa"/>
          </w:tcPr>
          <w:p w14:paraId="3DC64813">
            <w:pPr>
              <w:widowControl w:val="0"/>
              <w:jc w:val="both"/>
              <w:rPr>
                <w:rFonts w:hint="eastAsia" w:ascii="宋体" w:hAnsi="宋体" w:eastAsia="宋体" w:cs="宋体"/>
                <w:kern w:val="2"/>
                <w:sz w:val="21"/>
                <w:szCs w:val="21"/>
                <w:lang w:eastAsia="zh-CN"/>
              </w:rPr>
            </w:pPr>
          </w:p>
        </w:tc>
        <w:tc>
          <w:tcPr>
            <w:tcW w:w="928" w:type="dxa"/>
          </w:tcPr>
          <w:p w14:paraId="27273B2B">
            <w:pPr>
              <w:widowControl w:val="0"/>
              <w:jc w:val="both"/>
              <w:rPr>
                <w:rFonts w:hint="eastAsia" w:ascii="宋体" w:hAnsi="宋体" w:eastAsia="宋体" w:cs="宋体"/>
                <w:kern w:val="2"/>
                <w:sz w:val="21"/>
                <w:szCs w:val="21"/>
                <w:lang w:eastAsia="zh-CN"/>
              </w:rPr>
            </w:pPr>
          </w:p>
        </w:tc>
      </w:tr>
      <w:tr w14:paraId="5C0A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51F9F8E2">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0B9E9A35">
            <w:pPr>
              <w:widowControl w:val="0"/>
              <w:jc w:val="center"/>
              <w:rPr>
                <w:rFonts w:hint="eastAsia" w:ascii="宋体" w:hAnsi="宋体" w:eastAsia="宋体" w:cs="宋体"/>
                <w:b/>
                <w:kern w:val="2"/>
                <w:sz w:val="21"/>
                <w:szCs w:val="21"/>
                <w:lang w:eastAsia="zh-CN"/>
              </w:rPr>
            </w:pPr>
          </w:p>
        </w:tc>
        <w:tc>
          <w:tcPr>
            <w:tcW w:w="2780" w:type="dxa"/>
          </w:tcPr>
          <w:p w14:paraId="278964B6">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10.3中标人在交付时需配套按数量1:1提供高频RFID标签（防磁耐用）。</w:t>
            </w:r>
          </w:p>
        </w:tc>
        <w:tc>
          <w:tcPr>
            <w:tcW w:w="2486" w:type="dxa"/>
          </w:tcPr>
          <w:p w14:paraId="00FB2ED0">
            <w:pPr>
              <w:widowControl w:val="0"/>
              <w:jc w:val="both"/>
              <w:rPr>
                <w:rFonts w:hint="eastAsia" w:ascii="宋体" w:hAnsi="宋体" w:eastAsia="宋体" w:cs="宋体"/>
                <w:kern w:val="2"/>
                <w:sz w:val="21"/>
                <w:szCs w:val="21"/>
                <w:lang w:eastAsia="zh-CN"/>
              </w:rPr>
            </w:pPr>
          </w:p>
        </w:tc>
        <w:tc>
          <w:tcPr>
            <w:tcW w:w="1350" w:type="dxa"/>
          </w:tcPr>
          <w:p w14:paraId="456A3F5F">
            <w:pPr>
              <w:widowControl w:val="0"/>
              <w:jc w:val="both"/>
              <w:rPr>
                <w:rFonts w:hint="eastAsia" w:ascii="宋体" w:hAnsi="宋体" w:eastAsia="宋体" w:cs="宋体"/>
                <w:kern w:val="2"/>
                <w:sz w:val="21"/>
                <w:szCs w:val="21"/>
                <w:lang w:eastAsia="zh-CN"/>
              </w:rPr>
            </w:pPr>
          </w:p>
        </w:tc>
        <w:tc>
          <w:tcPr>
            <w:tcW w:w="928" w:type="dxa"/>
          </w:tcPr>
          <w:p w14:paraId="41A1FED7">
            <w:pPr>
              <w:widowControl w:val="0"/>
              <w:jc w:val="both"/>
              <w:rPr>
                <w:rFonts w:hint="eastAsia" w:ascii="宋体" w:hAnsi="宋体" w:eastAsia="宋体" w:cs="宋体"/>
                <w:kern w:val="2"/>
                <w:sz w:val="21"/>
                <w:szCs w:val="21"/>
                <w:lang w:eastAsia="zh-CN"/>
              </w:rPr>
            </w:pPr>
          </w:p>
        </w:tc>
      </w:tr>
      <w:tr w14:paraId="48C1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03258B10">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4B0C102F">
            <w:pPr>
              <w:widowControl w:val="0"/>
              <w:jc w:val="center"/>
              <w:rPr>
                <w:rFonts w:hint="eastAsia" w:ascii="宋体" w:hAnsi="宋体" w:eastAsia="宋体" w:cs="宋体"/>
                <w:b/>
                <w:kern w:val="2"/>
                <w:sz w:val="21"/>
                <w:szCs w:val="21"/>
                <w:lang w:eastAsia="zh-CN"/>
              </w:rPr>
            </w:pPr>
          </w:p>
        </w:tc>
        <w:tc>
          <w:tcPr>
            <w:tcW w:w="2780" w:type="dxa"/>
          </w:tcPr>
          <w:p w14:paraId="2FC534DD">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10.4中标人所提供的设备，若该设备配有专用的配套医用耗材，则此类耗材必须通过深圳市医用耗材阳光交易和监管平台进行交易，且供货价格必须遵循阳光平台所公布的最低成交价。</w:t>
            </w:r>
          </w:p>
        </w:tc>
        <w:tc>
          <w:tcPr>
            <w:tcW w:w="2486" w:type="dxa"/>
          </w:tcPr>
          <w:p w14:paraId="6ACB3092">
            <w:pPr>
              <w:widowControl w:val="0"/>
              <w:jc w:val="both"/>
              <w:rPr>
                <w:rFonts w:hint="eastAsia" w:ascii="宋体" w:hAnsi="宋体" w:eastAsia="宋体" w:cs="宋体"/>
                <w:kern w:val="2"/>
                <w:sz w:val="21"/>
                <w:szCs w:val="21"/>
                <w:lang w:eastAsia="zh-CN"/>
              </w:rPr>
            </w:pPr>
          </w:p>
        </w:tc>
        <w:tc>
          <w:tcPr>
            <w:tcW w:w="1350" w:type="dxa"/>
          </w:tcPr>
          <w:p w14:paraId="2CA704A8">
            <w:pPr>
              <w:widowControl w:val="0"/>
              <w:jc w:val="both"/>
              <w:rPr>
                <w:rFonts w:hint="eastAsia" w:ascii="宋体" w:hAnsi="宋体" w:eastAsia="宋体" w:cs="宋体"/>
                <w:kern w:val="2"/>
                <w:sz w:val="21"/>
                <w:szCs w:val="21"/>
                <w:lang w:eastAsia="zh-CN"/>
              </w:rPr>
            </w:pPr>
          </w:p>
        </w:tc>
        <w:tc>
          <w:tcPr>
            <w:tcW w:w="928" w:type="dxa"/>
          </w:tcPr>
          <w:p w14:paraId="38DE8187">
            <w:pPr>
              <w:widowControl w:val="0"/>
              <w:jc w:val="both"/>
              <w:rPr>
                <w:rFonts w:hint="eastAsia" w:ascii="宋体" w:hAnsi="宋体" w:eastAsia="宋体" w:cs="宋体"/>
                <w:kern w:val="2"/>
                <w:sz w:val="21"/>
                <w:szCs w:val="21"/>
                <w:lang w:eastAsia="zh-CN"/>
              </w:rPr>
            </w:pPr>
          </w:p>
        </w:tc>
      </w:tr>
      <w:tr w14:paraId="2AB9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1" w:type="dxa"/>
            <w:vMerge w:val="continue"/>
            <w:vAlign w:val="center"/>
          </w:tcPr>
          <w:p w14:paraId="712A6A2A">
            <w:pPr>
              <w:widowControl/>
              <w:jc w:val="center"/>
              <w:rPr>
                <w:rFonts w:hint="eastAsia" w:ascii="宋体" w:hAnsi="宋体" w:eastAsia="宋体" w:cs="宋体"/>
                <w:color w:val="000000"/>
                <w:kern w:val="2"/>
                <w:sz w:val="21"/>
                <w:szCs w:val="21"/>
                <w:lang w:eastAsia="zh-CN"/>
              </w:rPr>
            </w:pPr>
          </w:p>
        </w:tc>
        <w:tc>
          <w:tcPr>
            <w:tcW w:w="1132" w:type="dxa"/>
            <w:vMerge w:val="continue"/>
            <w:vAlign w:val="center"/>
          </w:tcPr>
          <w:p w14:paraId="6042FF7A">
            <w:pPr>
              <w:widowControl w:val="0"/>
              <w:tabs>
                <w:tab w:val="left" w:pos="267"/>
              </w:tabs>
              <w:jc w:val="left"/>
              <w:rPr>
                <w:rFonts w:hint="eastAsia" w:ascii="宋体" w:hAnsi="宋体" w:eastAsia="宋体" w:cs="宋体"/>
                <w:b/>
                <w:kern w:val="2"/>
                <w:sz w:val="21"/>
                <w:szCs w:val="21"/>
                <w:lang w:eastAsia="zh-CN"/>
              </w:rPr>
            </w:pPr>
          </w:p>
        </w:tc>
        <w:tc>
          <w:tcPr>
            <w:tcW w:w="2780" w:type="dxa"/>
          </w:tcPr>
          <w:p w14:paraId="2470CC4A">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10.5.履约保证金：中标人在合同生效后10个日历日内提供履约保证金。履约保证金为合同金额10%（中小企业为合同金额5%的履约保证金）。供应商自主选择支票、汇票、本票、保函等非现金缴纳或提交。履约保证金在中标人履约完成合同的约定权利义务事项且无违约情形前提下在免费维保期到期之日起30日内退还，不计利息。采购人逾期退还履约保证金的，向中标人每日偿付履约保证金的万分之五/日的利息。【若中标供应商为中小企业，在确认中标后参照《中小企业声明函》格式自行出具《声明函》提供给采购人作为中小企业证明材料。】</w:t>
            </w:r>
          </w:p>
        </w:tc>
        <w:tc>
          <w:tcPr>
            <w:tcW w:w="2486" w:type="dxa"/>
          </w:tcPr>
          <w:p w14:paraId="675481FC">
            <w:pPr>
              <w:widowControl w:val="0"/>
              <w:jc w:val="both"/>
              <w:rPr>
                <w:rFonts w:hint="eastAsia" w:ascii="宋体" w:hAnsi="宋体" w:eastAsia="宋体" w:cs="宋体"/>
                <w:kern w:val="2"/>
                <w:sz w:val="21"/>
                <w:szCs w:val="21"/>
                <w:lang w:eastAsia="zh-CN"/>
              </w:rPr>
            </w:pPr>
          </w:p>
        </w:tc>
        <w:tc>
          <w:tcPr>
            <w:tcW w:w="1350" w:type="dxa"/>
          </w:tcPr>
          <w:p w14:paraId="38C7427C">
            <w:pPr>
              <w:widowControl w:val="0"/>
              <w:jc w:val="both"/>
              <w:rPr>
                <w:rFonts w:hint="eastAsia" w:ascii="宋体" w:hAnsi="宋体" w:eastAsia="宋体" w:cs="宋体"/>
                <w:kern w:val="2"/>
                <w:sz w:val="21"/>
                <w:szCs w:val="21"/>
                <w:lang w:eastAsia="zh-CN"/>
              </w:rPr>
            </w:pPr>
          </w:p>
        </w:tc>
        <w:tc>
          <w:tcPr>
            <w:tcW w:w="928" w:type="dxa"/>
          </w:tcPr>
          <w:p w14:paraId="26410E8B">
            <w:pPr>
              <w:widowControl w:val="0"/>
              <w:jc w:val="both"/>
              <w:rPr>
                <w:rFonts w:hint="eastAsia" w:ascii="宋体" w:hAnsi="宋体" w:eastAsia="宋体" w:cs="宋体"/>
                <w:kern w:val="2"/>
                <w:sz w:val="21"/>
                <w:szCs w:val="21"/>
                <w:lang w:eastAsia="zh-CN"/>
              </w:rPr>
            </w:pPr>
          </w:p>
        </w:tc>
      </w:tr>
    </w:tbl>
    <w:p w14:paraId="1E625E85">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《商务要求偏离表》编制指引：</w:t>
      </w:r>
    </w:p>
    <w:p w14:paraId="055BAB52">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1、商务要求偏离表的序号、商务需求项、招标商务要求等栏目对应“用户需求书”中的“商务要求”章节相关内容。</w:t>
      </w:r>
    </w:p>
    <w:p w14:paraId="71283E8A">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、“投标商务响应”一栏必须一一对照“招标商务要求”，详细填写自身响应情况，而不能不合理照搬照抄招标文件的商务要求，以体现具体响应情况。</w:t>
      </w:r>
    </w:p>
    <w:p w14:paraId="6D847470">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1952F2F8">
      <w:pPr>
        <w:widowControl w:val="0"/>
        <w:jc w:val="both"/>
        <w:rPr>
          <w:rFonts w:hint="eastAsia" w:eastAsia="宋体"/>
          <w:bCs/>
          <w:kern w:val="2"/>
          <w:sz w:val="21"/>
          <w:szCs w:val="21"/>
          <w:lang w:eastAsia="zh-CN"/>
        </w:rPr>
      </w:pPr>
      <w:r>
        <w:rPr>
          <w:rFonts w:hint="eastAsia" w:eastAsia="宋体"/>
          <w:bCs/>
          <w:kern w:val="2"/>
          <w:sz w:val="21"/>
          <w:szCs w:val="21"/>
          <w:lang w:eastAsia="zh-CN"/>
        </w:rPr>
        <w:t>“投标商务响应”对比“招标商务要求”存在响应不全（包括未响应整项招标商务要求或者未响应一项招标商务要求的部分内容），均视为“负偏离”。</w:t>
      </w:r>
    </w:p>
    <w:p w14:paraId="0FD50EDB">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4、带★号条款为不可偏离条款，如未响应或出现负偏离的，将作投标无效处理。</w:t>
      </w:r>
    </w:p>
    <w:p w14:paraId="468A0B61">
      <w:pPr>
        <w:widowControl w:val="0"/>
        <w:ind w:firstLine="0"/>
        <w:jc w:val="both"/>
        <w:rPr>
          <w:rFonts w:ascii="宋体" w:hAnsi="宋体" w:eastAsia="宋体" w:cs="宋体"/>
          <w:kern w:val="2"/>
          <w:szCs w:val="20"/>
          <w:lang w:eastAsia="zh-CN"/>
        </w:rPr>
      </w:pPr>
    </w:p>
    <w:p w14:paraId="721414F1">
      <w:pPr>
        <w:widowControl w:val="0"/>
        <w:jc w:val="both"/>
        <w:rPr>
          <w:rFonts w:hint="eastAsia" w:ascii="黑体" w:hAnsi="黑体" w:eastAsia="黑体" w:cs="黑体"/>
          <w:kern w:val="2"/>
          <w:szCs w:val="28"/>
          <w:lang w:eastAsia="zh-CN"/>
        </w:rPr>
      </w:pPr>
      <w:r>
        <w:rPr>
          <w:rFonts w:hint="eastAsia" w:ascii="黑体" w:hAnsi="黑体" w:eastAsia="黑体" w:cs="黑体"/>
          <w:kern w:val="2"/>
          <w:szCs w:val="28"/>
          <w:lang w:eastAsia="zh-CN"/>
        </w:rPr>
        <w:br w:type="page"/>
      </w:r>
    </w:p>
    <w:p w14:paraId="4F4D4778">
      <w:pPr>
        <w:keepNext/>
        <w:keepLines/>
        <w:widowControl w:val="0"/>
        <w:spacing w:before="260" w:after="260" w:line="240" w:lineRule="auto"/>
        <w:jc w:val="left"/>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十一、售后服务方案（格式自定）</w:t>
      </w:r>
    </w:p>
    <w:p w14:paraId="738CFE17">
      <w:pPr>
        <w:widowControl w:val="0"/>
        <w:ind w:firstLine="0"/>
        <w:jc w:val="left"/>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70E082C8">
      <w:pPr>
        <w:widowControl w:val="0"/>
        <w:ind w:firstLine="0"/>
        <w:jc w:val="left"/>
        <w:rPr>
          <w:rFonts w:ascii="宋体" w:hAnsi="宋体" w:eastAsia="宋体" w:cs="宋体"/>
          <w:kern w:val="2"/>
          <w:szCs w:val="20"/>
          <w:lang w:eastAsia="zh-CN"/>
        </w:rPr>
      </w:pPr>
    </w:p>
    <w:p w14:paraId="07731CC3">
      <w:pPr>
        <w:widowControl w:val="0"/>
        <w:ind w:firstLine="0"/>
        <w:jc w:val="left"/>
        <w:rPr>
          <w:rFonts w:ascii="宋体" w:hAnsi="宋体" w:eastAsia="宋体" w:cs="宋体"/>
          <w:kern w:val="2"/>
          <w:szCs w:val="20"/>
          <w:lang w:eastAsia="zh-CN"/>
        </w:rPr>
      </w:pPr>
    </w:p>
    <w:p w14:paraId="1232D3DD">
      <w:pPr>
        <w:widowControl w:val="0"/>
        <w:ind w:firstLine="0"/>
        <w:jc w:val="left"/>
        <w:rPr>
          <w:rFonts w:ascii="宋体" w:hAnsi="宋体" w:eastAsia="宋体" w:cs="宋体"/>
          <w:kern w:val="2"/>
          <w:szCs w:val="20"/>
          <w:lang w:eastAsia="zh-CN"/>
        </w:rPr>
      </w:pPr>
    </w:p>
    <w:p w14:paraId="7C7A0F9B">
      <w:pPr>
        <w:widowControl w:val="0"/>
        <w:ind w:firstLine="0"/>
        <w:jc w:val="left"/>
        <w:rPr>
          <w:rFonts w:ascii="宋体" w:hAnsi="宋体" w:eastAsia="宋体" w:cs="宋体"/>
          <w:kern w:val="2"/>
          <w:szCs w:val="20"/>
          <w:lang w:eastAsia="zh-CN"/>
        </w:rPr>
      </w:pPr>
    </w:p>
    <w:p w14:paraId="3F278976">
      <w:pPr>
        <w:widowControl w:val="0"/>
        <w:ind w:firstLine="0"/>
        <w:jc w:val="left"/>
        <w:rPr>
          <w:rFonts w:ascii="宋体" w:hAnsi="宋体" w:eastAsia="宋体" w:cs="宋体"/>
          <w:kern w:val="2"/>
          <w:szCs w:val="20"/>
          <w:lang w:eastAsia="zh-CN"/>
        </w:rPr>
      </w:pPr>
    </w:p>
    <w:p w14:paraId="12D63ABF">
      <w:pPr>
        <w:widowControl w:val="0"/>
        <w:ind w:firstLine="0"/>
        <w:jc w:val="left"/>
        <w:rPr>
          <w:rFonts w:ascii="宋体" w:hAnsi="宋体" w:eastAsia="宋体" w:cs="宋体"/>
          <w:kern w:val="2"/>
          <w:szCs w:val="20"/>
          <w:lang w:eastAsia="zh-CN"/>
        </w:rPr>
      </w:pPr>
    </w:p>
    <w:p w14:paraId="21793200">
      <w:pPr>
        <w:keepNext/>
        <w:keepLines/>
        <w:widowControl w:val="0"/>
        <w:bidi w:val="0"/>
        <w:spacing w:before="260" w:after="260" w:line="240" w:lineRule="auto"/>
        <w:jc w:val="left"/>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十二、投标人同类业绩</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418"/>
        <w:gridCol w:w="1986"/>
        <w:gridCol w:w="849"/>
        <w:gridCol w:w="993"/>
        <w:gridCol w:w="2183"/>
      </w:tblGrid>
      <w:tr w14:paraId="46C318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7E5591F8">
            <w:pPr>
              <w:keepNext w:val="0"/>
              <w:keepLines w:val="0"/>
              <w:widowControl w:val="0"/>
              <w:suppressLineNumbers w:val="0"/>
              <w:spacing w:before="0" w:beforeAutospacing="0" w:after="0" w:afterAutospacing="0"/>
              <w:ind w:left="0" w:right="0"/>
              <w:jc w:val="left"/>
              <w:rPr>
                <w:rFonts w:ascii="宋体" w:hAnsi="宋体" w:eastAsia="宋体"/>
                <w:kern w:val="2"/>
                <w:sz w:val="20"/>
                <w:szCs w:val="21"/>
                <w:lang w:eastAsia="zh-CN"/>
              </w:rPr>
            </w:pPr>
            <w:r>
              <w:rPr>
                <w:rFonts w:hint="eastAsia" w:ascii="宋体" w:hAnsi="宋体" w:eastAsia="宋体"/>
                <w:kern w:val="2"/>
                <w:sz w:val="20"/>
                <w:szCs w:val="21"/>
                <w:lang w:eastAsia="zh-CN"/>
              </w:rPr>
              <w:t>采购人</w:t>
            </w:r>
          </w:p>
        </w:tc>
        <w:tc>
          <w:tcPr>
            <w:tcW w:w="831" w:type="pct"/>
            <w:vAlign w:val="center"/>
          </w:tcPr>
          <w:p w14:paraId="4B24E310">
            <w:pPr>
              <w:keepNext w:val="0"/>
              <w:keepLines w:val="0"/>
              <w:widowControl w:val="0"/>
              <w:suppressLineNumbers w:val="0"/>
              <w:spacing w:before="0" w:beforeAutospacing="0" w:after="0" w:afterAutospacing="0"/>
              <w:ind w:left="0" w:right="0"/>
              <w:jc w:val="left"/>
              <w:rPr>
                <w:rFonts w:ascii="宋体" w:hAnsi="宋体" w:eastAsia="宋体"/>
                <w:kern w:val="2"/>
                <w:sz w:val="20"/>
                <w:szCs w:val="21"/>
                <w:lang w:eastAsia="zh-CN"/>
              </w:rPr>
            </w:pPr>
            <w:r>
              <w:rPr>
                <w:rFonts w:hint="eastAsia" w:ascii="宋体" w:hAnsi="宋体" w:eastAsia="宋体"/>
                <w:kern w:val="2"/>
                <w:sz w:val="20"/>
                <w:szCs w:val="21"/>
                <w:lang w:eastAsia="zh-CN"/>
              </w:rPr>
              <w:t>项目名称</w:t>
            </w:r>
          </w:p>
        </w:tc>
        <w:tc>
          <w:tcPr>
            <w:tcW w:w="1164" w:type="pct"/>
            <w:vAlign w:val="center"/>
          </w:tcPr>
          <w:p w14:paraId="7417E8B4">
            <w:pPr>
              <w:keepNext w:val="0"/>
              <w:keepLines w:val="0"/>
              <w:widowControl w:val="0"/>
              <w:suppressLineNumbers w:val="0"/>
              <w:spacing w:before="0" w:beforeAutospacing="0" w:after="0" w:afterAutospacing="0"/>
              <w:ind w:left="0" w:right="0"/>
              <w:jc w:val="left"/>
              <w:rPr>
                <w:rFonts w:ascii="宋体" w:hAnsi="宋体" w:eastAsia="宋体"/>
                <w:kern w:val="2"/>
                <w:sz w:val="20"/>
                <w:szCs w:val="21"/>
                <w:lang w:eastAsia="zh-CN"/>
              </w:rPr>
            </w:pPr>
            <w:r>
              <w:rPr>
                <w:rFonts w:hint="eastAsia" w:ascii="宋体" w:hAnsi="宋体" w:eastAsia="宋体"/>
                <w:kern w:val="2"/>
                <w:sz w:val="20"/>
                <w:szCs w:val="21"/>
                <w:lang w:eastAsia="zh-CN"/>
              </w:rPr>
              <w:t>项目规模（金额）</w:t>
            </w:r>
          </w:p>
        </w:tc>
        <w:tc>
          <w:tcPr>
            <w:tcW w:w="498" w:type="pct"/>
            <w:vAlign w:val="center"/>
          </w:tcPr>
          <w:p w14:paraId="4B610329">
            <w:pPr>
              <w:keepNext w:val="0"/>
              <w:keepLines w:val="0"/>
              <w:widowControl w:val="0"/>
              <w:suppressLineNumbers w:val="0"/>
              <w:spacing w:before="0" w:beforeAutospacing="0" w:after="0" w:afterAutospacing="0"/>
              <w:ind w:left="0" w:right="0"/>
              <w:jc w:val="left"/>
              <w:rPr>
                <w:rFonts w:ascii="宋体" w:hAnsi="宋体" w:eastAsia="宋体"/>
                <w:kern w:val="2"/>
                <w:sz w:val="20"/>
                <w:szCs w:val="21"/>
                <w:lang w:eastAsia="zh-CN"/>
              </w:rPr>
            </w:pPr>
            <w:r>
              <w:rPr>
                <w:rFonts w:hint="eastAsia" w:ascii="宋体" w:hAnsi="宋体" w:eastAsia="宋体"/>
                <w:kern w:val="2"/>
                <w:sz w:val="20"/>
                <w:szCs w:val="21"/>
                <w:lang w:eastAsia="zh-CN"/>
              </w:rPr>
              <w:t>合同签订日期</w:t>
            </w:r>
          </w:p>
        </w:tc>
        <w:tc>
          <w:tcPr>
            <w:tcW w:w="582" w:type="pct"/>
            <w:vAlign w:val="center"/>
          </w:tcPr>
          <w:p w14:paraId="389CFD3E">
            <w:pPr>
              <w:keepNext w:val="0"/>
              <w:keepLines w:val="0"/>
              <w:widowControl w:val="0"/>
              <w:suppressLineNumbers w:val="0"/>
              <w:spacing w:before="0" w:beforeAutospacing="0" w:after="0" w:afterAutospacing="0"/>
              <w:ind w:left="0" w:right="0"/>
              <w:jc w:val="left"/>
              <w:rPr>
                <w:rFonts w:ascii="宋体" w:hAnsi="宋体" w:eastAsia="宋体"/>
                <w:kern w:val="2"/>
                <w:sz w:val="20"/>
                <w:szCs w:val="21"/>
                <w:lang w:eastAsia="zh-CN"/>
              </w:rPr>
            </w:pPr>
            <w:r>
              <w:rPr>
                <w:rFonts w:hint="eastAsia" w:ascii="宋体" w:hAnsi="宋体" w:eastAsia="宋体"/>
                <w:kern w:val="2"/>
                <w:sz w:val="20"/>
                <w:szCs w:val="21"/>
                <w:lang w:eastAsia="zh-CN"/>
              </w:rPr>
              <w:t>履约验收时间</w:t>
            </w:r>
          </w:p>
        </w:tc>
        <w:tc>
          <w:tcPr>
            <w:tcW w:w="1280" w:type="pct"/>
            <w:vAlign w:val="center"/>
          </w:tcPr>
          <w:p w14:paraId="4B82AE38">
            <w:pPr>
              <w:keepNext w:val="0"/>
              <w:keepLines w:val="0"/>
              <w:widowControl w:val="0"/>
              <w:suppressLineNumbers w:val="0"/>
              <w:spacing w:before="0" w:beforeAutospacing="0" w:after="0" w:afterAutospacing="0"/>
              <w:ind w:left="0" w:right="0"/>
              <w:jc w:val="left"/>
              <w:rPr>
                <w:rFonts w:ascii="宋体" w:hAnsi="宋体" w:eastAsia="宋体"/>
                <w:kern w:val="2"/>
                <w:sz w:val="20"/>
                <w:szCs w:val="21"/>
                <w:lang w:eastAsia="zh-CN"/>
              </w:rPr>
            </w:pPr>
            <w:r>
              <w:rPr>
                <w:rFonts w:hint="eastAsia" w:ascii="宋体" w:hAnsi="宋体" w:eastAsia="宋体"/>
                <w:kern w:val="2"/>
                <w:sz w:val="20"/>
                <w:szCs w:val="21"/>
                <w:lang w:eastAsia="zh-CN"/>
              </w:rPr>
              <w:t>完成质量情况（以履约验收报告为准）</w:t>
            </w:r>
          </w:p>
        </w:tc>
      </w:tr>
      <w:tr w14:paraId="3850CA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2FE74652">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r>
              <w:rPr>
                <w:rFonts w:ascii="宋体" w:hAnsi="宋体" w:eastAsia="宋体"/>
                <w:kern w:val="2"/>
                <w:sz w:val="20"/>
                <w:szCs w:val="21"/>
                <w:lang w:eastAsia="zh-CN"/>
              </w:rPr>
              <w:t>……</w:t>
            </w:r>
          </w:p>
        </w:tc>
        <w:tc>
          <w:tcPr>
            <w:tcW w:w="831" w:type="pct"/>
            <w:vAlign w:val="center"/>
          </w:tcPr>
          <w:p w14:paraId="6090F1B4">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1164" w:type="pct"/>
            <w:vAlign w:val="center"/>
          </w:tcPr>
          <w:p w14:paraId="28F0707D">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498" w:type="pct"/>
            <w:vAlign w:val="center"/>
          </w:tcPr>
          <w:p w14:paraId="26FD7A16">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582" w:type="pct"/>
            <w:vAlign w:val="center"/>
          </w:tcPr>
          <w:p w14:paraId="75D09C9F">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1280" w:type="pct"/>
            <w:vAlign w:val="center"/>
          </w:tcPr>
          <w:p w14:paraId="5A4699CE">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r>
      <w:tr w14:paraId="1EAC58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A956F45">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831" w:type="pct"/>
            <w:vAlign w:val="center"/>
          </w:tcPr>
          <w:p w14:paraId="3AF2F410">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1164" w:type="pct"/>
            <w:vAlign w:val="center"/>
          </w:tcPr>
          <w:p w14:paraId="1AA0A9F4">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498" w:type="pct"/>
            <w:vAlign w:val="center"/>
          </w:tcPr>
          <w:p w14:paraId="430F78FB">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582" w:type="pct"/>
            <w:vAlign w:val="center"/>
          </w:tcPr>
          <w:p w14:paraId="6B846333">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1280" w:type="pct"/>
            <w:vAlign w:val="center"/>
          </w:tcPr>
          <w:p w14:paraId="55493AAB">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r>
      <w:tr w14:paraId="45C49D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6F6D4B0E">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831" w:type="pct"/>
            <w:vAlign w:val="center"/>
          </w:tcPr>
          <w:p w14:paraId="6B556462">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1164" w:type="pct"/>
            <w:vAlign w:val="center"/>
          </w:tcPr>
          <w:p w14:paraId="145860D4">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498" w:type="pct"/>
            <w:vAlign w:val="center"/>
          </w:tcPr>
          <w:p w14:paraId="0F7549BA">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c>
          <w:tcPr>
            <w:tcW w:w="582" w:type="pct"/>
            <w:vAlign w:val="center"/>
          </w:tcPr>
          <w:p w14:paraId="520ACB86">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p w14:paraId="68A5DD96">
            <w:pPr>
              <w:keepNext w:val="0"/>
              <w:keepLines w:val="0"/>
              <w:widowControl w:val="0"/>
              <w:suppressLineNumbers w:val="0"/>
              <w:spacing w:before="0" w:beforeAutospacing="0" w:after="0" w:afterAutospacing="0"/>
              <w:ind w:left="0" w:right="0"/>
              <w:jc w:val="left"/>
              <w:rPr>
                <w:rFonts w:eastAsia="宋体"/>
                <w:kern w:val="2"/>
                <w:sz w:val="21"/>
                <w:lang w:eastAsia="zh-CN"/>
              </w:rPr>
            </w:pPr>
          </w:p>
        </w:tc>
        <w:tc>
          <w:tcPr>
            <w:tcW w:w="1280" w:type="pct"/>
            <w:vAlign w:val="center"/>
          </w:tcPr>
          <w:p w14:paraId="5584DD61">
            <w:pPr>
              <w:keepNext w:val="0"/>
              <w:keepLines w:val="0"/>
              <w:widowControl w:val="0"/>
              <w:suppressLineNumbers w:val="0"/>
              <w:spacing w:before="0" w:beforeAutospacing="0" w:after="0" w:afterAutospacing="0"/>
              <w:ind w:left="0" w:right="0" w:firstLine="400" w:firstLineChars="200"/>
              <w:jc w:val="left"/>
              <w:rPr>
                <w:rFonts w:ascii="宋体" w:hAnsi="宋体" w:eastAsia="宋体"/>
                <w:kern w:val="2"/>
                <w:sz w:val="20"/>
                <w:szCs w:val="21"/>
                <w:lang w:eastAsia="zh-CN"/>
              </w:rPr>
            </w:pPr>
          </w:p>
        </w:tc>
      </w:tr>
    </w:tbl>
    <w:p w14:paraId="0FB37B78">
      <w:pPr>
        <w:widowControl w:val="0"/>
        <w:jc w:val="left"/>
        <w:rPr>
          <w:rFonts w:eastAsia="宋体"/>
          <w:b/>
          <w:bCs/>
          <w:color w:val="FF0000"/>
          <w:kern w:val="2"/>
          <w:sz w:val="21"/>
          <w:lang w:eastAsia="zh-CN"/>
        </w:rPr>
      </w:pPr>
      <w:r>
        <w:rPr>
          <w:rFonts w:hint="eastAsia" w:eastAsia="宋体"/>
          <w:b/>
          <w:bCs/>
          <w:color w:val="FF0000"/>
          <w:kern w:val="2"/>
          <w:sz w:val="21"/>
          <w:lang w:eastAsia="zh-CN"/>
        </w:rPr>
        <w:t>（特别提示：投标人须按本招标文件评标信息中这一评审因素要求，提供详细证明资料）</w:t>
      </w:r>
    </w:p>
    <w:p w14:paraId="07E5A2CC">
      <w:pPr>
        <w:widowControl w:val="0"/>
        <w:spacing w:line="360" w:lineRule="auto"/>
        <w:jc w:val="left"/>
        <w:rPr>
          <w:rFonts w:hint="eastAsia" w:eastAsia="宋体"/>
          <w:b/>
          <w:bCs/>
          <w:kern w:val="2"/>
          <w:lang w:eastAsia="zh-CN"/>
        </w:rPr>
      </w:pPr>
    </w:p>
    <w:p w14:paraId="151EC3BC">
      <w:pPr>
        <w:widowControl w:val="0"/>
        <w:spacing w:line="360" w:lineRule="auto"/>
        <w:jc w:val="left"/>
        <w:rPr>
          <w:rFonts w:eastAsia="宋体"/>
          <w:kern w:val="2"/>
          <w:lang w:eastAsia="zh-CN"/>
        </w:rPr>
      </w:pPr>
    </w:p>
    <w:p w14:paraId="03A00835">
      <w:pPr>
        <w:widowControl w:val="0"/>
        <w:spacing w:line="360" w:lineRule="auto"/>
        <w:jc w:val="left"/>
        <w:rPr>
          <w:rFonts w:eastAsia="宋体"/>
          <w:kern w:val="2"/>
          <w:lang w:eastAsia="zh-CN"/>
        </w:rPr>
      </w:pPr>
    </w:p>
    <w:p w14:paraId="1E630529">
      <w:pPr>
        <w:widowControl w:val="0"/>
        <w:spacing w:line="360" w:lineRule="auto"/>
        <w:jc w:val="left"/>
        <w:rPr>
          <w:rFonts w:eastAsia="宋体"/>
          <w:kern w:val="2"/>
          <w:lang w:eastAsia="zh-CN"/>
        </w:rPr>
      </w:pPr>
    </w:p>
    <w:p w14:paraId="2D335AB8">
      <w:pPr>
        <w:widowControl w:val="0"/>
        <w:spacing w:line="360" w:lineRule="auto"/>
        <w:jc w:val="left"/>
        <w:rPr>
          <w:rFonts w:eastAsia="宋体"/>
          <w:kern w:val="2"/>
          <w:lang w:eastAsia="zh-CN"/>
        </w:rPr>
      </w:pPr>
    </w:p>
    <w:p w14:paraId="7EBD55B8">
      <w:pPr>
        <w:keepNext/>
        <w:keepLines/>
        <w:widowControl w:val="0"/>
        <w:spacing w:before="260" w:after="260" w:line="240" w:lineRule="auto"/>
        <w:jc w:val="left"/>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十三、履约评价（格式自定）</w:t>
      </w:r>
    </w:p>
    <w:p w14:paraId="42CE1936">
      <w:pPr>
        <w:widowControl w:val="0"/>
        <w:ind w:firstLine="0"/>
        <w:jc w:val="left"/>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23AB5D92">
      <w:pPr>
        <w:widowControl w:val="0"/>
        <w:spacing w:line="360" w:lineRule="auto"/>
        <w:jc w:val="left"/>
        <w:rPr>
          <w:rFonts w:eastAsia="宋体"/>
          <w:color w:val="FF0000"/>
          <w:kern w:val="2"/>
          <w:lang w:eastAsia="zh-CN"/>
        </w:rPr>
      </w:pPr>
    </w:p>
    <w:p w14:paraId="36F0C3EF">
      <w:pPr>
        <w:widowControl w:val="0"/>
        <w:jc w:val="left"/>
        <w:rPr>
          <w:rFonts w:eastAsia="宋体"/>
          <w:kern w:val="2"/>
          <w:sz w:val="21"/>
          <w:lang w:eastAsia="zh-CN"/>
        </w:rPr>
      </w:pPr>
    </w:p>
    <w:p w14:paraId="344AA83E">
      <w:pPr>
        <w:widowControl w:val="0"/>
        <w:jc w:val="left"/>
        <w:rPr>
          <w:rFonts w:ascii="黑体" w:hAnsi="黑体" w:eastAsia="黑体" w:cs="黑体"/>
          <w:kern w:val="2"/>
          <w:szCs w:val="28"/>
          <w:lang w:eastAsia="zh-CN"/>
        </w:rPr>
      </w:pPr>
      <w:r>
        <w:rPr>
          <w:rFonts w:hint="eastAsia" w:ascii="宋体" w:hAnsi="宋体" w:eastAsia="宋体"/>
          <w:b/>
          <w:color w:val="FF0000"/>
          <w:kern w:val="2"/>
          <w:sz w:val="28"/>
          <w:szCs w:val="28"/>
          <w:lang w:eastAsia="zh-CN"/>
        </w:rPr>
        <w:br w:type="page"/>
      </w:r>
    </w:p>
    <w:p w14:paraId="4D722A5D">
      <w:pPr>
        <w:keepNext/>
        <w:keepLines/>
        <w:widowControl w:val="0"/>
        <w:bidi w:val="0"/>
        <w:spacing w:before="260" w:after="260" w:line="240" w:lineRule="auto"/>
        <w:jc w:val="left"/>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十四、投标人认为需要加以说明的其他内容</w:t>
      </w:r>
    </w:p>
    <w:p w14:paraId="0B8A9B83">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02D70CDD">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7"/>
        <w:gridCol w:w="7752"/>
      </w:tblGrid>
      <w:tr w14:paraId="5BD7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41B227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0AE35E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70CE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F50C4A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F81EFF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7258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3F17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E97BD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643E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D50751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B58066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6355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15E2B8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BBF32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3BD0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AAD059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079B1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225D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172427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F950E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14:paraId="1316423F">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14:paraId="0AAC4FBC">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14:paraId="2F0FF8B1">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14:paraId="190F9720">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14:paraId="7B84E75E">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14:paraId="670D8C68">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14:paraId="44449E01">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14:paraId="063A8440">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14:paraId="2495F33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14:paraId="0129F2C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14:paraId="1A53DF3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14:paraId="024738C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14:paraId="61C6E70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14:paraId="7B6F566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14:paraId="58B03793">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14:paraId="2382ABF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14:paraId="6E044254">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14:paraId="6A44D78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14:paraId="4C1417B3">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14:paraId="19C9C0C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14:paraId="0914533B">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14:paraId="566E619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6A2B4A6">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23"/>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1718045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422AAB27">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693A99D7">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65C0C4D9">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6F200286">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532977D2">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4D52D9A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3136B5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bl>
    <w:p w14:paraId="3BFC598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lang w:eastAsia="zh-CN"/>
        </w:rPr>
      </w:pPr>
    </w:p>
    <w:p w14:paraId="58044D3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14:paraId="4E70BA1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14:paraId="0AEAAA6C">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14:paraId="52D8F94E">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sz w:val="21"/>
          <w:szCs w:val="21"/>
          <w:lang w:eastAsia="zh-CN"/>
        </w:rPr>
      </w:pPr>
    </w:p>
    <w:p w14:paraId="38BD1A5A">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w:t>
      </w:r>
      <w:r>
        <w:rPr>
          <w:rFonts w:hint="eastAsia" w:ascii="宋体" w:hAnsi="宋体" w:eastAsia="宋体" w:cs="宋体"/>
          <w:b/>
          <w:bCs/>
          <w:color w:val="FF0000"/>
          <w:spacing w:val="-4"/>
          <w:sz w:val="21"/>
          <w:szCs w:val="21"/>
          <w:highlight w:val="yellow"/>
          <w:lang w:eastAsia="zh-CN" w:bidi="ar"/>
        </w:rPr>
        <w:t>签字并加盖单位公章</w:t>
      </w:r>
      <w:r>
        <w:rPr>
          <w:rFonts w:hint="eastAsia" w:ascii="宋体" w:hAnsi="宋体" w:eastAsia="宋体" w:cs="宋体"/>
          <w:b/>
          <w:bCs/>
          <w:color w:val="FF0000"/>
          <w:spacing w:val="-4"/>
          <w:sz w:val="21"/>
          <w:szCs w:val="21"/>
          <w:lang w:eastAsia="zh-CN" w:bidi="ar"/>
        </w:rPr>
        <w:t>后，扫描上传至投标文件一并提交。</w:t>
      </w:r>
    </w:p>
    <w:p w14:paraId="2962C552">
      <w:pPr>
        <w:keepNext w:val="0"/>
        <w:keepLines w:val="0"/>
        <w:widowControl w:val="0"/>
        <w:suppressLineNumbers w:val="0"/>
        <w:spacing w:before="0" w:beforeAutospacing="0" w:after="0" w:afterAutospacing="0"/>
        <w:ind w:left="0" w:right="0"/>
        <w:jc w:val="both"/>
        <w:rPr>
          <w:rFonts w:eastAsia="宋体"/>
          <w:color w:val="FF0000"/>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358C7701">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sz w:val="21"/>
          <w:szCs w:val="21"/>
          <w:lang w:eastAsia="zh-CN"/>
        </w:rPr>
      </w:pPr>
    </w:p>
    <w:p w14:paraId="1F3F2FBF">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14:paraId="3D718A5C">
      <w:pPr>
        <w:widowControl w:val="0"/>
        <w:jc w:val="both"/>
        <w:rPr>
          <w:rFonts w:hint="eastAsia" w:ascii="黑体" w:eastAsia="黑体" w:cs="黑体"/>
          <w:kern w:val="2"/>
          <w:szCs w:val="20"/>
          <w:lang w:eastAsia="zh-CN" w:bidi="ar"/>
        </w:rPr>
      </w:pPr>
      <w:r>
        <w:rPr>
          <w:rFonts w:hint="eastAsia" w:ascii="黑体" w:eastAsia="黑体" w:cs="黑体"/>
          <w:kern w:val="2"/>
          <w:szCs w:val="20"/>
          <w:lang w:eastAsia="zh-CN" w:bidi="ar"/>
        </w:rPr>
        <w:br w:type="page"/>
      </w:r>
    </w:p>
    <w:p w14:paraId="61453A0F">
      <w:pPr>
        <w:keepNext w:val="0"/>
        <w:keepLines w:val="0"/>
        <w:widowControl w:val="0"/>
        <w:suppressLineNumbers w:val="0"/>
        <w:spacing w:before="0" w:beforeAutospacing="0" w:after="0" w:afterAutospacing="0"/>
        <w:ind w:left="0" w:right="0"/>
        <w:jc w:val="center"/>
        <w:rPr>
          <w:rFonts w:hint="eastAsia" w:ascii="黑体" w:eastAsia="黑体" w:cs="黑体"/>
          <w:kern w:val="2"/>
          <w:szCs w:val="20"/>
          <w:lang w:eastAsia="zh-CN"/>
        </w:rPr>
      </w:pPr>
      <w:r>
        <w:rPr>
          <w:rFonts w:hint="eastAsia" w:ascii="黑体" w:eastAsia="黑体" w:cs="黑体"/>
          <w:kern w:val="2"/>
          <w:szCs w:val="20"/>
          <w:lang w:eastAsia="zh-CN" w:bidi="ar"/>
        </w:rPr>
        <w:t>（二）订单融资情况</w:t>
      </w:r>
    </w:p>
    <w:p w14:paraId="6D6D1F66">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14:paraId="7E5BD8C6">
      <w:pPr>
        <w:keepNext w:val="0"/>
        <w:keepLines w:val="0"/>
        <w:widowControl w:val="0"/>
        <w:suppressLineNumbers w:val="0"/>
        <w:spacing w:before="0" w:beforeAutospacing="0" w:after="120" w:afterAutospacing="0"/>
        <w:ind w:left="0" w:right="0" w:firstLine="420" w:firstLineChars="200"/>
        <w:jc w:val="both"/>
        <w:rPr>
          <w:rFonts w:eastAsia="宋体"/>
          <w:b/>
          <w:szCs w:val="21"/>
          <w:lang w:eastAsia="zh-CN"/>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14:paraId="69C66D5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14:paraId="5A746CE8">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14:paraId="3982D814">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52C7AFB5">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09575541">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7321B714">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8E117EA">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306BD5E0">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6D03B978">
      <w:pPr>
        <w:keepNext w:val="0"/>
        <w:keepLines w:val="0"/>
        <w:widowControl w:val="0"/>
        <w:suppressLineNumbers w:val="0"/>
        <w:spacing w:before="0" w:beforeAutospacing="0" w:after="0" w:afterAutospacing="0"/>
        <w:ind w:right="0"/>
        <w:jc w:val="both"/>
        <w:rPr>
          <w:rFonts w:eastAsia="宋体"/>
          <w:kern w:val="2"/>
          <w:sz w:val="21"/>
          <w:szCs w:val="21"/>
          <w:lang w:eastAsia="zh-CN"/>
        </w:rPr>
      </w:pPr>
      <w:r>
        <w:rPr>
          <w:rFonts w:hint="eastAsia" w:ascii="宋体" w:hAnsi="宋体" w:eastAsia="宋体" w:cs="宋体"/>
          <w:b/>
          <w:bCs/>
          <w:color w:val="FF0000"/>
          <w:spacing w:val="-4"/>
          <w:sz w:val="21"/>
          <w:szCs w:val="21"/>
          <w:lang w:eastAsia="zh-CN" w:bidi="ar"/>
        </w:rPr>
        <w:t>注：本项填写内容作为订单融资开展的参考信息，不作为供应商资格性审查及符合性审查条件。</w:t>
      </w:r>
    </w:p>
    <w:p w14:paraId="4D1C945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14:paraId="26C39D76">
      <w:pPr>
        <w:widowControl w:val="0"/>
        <w:jc w:val="both"/>
        <w:rPr>
          <w:rFonts w:hint="eastAsia" w:ascii="黑体" w:hAnsi="宋体" w:eastAsia="黑体" w:cs="黑体"/>
          <w:szCs w:val="20"/>
          <w:lang w:eastAsia="zh-CN" w:bidi="ar"/>
        </w:rPr>
      </w:pPr>
      <w:r>
        <w:rPr>
          <w:rFonts w:hint="eastAsia" w:ascii="黑体" w:hAnsi="宋体" w:eastAsia="黑体" w:cs="黑体"/>
          <w:szCs w:val="20"/>
          <w:lang w:eastAsia="zh-CN" w:bidi="ar"/>
        </w:rPr>
        <w:br w:type="page"/>
      </w:r>
    </w:p>
    <w:p w14:paraId="0988E5A7">
      <w:pPr>
        <w:keepNext w:val="0"/>
        <w:keepLines w:val="0"/>
        <w:widowControl/>
        <w:suppressLineNumbers w:val="0"/>
        <w:spacing w:before="0" w:beforeAutospacing="0" w:after="0" w:afterAutospacing="0"/>
        <w:ind w:left="0" w:right="0"/>
        <w:jc w:val="center"/>
        <w:rPr>
          <w:rFonts w:hint="eastAsia"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14:paraId="039F3485">
      <w:pPr>
        <w:widowControl/>
        <w:jc w:val="left"/>
        <w:rPr>
          <w:rFonts w:ascii="宋体" w:hAnsi="宋体" w:eastAsia="宋体"/>
          <w:b/>
          <w:bCs/>
          <w:szCs w:val="20"/>
          <w:lang w:eastAsia="zh-CN"/>
        </w:rPr>
      </w:pPr>
      <w:r>
        <w:rPr>
          <w:rFonts w:eastAsia="宋体"/>
          <w:kern w:val="2"/>
          <w:sz w:val="21"/>
          <w:lang w:eastAsia="zh-CN"/>
        </w:rPr>
        <w:br w:type="page"/>
      </w:r>
    </w:p>
    <w:p w14:paraId="7D4A0AF5">
      <w:pPr>
        <w:keepNext/>
        <w:keepLines/>
        <w:widowControl w:val="0"/>
        <w:adjustRightInd w:val="0"/>
        <w:spacing w:before="260" w:after="260" w:line="240" w:lineRule="auto"/>
        <w:jc w:val="center"/>
        <w:textAlignment w:val="baseline"/>
        <w:outlineLvl w:val="1"/>
        <w:rPr>
          <w:rFonts w:hint="eastAsia" w:ascii="宋体" w:hAnsi="宋体" w:eastAsia="宋体"/>
          <w:bCs/>
          <w:szCs w:val="20"/>
          <w:lang w:eastAsia="zh-CN"/>
        </w:rPr>
      </w:pPr>
      <w:r>
        <w:rPr>
          <w:rFonts w:hint="eastAsia" w:ascii="宋体" w:hAnsi="宋体" w:eastAsia="宋体"/>
          <w:bCs/>
          <w:szCs w:val="20"/>
          <w:lang w:eastAsia="zh-CN"/>
        </w:rPr>
        <w:t>第五章  合同条款及格式</w:t>
      </w:r>
    </w:p>
    <w:p w14:paraId="2CCDECD8">
      <w:pPr>
        <w:widowControl w:val="0"/>
        <w:jc w:val="both"/>
        <w:rPr>
          <w:rFonts w:eastAsia="宋体"/>
          <w:kern w:val="2"/>
          <w:sz w:val="21"/>
          <w:lang w:eastAsia="zh-CN"/>
        </w:rPr>
      </w:pPr>
    </w:p>
    <w:p w14:paraId="27DD071C">
      <w:pPr>
        <w:widowControl w:val="0"/>
        <w:jc w:val="center"/>
        <w:outlineLvl w:val="0"/>
        <w:rPr>
          <w:rFonts w:eastAsia="宋体"/>
          <w:kern w:val="2"/>
          <w:sz w:val="21"/>
          <w:lang w:eastAsia="zh-CN"/>
        </w:rPr>
      </w:pPr>
      <w:bookmarkStart w:id="46" w:name="_Toc3995"/>
      <w:r>
        <w:rPr>
          <w:rFonts w:hint="eastAsia" w:eastAsia="宋体"/>
          <w:b/>
          <w:kern w:val="2"/>
          <w:lang w:eastAsia="zh-CN"/>
        </w:rPr>
        <w:t>（仅供参考，具体以项目需求及采购结果为准）</w:t>
      </w:r>
    </w:p>
    <w:p w14:paraId="35E7DEEA">
      <w:pPr>
        <w:widowControl w:val="0"/>
        <w:jc w:val="center"/>
        <w:rPr>
          <w:rFonts w:hint="eastAsia" w:ascii="宋体" w:hAnsi="宋体" w:eastAsia="宋体" w:cs="宋体"/>
          <w:b/>
          <w:bCs/>
          <w:spacing w:val="-20"/>
          <w:kern w:val="44"/>
          <w:sz w:val="48"/>
          <w:szCs w:val="48"/>
          <w:lang w:eastAsia="zh-CN"/>
        </w:rPr>
      </w:pPr>
    </w:p>
    <w:p w14:paraId="3EB83146">
      <w:pPr>
        <w:widowControl w:val="0"/>
        <w:jc w:val="center"/>
        <w:rPr>
          <w:rFonts w:hint="eastAsia" w:ascii="宋体" w:hAnsi="宋体" w:eastAsia="宋体" w:cs="宋体"/>
          <w:b/>
          <w:bCs/>
          <w:spacing w:val="-20"/>
          <w:kern w:val="44"/>
          <w:sz w:val="48"/>
          <w:szCs w:val="48"/>
          <w:lang w:eastAsia="zh-CN"/>
        </w:rPr>
      </w:pPr>
    </w:p>
    <w:bookmarkEnd w:id="46"/>
    <w:p w14:paraId="1E5C737A">
      <w:pPr>
        <w:widowControl w:val="0"/>
        <w:ind w:right="-900" w:rightChars="-375"/>
        <w:jc w:val="center"/>
        <w:rPr>
          <w:rFonts w:hint="eastAsia" w:ascii="宋体" w:hAnsi="宋体" w:eastAsia="宋体" w:cs="仿宋"/>
          <w:b/>
          <w:kern w:val="2"/>
          <w:sz w:val="44"/>
          <w:szCs w:val="44"/>
          <w:lang w:eastAsia="zh-CN"/>
        </w:rPr>
      </w:pPr>
      <w:permStart w:id="0" w:edGrp="everyone"/>
      <w:r>
        <w:rPr>
          <w:rFonts w:hint="eastAsia" w:ascii="宋体" w:hAnsi="宋体" w:eastAsia="宋体" w:cs="仿宋"/>
          <w:b/>
          <w:kern w:val="2"/>
          <w:sz w:val="44"/>
          <w:szCs w:val="44"/>
          <w:lang w:eastAsia="zh-CN"/>
        </w:rPr>
        <w:t>XXXXX项目</w:t>
      </w:r>
      <w:permEnd w:id="0"/>
      <w:r>
        <w:rPr>
          <w:rFonts w:hint="eastAsia" w:ascii="宋体" w:hAnsi="宋体" w:eastAsia="宋体" w:cs="仿宋"/>
          <w:b/>
          <w:kern w:val="2"/>
          <w:sz w:val="44"/>
          <w:szCs w:val="44"/>
          <w:lang w:eastAsia="zh-CN"/>
        </w:rPr>
        <w:t>医疗设备采购合同</w:t>
      </w:r>
    </w:p>
    <w:p w14:paraId="19BEB78D">
      <w:pPr>
        <w:widowControl w:val="0"/>
        <w:spacing w:line="360" w:lineRule="auto"/>
        <w:jc w:val="both"/>
        <w:rPr>
          <w:rFonts w:ascii="Calibri" w:hAnsi="Calibri" w:eastAsia="宋体"/>
          <w:b/>
          <w:bCs/>
          <w:kern w:val="2"/>
          <w:lang w:eastAsia="zh-CN"/>
        </w:rPr>
      </w:pPr>
    </w:p>
    <w:tbl>
      <w:tblPr>
        <w:tblStyle w:val="14"/>
        <w:tblW w:w="5000" w:type="pct"/>
        <w:jc w:val="right"/>
        <w:tblLayout w:type="fixed"/>
        <w:tblCellMar>
          <w:top w:w="0" w:type="dxa"/>
          <w:left w:w="108" w:type="dxa"/>
          <w:bottom w:w="0" w:type="dxa"/>
          <w:right w:w="108" w:type="dxa"/>
        </w:tblCellMar>
      </w:tblPr>
      <w:tblGrid>
        <w:gridCol w:w="4264"/>
        <w:gridCol w:w="4265"/>
      </w:tblGrid>
      <w:tr w14:paraId="2505920C">
        <w:tblPrEx>
          <w:tblCellMar>
            <w:top w:w="0" w:type="dxa"/>
            <w:left w:w="108" w:type="dxa"/>
            <w:bottom w:w="0" w:type="dxa"/>
            <w:right w:w="108" w:type="dxa"/>
          </w:tblCellMar>
        </w:tblPrEx>
        <w:trPr>
          <w:trHeight w:val="560" w:hRule="atLeast"/>
          <w:jc w:val="right"/>
        </w:trPr>
        <w:tc>
          <w:tcPr>
            <w:tcW w:w="360" w:type="dxa"/>
            <w:tcBorders>
              <w:top w:val="nil"/>
              <w:left w:val="nil"/>
              <w:bottom w:val="nil"/>
              <w:right w:val="nil"/>
            </w:tcBorders>
            <w:vAlign w:val="center"/>
          </w:tcPr>
          <w:p w14:paraId="4A296D1D">
            <w:pPr>
              <w:widowControl/>
              <w:jc w:val="left"/>
              <w:textAlignment w:val="center"/>
              <w:rPr>
                <w:rFonts w:hint="eastAsia" w:ascii="宋体" w:hAnsi="宋体" w:eastAsia="宋体" w:cs="宋体"/>
                <w:kern w:val="2"/>
                <w:sz w:val="22"/>
                <w:lang w:eastAsia="zh-CN"/>
              </w:rPr>
            </w:pPr>
            <w:r>
              <w:rPr>
                <w:rFonts w:hint="eastAsia" w:ascii="宋体" w:hAnsi="宋体" w:eastAsia="宋体" w:cs="宋体"/>
                <w:sz w:val="22"/>
                <w:lang w:eastAsia="zh-CN"/>
              </w:rPr>
              <w:t>合同编号：</w:t>
            </w:r>
            <w:permStart w:id="1" w:edGrp="everyone"/>
            <w:r>
              <w:rPr>
                <w:rFonts w:hint="eastAsia" w:ascii="宋体" w:hAnsi="宋体" w:eastAsia="宋体" w:cs="宋体"/>
                <w:sz w:val="22"/>
                <w:u w:val="single"/>
                <w:lang w:eastAsia="zh-CN"/>
              </w:rPr>
              <w:t>CUHKSZMCMEngD-2025-****</w:t>
            </w:r>
            <w:permEnd w:id="1"/>
          </w:p>
        </w:tc>
        <w:tc>
          <w:tcPr>
            <w:tcW w:w="360" w:type="dxa"/>
            <w:tcBorders>
              <w:top w:val="nil"/>
              <w:left w:val="nil"/>
              <w:bottom w:val="nil"/>
              <w:right w:val="nil"/>
            </w:tcBorders>
            <w:vAlign w:val="center"/>
          </w:tcPr>
          <w:p w14:paraId="286FEA2A">
            <w:pPr>
              <w:widowControl/>
              <w:jc w:val="left"/>
              <w:textAlignment w:val="center"/>
              <w:rPr>
                <w:rFonts w:hint="eastAsia" w:ascii="宋体" w:hAnsi="宋体" w:eastAsia="宋体" w:cs="宋体"/>
                <w:kern w:val="2"/>
                <w:sz w:val="22"/>
                <w:lang w:eastAsia="zh-CN"/>
              </w:rPr>
            </w:pPr>
            <w:r>
              <w:rPr>
                <w:rFonts w:hint="eastAsia" w:ascii="宋体" w:hAnsi="宋体" w:eastAsia="宋体" w:cs="宋体"/>
                <w:kern w:val="2"/>
                <w:sz w:val="22"/>
                <w:lang w:eastAsia="zh-CN"/>
              </w:rPr>
              <w:t xml:space="preserve">   </w:t>
            </w:r>
          </w:p>
        </w:tc>
      </w:tr>
    </w:tbl>
    <w:p w14:paraId="158945A4">
      <w:pPr>
        <w:widowControl w:val="0"/>
        <w:spacing w:line="500" w:lineRule="exact"/>
        <w:jc w:val="both"/>
        <w:rPr>
          <w:rFonts w:hint="eastAsia" w:ascii="宋体" w:hAnsi="宋体" w:eastAsia="宋体" w:cs="宋体"/>
          <w:kern w:val="2"/>
          <w:sz w:val="22"/>
          <w:lang w:eastAsia="zh-CN"/>
        </w:rPr>
      </w:pPr>
      <w:r>
        <w:rPr>
          <w:rFonts w:hint="eastAsia" w:ascii="宋体" w:hAnsi="宋体" w:eastAsia="宋体" w:cs="宋体"/>
          <w:kern w:val="2"/>
          <w:sz w:val="22"/>
          <w:lang w:eastAsia="zh-CN"/>
        </w:rPr>
        <w:t>甲方（采购方）：香港中文大学（深圳）医院</w:t>
      </w:r>
    </w:p>
    <w:p w14:paraId="221CAA3D">
      <w:pPr>
        <w:widowControl w:val="0"/>
        <w:spacing w:line="500" w:lineRule="exact"/>
        <w:jc w:val="both"/>
        <w:rPr>
          <w:rFonts w:hint="eastAsia" w:ascii="宋体" w:hAnsi="宋体" w:eastAsia="宋体" w:cs="宋体"/>
          <w:kern w:val="2"/>
          <w:sz w:val="22"/>
          <w:lang w:eastAsia="zh-CN"/>
        </w:rPr>
      </w:pPr>
      <w:r>
        <w:rPr>
          <w:rFonts w:hint="eastAsia" w:ascii="宋体" w:hAnsi="宋体" w:eastAsia="宋体" w:cs="宋体"/>
          <w:kern w:val="2"/>
          <w:sz w:val="22"/>
          <w:lang w:eastAsia="zh-CN"/>
        </w:rPr>
        <w:t>统一社会信用代码：12440300MB2E436808</w:t>
      </w:r>
    </w:p>
    <w:p w14:paraId="472A917D">
      <w:pPr>
        <w:widowControl w:val="0"/>
        <w:spacing w:line="500" w:lineRule="exact"/>
        <w:jc w:val="both"/>
        <w:rPr>
          <w:rFonts w:hint="eastAsia" w:ascii="宋体" w:hAnsi="宋体" w:eastAsia="宋体" w:cs="宋体"/>
          <w:kern w:val="2"/>
          <w:sz w:val="22"/>
          <w:lang w:eastAsia="zh-CN"/>
        </w:rPr>
      </w:pPr>
      <w:r>
        <w:rPr>
          <w:rFonts w:hint="eastAsia" w:ascii="宋体" w:hAnsi="宋体" w:eastAsia="宋体" w:cs="宋体"/>
          <w:kern w:val="2"/>
          <w:sz w:val="22"/>
          <w:lang w:eastAsia="zh-CN"/>
        </w:rPr>
        <w:t>法定代表人：李学金</w:t>
      </w:r>
    </w:p>
    <w:p w14:paraId="06AEF542">
      <w:pPr>
        <w:widowControl w:val="0"/>
        <w:spacing w:line="500" w:lineRule="exact"/>
        <w:jc w:val="both"/>
        <w:rPr>
          <w:rFonts w:hint="eastAsia" w:ascii="宋体" w:hAnsi="宋体" w:eastAsia="宋体" w:cs="宋体"/>
          <w:kern w:val="2"/>
          <w:sz w:val="22"/>
          <w:lang w:eastAsia="zh-CN"/>
        </w:rPr>
      </w:pPr>
      <w:r>
        <w:rPr>
          <w:rFonts w:hint="eastAsia" w:ascii="宋体" w:hAnsi="宋体" w:eastAsia="宋体" w:cs="宋体"/>
          <w:kern w:val="2"/>
          <w:sz w:val="22"/>
          <w:lang w:eastAsia="zh-CN"/>
        </w:rPr>
        <w:t>地址：深圳市龙岗区坂田街道吉华路南侧</w:t>
      </w:r>
    </w:p>
    <w:p w14:paraId="183BB39C">
      <w:pPr>
        <w:widowControl w:val="0"/>
        <w:spacing w:line="500" w:lineRule="exact"/>
        <w:jc w:val="both"/>
        <w:rPr>
          <w:rFonts w:hint="eastAsia" w:ascii="宋体" w:hAnsi="宋体" w:eastAsia="宋体" w:cs="宋体"/>
          <w:kern w:val="2"/>
          <w:sz w:val="22"/>
          <w:highlight w:val="yellow"/>
          <w:lang w:eastAsia="zh-CN"/>
        </w:rPr>
      </w:pPr>
    </w:p>
    <w:p w14:paraId="481F44DD">
      <w:pPr>
        <w:widowControl w:val="0"/>
        <w:spacing w:line="500" w:lineRule="exact"/>
        <w:jc w:val="both"/>
        <w:rPr>
          <w:rFonts w:hint="eastAsia" w:ascii="宋体" w:hAnsi="宋体" w:eastAsia="宋体" w:cs="宋体"/>
          <w:kern w:val="2"/>
          <w:sz w:val="22"/>
          <w:lang w:eastAsia="zh-CN"/>
        </w:rPr>
      </w:pPr>
      <w:permStart w:id="2" w:edGrp="everyone"/>
      <w:r>
        <w:rPr>
          <w:rFonts w:hint="eastAsia" w:ascii="宋体" w:hAnsi="宋体" w:eastAsia="宋体" w:cs="宋体"/>
          <w:kern w:val="2"/>
          <w:sz w:val="22"/>
          <w:lang w:eastAsia="zh-CN"/>
        </w:rPr>
        <w:t>乙方（供应方）：</w:t>
      </w:r>
    </w:p>
    <w:p w14:paraId="020671BA">
      <w:pPr>
        <w:widowControl w:val="0"/>
        <w:spacing w:line="500" w:lineRule="exact"/>
        <w:jc w:val="both"/>
        <w:rPr>
          <w:rFonts w:hint="eastAsia" w:ascii="宋体" w:hAnsi="宋体" w:eastAsia="宋体" w:cs="宋体"/>
          <w:kern w:val="2"/>
          <w:sz w:val="22"/>
          <w:lang w:eastAsia="zh-CN"/>
        </w:rPr>
      </w:pPr>
      <w:r>
        <w:rPr>
          <w:rFonts w:hint="eastAsia" w:ascii="宋体" w:hAnsi="宋体" w:eastAsia="宋体" w:cs="宋体"/>
          <w:kern w:val="2"/>
          <w:sz w:val="22"/>
          <w:lang w:eastAsia="zh-CN"/>
        </w:rPr>
        <w:t>统一社会信用代码：</w:t>
      </w:r>
    </w:p>
    <w:p w14:paraId="5D971E62">
      <w:pPr>
        <w:widowControl w:val="0"/>
        <w:spacing w:line="500" w:lineRule="exact"/>
        <w:jc w:val="both"/>
        <w:rPr>
          <w:rFonts w:hint="eastAsia" w:ascii="宋体" w:hAnsi="宋体" w:eastAsia="宋体" w:cs="宋体"/>
          <w:kern w:val="2"/>
          <w:sz w:val="22"/>
          <w:lang w:eastAsia="zh-CN"/>
        </w:rPr>
      </w:pPr>
      <w:r>
        <w:rPr>
          <w:rFonts w:hint="eastAsia" w:ascii="宋体" w:hAnsi="宋体" w:eastAsia="宋体" w:cs="宋体"/>
          <w:kern w:val="2"/>
          <w:sz w:val="22"/>
          <w:lang w:eastAsia="zh-CN"/>
        </w:rPr>
        <w:t>法定代表人：</w:t>
      </w:r>
    </w:p>
    <w:p w14:paraId="6100EB5D">
      <w:pPr>
        <w:widowControl w:val="0"/>
        <w:spacing w:line="500" w:lineRule="exact"/>
        <w:jc w:val="both"/>
        <w:rPr>
          <w:rFonts w:hint="eastAsia" w:ascii="宋体" w:hAnsi="宋体" w:eastAsia="宋体" w:cs="宋体"/>
          <w:kern w:val="2"/>
          <w:sz w:val="22"/>
          <w:lang w:eastAsia="zh-CN"/>
        </w:rPr>
      </w:pPr>
      <w:r>
        <w:rPr>
          <w:rFonts w:hint="eastAsia" w:ascii="宋体" w:hAnsi="宋体" w:eastAsia="宋体" w:cs="宋体"/>
          <w:kern w:val="2"/>
          <w:sz w:val="22"/>
          <w:lang w:eastAsia="zh-CN"/>
        </w:rPr>
        <w:t>地址：</w:t>
      </w:r>
    </w:p>
    <w:permEnd w:id="2"/>
    <w:p w14:paraId="1CFAD5BA">
      <w:pPr>
        <w:widowControl w:val="0"/>
        <w:spacing w:line="500" w:lineRule="exact"/>
        <w:jc w:val="both"/>
        <w:rPr>
          <w:rFonts w:hint="eastAsia" w:ascii="宋体" w:hAnsi="宋体" w:eastAsia="宋体" w:cs="宋体"/>
          <w:kern w:val="2"/>
          <w:sz w:val="22"/>
          <w:highlight w:val="yellow"/>
          <w:lang w:eastAsia="zh-CN"/>
        </w:rPr>
      </w:pPr>
    </w:p>
    <w:p w14:paraId="54FA3A60">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合同签订各方根据中标结果和“采购文件”的要求，按照《中华人民共和国民法典》和《深圳经济特区政府采购条例》的规定，并经双方协商一致，达成协议如下：</w:t>
      </w:r>
    </w:p>
    <w:p w14:paraId="3823C200">
      <w:pPr>
        <w:widowControl w:val="0"/>
        <w:spacing w:line="500" w:lineRule="exact"/>
        <w:ind w:firstLine="442" w:firstLineChars="200"/>
        <w:jc w:val="both"/>
        <w:rPr>
          <w:rFonts w:hint="eastAsia" w:ascii="宋体" w:hAnsi="宋体" w:eastAsia="宋体" w:cs="宋体"/>
          <w:b/>
          <w:bCs/>
          <w:kern w:val="2"/>
          <w:sz w:val="22"/>
          <w:lang w:eastAsia="zh-CN"/>
        </w:rPr>
      </w:pPr>
      <w:r>
        <w:rPr>
          <w:rFonts w:hint="eastAsia" w:ascii="宋体" w:hAnsi="宋体" w:eastAsia="宋体" w:cs="宋体"/>
          <w:b/>
          <w:bCs/>
          <w:kern w:val="2"/>
          <w:sz w:val="22"/>
          <w:lang w:eastAsia="zh-CN"/>
        </w:rPr>
        <w:t>第一条 合同标的与价款</w:t>
      </w:r>
    </w:p>
    <w:tbl>
      <w:tblPr>
        <w:tblStyle w:val="14"/>
        <w:tblW w:w="5000" w:type="pct"/>
        <w:jc w:val="center"/>
        <w:tblLayout w:type="fixed"/>
        <w:tblCellMar>
          <w:top w:w="0" w:type="dxa"/>
          <w:left w:w="0" w:type="dxa"/>
          <w:bottom w:w="0" w:type="dxa"/>
          <w:right w:w="0" w:type="dxa"/>
        </w:tblCellMar>
      </w:tblPr>
      <w:tblGrid>
        <w:gridCol w:w="626"/>
        <w:gridCol w:w="2110"/>
        <w:gridCol w:w="1064"/>
        <w:gridCol w:w="1180"/>
        <w:gridCol w:w="618"/>
        <w:gridCol w:w="619"/>
        <w:gridCol w:w="1108"/>
        <w:gridCol w:w="1018"/>
      </w:tblGrid>
      <w:tr w14:paraId="425BF5C0">
        <w:tblPrEx>
          <w:tblCellMar>
            <w:top w:w="0" w:type="dxa"/>
            <w:left w:w="0" w:type="dxa"/>
            <w:bottom w:w="0" w:type="dxa"/>
            <w:right w:w="0" w:type="dxa"/>
          </w:tblCellMar>
        </w:tblPrEx>
        <w:trPr>
          <w:trHeight w:val="680" w:hRule="atLeast"/>
          <w:jc w:val="center"/>
        </w:trPr>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0DB94">
            <w:pPr>
              <w:widowControl w:val="0"/>
              <w:tabs>
                <w:tab w:val="left" w:pos="562"/>
                <w:tab w:val="left" w:pos="3372"/>
                <w:tab w:val="left" w:pos="3653"/>
              </w:tabs>
              <w:spacing w:line="360" w:lineRule="auto"/>
              <w:jc w:val="both"/>
              <w:rPr>
                <w:rFonts w:hint="eastAsia" w:ascii="宋体" w:hAnsi="宋体" w:eastAsia="宋体" w:cs="宋体"/>
                <w:b/>
                <w:bCs/>
                <w:kern w:val="2"/>
                <w:sz w:val="22"/>
                <w:lang w:eastAsia="zh-CN"/>
              </w:rPr>
            </w:pPr>
            <w:permStart w:id="3" w:edGrp="everyone"/>
            <w:r>
              <w:rPr>
                <w:rFonts w:hint="eastAsia" w:eastAsia="宋体"/>
                <w:b/>
                <w:bCs/>
                <w:kern w:val="2"/>
                <w:lang w:eastAsia="zh-CN"/>
              </w:rPr>
              <w:t xml:space="preserve"> </w:t>
            </w:r>
            <w:r>
              <w:rPr>
                <w:rFonts w:hint="eastAsia" w:ascii="宋体" w:hAnsi="宋体" w:eastAsia="宋体" w:cs="宋体"/>
                <w:b/>
                <w:bCs/>
                <w:sz w:val="22"/>
                <w:lang w:eastAsia="zh-CN"/>
              </w:rPr>
              <w:t>序号</w:t>
            </w:r>
          </w:p>
        </w:tc>
        <w:tc>
          <w:tcPr>
            <w:tcW w:w="2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24007">
            <w:pPr>
              <w:widowControl w:val="0"/>
              <w:tabs>
                <w:tab w:val="left" w:pos="562"/>
                <w:tab w:val="left" w:pos="3372"/>
                <w:tab w:val="left" w:pos="3653"/>
              </w:tabs>
              <w:spacing w:line="360" w:lineRule="auto"/>
              <w:jc w:val="both"/>
              <w:rPr>
                <w:rFonts w:hint="eastAsia" w:ascii="宋体" w:hAnsi="宋体" w:eastAsia="宋体" w:cs="宋体"/>
                <w:b/>
                <w:bCs/>
                <w:sz w:val="22"/>
                <w:lang w:eastAsia="zh-CN"/>
              </w:rPr>
            </w:pPr>
            <w:r>
              <w:rPr>
                <w:rFonts w:hint="eastAsia" w:ascii="宋体" w:hAnsi="宋体" w:eastAsia="宋体" w:cs="宋体"/>
                <w:b/>
                <w:bCs/>
                <w:kern w:val="2"/>
                <w:sz w:val="22"/>
                <w:lang w:eastAsia="zh-CN"/>
              </w:rPr>
              <w:t>设备名称</w:t>
            </w:r>
          </w:p>
        </w:tc>
        <w:tc>
          <w:tcPr>
            <w:tcW w:w="1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3C588">
            <w:pPr>
              <w:widowControl w:val="0"/>
              <w:tabs>
                <w:tab w:val="left" w:pos="562"/>
                <w:tab w:val="left" w:pos="3372"/>
                <w:tab w:val="left" w:pos="3653"/>
              </w:tabs>
              <w:spacing w:line="360" w:lineRule="auto"/>
              <w:jc w:val="both"/>
              <w:rPr>
                <w:rFonts w:hint="eastAsia" w:ascii="宋体" w:hAnsi="宋体" w:eastAsia="宋体" w:cs="宋体"/>
                <w:b/>
                <w:bCs/>
                <w:sz w:val="22"/>
                <w:lang w:eastAsia="zh-CN"/>
              </w:rPr>
            </w:pPr>
            <w:r>
              <w:rPr>
                <w:rFonts w:hint="eastAsia" w:ascii="宋体" w:hAnsi="宋体" w:eastAsia="宋体" w:cs="宋体"/>
                <w:b/>
                <w:bCs/>
                <w:sz w:val="22"/>
                <w:lang w:eastAsia="zh-CN"/>
              </w:rPr>
              <w:t>产地/品牌</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CB147">
            <w:pPr>
              <w:widowControl w:val="0"/>
              <w:tabs>
                <w:tab w:val="left" w:pos="562"/>
                <w:tab w:val="left" w:pos="3372"/>
                <w:tab w:val="left" w:pos="3653"/>
              </w:tabs>
              <w:spacing w:line="360" w:lineRule="auto"/>
              <w:jc w:val="both"/>
              <w:rPr>
                <w:rFonts w:hint="eastAsia" w:ascii="宋体" w:hAnsi="宋体" w:eastAsia="宋体" w:cs="宋体"/>
                <w:b/>
                <w:bCs/>
                <w:kern w:val="2"/>
                <w:sz w:val="22"/>
                <w:lang w:eastAsia="zh-CN"/>
              </w:rPr>
            </w:pPr>
            <w:r>
              <w:rPr>
                <w:rFonts w:hint="eastAsia" w:ascii="宋体" w:hAnsi="宋体" w:eastAsia="宋体" w:cs="宋体"/>
                <w:b/>
                <w:bCs/>
                <w:sz w:val="22"/>
                <w:lang w:eastAsia="zh-CN"/>
              </w:rPr>
              <w:t>规格/型号</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E858F">
            <w:pPr>
              <w:widowControl w:val="0"/>
              <w:tabs>
                <w:tab w:val="left" w:pos="562"/>
                <w:tab w:val="left" w:pos="3372"/>
                <w:tab w:val="left" w:pos="3653"/>
              </w:tabs>
              <w:spacing w:line="360" w:lineRule="auto"/>
              <w:jc w:val="both"/>
              <w:rPr>
                <w:rFonts w:hint="eastAsia" w:ascii="宋体" w:hAnsi="宋体" w:eastAsia="宋体" w:cs="宋体"/>
                <w:b/>
                <w:bCs/>
                <w:kern w:val="2"/>
                <w:sz w:val="22"/>
                <w:lang w:eastAsia="zh-CN"/>
              </w:rPr>
            </w:pPr>
            <w:r>
              <w:rPr>
                <w:rFonts w:hint="eastAsia" w:ascii="宋体" w:hAnsi="宋体" w:eastAsia="宋体" w:cs="宋体"/>
                <w:b/>
                <w:bCs/>
                <w:sz w:val="22"/>
                <w:lang w:eastAsia="zh-CN"/>
              </w:rPr>
              <w:t>数量</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A29DA">
            <w:pPr>
              <w:widowControl w:val="0"/>
              <w:tabs>
                <w:tab w:val="left" w:pos="562"/>
                <w:tab w:val="left" w:pos="3372"/>
                <w:tab w:val="left" w:pos="3653"/>
              </w:tabs>
              <w:spacing w:line="360" w:lineRule="auto"/>
              <w:jc w:val="both"/>
              <w:rPr>
                <w:rFonts w:hint="eastAsia" w:ascii="宋体" w:hAnsi="宋体" w:eastAsia="宋体" w:cs="宋体"/>
                <w:b/>
                <w:bCs/>
                <w:kern w:val="2"/>
                <w:sz w:val="22"/>
                <w:lang w:eastAsia="zh-CN"/>
              </w:rPr>
            </w:pPr>
            <w:r>
              <w:rPr>
                <w:rFonts w:hint="eastAsia" w:ascii="宋体" w:hAnsi="宋体" w:eastAsia="宋体" w:cs="宋体"/>
                <w:b/>
                <w:bCs/>
                <w:sz w:val="22"/>
                <w:lang w:eastAsia="zh-CN"/>
              </w:rPr>
              <w:t>单位</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99DBD">
            <w:pPr>
              <w:widowControl w:val="0"/>
              <w:tabs>
                <w:tab w:val="left" w:pos="562"/>
                <w:tab w:val="left" w:pos="3372"/>
                <w:tab w:val="left" w:pos="3653"/>
              </w:tabs>
              <w:spacing w:line="360" w:lineRule="auto"/>
              <w:jc w:val="both"/>
              <w:rPr>
                <w:rFonts w:hint="eastAsia" w:ascii="宋体" w:hAnsi="宋体" w:eastAsia="宋体" w:cs="宋体"/>
                <w:b/>
                <w:bCs/>
                <w:kern w:val="2"/>
                <w:sz w:val="22"/>
                <w:lang w:eastAsia="zh-CN"/>
              </w:rPr>
            </w:pPr>
            <w:r>
              <w:rPr>
                <w:rFonts w:hint="eastAsia" w:ascii="宋体" w:hAnsi="宋体" w:eastAsia="宋体" w:cs="宋体"/>
                <w:b/>
                <w:bCs/>
                <w:sz w:val="22"/>
                <w:lang w:eastAsia="zh-CN"/>
              </w:rPr>
              <w:t>单价（元）</w:t>
            </w: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53BA4">
            <w:pPr>
              <w:widowControl w:val="0"/>
              <w:tabs>
                <w:tab w:val="left" w:pos="562"/>
                <w:tab w:val="left" w:pos="3372"/>
                <w:tab w:val="left" w:pos="3653"/>
              </w:tabs>
              <w:spacing w:line="360" w:lineRule="auto"/>
              <w:jc w:val="both"/>
              <w:rPr>
                <w:rFonts w:hint="eastAsia" w:ascii="宋体" w:hAnsi="宋体" w:eastAsia="宋体" w:cs="宋体"/>
                <w:b/>
                <w:bCs/>
                <w:kern w:val="2"/>
                <w:sz w:val="22"/>
                <w:lang w:eastAsia="zh-CN"/>
              </w:rPr>
            </w:pPr>
            <w:r>
              <w:rPr>
                <w:rFonts w:hint="eastAsia" w:ascii="宋体" w:hAnsi="宋体" w:eastAsia="宋体" w:cs="宋体"/>
                <w:b/>
                <w:bCs/>
                <w:szCs w:val="21"/>
                <w:lang w:eastAsia="zh-CN"/>
              </w:rPr>
              <w:t>总价（元）</w:t>
            </w:r>
          </w:p>
        </w:tc>
      </w:tr>
      <w:permEnd w:id="3"/>
      <w:tr w14:paraId="5920BF29">
        <w:tblPrEx>
          <w:tblCellMar>
            <w:top w:w="0" w:type="dxa"/>
            <w:left w:w="0" w:type="dxa"/>
            <w:bottom w:w="0" w:type="dxa"/>
            <w:right w:w="0" w:type="dxa"/>
          </w:tblCellMar>
        </w:tblPrEx>
        <w:trPr>
          <w:trHeight w:val="680" w:hRule="atLeast"/>
          <w:jc w:val="center"/>
        </w:trPr>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328C3">
            <w:pPr>
              <w:widowControl/>
              <w:jc w:val="center"/>
              <w:textAlignment w:val="center"/>
              <w:rPr>
                <w:rFonts w:hint="eastAsia" w:ascii="宋体" w:hAnsi="宋体" w:eastAsia="宋体" w:cs="宋体"/>
                <w:kern w:val="2"/>
                <w:sz w:val="22"/>
                <w:lang w:eastAsia="zh-CN"/>
              </w:rPr>
            </w:pPr>
            <w:permStart w:id="4" w:edGrp="everyone"/>
            <w:r>
              <w:rPr>
                <w:rFonts w:hint="eastAsia" w:ascii="宋体" w:hAnsi="宋体" w:eastAsia="宋体" w:cs="宋体"/>
                <w:kern w:val="2"/>
                <w:sz w:val="22"/>
                <w:lang w:eastAsia="zh-CN"/>
              </w:rPr>
              <w:t>1</w:t>
            </w:r>
          </w:p>
        </w:tc>
        <w:tc>
          <w:tcPr>
            <w:tcW w:w="2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266CD">
            <w:pPr>
              <w:widowControl/>
              <w:jc w:val="center"/>
              <w:textAlignment w:val="center"/>
              <w:rPr>
                <w:rFonts w:hint="eastAsia" w:ascii="宋体" w:hAnsi="宋体" w:eastAsia="宋体" w:cs="宋体"/>
                <w:kern w:val="2"/>
                <w:sz w:val="22"/>
                <w:lang w:eastAsia="zh-CN"/>
              </w:rPr>
            </w:pPr>
          </w:p>
        </w:tc>
        <w:tc>
          <w:tcPr>
            <w:tcW w:w="1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0D5D8">
            <w:pPr>
              <w:widowControl/>
              <w:jc w:val="center"/>
              <w:textAlignment w:val="center"/>
              <w:rPr>
                <w:rFonts w:hint="eastAsia" w:ascii="宋体" w:hAnsi="宋体" w:eastAsia="宋体" w:cs="宋体"/>
                <w:kern w:val="2"/>
                <w:sz w:val="22"/>
                <w:lang w:eastAsia="zh-CN"/>
              </w:rPr>
            </w:pP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4D8E8">
            <w:pPr>
              <w:widowControl/>
              <w:jc w:val="center"/>
              <w:textAlignment w:val="center"/>
              <w:rPr>
                <w:rFonts w:hint="eastAsia" w:ascii="宋体" w:hAnsi="宋体" w:eastAsia="宋体" w:cs="宋体"/>
                <w:kern w:val="2"/>
                <w:sz w:val="22"/>
                <w:lang w:eastAsia="zh-CN"/>
              </w:rPr>
            </w:pP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ADB48">
            <w:pPr>
              <w:widowControl/>
              <w:jc w:val="center"/>
              <w:textAlignment w:val="center"/>
              <w:rPr>
                <w:rFonts w:hint="eastAsia" w:ascii="宋体" w:hAnsi="宋体" w:eastAsia="宋体" w:cs="宋体"/>
                <w:kern w:val="2"/>
                <w:sz w:val="22"/>
                <w:lang w:eastAsia="zh-CN"/>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8C988">
            <w:pPr>
              <w:widowControl/>
              <w:jc w:val="center"/>
              <w:textAlignment w:val="center"/>
              <w:rPr>
                <w:rFonts w:hint="eastAsia" w:ascii="宋体" w:hAnsi="宋体" w:eastAsia="宋体" w:cs="宋体"/>
                <w:kern w:val="2"/>
                <w:sz w:val="22"/>
                <w:lang w:eastAsia="zh-CN"/>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07482">
            <w:pPr>
              <w:widowControl/>
              <w:jc w:val="center"/>
              <w:textAlignment w:val="center"/>
              <w:rPr>
                <w:rFonts w:hint="eastAsia" w:ascii="宋体" w:hAnsi="宋体" w:eastAsia="宋体" w:cs="宋体"/>
                <w:kern w:val="2"/>
                <w:sz w:val="22"/>
                <w:lang w:eastAsia="zh-CN"/>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12343">
            <w:pPr>
              <w:widowControl/>
              <w:jc w:val="center"/>
              <w:textAlignment w:val="center"/>
              <w:rPr>
                <w:rFonts w:hint="eastAsia" w:ascii="宋体" w:hAnsi="宋体" w:eastAsia="宋体" w:cs="宋体"/>
                <w:kern w:val="2"/>
                <w:sz w:val="22"/>
                <w:lang w:eastAsia="zh-CN"/>
              </w:rPr>
            </w:pPr>
          </w:p>
        </w:tc>
      </w:tr>
      <w:permEnd w:id="4"/>
      <w:tr w14:paraId="05E0B0F5">
        <w:tblPrEx>
          <w:tblCellMar>
            <w:top w:w="0" w:type="dxa"/>
            <w:left w:w="0" w:type="dxa"/>
            <w:bottom w:w="0" w:type="dxa"/>
            <w:right w:w="0" w:type="dxa"/>
          </w:tblCellMar>
        </w:tblPrEx>
        <w:trPr>
          <w:trHeight w:val="680" w:hRule="atLeast"/>
          <w:jc w:val="center"/>
        </w:trPr>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D51CE">
            <w:pPr>
              <w:widowControl/>
              <w:jc w:val="center"/>
              <w:textAlignment w:val="center"/>
              <w:rPr>
                <w:rFonts w:hint="eastAsia" w:ascii="宋体" w:hAnsi="宋体" w:eastAsia="宋体" w:cs="宋体"/>
                <w:kern w:val="2"/>
                <w:sz w:val="22"/>
                <w:lang w:eastAsia="zh-CN"/>
              </w:rPr>
            </w:pPr>
            <w:permStart w:id="5" w:edGrp="everyone"/>
          </w:p>
        </w:tc>
        <w:tc>
          <w:tcPr>
            <w:tcW w:w="2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9343B">
            <w:pPr>
              <w:widowControl/>
              <w:jc w:val="center"/>
              <w:textAlignment w:val="center"/>
              <w:rPr>
                <w:rFonts w:hint="eastAsia" w:ascii="宋体" w:hAnsi="宋体" w:eastAsia="宋体" w:cs="宋体"/>
                <w:kern w:val="2"/>
                <w:sz w:val="22"/>
                <w:lang w:eastAsia="zh-CN"/>
              </w:rPr>
            </w:pPr>
          </w:p>
        </w:tc>
        <w:tc>
          <w:tcPr>
            <w:tcW w:w="1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D5646">
            <w:pPr>
              <w:widowControl/>
              <w:jc w:val="center"/>
              <w:textAlignment w:val="center"/>
              <w:rPr>
                <w:rFonts w:hint="eastAsia" w:ascii="宋体" w:hAnsi="宋体" w:eastAsia="宋体" w:cs="宋体"/>
                <w:kern w:val="2"/>
                <w:sz w:val="22"/>
                <w:lang w:eastAsia="zh-CN"/>
              </w:rPr>
            </w:pP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77C53">
            <w:pPr>
              <w:widowControl/>
              <w:jc w:val="center"/>
              <w:textAlignment w:val="center"/>
              <w:rPr>
                <w:rFonts w:hint="eastAsia" w:ascii="宋体" w:hAnsi="宋体" w:eastAsia="宋体" w:cs="宋体"/>
                <w:kern w:val="2"/>
                <w:sz w:val="22"/>
                <w:lang w:eastAsia="zh-CN"/>
              </w:rPr>
            </w:pP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22BD0">
            <w:pPr>
              <w:widowControl/>
              <w:jc w:val="center"/>
              <w:textAlignment w:val="center"/>
              <w:rPr>
                <w:rFonts w:hint="eastAsia" w:ascii="宋体" w:hAnsi="宋体" w:eastAsia="宋体" w:cs="宋体"/>
                <w:kern w:val="2"/>
                <w:sz w:val="22"/>
                <w:lang w:eastAsia="zh-CN"/>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50452">
            <w:pPr>
              <w:widowControl/>
              <w:jc w:val="center"/>
              <w:textAlignment w:val="center"/>
              <w:rPr>
                <w:rFonts w:hint="eastAsia" w:ascii="宋体" w:hAnsi="宋体" w:eastAsia="宋体" w:cs="宋体"/>
                <w:kern w:val="2"/>
                <w:sz w:val="22"/>
                <w:lang w:eastAsia="zh-CN"/>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810A2">
            <w:pPr>
              <w:widowControl/>
              <w:jc w:val="center"/>
              <w:textAlignment w:val="center"/>
              <w:rPr>
                <w:rFonts w:hint="eastAsia" w:ascii="宋体" w:hAnsi="宋体" w:eastAsia="宋体" w:cs="宋体"/>
                <w:kern w:val="2"/>
                <w:sz w:val="22"/>
                <w:lang w:eastAsia="zh-CN"/>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EC474">
            <w:pPr>
              <w:widowControl/>
              <w:jc w:val="center"/>
              <w:textAlignment w:val="center"/>
              <w:rPr>
                <w:rFonts w:hint="eastAsia" w:ascii="宋体" w:hAnsi="宋体" w:eastAsia="宋体" w:cs="宋体"/>
                <w:kern w:val="2"/>
                <w:sz w:val="22"/>
                <w:lang w:eastAsia="zh-CN"/>
              </w:rPr>
            </w:pPr>
          </w:p>
        </w:tc>
      </w:tr>
      <w:permEnd w:id="5"/>
      <w:tr w14:paraId="697F23A3">
        <w:tblPrEx>
          <w:tblCellMar>
            <w:top w:w="0" w:type="dxa"/>
            <w:left w:w="0" w:type="dxa"/>
            <w:bottom w:w="0" w:type="dxa"/>
            <w:right w:w="0" w:type="dxa"/>
          </w:tblCellMar>
        </w:tblPrEx>
        <w:trPr>
          <w:trHeight w:val="460" w:hRule="atLeast"/>
          <w:jc w:val="center"/>
        </w:trPr>
        <w:tc>
          <w:tcPr>
            <w:tcW w:w="9602"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0AC89">
            <w:pPr>
              <w:widowControl/>
              <w:jc w:val="left"/>
              <w:textAlignment w:val="center"/>
              <w:rPr>
                <w:rFonts w:hint="eastAsia" w:ascii="宋体" w:hAnsi="宋体" w:eastAsia="宋体" w:cs="宋体"/>
                <w:kern w:val="2"/>
                <w:sz w:val="22"/>
                <w:lang w:eastAsia="zh-CN"/>
              </w:rPr>
            </w:pPr>
            <w:r>
              <w:rPr>
                <w:rFonts w:hint="eastAsia" w:ascii="宋体" w:hAnsi="宋体" w:eastAsia="宋体" w:cs="宋体"/>
                <w:b/>
                <w:bCs/>
                <w:sz w:val="22"/>
                <w:lang w:eastAsia="zh-CN"/>
              </w:rPr>
              <w:t>合同价款总额合计：人民币（大写）：</w:t>
            </w:r>
            <w:permStart w:id="6" w:edGrp="everyone"/>
            <w:r>
              <w:rPr>
                <w:rFonts w:hint="eastAsia" w:ascii="宋体" w:hAnsi="宋体" w:eastAsia="宋体" w:cs="宋体"/>
                <w:b/>
                <w:bCs/>
                <w:sz w:val="22"/>
                <w:u w:val="single"/>
                <w:lang w:eastAsia="zh-CN"/>
              </w:rPr>
              <w:t xml:space="preserve">    </w:t>
            </w:r>
            <w:r>
              <w:rPr>
                <w:rFonts w:hint="eastAsia" w:ascii="宋体" w:hAnsi="宋体" w:eastAsia="宋体" w:cs="宋体"/>
                <w:b/>
                <w:bCs/>
                <w:sz w:val="22"/>
                <w:lang w:eastAsia="zh-CN"/>
              </w:rPr>
              <w:t>元整     小写：¥</w:t>
            </w:r>
            <w:r>
              <w:rPr>
                <w:rFonts w:hint="eastAsia" w:ascii="宋体" w:hAnsi="宋体" w:eastAsia="宋体" w:cs="宋体"/>
                <w:b/>
                <w:bCs/>
                <w:sz w:val="22"/>
                <w:u w:val="single"/>
                <w:lang w:eastAsia="zh-CN"/>
              </w:rPr>
              <w:t xml:space="preserve">      .00</w:t>
            </w:r>
            <w:permEnd w:id="6"/>
          </w:p>
        </w:tc>
      </w:tr>
      <w:tr w14:paraId="2739694C">
        <w:tblPrEx>
          <w:tblCellMar>
            <w:top w:w="0" w:type="dxa"/>
            <w:left w:w="0" w:type="dxa"/>
            <w:bottom w:w="0" w:type="dxa"/>
            <w:right w:w="0" w:type="dxa"/>
          </w:tblCellMar>
        </w:tblPrEx>
        <w:trPr>
          <w:trHeight w:val="460" w:hRule="atLeast"/>
          <w:jc w:val="center"/>
        </w:trPr>
        <w:tc>
          <w:tcPr>
            <w:tcW w:w="9602"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02EDD">
            <w:pPr>
              <w:widowControl/>
              <w:jc w:val="left"/>
              <w:textAlignment w:val="center"/>
              <w:rPr>
                <w:rFonts w:hint="eastAsia" w:ascii="宋体" w:hAnsi="宋体" w:eastAsia="宋体" w:cs="宋体"/>
                <w:kern w:val="2"/>
                <w:sz w:val="22"/>
                <w:lang w:eastAsia="zh-CN"/>
              </w:rPr>
            </w:pPr>
            <w:r>
              <w:rPr>
                <w:rFonts w:hint="eastAsia" w:ascii="宋体" w:hAnsi="宋体" w:eastAsia="宋体" w:cs="宋体"/>
                <w:sz w:val="22"/>
                <w:lang w:eastAsia="zh-CN"/>
              </w:rPr>
              <w:t>备注：设备配置清单详见附件</w:t>
            </w:r>
          </w:p>
        </w:tc>
      </w:tr>
    </w:tbl>
    <w:p w14:paraId="0270EB98">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合同总额已包括乙方为履行本合同义务所发生的一切成本、费用和税金，包括但不限于设备购置费、软件费、税费、运输费、装卸费、安装费、调试费、培训费、计量及技术服务费、检测费、设备安装配套用房费用和其他一切不可预见的费用。合同价款总额为货到指定地点的固定不变价格，且不随物价、汇率的变动而调整，除本合同明确约定由甲方承担的外，甲方不再支付乙方其他任何名目的费用。</w:t>
      </w:r>
    </w:p>
    <w:p w14:paraId="71312110">
      <w:pPr>
        <w:widowControl w:val="0"/>
        <w:spacing w:line="500" w:lineRule="exact"/>
        <w:ind w:firstLine="442" w:firstLineChars="200"/>
        <w:jc w:val="both"/>
        <w:rPr>
          <w:rFonts w:hint="eastAsia" w:ascii="宋体" w:hAnsi="宋体" w:eastAsia="宋体" w:cs="宋体"/>
          <w:b/>
          <w:bCs/>
          <w:kern w:val="2"/>
          <w:sz w:val="22"/>
          <w:lang w:eastAsia="zh-CN"/>
        </w:rPr>
      </w:pPr>
      <w:r>
        <w:rPr>
          <w:rFonts w:hint="eastAsia" w:ascii="宋体" w:hAnsi="宋体" w:eastAsia="宋体" w:cs="宋体"/>
          <w:b/>
          <w:bCs/>
          <w:kern w:val="2"/>
          <w:sz w:val="22"/>
          <w:lang w:eastAsia="zh-CN"/>
        </w:rPr>
        <w:t>第二条 设备质量及包装要求</w:t>
      </w:r>
    </w:p>
    <w:p w14:paraId="1A98FC08">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1、乙方保证己方具备经营本合同项下货物所需的法定资质，且经营行为完全符合《医疗器械监督管理条例》《医疗器械经营监督管理办法》《医疗器械经营质量管理规范》，以及本合同生效日可适用的其他法律法规及规范性文件的规定。</w:t>
      </w:r>
    </w:p>
    <w:p w14:paraId="24301557">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2、乙方所提供的货物质量、技术规格和性能应符合招标/采购文件所要求的质量标准和技术规格，完全符合货物原产国国家标准，但原产国的国家标准低于中华人民共和国国家强制性标准的，以后者为准。</w:t>
      </w:r>
    </w:p>
    <w:p w14:paraId="4DE0BDF2">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3、乙方应保证货物是全新、未使用过的原装合格正品（包括零配件）。所有货物出厂时间不超过12个月（出厂日期至到货日期之间应不超过12个月）。如货物需计量检定的，乙方应提供相关计量检定部门出具的合法检定报告；如货物需安装或配置软件的，乙方保证已按需要安装了相关的软件，且安装的软件均为正版软件，并获得了软件所有权人的合法授权，确保甲方在后续使用货物的过程中，软件的升级换代不受任何限制。</w:t>
      </w:r>
    </w:p>
    <w:p w14:paraId="448CC6C4">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4、乙方配合甲方执行进货查验制度，并向甲方提交乙方的资质和医疗器械的合格证明文件，以及随货出厂的包括但不限于使用说明、操作指南、保修卡、配件、工具等全部的随货物件。</w:t>
      </w:r>
    </w:p>
    <w:p w14:paraId="6E71C9D5">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5、要求设备使用国际通用的标准包装，适合于长途运输，外包装到货时应完好无损，外包装破损时甲方有权拒收，由此产生的其他费用由乙方承担，（包括但不限于运输费、装卸费、保管费等）。</w:t>
      </w:r>
    </w:p>
    <w:p w14:paraId="44232360">
      <w:pPr>
        <w:widowControl w:val="0"/>
        <w:spacing w:line="500" w:lineRule="exact"/>
        <w:ind w:firstLine="442" w:firstLineChars="200"/>
        <w:jc w:val="both"/>
        <w:rPr>
          <w:rFonts w:hint="eastAsia" w:ascii="宋体" w:hAnsi="宋体" w:eastAsia="宋体" w:cs="宋体"/>
          <w:b/>
          <w:bCs/>
          <w:kern w:val="2"/>
          <w:sz w:val="22"/>
          <w:lang w:eastAsia="zh-CN"/>
        </w:rPr>
      </w:pPr>
      <w:r>
        <w:rPr>
          <w:rFonts w:hint="eastAsia" w:ascii="宋体" w:hAnsi="宋体" w:eastAsia="宋体" w:cs="宋体"/>
          <w:b/>
          <w:bCs/>
          <w:kern w:val="2"/>
          <w:sz w:val="22"/>
          <w:lang w:eastAsia="zh-CN"/>
        </w:rPr>
        <w:t>第三条 交货时间、安装调试及地点</w:t>
      </w:r>
    </w:p>
    <w:p w14:paraId="7C548756">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1、乙方必须在合同生效之日起【</w:t>
      </w:r>
      <w:permStart w:id="7" w:edGrp="everyone"/>
      <w:r>
        <w:rPr>
          <w:rFonts w:hint="eastAsia" w:ascii="宋体" w:hAnsi="宋体" w:eastAsia="宋体" w:cs="宋体"/>
          <w:kern w:val="2"/>
          <w:sz w:val="22"/>
          <w:lang w:eastAsia="zh-CN"/>
        </w:rPr>
        <w:t>***</w:t>
      </w:r>
      <w:permEnd w:id="7"/>
      <w:r>
        <w:rPr>
          <w:rFonts w:hint="eastAsia" w:ascii="宋体" w:hAnsi="宋体" w:eastAsia="宋体" w:cs="宋体"/>
          <w:kern w:val="2"/>
          <w:sz w:val="22"/>
          <w:lang w:eastAsia="zh-CN"/>
        </w:rPr>
        <w:t>】日历天内，完成设备的交货。乙方必须在交货之日起【</w:t>
      </w:r>
      <w:r>
        <w:rPr>
          <w:rFonts w:hint="eastAsia" w:ascii="宋体" w:hAnsi="宋体" w:eastAsia="宋体" w:cs="宋体"/>
          <w:kern w:val="2"/>
          <w:sz w:val="22"/>
          <w:highlight w:val="yellow"/>
          <w:u w:val="single"/>
          <w:lang w:eastAsia="zh-CN"/>
        </w:rPr>
        <w:t>***</w:t>
      </w:r>
      <w:r>
        <w:rPr>
          <w:rFonts w:hint="eastAsia" w:ascii="宋体" w:hAnsi="宋体" w:eastAsia="宋体" w:cs="宋体"/>
          <w:kern w:val="2"/>
          <w:sz w:val="22"/>
          <w:lang w:eastAsia="zh-CN"/>
        </w:rPr>
        <w:t>】日历天内完成安装、调试，但甲方另有书面通知的，以甲方书面通知为准；设备需要在现场安装调试，因甲方现场不具备安装调试条件导致工期延误时，安装调试完工日期应当顺延，具体顺延期限由甲乙双方商定。</w:t>
      </w:r>
    </w:p>
    <w:p w14:paraId="79D81788">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2、交货地点为甲方指定的设备安装调试验收现场。</w:t>
      </w:r>
    </w:p>
    <w:p w14:paraId="403D6CF3">
      <w:pPr>
        <w:widowControl w:val="0"/>
        <w:spacing w:line="500" w:lineRule="exact"/>
        <w:ind w:firstLine="440" w:firstLineChars="200"/>
        <w:jc w:val="both"/>
        <w:rPr>
          <w:rFonts w:hint="eastAsia" w:ascii="宋体" w:hAnsi="宋体" w:eastAsia="宋体" w:cs="宋体"/>
          <w:b/>
          <w:bCs/>
          <w:kern w:val="2"/>
          <w:sz w:val="22"/>
          <w:lang w:eastAsia="zh-CN"/>
        </w:rPr>
      </w:pPr>
      <w:r>
        <w:rPr>
          <w:rFonts w:hint="eastAsia" w:ascii="宋体" w:hAnsi="宋体" w:eastAsia="宋体" w:cs="宋体"/>
          <w:kern w:val="2"/>
          <w:sz w:val="22"/>
          <w:lang w:eastAsia="zh-CN"/>
        </w:rPr>
        <w:t>3、本合同项下的所有货物在甲方签发验收报告前，因损毁、灭失造成的一切损失，均由乙方自行承担。</w:t>
      </w:r>
    </w:p>
    <w:p w14:paraId="47945640">
      <w:pPr>
        <w:widowControl w:val="0"/>
        <w:spacing w:line="500" w:lineRule="exact"/>
        <w:ind w:firstLine="442" w:firstLineChars="200"/>
        <w:jc w:val="both"/>
        <w:rPr>
          <w:rFonts w:hint="eastAsia" w:ascii="宋体" w:hAnsi="宋体" w:eastAsia="宋体" w:cs="宋体"/>
          <w:b/>
          <w:bCs/>
          <w:kern w:val="2"/>
          <w:sz w:val="22"/>
          <w:lang w:eastAsia="zh-CN"/>
        </w:rPr>
      </w:pPr>
      <w:r>
        <w:rPr>
          <w:rFonts w:hint="eastAsia" w:ascii="宋体" w:hAnsi="宋体" w:eastAsia="宋体" w:cs="宋体"/>
          <w:b/>
          <w:bCs/>
          <w:kern w:val="2"/>
          <w:sz w:val="22"/>
          <w:lang w:eastAsia="zh-CN"/>
        </w:rPr>
        <w:t>第四条 设备验收</w:t>
      </w:r>
    </w:p>
    <w:p w14:paraId="33365980">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1、设备送达甲方指定地点后，甲乙双方进行初步货物验收，乙方因自身原因不能到场参与验收，则视为同意甲方单方验收。乙方向甲方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甲方以设备的较高标准作为验收标准。对此，乙方应提供原厂标准、国家标准等相关文件，并联同设备生产厂家代表全程参与验收。</w:t>
      </w:r>
    </w:p>
    <w:p w14:paraId="1DF07E58">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2、性能验收：甲乙双方在全部设备运抵并安装调试完成，正常运行后的**个日历日内对设备进行性能验收。如果设备性能不满足本合同约定，乙方应按甲方要求，采取更换或退货等措施处理，并承担由此发生的一切损失和费用（包括但不限于运输费、装卸费、保管费等）。对于**个日历日内未发现的隐蔽质量瑕疵，若在保修期内发现的，甲方除有权要求乙方采取修理、更换或退货等措施处理，并赔偿甲方因此遭受的经济损失外（包括但不限于运输费、装卸费、误工费等），还有权要求延长保修期（针对修理设备的情形）或重新计算保修期（针对更换设备的情形）。</w:t>
      </w:r>
    </w:p>
    <w:p w14:paraId="1EEFBD29">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3、当满足以下条件时，甲方才向乙方签发货物验收报告：</w:t>
      </w:r>
    </w:p>
    <w:p w14:paraId="6C1B7B68">
      <w:pPr>
        <w:widowControl w:val="0"/>
        <w:numPr>
          <w:ilvl w:val="0"/>
          <w:numId w:val="4"/>
        </w:numPr>
        <w:spacing w:line="500" w:lineRule="exact"/>
        <w:ind w:left="0" w:firstLine="420" w:firstLineChars="191"/>
        <w:jc w:val="both"/>
        <w:rPr>
          <w:rFonts w:hint="eastAsia" w:ascii="宋体" w:hAnsi="宋体" w:eastAsia="宋体" w:cs="宋体"/>
          <w:kern w:val="2"/>
          <w:sz w:val="22"/>
          <w:lang w:eastAsia="zh-CN"/>
        </w:rPr>
      </w:pPr>
      <w:r>
        <w:rPr>
          <w:rFonts w:hint="eastAsia" w:ascii="宋体" w:hAnsi="宋体" w:eastAsia="宋体" w:cs="宋体"/>
          <w:kern w:val="2"/>
          <w:sz w:val="22"/>
          <w:lang w:eastAsia="zh-CN"/>
        </w:rPr>
        <w:t>所交货物标称的规格、型号、数量、原产地、技术参数、配置等完全符合本合同的约定；</w:t>
      </w:r>
    </w:p>
    <w:p w14:paraId="29B96705">
      <w:pPr>
        <w:widowControl w:val="0"/>
        <w:numPr>
          <w:ilvl w:val="0"/>
          <w:numId w:val="4"/>
        </w:numPr>
        <w:spacing w:line="500" w:lineRule="exact"/>
        <w:ind w:left="0" w:firstLine="420" w:firstLineChars="191"/>
        <w:jc w:val="both"/>
        <w:rPr>
          <w:rFonts w:hint="eastAsia" w:ascii="宋体" w:hAnsi="宋体" w:eastAsia="宋体" w:cs="宋体"/>
          <w:kern w:val="2"/>
          <w:sz w:val="22"/>
          <w:lang w:eastAsia="zh-CN"/>
        </w:rPr>
      </w:pPr>
      <w:r>
        <w:rPr>
          <w:rFonts w:hint="eastAsia" w:ascii="宋体" w:hAnsi="宋体" w:eastAsia="宋体" w:cs="宋体"/>
          <w:kern w:val="2"/>
          <w:sz w:val="22"/>
          <w:lang w:eastAsia="zh-CN"/>
        </w:rPr>
        <w:t>如属于国家强制检定的设备，验收前须由乙方负责完成检测，并出具检定证书，并承担相关费用。其他货物，乙方应根据甲方要求，随货提供深圳市计量质量检测研究院出具的《检验报告》，各检测项目均不得出现不符合的情形，否则属于交货不符合本合同约定。获取《检验报告》所需的费用，由乙方自理。</w:t>
      </w:r>
    </w:p>
    <w:p w14:paraId="69254CEC">
      <w:pPr>
        <w:widowControl w:val="0"/>
        <w:numPr>
          <w:ilvl w:val="0"/>
          <w:numId w:val="4"/>
        </w:numPr>
        <w:spacing w:line="500" w:lineRule="exact"/>
        <w:ind w:left="0" w:firstLine="420" w:firstLineChars="191"/>
        <w:jc w:val="both"/>
        <w:rPr>
          <w:rFonts w:hint="eastAsia" w:ascii="宋体" w:hAnsi="宋体" w:eastAsia="宋体" w:cs="宋体"/>
          <w:kern w:val="2"/>
          <w:sz w:val="22"/>
          <w:lang w:eastAsia="zh-CN"/>
        </w:rPr>
      </w:pPr>
      <w:r>
        <w:rPr>
          <w:rFonts w:hint="eastAsia" w:ascii="宋体" w:hAnsi="宋体" w:eastAsia="宋体" w:cs="宋体"/>
          <w:kern w:val="2"/>
          <w:sz w:val="22"/>
          <w:lang w:eastAsia="zh-CN"/>
        </w:rPr>
        <w:t>乙方提供的设备为第一类医疗器械的，应当提供医疗行业主管部门签发的有效的《医疗器械备案凭证》；乙方提供的设备为第二、三类医疗器械的，应当提供医疗行业主管部门签发的涵盖乙方提供设备的《医疗器械注册证》。乙方应确保货物与注册证或备案凭证所附之产品技术要求相符。否则属于交货不符合本合同约定。</w:t>
      </w:r>
    </w:p>
    <w:p w14:paraId="3991CED9">
      <w:pPr>
        <w:widowControl w:val="0"/>
        <w:numPr>
          <w:ilvl w:val="0"/>
          <w:numId w:val="4"/>
        </w:numPr>
        <w:spacing w:line="500" w:lineRule="exact"/>
        <w:ind w:left="0" w:firstLine="420" w:firstLineChars="191"/>
        <w:jc w:val="both"/>
        <w:rPr>
          <w:rFonts w:hint="eastAsia" w:ascii="宋体" w:hAnsi="宋体" w:eastAsia="宋体" w:cs="宋体"/>
          <w:kern w:val="2"/>
          <w:sz w:val="22"/>
          <w:lang w:eastAsia="zh-CN"/>
        </w:rPr>
      </w:pPr>
      <w:r>
        <w:rPr>
          <w:rFonts w:hint="eastAsia" w:ascii="宋体" w:hAnsi="宋体" w:eastAsia="宋体" w:cs="宋体"/>
          <w:kern w:val="2"/>
          <w:sz w:val="22"/>
          <w:lang w:eastAsia="zh-CN"/>
        </w:rPr>
        <w:t>出厂配件、工具、保修卡、使用指南等随货物件齐全（如有）；</w:t>
      </w:r>
    </w:p>
    <w:p w14:paraId="04B6F7A4">
      <w:pPr>
        <w:widowControl w:val="0"/>
        <w:numPr>
          <w:ilvl w:val="0"/>
          <w:numId w:val="4"/>
        </w:numPr>
        <w:spacing w:line="500" w:lineRule="exact"/>
        <w:ind w:left="0" w:firstLine="420" w:firstLineChars="191"/>
        <w:jc w:val="both"/>
        <w:rPr>
          <w:rFonts w:hint="eastAsia" w:ascii="宋体" w:hAnsi="宋体" w:eastAsia="宋体" w:cs="宋体"/>
          <w:kern w:val="2"/>
          <w:sz w:val="22"/>
          <w:lang w:eastAsia="zh-CN"/>
        </w:rPr>
      </w:pPr>
      <w:r>
        <w:rPr>
          <w:rFonts w:hint="eastAsia" w:ascii="宋体" w:hAnsi="宋体" w:eastAsia="宋体" w:cs="宋体"/>
          <w:kern w:val="2"/>
          <w:sz w:val="22"/>
          <w:lang w:eastAsia="zh-CN"/>
        </w:rPr>
        <w:t>需要安装调试的货物已经安装调试完毕，且正常运转，性能符合甲方要求；</w:t>
      </w:r>
    </w:p>
    <w:p w14:paraId="466A4BDF">
      <w:pPr>
        <w:widowControl w:val="0"/>
        <w:numPr>
          <w:ilvl w:val="0"/>
          <w:numId w:val="4"/>
        </w:numPr>
        <w:spacing w:line="500" w:lineRule="exact"/>
        <w:ind w:left="0" w:firstLine="420" w:firstLineChars="191"/>
        <w:jc w:val="both"/>
        <w:rPr>
          <w:rFonts w:hint="eastAsia" w:ascii="宋体" w:hAnsi="宋体" w:eastAsia="宋体" w:cs="宋体"/>
          <w:kern w:val="2"/>
          <w:sz w:val="22"/>
          <w:lang w:eastAsia="zh-CN"/>
        </w:rPr>
      </w:pPr>
      <w:r>
        <w:rPr>
          <w:rFonts w:hint="eastAsia" w:ascii="宋体" w:hAnsi="宋体" w:eastAsia="宋体" w:cs="宋体"/>
          <w:kern w:val="2"/>
          <w:sz w:val="22"/>
          <w:lang w:eastAsia="zh-CN"/>
        </w:rPr>
        <w:t>乙方的交付行为符合合同约定的交付期限和交付地点；</w:t>
      </w:r>
    </w:p>
    <w:p w14:paraId="2CA02600">
      <w:pPr>
        <w:widowControl w:val="0"/>
        <w:numPr>
          <w:ilvl w:val="0"/>
          <w:numId w:val="4"/>
        </w:numPr>
        <w:spacing w:line="500" w:lineRule="exact"/>
        <w:ind w:left="0" w:firstLine="420" w:firstLineChars="191"/>
        <w:jc w:val="both"/>
        <w:rPr>
          <w:rFonts w:hint="eastAsia" w:ascii="宋体" w:hAnsi="宋体" w:eastAsia="宋体" w:cs="宋体"/>
          <w:kern w:val="2"/>
          <w:sz w:val="22"/>
          <w:lang w:eastAsia="zh-CN"/>
        </w:rPr>
      </w:pPr>
      <w:r>
        <w:rPr>
          <w:rFonts w:hint="eastAsia" w:ascii="宋体" w:hAnsi="宋体" w:eastAsia="宋体" w:cs="宋体"/>
          <w:kern w:val="2"/>
          <w:sz w:val="22"/>
          <w:lang w:eastAsia="zh-CN"/>
        </w:rPr>
        <w:t>提供了货物制造商或其授权代理商出具的书面售后服务的承诺函。</w:t>
      </w:r>
    </w:p>
    <w:p w14:paraId="57316EA3">
      <w:pPr>
        <w:widowControl w:val="0"/>
        <w:spacing w:line="500" w:lineRule="exact"/>
        <w:ind w:firstLine="398" w:firstLineChars="181"/>
        <w:jc w:val="both"/>
        <w:rPr>
          <w:rFonts w:hint="eastAsia" w:ascii="宋体" w:hAnsi="宋体" w:eastAsia="宋体" w:cs="宋体"/>
          <w:kern w:val="2"/>
          <w:sz w:val="22"/>
          <w:lang w:eastAsia="zh-CN"/>
        </w:rPr>
      </w:pPr>
      <w:r>
        <w:rPr>
          <w:rFonts w:hint="eastAsia" w:ascii="宋体" w:hAnsi="宋体" w:eastAsia="宋体" w:cs="宋体"/>
          <w:kern w:val="2"/>
          <w:sz w:val="22"/>
          <w:lang w:eastAsia="zh-CN"/>
        </w:rPr>
        <w:t>乙方的交付不符合本合同的约定的，视为未按合同约定交货。对于数量不足的或未交付的，乙方负责补齐；对于规格、型号、技术参数、配置、检定证书、有效凭证等不符的，乙方应按甲方要求给予退货或更换。如果甲方要求换货，而因此导致逾期交付的，由乙方承担逾期交货的违约责任。</w:t>
      </w:r>
    </w:p>
    <w:p w14:paraId="0F0B5791">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4、验收标准及方法如下：</w:t>
      </w:r>
    </w:p>
    <w:p w14:paraId="00C88934">
      <w:pPr>
        <w:widowControl w:val="0"/>
        <w:spacing w:line="500" w:lineRule="exact"/>
        <w:ind w:firstLine="440" w:firstLineChars="200"/>
        <w:jc w:val="both"/>
        <w:rPr>
          <w:rFonts w:hint="eastAsia" w:ascii="宋体" w:hAnsi="宋体" w:eastAsia="宋体" w:cs="宋体"/>
          <w:kern w:val="2"/>
          <w:sz w:val="22"/>
          <w:lang w:eastAsia="zh-CN"/>
        </w:rPr>
      </w:pPr>
      <w:bookmarkStart w:id="47" w:name="autodocs_8_1"/>
      <w:r>
        <w:rPr>
          <w:rFonts w:hint="eastAsia" w:ascii="宋体" w:hAnsi="宋体" w:eastAsia="宋体" w:cs="宋体"/>
          <w:kern w:val="2"/>
          <w:sz w:val="22"/>
          <w:lang w:eastAsia="zh-CN"/>
        </w:rPr>
        <w:t>（1）合同、招投标文件及国家有关质检标准，以较高标准作为验收标准。具体验收指标包括但不限于：设备的功能完整性、性能稳定性、外观完好性、技术参数一致性等。验收方法包括但不限于：设备运行测试、技术参数对比、外观检查等。</w:t>
      </w:r>
      <w:bookmarkEnd w:id="47"/>
      <w:r>
        <w:rPr>
          <w:rFonts w:hint="eastAsia" w:ascii="宋体" w:hAnsi="宋体" w:eastAsia="宋体" w:cs="宋体"/>
          <w:kern w:val="2"/>
          <w:sz w:val="22"/>
          <w:lang w:eastAsia="zh-CN"/>
        </w:rPr>
        <w:t xml:space="preserve"> </w:t>
      </w:r>
    </w:p>
    <w:p w14:paraId="386D0041">
      <w:pPr>
        <w:widowControl w:val="0"/>
        <w:spacing w:line="500" w:lineRule="exact"/>
        <w:ind w:firstLine="440" w:firstLineChars="200"/>
        <w:jc w:val="both"/>
        <w:rPr>
          <w:rFonts w:hint="eastAsia" w:ascii="宋体" w:hAnsi="宋体" w:eastAsia="宋体" w:cs="宋体"/>
          <w:kern w:val="2"/>
          <w:sz w:val="22"/>
          <w:lang w:eastAsia="zh-CN"/>
        </w:rPr>
      </w:pPr>
      <w:bookmarkStart w:id="48" w:name="autodocs_9_1"/>
      <w:r>
        <w:rPr>
          <w:rFonts w:hint="eastAsia" w:ascii="宋体" w:hAnsi="宋体" w:eastAsia="宋体" w:cs="宋体"/>
          <w:kern w:val="2"/>
          <w:sz w:val="22"/>
          <w:lang w:eastAsia="zh-CN"/>
        </w:rPr>
        <w:t>（2）甲乙双方授权代表共同完成性能验收，并在验收报告上签字。具体步骤包括：设备安装调试完成后，乙方应在5个工作日内向甲方提交验收申请；甲方应在收到申请后10个工作日内组织验收；验收过程中，乙方应提供必要的技术支持和配合；验收完成后，双方应在验收报告上签字确认。</w:t>
      </w:r>
      <w:bookmarkEnd w:id="48"/>
    </w:p>
    <w:p w14:paraId="408B5A66">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（3）验收报告签发之日开始启保。</w:t>
      </w:r>
    </w:p>
    <w:p w14:paraId="54E1A981">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5、经甲方验收合格的，甲方向乙方签发货物验收合格证明，并交付甲方使用。但货物安装调试完毕后，因乙方原因未办理验收手续而投入使用的或试运行期间使用货物的行为，不视为甲方的验收行为。</w:t>
      </w:r>
    </w:p>
    <w:p w14:paraId="32E66DC1">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6、验收过程中，如甲方拟对货物质量进行实质验收时，有权邀请第三方检测机构对货物进行检测或测试，因此所需的费用由乙方承担。</w:t>
      </w:r>
    </w:p>
    <w:p w14:paraId="7F2A2B68">
      <w:pPr>
        <w:widowControl w:val="0"/>
        <w:spacing w:line="500" w:lineRule="exact"/>
        <w:ind w:firstLine="442" w:firstLineChars="200"/>
        <w:jc w:val="both"/>
        <w:rPr>
          <w:rFonts w:hint="eastAsia" w:ascii="宋体" w:hAnsi="宋体" w:eastAsia="宋体" w:cs="宋体"/>
          <w:b/>
          <w:bCs/>
          <w:kern w:val="2"/>
          <w:sz w:val="22"/>
          <w:lang w:eastAsia="zh-CN"/>
        </w:rPr>
      </w:pPr>
      <w:r>
        <w:rPr>
          <w:rFonts w:hint="eastAsia" w:ascii="宋体" w:hAnsi="宋体" w:eastAsia="宋体" w:cs="宋体"/>
          <w:b/>
          <w:bCs/>
          <w:kern w:val="2"/>
          <w:sz w:val="22"/>
          <w:lang w:eastAsia="zh-CN"/>
        </w:rPr>
        <w:t>第五条 售后服务及培训</w:t>
      </w:r>
    </w:p>
    <w:p w14:paraId="517483C4">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1、乙方应保证生产厂家有固定、专业的售后机构，有专职厂家工程师提供应用培训及上门维修服务</w:t>
      </w:r>
      <w:bookmarkStart w:id="49" w:name="autodocs_10_1"/>
      <w:r>
        <w:rPr>
          <w:rFonts w:hint="eastAsia" w:ascii="宋体" w:hAnsi="宋体" w:eastAsia="宋体" w:cs="宋体"/>
          <w:kern w:val="2"/>
          <w:sz w:val="22"/>
          <w:lang w:eastAsia="zh-CN"/>
        </w:rPr>
        <w:t>。乙方应在收到甲方通过电子邮件、传真或电话等方式发出的故障通知后的</w:t>
      </w:r>
      <w:permStart w:id="8" w:edGrp="everyone"/>
      <w:r>
        <w:rPr>
          <w:rFonts w:hint="eastAsia" w:ascii="宋体" w:hAnsi="宋体" w:eastAsia="宋体" w:cs="宋体"/>
          <w:kern w:val="2"/>
          <w:sz w:val="22"/>
          <w:highlight w:val="yellow"/>
          <w:u w:val="single"/>
          <w:lang w:eastAsia="zh-CN"/>
        </w:rPr>
        <w:t xml:space="preserve">   </w:t>
      </w:r>
      <w:permEnd w:id="8"/>
      <w:r>
        <w:rPr>
          <w:rFonts w:hint="eastAsia" w:ascii="宋体" w:hAnsi="宋体" w:eastAsia="宋体" w:cs="宋体"/>
          <w:kern w:val="2"/>
          <w:sz w:val="22"/>
          <w:lang w:eastAsia="zh-CN"/>
        </w:rPr>
        <w:t>小时内响应（响应时间计算起点为自然日，包括节假日），并在</w:t>
      </w:r>
      <w:permStart w:id="9" w:edGrp="everyone"/>
      <w:r>
        <w:rPr>
          <w:rFonts w:hint="eastAsia" w:ascii="宋体" w:hAnsi="宋体" w:eastAsia="宋体" w:cs="宋体"/>
          <w:kern w:val="2"/>
          <w:sz w:val="22"/>
          <w:highlight w:val="yellow"/>
          <w:u w:val="single"/>
          <w:lang w:eastAsia="zh-CN"/>
        </w:rPr>
        <w:t xml:space="preserve">   </w:t>
      </w:r>
      <w:permEnd w:id="9"/>
      <w:r>
        <w:rPr>
          <w:rFonts w:hint="eastAsia" w:ascii="宋体" w:hAnsi="宋体" w:eastAsia="宋体" w:cs="宋体"/>
          <w:kern w:val="2"/>
          <w:sz w:val="22"/>
          <w:lang w:eastAsia="zh-CN"/>
        </w:rPr>
        <w:t>小时内（自然日，包括节假日）维修人员到场，</w:t>
      </w:r>
      <w:permStart w:id="10" w:edGrp="everyone"/>
      <w:r>
        <w:rPr>
          <w:rFonts w:hint="eastAsia" w:ascii="宋体" w:hAnsi="宋体" w:eastAsia="宋体" w:cs="宋体"/>
          <w:kern w:val="2"/>
          <w:sz w:val="22"/>
          <w:highlight w:val="yellow"/>
          <w:u w:val="single"/>
          <w:lang w:eastAsia="zh-CN"/>
        </w:rPr>
        <w:t xml:space="preserve">   </w:t>
      </w:r>
      <w:permEnd w:id="10"/>
      <w:r>
        <w:rPr>
          <w:rFonts w:hint="eastAsia" w:ascii="宋体" w:hAnsi="宋体" w:eastAsia="宋体" w:cs="宋体"/>
          <w:kern w:val="2"/>
          <w:sz w:val="22"/>
          <w:lang w:eastAsia="zh-CN"/>
        </w:rPr>
        <w:t>小时内排除故障、恢复正常使用。否则，乙方须无偿提供备用设备供甲方免费使用至故障货物恢复运行之日。</w:t>
      </w:r>
      <w:bookmarkEnd w:id="49"/>
    </w:p>
    <w:p w14:paraId="1CD8CB1E">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2、设备原厂（含零配件）免费保修期为【</w:t>
      </w:r>
      <w:permStart w:id="11" w:edGrp="everyone"/>
      <w:r>
        <w:rPr>
          <w:rFonts w:hint="eastAsia" w:ascii="宋体" w:hAnsi="宋体" w:eastAsia="宋体" w:cs="宋体"/>
          <w:kern w:val="2"/>
          <w:sz w:val="22"/>
          <w:highlight w:val="yellow"/>
          <w:u w:val="single"/>
          <w:lang w:eastAsia="zh-CN"/>
        </w:rPr>
        <w:t xml:space="preserve"> </w:t>
      </w:r>
      <w:r>
        <w:rPr>
          <w:rFonts w:ascii="宋体" w:hAnsi="宋体" w:eastAsia="宋体" w:cs="宋体"/>
          <w:kern w:val="2"/>
          <w:sz w:val="22"/>
          <w:highlight w:val="yellow"/>
          <w:u w:val="single"/>
          <w:lang w:eastAsia="zh-CN"/>
        </w:rPr>
        <w:t xml:space="preserve">  </w:t>
      </w:r>
      <w:r>
        <w:rPr>
          <w:rFonts w:hint="eastAsia" w:ascii="宋体" w:hAnsi="宋体" w:eastAsia="宋体" w:cs="宋体"/>
          <w:kern w:val="2"/>
          <w:sz w:val="22"/>
          <w:highlight w:val="yellow"/>
          <w:u w:val="single"/>
          <w:lang w:eastAsia="zh-CN"/>
        </w:rPr>
        <w:t xml:space="preserve"> </w:t>
      </w:r>
      <w:permEnd w:id="11"/>
      <w:r>
        <w:rPr>
          <w:rFonts w:hint="eastAsia" w:ascii="宋体" w:hAnsi="宋体" w:eastAsia="宋体" w:cs="宋体"/>
          <w:kern w:val="2"/>
          <w:sz w:val="22"/>
          <w:lang w:eastAsia="zh-CN"/>
        </w:rPr>
        <w:t>】年，自验收报告签字之日开始计算。因质量问题造成设备全部或部分停止使用的时间，保修期予以相应地延长。在保修期内乙方将免费维修和更换属故障零配件；保修期外零配件故障的，配件由乙方按成本价提供。保修期满后，乙方还必须提供设备的终身维护。</w:t>
      </w:r>
      <w:permStart w:id="12" w:edGrp="everyone"/>
      <w:permEnd w:id="12"/>
    </w:p>
    <w:p w14:paraId="719202C5">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3、保修期满后乙方维修只收取零配件的成本费，维修所更换的配件皆为原厂配件，免收维修费及差旅费等其他费用。设备配件成本费之和不得超过采购文件的该设备单价。乙方应提供设备零配件名称及成本价格一览表作为附件，并且确保该价格不高于深圳市同期同类产品零配件平均价格。</w:t>
      </w:r>
    </w:p>
    <w:p w14:paraId="6117103E">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4、乙方必须保证由原厂或经原厂认证的工程师及技术人员直接提供保修、维修等售后服务，对甲方使用人员进行设备的基本结构、性能、日常的使用保养方法、紧急情况处理等相关内容的培训，并对甲方维修工程师进行工作原理、操作使用、维修维护、常见故障排除方法培训，使其熟悉设备的运行环境，并详细了解设备的性能和熟练掌握设备的使用方法。</w:t>
      </w:r>
    </w:p>
    <w:p w14:paraId="541E21F1">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5、在保修期内，乙方必须保证设备的年正常开机率≥98%，年正常开机率的计算方式为：（365天-停机天数）/365天，每天工作24小时。若未能达到此开机率，将按以下方式处理：</w:t>
      </w:r>
    </w:p>
    <w:p w14:paraId="306F3AB3">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（1）年正常开机率在95%～98%之间（含95%，不含98%），延长保修期一年；</w:t>
      </w:r>
    </w:p>
    <w:p w14:paraId="0B94921E">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2）年正常开机率低于95%（不含95%），乙方必须无条件更换新机，重新计算保修期，并赔偿甲方的直接经济损失和间接经济损失。如果更换新机后依然达不到95%的开机率，则甲方有权单方面取消合约，并对乙方追责。</w:t>
      </w:r>
    </w:p>
    <w:p w14:paraId="4B8AE8A2">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注：间接经济损失可按甲方或同等级医院相同或具备同等功能的货物，最近连续6个月的日平均诊疗服务收入作为计算基数，按日自停机之日起计算至乙方提供替代货物投入正常运行之日止。</w:t>
      </w:r>
    </w:p>
    <w:p w14:paraId="21BF5FD7">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6、</w:t>
      </w:r>
      <w:bookmarkStart w:id="50" w:name="autodocs_13_1"/>
      <w:r>
        <w:rPr>
          <w:rFonts w:hint="eastAsia" w:ascii="宋体" w:hAnsi="宋体" w:eastAsia="宋体" w:cs="宋体"/>
          <w:kern w:val="2"/>
          <w:sz w:val="22"/>
          <w:lang w:eastAsia="zh-CN"/>
        </w:rPr>
        <w:t>乙方交付的货物经验收合格后，在保修期内连续三个月内频繁（平均每月1次或1次以上）出现设备不能正常使用的情况或经3次维修后再次出现故障，甲方有权要求乙方免费换货或退货（因人为因素造成的故障除外），并由乙方承担所有相关费用。</w:t>
      </w:r>
      <w:bookmarkEnd w:id="50"/>
    </w:p>
    <w:p w14:paraId="37457C87">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7、乙方货物须支持物联网协议，便于与医院信息系统的对接，乙方应免费开放数据交换接口，提供免费技术支持，并保证所使用软件的合法性，任何知识产权纠纷与甲方无关。</w:t>
      </w:r>
    </w:p>
    <w:p w14:paraId="663346CD">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8、本次标的若包含软件服务，需本地化部署，并严格遵照《中华人民共和国数据安全法》《中华人民共和国个人信息保护法》等相关法律法规，确保交付的设备符合网络安全管理相关规定。</w:t>
      </w:r>
    </w:p>
    <w:p w14:paraId="20512E1C">
      <w:pPr>
        <w:widowControl w:val="0"/>
        <w:spacing w:line="500" w:lineRule="exact"/>
        <w:ind w:firstLine="420" w:firstLineChars="200"/>
        <w:jc w:val="both"/>
        <w:rPr>
          <w:rFonts w:hint="eastAsia" w:ascii="宋体" w:hAnsi="宋体" w:eastAsia="宋体" w:cs="宋体"/>
          <w:kern w:val="2"/>
          <w:sz w:val="21"/>
          <w:lang w:eastAsia="zh-CN"/>
        </w:rPr>
      </w:pPr>
      <w:r>
        <w:rPr>
          <w:rFonts w:hint="eastAsia" w:ascii="宋体" w:hAnsi="宋体" w:eastAsia="宋体" w:cs="宋体"/>
          <w:kern w:val="2"/>
          <w:sz w:val="21"/>
          <w:lang w:eastAsia="zh-CN"/>
        </w:rPr>
        <w:t>9、乙方应做好维修、保养日志的记录。维修、保养日志应清楚记录货物名称、型号、故障状况及时段、维修、更换零件等情况，由双方人员签名确认后，由甲方保管。</w:t>
      </w:r>
    </w:p>
    <w:p w14:paraId="3A469143">
      <w:pPr>
        <w:widowControl w:val="0"/>
        <w:spacing w:line="500" w:lineRule="exact"/>
        <w:ind w:firstLine="420" w:firstLineChars="200"/>
        <w:jc w:val="both"/>
        <w:rPr>
          <w:rFonts w:hint="eastAsia" w:ascii="宋体" w:hAnsi="宋体" w:eastAsia="宋体" w:cs="宋体"/>
          <w:kern w:val="2"/>
          <w:sz w:val="21"/>
          <w:lang w:eastAsia="zh-CN"/>
        </w:rPr>
      </w:pPr>
      <w:r>
        <w:rPr>
          <w:rFonts w:hint="eastAsia" w:ascii="宋体" w:hAnsi="宋体" w:eastAsia="宋体" w:cs="宋体"/>
          <w:kern w:val="2"/>
          <w:sz w:val="21"/>
          <w:lang w:eastAsia="zh-CN"/>
        </w:rPr>
        <w:t>10、无论何种原因导致乙方未成为甲方该设备的维护保养服务供应商的，乙方应当按维修保养时的市场价毫不歧视地向甲方或甲方委托的第三方供应维修保养所需的零配件、耗材等。</w:t>
      </w:r>
    </w:p>
    <w:p w14:paraId="0FBCF23E">
      <w:pPr>
        <w:widowControl w:val="0"/>
        <w:spacing w:line="500" w:lineRule="exact"/>
        <w:ind w:firstLine="420" w:firstLineChars="200"/>
        <w:jc w:val="both"/>
        <w:rPr>
          <w:rFonts w:hint="eastAsia" w:ascii="宋体" w:hAnsi="宋体" w:eastAsia="宋体" w:cs="宋体"/>
          <w:kern w:val="2"/>
          <w:sz w:val="21"/>
          <w:lang w:eastAsia="zh-CN"/>
        </w:rPr>
      </w:pPr>
      <w:r>
        <w:rPr>
          <w:rFonts w:hint="eastAsia" w:ascii="宋体" w:hAnsi="宋体" w:eastAsia="宋体" w:cs="宋体"/>
          <w:kern w:val="2"/>
          <w:sz w:val="21"/>
          <w:lang w:eastAsia="zh-CN"/>
        </w:rPr>
        <w:t>11、乙方应随时关注设备生产商发布的有关设备更新迭代的信息，并在知道或应当知道前述信息之日起的3个工作日内通知甲方，以便甲方就设备及零配件停产、停止提供售后服务后持续开展相关诊疗服务及时作出安排。</w:t>
      </w:r>
    </w:p>
    <w:p w14:paraId="3205DACC">
      <w:pPr>
        <w:widowControl w:val="0"/>
        <w:spacing w:line="500" w:lineRule="exact"/>
        <w:ind w:firstLine="420" w:firstLineChars="200"/>
        <w:jc w:val="both"/>
        <w:rPr>
          <w:rFonts w:hint="eastAsia" w:ascii="宋体" w:hAnsi="宋体" w:eastAsia="宋体" w:cs="宋体"/>
          <w:kern w:val="2"/>
          <w:sz w:val="22"/>
          <w:lang w:eastAsia="zh-CN"/>
        </w:rPr>
      </w:pPr>
      <w:r>
        <w:rPr>
          <w:rFonts w:hint="eastAsia" w:ascii="宋体" w:hAnsi="宋体" w:eastAsia="宋体" w:cs="宋体"/>
          <w:kern w:val="2"/>
          <w:sz w:val="21"/>
          <w:lang w:eastAsia="zh-CN"/>
        </w:rPr>
        <w:t>12、本合同项下的售后服务均应由设备的制造商或其授权的服务商提供，并由其出具保修、维保等相应的书面报告。若乙方不是设备的制造商或授权服务商，则由乙方负责安排货物的制造商或其授权的服务商按照本合同的约定提供相应的售后服务，并承担相应的费用；乙方在此承诺，在签订本合同前已就售后服务事宜与货物的制造商或授权服务商作出了妥善安排，确保甲方及时获得本合同项下的售后服务。</w:t>
      </w:r>
    </w:p>
    <w:p w14:paraId="330FE84C">
      <w:pPr>
        <w:widowControl w:val="0"/>
        <w:spacing w:line="500" w:lineRule="exact"/>
        <w:ind w:firstLine="442" w:firstLineChars="200"/>
        <w:jc w:val="both"/>
        <w:rPr>
          <w:rFonts w:hint="eastAsia" w:ascii="宋体" w:hAnsi="宋体" w:eastAsia="宋体" w:cs="宋体"/>
          <w:b/>
          <w:bCs/>
          <w:kern w:val="2"/>
          <w:sz w:val="22"/>
          <w:lang w:eastAsia="zh-CN"/>
        </w:rPr>
      </w:pPr>
      <w:r>
        <w:rPr>
          <w:rFonts w:hint="eastAsia" w:ascii="宋体" w:hAnsi="宋体" w:eastAsia="宋体" w:cs="宋体"/>
          <w:b/>
          <w:bCs/>
          <w:kern w:val="2"/>
          <w:sz w:val="22"/>
          <w:lang w:eastAsia="zh-CN"/>
        </w:rPr>
        <w:t>第六条 付款方式及时间</w:t>
      </w:r>
    </w:p>
    <w:p w14:paraId="542B36FE">
      <w:pPr>
        <w:widowControl w:val="0"/>
        <w:spacing w:line="500" w:lineRule="exact"/>
        <w:ind w:firstLine="440" w:firstLineChars="200"/>
        <w:jc w:val="both"/>
        <w:rPr>
          <w:rFonts w:hint="eastAsia" w:ascii="宋体" w:hAnsi="宋体" w:eastAsia="宋体" w:cs="宋体"/>
          <w:kern w:val="2"/>
          <w:sz w:val="22"/>
          <w:u w:val="single"/>
          <w:lang w:eastAsia="zh-CN"/>
        </w:rPr>
      </w:pPr>
      <w:r>
        <w:rPr>
          <w:rFonts w:hint="eastAsia" w:ascii="宋体" w:hAnsi="宋体" w:eastAsia="宋体" w:cs="宋体"/>
          <w:kern w:val="2"/>
          <w:sz w:val="22"/>
          <w:lang w:eastAsia="zh-CN"/>
        </w:rPr>
        <w:t>1、乙方接收货款账户：</w:t>
      </w:r>
    </w:p>
    <w:p w14:paraId="28B09880">
      <w:pPr>
        <w:widowControl w:val="0"/>
        <w:spacing w:line="500" w:lineRule="exact"/>
        <w:ind w:firstLine="440" w:firstLineChars="200"/>
        <w:jc w:val="both"/>
        <w:rPr>
          <w:rFonts w:hint="eastAsia" w:ascii="宋体" w:hAnsi="宋体" w:eastAsia="宋体" w:cs="宋体"/>
          <w:kern w:val="2"/>
          <w:sz w:val="22"/>
          <w:lang w:eastAsia="zh-CN"/>
        </w:rPr>
      </w:pPr>
      <w:permStart w:id="13" w:edGrp="everyone"/>
      <w:r>
        <w:rPr>
          <w:rFonts w:hint="eastAsia" w:ascii="宋体" w:hAnsi="宋体" w:eastAsia="宋体" w:cs="宋体"/>
          <w:kern w:val="2"/>
          <w:sz w:val="22"/>
          <w:lang w:eastAsia="zh-CN"/>
        </w:rPr>
        <w:t>户名：</w:t>
      </w:r>
      <w:r>
        <w:rPr>
          <w:rFonts w:hint="eastAsia" w:ascii="宋体" w:hAnsi="宋体" w:eastAsia="宋体" w:cs="宋体"/>
          <w:kern w:val="2"/>
          <w:sz w:val="22"/>
          <w:u w:val="single"/>
          <w:lang w:eastAsia="zh-CN"/>
        </w:rPr>
        <w:t xml:space="preserve">                          </w:t>
      </w:r>
    </w:p>
    <w:p w14:paraId="4A8185DD">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开户银行：</w:t>
      </w:r>
      <w:r>
        <w:rPr>
          <w:rFonts w:hint="eastAsia" w:ascii="宋体" w:hAnsi="宋体" w:eastAsia="宋体" w:cs="宋体"/>
          <w:kern w:val="2"/>
          <w:sz w:val="22"/>
          <w:u w:val="single"/>
          <w:lang w:eastAsia="zh-CN"/>
        </w:rPr>
        <w:t xml:space="preserve">                      </w:t>
      </w:r>
      <w:r>
        <w:rPr>
          <w:rFonts w:hint="eastAsia" w:ascii="宋体" w:hAnsi="宋体" w:eastAsia="宋体" w:cs="宋体"/>
          <w:kern w:val="2"/>
          <w:sz w:val="22"/>
          <w:lang w:eastAsia="zh-CN"/>
        </w:rPr>
        <w:t xml:space="preserve"> </w:t>
      </w:r>
    </w:p>
    <w:p w14:paraId="5760D994">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银行账号：</w:t>
      </w:r>
      <w:r>
        <w:rPr>
          <w:rFonts w:hint="eastAsia" w:ascii="宋体" w:hAnsi="宋体" w:eastAsia="宋体" w:cs="宋体"/>
          <w:kern w:val="2"/>
          <w:sz w:val="22"/>
          <w:u w:val="single"/>
          <w:lang w:eastAsia="zh-CN"/>
        </w:rPr>
        <w:t xml:space="preserve">                      </w:t>
      </w:r>
    </w:p>
    <w:permEnd w:id="13"/>
    <w:p w14:paraId="226A672E">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乙方确保上述账户可以顺利接收货款。合同期内，乙方不得变更收款账户信息。否则，因乙方变更收款账户信息导致甲方错付或乙方无法收到款项的责任，均由乙方自行承担。</w:t>
      </w:r>
    </w:p>
    <w:p w14:paraId="3F1C59CC">
      <w:pPr>
        <w:widowControl w:val="0"/>
        <w:numPr>
          <w:ilvl w:val="0"/>
          <w:numId w:val="5"/>
        </w:numPr>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本合同执行支付方式：</w:t>
      </w:r>
    </w:p>
    <w:p w14:paraId="7931F850">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（1）本合同生效后，合同约定需要收取履约保证金的，甲方收到乙方履约保证金后启动支付流程。在收到乙方等额有效发票后【**】个工作日内，甲方支付合同总价的</w:t>
      </w:r>
      <w:permStart w:id="14" w:edGrp="everyone"/>
      <w:r>
        <w:rPr>
          <w:rFonts w:hint="eastAsia" w:ascii="宋体" w:hAnsi="宋体" w:eastAsia="宋体" w:cs="宋体"/>
          <w:kern w:val="2"/>
          <w:sz w:val="22"/>
          <w:lang w:eastAsia="zh-CN"/>
        </w:rPr>
        <w:t>【】</w:t>
      </w:r>
      <w:permEnd w:id="14"/>
      <w:r>
        <w:rPr>
          <w:rFonts w:hint="eastAsia" w:ascii="宋体" w:hAnsi="宋体" w:eastAsia="宋体" w:cs="宋体"/>
          <w:kern w:val="2"/>
          <w:sz w:val="22"/>
          <w:lang w:eastAsia="zh-CN"/>
        </w:rPr>
        <w:t>%</w:t>
      </w:r>
      <w:permStart w:id="15" w:edGrp="everyone"/>
      <w:permEnd w:id="15"/>
      <w:r>
        <w:rPr>
          <w:rFonts w:hint="eastAsia" w:ascii="宋体" w:hAnsi="宋体" w:eastAsia="宋体" w:cs="宋体"/>
          <w:kern w:val="2"/>
          <w:sz w:val="22"/>
          <w:lang w:eastAsia="zh-CN"/>
        </w:rPr>
        <w:t>作为预付款。</w:t>
      </w:r>
    </w:p>
    <w:p w14:paraId="4BE339B2">
      <w:pPr>
        <w:widowControl w:val="0"/>
        <w:spacing w:line="500" w:lineRule="exact"/>
        <w:ind w:firstLine="660" w:firstLineChars="3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项目分批次供货的，按双方签署的货物验收单实际数量进行结算。货物送达指定地点且验收合格（需要安装的货物全部安装、调试完毕）后，甲方在收到发票【**】个工作日内支付合同总价的</w:t>
      </w:r>
      <w:permStart w:id="16" w:edGrp="everyone"/>
      <w:r>
        <w:rPr>
          <w:rFonts w:hint="eastAsia" w:ascii="宋体" w:hAnsi="宋体" w:eastAsia="宋体" w:cs="宋体"/>
          <w:kern w:val="2"/>
          <w:sz w:val="22"/>
          <w:lang w:eastAsia="zh-CN"/>
        </w:rPr>
        <w:t>【】</w:t>
      </w:r>
      <w:permEnd w:id="16"/>
      <w:r>
        <w:rPr>
          <w:rFonts w:hint="eastAsia" w:ascii="宋体" w:hAnsi="宋体" w:eastAsia="宋体" w:cs="宋体"/>
          <w:kern w:val="2"/>
          <w:sz w:val="22"/>
          <w:lang w:eastAsia="zh-CN"/>
        </w:rPr>
        <w:t>%；</w:t>
      </w:r>
      <w:bookmarkStart w:id="51" w:name="_Hlk202800917"/>
      <w:r>
        <w:rPr>
          <w:rFonts w:hint="eastAsia" w:ascii="宋体" w:hAnsi="宋体" w:eastAsia="宋体" w:cs="宋体"/>
          <w:kern w:val="2"/>
          <w:sz w:val="22"/>
          <w:lang w:eastAsia="zh-CN"/>
        </w:rPr>
        <w:t>若甲乙双方约定合同标的物需要检测后验收的</w:t>
      </w:r>
      <w:bookmarkEnd w:id="51"/>
      <w:r>
        <w:rPr>
          <w:rFonts w:hint="eastAsia" w:ascii="宋体" w:hAnsi="宋体" w:eastAsia="宋体" w:cs="宋体"/>
          <w:kern w:val="2"/>
          <w:sz w:val="22"/>
          <w:lang w:eastAsia="zh-CN"/>
        </w:rPr>
        <w:t>，付款申请时需提交相关检测检验报告。</w:t>
      </w:r>
    </w:p>
    <w:p w14:paraId="612F5A22">
      <w:pPr>
        <w:widowControl w:val="0"/>
        <w:numPr>
          <w:ilvl w:val="12"/>
          <w:numId w:val="0"/>
        </w:numPr>
        <w:spacing w:line="500" w:lineRule="exact"/>
        <w:ind w:left="0" w:firstLine="220" w:firstLineChars="1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（2）履约保证金按以下（ * ）方式约定</w:t>
      </w:r>
    </w:p>
    <w:p w14:paraId="5B350501">
      <w:pPr>
        <w:widowControl w:val="0"/>
        <w:numPr>
          <w:ilvl w:val="12"/>
          <w:numId w:val="0"/>
        </w:numPr>
        <w:spacing w:line="500" w:lineRule="exact"/>
        <w:ind w:left="0" w:firstLine="220" w:firstLineChars="1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1.本合同不需要履约保证金</w:t>
      </w:r>
    </w:p>
    <w:p w14:paraId="4B11F486">
      <w:pPr>
        <w:widowControl w:val="0"/>
        <w:numPr>
          <w:ilvl w:val="12"/>
          <w:numId w:val="0"/>
        </w:numPr>
        <w:spacing w:line="500" w:lineRule="exact"/>
        <w:ind w:left="0" w:firstLine="220" w:firstLineChars="1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2.本合同需要履约保证金：</w:t>
      </w:r>
    </w:p>
    <w:p w14:paraId="0287C6CF">
      <w:pPr>
        <w:widowControl w:val="0"/>
        <w:numPr>
          <w:ilvl w:val="12"/>
          <w:numId w:val="0"/>
        </w:numPr>
        <w:spacing w:line="500" w:lineRule="exact"/>
        <w:ind w:left="0" w:firstLine="220" w:firstLineChars="1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本合同履约保证金为合同价款总额的</w:t>
      </w:r>
      <w:permStart w:id="17" w:edGrp="everyone"/>
      <w:r>
        <w:rPr>
          <w:rFonts w:hint="eastAsia" w:ascii="宋体" w:hAnsi="宋体" w:eastAsia="宋体" w:cs="宋体"/>
          <w:kern w:val="2"/>
          <w:sz w:val="22"/>
          <w:lang w:eastAsia="zh-CN"/>
        </w:rPr>
        <w:t>【10】</w:t>
      </w:r>
      <w:permEnd w:id="17"/>
      <w:r>
        <w:rPr>
          <w:rFonts w:hint="eastAsia" w:ascii="宋体" w:hAnsi="宋体" w:eastAsia="宋体" w:cs="宋体"/>
          <w:kern w:val="2"/>
          <w:sz w:val="22"/>
          <w:lang w:eastAsia="zh-CN"/>
        </w:rPr>
        <w:t>%，即￥</w:t>
      </w:r>
      <w:permStart w:id="18" w:edGrp="everyone"/>
      <w:r>
        <w:rPr>
          <w:rFonts w:hint="eastAsia" w:ascii="宋体" w:hAnsi="宋体" w:eastAsia="宋体" w:cs="宋体"/>
          <w:kern w:val="2"/>
          <w:sz w:val="22"/>
          <w:lang w:eastAsia="zh-CN"/>
        </w:rPr>
        <w:t>***.00</w:t>
      </w:r>
      <w:permEnd w:id="18"/>
      <w:r>
        <w:rPr>
          <w:rFonts w:hint="eastAsia" w:ascii="宋体" w:hAnsi="宋体" w:eastAsia="宋体" w:cs="宋体"/>
          <w:kern w:val="2"/>
          <w:sz w:val="22"/>
          <w:lang w:eastAsia="zh-CN"/>
        </w:rPr>
        <w:t>元，乙方选择以</w:t>
      </w:r>
      <w:permStart w:id="19" w:edGrp="everyone"/>
      <w:r>
        <w:rPr>
          <w:rFonts w:hint="eastAsia" w:ascii="宋体" w:hAnsi="宋体" w:eastAsia="宋体" w:cs="宋体"/>
          <w:kern w:val="2"/>
          <w:sz w:val="22"/>
          <w:lang w:eastAsia="zh-CN"/>
        </w:rPr>
        <w:t>□支票□汇票□本票□银行保函等非现金</w:t>
      </w:r>
      <w:permEnd w:id="19"/>
      <w:r>
        <w:rPr>
          <w:rFonts w:hint="eastAsia" w:ascii="宋体" w:hAnsi="宋体" w:eastAsia="宋体" w:cs="宋体"/>
          <w:kern w:val="2"/>
          <w:sz w:val="22"/>
          <w:lang w:eastAsia="zh-CN"/>
        </w:rPr>
        <w:t>形式提供履约担保。乙方还应通过重新提交银行票据、银行保函等方式，确保该等履约担保在担保期届满前持续有效。</w:t>
      </w:r>
    </w:p>
    <w:p w14:paraId="290E5C92">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乙方交付甲方的货物或服务未出现质量问题，或虽出现质量问题，但乙方按照甲方要求以返工、重做、维修或退换货等方式，使甲方的权益得到全部救济的，甲方在全面履行合同义务且提交书面申请后的【</w:t>
      </w:r>
      <w:r>
        <w:rPr>
          <w:rFonts w:ascii="宋体" w:hAnsi="宋体" w:eastAsia="宋体" w:cs="宋体"/>
          <w:kern w:val="2"/>
          <w:sz w:val="22"/>
          <w:lang w:eastAsia="zh-CN"/>
        </w:rPr>
        <w:t>30】个自然日内将票据、银行保函等退还乙方</w:t>
      </w:r>
      <w:r>
        <w:rPr>
          <w:rFonts w:hint="eastAsia" w:ascii="宋体" w:hAnsi="宋体" w:eastAsia="宋体" w:cs="宋体"/>
          <w:kern w:val="2"/>
          <w:sz w:val="22"/>
          <w:lang w:eastAsia="zh-CN"/>
        </w:rPr>
        <w:t>。</w:t>
      </w:r>
    </w:p>
    <w:p w14:paraId="6D4C105D">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乙方交付甲方货物或服务未达到本项目验收标准或验收不合格的，甲方有权行使票据权利或向保函出具机构提出索赔。履约保证金不足以补偿甲方之损失的，甲方有权继续向乙方进行追偿。</w:t>
      </w:r>
    </w:p>
    <w:p w14:paraId="54C84F68">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3）若甲方使用的是财政资金，其付款时间以向政府财政部门提出办理财政支付申请手续的时间为准（不含政府财政支付部门的审核时间）。在规定时间内，一旦甲方提出支付申请手续，即视为已按期支付。若因财政审批原因导致的延期付款，甲方不承担违约责任，乙方应继续履行约定的义务。</w:t>
      </w:r>
    </w:p>
    <w:p w14:paraId="0CC1B770">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（4）若本项目财政下达的资金数额不足以支付合同约定的金额，甲方将按照实际财政下达的资金数额支付合同款，不足部分将待新的项目资金下达后进行支付。</w:t>
      </w:r>
    </w:p>
    <w:p w14:paraId="60D58E48">
      <w:pPr>
        <w:widowControl w:val="0"/>
        <w:spacing w:line="500" w:lineRule="exact"/>
        <w:ind w:firstLine="440" w:firstLineChars="200"/>
        <w:jc w:val="both"/>
        <w:rPr>
          <w:rFonts w:hint="eastAsia" w:ascii="宋体" w:hAnsi="宋体" w:eastAsia="宋体" w:cs="宋体"/>
          <w:kern w:val="2"/>
          <w:sz w:val="22"/>
          <w:lang w:eastAsia="zh-CN"/>
        </w:rPr>
      </w:pPr>
      <w:r>
        <w:rPr>
          <w:rFonts w:ascii="宋体" w:hAnsi="宋体" w:eastAsia="宋体" w:cs="宋体"/>
          <w:kern w:val="2"/>
          <w:sz w:val="22"/>
          <w:lang w:eastAsia="zh-CN"/>
        </w:rPr>
        <w:t>3</w:t>
      </w:r>
      <w:r>
        <w:rPr>
          <w:rFonts w:hint="eastAsia" w:ascii="宋体" w:hAnsi="宋体" w:eastAsia="宋体" w:cs="宋体"/>
          <w:kern w:val="2"/>
          <w:sz w:val="22"/>
          <w:lang w:eastAsia="zh-CN"/>
        </w:rPr>
        <w:t>、如因乙方原因（包括逾期提交付款所需材料、逾期交货等），导致本项目财政资金被取消、收回的，甲方有权解除本合同，且因此遭受的损失由乙方自行承担。</w:t>
      </w:r>
    </w:p>
    <w:p w14:paraId="71C042EA">
      <w:pPr>
        <w:widowControl w:val="0"/>
        <w:spacing w:line="500" w:lineRule="exact"/>
        <w:ind w:firstLine="442" w:firstLineChars="200"/>
        <w:jc w:val="both"/>
        <w:rPr>
          <w:rFonts w:hint="eastAsia" w:ascii="宋体" w:hAnsi="宋体" w:eastAsia="宋体" w:cs="宋体"/>
          <w:b/>
          <w:bCs/>
          <w:kern w:val="2"/>
          <w:sz w:val="22"/>
          <w:lang w:eastAsia="zh-CN"/>
        </w:rPr>
      </w:pPr>
      <w:r>
        <w:rPr>
          <w:rFonts w:hint="eastAsia" w:ascii="宋体" w:hAnsi="宋体" w:eastAsia="宋体" w:cs="宋体"/>
          <w:b/>
          <w:bCs/>
          <w:kern w:val="2"/>
          <w:sz w:val="22"/>
          <w:lang w:eastAsia="zh-CN"/>
        </w:rPr>
        <w:t>第七条 违约责任</w:t>
      </w:r>
    </w:p>
    <w:p w14:paraId="7CE7794D">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1、由于乙方未按时供货、完成安装调试或经甲方验收合格的，每延迟一天，应向甲方支付合同价款总额</w:t>
      </w:r>
      <w:permStart w:id="20" w:edGrp="everyone"/>
      <w:r>
        <w:rPr>
          <w:rFonts w:hint="eastAsia" w:ascii="宋体" w:hAnsi="宋体" w:eastAsia="宋体" w:cs="宋体"/>
          <w:kern w:val="2"/>
          <w:sz w:val="22"/>
          <w:lang w:eastAsia="zh-CN"/>
        </w:rPr>
        <w:t>0.05%</w:t>
      </w:r>
      <w:permEnd w:id="20"/>
      <w:r>
        <w:rPr>
          <w:rFonts w:hint="eastAsia" w:ascii="宋体" w:hAnsi="宋体" w:eastAsia="宋体" w:cs="宋体"/>
          <w:kern w:val="2"/>
          <w:sz w:val="22"/>
          <w:lang w:eastAsia="zh-CN"/>
        </w:rPr>
        <w:t>的违约金；如逾期超过5个工作日天，甲方有权单方终止合同，乙方应向甲方支付合同价款总额30%的违约金。违约金不足以弥补甲方损失的，乙方还需继续承担赔偿责任。</w:t>
      </w:r>
    </w:p>
    <w:p w14:paraId="24552047">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2、乙方所交付的设备/货物（包括配件、附件、软件）品种、型号、规格、质量等，有任一不符合合同约定的，甲方有权拒收并要求换货或退货。如果甲方选择换货，由乙方承担换货所需的费用，因换货造成逾期交货的，按本条第1款的约定执行；如果甲方选择退货，则合同解除，乙方应退回货款，自行取回货物，并支付甲方货物总价10%的违约金。因退、换货导致甲方暂停相关诊疗服务而产生的损失，包括直接及间接经济损失均由乙方负责赔偿。间接经济损失的计算详见第五条第5款第（3）项之约定。</w:t>
      </w:r>
    </w:p>
    <w:p w14:paraId="6F4683A9">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3、乙方所交付的设备/货物（包括配件、附件、软件）等，出现本合同第五条第5款第（3）项、第6款之情形的，甲方有权要求换货或退货。如果甲方选择换货，由乙方承担换货所需的费用，因换货造成逾期交货的，按本条第1款的约定执行；如果甲方选择退货，则合同解除，乙方应退回货款，自行取回货物，支付甲方货物总价10%的违约金。因退、换货导致甲方暂停相关诊疗服务而产生的损失，包括直接及间接经济损失均由乙方负责赔偿。间接经济损失的计算详见第五条第5款第（3）项之约定。</w:t>
      </w:r>
    </w:p>
    <w:p w14:paraId="0ACAF30E">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4、保修期内，设备（包括配件、附件、软件）发生故障，乙方没有按第五条要求完成维保工作的，每超过一天应向甲方支付合同价款总额0.05%的违约金；若乙方逾期15日未完成维保时，甲方有权另寻第三方解决，由此产生的费用由乙方承担；同时，甲方有权要求乙方支付合同价款总额10%的违约金。违约金不足以弥补甲方损失的，乙方还需继续承担赔偿责任。</w:t>
      </w:r>
    </w:p>
    <w:p w14:paraId="635F95EB">
      <w:pPr>
        <w:widowControl w:val="0"/>
        <w:spacing w:line="500" w:lineRule="exact"/>
        <w:ind w:firstLine="440" w:firstLineChars="200"/>
        <w:jc w:val="both"/>
        <w:rPr>
          <w:rFonts w:hint="eastAsia" w:ascii="宋体" w:hAnsi="宋体" w:eastAsia="宋体" w:cs="宋体"/>
          <w:kern w:val="2"/>
          <w:sz w:val="22"/>
          <w:lang w:eastAsia="zh-CN"/>
        </w:rPr>
      </w:pPr>
      <w:r>
        <w:rPr>
          <w:rFonts w:ascii="宋体" w:hAnsi="宋体" w:eastAsia="宋体" w:cs="宋体"/>
          <w:kern w:val="2"/>
          <w:sz w:val="22"/>
          <w:lang w:eastAsia="zh-CN"/>
        </w:rPr>
        <w:t>5</w:t>
      </w:r>
      <w:r>
        <w:rPr>
          <w:rFonts w:hint="eastAsia" w:ascii="宋体" w:hAnsi="宋体" w:eastAsia="宋体" w:cs="宋体"/>
          <w:kern w:val="2"/>
          <w:sz w:val="22"/>
          <w:lang w:eastAsia="zh-CN"/>
        </w:rPr>
        <w:t>、若因乙方交付的设备存在质量问题，导致设备发生故障，对甲方、甲方人员或第三人造成损害的，乙方应当承担全部赔偿责任，同时乙方应向甲方支付合同价款总额30%违约金。</w:t>
      </w:r>
    </w:p>
    <w:p w14:paraId="10C63927">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6、本合同生效后，甲方发现乙方不具备履行本合同项下义务所需的法定资质或货物生产厂家的有效授权的，或者，乙方丧失了前述法定资质或授权的，甲方有权根据实际情况决定：解除本合同，并要求乙方支付合同价款总额20%的违约金；或者，仅要求乙方支付合同价款总额30%的违约金。</w:t>
      </w:r>
    </w:p>
    <w:p w14:paraId="5CE2919A">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7、任何一方违反本合同项下其应承担的责任或义务、或基于本合同做出的任何保证、声明或承诺被违反即构成违约，违约方应当赔偿守约方因此遭受的损失，包括但不限于守约方的直接经济损失、间接经济损失、守约方为追究违约责任所发生的诉讼费、律师费、差旅费、交通费、鉴定评估费、保全费等。</w:t>
      </w:r>
    </w:p>
    <w:p w14:paraId="0B29E678">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8、甲方有权对乙方就本项目要求提供的相关证明资料（原件）进行审查。甲方有权将乙方相关资料上报财政部门，乙方提供虚假资料被查实的，则可能面临被取消本项目中标资格、列入不良行为记录名单和三年内禁止参与政府采购活动的风险，另外，乙方应当向甲方赔偿合同总金额30%的违约金。违约金不足以弥补采购人损失的，中标人应当继续赔偿。由此造成的一切损失由中标人承担。</w:t>
      </w:r>
    </w:p>
    <w:p w14:paraId="550B1799">
      <w:pPr>
        <w:widowControl w:val="0"/>
        <w:spacing w:line="500" w:lineRule="exact"/>
        <w:ind w:firstLine="442" w:firstLineChars="200"/>
        <w:jc w:val="both"/>
        <w:rPr>
          <w:rFonts w:hint="eastAsia" w:ascii="宋体" w:hAnsi="宋体" w:eastAsia="宋体" w:cs="宋体"/>
          <w:b/>
          <w:bCs/>
          <w:kern w:val="2"/>
          <w:sz w:val="22"/>
          <w:lang w:eastAsia="zh-CN"/>
        </w:rPr>
      </w:pPr>
      <w:r>
        <w:rPr>
          <w:rFonts w:hint="eastAsia" w:ascii="宋体" w:hAnsi="宋体" w:eastAsia="宋体" w:cs="宋体"/>
          <w:b/>
          <w:bCs/>
          <w:kern w:val="2"/>
          <w:sz w:val="22"/>
          <w:lang w:eastAsia="zh-CN"/>
        </w:rPr>
        <w:t>第八条 权利保证</w:t>
      </w:r>
    </w:p>
    <w:p w14:paraId="2D57DA4E">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乙方保证甲方在中华人民共和国使用该产品或产品的任何一部分时，不会遭受第三方提出的包括但不限于侵犯其专利权、商标权、工业设计权、著作权等知识产权或/和侵犯其所有权、抵押权等物权及其他合法权益的指控。否则，乙方应承担全部责任，并赔偿因此给甲方所造成的损失，该损失包括但不限于甲方为应对该等指控而支出的律师费、调查取证费、诉讼费、侵权赔偿等。</w:t>
      </w:r>
    </w:p>
    <w:p w14:paraId="3A8BC99C">
      <w:pPr>
        <w:widowControl w:val="0"/>
        <w:spacing w:line="500" w:lineRule="exact"/>
        <w:ind w:firstLine="442" w:firstLineChars="200"/>
        <w:jc w:val="both"/>
        <w:rPr>
          <w:rFonts w:hint="eastAsia" w:ascii="宋体" w:hAnsi="宋体" w:eastAsia="宋体" w:cs="宋体"/>
          <w:b/>
          <w:bCs/>
          <w:kern w:val="2"/>
          <w:sz w:val="22"/>
          <w:lang w:eastAsia="zh-CN"/>
        </w:rPr>
      </w:pPr>
      <w:r>
        <w:rPr>
          <w:rFonts w:hint="eastAsia" w:ascii="宋体" w:hAnsi="宋体" w:eastAsia="宋体" w:cs="宋体"/>
          <w:b/>
          <w:bCs/>
          <w:kern w:val="2"/>
          <w:sz w:val="22"/>
          <w:lang w:eastAsia="zh-CN"/>
        </w:rPr>
        <w:t>第九条 送达地址</w:t>
      </w:r>
    </w:p>
    <w:p w14:paraId="1239769A">
      <w:pPr>
        <w:widowControl w:val="0"/>
        <w:spacing w:line="500" w:lineRule="exact"/>
        <w:ind w:firstLine="440" w:firstLineChars="200"/>
        <w:jc w:val="both"/>
        <w:rPr>
          <w:rFonts w:hint="eastAsia" w:ascii="宋体" w:hAnsi="宋体" w:eastAsia="宋体" w:cs="宋体"/>
          <w:kern w:val="2"/>
          <w:sz w:val="22"/>
          <w:u w:val="single"/>
          <w:lang w:eastAsia="zh-CN"/>
        </w:rPr>
      </w:pPr>
      <w:r>
        <w:rPr>
          <w:rFonts w:hint="eastAsia" w:ascii="宋体" w:hAnsi="宋体" w:eastAsia="宋体" w:cs="宋体"/>
          <w:kern w:val="2"/>
          <w:sz w:val="22"/>
          <w:lang w:eastAsia="zh-CN"/>
        </w:rPr>
        <w:t>甲方地址：</w:t>
      </w:r>
      <w:r>
        <w:rPr>
          <w:rFonts w:hint="eastAsia" w:ascii="宋体" w:hAnsi="宋体" w:eastAsia="宋体" w:cs="宋体"/>
          <w:kern w:val="2"/>
          <w:sz w:val="22"/>
          <w:u w:val="single"/>
          <w:lang w:eastAsia="zh-CN"/>
        </w:rPr>
        <w:t>深圳市龙岗区吉华路南侧，香港中文大学（深圳）医院</w:t>
      </w:r>
    </w:p>
    <w:p w14:paraId="50810488">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双方确认上述地址为本方的送达地址，相关文件、法律文书邮寄到上述地址即视为合法送达。如按上述地址邮寄文件被邮政部门退回的，退回之日视为送达之日。一方变更送达地址的，应立即书面通知对方，否则承担不利的法律后果。</w:t>
      </w:r>
    </w:p>
    <w:p w14:paraId="2AED0737">
      <w:pPr>
        <w:widowControl w:val="0"/>
        <w:spacing w:line="500" w:lineRule="exact"/>
        <w:ind w:firstLine="442" w:firstLineChars="200"/>
        <w:jc w:val="both"/>
        <w:rPr>
          <w:rFonts w:hint="eastAsia" w:ascii="宋体" w:hAnsi="宋体" w:eastAsia="宋体" w:cs="宋体"/>
          <w:b/>
          <w:bCs/>
          <w:kern w:val="2"/>
          <w:sz w:val="22"/>
          <w:lang w:eastAsia="zh-CN"/>
        </w:rPr>
      </w:pPr>
      <w:r>
        <w:rPr>
          <w:rFonts w:hint="eastAsia" w:ascii="宋体" w:hAnsi="宋体" w:eastAsia="宋体" w:cs="宋体"/>
          <w:b/>
          <w:bCs/>
          <w:kern w:val="2"/>
          <w:sz w:val="22"/>
          <w:lang w:eastAsia="zh-CN"/>
        </w:rPr>
        <w:t>第十条 法律适用及争议解决</w:t>
      </w:r>
    </w:p>
    <w:p w14:paraId="3D07CBD2">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1、乙方应在交货时应主动提供深圳市计量质量检测研究院出具的《检验报告》。若甲方未要求乙方在交货时随货提交《检验报告》的，因货物的质量问题发生争议的，乙方同意由甲方委托深圳市计量质量检测研究院对设备质量进行鉴定，费用由乙方承担。</w:t>
      </w:r>
    </w:p>
    <w:p w14:paraId="2EA21B32">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2、本合同订立、变更、履行、纠纷解决等事宜，均适用中华人民共和国法律法规和司法解释的规定（不含港澳台法律）。</w:t>
      </w:r>
    </w:p>
    <w:p w14:paraId="34AD6209">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3、因履行本合同所发生的或者与本合同有关的一切争议，双方应友好协商解决；协商未果时，任何一方均有权向甲方所在地人民法院提起诉讼。</w:t>
      </w:r>
    </w:p>
    <w:p w14:paraId="395F6C19">
      <w:pPr>
        <w:widowControl w:val="0"/>
        <w:spacing w:line="500" w:lineRule="exact"/>
        <w:ind w:firstLine="442" w:firstLineChars="200"/>
        <w:jc w:val="both"/>
        <w:rPr>
          <w:rFonts w:hint="eastAsia" w:ascii="宋体" w:hAnsi="宋体" w:eastAsia="宋体" w:cs="宋体"/>
          <w:b/>
          <w:bCs/>
          <w:kern w:val="2"/>
          <w:sz w:val="22"/>
          <w:lang w:eastAsia="zh-CN"/>
        </w:rPr>
      </w:pPr>
      <w:r>
        <w:rPr>
          <w:rFonts w:hint="eastAsia" w:ascii="宋体" w:hAnsi="宋体" w:eastAsia="宋体" w:cs="宋体"/>
          <w:b/>
          <w:bCs/>
          <w:kern w:val="2"/>
          <w:sz w:val="22"/>
          <w:lang w:eastAsia="zh-CN"/>
        </w:rPr>
        <w:t>第十一条 合同生效及其他</w:t>
      </w:r>
    </w:p>
    <w:p w14:paraId="265BAE2F">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1、下列文件均为本合同组成部分，除本合同有特别约定外，如果构成本合同的文件，就同一事项的表述不一致时，关于质量标准的表述，甲方可选择标准最高者作为验收依据；关于价款及履约期限的表述，以签署日期在后者为准；关于服务范围的表述，以较广者为准：</w:t>
      </w:r>
    </w:p>
    <w:p w14:paraId="5B29F0D2">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（1）本合同（包括7个附件）；</w:t>
      </w:r>
    </w:p>
    <w:p w14:paraId="664520B6">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（2）本合同生效后双方签订的变更协议或补充协议；</w:t>
      </w:r>
    </w:p>
    <w:p w14:paraId="03445612">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（3）中标通知书；</w:t>
      </w:r>
    </w:p>
    <w:p w14:paraId="4CBFBA55">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（4）招标/采购文件；</w:t>
      </w:r>
    </w:p>
    <w:p w14:paraId="437D84EA">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（5）乙方的投标/应答或谈判文件。</w:t>
      </w:r>
    </w:p>
    <w:p w14:paraId="789FB35D">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2、本合同未尽事宜，由双方另行协商。对本合同条款的任何变更、修改或增减，须经双方协商同意以后，双方签署书面文件，作为本合同的组成部分并具有同等法律效力。</w:t>
      </w:r>
    </w:p>
    <w:p w14:paraId="14BC0167">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3、本合同经双方签字并加盖公章之日起生效。本合同一式</w:t>
      </w:r>
      <w:r>
        <w:rPr>
          <w:rFonts w:hint="eastAsia" w:ascii="宋体" w:hAnsi="宋体" w:eastAsia="宋体" w:cs="宋体"/>
          <w:kern w:val="2"/>
          <w:sz w:val="22"/>
          <w:u w:val="single"/>
          <w:lang w:eastAsia="zh-CN"/>
        </w:rPr>
        <w:t>陆</w:t>
      </w:r>
      <w:r>
        <w:rPr>
          <w:rFonts w:hint="eastAsia" w:ascii="宋体" w:hAnsi="宋体" w:eastAsia="宋体" w:cs="宋体"/>
          <w:kern w:val="2"/>
          <w:sz w:val="22"/>
          <w:lang w:eastAsia="zh-CN"/>
        </w:rPr>
        <w:t>份，甲方</w:t>
      </w:r>
      <w:r>
        <w:rPr>
          <w:rFonts w:hint="eastAsia" w:ascii="宋体" w:hAnsi="宋体" w:eastAsia="宋体" w:cs="宋体"/>
          <w:kern w:val="2"/>
          <w:sz w:val="22"/>
          <w:u w:val="single"/>
          <w:lang w:eastAsia="zh-CN"/>
        </w:rPr>
        <w:t>伍</w:t>
      </w:r>
      <w:r>
        <w:rPr>
          <w:rFonts w:hint="eastAsia" w:ascii="宋体" w:hAnsi="宋体" w:eastAsia="宋体" w:cs="宋体"/>
          <w:kern w:val="2"/>
          <w:sz w:val="22"/>
          <w:lang w:eastAsia="zh-CN"/>
        </w:rPr>
        <w:t>份、乙方</w:t>
      </w:r>
      <w:r>
        <w:rPr>
          <w:rFonts w:hint="eastAsia" w:ascii="宋体" w:hAnsi="宋体" w:eastAsia="宋体" w:cs="宋体"/>
          <w:kern w:val="2"/>
          <w:sz w:val="22"/>
          <w:u w:val="single"/>
          <w:lang w:eastAsia="zh-CN"/>
        </w:rPr>
        <w:t>壹</w:t>
      </w:r>
      <w:r>
        <w:rPr>
          <w:rFonts w:hint="eastAsia" w:ascii="宋体" w:hAnsi="宋体" w:eastAsia="宋体" w:cs="宋体"/>
          <w:kern w:val="2"/>
          <w:sz w:val="22"/>
          <w:lang w:eastAsia="zh-CN"/>
        </w:rPr>
        <w:t>份，均具有同等法律效力。</w:t>
      </w:r>
    </w:p>
    <w:p w14:paraId="3BF2BDEC">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本合同附件：</w:t>
      </w:r>
    </w:p>
    <w:p w14:paraId="7187787D">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1、廉洁承诺书</w:t>
      </w:r>
    </w:p>
    <w:p w14:paraId="122B907E">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2、中标通知书</w:t>
      </w:r>
    </w:p>
    <w:p w14:paraId="3F60FB04">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3、设备配置清单</w:t>
      </w:r>
    </w:p>
    <w:p w14:paraId="795A4AE6">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4、设备技术规格偏离表</w:t>
      </w:r>
    </w:p>
    <w:p w14:paraId="1BF556EB">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5、乙方保修承诺函</w:t>
      </w:r>
    </w:p>
    <w:p w14:paraId="1C69C41D">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6、厂家保修承诺函</w:t>
      </w:r>
    </w:p>
    <w:p w14:paraId="6876AE23">
      <w:pPr>
        <w:widowControl w:val="0"/>
        <w:spacing w:line="500" w:lineRule="exact"/>
        <w:ind w:firstLine="440" w:firstLineChars="200"/>
        <w:jc w:val="both"/>
        <w:rPr>
          <w:rFonts w:hint="eastAsia" w:ascii="宋体" w:hAnsi="宋体" w:eastAsia="宋体" w:cs="宋体"/>
          <w:kern w:val="2"/>
          <w:sz w:val="22"/>
          <w:lang w:eastAsia="zh-CN"/>
        </w:rPr>
      </w:pPr>
      <w:r>
        <w:rPr>
          <w:rFonts w:hint="eastAsia" w:ascii="宋体" w:hAnsi="宋体" w:eastAsia="宋体" w:cs="宋体"/>
          <w:kern w:val="2"/>
          <w:sz w:val="22"/>
          <w:lang w:eastAsia="zh-CN"/>
        </w:rPr>
        <w:t xml:space="preserve">7、保密承诺 </w:t>
      </w:r>
    </w:p>
    <w:p w14:paraId="2991319F">
      <w:pPr>
        <w:widowControl w:val="0"/>
        <w:tabs>
          <w:tab w:val="left" w:pos="562"/>
          <w:tab w:val="left" w:pos="3372"/>
          <w:tab w:val="left" w:pos="3653"/>
        </w:tabs>
        <w:spacing w:line="360" w:lineRule="auto"/>
        <w:jc w:val="both"/>
        <w:rPr>
          <w:rFonts w:hint="eastAsia" w:ascii="宋体" w:hAnsi="宋体" w:eastAsia="宋体" w:cs="宋体"/>
          <w:b/>
          <w:bCs/>
          <w:kern w:val="2"/>
          <w:sz w:val="22"/>
          <w:szCs w:val="22"/>
          <w:lang w:eastAsia="zh-CN"/>
        </w:rPr>
      </w:pPr>
      <w:r>
        <w:rPr>
          <w:rFonts w:hint="eastAsia" w:ascii="宋体" w:hAnsi="宋体" w:eastAsia="宋体" w:cs="宋体"/>
          <w:b/>
          <w:bCs/>
          <w:kern w:val="2"/>
          <w:sz w:val="22"/>
          <w:szCs w:val="22"/>
          <w:lang w:eastAsia="zh-CN"/>
        </w:rPr>
        <w:t>（以下无正文）</w:t>
      </w:r>
    </w:p>
    <w:p w14:paraId="73305012">
      <w:pPr>
        <w:widowControl w:val="0"/>
        <w:jc w:val="both"/>
        <w:rPr>
          <w:rFonts w:hint="eastAsia" w:ascii="宋体" w:hAnsi="宋体" w:eastAsia="宋体" w:cs="宋体"/>
          <w:kern w:val="2"/>
          <w:sz w:val="22"/>
          <w:lang w:eastAsia="zh-CN"/>
        </w:rPr>
      </w:pPr>
    </w:p>
    <w:p w14:paraId="067AC8BF">
      <w:pPr>
        <w:widowControl w:val="0"/>
        <w:jc w:val="both"/>
        <w:rPr>
          <w:rFonts w:eastAsia="宋体"/>
          <w:kern w:val="2"/>
          <w:sz w:val="21"/>
          <w:lang w:eastAsia="zh-CN"/>
        </w:rPr>
      </w:pPr>
    </w:p>
    <w:tbl>
      <w:tblPr>
        <w:tblStyle w:val="14"/>
        <w:tblW w:w="5000" w:type="pct"/>
        <w:jc w:val="center"/>
        <w:tblLayout w:type="fixed"/>
        <w:tblCellMar>
          <w:top w:w="0" w:type="dxa"/>
          <w:left w:w="0" w:type="dxa"/>
          <w:bottom w:w="0" w:type="dxa"/>
          <w:right w:w="0" w:type="dxa"/>
        </w:tblCellMar>
      </w:tblPr>
      <w:tblGrid>
        <w:gridCol w:w="1356"/>
        <w:gridCol w:w="2531"/>
        <w:gridCol w:w="285"/>
        <w:gridCol w:w="1355"/>
        <w:gridCol w:w="2531"/>
        <w:gridCol w:w="285"/>
      </w:tblGrid>
      <w:tr w14:paraId="30B12479">
        <w:tblPrEx>
          <w:tblCellMar>
            <w:top w:w="0" w:type="dxa"/>
            <w:left w:w="0" w:type="dxa"/>
            <w:bottom w:w="0" w:type="dxa"/>
            <w:right w:w="0" w:type="dxa"/>
          </w:tblCellMar>
        </w:tblPrEx>
        <w:trPr>
          <w:trHeight w:val="529" w:hRule="atLeast"/>
          <w:jc w:val="center"/>
        </w:trPr>
        <w:tc>
          <w:tcPr>
            <w:tcW w:w="1500" w:type="dxa"/>
            <w:tcBorders>
              <w:top w:val="nil"/>
              <w:left w:val="nil"/>
              <w:bottom w:val="nil"/>
              <w:right w:val="nil"/>
            </w:tcBorders>
            <w:tcMar>
              <w:top w:w="15" w:type="dxa"/>
              <w:left w:w="15" w:type="dxa"/>
              <w:right w:w="15" w:type="dxa"/>
            </w:tcMar>
            <w:vAlign w:val="center"/>
          </w:tcPr>
          <w:p w14:paraId="43532254">
            <w:pPr>
              <w:widowControl/>
              <w:ind w:right="630"/>
              <w:jc w:val="both"/>
              <w:textAlignment w:val="center"/>
              <w:rPr>
                <w:rFonts w:hint="eastAsia" w:ascii="宋体" w:hAnsi="宋体" w:eastAsia="宋体" w:cs="宋体"/>
                <w:kern w:val="2"/>
                <w:sz w:val="22"/>
                <w:lang w:eastAsia="zh-CN"/>
              </w:rPr>
            </w:pPr>
            <w:r>
              <w:rPr>
                <w:rFonts w:hint="eastAsia" w:ascii="宋体" w:hAnsi="宋体" w:eastAsia="宋体" w:cs="宋体"/>
                <w:sz w:val="22"/>
                <w:lang w:eastAsia="zh-CN"/>
              </w:rPr>
              <w:t>甲方:</w:t>
            </w:r>
          </w:p>
        </w:tc>
        <w:tc>
          <w:tcPr>
            <w:tcW w:w="2807" w:type="dxa"/>
            <w:tcBorders>
              <w:top w:val="nil"/>
              <w:left w:val="nil"/>
              <w:bottom w:val="single" w:color="000000" w:sz="4" w:space="0"/>
              <w:right w:val="nil"/>
            </w:tcBorders>
            <w:tcMar>
              <w:top w:w="15" w:type="dxa"/>
              <w:left w:w="15" w:type="dxa"/>
              <w:right w:w="15" w:type="dxa"/>
            </w:tcMar>
            <w:vAlign w:val="center"/>
          </w:tcPr>
          <w:p w14:paraId="1F8A8109">
            <w:pPr>
              <w:widowControl/>
              <w:jc w:val="center"/>
              <w:textAlignment w:val="center"/>
              <w:rPr>
                <w:rFonts w:hint="eastAsia" w:ascii="宋体" w:hAnsi="宋体" w:eastAsia="宋体" w:cs="宋体"/>
                <w:kern w:val="2"/>
                <w:sz w:val="22"/>
                <w:lang w:eastAsia="zh-CN"/>
              </w:rPr>
            </w:pPr>
            <w:r>
              <w:rPr>
                <w:rFonts w:hint="eastAsia" w:ascii="宋体" w:hAnsi="宋体" w:eastAsia="宋体" w:cs="宋体"/>
                <w:sz w:val="22"/>
                <w:lang w:eastAsia="zh-CN"/>
              </w:rPr>
              <w:t>香港中文大学（深圳）医院</w:t>
            </w:r>
          </w:p>
        </w:tc>
        <w:tc>
          <w:tcPr>
            <w:tcW w:w="311" w:type="dxa"/>
            <w:tcBorders>
              <w:top w:val="nil"/>
              <w:left w:val="nil"/>
              <w:bottom w:val="nil"/>
              <w:right w:val="nil"/>
            </w:tcBorders>
            <w:tcMar>
              <w:top w:w="15" w:type="dxa"/>
              <w:left w:w="15" w:type="dxa"/>
              <w:right w:w="15" w:type="dxa"/>
            </w:tcMar>
            <w:vAlign w:val="center"/>
          </w:tcPr>
          <w:p w14:paraId="3AEED182">
            <w:pPr>
              <w:widowControl w:val="0"/>
              <w:jc w:val="center"/>
              <w:rPr>
                <w:rFonts w:hint="eastAsia" w:ascii="宋体" w:hAnsi="宋体" w:eastAsia="宋体" w:cs="宋体"/>
                <w:kern w:val="2"/>
                <w:sz w:val="22"/>
                <w:lang w:eastAsia="zh-CN"/>
              </w:rPr>
            </w:pPr>
          </w:p>
        </w:tc>
        <w:tc>
          <w:tcPr>
            <w:tcW w:w="1500" w:type="dxa"/>
            <w:tcBorders>
              <w:top w:val="nil"/>
              <w:left w:val="nil"/>
              <w:bottom w:val="nil"/>
              <w:right w:val="nil"/>
            </w:tcBorders>
            <w:tcMar>
              <w:top w:w="15" w:type="dxa"/>
              <w:left w:w="15" w:type="dxa"/>
              <w:right w:w="15" w:type="dxa"/>
            </w:tcMar>
            <w:vAlign w:val="center"/>
          </w:tcPr>
          <w:p w14:paraId="090B5C94">
            <w:pPr>
              <w:widowControl/>
              <w:ind w:right="630"/>
              <w:jc w:val="both"/>
              <w:textAlignment w:val="center"/>
              <w:rPr>
                <w:rFonts w:hint="eastAsia" w:ascii="宋体" w:hAnsi="宋体" w:eastAsia="宋体" w:cs="宋体"/>
                <w:kern w:val="2"/>
                <w:sz w:val="22"/>
                <w:lang w:eastAsia="zh-CN"/>
              </w:rPr>
            </w:pPr>
            <w:r>
              <w:rPr>
                <w:rFonts w:hint="eastAsia" w:ascii="宋体" w:hAnsi="宋体" w:eastAsia="宋体" w:cs="宋体"/>
                <w:sz w:val="22"/>
                <w:lang w:eastAsia="zh-CN"/>
              </w:rPr>
              <w:t>乙方:</w:t>
            </w:r>
          </w:p>
        </w:tc>
        <w:tc>
          <w:tcPr>
            <w:tcW w:w="2807" w:type="dxa"/>
            <w:tcBorders>
              <w:top w:val="nil"/>
              <w:left w:val="nil"/>
              <w:bottom w:val="single" w:color="000000" w:sz="4" w:space="0"/>
              <w:right w:val="nil"/>
            </w:tcBorders>
            <w:tcMar>
              <w:top w:w="15" w:type="dxa"/>
              <w:left w:w="15" w:type="dxa"/>
              <w:right w:w="15" w:type="dxa"/>
            </w:tcMar>
            <w:vAlign w:val="center"/>
          </w:tcPr>
          <w:p w14:paraId="24717740">
            <w:pPr>
              <w:widowControl w:val="0"/>
              <w:jc w:val="center"/>
              <w:rPr>
                <w:rFonts w:hint="eastAsia" w:ascii="宋体" w:hAnsi="宋体" w:eastAsia="宋体" w:cs="宋体"/>
                <w:kern w:val="2"/>
                <w:sz w:val="22"/>
                <w:lang w:eastAsia="zh-CN"/>
              </w:rPr>
            </w:pPr>
          </w:p>
        </w:tc>
        <w:tc>
          <w:tcPr>
            <w:tcW w:w="311" w:type="dxa"/>
            <w:tcBorders>
              <w:top w:val="nil"/>
              <w:left w:val="nil"/>
              <w:bottom w:val="nil"/>
              <w:right w:val="nil"/>
            </w:tcBorders>
            <w:tcMar>
              <w:top w:w="15" w:type="dxa"/>
              <w:left w:w="15" w:type="dxa"/>
              <w:right w:w="15" w:type="dxa"/>
            </w:tcMar>
            <w:vAlign w:val="center"/>
          </w:tcPr>
          <w:p w14:paraId="60144209">
            <w:pPr>
              <w:widowControl w:val="0"/>
              <w:jc w:val="right"/>
              <w:rPr>
                <w:rFonts w:hint="eastAsia" w:ascii="宋体" w:hAnsi="宋体" w:eastAsia="宋体" w:cs="宋体"/>
                <w:kern w:val="2"/>
                <w:sz w:val="22"/>
                <w:lang w:eastAsia="zh-CN"/>
              </w:rPr>
            </w:pPr>
          </w:p>
        </w:tc>
      </w:tr>
      <w:tr w14:paraId="29B379C5">
        <w:tblPrEx>
          <w:tblCellMar>
            <w:top w:w="0" w:type="dxa"/>
            <w:left w:w="0" w:type="dxa"/>
            <w:bottom w:w="0" w:type="dxa"/>
            <w:right w:w="0" w:type="dxa"/>
          </w:tblCellMar>
        </w:tblPrEx>
        <w:trPr>
          <w:trHeight w:val="529" w:hRule="atLeast"/>
          <w:jc w:val="center"/>
        </w:trPr>
        <w:tc>
          <w:tcPr>
            <w:tcW w:w="1500" w:type="dxa"/>
            <w:tcBorders>
              <w:top w:val="nil"/>
              <w:left w:val="nil"/>
              <w:bottom w:val="nil"/>
              <w:right w:val="nil"/>
            </w:tcBorders>
            <w:tcMar>
              <w:top w:w="15" w:type="dxa"/>
              <w:left w:w="15" w:type="dxa"/>
              <w:right w:w="15" w:type="dxa"/>
            </w:tcMar>
            <w:vAlign w:val="center"/>
          </w:tcPr>
          <w:p w14:paraId="2C822F1E">
            <w:pPr>
              <w:widowControl/>
              <w:jc w:val="both"/>
              <w:textAlignment w:val="center"/>
              <w:rPr>
                <w:rFonts w:hint="eastAsia" w:ascii="宋体" w:hAnsi="宋体" w:eastAsia="宋体" w:cs="宋体"/>
                <w:kern w:val="2"/>
                <w:sz w:val="22"/>
                <w:lang w:eastAsia="zh-CN"/>
              </w:rPr>
            </w:pPr>
            <w:r>
              <w:rPr>
                <w:rFonts w:hint="eastAsia" w:ascii="宋体" w:hAnsi="宋体" w:eastAsia="宋体" w:cs="宋体"/>
                <w:sz w:val="22"/>
                <w:lang w:eastAsia="zh-CN"/>
              </w:rPr>
              <w:t>法定代表人:</w:t>
            </w:r>
          </w:p>
        </w:tc>
        <w:tc>
          <w:tcPr>
            <w:tcW w:w="2807" w:type="dxa"/>
            <w:tcBorders>
              <w:top w:val="nil"/>
              <w:left w:val="nil"/>
              <w:bottom w:val="single" w:color="000000" w:sz="4" w:space="0"/>
              <w:right w:val="nil"/>
            </w:tcBorders>
            <w:tcMar>
              <w:top w:w="15" w:type="dxa"/>
              <w:left w:w="15" w:type="dxa"/>
              <w:right w:w="15" w:type="dxa"/>
            </w:tcMar>
            <w:vAlign w:val="center"/>
          </w:tcPr>
          <w:p w14:paraId="5489450A">
            <w:pPr>
              <w:widowControl w:val="0"/>
              <w:jc w:val="center"/>
              <w:rPr>
                <w:rFonts w:hint="eastAsia" w:ascii="宋体" w:hAnsi="宋体" w:eastAsia="宋体" w:cs="宋体"/>
                <w:kern w:val="2"/>
                <w:sz w:val="22"/>
                <w:lang w:eastAsia="zh-CN"/>
              </w:rPr>
            </w:pPr>
          </w:p>
        </w:tc>
        <w:tc>
          <w:tcPr>
            <w:tcW w:w="311" w:type="dxa"/>
            <w:tcBorders>
              <w:top w:val="nil"/>
              <w:left w:val="nil"/>
              <w:bottom w:val="nil"/>
              <w:right w:val="nil"/>
            </w:tcBorders>
            <w:tcMar>
              <w:top w:w="15" w:type="dxa"/>
              <w:left w:w="15" w:type="dxa"/>
              <w:right w:w="15" w:type="dxa"/>
            </w:tcMar>
            <w:vAlign w:val="center"/>
          </w:tcPr>
          <w:p w14:paraId="46462605">
            <w:pPr>
              <w:widowControl w:val="0"/>
              <w:jc w:val="center"/>
              <w:rPr>
                <w:rFonts w:hint="eastAsia" w:ascii="宋体" w:hAnsi="宋体" w:eastAsia="宋体" w:cs="宋体"/>
                <w:kern w:val="2"/>
                <w:sz w:val="22"/>
                <w:lang w:eastAsia="zh-CN"/>
              </w:rPr>
            </w:pPr>
          </w:p>
        </w:tc>
        <w:tc>
          <w:tcPr>
            <w:tcW w:w="1500" w:type="dxa"/>
            <w:tcBorders>
              <w:top w:val="nil"/>
              <w:left w:val="nil"/>
              <w:bottom w:val="nil"/>
              <w:right w:val="nil"/>
            </w:tcBorders>
            <w:tcMar>
              <w:top w:w="15" w:type="dxa"/>
              <w:left w:w="15" w:type="dxa"/>
              <w:right w:w="15" w:type="dxa"/>
            </w:tcMar>
            <w:vAlign w:val="center"/>
          </w:tcPr>
          <w:p w14:paraId="3AB40FF1">
            <w:pPr>
              <w:widowControl/>
              <w:jc w:val="both"/>
              <w:textAlignment w:val="center"/>
              <w:rPr>
                <w:rFonts w:hint="eastAsia" w:ascii="宋体" w:hAnsi="宋体" w:eastAsia="宋体" w:cs="宋体"/>
                <w:kern w:val="2"/>
                <w:sz w:val="22"/>
                <w:lang w:eastAsia="zh-CN"/>
              </w:rPr>
            </w:pPr>
            <w:r>
              <w:rPr>
                <w:rFonts w:hint="eastAsia" w:ascii="宋体" w:hAnsi="宋体" w:eastAsia="宋体" w:cs="宋体"/>
                <w:sz w:val="22"/>
                <w:lang w:eastAsia="zh-CN"/>
              </w:rPr>
              <w:t>法定代表人:</w:t>
            </w:r>
          </w:p>
        </w:tc>
        <w:tc>
          <w:tcPr>
            <w:tcW w:w="2807" w:type="dxa"/>
            <w:tcBorders>
              <w:top w:val="nil"/>
              <w:left w:val="nil"/>
              <w:bottom w:val="single" w:color="000000" w:sz="4" w:space="0"/>
              <w:right w:val="nil"/>
            </w:tcBorders>
            <w:tcMar>
              <w:top w:w="15" w:type="dxa"/>
              <w:left w:w="15" w:type="dxa"/>
              <w:right w:w="15" w:type="dxa"/>
            </w:tcMar>
            <w:vAlign w:val="center"/>
          </w:tcPr>
          <w:p w14:paraId="676E3A44">
            <w:pPr>
              <w:widowControl w:val="0"/>
              <w:jc w:val="center"/>
              <w:rPr>
                <w:rFonts w:hint="eastAsia" w:ascii="宋体" w:hAnsi="宋体" w:eastAsia="宋体" w:cs="宋体"/>
                <w:kern w:val="2"/>
                <w:sz w:val="22"/>
                <w:lang w:eastAsia="zh-CN"/>
              </w:rPr>
            </w:pPr>
          </w:p>
        </w:tc>
        <w:tc>
          <w:tcPr>
            <w:tcW w:w="311" w:type="dxa"/>
            <w:tcBorders>
              <w:top w:val="nil"/>
              <w:left w:val="nil"/>
              <w:bottom w:val="nil"/>
              <w:right w:val="nil"/>
            </w:tcBorders>
            <w:tcMar>
              <w:top w:w="15" w:type="dxa"/>
              <w:left w:w="15" w:type="dxa"/>
              <w:right w:w="15" w:type="dxa"/>
            </w:tcMar>
            <w:vAlign w:val="center"/>
          </w:tcPr>
          <w:p w14:paraId="0324CF1E">
            <w:pPr>
              <w:widowControl w:val="0"/>
              <w:jc w:val="right"/>
              <w:rPr>
                <w:rFonts w:hint="eastAsia" w:ascii="宋体" w:hAnsi="宋体" w:eastAsia="宋体" w:cs="宋体"/>
                <w:kern w:val="2"/>
                <w:sz w:val="22"/>
                <w:lang w:eastAsia="zh-CN"/>
              </w:rPr>
            </w:pPr>
          </w:p>
        </w:tc>
      </w:tr>
      <w:tr w14:paraId="4F2EC08C">
        <w:tblPrEx>
          <w:tblCellMar>
            <w:top w:w="0" w:type="dxa"/>
            <w:left w:w="0" w:type="dxa"/>
            <w:bottom w:w="0" w:type="dxa"/>
            <w:right w:w="0" w:type="dxa"/>
          </w:tblCellMar>
        </w:tblPrEx>
        <w:trPr>
          <w:trHeight w:val="529" w:hRule="atLeast"/>
          <w:jc w:val="center"/>
        </w:trPr>
        <w:tc>
          <w:tcPr>
            <w:tcW w:w="1500" w:type="dxa"/>
            <w:tcBorders>
              <w:top w:val="nil"/>
              <w:left w:val="nil"/>
              <w:bottom w:val="nil"/>
              <w:right w:val="nil"/>
            </w:tcBorders>
            <w:tcMar>
              <w:top w:w="15" w:type="dxa"/>
              <w:left w:w="15" w:type="dxa"/>
              <w:right w:w="15" w:type="dxa"/>
            </w:tcMar>
            <w:vAlign w:val="center"/>
          </w:tcPr>
          <w:p w14:paraId="7DF82A0F">
            <w:pPr>
              <w:widowControl/>
              <w:ind w:right="210"/>
              <w:jc w:val="both"/>
              <w:textAlignment w:val="center"/>
              <w:rPr>
                <w:rFonts w:hint="eastAsia" w:ascii="宋体" w:hAnsi="宋体" w:eastAsia="宋体" w:cs="宋体"/>
                <w:kern w:val="2"/>
                <w:sz w:val="22"/>
                <w:lang w:eastAsia="zh-CN"/>
              </w:rPr>
            </w:pPr>
            <w:r>
              <w:rPr>
                <w:rFonts w:hint="eastAsia" w:ascii="宋体" w:hAnsi="宋体" w:eastAsia="宋体" w:cs="宋体"/>
                <w:sz w:val="22"/>
                <w:lang w:eastAsia="zh-CN"/>
              </w:rPr>
              <w:t>授权代表:</w:t>
            </w:r>
          </w:p>
        </w:tc>
        <w:tc>
          <w:tcPr>
            <w:tcW w:w="2807" w:type="dxa"/>
            <w:tcBorders>
              <w:top w:val="nil"/>
              <w:left w:val="nil"/>
              <w:bottom w:val="single" w:color="000000" w:sz="4" w:space="0"/>
              <w:right w:val="nil"/>
            </w:tcBorders>
            <w:tcMar>
              <w:top w:w="15" w:type="dxa"/>
              <w:left w:w="15" w:type="dxa"/>
              <w:right w:w="15" w:type="dxa"/>
            </w:tcMar>
            <w:vAlign w:val="center"/>
          </w:tcPr>
          <w:p w14:paraId="05352FAF">
            <w:pPr>
              <w:widowControl w:val="0"/>
              <w:jc w:val="center"/>
              <w:rPr>
                <w:rFonts w:hint="eastAsia" w:ascii="宋体" w:hAnsi="宋体" w:eastAsia="宋体" w:cs="宋体"/>
                <w:kern w:val="2"/>
                <w:sz w:val="22"/>
                <w:lang w:eastAsia="zh-CN"/>
              </w:rPr>
            </w:pPr>
          </w:p>
        </w:tc>
        <w:tc>
          <w:tcPr>
            <w:tcW w:w="311" w:type="dxa"/>
            <w:tcBorders>
              <w:top w:val="nil"/>
              <w:left w:val="nil"/>
              <w:bottom w:val="nil"/>
              <w:right w:val="nil"/>
            </w:tcBorders>
            <w:tcMar>
              <w:top w:w="15" w:type="dxa"/>
              <w:left w:w="15" w:type="dxa"/>
              <w:right w:w="15" w:type="dxa"/>
            </w:tcMar>
            <w:vAlign w:val="center"/>
          </w:tcPr>
          <w:p w14:paraId="26926B0A">
            <w:pPr>
              <w:widowControl w:val="0"/>
              <w:jc w:val="center"/>
              <w:rPr>
                <w:rFonts w:hint="eastAsia" w:ascii="宋体" w:hAnsi="宋体" w:eastAsia="宋体" w:cs="宋体"/>
                <w:kern w:val="2"/>
                <w:sz w:val="22"/>
                <w:lang w:eastAsia="zh-CN"/>
              </w:rPr>
            </w:pPr>
          </w:p>
        </w:tc>
        <w:tc>
          <w:tcPr>
            <w:tcW w:w="1500" w:type="dxa"/>
            <w:tcBorders>
              <w:top w:val="nil"/>
              <w:left w:val="nil"/>
              <w:bottom w:val="nil"/>
              <w:right w:val="nil"/>
            </w:tcBorders>
            <w:tcMar>
              <w:top w:w="15" w:type="dxa"/>
              <w:left w:w="15" w:type="dxa"/>
              <w:right w:w="15" w:type="dxa"/>
            </w:tcMar>
            <w:vAlign w:val="center"/>
          </w:tcPr>
          <w:p w14:paraId="4B1A3857">
            <w:pPr>
              <w:widowControl/>
              <w:ind w:right="210"/>
              <w:jc w:val="both"/>
              <w:textAlignment w:val="center"/>
              <w:rPr>
                <w:rFonts w:hint="eastAsia" w:ascii="宋体" w:hAnsi="宋体" w:eastAsia="宋体" w:cs="宋体"/>
                <w:kern w:val="2"/>
                <w:sz w:val="22"/>
                <w:lang w:eastAsia="zh-CN"/>
              </w:rPr>
            </w:pPr>
            <w:r>
              <w:rPr>
                <w:rFonts w:hint="eastAsia" w:ascii="宋体" w:hAnsi="宋体" w:eastAsia="宋体" w:cs="宋体"/>
                <w:sz w:val="22"/>
                <w:lang w:eastAsia="zh-CN"/>
              </w:rPr>
              <w:t>授权代表:</w:t>
            </w:r>
          </w:p>
        </w:tc>
        <w:tc>
          <w:tcPr>
            <w:tcW w:w="2807" w:type="dxa"/>
            <w:tcBorders>
              <w:top w:val="nil"/>
              <w:left w:val="nil"/>
              <w:bottom w:val="single" w:color="000000" w:sz="4" w:space="0"/>
              <w:right w:val="nil"/>
            </w:tcBorders>
            <w:tcMar>
              <w:top w:w="15" w:type="dxa"/>
              <w:left w:w="15" w:type="dxa"/>
              <w:right w:w="15" w:type="dxa"/>
            </w:tcMar>
            <w:vAlign w:val="center"/>
          </w:tcPr>
          <w:p w14:paraId="122A1576">
            <w:pPr>
              <w:widowControl w:val="0"/>
              <w:jc w:val="center"/>
              <w:rPr>
                <w:rFonts w:hint="eastAsia" w:ascii="宋体" w:hAnsi="宋体" w:eastAsia="宋体" w:cs="宋体"/>
                <w:kern w:val="2"/>
                <w:sz w:val="22"/>
                <w:lang w:eastAsia="zh-CN"/>
              </w:rPr>
            </w:pPr>
          </w:p>
        </w:tc>
        <w:tc>
          <w:tcPr>
            <w:tcW w:w="311" w:type="dxa"/>
            <w:tcBorders>
              <w:top w:val="nil"/>
              <w:left w:val="nil"/>
              <w:bottom w:val="nil"/>
              <w:right w:val="nil"/>
            </w:tcBorders>
            <w:tcMar>
              <w:top w:w="15" w:type="dxa"/>
              <w:left w:w="15" w:type="dxa"/>
              <w:right w:w="15" w:type="dxa"/>
            </w:tcMar>
            <w:vAlign w:val="center"/>
          </w:tcPr>
          <w:p w14:paraId="4C10DBC1">
            <w:pPr>
              <w:widowControl w:val="0"/>
              <w:jc w:val="right"/>
              <w:rPr>
                <w:rFonts w:hint="eastAsia" w:ascii="宋体" w:hAnsi="宋体" w:eastAsia="宋体" w:cs="宋体"/>
                <w:kern w:val="2"/>
                <w:sz w:val="22"/>
                <w:lang w:eastAsia="zh-CN"/>
              </w:rPr>
            </w:pPr>
          </w:p>
        </w:tc>
      </w:tr>
      <w:tr w14:paraId="53DCF0FC">
        <w:tblPrEx>
          <w:tblCellMar>
            <w:top w:w="0" w:type="dxa"/>
            <w:left w:w="0" w:type="dxa"/>
            <w:bottom w:w="0" w:type="dxa"/>
            <w:right w:w="0" w:type="dxa"/>
          </w:tblCellMar>
        </w:tblPrEx>
        <w:trPr>
          <w:trHeight w:val="529" w:hRule="atLeast"/>
          <w:jc w:val="center"/>
        </w:trPr>
        <w:tc>
          <w:tcPr>
            <w:tcW w:w="1500" w:type="dxa"/>
            <w:tcBorders>
              <w:top w:val="nil"/>
              <w:left w:val="nil"/>
              <w:bottom w:val="nil"/>
              <w:right w:val="nil"/>
            </w:tcBorders>
            <w:tcMar>
              <w:top w:w="15" w:type="dxa"/>
              <w:left w:w="15" w:type="dxa"/>
              <w:right w:w="15" w:type="dxa"/>
            </w:tcMar>
            <w:vAlign w:val="center"/>
          </w:tcPr>
          <w:p w14:paraId="578F7F54">
            <w:pPr>
              <w:widowControl/>
              <w:jc w:val="both"/>
              <w:textAlignment w:val="center"/>
              <w:rPr>
                <w:rFonts w:hint="eastAsia" w:ascii="宋体" w:hAnsi="宋体" w:eastAsia="宋体" w:cs="宋体"/>
                <w:kern w:val="2"/>
                <w:sz w:val="22"/>
                <w:lang w:eastAsia="zh-CN"/>
              </w:rPr>
            </w:pPr>
            <w:r>
              <w:rPr>
                <w:rFonts w:hint="eastAsia" w:ascii="宋体" w:hAnsi="宋体" w:eastAsia="宋体" w:cs="宋体"/>
                <w:sz w:val="22"/>
                <w:lang w:eastAsia="zh-CN"/>
              </w:rPr>
              <w:t>签约日期:</w:t>
            </w:r>
          </w:p>
        </w:tc>
        <w:tc>
          <w:tcPr>
            <w:tcW w:w="2807" w:type="dxa"/>
            <w:tcBorders>
              <w:top w:val="nil"/>
              <w:left w:val="nil"/>
              <w:bottom w:val="nil"/>
              <w:right w:val="nil"/>
            </w:tcBorders>
            <w:tcMar>
              <w:top w:w="15" w:type="dxa"/>
              <w:left w:w="15" w:type="dxa"/>
              <w:right w:w="15" w:type="dxa"/>
            </w:tcMar>
            <w:vAlign w:val="center"/>
          </w:tcPr>
          <w:p w14:paraId="0419185E">
            <w:pPr>
              <w:widowControl/>
              <w:jc w:val="center"/>
              <w:textAlignment w:val="center"/>
              <w:rPr>
                <w:rFonts w:hint="eastAsia" w:ascii="宋体" w:hAnsi="宋体" w:eastAsia="宋体" w:cs="宋体"/>
                <w:kern w:val="2"/>
                <w:sz w:val="22"/>
                <w:u w:val="single"/>
                <w:lang w:eastAsia="zh-CN"/>
              </w:rPr>
            </w:pPr>
          </w:p>
        </w:tc>
        <w:tc>
          <w:tcPr>
            <w:tcW w:w="311" w:type="dxa"/>
            <w:tcBorders>
              <w:top w:val="nil"/>
              <w:left w:val="nil"/>
              <w:bottom w:val="nil"/>
              <w:right w:val="nil"/>
            </w:tcBorders>
            <w:tcMar>
              <w:top w:w="15" w:type="dxa"/>
              <w:left w:w="15" w:type="dxa"/>
              <w:right w:w="15" w:type="dxa"/>
            </w:tcMar>
            <w:vAlign w:val="center"/>
          </w:tcPr>
          <w:p w14:paraId="6DAD43F5">
            <w:pPr>
              <w:widowControl w:val="0"/>
              <w:jc w:val="center"/>
              <w:rPr>
                <w:rFonts w:hint="eastAsia" w:ascii="宋体" w:hAnsi="宋体" w:eastAsia="宋体" w:cs="宋体"/>
                <w:kern w:val="2"/>
                <w:sz w:val="22"/>
                <w:u w:val="single"/>
                <w:lang w:eastAsia="zh-CN"/>
              </w:rPr>
            </w:pPr>
          </w:p>
        </w:tc>
        <w:tc>
          <w:tcPr>
            <w:tcW w:w="1500" w:type="dxa"/>
            <w:tcBorders>
              <w:top w:val="nil"/>
              <w:left w:val="nil"/>
              <w:bottom w:val="nil"/>
              <w:right w:val="nil"/>
            </w:tcBorders>
            <w:tcMar>
              <w:top w:w="15" w:type="dxa"/>
              <w:left w:w="15" w:type="dxa"/>
              <w:right w:w="15" w:type="dxa"/>
            </w:tcMar>
            <w:vAlign w:val="center"/>
          </w:tcPr>
          <w:p w14:paraId="027106E9">
            <w:pPr>
              <w:widowControl/>
              <w:jc w:val="both"/>
              <w:textAlignment w:val="center"/>
              <w:rPr>
                <w:rFonts w:hint="eastAsia" w:ascii="宋体" w:hAnsi="宋体" w:eastAsia="宋体" w:cs="宋体"/>
                <w:kern w:val="2"/>
                <w:sz w:val="22"/>
                <w:lang w:eastAsia="zh-CN"/>
              </w:rPr>
            </w:pPr>
            <w:r>
              <w:rPr>
                <w:rFonts w:hint="eastAsia" w:ascii="宋体" w:hAnsi="宋体" w:eastAsia="宋体" w:cs="宋体"/>
                <w:sz w:val="22"/>
                <w:lang w:eastAsia="zh-CN"/>
              </w:rPr>
              <w:t>签约日期:</w:t>
            </w:r>
          </w:p>
        </w:tc>
        <w:tc>
          <w:tcPr>
            <w:tcW w:w="2807" w:type="dxa"/>
            <w:tcBorders>
              <w:top w:val="nil"/>
              <w:left w:val="nil"/>
              <w:bottom w:val="nil"/>
              <w:right w:val="nil"/>
            </w:tcBorders>
            <w:tcMar>
              <w:top w:w="15" w:type="dxa"/>
              <w:left w:w="15" w:type="dxa"/>
              <w:right w:w="15" w:type="dxa"/>
            </w:tcMar>
            <w:vAlign w:val="center"/>
          </w:tcPr>
          <w:p w14:paraId="5E199F19">
            <w:pPr>
              <w:widowControl/>
              <w:jc w:val="center"/>
              <w:textAlignment w:val="center"/>
              <w:rPr>
                <w:rFonts w:hint="eastAsia" w:ascii="宋体" w:hAnsi="宋体" w:eastAsia="宋体" w:cs="宋体"/>
                <w:kern w:val="2"/>
                <w:sz w:val="22"/>
                <w:u w:val="single"/>
                <w:lang w:eastAsia="zh-CN"/>
              </w:rPr>
            </w:pPr>
          </w:p>
        </w:tc>
        <w:tc>
          <w:tcPr>
            <w:tcW w:w="311" w:type="dxa"/>
            <w:tcBorders>
              <w:top w:val="nil"/>
              <w:left w:val="nil"/>
              <w:bottom w:val="nil"/>
              <w:right w:val="nil"/>
            </w:tcBorders>
            <w:tcMar>
              <w:top w:w="15" w:type="dxa"/>
              <w:left w:w="15" w:type="dxa"/>
              <w:right w:w="15" w:type="dxa"/>
            </w:tcMar>
            <w:vAlign w:val="center"/>
          </w:tcPr>
          <w:p w14:paraId="7722FC09">
            <w:pPr>
              <w:widowControl w:val="0"/>
              <w:jc w:val="right"/>
              <w:rPr>
                <w:rFonts w:hint="eastAsia" w:ascii="宋体" w:hAnsi="宋体" w:eastAsia="宋体" w:cs="宋体"/>
                <w:kern w:val="2"/>
                <w:sz w:val="22"/>
                <w:lang w:eastAsia="zh-CN"/>
              </w:rPr>
            </w:pPr>
          </w:p>
        </w:tc>
      </w:tr>
      <w:tr w14:paraId="61225F72">
        <w:tblPrEx>
          <w:tblCellMar>
            <w:top w:w="0" w:type="dxa"/>
            <w:left w:w="0" w:type="dxa"/>
            <w:bottom w:w="0" w:type="dxa"/>
            <w:right w:w="0" w:type="dxa"/>
          </w:tblCellMar>
        </w:tblPrEx>
        <w:trPr>
          <w:trHeight w:val="529" w:hRule="atLeast"/>
          <w:jc w:val="center"/>
        </w:trPr>
        <w:tc>
          <w:tcPr>
            <w:tcW w:w="8925" w:type="dxa"/>
            <w:gridSpan w:val="5"/>
            <w:tcBorders>
              <w:top w:val="nil"/>
              <w:left w:val="nil"/>
              <w:bottom w:val="nil"/>
              <w:right w:val="nil"/>
            </w:tcBorders>
            <w:tcMar>
              <w:top w:w="15" w:type="dxa"/>
              <w:left w:w="15" w:type="dxa"/>
              <w:right w:w="15" w:type="dxa"/>
            </w:tcMar>
            <w:vAlign w:val="center"/>
          </w:tcPr>
          <w:p w14:paraId="6A43BD07">
            <w:pPr>
              <w:widowControl/>
              <w:jc w:val="left"/>
              <w:textAlignment w:val="center"/>
              <w:rPr>
                <w:rFonts w:hint="eastAsia" w:ascii="宋体" w:hAnsi="宋体" w:eastAsia="宋体" w:cs="宋体"/>
                <w:kern w:val="2"/>
                <w:sz w:val="22"/>
                <w:u w:val="single"/>
                <w:lang w:eastAsia="zh-CN"/>
              </w:rPr>
            </w:pPr>
            <w:r>
              <w:rPr>
                <w:rFonts w:hint="eastAsia" w:ascii="宋体" w:hAnsi="宋体" w:eastAsia="宋体" w:cs="宋体"/>
                <w:kern w:val="2"/>
                <w:sz w:val="22"/>
                <w:lang w:eastAsia="zh-CN"/>
              </w:rPr>
              <w:t>签约地址：香港中文大学（深圳）医院</w:t>
            </w:r>
          </w:p>
        </w:tc>
        <w:tc>
          <w:tcPr>
            <w:tcW w:w="311" w:type="dxa"/>
            <w:tcBorders>
              <w:top w:val="nil"/>
              <w:left w:val="nil"/>
              <w:bottom w:val="nil"/>
              <w:right w:val="nil"/>
            </w:tcBorders>
            <w:tcMar>
              <w:top w:w="15" w:type="dxa"/>
              <w:left w:w="15" w:type="dxa"/>
              <w:right w:w="15" w:type="dxa"/>
            </w:tcMar>
            <w:vAlign w:val="center"/>
          </w:tcPr>
          <w:p w14:paraId="4DAA87FC">
            <w:pPr>
              <w:widowControl w:val="0"/>
              <w:jc w:val="right"/>
              <w:rPr>
                <w:rFonts w:hint="eastAsia" w:ascii="宋体" w:hAnsi="宋体" w:eastAsia="宋体" w:cs="宋体"/>
                <w:kern w:val="2"/>
                <w:sz w:val="22"/>
                <w:lang w:eastAsia="zh-CN"/>
              </w:rPr>
            </w:pPr>
          </w:p>
        </w:tc>
      </w:tr>
    </w:tbl>
    <w:p w14:paraId="02501547">
      <w:pPr>
        <w:widowControl w:val="0"/>
        <w:jc w:val="both"/>
        <w:rPr>
          <w:rFonts w:hint="eastAsia" w:ascii="仿宋" w:hAnsi="仿宋" w:eastAsia="仿宋" w:cs="仿宋"/>
          <w:b/>
          <w:bCs/>
          <w:kern w:val="2"/>
          <w:lang w:eastAsia="zh-CN"/>
        </w:rPr>
      </w:pPr>
      <w:r>
        <w:rPr>
          <w:rFonts w:hint="eastAsia" w:ascii="仿宋" w:hAnsi="仿宋" w:eastAsia="仿宋" w:cs="仿宋"/>
          <w:b/>
          <w:bCs/>
          <w:kern w:val="2"/>
          <w:lang w:eastAsia="zh-CN"/>
        </w:rPr>
        <w:br w:type="page"/>
      </w:r>
    </w:p>
    <w:p w14:paraId="559AACC6">
      <w:pPr>
        <w:widowControl w:val="0"/>
        <w:spacing w:after="120" w:afterLines="50" w:line="336" w:lineRule="auto"/>
        <w:jc w:val="left"/>
        <w:rPr>
          <w:rFonts w:hint="eastAsia" w:ascii="仿宋" w:hAnsi="仿宋" w:eastAsia="仿宋" w:cs="仿宋"/>
          <w:kern w:val="2"/>
          <w:lang w:eastAsia="zh-CN"/>
        </w:rPr>
      </w:pPr>
      <w:r>
        <w:rPr>
          <w:rFonts w:hint="eastAsia" w:ascii="仿宋" w:hAnsi="仿宋" w:eastAsia="仿宋" w:cs="仿宋"/>
          <w:kern w:val="2"/>
          <w:lang w:eastAsia="zh-CN"/>
        </w:rPr>
        <w:t>附件1：廉洁承诺书</w:t>
      </w:r>
    </w:p>
    <w:p w14:paraId="2CCD01C5">
      <w:pPr>
        <w:widowControl w:val="0"/>
        <w:spacing w:line="360" w:lineRule="auto"/>
        <w:jc w:val="both"/>
        <w:rPr>
          <w:rFonts w:hint="eastAsia" w:ascii="仿宋" w:hAnsi="仿宋" w:eastAsia="仿宋" w:cs="仿宋"/>
          <w:kern w:val="2"/>
          <w:lang w:eastAsia="zh-CN"/>
        </w:rPr>
      </w:pPr>
      <w:r>
        <w:rPr>
          <w:rFonts w:hint="eastAsia" w:ascii="仿宋" w:hAnsi="仿宋" w:eastAsia="仿宋" w:cs="仿宋"/>
          <w:kern w:val="2"/>
          <w:lang w:eastAsia="zh-CN"/>
        </w:rPr>
        <w:t>香港中文大学（深圳）医院：</w:t>
      </w:r>
    </w:p>
    <w:p w14:paraId="14378F71">
      <w:pPr>
        <w:widowControl w:val="0"/>
        <w:spacing w:line="360" w:lineRule="auto"/>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为进一步加强医疗卫生行风建设，有效防范商业贿赂行为，营造公平交易、诚实守信的采购环境，本公司作为贵院的供应商，基于维护良好的企业形象，及为供需各方提供优质服务的需要，本公司谨此承诺： </w:t>
      </w:r>
    </w:p>
    <w:p w14:paraId="1C7FC699">
      <w:pPr>
        <w:widowControl w:val="0"/>
        <w:adjustRightInd w:val="0"/>
        <w:snapToGrid w:val="0"/>
        <w:spacing w:line="360" w:lineRule="auto"/>
        <w:ind w:firstLine="480" w:firstLineChars="200"/>
        <w:jc w:val="left"/>
        <w:rPr>
          <w:rFonts w:hint="eastAsia" w:ascii="仿宋" w:hAnsi="仿宋" w:eastAsia="仿宋" w:cs="仿宋"/>
          <w:kern w:val="2"/>
          <w:lang w:eastAsia="zh-CN"/>
        </w:rPr>
      </w:pPr>
      <w:r>
        <w:rPr>
          <w:rFonts w:hint="eastAsia" w:ascii="仿宋" w:hAnsi="仿宋" w:eastAsia="仿宋" w:cs="仿宋"/>
          <w:kern w:val="2"/>
          <w:lang w:eastAsia="zh-CN"/>
        </w:rPr>
        <w:t>一、合同期间，本公司、本公司的关联企业承诺：</w:t>
      </w:r>
    </w:p>
    <w:p w14:paraId="6CB39E99">
      <w:pPr>
        <w:widowControl w:val="0"/>
        <w:adjustRightInd w:val="0"/>
        <w:snapToGrid w:val="0"/>
        <w:spacing w:line="360" w:lineRule="auto"/>
        <w:ind w:firstLine="480" w:firstLineChars="200"/>
        <w:jc w:val="left"/>
        <w:rPr>
          <w:rFonts w:hint="eastAsia" w:ascii="仿宋" w:hAnsi="仿宋" w:eastAsia="仿宋" w:cs="仿宋"/>
          <w:kern w:val="2"/>
          <w:lang w:eastAsia="zh-CN"/>
        </w:rPr>
      </w:pPr>
      <w:r>
        <w:rPr>
          <w:rFonts w:hint="eastAsia" w:ascii="仿宋" w:hAnsi="仿宋" w:eastAsia="仿宋" w:cs="仿宋"/>
          <w:kern w:val="2"/>
          <w:lang w:eastAsia="zh-CN"/>
        </w:rPr>
        <w:t>1、绝不向贵院的工作人员给予任何性质、形式的金钱或物品，包括但不限于回扣、礼金、佣金、顾问费、咨询费、好处费、感谢费、有价证券、消费券、购物卡、提货凭证、各种门票、物品等等任何名目的款、物；</w:t>
      </w:r>
    </w:p>
    <w:p w14:paraId="38DDC031">
      <w:pPr>
        <w:widowControl w:val="0"/>
        <w:adjustRightInd w:val="0"/>
        <w:snapToGrid w:val="0"/>
        <w:spacing w:line="360" w:lineRule="auto"/>
        <w:ind w:firstLine="480" w:firstLineChars="200"/>
        <w:jc w:val="left"/>
        <w:rPr>
          <w:rFonts w:hint="eastAsia" w:ascii="仿宋" w:hAnsi="仿宋" w:eastAsia="仿宋" w:cs="仿宋"/>
          <w:kern w:val="2"/>
          <w:lang w:eastAsia="zh-CN"/>
        </w:rPr>
      </w:pPr>
      <w:r>
        <w:rPr>
          <w:rFonts w:hint="eastAsia" w:ascii="仿宋" w:hAnsi="仿宋" w:eastAsia="仿宋" w:cs="仿宋"/>
          <w:kern w:val="2"/>
          <w:lang w:eastAsia="zh-CN"/>
        </w:rPr>
        <w:t>2、绝不向贵院工作人员提供实质上由我司承担费用的任何性质、形式的消费或便利，例如：旅游、交通工具、餐饮、健身、娱乐、水疗、理疗、体育活动、演唱会等等；</w:t>
      </w:r>
    </w:p>
    <w:p w14:paraId="48D1A824">
      <w:pPr>
        <w:widowControl w:val="0"/>
        <w:adjustRightInd w:val="0"/>
        <w:snapToGrid w:val="0"/>
        <w:spacing w:line="360" w:lineRule="auto"/>
        <w:ind w:firstLine="480" w:firstLineChars="200"/>
        <w:jc w:val="left"/>
        <w:rPr>
          <w:rFonts w:hint="eastAsia" w:ascii="仿宋" w:hAnsi="仿宋" w:eastAsia="仿宋" w:cs="仿宋"/>
          <w:kern w:val="2"/>
          <w:lang w:eastAsia="zh-CN"/>
        </w:rPr>
      </w:pPr>
      <w:r>
        <w:rPr>
          <w:rFonts w:hint="eastAsia" w:ascii="仿宋" w:hAnsi="仿宋" w:eastAsia="仿宋" w:cs="仿宋"/>
          <w:kern w:val="2"/>
          <w:lang w:eastAsia="zh-CN"/>
        </w:rPr>
        <w:t>3、绝不接受贵院工作人员以任何名义向我司提出的费用报销请求；</w:t>
      </w:r>
    </w:p>
    <w:p w14:paraId="511D0337">
      <w:pPr>
        <w:widowControl w:val="0"/>
        <w:adjustRightInd w:val="0"/>
        <w:snapToGrid w:val="0"/>
        <w:spacing w:line="360" w:lineRule="auto"/>
        <w:ind w:firstLine="480" w:firstLineChars="200"/>
        <w:jc w:val="left"/>
        <w:rPr>
          <w:rFonts w:hint="eastAsia" w:ascii="仿宋" w:hAnsi="仿宋" w:eastAsia="仿宋" w:cs="仿宋"/>
          <w:kern w:val="2"/>
          <w:lang w:eastAsia="zh-CN"/>
        </w:rPr>
      </w:pPr>
      <w:r>
        <w:rPr>
          <w:rFonts w:hint="eastAsia" w:ascii="仿宋" w:hAnsi="仿宋" w:eastAsia="仿宋" w:cs="仿宋"/>
          <w:kern w:val="2"/>
          <w:lang w:eastAsia="zh-CN"/>
        </w:rPr>
        <w:t>4、绝不与贵院工作人员或其代理人、股份代持人、亲属、关系密切的人等以某种方式合作经营业务，且该业务不论是否与贵院的采购标的有关；</w:t>
      </w:r>
    </w:p>
    <w:p w14:paraId="40AFB4A9">
      <w:pPr>
        <w:widowControl w:val="0"/>
        <w:adjustRightInd w:val="0"/>
        <w:snapToGrid w:val="0"/>
        <w:spacing w:line="360" w:lineRule="auto"/>
        <w:ind w:firstLine="480" w:firstLineChars="200"/>
        <w:jc w:val="left"/>
        <w:rPr>
          <w:rFonts w:hint="eastAsia" w:ascii="仿宋" w:hAnsi="仿宋" w:eastAsia="仿宋" w:cs="仿宋"/>
          <w:kern w:val="2"/>
          <w:lang w:eastAsia="zh-CN"/>
        </w:rPr>
      </w:pPr>
      <w:r>
        <w:rPr>
          <w:rFonts w:hint="eastAsia" w:ascii="仿宋" w:hAnsi="仿宋" w:eastAsia="仿宋" w:cs="仿宋"/>
          <w:kern w:val="2"/>
          <w:lang w:eastAsia="zh-CN"/>
        </w:rPr>
        <w:t>5、绝不进行其他可能导致贵院工作人员个人可获得金钱或物质利益的行为。</w:t>
      </w:r>
    </w:p>
    <w:p w14:paraId="0EAD0DAA">
      <w:pPr>
        <w:widowControl w:val="0"/>
        <w:adjustRightInd w:val="0"/>
        <w:snapToGrid w:val="0"/>
        <w:spacing w:line="360" w:lineRule="auto"/>
        <w:ind w:firstLine="480" w:firstLineChars="200"/>
        <w:jc w:val="left"/>
        <w:rPr>
          <w:rFonts w:hint="eastAsia" w:ascii="仿宋" w:hAnsi="仿宋" w:eastAsia="仿宋" w:cs="仿宋"/>
          <w:kern w:val="2"/>
          <w:lang w:eastAsia="zh-CN"/>
        </w:rPr>
      </w:pPr>
      <w:r>
        <w:rPr>
          <w:rFonts w:hint="eastAsia" w:ascii="仿宋" w:hAnsi="仿宋" w:eastAsia="仿宋" w:cs="仿宋"/>
          <w:kern w:val="2"/>
          <w:lang w:eastAsia="zh-CN"/>
        </w:rPr>
        <w:t>二、上述承诺中所述的礼品、款物、便利等并无价值大小之分，亦不一定可以金钱衡量之，均为禁止之列。</w:t>
      </w:r>
    </w:p>
    <w:p w14:paraId="5EFB22A8">
      <w:pPr>
        <w:widowControl w:val="0"/>
        <w:adjustRightInd w:val="0"/>
        <w:snapToGrid w:val="0"/>
        <w:spacing w:line="360" w:lineRule="auto"/>
        <w:ind w:firstLine="480" w:firstLineChars="200"/>
        <w:jc w:val="left"/>
        <w:rPr>
          <w:rFonts w:hint="eastAsia" w:ascii="仿宋" w:hAnsi="仿宋" w:eastAsia="仿宋" w:cs="仿宋"/>
          <w:kern w:val="2"/>
          <w:lang w:eastAsia="zh-CN"/>
        </w:rPr>
      </w:pPr>
      <w:r>
        <w:rPr>
          <w:rFonts w:hint="eastAsia" w:ascii="仿宋" w:hAnsi="仿宋" w:eastAsia="仿宋" w:cs="仿宋"/>
          <w:kern w:val="2"/>
          <w:lang w:eastAsia="zh-CN"/>
        </w:rPr>
        <w:t>三、如违反承诺，视为本公司根本违约，本公司愿意接受以下规定进行处罚：</w:t>
      </w:r>
    </w:p>
    <w:p w14:paraId="324934F5">
      <w:pPr>
        <w:widowControl w:val="0"/>
        <w:adjustRightInd w:val="0"/>
        <w:snapToGrid w:val="0"/>
        <w:spacing w:line="360" w:lineRule="auto"/>
        <w:ind w:firstLine="480" w:firstLineChars="200"/>
        <w:jc w:val="left"/>
        <w:rPr>
          <w:rFonts w:hint="eastAsia" w:ascii="仿宋" w:hAnsi="仿宋" w:eastAsia="仿宋" w:cs="仿宋"/>
          <w:kern w:val="2"/>
          <w:lang w:eastAsia="zh-CN"/>
        </w:rPr>
      </w:pPr>
      <w:r>
        <w:rPr>
          <w:rFonts w:ascii="仿宋" w:hAnsi="仿宋" w:eastAsia="仿宋" w:cs="仿宋"/>
          <w:kern w:val="2"/>
          <w:lang w:eastAsia="zh-CN"/>
        </w:rPr>
        <w:t>1</w:t>
      </w:r>
      <w:r>
        <w:rPr>
          <w:rFonts w:hint="eastAsia" w:ascii="仿宋" w:hAnsi="仿宋" w:eastAsia="仿宋" w:cs="仿宋"/>
          <w:kern w:val="2"/>
          <w:lang w:eastAsia="zh-CN"/>
        </w:rPr>
        <w:t>、</w:t>
      </w:r>
      <w:r>
        <w:rPr>
          <w:rFonts w:ascii="仿宋" w:hAnsi="仿宋" w:eastAsia="仿宋" w:cs="仿宋"/>
          <w:kern w:val="2"/>
          <w:lang w:eastAsia="zh-CN"/>
        </w:rPr>
        <w:t>同意</w:t>
      </w:r>
      <w:r>
        <w:rPr>
          <w:rFonts w:hint="eastAsia" w:ascii="仿宋" w:hAnsi="仿宋" w:eastAsia="仿宋" w:cs="仿宋"/>
          <w:kern w:val="2"/>
          <w:lang w:eastAsia="zh-CN"/>
        </w:rPr>
        <w:t>按照合同总价的20%向贵院支付违约金；</w:t>
      </w:r>
      <w:r>
        <w:rPr>
          <w:rFonts w:ascii="仿宋" w:hAnsi="仿宋" w:eastAsia="仿宋" w:cs="仿宋"/>
          <w:kern w:val="2"/>
          <w:lang w:eastAsia="zh-CN"/>
        </w:rPr>
        <w:t xml:space="preserve"> </w:t>
      </w:r>
    </w:p>
    <w:p w14:paraId="5ED7D0A8">
      <w:pPr>
        <w:widowControl w:val="0"/>
        <w:adjustRightInd w:val="0"/>
        <w:snapToGrid w:val="0"/>
        <w:spacing w:line="360" w:lineRule="auto"/>
        <w:ind w:firstLine="480" w:firstLineChars="200"/>
        <w:jc w:val="left"/>
        <w:rPr>
          <w:rFonts w:hint="eastAsia" w:ascii="仿宋" w:hAnsi="仿宋" w:eastAsia="仿宋" w:cs="仿宋"/>
          <w:kern w:val="2"/>
          <w:lang w:eastAsia="zh-CN"/>
        </w:rPr>
      </w:pPr>
      <w:r>
        <w:rPr>
          <w:rFonts w:ascii="仿宋" w:hAnsi="仿宋" w:eastAsia="仿宋" w:cs="仿宋"/>
          <w:kern w:val="2"/>
          <w:lang w:eastAsia="zh-CN"/>
        </w:rPr>
        <w:t>2</w:t>
      </w:r>
      <w:r>
        <w:rPr>
          <w:rFonts w:hint="eastAsia" w:ascii="仿宋" w:hAnsi="仿宋" w:eastAsia="仿宋" w:cs="仿宋"/>
          <w:kern w:val="2"/>
          <w:lang w:eastAsia="zh-CN"/>
        </w:rPr>
        <w:t>、贵院有权解除与本公司签订并尚在履行的合同；</w:t>
      </w:r>
    </w:p>
    <w:p w14:paraId="01553C8D">
      <w:pPr>
        <w:widowControl w:val="0"/>
        <w:adjustRightInd w:val="0"/>
        <w:snapToGrid w:val="0"/>
        <w:spacing w:line="360" w:lineRule="auto"/>
        <w:ind w:firstLine="480" w:firstLineChars="200"/>
        <w:jc w:val="left"/>
        <w:rPr>
          <w:rFonts w:hint="eastAsia" w:ascii="仿宋" w:hAnsi="仿宋" w:eastAsia="仿宋" w:cs="仿宋"/>
          <w:kern w:val="2"/>
          <w:lang w:eastAsia="zh-CN"/>
        </w:rPr>
      </w:pPr>
      <w:r>
        <w:rPr>
          <w:rFonts w:hint="eastAsia" w:ascii="仿宋" w:hAnsi="仿宋" w:eastAsia="仿宋" w:cs="仿宋"/>
          <w:kern w:val="2"/>
          <w:lang w:eastAsia="zh-CN"/>
        </w:rPr>
        <w:t>3、贵院有权视本公司违约情节轻重，将本公司列入贵院供应商黑名单。</w:t>
      </w:r>
    </w:p>
    <w:p w14:paraId="3E9D9ACE">
      <w:pPr>
        <w:widowControl w:val="0"/>
        <w:adjustRightInd w:val="0"/>
        <w:snapToGrid w:val="0"/>
        <w:spacing w:line="360" w:lineRule="auto"/>
        <w:jc w:val="left"/>
        <w:rPr>
          <w:rFonts w:hint="eastAsia" w:ascii="仿宋" w:hAnsi="仿宋" w:eastAsia="仿宋" w:cs="仿宋"/>
          <w:kern w:val="2"/>
          <w:lang w:eastAsia="zh-CN"/>
        </w:rPr>
      </w:pPr>
      <w:r>
        <w:rPr>
          <w:rFonts w:hint="eastAsia" w:ascii="仿宋" w:hAnsi="仿宋" w:eastAsia="仿宋" w:cs="仿宋"/>
          <w:kern w:val="2"/>
          <w:lang w:eastAsia="zh-CN"/>
        </w:rPr>
        <w:t xml:space="preserve">    四、本廉洁承诺书作为本合同的附件，对本公司具有约束力。</w:t>
      </w:r>
    </w:p>
    <w:p w14:paraId="7E83F1B9">
      <w:pPr>
        <w:widowControl w:val="0"/>
        <w:adjustRightInd w:val="0"/>
        <w:snapToGrid w:val="0"/>
        <w:spacing w:line="360" w:lineRule="auto"/>
        <w:jc w:val="both"/>
        <w:rPr>
          <w:rFonts w:hint="eastAsia" w:ascii="仿宋" w:hAnsi="仿宋" w:eastAsia="仿宋" w:cs="仿宋"/>
          <w:kern w:val="2"/>
          <w:lang w:eastAsia="zh-CN"/>
        </w:rPr>
      </w:pPr>
    </w:p>
    <w:p w14:paraId="31AB8A7E">
      <w:pPr>
        <w:widowControl w:val="0"/>
        <w:adjustRightInd w:val="0"/>
        <w:snapToGrid w:val="0"/>
        <w:spacing w:line="360" w:lineRule="auto"/>
        <w:jc w:val="both"/>
        <w:rPr>
          <w:rFonts w:hint="eastAsia" w:ascii="仿宋" w:hAnsi="仿宋" w:eastAsia="仿宋" w:cs="仿宋"/>
          <w:b/>
          <w:bCs/>
          <w:kern w:val="2"/>
          <w:lang w:eastAsia="zh-CN"/>
        </w:rPr>
      </w:pPr>
      <w:r>
        <w:rPr>
          <w:rFonts w:hint="eastAsia" w:ascii="仿宋" w:hAnsi="仿宋" w:eastAsia="仿宋" w:cs="仿宋"/>
          <w:b/>
          <w:bCs/>
          <w:kern w:val="2"/>
          <w:lang w:eastAsia="zh-CN"/>
        </w:rPr>
        <w:t>承诺方（公章）：</w:t>
      </w:r>
    </w:p>
    <w:p w14:paraId="4D718534">
      <w:pPr>
        <w:widowControl w:val="0"/>
        <w:adjustRightInd w:val="0"/>
        <w:snapToGrid w:val="0"/>
        <w:spacing w:line="360" w:lineRule="auto"/>
        <w:jc w:val="both"/>
        <w:rPr>
          <w:rFonts w:hint="eastAsia" w:ascii="仿宋" w:hAnsi="仿宋" w:eastAsia="MS Gothic" w:cs="仿宋"/>
          <w:b/>
          <w:bCs/>
          <w:kern w:val="2"/>
          <w:lang w:eastAsia="zh-CN"/>
        </w:rPr>
      </w:pPr>
      <w:r>
        <w:rPr>
          <w:rFonts w:hint="eastAsia" w:ascii="仿宋" w:hAnsi="仿宋" w:eastAsia="仿宋" w:cs="仿宋"/>
          <w:b/>
          <w:bCs/>
          <w:kern w:val="2"/>
          <w:lang w:eastAsia="zh-CN"/>
        </w:rPr>
        <w:t>法定代表人（或授权代表）：</w:t>
      </w:r>
    </w:p>
    <w:p w14:paraId="13C979DC">
      <w:pPr>
        <w:widowControl w:val="0"/>
        <w:spacing w:after="120" w:afterLines="50" w:line="336" w:lineRule="auto"/>
        <w:jc w:val="left"/>
        <w:rPr>
          <w:rFonts w:hint="eastAsia" w:ascii="仿宋" w:hAnsi="仿宋" w:eastAsia="仿宋" w:cs="仿宋"/>
          <w:kern w:val="2"/>
          <w:lang w:eastAsia="zh-CN"/>
        </w:rPr>
      </w:pPr>
    </w:p>
    <w:p w14:paraId="1BC60733">
      <w:pPr>
        <w:widowControl w:val="0"/>
        <w:jc w:val="both"/>
        <w:rPr>
          <w:rFonts w:hint="eastAsia" w:ascii="仿宋" w:hAnsi="仿宋" w:eastAsia="仿宋" w:cs="仿宋"/>
          <w:kern w:val="2"/>
          <w:lang w:eastAsia="zh-CN"/>
        </w:rPr>
      </w:pPr>
      <w:r>
        <w:rPr>
          <w:rFonts w:hint="eastAsia" w:ascii="仿宋" w:hAnsi="仿宋" w:eastAsia="仿宋" w:cs="仿宋"/>
          <w:kern w:val="2"/>
          <w:lang w:eastAsia="zh-CN"/>
        </w:rPr>
        <w:br w:type="page"/>
      </w:r>
    </w:p>
    <w:p w14:paraId="23BDFA76">
      <w:pPr>
        <w:widowControl w:val="0"/>
        <w:spacing w:after="120" w:afterLines="50" w:line="336" w:lineRule="auto"/>
        <w:jc w:val="left"/>
        <w:rPr>
          <w:rFonts w:hint="eastAsia" w:ascii="仿宋" w:hAnsi="仿宋" w:eastAsia="仿宋" w:cs="仿宋"/>
          <w:kern w:val="2"/>
          <w:lang w:eastAsia="zh-CN"/>
        </w:rPr>
      </w:pPr>
      <w:permStart w:id="21" w:edGrp="everyone"/>
      <w:r>
        <w:rPr>
          <w:rFonts w:hint="eastAsia" w:ascii="仿宋" w:hAnsi="仿宋" w:eastAsia="仿宋" w:cs="仿宋"/>
          <w:kern w:val="2"/>
          <w:lang w:eastAsia="zh-CN"/>
        </w:rPr>
        <w:t>附件2：中标通知书</w:t>
      </w:r>
    </w:p>
    <w:p w14:paraId="12061B45">
      <w:pPr>
        <w:widowControl w:val="0"/>
        <w:spacing w:after="120" w:afterLines="50" w:line="336" w:lineRule="auto"/>
        <w:jc w:val="left"/>
        <w:rPr>
          <w:rFonts w:hint="eastAsia" w:ascii="仿宋" w:hAnsi="仿宋" w:eastAsia="仿宋" w:cs="仿宋"/>
          <w:kern w:val="2"/>
          <w:lang w:eastAsia="zh-CN"/>
        </w:rPr>
      </w:pPr>
    </w:p>
    <w:p w14:paraId="44AB3DFE">
      <w:pPr>
        <w:widowControl w:val="0"/>
        <w:spacing w:after="120" w:afterLines="50" w:line="336" w:lineRule="auto"/>
        <w:jc w:val="left"/>
        <w:rPr>
          <w:rFonts w:hint="eastAsia" w:ascii="仿宋" w:hAnsi="仿宋" w:eastAsia="仿宋" w:cs="仿宋"/>
          <w:kern w:val="2"/>
          <w:lang w:eastAsia="zh-CN"/>
        </w:rPr>
      </w:pPr>
    </w:p>
    <w:p w14:paraId="63A064B4">
      <w:pPr>
        <w:widowControl w:val="0"/>
        <w:spacing w:after="120" w:afterLines="50" w:line="336" w:lineRule="auto"/>
        <w:jc w:val="left"/>
        <w:rPr>
          <w:rFonts w:hint="eastAsia" w:ascii="仿宋" w:hAnsi="仿宋" w:eastAsia="仿宋" w:cs="仿宋"/>
          <w:kern w:val="2"/>
          <w:lang w:eastAsia="zh-CN"/>
        </w:rPr>
      </w:pPr>
    </w:p>
    <w:permEnd w:id="21"/>
    <w:p w14:paraId="5F0D5078">
      <w:pPr>
        <w:widowControl w:val="0"/>
        <w:spacing w:after="120" w:afterLines="50"/>
        <w:jc w:val="both"/>
        <w:rPr>
          <w:rFonts w:hint="eastAsia" w:ascii="仿宋" w:hAnsi="仿宋" w:eastAsia="仿宋" w:cs="仿宋"/>
          <w:kern w:val="2"/>
          <w:lang w:eastAsia="zh-CN"/>
        </w:rPr>
      </w:pPr>
      <w:r>
        <w:rPr>
          <w:rFonts w:hint="eastAsia" w:ascii="仿宋" w:hAnsi="仿宋" w:eastAsia="仿宋" w:cs="仿宋"/>
          <w:kern w:val="2"/>
          <w:lang w:eastAsia="zh-CN"/>
        </w:rPr>
        <w:br w:type="page"/>
      </w:r>
    </w:p>
    <w:p w14:paraId="6EFF9B10">
      <w:pPr>
        <w:widowControl w:val="0"/>
        <w:spacing w:after="120" w:afterLines="50" w:line="336" w:lineRule="auto"/>
        <w:jc w:val="left"/>
        <w:rPr>
          <w:rFonts w:hint="eastAsia" w:ascii="仿宋" w:hAnsi="仿宋" w:eastAsia="仿宋" w:cs="仿宋"/>
          <w:kern w:val="2"/>
          <w:lang w:eastAsia="zh-CN"/>
        </w:rPr>
      </w:pPr>
      <w:permStart w:id="22" w:edGrp="everyone"/>
      <w:r>
        <w:rPr>
          <w:rFonts w:hint="eastAsia" w:ascii="仿宋" w:hAnsi="仿宋" w:eastAsia="仿宋" w:cs="仿宋"/>
          <w:kern w:val="2"/>
          <w:lang w:eastAsia="zh-CN"/>
        </w:rPr>
        <w:t>附件3：设备配置清单</w:t>
      </w:r>
    </w:p>
    <w:p w14:paraId="7E714FF2">
      <w:pPr>
        <w:widowControl w:val="0"/>
        <w:spacing w:after="120" w:afterLines="50" w:line="336" w:lineRule="auto"/>
        <w:jc w:val="left"/>
        <w:rPr>
          <w:rFonts w:hint="eastAsia" w:ascii="仿宋" w:hAnsi="仿宋" w:eastAsia="仿宋" w:cs="仿宋"/>
          <w:kern w:val="2"/>
          <w:lang w:eastAsia="zh-CN"/>
        </w:rPr>
      </w:pPr>
      <w:r>
        <w:rPr>
          <w:rFonts w:hint="eastAsia" w:ascii="仿宋" w:hAnsi="仿宋" w:eastAsia="仿宋" w:cs="仿宋"/>
          <w:kern w:val="2"/>
          <w:highlight w:val="yellow"/>
          <w:lang w:eastAsia="zh-CN"/>
        </w:rPr>
        <w:t>包含设备名称，注册证名称、注册证号、注册人名称/生产厂家，设备配置清单等信息</w:t>
      </w:r>
    </w:p>
    <w:permEnd w:id="22"/>
    <w:p w14:paraId="1409C5D0">
      <w:pPr>
        <w:widowControl w:val="0"/>
        <w:spacing w:after="120" w:afterLines="50"/>
        <w:jc w:val="both"/>
        <w:rPr>
          <w:rFonts w:hint="eastAsia" w:ascii="宋体" w:hAnsi="宋体" w:eastAsia="宋体" w:cs="宋体"/>
          <w:kern w:val="2"/>
          <w:lang w:eastAsia="zh-CN"/>
        </w:rPr>
      </w:pPr>
    </w:p>
    <w:p w14:paraId="166BE475">
      <w:pPr>
        <w:widowControl w:val="0"/>
        <w:spacing w:after="120" w:afterLines="50"/>
        <w:jc w:val="both"/>
        <w:rPr>
          <w:rFonts w:hint="eastAsia" w:ascii="宋体" w:hAnsi="宋体" w:eastAsia="宋体" w:cs="宋体"/>
          <w:kern w:val="2"/>
          <w:lang w:eastAsia="zh-CN"/>
        </w:rPr>
      </w:pPr>
    </w:p>
    <w:p w14:paraId="19FC1AB7">
      <w:pPr>
        <w:widowControl w:val="0"/>
        <w:spacing w:after="120" w:afterLines="50"/>
        <w:jc w:val="both"/>
        <w:rPr>
          <w:rFonts w:hint="eastAsia" w:ascii="宋体" w:hAnsi="宋体" w:eastAsia="宋体" w:cs="宋体"/>
          <w:kern w:val="2"/>
          <w:lang w:eastAsia="zh-CN"/>
        </w:rPr>
      </w:pPr>
    </w:p>
    <w:p w14:paraId="734A7414">
      <w:pPr>
        <w:widowControl w:val="0"/>
        <w:spacing w:after="120" w:afterLines="50"/>
        <w:jc w:val="both"/>
        <w:rPr>
          <w:rFonts w:hint="eastAsia" w:ascii="宋体" w:hAnsi="宋体" w:eastAsia="宋体" w:cs="宋体"/>
          <w:kern w:val="2"/>
          <w:lang w:eastAsia="zh-CN"/>
        </w:rPr>
      </w:pPr>
    </w:p>
    <w:p w14:paraId="32013270">
      <w:pPr>
        <w:widowControl w:val="0"/>
        <w:spacing w:after="120" w:afterLines="50"/>
        <w:jc w:val="both"/>
        <w:rPr>
          <w:rFonts w:hint="eastAsia" w:ascii="宋体" w:hAnsi="宋体" w:eastAsia="宋体" w:cs="宋体"/>
          <w:kern w:val="2"/>
          <w:lang w:eastAsia="zh-CN"/>
        </w:rPr>
      </w:pPr>
    </w:p>
    <w:p w14:paraId="23BC07C7">
      <w:pPr>
        <w:widowControl w:val="0"/>
        <w:spacing w:after="120" w:afterLines="50"/>
        <w:jc w:val="both"/>
        <w:rPr>
          <w:rFonts w:hint="eastAsia" w:ascii="宋体" w:hAnsi="宋体" w:eastAsia="宋体" w:cs="宋体"/>
          <w:kern w:val="2"/>
          <w:lang w:eastAsia="zh-CN"/>
        </w:rPr>
      </w:pPr>
      <w:r>
        <w:rPr>
          <w:rFonts w:hint="eastAsia" w:ascii="宋体" w:hAnsi="宋体" w:eastAsia="宋体" w:cs="宋体"/>
          <w:kern w:val="2"/>
          <w:lang w:eastAsia="zh-CN"/>
        </w:rPr>
        <w:br w:type="page"/>
      </w:r>
    </w:p>
    <w:p w14:paraId="4025FDB6">
      <w:pPr>
        <w:widowControl w:val="0"/>
        <w:spacing w:after="120" w:afterLines="50" w:line="336" w:lineRule="auto"/>
        <w:jc w:val="left"/>
        <w:rPr>
          <w:rFonts w:hint="eastAsia" w:ascii="仿宋" w:hAnsi="仿宋" w:eastAsia="仿宋" w:cs="仿宋"/>
          <w:kern w:val="2"/>
          <w:lang w:eastAsia="zh-CN"/>
        </w:rPr>
      </w:pPr>
      <w:permStart w:id="23" w:edGrp="everyone"/>
      <w:r>
        <w:rPr>
          <w:rFonts w:hint="eastAsia" w:ascii="仿宋" w:hAnsi="仿宋" w:eastAsia="仿宋" w:cs="仿宋"/>
          <w:kern w:val="2"/>
          <w:lang w:eastAsia="zh-CN"/>
        </w:rPr>
        <w:t>附件4：设备技术规格偏离表</w:t>
      </w:r>
    </w:p>
    <w:permEnd w:id="23"/>
    <w:p w14:paraId="44EB2E96">
      <w:pPr>
        <w:widowControl w:val="0"/>
        <w:jc w:val="both"/>
        <w:rPr>
          <w:rFonts w:hint="eastAsia" w:ascii="仿宋" w:hAnsi="仿宋" w:eastAsia="仿宋" w:cs="仿宋"/>
          <w:kern w:val="2"/>
          <w:lang w:eastAsia="zh-CN"/>
        </w:rPr>
      </w:pPr>
      <w:r>
        <w:rPr>
          <w:rFonts w:hint="eastAsia" w:ascii="仿宋" w:hAnsi="仿宋" w:eastAsia="仿宋" w:cs="仿宋"/>
          <w:kern w:val="2"/>
          <w:lang w:eastAsia="zh-CN"/>
        </w:rPr>
        <w:br w:type="page"/>
      </w:r>
    </w:p>
    <w:p w14:paraId="67A90C09">
      <w:pPr>
        <w:widowControl w:val="0"/>
        <w:tabs>
          <w:tab w:val="left" w:pos="562"/>
          <w:tab w:val="left" w:pos="3372"/>
          <w:tab w:val="left" w:pos="3653"/>
        </w:tabs>
        <w:spacing w:line="360" w:lineRule="auto"/>
        <w:jc w:val="both"/>
        <w:rPr>
          <w:rFonts w:hint="eastAsia" w:ascii="仿宋" w:hAnsi="仿宋" w:eastAsia="仿宋" w:cs="仿宋"/>
          <w:b/>
          <w:bCs/>
          <w:kern w:val="2"/>
          <w:lang w:eastAsia="zh-CN"/>
        </w:rPr>
      </w:pPr>
      <w:permStart w:id="24" w:edGrp="everyone"/>
      <w:r>
        <w:rPr>
          <w:rFonts w:hint="eastAsia" w:ascii="仿宋" w:hAnsi="仿宋" w:eastAsia="仿宋" w:cs="仿宋"/>
          <w:b/>
          <w:bCs/>
          <w:kern w:val="2"/>
          <w:lang w:eastAsia="zh-CN"/>
        </w:rPr>
        <w:t>附件5：乙方保修承诺函</w:t>
      </w:r>
    </w:p>
    <w:permEnd w:id="24"/>
    <w:p w14:paraId="65D89D2F">
      <w:pPr>
        <w:widowControl w:val="0"/>
        <w:tabs>
          <w:tab w:val="left" w:pos="562"/>
          <w:tab w:val="left" w:pos="3372"/>
          <w:tab w:val="left" w:pos="3653"/>
        </w:tabs>
        <w:spacing w:line="360" w:lineRule="auto"/>
        <w:jc w:val="both"/>
        <w:rPr>
          <w:rFonts w:hint="eastAsia" w:ascii="仿宋" w:hAnsi="仿宋" w:eastAsia="仿宋" w:cs="仿宋"/>
          <w:b/>
          <w:bCs/>
          <w:kern w:val="2"/>
          <w:lang w:eastAsia="zh-CN"/>
        </w:rPr>
      </w:pPr>
    </w:p>
    <w:p w14:paraId="3A1F1931">
      <w:pPr>
        <w:widowControl w:val="0"/>
        <w:jc w:val="both"/>
        <w:rPr>
          <w:rFonts w:hint="eastAsia" w:ascii="仿宋" w:hAnsi="仿宋" w:eastAsia="仿宋" w:cs="仿宋"/>
          <w:kern w:val="2"/>
          <w:lang w:eastAsia="zh-CN"/>
        </w:rPr>
      </w:pPr>
      <w:r>
        <w:rPr>
          <w:rFonts w:hint="eastAsia" w:ascii="仿宋" w:hAnsi="仿宋" w:eastAsia="仿宋" w:cs="仿宋"/>
          <w:kern w:val="2"/>
          <w:lang w:eastAsia="zh-CN"/>
        </w:rPr>
        <w:br w:type="page"/>
      </w:r>
    </w:p>
    <w:p w14:paraId="09BEC337">
      <w:pPr>
        <w:widowControl w:val="0"/>
        <w:tabs>
          <w:tab w:val="left" w:pos="562"/>
          <w:tab w:val="left" w:pos="3372"/>
          <w:tab w:val="left" w:pos="3653"/>
        </w:tabs>
        <w:spacing w:line="360" w:lineRule="auto"/>
        <w:jc w:val="both"/>
        <w:rPr>
          <w:rFonts w:eastAsia="宋体"/>
          <w:b/>
          <w:bCs/>
          <w:kern w:val="2"/>
          <w:lang w:eastAsia="zh-CN"/>
        </w:rPr>
      </w:pPr>
      <w:permStart w:id="25" w:edGrp="everyone"/>
      <w:r>
        <w:rPr>
          <w:rFonts w:hint="eastAsia" w:ascii="仿宋" w:hAnsi="仿宋" w:eastAsia="仿宋" w:cs="仿宋"/>
          <w:b/>
          <w:bCs/>
          <w:kern w:val="2"/>
          <w:lang w:eastAsia="zh-CN"/>
        </w:rPr>
        <w:t>附件6：厂家保修承诺函</w:t>
      </w:r>
    </w:p>
    <w:permEnd w:id="25"/>
    <w:p w14:paraId="1B7C7876">
      <w:pPr>
        <w:widowControl w:val="0"/>
        <w:jc w:val="both"/>
        <w:rPr>
          <w:rFonts w:eastAsia="宋体"/>
          <w:kern w:val="2"/>
          <w:sz w:val="21"/>
          <w:lang w:eastAsia="zh-CN"/>
        </w:rPr>
      </w:pPr>
      <w:r>
        <w:rPr>
          <w:rFonts w:hint="eastAsia" w:eastAsia="宋体"/>
          <w:kern w:val="2"/>
          <w:sz w:val="21"/>
          <w:lang w:eastAsia="zh-CN"/>
        </w:rPr>
        <w:br w:type="page"/>
      </w:r>
    </w:p>
    <w:p w14:paraId="4000BBBF">
      <w:pPr>
        <w:widowControl w:val="0"/>
        <w:tabs>
          <w:tab w:val="left" w:pos="562"/>
          <w:tab w:val="left" w:pos="3372"/>
          <w:tab w:val="left" w:pos="3653"/>
        </w:tabs>
        <w:spacing w:line="360" w:lineRule="auto"/>
        <w:jc w:val="both"/>
        <w:rPr>
          <w:rFonts w:hint="eastAsia" w:ascii="宋体" w:hAnsi="宋体" w:eastAsia="宋体" w:cs="宋体"/>
          <w:b/>
          <w:bCs/>
          <w:kern w:val="2"/>
          <w:lang w:eastAsia="zh-CN"/>
        </w:rPr>
      </w:pPr>
      <w:r>
        <w:rPr>
          <w:rFonts w:hint="eastAsia" w:eastAsia="宋体"/>
          <w:b/>
          <w:bCs/>
          <w:kern w:val="2"/>
          <w:lang w:eastAsia="zh-CN"/>
        </w:rPr>
        <w:t>附件7：</w:t>
      </w:r>
      <w:r>
        <w:rPr>
          <w:rFonts w:hint="eastAsia" w:ascii="宋体" w:hAnsi="宋体" w:eastAsia="宋体" w:cs="宋体"/>
          <w:b/>
          <w:bCs/>
          <w:kern w:val="2"/>
          <w:lang w:eastAsia="zh-CN"/>
        </w:rPr>
        <w:t>保密承诺</w:t>
      </w:r>
    </w:p>
    <w:p w14:paraId="7D13A020">
      <w:pPr>
        <w:widowControl w:val="0"/>
        <w:snapToGrid w:val="0"/>
        <w:spacing w:before="120" w:beforeLines="50" w:line="380" w:lineRule="exact"/>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致：香港中文大学（深圳）医院</w:t>
      </w:r>
    </w:p>
    <w:p w14:paraId="19DCEF72">
      <w:pPr>
        <w:widowControl w:val="0"/>
        <w:snapToGrid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在本项目洽谈及合同履行期间，我方可能接触、掌握贵院有价值的保密信息。如向第三方披露任何该等保密信息将会损害贵院的合法权益。为了保护贵院的合法权益，依据《中华人民共和国民法典》等相关法律法规的规定，我方在签订主合同的同时，郑重承诺如下：</w:t>
      </w:r>
    </w:p>
    <w:p w14:paraId="23F55E5D">
      <w:pPr>
        <w:widowControl w:val="0"/>
        <w:numPr>
          <w:ilvl w:val="0"/>
          <w:numId w:val="6"/>
        </w:numPr>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我方清楚：贵院在本项目洽谈及合同履行期间披露的，归贵院所有的，或者虽不归贵院所有，但贵院负有保密义务的知识产权、专有技术、商业秘密、医疗数据、计算机软件、客户资料、发展规划等资料和信息，均属于保密信息。具体而言，其包括但不限于以下内容：</w:t>
      </w:r>
    </w:p>
    <w:p w14:paraId="79056CA1">
      <w:pPr>
        <w:widowControl w:val="0"/>
        <w:numPr>
          <w:ilvl w:val="0"/>
          <w:numId w:val="7"/>
        </w:numPr>
        <w:spacing w:line="380" w:lineRule="exact"/>
        <w:ind w:left="0"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专利、非专利技术；</w:t>
      </w:r>
    </w:p>
    <w:p w14:paraId="34FC99B0">
      <w:pPr>
        <w:widowControl w:val="0"/>
        <w:numPr>
          <w:ilvl w:val="0"/>
          <w:numId w:val="7"/>
        </w:numPr>
        <w:spacing w:line="380" w:lineRule="exact"/>
        <w:ind w:left="0"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有关科学技术研究的路线、方案和实验数据等；</w:t>
      </w:r>
    </w:p>
    <w:p w14:paraId="11BFF1A6">
      <w:pPr>
        <w:widowControl w:val="0"/>
        <w:numPr>
          <w:ilvl w:val="0"/>
          <w:numId w:val="7"/>
        </w:numPr>
        <w:spacing w:line="380" w:lineRule="exact"/>
        <w:ind w:left="0"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尚未公开的科研成果；</w:t>
      </w:r>
    </w:p>
    <w:p w14:paraId="2891AA75">
      <w:pPr>
        <w:widowControl w:val="0"/>
        <w:numPr>
          <w:ilvl w:val="0"/>
          <w:numId w:val="7"/>
        </w:numPr>
        <w:spacing w:line="380" w:lineRule="exact"/>
        <w:ind w:left="0"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患者个人信息、病历、诊疗方案（处方）等医疗信息；</w:t>
      </w:r>
    </w:p>
    <w:p w14:paraId="4CBC87B4">
      <w:pPr>
        <w:widowControl w:val="0"/>
        <w:numPr>
          <w:ilvl w:val="0"/>
          <w:numId w:val="7"/>
        </w:numPr>
        <w:spacing w:line="380" w:lineRule="exact"/>
        <w:ind w:left="0"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经营决策、定价策略、项目方案等财务与运营信息；</w:t>
      </w:r>
    </w:p>
    <w:p w14:paraId="516433FA">
      <w:pPr>
        <w:widowControl w:val="0"/>
        <w:numPr>
          <w:ilvl w:val="0"/>
          <w:numId w:val="7"/>
        </w:numPr>
        <w:spacing w:line="380" w:lineRule="exact"/>
        <w:ind w:left="0"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医院信息系统的账号密码、网络安全漏洞、数据库权限、计算机软件等；</w:t>
      </w:r>
    </w:p>
    <w:p w14:paraId="713D5D9C">
      <w:pPr>
        <w:widowControl w:val="0"/>
        <w:numPr>
          <w:ilvl w:val="0"/>
          <w:numId w:val="7"/>
        </w:numPr>
        <w:spacing w:line="380" w:lineRule="exact"/>
        <w:ind w:left="0"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医院职工的个人信息；</w:t>
      </w:r>
    </w:p>
    <w:p w14:paraId="1E918437">
      <w:pPr>
        <w:widowControl w:val="0"/>
        <w:numPr>
          <w:ilvl w:val="0"/>
          <w:numId w:val="7"/>
        </w:numPr>
        <w:spacing w:line="380" w:lineRule="exact"/>
        <w:ind w:left="0"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贵院以书面、口头或其他形式明确要求保密的信息，以及其他不宜公开或公开后将损害贵院或贵院相关人员合法权益的信息。</w:t>
      </w:r>
    </w:p>
    <w:p w14:paraId="435CEE49">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二、贵院向我方披露保密信息的行为，并不改变保密信息所有权的归属，其所有权仍归属于贵院。</w:t>
      </w:r>
    </w:p>
    <w:p w14:paraId="4C62ED31">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三、我方将采取一切合理保密措施，尽到与保护自身保密信息相同的最高程度的谨慎注意义务，妥善保管保密信息，杜绝保密信息被窃取、泄露。</w:t>
      </w:r>
    </w:p>
    <w:p w14:paraId="16AFD389">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四、未经贵院书面许可，我方不以任何方式使用保密信息，不将保密信息用于其他任何场合及交易，不将保密信息透露给任何第三人。</w:t>
      </w:r>
    </w:p>
    <w:p w14:paraId="75B8B5B2">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五、若公安机关、司法机关等具有法定权力的政府机关要求我方提供保密信息时，我方将：1）立即书面通知贵院；2）仅在符合权力机关要求的最小范围内披露；3）将尽力配合贵院采取合法及合理的措施，确保贵院其他保密信息处于有效的保密状态。</w:t>
      </w:r>
    </w:p>
    <w:p w14:paraId="4A8FCC29">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六、我方将督促我方人员（包括与我方有合作关系的第三方人员）履行保密义务，并对其违反保密义务的行为承担连带责任。</w:t>
      </w:r>
    </w:p>
    <w:p w14:paraId="7BABF373">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七、我方若有违反本承诺的情形，无论故意与过失，我方将立即停止侵害，并在第一时间采取一切必要措施防止保密信息的扩散，尽最大可能消除影响，且承担因此给贵院造成的直接及间接经济损失的赔偿责任。</w:t>
      </w:r>
    </w:p>
    <w:p w14:paraId="0AFAEBA6">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八、对于本承诺中提及的保密信息，我方负有长期保密义务，直至保密信息被合法公开或进入公有领域。</w:t>
      </w:r>
    </w:p>
    <w:p w14:paraId="0F1997AD">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 xml:space="preserve">九、本承诺中提及的保密信息，是指贵院向我方及我方参与相关活动的相关机构、人员提供的，明确标注或指明的保密信息和信息，或者虽未作保密标注，但按照一般注意义务即可判断其属于不宜公开的资料和信息。我方对以下资料不承担保密义务： </w:t>
      </w:r>
    </w:p>
    <w:p w14:paraId="45936792">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 xml:space="preserve">1.已公开发表或非因我方的原因，已为公众所知悉的保密信息； </w:t>
      </w:r>
    </w:p>
    <w:p w14:paraId="5D19E51D">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 xml:space="preserve">2.贵院书面同意公开的保密信息； </w:t>
      </w:r>
    </w:p>
    <w:p w14:paraId="17BC05A2">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 xml:space="preserve">3.我方从不承担保密义务的第三人处合法、正当取得的保密信息，且该第三人获得、披露该保密信息的行为不违反法律规定或合同的约定。 </w:t>
      </w:r>
    </w:p>
    <w:p w14:paraId="6B1AB52C">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十、本承诺自我方签署之日起生效，且自生效日起，我方参与贵院组织的科技成果项目路演或/和成果转化洽谈活动的，对我方均有约束力。</w:t>
      </w:r>
    </w:p>
    <w:p w14:paraId="74D62228">
      <w:pPr>
        <w:widowControl w:val="0"/>
        <w:spacing w:line="38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谨此承诺。</w:t>
      </w:r>
    </w:p>
    <w:p w14:paraId="6B26E3A2">
      <w:pPr>
        <w:widowControl w:val="0"/>
        <w:jc w:val="both"/>
        <w:rPr>
          <w:rFonts w:hint="eastAsia" w:ascii="宋体" w:hAnsi="宋体" w:eastAsia="宋体" w:cs="宋体"/>
          <w:bCs/>
          <w:kern w:val="2"/>
          <w:sz w:val="21"/>
          <w:lang w:eastAsia="zh-CN"/>
        </w:rPr>
      </w:pPr>
    </w:p>
    <w:p w14:paraId="5EBCF008">
      <w:pPr>
        <w:widowControl w:val="0"/>
        <w:jc w:val="both"/>
        <w:rPr>
          <w:rFonts w:hint="eastAsia" w:ascii="宋体" w:hAnsi="宋体" w:eastAsia="宋体" w:cs="宋体"/>
          <w:bCs/>
          <w:kern w:val="2"/>
          <w:sz w:val="21"/>
          <w:lang w:eastAsia="zh-CN"/>
        </w:rPr>
      </w:pPr>
      <w:r>
        <w:rPr>
          <w:rFonts w:hint="eastAsia" w:ascii="宋体" w:hAnsi="宋体" w:eastAsia="宋体" w:cs="宋体"/>
          <w:bCs/>
          <w:kern w:val="2"/>
          <w:sz w:val="21"/>
          <w:lang w:eastAsia="zh-CN"/>
        </w:rPr>
        <w:t xml:space="preserve">乙方（公章）：   </w:t>
      </w:r>
    </w:p>
    <w:p w14:paraId="0677DE6C">
      <w:pPr>
        <w:widowControl w:val="0"/>
        <w:jc w:val="both"/>
        <w:rPr>
          <w:rFonts w:hint="eastAsia" w:ascii="宋体" w:hAnsi="宋体" w:eastAsia="宋体" w:cs="宋体"/>
          <w:bCs/>
          <w:kern w:val="2"/>
          <w:sz w:val="21"/>
          <w:lang w:eastAsia="zh-CN"/>
        </w:rPr>
      </w:pPr>
      <w:r>
        <w:rPr>
          <w:rFonts w:hint="eastAsia" w:ascii="宋体" w:hAnsi="宋体" w:eastAsia="宋体" w:cs="宋体"/>
          <w:bCs/>
          <w:kern w:val="2"/>
          <w:sz w:val="21"/>
          <w:lang w:eastAsia="zh-CN"/>
        </w:rPr>
        <w:t>法定代表人或其授权代表：</w:t>
      </w:r>
    </w:p>
    <w:p w14:paraId="012C2AEB">
      <w:pPr>
        <w:widowControl w:val="0"/>
        <w:jc w:val="both"/>
        <w:rPr>
          <w:rFonts w:hint="eastAsia" w:ascii="宋体" w:hAnsi="宋体" w:eastAsia="宋体" w:cs="宋体"/>
          <w:bCs/>
          <w:kern w:val="2"/>
          <w:sz w:val="21"/>
          <w:lang w:eastAsia="zh-CN"/>
        </w:rPr>
      </w:pPr>
      <w:r>
        <w:rPr>
          <w:rFonts w:hint="eastAsia" w:ascii="宋体" w:hAnsi="宋体" w:eastAsia="宋体" w:cs="宋体"/>
          <w:bCs/>
          <w:kern w:val="2"/>
          <w:sz w:val="21"/>
          <w:lang w:eastAsia="zh-CN"/>
        </w:rPr>
        <w:t>日期：</w:t>
      </w:r>
    </w:p>
    <w:p w14:paraId="769BA2D4">
      <w:pPr>
        <w:widowControl/>
        <w:jc w:val="left"/>
        <w:rPr>
          <w:rFonts w:hint="eastAsia" w:ascii="宋体" w:hAnsi="宋体" w:eastAsia="宋体"/>
          <w:kern w:val="2"/>
          <w:sz w:val="21"/>
          <w:szCs w:val="21"/>
          <w:lang w:eastAsia="zh-CN"/>
        </w:rPr>
      </w:pPr>
    </w:p>
    <w:p w14:paraId="0896E2AE">
      <w:pPr>
        <w:widowControl w:val="0"/>
        <w:jc w:val="both"/>
        <w:rPr>
          <w:rFonts w:eastAsia="宋体"/>
          <w:kern w:val="2"/>
          <w:sz w:val="28"/>
          <w:szCs w:val="28"/>
          <w:lang w:eastAsia="zh-CN"/>
        </w:rPr>
      </w:pPr>
      <w:r>
        <w:rPr>
          <w:rFonts w:hint="eastAsia" w:eastAsia="宋体"/>
          <w:kern w:val="2"/>
          <w:sz w:val="28"/>
          <w:szCs w:val="28"/>
          <w:lang w:eastAsia="zh-CN"/>
        </w:rPr>
        <w:br w:type="page"/>
      </w:r>
    </w:p>
    <w:p w14:paraId="7DE88481">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bCs/>
          <w:sz w:val="28"/>
          <w:szCs w:val="28"/>
          <w:lang w:eastAsia="zh-CN"/>
        </w:rPr>
      </w:pPr>
      <w:r>
        <w:rPr>
          <w:rFonts w:hint="eastAsia" w:ascii="宋体" w:hAnsi="宋体" w:eastAsia="宋体"/>
          <w:bCs/>
          <w:sz w:val="28"/>
          <w:szCs w:val="28"/>
          <w:lang w:eastAsia="zh-CN"/>
        </w:rPr>
        <w:t>第二册  通用条款（公开招标）</w:t>
      </w:r>
    </w:p>
    <w:p w14:paraId="45A3414A">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52" w:name="_Hlk72399513"/>
      <w:bookmarkStart w:id="53" w:name="_Hlk72439706"/>
      <w:r>
        <w:rPr>
          <w:rFonts w:hint="eastAsia" w:ascii="Cambria" w:hAnsi="Cambria" w:eastAsia="宋体" w:cs="宋体"/>
          <w:b/>
          <w:bCs/>
          <w:kern w:val="2"/>
          <w:sz w:val="28"/>
          <w:szCs w:val="28"/>
          <w:lang w:eastAsia="zh-CN"/>
        </w:rPr>
        <w:t>总则</w:t>
      </w:r>
    </w:p>
    <w:bookmarkEnd w:id="52"/>
    <w:p w14:paraId="66926CA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555DB59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54" w:name="_Hlk72399729"/>
      <w:r>
        <w:rPr>
          <w:rFonts w:hint="eastAsia" w:ascii="宋体" w:hAnsi="宋体" w:eastAsia="宋体"/>
          <w:kern w:val="2"/>
          <w:sz w:val="21"/>
          <w:szCs w:val="21"/>
          <w:lang w:eastAsia="zh-CN"/>
        </w:rPr>
        <w:t>如有需要，采购代理机构可以对通用条款的内容进行补充。</w:t>
      </w:r>
      <w:bookmarkEnd w:id="54"/>
    </w:p>
    <w:p w14:paraId="3AF1E6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4E990E4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294832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5D65EA2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49BDFE1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14:paraId="42C1502F">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0ECDBD0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788BBE8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14:paraId="78843C0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14:paraId="691D0A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14:paraId="6015848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0C29DBB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52EE2C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14:paraId="4F5881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014FC8E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32BDAF9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43548C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7C229CD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55" w:name="_Hlk72398643"/>
      <w:r>
        <w:rPr>
          <w:rFonts w:hint="eastAsia" w:ascii="黑体" w:hAnsi="宋体" w:eastAsia="黑体"/>
          <w:kern w:val="2"/>
          <w:sz w:val="21"/>
          <w:szCs w:val="21"/>
          <w:lang w:eastAsia="zh-CN"/>
        </w:rPr>
        <w:t>自行采购供应商责任</w:t>
      </w:r>
    </w:p>
    <w:p w14:paraId="0502585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3596892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087A770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2A928C06">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230F417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49D06C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588F8C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32CB77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14:paraId="2B6FF68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0E3A542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14:paraId="000FEE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14:paraId="061FE5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14:paraId="4292373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14:paraId="30A455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14:paraId="6C080B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14:paraId="526A64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14:paraId="1B3097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5945FE3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1A5567B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14:paraId="7532C5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538F54A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14:paraId="5C06C4C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667DC6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2873E9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79FFD92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39A86122">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lang w:eastAsia="zh-CN"/>
        </w:rPr>
        <w:t xml:space="preserve"> </w:t>
      </w:r>
      <w:r>
        <w:rPr>
          <w:rFonts w:hint="eastAsia" w:ascii="宋体" w:hAnsi="宋体" w:eastAsia="宋体"/>
          <w:kern w:val="2"/>
          <w:sz w:val="21"/>
          <w:lang w:eastAsia="zh-CN"/>
        </w:rPr>
        <w:t>支持本国产品、支持中小企业、监狱企业和残疾人福利性单位发展，支持乡村产业振兴，支持创新、节能减排、绿色环保等。</w:t>
      </w:r>
    </w:p>
    <w:p w14:paraId="6C1DC524">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14:paraId="6EE9556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4CFC40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14:paraId="3C5BF2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160A487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A9CAA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56"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6"/>
    </w:p>
    <w:p w14:paraId="14DBFC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D7831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3DEBDF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5BEED2A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2F3CE0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747090A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34C228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0F4D2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1281CB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14:paraId="661E6A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14:paraId="04EA2B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14:paraId="5E8995F9">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14:paraId="3D014E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171DF14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14:paraId="7B14E4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55"/>
    <w:p w14:paraId="476A4886">
      <w:pPr>
        <w:widowControl w:val="0"/>
        <w:ind w:firstLine="411" w:firstLineChars="196"/>
        <w:jc w:val="both"/>
        <w:rPr>
          <w:rFonts w:ascii="宋体" w:hAnsi="宋体" w:eastAsia="宋体"/>
          <w:kern w:val="2"/>
          <w:sz w:val="21"/>
          <w:lang w:eastAsia="zh-CN"/>
        </w:rPr>
      </w:pPr>
    </w:p>
    <w:p w14:paraId="7A7F44EC">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204FE7D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57" w:name="_Hlk72399819"/>
      <w:r>
        <w:rPr>
          <w:rFonts w:hint="eastAsia" w:ascii="黑体" w:hAnsi="宋体" w:eastAsia="黑体"/>
          <w:kern w:val="2"/>
          <w:sz w:val="21"/>
          <w:szCs w:val="21"/>
          <w:lang w:eastAsia="zh-CN"/>
        </w:rPr>
        <w:t>招标文件的编制与组成</w:t>
      </w:r>
    </w:p>
    <w:p w14:paraId="11D076F7">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14:paraId="6ACACC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0B0F8509">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72A4C88A">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7F98BE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7AD968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6202BD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19A29ECC">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31CD2F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0E79C676">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6907782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6785A6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68E9D6C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522A37A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0A524B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1F9D08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18E9D1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247E47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1985B2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569AFB3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59E2FF1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52C22CA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8AF288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249707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11.4在项目产生质疑、投诉等阶段，主管部门、采购人、代理机构、评审委员会等可以要求供应商提供原件进行核查。</w:t>
      </w:r>
    </w:p>
    <w:p w14:paraId="532EA31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14:paraId="3AD359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14:paraId="69BC7AE8">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12.2投标人如对招标文件内容有疑问，应当在招标公告规定的澄清（提问）截止时间前将疑问内容加盖公章书面提交至采购代理机构。</w:t>
      </w:r>
    </w:p>
    <w:p w14:paraId="5B6514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0598AC4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14:paraId="5A74E6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14:paraId="09405B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14:paraId="57B5C4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73FEF7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7"/>
    </w:p>
    <w:p w14:paraId="410FE2CF">
      <w:pPr>
        <w:widowControl w:val="0"/>
        <w:jc w:val="both"/>
        <w:rPr>
          <w:rFonts w:ascii="宋体" w:hAnsi="宋体" w:eastAsia="宋体"/>
          <w:kern w:val="2"/>
          <w:sz w:val="21"/>
          <w:szCs w:val="21"/>
          <w:lang w:eastAsia="zh-CN"/>
        </w:rPr>
      </w:pPr>
    </w:p>
    <w:p w14:paraId="662EF6BF">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358C8B2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58" w:name="_Hlk72400236"/>
      <w:r>
        <w:rPr>
          <w:rFonts w:hint="eastAsia" w:ascii="黑体" w:hAnsi="宋体" w:eastAsia="黑体"/>
          <w:kern w:val="2"/>
          <w:sz w:val="21"/>
          <w:szCs w:val="21"/>
          <w:lang w:eastAsia="zh-CN"/>
        </w:rPr>
        <w:t>投标文件的语言及度量单位</w:t>
      </w:r>
    </w:p>
    <w:p w14:paraId="5118CC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8C58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8"/>
    <w:p w14:paraId="774526A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59" w:name="_Hlk72401567"/>
      <w:r>
        <w:rPr>
          <w:rFonts w:hint="eastAsia" w:ascii="黑体" w:hAnsi="宋体" w:eastAsia="黑体"/>
          <w:kern w:val="2"/>
          <w:sz w:val="21"/>
          <w:szCs w:val="21"/>
          <w:lang w:eastAsia="zh-CN"/>
        </w:rPr>
        <w:t>投标文件的组成</w:t>
      </w:r>
    </w:p>
    <w:p w14:paraId="1313095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601C5FD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14:paraId="56F4CF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32CB838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5A6D4A1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9"/>
    <w:p w14:paraId="29B680B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60" w:name="_Hlk72401735"/>
      <w:r>
        <w:rPr>
          <w:rFonts w:hint="eastAsia" w:ascii="黑体" w:hAnsi="宋体" w:eastAsia="黑体"/>
          <w:kern w:val="2"/>
          <w:sz w:val="21"/>
          <w:szCs w:val="21"/>
          <w:lang w:eastAsia="zh-CN"/>
        </w:rPr>
        <w:t>证明投标文件投标技术方案的合格性和符合招标文件规定的文件要求</w:t>
      </w:r>
    </w:p>
    <w:p w14:paraId="0004DB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14:paraId="470349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71A24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5F70191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5C8BB16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A81A0B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582ED6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388CDF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2B7031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5BDAE2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60"/>
    <w:p w14:paraId="47E99D8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61" w:name="_Hlk72402034"/>
      <w:r>
        <w:rPr>
          <w:rFonts w:hint="eastAsia" w:ascii="黑体" w:hAnsi="宋体" w:eastAsia="黑体"/>
          <w:kern w:val="2"/>
          <w:sz w:val="21"/>
          <w:szCs w:val="21"/>
          <w:lang w:eastAsia="zh-CN"/>
        </w:rPr>
        <w:t>投标文件其他证明文件的要求</w:t>
      </w:r>
    </w:p>
    <w:p w14:paraId="4EA48D84">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2" w:name="_Hlk71407299"/>
    </w:p>
    <w:bookmarkEnd w:id="62"/>
    <w:p w14:paraId="171518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4B648C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61"/>
    <w:p w14:paraId="027585F8">
      <w:pPr>
        <w:widowControl w:val="0"/>
        <w:ind w:firstLine="420" w:firstLineChars="200"/>
        <w:jc w:val="both"/>
        <w:rPr>
          <w:rFonts w:ascii="宋体" w:hAnsi="宋体" w:eastAsia="宋体"/>
          <w:kern w:val="2"/>
          <w:sz w:val="21"/>
          <w:szCs w:val="21"/>
          <w:lang w:eastAsia="zh-CN"/>
        </w:rPr>
      </w:pPr>
      <w:bookmarkStart w:id="63"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21D6DAD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0C6EFB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63"/>
    <w:p w14:paraId="4D5C76C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64" w:name="_Hlk72402325"/>
      <w:r>
        <w:rPr>
          <w:rFonts w:hint="eastAsia" w:ascii="黑体" w:hAnsi="宋体" w:eastAsia="黑体"/>
          <w:kern w:val="2"/>
          <w:sz w:val="21"/>
          <w:szCs w:val="21"/>
          <w:lang w:eastAsia="zh-CN"/>
        </w:rPr>
        <w:t xml:space="preserve">关于投标保证金 </w:t>
      </w:r>
    </w:p>
    <w:p w14:paraId="49283AC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14:paraId="6E85FA4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063D7A2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8B7652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4"/>
    <w:p w14:paraId="0E20BC1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65" w:name="_Hlk72402860"/>
      <w:r>
        <w:rPr>
          <w:rFonts w:hint="eastAsia" w:ascii="黑体" w:hAnsi="宋体" w:eastAsia="黑体"/>
          <w:kern w:val="2"/>
          <w:sz w:val="21"/>
          <w:szCs w:val="21"/>
          <w:lang w:eastAsia="zh-CN"/>
        </w:rPr>
        <w:t>投标文件的制作要求</w:t>
      </w:r>
    </w:p>
    <w:p w14:paraId="65A667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459288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55B5D9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6C53361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14:paraId="46FD870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14:paraId="620BAA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14:paraId="32B6EBD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23.2.5投标人在编辑投标文件时，在投标文件目录中属于本节点内容的需在对应节点中填写，填写到其他节点后果由供应商自行承担。</w:t>
      </w:r>
    </w:p>
    <w:p w14:paraId="6ED106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0EE417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14:paraId="0A7462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691A6A52">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14:paraId="2BCCCC1D">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65"/>
    </w:p>
    <w:p w14:paraId="3002C321">
      <w:pPr>
        <w:widowControl w:val="0"/>
        <w:ind w:firstLine="411" w:firstLineChars="196"/>
        <w:jc w:val="both"/>
        <w:rPr>
          <w:rFonts w:ascii="宋体" w:hAnsi="宋体" w:eastAsia="宋体"/>
          <w:kern w:val="2"/>
          <w:sz w:val="21"/>
          <w:szCs w:val="21"/>
          <w:lang w:eastAsia="zh-CN"/>
        </w:rPr>
      </w:pPr>
    </w:p>
    <w:p w14:paraId="1F67CD12">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2D8C89FD">
      <w:pPr>
        <w:widowControl w:val="0"/>
        <w:ind w:firstLine="420" w:firstLineChars="200"/>
        <w:jc w:val="both"/>
        <w:rPr>
          <w:rFonts w:ascii="黑体" w:hAnsi="宋体" w:eastAsia="黑体"/>
          <w:kern w:val="2"/>
          <w:sz w:val="21"/>
          <w:szCs w:val="21"/>
          <w:lang w:eastAsia="zh-CN"/>
        </w:rPr>
      </w:pPr>
      <w:bookmarkStart w:id="66" w:name="_Hlk72405459"/>
      <w:r>
        <w:rPr>
          <w:rFonts w:hint="eastAsia" w:ascii="黑体" w:hAnsi="宋体" w:eastAsia="黑体"/>
          <w:kern w:val="2"/>
          <w:sz w:val="21"/>
          <w:szCs w:val="21"/>
          <w:lang w:eastAsia="zh-CN"/>
        </w:rPr>
        <w:t>24．投标文件的保密</w:t>
      </w:r>
    </w:p>
    <w:p w14:paraId="340D7D2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0810EEDE">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6B6C4F51">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如果供下载的招标文件有更新，投标人必须重新下载招标文件、重新制作投标文件、重新上传投标文件。</w:t>
      </w:r>
    </w:p>
    <w:p w14:paraId="718CE59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70AFB9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14:paraId="65E664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5BC535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66"/>
    <w:p w14:paraId="4AA978C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6D0135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7F3B84CF">
      <w:pPr>
        <w:widowControl w:val="0"/>
        <w:ind w:firstLine="420" w:firstLineChars="200"/>
        <w:jc w:val="both"/>
        <w:rPr>
          <w:rFonts w:ascii="黑体" w:hAnsi="宋体" w:eastAsia="黑体"/>
          <w:kern w:val="2"/>
          <w:sz w:val="21"/>
          <w:szCs w:val="21"/>
          <w:lang w:eastAsia="zh-CN"/>
        </w:rPr>
      </w:pPr>
      <w:bookmarkStart w:id="67" w:name="_Hlk72428346"/>
      <w:r>
        <w:rPr>
          <w:rFonts w:hint="eastAsia" w:ascii="黑体" w:hAnsi="宋体" w:eastAsia="黑体"/>
          <w:kern w:val="2"/>
          <w:sz w:val="21"/>
          <w:szCs w:val="21"/>
          <w:lang w:eastAsia="zh-CN"/>
        </w:rPr>
        <w:t>27．投标文件的修改和撤销</w:t>
      </w:r>
    </w:p>
    <w:p w14:paraId="132EDF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14:paraId="73CD904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14:paraId="576D6C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14:paraId="654E0C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67"/>
    <w:p w14:paraId="326D4E79">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2B40FF0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712566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22F098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53B85924">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61E738D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009298F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14:paraId="5B30715E">
      <w:pPr>
        <w:widowControl w:val="0"/>
        <w:ind w:firstLine="420" w:firstLineChars="200"/>
        <w:jc w:val="both"/>
        <w:rPr>
          <w:rFonts w:ascii="宋体" w:hAnsi="宋体" w:eastAsia="宋体"/>
          <w:color w:val="FF0000"/>
          <w:kern w:val="2"/>
          <w:sz w:val="21"/>
          <w:szCs w:val="21"/>
          <w:lang w:eastAsia="zh-CN"/>
        </w:rPr>
      </w:pPr>
      <w:bookmarkStart w:id="68"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8"/>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56B3E6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6A8CCC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770ED4D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367B03ED">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4C5961E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4F6C371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7BE98F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785F91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4326C7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050223A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3CC17A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58A153F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1E7F082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3727266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424AD690">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61C74F77">
      <w:pPr>
        <w:widowControl w:val="0"/>
        <w:ind w:firstLine="411" w:firstLineChars="196"/>
        <w:jc w:val="both"/>
        <w:rPr>
          <w:rFonts w:ascii="宋体" w:hAnsi="宋体" w:eastAsia="宋体"/>
          <w:bCs/>
          <w:kern w:val="2"/>
          <w:sz w:val="21"/>
          <w:szCs w:val="21"/>
          <w:lang w:eastAsia="zh-CN"/>
        </w:rPr>
      </w:pPr>
    </w:p>
    <w:p w14:paraId="5991E2B1">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7D1CF55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31A010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5917928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1FA327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7549308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6F041D58">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7FEDFEEF">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01A80AE">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6F38204A">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727F32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00DCA252">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4A1BEC50">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14:paraId="25AD1D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2148A2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758CAF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14:paraId="4A76F7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0881F3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2D02D8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02E79BC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477720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1D1710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5B122E2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53F38C99">
      <w:pPr>
        <w:widowControl w:val="0"/>
        <w:ind w:firstLine="420" w:firstLineChars="200"/>
        <w:jc w:val="both"/>
        <w:rPr>
          <w:rFonts w:ascii="宋体" w:hAnsi="宋体" w:eastAsia="宋体"/>
          <w:kern w:val="2"/>
          <w:sz w:val="21"/>
          <w:szCs w:val="21"/>
          <w:lang w:eastAsia="zh-CN"/>
        </w:rPr>
      </w:pPr>
      <w:bookmarkStart w:id="69"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69"/>
    </w:p>
    <w:p w14:paraId="193BAA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14:paraId="31815E9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14:paraId="1E82F0E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74E13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747323C2">
      <w:pPr>
        <w:widowControl w:val="0"/>
        <w:ind w:firstLine="420" w:firstLineChars="200"/>
        <w:jc w:val="both"/>
        <w:rPr>
          <w:rFonts w:ascii="黑体" w:hAnsi="宋体" w:eastAsia="黑体"/>
          <w:kern w:val="2"/>
          <w:sz w:val="21"/>
          <w:szCs w:val="21"/>
          <w:lang w:eastAsia="zh-CN"/>
        </w:rPr>
      </w:pPr>
      <w:bookmarkStart w:id="70" w:name="_Toc73517673"/>
      <w:bookmarkStart w:id="71" w:name="_Toc73518151"/>
      <w:bookmarkStart w:id="72" w:name="_Toc73521581"/>
      <w:bookmarkStart w:id="73" w:name="_Toc73521669"/>
      <w:bookmarkStart w:id="74" w:name="_Toc100052400"/>
      <w:r>
        <w:rPr>
          <w:rFonts w:hint="eastAsia" w:ascii="黑体" w:hAnsi="宋体" w:eastAsia="黑体"/>
          <w:kern w:val="2"/>
          <w:sz w:val="21"/>
          <w:szCs w:val="21"/>
          <w:lang w:eastAsia="zh-CN"/>
        </w:rPr>
        <w:t>34．错误的修正</w:t>
      </w:r>
      <w:bookmarkEnd w:id="70"/>
      <w:bookmarkEnd w:id="71"/>
      <w:bookmarkEnd w:id="72"/>
      <w:bookmarkEnd w:id="73"/>
      <w:bookmarkEnd w:id="74"/>
    </w:p>
    <w:p w14:paraId="0AD5310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366D0D4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69BB09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401280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399A91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2AC6C6B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6797214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359C4D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2D305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23B235B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5BCEA8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203A754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398DA886">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71FF7720">
      <w:pPr>
        <w:widowControl w:val="0"/>
        <w:ind w:firstLine="411" w:firstLineChars="196"/>
        <w:jc w:val="both"/>
        <w:rPr>
          <w:rFonts w:hint="eastAsia" w:ascii="ˎ̥" w:hAnsi="ˎ̥" w:eastAsia="宋体"/>
          <w:kern w:val="2"/>
          <w:sz w:val="21"/>
          <w:lang w:eastAsia="zh-CN"/>
        </w:rPr>
      </w:pPr>
      <w:r>
        <w:rPr>
          <w:rFonts w:ascii="ˎ̥" w:hAnsi="ˎ̥" w:eastAsia="宋体"/>
          <w:kern w:val="2"/>
          <w:sz w:val="21"/>
          <w:lang w:eastAsia="zh-CN"/>
        </w:rPr>
        <w:t>最低价法，</w:t>
      </w:r>
      <w:r>
        <w:rPr>
          <w:rFonts w:hint="eastAsia" w:ascii="ˎ̥" w:hAnsi="ˎ̥" w:eastAsia="宋体"/>
          <w:kern w:val="2"/>
          <w:sz w:val="21"/>
          <w:lang w:eastAsia="zh-CN"/>
        </w:rPr>
        <w:t>是指投标文件满足招标文件全部实质性要求，且投标报价最低的投标人为中标候选人的评标方法。</w:t>
      </w:r>
    </w:p>
    <w:p w14:paraId="2CEB75E2">
      <w:pPr>
        <w:widowControl w:val="0"/>
        <w:ind w:firstLine="411" w:firstLineChars="196"/>
        <w:jc w:val="both"/>
        <w:rPr>
          <w:rFonts w:hint="eastAsia" w:ascii="ˎ̥" w:hAnsi="ˎ̥" w:eastAsia="宋体"/>
          <w:kern w:val="2"/>
          <w:sz w:val="21"/>
          <w:lang w:eastAsia="zh-CN"/>
        </w:rPr>
      </w:pPr>
      <w:r>
        <w:rPr>
          <w:rFonts w:hint="eastAsia" w:ascii="ˎ̥" w:hAnsi="ˎ̥" w:eastAsia="宋体"/>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5C9BE8B6">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14259119">
      <w:pPr>
        <w:widowControl w:val="0"/>
        <w:ind w:firstLine="411" w:firstLineChars="196"/>
        <w:jc w:val="both"/>
        <w:rPr>
          <w:rFonts w:hint="eastAsia" w:ascii="ˎ̥" w:hAnsi="ˎ̥" w:eastAsia="宋体"/>
          <w:kern w:val="2"/>
          <w:sz w:val="21"/>
          <w:lang w:eastAsia="zh-CN"/>
        </w:rPr>
      </w:pPr>
      <w:r>
        <w:rPr>
          <w:rFonts w:ascii="ˎ̥" w:hAnsi="ˎ̥" w:eastAsia="宋体"/>
          <w:kern w:val="2"/>
          <w:sz w:val="21"/>
          <w:lang w:eastAsia="zh-CN"/>
        </w:rPr>
        <w:t>综合评分法，是指</w:t>
      </w:r>
      <w:r>
        <w:rPr>
          <w:rFonts w:hint="eastAsia" w:ascii="ˎ̥" w:hAnsi="ˎ̥" w:eastAsia="宋体"/>
          <w:kern w:val="2"/>
          <w:sz w:val="21"/>
          <w:lang w:eastAsia="zh-CN"/>
        </w:rPr>
        <w:t>在</w:t>
      </w:r>
      <w:r>
        <w:rPr>
          <w:rFonts w:ascii="ˎ̥" w:hAnsi="ˎ̥" w:eastAsia="宋体"/>
          <w:kern w:val="2"/>
          <w:sz w:val="21"/>
          <w:lang w:eastAsia="zh-CN"/>
        </w:rPr>
        <w:t>满足招标文件全部实质性要求</w:t>
      </w:r>
      <w:r>
        <w:rPr>
          <w:rFonts w:hint="eastAsia" w:ascii="ˎ̥" w:hAnsi="ˎ̥" w:eastAsia="宋体"/>
          <w:kern w:val="2"/>
          <w:sz w:val="21"/>
          <w:lang w:eastAsia="zh-CN"/>
        </w:rPr>
        <w:t>的前提下</w:t>
      </w:r>
      <w:r>
        <w:rPr>
          <w:rFonts w:ascii="ˎ̥" w:hAnsi="ˎ̥" w:eastAsia="宋体"/>
          <w:kern w:val="2"/>
          <w:sz w:val="21"/>
          <w:lang w:eastAsia="zh-CN"/>
        </w:rPr>
        <w:t>，</w:t>
      </w:r>
      <w:r>
        <w:rPr>
          <w:rFonts w:hint="eastAsia" w:ascii="ˎ̥" w:hAnsi="ˎ̥" w:eastAsia="宋体"/>
          <w:kern w:val="2"/>
          <w:sz w:val="21"/>
          <w:lang w:eastAsia="zh-CN"/>
        </w:rPr>
        <w:t>按照招标文件中规定的各项因素进行综合评审，评审总得分排名前列的投标人，作为推荐的候选中标供应商。</w:t>
      </w:r>
    </w:p>
    <w:p w14:paraId="08B2B295">
      <w:pPr>
        <w:widowControl w:val="0"/>
        <w:ind w:firstLine="420" w:firstLineChars="200"/>
        <w:jc w:val="both"/>
        <w:rPr>
          <w:rFonts w:hint="eastAsia" w:ascii="ˎ̥" w:hAnsi="ˎ̥" w:eastAsia="宋体"/>
          <w:kern w:val="2"/>
          <w:sz w:val="21"/>
          <w:lang w:eastAsia="zh-CN"/>
        </w:rPr>
      </w:pPr>
      <w:r>
        <w:rPr>
          <w:rFonts w:hint="eastAsia" w:ascii="ˎ̥" w:hAnsi="ˎ̥" w:eastAsia="宋体"/>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5DC791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79B63C96">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7F828763">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30F2C9D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0627A139">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0316A99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4C4F6F7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36975F6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0F27F5A">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56552DD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2FDCD44D">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29AE500B">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65D3663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6B7B8A0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40A9DD8A">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3780ED0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0ED4B0B3">
      <w:pPr>
        <w:widowControl w:val="0"/>
        <w:ind w:firstLine="411" w:firstLineChars="196"/>
        <w:jc w:val="both"/>
        <w:rPr>
          <w:rFonts w:ascii="宋体" w:hAnsi="宋体" w:eastAsia="宋体"/>
          <w:kern w:val="2"/>
          <w:sz w:val="21"/>
          <w:szCs w:val="21"/>
          <w:lang w:eastAsia="zh-CN"/>
        </w:rPr>
      </w:pPr>
    </w:p>
    <w:p w14:paraId="371CFCB5">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7575255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3571EB6F">
      <w:pPr>
        <w:widowControl w:val="0"/>
        <w:ind w:firstLine="420" w:firstLineChars="200"/>
        <w:jc w:val="both"/>
        <w:rPr>
          <w:rFonts w:ascii="宋体" w:hAnsi="宋体" w:eastAsia="宋体"/>
          <w:kern w:val="2"/>
          <w:sz w:val="21"/>
          <w:szCs w:val="21"/>
          <w:lang w:eastAsia="zh-CN"/>
        </w:rPr>
      </w:pPr>
      <w:bookmarkStart w:id="75" w:name="_Hlk73782795"/>
      <w:r>
        <w:rPr>
          <w:rFonts w:hint="eastAsia" w:ascii="宋体" w:hAnsi="宋体" w:eastAsia="宋体"/>
          <w:kern w:val="2"/>
          <w:sz w:val="21"/>
          <w:szCs w:val="21"/>
          <w:lang w:eastAsia="zh-CN"/>
        </w:rPr>
        <w:t>38.1非评定分离项目定标方法</w:t>
      </w:r>
    </w:p>
    <w:p w14:paraId="2C15FF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14:paraId="1211D864">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14:paraId="58A2A64C">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777E57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02E84FB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455C219">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76"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14:paraId="0D55C2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77"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6"/>
      <w:bookmarkEnd w:id="77"/>
    </w:p>
    <w:p w14:paraId="094C12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14:paraId="52C8B6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51714A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75"/>
    </w:p>
    <w:p w14:paraId="7ED6871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30E671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30A1AF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14:paraId="55BD73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78"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8"/>
      <w:bookmarkStart w:id="79"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79"/>
    <w:p w14:paraId="641688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3C1952D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31F8343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80"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80"/>
    </w:p>
    <w:p w14:paraId="6AB9F97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14:paraId="077678B8">
      <w:pPr>
        <w:widowControl w:val="0"/>
        <w:ind w:firstLine="420" w:firstLineChars="200"/>
        <w:jc w:val="both"/>
        <w:rPr>
          <w:rFonts w:ascii="宋体" w:hAnsi="宋体" w:eastAsia="宋体"/>
          <w:kern w:val="2"/>
          <w:sz w:val="21"/>
          <w:szCs w:val="21"/>
          <w:lang w:eastAsia="zh-CN"/>
        </w:rPr>
      </w:pPr>
      <w:bookmarkStart w:id="81"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81"/>
    </w:p>
    <w:p w14:paraId="7C923E3D">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0FC7804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35D90D61">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14:paraId="21CE3762">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150D5613">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49199B4E">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14:paraId="7DE21AD7">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（2）如需要根据实际情况向采购人主管部门提出非公开招标方式申请的，经采购人主管部门批准，公开招标失败采购项目可转为竞争性谈判或单一来源谈判方式采购。</w:t>
      </w:r>
    </w:p>
    <w:p w14:paraId="1183D839">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14:paraId="05E351C3">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42.5公开招标失败的采购项目转为竞争性谈判或单一来源谈判方式采购的，按规定要求组织自行采购工作。</w:t>
      </w:r>
    </w:p>
    <w:p w14:paraId="4CA35BD4">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82" w:name="_Hlk72439043"/>
      <w:r>
        <w:rPr>
          <w:rFonts w:hint="eastAsia" w:ascii="Cambria" w:hAnsi="Cambria" w:eastAsia="宋体" w:cs="宋体"/>
          <w:b/>
          <w:bCs/>
          <w:kern w:val="2"/>
          <w:sz w:val="28"/>
          <w:szCs w:val="28"/>
          <w:lang w:eastAsia="zh-CN"/>
        </w:rPr>
        <w:t>合同的授予与备案</w:t>
      </w:r>
      <w:bookmarkEnd w:id="82"/>
    </w:p>
    <w:p w14:paraId="339E81A8">
      <w:pPr>
        <w:widowControl w:val="0"/>
        <w:ind w:firstLine="420" w:firstLineChars="200"/>
        <w:jc w:val="both"/>
        <w:rPr>
          <w:rFonts w:ascii="黑体" w:hAnsi="宋体" w:eastAsia="黑体"/>
          <w:kern w:val="2"/>
          <w:sz w:val="21"/>
          <w:szCs w:val="21"/>
          <w:lang w:eastAsia="zh-CN"/>
        </w:rPr>
      </w:pPr>
      <w:bookmarkStart w:id="83" w:name="_Toc73517679"/>
      <w:bookmarkStart w:id="84" w:name="_Toc73521586"/>
      <w:bookmarkStart w:id="85" w:name="_Toc100052408"/>
      <w:bookmarkStart w:id="86" w:name="_Toc73518157"/>
      <w:bookmarkStart w:id="87" w:name="_Toc73521674"/>
      <w:bookmarkStart w:id="88" w:name="_Hlk72439088"/>
      <w:r>
        <w:rPr>
          <w:rFonts w:hint="eastAsia" w:ascii="黑体" w:hAnsi="宋体" w:eastAsia="黑体"/>
          <w:kern w:val="2"/>
          <w:sz w:val="21"/>
          <w:szCs w:val="21"/>
          <w:lang w:eastAsia="zh-CN"/>
        </w:rPr>
        <w:t>43．合同授予标准</w:t>
      </w:r>
      <w:bookmarkEnd w:id="83"/>
      <w:bookmarkEnd w:id="84"/>
      <w:bookmarkEnd w:id="85"/>
      <w:bookmarkEnd w:id="86"/>
      <w:bookmarkEnd w:id="87"/>
    </w:p>
    <w:p w14:paraId="7FBF2F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7B4F9CB4">
      <w:pPr>
        <w:widowControl w:val="0"/>
        <w:ind w:firstLine="420" w:firstLineChars="200"/>
        <w:jc w:val="both"/>
        <w:rPr>
          <w:rFonts w:ascii="黑体" w:hAnsi="宋体" w:eastAsia="黑体"/>
          <w:kern w:val="2"/>
          <w:sz w:val="21"/>
          <w:szCs w:val="21"/>
          <w:lang w:eastAsia="zh-CN"/>
        </w:rPr>
      </w:pPr>
      <w:bookmarkStart w:id="89" w:name="_Toc100052409"/>
      <w:bookmarkStart w:id="90" w:name="_Toc73518158"/>
      <w:bookmarkStart w:id="91" w:name="_Toc73521675"/>
      <w:bookmarkStart w:id="92" w:name="_Toc73521587"/>
      <w:bookmarkStart w:id="93" w:name="_Toc73517680"/>
      <w:r>
        <w:rPr>
          <w:rFonts w:hint="eastAsia" w:ascii="黑体" w:hAnsi="宋体" w:eastAsia="黑体"/>
          <w:kern w:val="2"/>
          <w:sz w:val="21"/>
          <w:szCs w:val="21"/>
          <w:lang w:eastAsia="zh-CN"/>
        </w:rPr>
        <w:t>44．</w:t>
      </w:r>
      <w:bookmarkEnd w:id="89"/>
      <w:bookmarkEnd w:id="90"/>
      <w:bookmarkEnd w:id="91"/>
      <w:bookmarkEnd w:id="92"/>
      <w:bookmarkEnd w:id="93"/>
      <w:r>
        <w:rPr>
          <w:rFonts w:hint="eastAsia" w:ascii="黑体" w:hAnsi="宋体" w:eastAsia="黑体"/>
          <w:kern w:val="2"/>
          <w:sz w:val="21"/>
          <w:szCs w:val="21"/>
          <w:lang w:eastAsia="zh-CN"/>
        </w:rPr>
        <w:t>接受和拒绝任何或所有投标的权力</w:t>
      </w:r>
    </w:p>
    <w:p w14:paraId="2B1E8E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0A4C3936">
      <w:pPr>
        <w:widowControl w:val="0"/>
        <w:ind w:firstLine="420" w:firstLineChars="200"/>
        <w:jc w:val="both"/>
        <w:rPr>
          <w:rFonts w:ascii="黑体" w:hAnsi="宋体" w:eastAsia="黑体"/>
          <w:kern w:val="2"/>
          <w:sz w:val="21"/>
          <w:szCs w:val="21"/>
          <w:lang w:eastAsia="zh-CN"/>
        </w:rPr>
      </w:pPr>
      <w:bookmarkStart w:id="94" w:name="_Toc73517682"/>
      <w:bookmarkStart w:id="95" w:name="_Toc73521589"/>
      <w:bookmarkStart w:id="96" w:name="_Toc100052410"/>
      <w:bookmarkStart w:id="97" w:name="_Toc73521677"/>
      <w:bookmarkStart w:id="98" w:name="_Toc73518160"/>
      <w:r>
        <w:rPr>
          <w:rFonts w:hint="eastAsia" w:ascii="黑体" w:hAnsi="宋体" w:eastAsia="黑体"/>
          <w:kern w:val="2"/>
          <w:sz w:val="21"/>
          <w:szCs w:val="21"/>
          <w:lang w:eastAsia="zh-CN"/>
        </w:rPr>
        <w:t>45．合同的签订</w:t>
      </w:r>
      <w:bookmarkEnd w:id="94"/>
      <w:bookmarkEnd w:id="95"/>
      <w:bookmarkEnd w:id="96"/>
      <w:bookmarkEnd w:id="97"/>
      <w:bookmarkEnd w:id="98"/>
    </w:p>
    <w:p w14:paraId="3273EB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51C81A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14:paraId="602108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2B5338E1">
      <w:pPr>
        <w:widowControl w:val="0"/>
        <w:ind w:firstLine="420" w:firstLineChars="200"/>
        <w:jc w:val="both"/>
        <w:rPr>
          <w:rFonts w:ascii="黑体" w:hAnsi="宋体" w:eastAsia="黑体"/>
          <w:kern w:val="2"/>
          <w:sz w:val="21"/>
          <w:szCs w:val="21"/>
          <w:lang w:eastAsia="zh-CN"/>
        </w:rPr>
      </w:pPr>
      <w:bookmarkStart w:id="99" w:name="_Toc73521590"/>
      <w:bookmarkStart w:id="100" w:name="_Toc73517683"/>
      <w:bookmarkStart w:id="101" w:name="_Toc73518161"/>
      <w:bookmarkStart w:id="102" w:name="_Toc100052411"/>
      <w:bookmarkStart w:id="103" w:name="_Toc73521678"/>
      <w:r>
        <w:rPr>
          <w:rFonts w:hint="eastAsia" w:ascii="黑体" w:hAnsi="宋体" w:eastAsia="黑体"/>
          <w:kern w:val="2"/>
          <w:sz w:val="21"/>
          <w:szCs w:val="21"/>
          <w:lang w:eastAsia="zh-CN"/>
        </w:rPr>
        <w:t>46．履约担保</w:t>
      </w:r>
      <w:bookmarkEnd w:id="99"/>
      <w:bookmarkEnd w:id="100"/>
      <w:bookmarkEnd w:id="101"/>
      <w:bookmarkEnd w:id="102"/>
      <w:bookmarkEnd w:id="103"/>
    </w:p>
    <w:p w14:paraId="50E14BF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0467E4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hint="eastAsia" w:eastAsia="宋体"/>
          <w:kern w:val="2"/>
          <w:sz w:val="21"/>
          <w:szCs w:val="21"/>
          <w:lang w:eastAsia="zh-CN"/>
        </w:rPr>
        <w:t>中标人提交履约担保不是合同签订的前提条件，不要求中标人提供除法律、法规明确规定外的其他担保。</w:t>
      </w:r>
    </w:p>
    <w:p w14:paraId="0FC1F86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711AC7E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自行采购项目，无需办理政府采购合同备案。</w:t>
      </w:r>
    </w:p>
    <w:p w14:paraId="26BDDBB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1F62D8D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2C51BC7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0DC1F141">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14:paraId="4F3B8C5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14:paraId="4E4A77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1DFC9FA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098122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62E8F9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42567B9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0C9A04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7E2A82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09E992E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2A12145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6C9DC9A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65C7D7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1EAF8FD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6EF7C94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7E38D5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228DFF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078DDE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104" w:name="_Hlk72440769"/>
      <w:r>
        <w:rPr>
          <w:rFonts w:hint="eastAsia" w:ascii="宋体" w:hAnsi="宋体" w:eastAsia="宋体"/>
          <w:kern w:val="2"/>
          <w:sz w:val="21"/>
          <w:szCs w:val="21"/>
          <w:lang w:eastAsia="zh-CN"/>
        </w:rPr>
        <w:t>采购代理机构或采购人不予退还其交纳的谈判保证金，情节严重的，并由主管部门</w:t>
      </w:r>
      <w:bookmarkEnd w:id="104"/>
      <w:r>
        <w:rPr>
          <w:rFonts w:hint="eastAsia" w:ascii="宋体" w:hAnsi="宋体" w:eastAsia="宋体"/>
          <w:kern w:val="2"/>
          <w:sz w:val="21"/>
          <w:szCs w:val="21"/>
          <w:lang w:eastAsia="zh-CN"/>
        </w:rPr>
        <w:t>记入供应商诚信档案，予以通报：</w:t>
      </w:r>
    </w:p>
    <w:p w14:paraId="674B76C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14:paraId="1D8416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14:paraId="618186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14:paraId="0AAC6BEB">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88"/>
    <w:p w14:paraId="2AA66B2F">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628B9D4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47EB002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1370E8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14:paraId="1272BEA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14:paraId="1E75D7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7D3610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6F33674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5" w:name="_Hlk75374941"/>
      <w:r>
        <w:rPr>
          <w:rFonts w:hint="eastAsia" w:ascii="宋体" w:hAnsi="宋体" w:eastAsia="宋体"/>
          <w:kern w:val="2"/>
          <w:sz w:val="21"/>
          <w:szCs w:val="21"/>
          <w:lang w:eastAsia="zh-CN"/>
        </w:rPr>
        <w:t>以联合体形式参与的，质疑应当由组成联合体的所有成员共同提出</w:t>
      </w:r>
      <w:bookmarkEnd w:id="105"/>
      <w:r>
        <w:rPr>
          <w:rFonts w:hint="eastAsia" w:ascii="宋体" w:hAnsi="宋体" w:eastAsia="宋体"/>
          <w:kern w:val="2"/>
          <w:sz w:val="21"/>
          <w:szCs w:val="21"/>
          <w:lang w:eastAsia="zh-CN"/>
        </w:rPr>
        <w:t>；</w:t>
      </w:r>
    </w:p>
    <w:p w14:paraId="04F6756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041CB2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14:paraId="557FD6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6E8C1C5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68EB0DB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74075E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1C878D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2F4701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077088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594E019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3DEF54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14:paraId="0D14B7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6B7BBB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BDCF9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22966A88">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6CBF5E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14:paraId="31B7EF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216A2552">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32AE241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14:paraId="3B86C56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38C99F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0CF10F0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1E31EC4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4CE376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2859B7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368148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14:paraId="4A2C17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32CFD0C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57BD5A0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14:paraId="5C31112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6591EE4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14:paraId="1B209E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51510FF0">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6D92E3EF">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14:paraId="20DA6FA8">
      <w:pPr>
        <w:widowControl w:val="0"/>
        <w:jc w:val="center"/>
        <w:rPr>
          <w:rFonts w:eastAsia="宋体"/>
          <w:kern w:val="2"/>
          <w:sz w:val="21"/>
          <w:lang w:eastAsia="zh-CN"/>
        </w:rPr>
      </w:pPr>
      <w:r>
        <w:rPr>
          <w:rFonts w:eastAsia="宋体"/>
          <w:kern w:val="2"/>
          <w:sz w:val="21"/>
          <w:lang w:eastAsia="zh-CN"/>
        </w:rPr>
        <w:t>---- END ----</w:t>
      </w:r>
      <w:bookmarkEnd w:id="53"/>
    </w:p>
    <w:p w14:paraId="7ECD6379">
      <w:pPr>
        <w:widowControl w:val="0"/>
        <w:jc w:val="both"/>
        <w:rPr>
          <w:rFonts w:ascii="宋体" w:hAnsi="宋体" w:eastAsia="宋体"/>
          <w:kern w:val="2"/>
          <w:sz w:val="21"/>
          <w:szCs w:val="21"/>
          <w:lang w:eastAsia="zh-CN"/>
        </w:rPr>
      </w:pPr>
    </w:p>
    <w:p w14:paraId="0F9F0436">
      <w:pPr>
        <w:keepNext/>
        <w:keepLines/>
        <w:widowControl w:val="0"/>
        <w:adjustRightInd w:val="0"/>
        <w:spacing w:before="260" w:after="260" w:line="240" w:lineRule="auto"/>
        <w:jc w:val="center"/>
        <w:textAlignment w:val="baseline"/>
        <w:outlineLvl w:val="1"/>
        <w:rPr>
          <w:rFonts w:ascii="宋体" w:hAnsi="宋体" w:eastAsia="宋体"/>
          <w:bCs/>
          <w:szCs w:val="21"/>
          <w:lang w:eastAsia="zh-CN"/>
        </w:rPr>
      </w:pPr>
    </w:p>
    <w:p w14:paraId="0A4E2CD0">
      <w:pPr>
        <w:widowControl w:val="0"/>
        <w:jc w:val="both"/>
        <w:rPr>
          <w:rFonts w:eastAsia="宋体"/>
          <w:kern w:val="2"/>
          <w:sz w:val="21"/>
          <w:lang w:eastAsia="zh-CN"/>
        </w:rPr>
      </w:pPr>
    </w:p>
    <w:p w14:paraId="0307213D">
      <w:pPr>
        <w:widowControl w:val="0"/>
        <w:jc w:val="both"/>
        <w:rPr>
          <w:rFonts w:eastAsia="宋体"/>
          <w:kern w:val="2"/>
          <w:sz w:val="21"/>
          <w:lang w:eastAsia="zh-CN"/>
        </w:rPr>
        <w:sectPr>
          <w:headerReference r:id="rId5" w:type="default"/>
          <w:footerReference r:id="rId6" w:type="default"/>
          <w:pgSz w:w="11907" w:h="16840"/>
          <w:pgMar w:top="1440" w:right="1797" w:bottom="1440" w:left="1797" w:header="851" w:footer="992" w:gutter="0"/>
          <w:cols w:space="425" w:num="1"/>
          <w:titlePg/>
          <w:docGrid w:linePitch="462" w:charSpace="0"/>
        </w:sectPr>
      </w:pPr>
    </w:p>
    <w:p w14:paraId="43B902A0">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60130179">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香港中文大学（深圳）医院病床类设备采购项目 -A</w:t>
      </w:r>
    </w:p>
    <w:tbl>
      <w:tblPr>
        <w:tblStyle w:val="2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35BD82C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70A66B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C0637C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7CBAEAA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6EA3B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07A53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63270CE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F68C7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3ECDD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70A3C75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29340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88E29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7E8583B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3EF5C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AA5F8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3D74FA0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0C099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F91A8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供应商基本情况表（须加盖投标单位公章）</w:t>
            </w:r>
          </w:p>
        </w:tc>
      </w:tr>
      <w:tr w14:paraId="61EA6D7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16D87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093FC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3605B5B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C26B8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40613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42869E1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12540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45132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550B87E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4817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A0983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206C693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BA83D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04DA7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6621FAD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0CC1C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903D1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售后服务方案（格式自定）</w:t>
            </w:r>
          </w:p>
        </w:tc>
      </w:tr>
      <w:tr w14:paraId="3AB3B03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1F8F5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F33A5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投标人同类业绩</w:t>
            </w:r>
          </w:p>
        </w:tc>
      </w:tr>
      <w:tr w14:paraId="7388971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16419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AD47B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履约评价（格式自定）</w:t>
            </w:r>
          </w:p>
        </w:tc>
      </w:tr>
      <w:tr w14:paraId="5FEE40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354E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E08BD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08568604">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50758CC2">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51445DB8">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134BDCAD">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SZZXCG-2025-00405-001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香港中文大学（深圳）医院病床类设备采购项目 -A</w:t>
      </w:r>
      <w:r>
        <w:rPr>
          <w:rFonts w:ascii="仿宋" w:hAnsi="仿宋" w:eastAsia="仿宋" w:cs="仿宋"/>
          <w:color w:val="333333"/>
          <w:u w:val="single" w:color="333333"/>
          <w:lang w:val="en" w:eastAsia="en"/>
        </w:rPr>
        <w:br w:type="textWrapping"/>
      </w:r>
    </w:p>
    <w:p w14:paraId="647DB341">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1746894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4E44C62C">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116508BD">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724D535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A5AC21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0A8757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024734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16A7566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28107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389B2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DD1CC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741E99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F40DC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838F0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D80C0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3B317C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780AF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6ABF4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AC411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2885C44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073DE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83539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6E9A4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6775F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7BA54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B9F7B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39E61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3D44336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59644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3B10B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C216C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9BDEBF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099B9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F1A7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7BB0C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08767A56">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7CDA99F4">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0A1C77C9">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12456E2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83BEC4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C9BACB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35E7BA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50544D0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22E30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8C268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222D6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2.投标人若为生产企业：所投产品为第一类医疗器械的，提供监督管理部门签发的涵盖所投报医疗器械的第一类医疗器械生产备案凭证扫描件；所投产品为第二、三类医疗器械的，提供监督管理部门签发的涵盖所投报医疗器械的《医疗器械生产许可证》(有效期内)扫描件；若为经营企业，所投产品为第二类医疗器械的，提供监督管理部门签发的涵盖所投报医疗器械的《医疗器械经营备案凭证》扫描件；所投产品为第三类医疗器械的，提供监督管理部门签发的涵盖所投报医疗器械的《医疗器械经营许可证》(有效期内)扫描件；3.本项目不接受联合体投标，是否接受投标人选用进口产品参与投标，详见招标文件第三章用户需求书”；4.参与本项目政府采购活动时不存在被有关部门禁止参与政府采购活动且在有效期内的情况（由供应商在《政府采购投标及履约承诺函》中作出声明）；5.具备《中华人民共和国政府采购法》第二十二条第一款的条件（由供应商在《政府采购投标及履约承诺函》中作出声明）；6.未被列入失信被执行人、重大税收违法案件当事人名单、政府采购严重违法失信行为记录名单（由供应商在《政府采购投标及履约承诺函》中作出声明）；7.不存在《深圳市财政局政府采购供应商信用信息管理办法》（深财规〔2023〕3号）列明的严重违法失信行为（由供应商在《政府采购投标及履约承诺函》中作出声明）；8.为采购项目提供整体设计、规范编制或者项目管理、监理、检测等服务的供应商，不得再参加该采购项目的其他采购活动（由供应商在《政府采购投标及履约承诺函》中作出声明）；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w:t>
            </w:r>
          </w:p>
        </w:tc>
      </w:tr>
    </w:tbl>
    <w:p w14:paraId="27AC7CD7">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762E102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CB73B0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5388E2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736191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7931D2D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F3C25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362A0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C6C4F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72BFD7E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DCB87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E3165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1580D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3FEAD34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F8D83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1574A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分项报价或投标总价不得高于相应预算金额（或设定的预算金额下的最高限价）；单价不得高于相应单价限价；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E2F81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分项报价或投标总价不得高于相应预算金额（或设定的预算金额下的最高限价）；单价不得高于相应单价限价；</w:t>
            </w:r>
          </w:p>
        </w:tc>
      </w:tr>
      <w:tr w14:paraId="29AD871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85BF3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54B00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8285C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E98542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0AA2D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6CDC6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EB154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49E6E3C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DFD72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18BF0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DC984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14:paraId="0350430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0BB23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824B8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8E57A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406A35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912BE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5408E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9A499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3C04E3D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4B65C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E5F29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1EAF2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14:paraId="008B7E1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266A0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3ABF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F0622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274C9CA8">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750AA80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6DC99F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BE382E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CD24DE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BC76D2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7910CC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33E38FF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22FB6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2C84E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C82CC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售后服务方案</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BE050F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95615C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31297B2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9021B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A3C3A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重要技术要求响应情况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2BB76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重要技术要求响应情况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71ACA8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F04747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40</w:t>
            </w:r>
          </w:p>
        </w:tc>
      </w:tr>
      <w:tr w14:paraId="6EE0269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1911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55DF9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一般技术要求响应情况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C886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一般技术要求响应情况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F7F352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D50907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23</w:t>
            </w:r>
          </w:p>
        </w:tc>
      </w:tr>
      <w:tr w14:paraId="4BD34CC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8E245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E9AB0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E4B2E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投标人同类业绩</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08D527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B685A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439B462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A5436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F5095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履约评价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119CF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履约评价</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9E89E0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B0B406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7A97144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45E85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C1CA7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D268C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03A68F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52A562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bl>
    <w:p w14:paraId="15B47AE5">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44E4B866">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CEFF6">
    <w:pPr>
      <w:pStyle w:val="11"/>
      <w:framePr w:wrap="around" w:vAnchor="text" w:hAnchor="margin" w:xAlign="center" w:y="1"/>
      <w:rPr>
        <w:rStyle w:val="17"/>
      </w:rPr>
    </w:pPr>
    <w:r>
      <w:t xml:space="preserve">- </w:t>
    </w:r>
    <w:r>
      <w:fldChar w:fldCharType="begin"/>
    </w:r>
    <w:r>
      <w:instrText xml:space="preserve"> PAGE </w:instrText>
    </w:r>
    <w:r>
      <w:fldChar w:fldCharType="separate"/>
    </w:r>
    <w:r>
      <w:t>- 35 -</w:t>
    </w:r>
    <w:r>
      <w:fldChar w:fldCharType="end"/>
    </w:r>
    <w:r>
      <w:t xml:space="preserve"> -</w:t>
    </w:r>
  </w:p>
  <w:p w14:paraId="4CF85FD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772B">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2E5DE">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59E9D">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6E3AF"/>
    <w:multiLevelType w:val="singleLevel"/>
    <w:tmpl w:val="9146E3AF"/>
    <w:lvl w:ilvl="0" w:tentative="0">
      <w:start w:val="1"/>
      <w:numFmt w:val="decimal"/>
      <w:suff w:val="nothing"/>
      <w:lvlText w:val="%1．"/>
      <w:lvlJc w:val="left"/>
      <w:pPr>
        <w:ind w:left="0" w:firstLine="400"/>
      </w:pPr>
      <w:rPr>
        <w:rFonts w:hint="default"/>
      </w:rPr>
    </w:lvl>
  </w:abstractNum>
  <w:abstractNum w:abstractNumId="1">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609221C"/>
    <w:multiLevelType w:val="singleLevel"/>
    <w:tmpl w:val="B609221C"/>
    <w:lvl w:ilvl="0" w:tentative="0">
      <w:start w:val="1"/>
      <w:numFmt w:val="decimal"/>
      <w:suff w:val="nothing"/>
      <w:lvlText w:val="%1、"/>
      <w:lvlJc w:val="left"/>
    </w:lvl>
  </w:abstractNum>
  <w:abstractNum w:abstractNumId="3">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789FC2B"/>
    <w:multiLevelType w:val="singleLevel"/>
    <w:tmpl w:val="0789FC2B"/>
    <w:lvl w:ilvl="0" w:tentative="0">
      <w:start w:val="2"/>
      <w:numFmt w:val="decimal"/>
      <w:suff w:val="nothing"/>
      <w:lvlText w:val="%1、"/>
      <w:lvlJc w:val="left"/>
    </w:lvl>
  </w:abstractNum>
  <w:abstractNum w:abstractNumId="5">
    <w:nsid w:val="6B2F1B18"/>
    <w:multiLevelType w:val="singleLevel"/>
    <w:tmpl w:val="6B2F1B18"/>
    <w:lvl w:ilvl="0" w:tentative="0">
      <w:start w:val="1"/>
      <w:numFmt w:val="chineseCounting"/>
      <w:suff w:val="nothing"/>
      <w:lvlText w:val="%1、"/>
      <w:lvlJc w:val="left"/>
      <w:rPr>
        <w:rFonts w:hint="eastAsia"/>
        <w:b/>
        <w:bCs/>
      </w:rPr>
    </w:lvl>
  </w:abstractNum>
  <w:abstractNum w:abstractNumId="6">
    <w:nsid w:val="6F863934"/>
    <w:multiLevelType w:val="singleLevel"/>
    <w:tmpl w:val="6F863934"/>
    <w:lvl w:ilvl="0" w:tentative="0">
      <w:start w:val="1"/>
      <w:numFmt w:val="decimal"/>
      <w:lvlText w:val="(%1)"/>
      <w:lvlJc w:val="left"/>
      <w:pPr>
        <w:ind w:left="425" w:hanging="425"/>
      </w:pPr>
      <w:rPr>
        <w:rFonts w:hint="default"/>
      </w:rPr>
    </w:lvl>
  </w:abstractNum>
  <w:abstractNum w:abstractNumId="7">
    <w:nsid w:val="72B458A4"/>
    <w:multiLevelType w:val="singleLevel"/>
    <w:tmpl w:val="72B458A4"/>
    <w:lvl w:ilvl="0" w:tentative="0">
      <w:start w:val="2"/>
      <w:numFmt w:val="decimal"/>
      <w:suff w:val="nothing"/>
      <w:lvlText w:val="%1、"/>
      <w:lvlJc w:val="left"/>
    </w:lvl>
  </w:abstractNum>
  <w:num w:numId="1">
    <w:abstractNumId w:val="7"/>
  </w:num>
  <w:num w:numId="2">
    <w:abstractNumId w:val="2"/>
  </w:num>
  <w:num w:numId="3">
    <w:abstractNumId w:val="1"/>
  </w:num>
  <w:num w:numId="4">
    <w:abstractNumId w:val="6"/>
  </w:num>
  <w:num w:numId="5">
    <w:abstractNumId w:val="4"/>
  </w:num>
  <w:num w:numId="6">
    <w:abstractNumId w:val="5"/>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59FE7A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qFormat/>
    <w:uiPriority w:val="0"/>
    <w:pPr>
      <w:spacing w:before="340" w:after="330" w:line="360" w:lineRule="auto"/>
      <w:jc w:val="center"/>
      <w:outlineLvl w:val="0"/>
    </w:pPr>
    <w:rPr>
      <w:rFonts w:eastAsia="黑体"/>
      <w:kern w:val="44"/>
      <w:szCs w:val="44"/>
    </w:rPr>
  </w:style>
  <w:style w:type="paragraph" w:styleId="5">
    <w:name w:val="heading 2"/>
    <w:basedOn w:val="3"/>
    <w:next w:val="4"/>
    <w:qFormat/>
    <w:uiPriority w:val="0"/>
    <w:pPr>
      <w:adjustRightInd w:val="0"/>
      <w:jc w:val="center"/>
      <w:textAlignment w:val="baseline"/>
      <w:outlineLvl w:val="1"/>
    </w:pPr>
    <w:rPr>
      <w:kern w:val="0"/>
      <w:szCs w:val="20"/>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link w:val="18"/>
    <w:semiHidden/>
    <w:unhideWhenUsed/>
    <w:qFormat/>
    <w:uiPriority w:val="0"/>
    <w:pPr>
      <w:keepNext/>
      <w:keepLines/>
      <w:widowControl w:val="0"/>
      <w:spacing w:before="280" w:after="290" w:line="376" w:lineRule="auto"/>
      <w:jc w:val="both"/>
      <w:outlineLvl w:val="3"/>
    </w:pPr>
    <w:rPr>
      <w:rFonts w:ascii="Arial" w:hAnsi="Arial" w:eastAsia="黑体"/>
      <w:bCs/>
      <w:kern w:val="2"/>
      <w:szCs w:val="28"/>
      <w:lang w:eastAsia="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val="0"/>
      <w:ind w:firstLine="420"/>
      <w:jc w:val="both"/>
    </w:pPr>
    <w:rPr>
      <w:rFonts w:eastAsia="宋体"/>
      <w:kern w:val="2"/>
      <w:sz w:val="21"/>
      <w:szCs w:val="20"/>
      <w:lang w:eastAsia="zh-CN"/>
    </w:rPr>
  </w:style>
  <w:style w:type="paragraph" w:styleId="7">
    <w:name w:val="annotation text"/>
    <w:basedOn w:val="1"/>
    <w:link w:val="21"/>
    <w:semiHidden/>
    <w:qFormat/>
    <w:uiPriority w:val="99"/>
    <w:pPr>
      <w:widowControl w:val="0"/>
      <w:autoSpaceDE w:val="0"/>
      <w:autoSpaceDN w:val="0"/>
      <w:adjustRightInd w:val="0"/>
      <w:textAlignment w:val="baseline"/>
    </w:pPr>
    <w:rPr>
      <w:rFonts w:ascii="宋体" w:eastAsia="宋体"/>
      <w:sz w:val="34"/>
      <w:szCs w:val="20"/>
      <w:lang w:eastAsia="zh-CN"/>
    </w:rPr>
  </w:style>
  <w:style w:type="paragraph" w:styleId="8">
    <w:name w:val="Body Text"/>
    <w:basedOn w:val="1"/>
    <w:next w:val="9"/>
    <w:qFormat/>
    <w:uiPriority w:val="0"/>
    <w:pPr>
      <w:widowControl w:val="0"/>
      <w:spacing w:line="360" w:lineRule="auto"/>
      <w:jc w:val="both"/>
    </w:pPr>
    <w:rPr>
      <w:rFonts w:eastAsia="宋体"/>
      <w:b/>
      <w:bCs/>
      <w:kern w:val="2"/>
      <w:lang w:eastAsia="zh-CN"/>
    </w:rPr>
  </w:style>
  <w:style w:type="paragraph" w:styleId="9">
    <w:name w:val="Body Text 2"/>
    <w:basedOn w:val="1"/>
    <w:qFormat/>
    <w:uiPriority w:val="0"/>
    <w:pPr>
      <w:widowControl w:val="0"/>
      <w:spacing w:line="360" w:lineRule="auto"/>
      <w:jc w:val="both"/>
    </w:pPr>
    <w:rPr>
      <w:rFonts w:eastAsia="宋体"/>
      <w:kern w:val="2"/>
      <w:lang w:eastAsia="zh-CN"/>
    </w:rPr>
  </w:style>
  <w:style w:type="paragraph" w:styleId="10">
    <w:name w:val="Body Text Indent"/>
    <w:basedOn w:val="1"/>
    <w:qFormat/>
    <w:uiPriority w:val="0"/>
    <w:pPr>
      <w:widowControl w:val="0"/>
      <w:spacing w:line="360" w:lineRule="auto"/>
      <w:ind w:firstLine="420" w:firstLineChars="200"/>
      <w:jc w:val="both"/>
    </w:pPr>
    <w:rPr>
      <w:rFonts w:eastAsia="宋体"/>
      <w:kern w:val="2"/>
      <w:sz w:val="21"/>
      <w:lang w:eastAsia="zh-CN"/>
    </w:rPr>
  </w:style>
  <w:style w:type="paragraph" w:styleId="11">
    <w:name w:val="footer"/>
    <w:basedOn w:val="1"/>
    <w:qFormat/>
    <w:uiPriority w:val="0"/>
    <w:pPr>
      <w:widowControl w:val="0"/>
      <w:tabs>
        <w:tab w:val="center" w:pos="4153"/>
        <w:tab w:val="right" w:pos="8306"/>
      </w:tabs>
      <w:snapToGrid w:val="0"/>
    </w:pPr>
    <w:rPr>
      <w:rFonts w:eastAsia="宋体"/>
      <w:kern w:val="2"/>
      <w:sz w:val="18"/>
      <w:szCs w:val="18"/>
      <w:lang w:eastAsia="zh-CN"/>
    </w:rPr>
  </w:style>
  <w:style w:type="paragraph" w:styleId="12">
    <w:name w:val="header"/>
    <w:basedOn w:val="1"/>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3">
    <w:name w:val="Normal (Web)"/>
    <w:basedOn w:val="1"/>
    <w:qFormat/>
    <w:uiPriority w:val="99"/>
    <w:pPr>
      <w:widowControl w:val="0"/>
      <w:spacing w:beforeAutospacing="1" w:afterAutospacing="1"/>
    </w:pPr>
    <w:rPr>
      <w:rFonts w:eastAsia="宋体"/>
      <w:lang w:eastAsia="zh-CN"/>
    </w:rPr>
  </w:style>
  <w:style w:type="table" w:styleId="15">
    <w:name w:val="Table Grid"/>
    <w:basedOn w:val="1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customStyle="1" w:styleId="18">
    <w:name w:val="标题 4 字符"/>
    <w:link w:val="4"/>
    <w:qFormat/>
    <w:uiPriority w:val="9"/>
    <w:rPr>
      <w:rFonts w:ascii="Arial" w:hAnsi="Arial" w:eastAsia="黑体"/>
      <w:bCs/>
      <w:kern w:val="2"/>
      <w:sz w:val="24"/>
      <w:szCs w:val="28"/>
      <w:lang w:eastAsia="zh-CN"/>
    </w:rPr>
  </w:style>
  <w:style w:type="paragraph" w:styleId="1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
    <w:name w:val="font51"/>
    <w:basedOn w:val="16"/>
    <w:qFormat/>
    <w:uiPriority w:val="0"/>
    <w:rPr>
      <w:rFonts w:ascii="仿宋_GB2312" w:eastAsia="仿宋_GB2312" w:cs="仿宋_GB2312"/>
      <w:color w:val="FF0000"/>
      <w:sz w:val="28"/>
      <w:szCs w:val="28"/>
      <w:u w:val="none"/>
    </w:rPr>
  </w:style>
  <w:style w:type="character" w:customStyle="1" w:styleId="21">
    <w:name w:val="批注文字 字符"/>
    <w:basedOn w:val="16"/>
    <w:link w:val="7"/>
    <w:semiHidden/>
    <w:qFormat/>
    <w:uiPriority w:val="99"/>
    <w:rPr>
      <w:rFonts w:ascii="宋体" w:eastAsia="宋体"/>
      <w:sz w:val="34"/>
    </w:rPr>
  </w:style>
  <w:style w:type="character" w:customStyle="1" w:styleId="22">
    <w:name w:val="标题 3 Char"/>
    <w:qFormat/>
    <w:uiPriority w:val="0"/>
    <w:rPr>
      <w:rFonts w:ascii="黑体" w:eastAsia="黑体"/>
      <w:bCs/>
      <w:sz w:val="30"/>
    </w:rPr>
  </w:style>
  <w:style w:type="table" w:customStyle="1" w:styleId="23">
    <w:name w:val="网格型1"/>
    <w:basedOn w:val="14"/>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25">
    <w:name w:val="typo_table"/>
    <w:basedOn w:val="14"/>
    <w:uiPriority w:val="0"/>
  </w:style>
  <w:style w:type="paragraph" w:customStyle="1" w:styleId="26">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27">
    <w:name w:val="base"/>
    <w:basedOn w:val="16"/>
    <w:qFormat/>
    <w:uiPriority w:val="0"/>
    <w:rPr>
      <w:rFonts w:ascii="仿宋" w:hAnsi="仿宋" w:eastAsia="仿宋" w:cs="仿宋"/>
      <w:b/>
      <w:bCs/>
      <w:sz w:val="28"/>
      <w:szCs w:val="28"/>
    </w:rPr>
  </w:style>
  <w:style w:type="paragraph" w:customStyle="1" w:styleId="28">
    <w:name w:val="typo_p"/>
    <w:basedOn w:val="1"/>
    <w:qFormat/>
    <w:uiPriority w:val="0"/>
    <w:pPr>
      <w:spacing w:line="432" w:lineRule="atLeast"/>
    </w:pPr>
    <w:rPr>
      <w:rFonts w:ascii="微软雅黑" w:hAnsi="微软雅黑" w:eastAsia="微软雅黑" w:cs="微软雅黑"/>
      <w:color w:val="333333"/>
    </w:rPr>
  </w:style>
  <w:style w:type="character" w:customStyle="1" w:styleId="29">
    <w:name w:val="span"/>
    <w:basedOn w:val="16"/>
    <w:qFormat/>
    <w:uiPriority w:val="0"/>
    <w:rPr>
      <w:rFonts w:ascii="仿宋" w:hAnsi="仿宋" w:eastAsia="仿宋" w:cs="仿宋"/>
    </w:rPr>
  </w:style>
  <w:style w:type="character" w:customStyle="1" w:styleId="30">
    <w:name w:val="underline"/>
    <w:basedOn w:val="16"/>
    <w:qFormat/>
    <w:uiPriority w:val="0"/>
  </w:style>
  <w:style w:type="paragraph" w:customStyle="1" w:styleId="31">
    <w:name w:val="div"/>
    <w:basedOn w:val="1"/>
    <w:qFormat/>
    <w:uiPriority w:val="0"/>
    <w:pPr>
      <w:keepLines/>
      <w:spacing w:line="432" w:lineRule="atLeast"/>
    </w:pPr>
    <w:rPr>
      <w:rFonts w:ascii="微软雅黑" w:hAnsi="微软雅黑" w:eastAsia="微软雅黑" w:cs="微软雅黑"/>
      <w:color w:val="333333"/>
    </w:rPr>
  </w:style>
  <w:style w:type="character" w:customStyle="1" w:styleId="32">
    <w:name w:val="step-methods_step-item_label"/>
    <w:basedOn w:val="16"/>
    <w:uiPriority w:val="0"/>
  </w:style>
  <w:style w:type="table" w:customStyle="1" w:styleId="33">
    <w:name w:val="typo_table_0"/>
    <w:basedOn w:val="14"/>
    <w:uiPriority w:val="0"/>
  </w:style>
  <w:style w:type="character" w:customStyle="1" w:styleId="34">
    <w:name w:val="strong"/>
    <w:basedOn w:val="16"/>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98</Pages>
  <Words>3558</Words>
  <Characters>3628</Characters>
  <Lines>1</Lines>
  <Paragraphs>1</Paragraphs>
  <TotalTime>1</TotalTime>
  <ScaleCrop>false</ScaleCrop>
  <LinksUpToDate>false</LinksUpToDate>
  <CharactersWithSpaces>3642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2025-09-18T10:56:15Z</dcterms:created>
  <dc:creator>zan</dc:creator>
  <cp:lastModifiedBy>大白熊与小花花</cp:lastModifiedBy>
  <dcterms:modified xsi:type="dcterms:W3CDTF">2025-09-18T11:02:43Z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eyJoZGlkIjoiMjk5YTc0NzhhNjg4MmI0MTE1YWVjOTUzM2VlYjMwMTYiLCJ1c2VySWQiOiIyMTc0OTU0NzIifQ==</vt:lpwstr>
  </property>
  <property fmtid="{D5CDD505-2E9C-101B-9397-08002B2CF9AE}" pid="3" name="KSOProductBuildVer">
    <vt:lpwstr>2052-12.1.0.21915</vt:lpwstr>
  </property>
  <property fmtid="{D5CDD505-2E9C-101B-9397-08002B2CF9AE}" pid="4" name="ICV">
    <vt:lpwstr>451189B918174B6F84BB4487354D21ED_13</vt:lpwstr>
  </property>
</Properties>
</file>