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ind w:firstLine="3640" w:firstLineChars="1300"/>
        <w:jc w:val="both"/>
        <w:rPr>
          <w:rFonts w:ascii="宋体" w:eastAsia="宋体" w:hAnsi="宋体" w:cs="宋体"/>
          <w:color w:val="FF0000"/>
          <w:kern w:val="2"/>
          <w:sz w:val="21"/>
          <w:szCs w:val="21"/>
          <w:lang w:eastAsia="zh-CN"/>
        </w:rPr>
      </w:pPr>
      <w:r>
        <w:rPr>
          <w:rFonts w:ascii="宋体" w:eastAsia="黑体" w:hAnsi="宋体" w:cs="黑体" w:hint="eastAsia"/>
          <w:b/>
          <w:bCs/>
          <w:color w:val="FF0000"/>
          <w:kern w:val="44"/>
          <w:sz w:val="28"/>
          <w:szCs w:val="44"/>
          <w:lang w:eastAsia="zh-CN" w:bidi="ar"/>
        </w:rPr>
        <w:t>特别警示条款</w:t>
      </w:r>
    </w:p>
    <w:p>
      <w:pPr>
        <w:widowControl w:val="0"/>
        <w:spacing w:after="240" w:afterLines="100" w:line="400" w:lineRule="exact"/>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845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bidi="ar"/>
              </w:rPr>
              <w:t>同一人、属同一单位或者在同一单位缴纳社会保险</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参与本项目采购活动时，与其他投标供应商存在单位负责人为</w:t>
            </w:r>
            <w:r>
              <w:rPr>
                <w:rFonts w:ascii="宋体" w:hAnsi="宋体" w:cs="宋体" w:hint="eastAsia"/>
                <w:b/>
                <w:bCs/>
                <w:color w:val="FF0000"/>
                <w:kern w:val="2"/>
                <w:sz w:val="21"/>
                <w:szCs w:val="21"/>
                <w:lang w:eastAsia="zh-CN" w:bidi="ar"/>
              </w:rPr>
              <w:t>同一人或直接控股、管理关系</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与其他投标供应商的投标文件或部分投标文件</w:t>
            </w:r>
            <w:r>
              <w:rPr>
                <w:rFonts w:ascii="宋体" w:hAnsi="宋体" w:cs="宋体" w:hint="eastAsia"/>
                <w:b/>
                <w:bCs/>
                <w:color w:val="FF0000"/>
                <w:kern w:val="2"/>
                <w:sz w:val="21"/>
                <w:szCs w:val="21"/>
                <w:lang w:eastAsia="zh-CN" w:bidi="ar"/>
              </w:rPr>
              <w:t>相互混装或存在非正常一致</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与其他投标供应商的投标文件由</w:t>
            </w:r>
            <w:r>
              <w:rPr>
                <w:rFonts w:ascii="宋体" w:hAnsi="宋体" w:cs="宋体" w:hint="eastAsia"/>
                <w:b/>
                <w:bCs/>
                <w:color w:val="FF0000"/>
                <w:kern w:val="2"/>
                <w:sz w:val="21"/>
                <w:szCs w:val="21"/>
                <w:lang w:eastAsia="zh-CN" w:bidi="ar"/>
              </w:rPr>
              <w:t>同一单位或者同一人编制</w:t>
            </w:r>
            <w:r>
              <w:rPr>
                <w:rFonts w:ascii="宋体" w:hAnsi="宋体" w:cs="宋体" w:hint="eastAsia"/>
                <w:color w:val="FF0000"/>
                <w:kern w:val="2"/>
                <w:sz w:val="21"/>
                <w:szCs w:val="21"/>
                <w:lang w:eastAsia="zh-CN" w:bidi="ar"/>
              </w:rPr>
              <w:t>，或者使用</w:t>
            </w:r>
            <w:r>
              <w:rPr>
                <w:rFonts w:ascii="宋体" w:hAnsi="宋体" w:cs="宋体" w:hint="eastAsia"/>
                <w:b/>
                <w:bCs/>
                <w:color w:val="FF0000"/>
                <w:kern w:val="2"/>
                <w:sz w:val="21"/>
                <w:szCs w:val="21"/>
                <w:lang w:eastAsia="zh-CN" w:bidi="ar"/>
              </w:rPr>
              <w:t>同一设备编制</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提供</w:t>
            </w:r>
            <w:r>
              <w:rPr>
                <w:rFonts w:ascii="宋体" w:hAnsi="宋体" w:cs="宋体" w:hint="eastAsia"/>
                <w:b/>
                <w:bCs/>
                <w:color w:val="FF0000"/>
                <w:kern w:val="2"/>
                <w:sz w:val="21"/>
                <w:szCs w:val="21"/>
                <w:lang w:eastAsia="zh-CN" w:bidi="ar"/>
              </w:rPr>
              <w:t>未经出具机构核实</w:t>
            </w:r>
            <w:r>
              <w:rPr>
                <w:rFonts w:ascii="宋体" w:hAnsi="宋体" w:cs="宋体" w:hint="eastAsia"/>
                <w:color w:val="FF0000"/>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ind w:firstLine="420" w:firstLineChars="200"/>
        <w:jc w:val="both"/>
        <w:rPr>
          <w:rFonts w:ascii="宋体" w:eastAsia="宋体" w:hAnsi="宋体" w:cs="宋体"/>
          <w:color w:val="FF0000"/>
          <w:kern w:val="2"/>
          <w:sz w:val="21"/>
          <w:szCs w:val="21"/>
          <w:lang w:eastAsia="zh-CN"/>
        </w:rPr>
      </w:pP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一、</w:t>
      </w:r>
      <w:r>
        <w:rPr>
          <w:rFonts w:ascii="宋体" w:eastAsia="宋体" w:hAnsi="宋体" w:cs="宋体" w:hint="eastAsia"/>
          <w:b/>
          <w:bCs/>
          <w:color w:val="FF0000"/>
          <w:kern w:val="2"/>
          <w:sz w:val="21"/>
          <w:szCs w:val="21"/>
          <w:lang w:eastAsia="zh-CN" w:bidi="ar"/>
        </w:rPr>
        <w:t>《深圳经济特区政府采购条例》第五十七条</w:t>
      </w:r>
      <w:r>
        <w:rPr>
          <w:rFonts w:ascii="宋体" w:eastAsia="宋体" w:hAnsi="宋体" w:cs="宋体" w:hint="eastAsia"/>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（一）在采购活动中应当回避而未回避的；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（二）未按本条例规定签订、履行采购合同，造成严重后果的；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（三）隐瞒真实情况，提供虚假资料的；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（四）以非法手段排斥其他供应商参与竞争的；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（五）与其他采购参加人串通投标的；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（六）恶意投诉的；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（七）向采购项目相关人行贿或者提供其他不当利益的；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（八）阻碍、抗拒主管部门监督检查的；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（九）其他违反本条例规定的行为。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二、《深圳经济特区政府采购条例实施细则》第七十五条 </w:t>
      </w:r>
      <w:r>
        <w:rPr>
          <w:rFonts w:ascii="宋体" w:eastAsia="宋体" w:hAnsi="宋体" w:cs="宋体" w:hint="eastAsia"/>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三、《深圳经济特区政府采购条例实施细则》第七十七条 </w:t>
      </w:r>
      <w:r>
        <w:rPr>
          <w:rFonts w:ascii="宋体" w:eastAsia="宋体" w:hAnsi="宋体" w:cs="宋体" w:hint="eastAsia"/>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Cs/>
          <w:color w:val="FF0000"/>
          <w:kern w:val="2"/>
          <w:sz w:val="21"/>
          <w:szCs w:val="21"/>
          <w:lang w:eastAsia="zh-CN"/>
        </w:rPr>
      </w:pPr>
      <w:r>
        <w:rPr>
          <w:rFonts w:eastAsia="宋体" w:cs="宋体" w:hint="eastAsia"/>
          <w:b/>
          <w:color w:val="FF0000"/>
          <w:kern w:val="2"/>
          <w:sz w:val="21"/>
          <w:szCs w:val="21"/>
          <w:lang w:eastAsia="zh-CN" w:bidi="ar"/>
        </w:rPr>
        <w:t>四、根据《深圳经济特区政府采购条例实施细则》第七十五条规定</w:t>
      </w:r>
      <w:r>
        <w:rPr>
          <w:rFonts w:eastAsia="宋体" w:cs="宋体" w:hint="eastAsia"/>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bidi="ar"/>
        </w:rPr>
        <w:t>取消参与本市政府采购资格</w:t>
      </w:r>
      <w:r>
        <w:rPr>
          <w:rFonts w:eastAsia="宋体" w:hAnsi="宋体" w:cs="宋体" w:hint="eastAsia"/>
          <w:color w:val="FF0000"/>
          <w:kern w:val="2"/>
          <w:sz w:val="21"/>
          <w:szCs w:val="21"/>
          <w:lang w:eastAsia="zh-CN" w:bidi="ar"/>
        </w:rPr>
        <w:t>、</w:t>
      </w:r>
      <w:r>
        <w:rPr>
          <w:rFonts w:ascii="宋体" w:eastAsia="宋体" w:hAnsi="宋体" w:cs="宋体" w:hint="eastAsia"/>
          <w:color w:val="FF0000"/>
          <w:kern w:val="2"/>
          <w:sz w:val="21"/>
          <w:szCs w:val="21"/>
          <w:lang w:eastAsia="zh-CN" w:bidi="ar"/>
        </w:rPr>
        <w:t>依法吊销其营业</w:t>
      </w:r>
      <w:r>
        <w:rPr>
          <w:rFonts w:eastAsia="宋体" w:hAnsi="宋体" w:cs="宋体" w:hint="eastAsia"/>
          <w:color w:val="FF0000"/>
          <w:kern w:val="2"/>
          <w:sz w:val="21"/>
          <w:szCs w:val="21"/>
          <w:lang w:eastAsia="zh-CN" w:bidi="ar"/>
        </w:rPr>
        <w:t>执照等行政处罚，</w:t>
      </w:r>
      <w:r>
        <w:rPr>
          <w:rFonts w:ascii="宋体" w:eastAsia="宋体" w:hAnsi="宋体" w:cs="宋体" w:hint="eastAsia"/>
          <w:color w:val="FF0000"/>
          <w:kern w:val="2"/>
          <w:sz w:val="21"/>
          <w:szCs w:val="21"/>
          <w:lang w:eastAsia="zh-CN" w:bidi="ar"/>
        </w:rPr>
        <w:t>构成犯罪的，依法追究刑事责任</w:t>
      </w:r>
      <w:r>
        <w:rPr>
          <w:rFonts w:eastAsia="宋体" w:cs="宋体" w:hint="eastAsia"/>
          <w:bCs/>
          <w:color w:val="FF0000"/>
          <w:kern w:val="2"/>
          <w:sz w:val="21"/>
          <w:szCs w:val="21"/>
          <w:lang w:eastAsia="zh-CN" w:bidi="ar"/>
        </w:rPr>
        <w:t>，请各供应商独立编制、上传投标文件，妥善保管和使用电子秘钥。</w:t>
      </w:r>
    </w:p>
    <w:p>
      <w:pPr>
        <w:widowControl w:val="0"/>
        <w:ind w:firstLine="420" w:firstLineChars="200"/>
        <w:jc w:val="both"/>
        <w:rPr>
          <w:rFonts w:eastAsia="宋体"/>
          <w:kern w:val="2"/>
          <w:sz w:val="21"/>
          <w:szCs w:val="21"/>
          <w:lang w:eastAsia="zh-CN"/>
        </w:rPr>
      </w:pPr>
      <w:r>
        <w:rPr>
          <w:rFonts w:eastAsia="宋体" w:cs="宋体" w:hint="eastAsia"/>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widowControl/>
        <w:spacing w:beforeAutospacing="1" w:afterAutospacing="1"/>
        <w:jc w:val="left"/>
        <w:outlineLvl w:val="1"/>
        <w:rPr>
          <w:rFonts w:ascii="黑体" w:eastAsia="黑体" w:hAnsi="宋体" w:cs="黑体"/>
          <w:sz w:val="21"/>
          <w:szCs w:val="21"/>
          <w:lang w:eastAsia="zh-CN"/>
        </w:rPr>
      </w:pPr>
      <w:r>
        <w:rPr>
          <w:rFonts w:eastAsia="宋体" w:cs="宋体" w:hint="eastAsia"/>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ascii="方正小标宋简体" w:eastAsia="方正小标宋简体" w:hAnsi="方正小标宋简体" w:cs="方正小标宋简体"/>
          <w:bCs/>
          <w:color w:val="000000"/>
          <w:kern w:val="2"/>
          <w:sz w:val="21"/>
          <w:szCs w:val="21"/>
          <w:lang w:eastAsia="zh-CN"/>
        </w:rPr>
      </w:pPr>
      <w:r>
        <w:rPr>
          <w:rFonts w:ascii="方正小标宋简体" w:eastAsia="方正小标宋简体" w:hAnsi="方正小标宋简体" w:cs="方正小标宋简体" w:hint="eastAsia"/>
          <w:bCs/>
          <w:color w:val="000000"/>
          <w:kern w:val="2"/>
          <w:sz w:val="21"/>
          <w:szCs w:val="21"/>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012"/>
        <w:gridCol w:w="6149"/>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558" w:type="dxa"/>
            <w:vAlign w:val="center"/>
          </w:tcPr>
          <w:p>
            <w:pPr>
              <w:widowControl/>
              <w:jc w:val="left"/>
              <w:rPr>
                <w:rFonts w:eastAsia="宋体"/>
                <w:kern w:val="2"/>
                <w:sz w:val="30"/>
                <w:szCs w:val="30"/>
                <w:lang w:eastAsia="zh-CN"/>
              </w:rPr>
            </w:pPr>
            <w:r>
              <w:rPr>
                <w:rFonts w:eastAsia="宋体" w:hint="eastAsia"/>
                <w:kern w:val="2"/>
                <w:sz w:val="30"/>
                <w:szCs w:val="30"/>
                <w:lang w:eastAsia="zh-CN"/>
              </w:rPr>
              <w:t>SZZXCG-2025-00284</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558" w:type="dxa"/>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bidi="ar"/>
              </w:rPr>
              <w:t>深圳河套学院类脑计算视觉开发套件项目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55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558" w:type="dxa"/>
            <w:vAlign w:val="center"/>
          </w:tcPr>
          <w:p>
            <w:pPr>
              <w:widowControl/>
              <w:jc w:val="left"/>
              <w:rPr>
                <w:rFonts w:eastAsia="宋体"/>
                <w:kern w:val="2"/>
                <w:sz w:val="30"/>
                <w:szCs w:val="30"/>
                <w:lang w:eastAsia="zh-CN"/>
              </w:rPr>
            </w:pPr>
            <w:r>
              <w:rPr>
                <w:rFonts w:eastAsia="宋体"/>
                <w:kern w:val="2"/>
                <w:sz w:val="30"/>
                <w:szCs w:val="30"/>
                <w:lang w:eastAsia="zh-CN"/>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55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558"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558" w:type="dxa"/>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beforeAutospacing="1" w:afterAutospacing="1"/>
        <w:jc w:val="center"/>
        <w:outlineLvl w:val="1"/>
        <w:rPr>
          <w:rFonts w:ascii="黑体" w:eastAsia="黑体" w:hAnsi="黑体"/>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黑体" w:eastAsia="黑体" w:hAnsi="黑体"/>
          <w:sz w:val="40"/>
          <w:szCs w:val="40"/>
          <w:lang w:eastAsia="zh-CN"/>
        </w:rPr>
      </w:pPr>
      <w:r>
        <w:rPr>
          <w:rFonts w:ascii="黑体" w:eastAsia="黑体" w:hAnsi="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6"/>
        <w:gridCol w:w="854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25" w:type="dxa"/>
            <w:tcBorders>
              <w:top w:val="single" w:sz="8" w:space="0" w:color="000000"/>
              <w:left w:val="single" w:sz="8" w:space="0" w:color="000000"/>
              <w:bottom w:val="single" w:sz="8" w:space="0" w:color="000000"/>
              <w:right w:val="single" w:sz="8" w:space="0" w:color="000000"/>
            </w:tcBorders>
            <w:shd w:val="clear" w:color="auto" w:fill="E6EFFA"/>
            <w:vAlign w:val="top"/>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序号</w:t>
            </w:r>
          </w:p>
        </w:tc>
        <w:tc>
          <w:tcPr>
            <w:tcW w:w="8295"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25" w:type="dxa"/>
            <w:tcBorders>
              <w:top w:val="single" w:sz="8" w:space="0" w:color="000000"/>
              <w:left w:val="single" w:sz="8" w:space="0" w:color="000000"/>
              <w:bottom w:val="single" w:sz="8" w:space="0" w:color="000000"/>
              <w:right w:val="single" w:sz="8" w:space="0" w:color="000000"/>
            </w:tcBorders>
            <w:vAlign w:val="top"/>
          </w:tcPr>
          <w:p>
            <w:pPr>
              <w:widowControl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8295"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beforeAutospacing="1" w:afterAutospacing="1"/>
        <w:jc w:val="center"/>
        <w:outlineLvl w:val="1"/>
        <w:rPr>
          <w:rFonts w:ascii="黑体" w:eastAsia="黑体" w:hAnsi="黑体"/>
          <w:sz w:val="40"/>
          <w:szCs w:val="40"/>
          <w:lang w:eastAsia="zh-CN"/>
        </w:rPr>
      </w:pPr>
      <w:r>
        <w:rPr>
          <w:rFonts w:ascii="黑体" w:eastAsia="黑体" w:hAnsi="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2"/>
        <w:gridCol w:w="859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E6EFFA"/>
          </w:tcPr>
          <w:p>
            <w:pPr>
              <w:widowControl/>
              <w:jc w:val="center"/>
              <w:rPr>
                <w:rFonts w:ascii="宋体" w:eastAsia="宋体" w:hAnsi="宋体" w:cs="宋体"/>
                <w:sz w:val="21"/>
                <w:szCs w:val="21"/>
                <w:lang w:eastAsia="zh-CN"/>
              </w:rPr>
            </w:pPr>
            <w:r>
              <w:rPr>
                <w:rFonts w:ascii="宋体" w:eastAsia="宋体" w:hAnsi="宋体" w:cs="宋体"/>
                <w:sz w:val="21"/>
                <w:szCs w:val="21"/>
                <w:lang w:eastAsia="zh-CN"/>
              </w:rPr>
              <w:t>序号</w:t>
            </w:r>
          </w:p>
        </w:tc>
        <w:tc>
          <w:tcPr>
            <w:tcW w:w="8386"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5</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6</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7</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8</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9</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投标文件用不属于本公司的电子密钥进行加密；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法律、法规、规章、规范性文件规定的其他情形。</w:t>
            </w:r>
          </w:p>
        </w:tc>
      </w:tr>
    </w:tbl>
    <w:p>
      <w:pPr>
        <w:widowControl w:val="0"/>
        <w:spacing w:beforeAutospacing="1" w:afterAutospacing="1"/>
        <w:jc w:val="center"/>
        <w:outlineLvl w:val="1"/>
        <w:rPr>
          <w:rFonts w:ascii="黑体" w:eastAsia="黑体" w:hAnsi="黑体"/>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黑体" w:eastAsia="黑体" w:hAnsi="黑体"/>
          <w:sz w:val="40"/>
          <w:szCs w:val="40"/>
          <w:lang w:eastAsia="zh-CN"/>
        </w:rPr>
      </w:pPr>
      <w:r>
        <w:rPr>
          <w:rFonts w:ascii="黑体" w:eastAsia="黑体" w:hAnsi="黑体" w:hint="eastAsia"/>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9181"/>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vAlign w:val="center"/>
          </w:tcPr>
          <w:p>
            <w:pPr>
              <w:widowControl/>
              <w:jc w:val="left"/>
              <w:rPr>
                <w:rFonts w:ascii="宋体" w:eastAsia="宋体" w:hAnsi="宋体"/>
                <w:b/>
                <w:bCs/>
                <w:kern w:val="2"/>
                <w:lang w:eastAsia="zh-CN"/>
              </w:rPr>
            </w:pPr>
            <w:r>
              <w:rPr>
                <w:rFonts w:ascii="宋体" w:eastAsia="宋体" w:hAnsi="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vAlign w:val="center"/>
          </w:tcPr>
          <w:p>
            <w:pPr>
              <w:widowControl w:val="0"/>
              <w:ind w:firstLine="420"/>
              <w:jc w:val="both"/>
              <w:rPr>
                <w:rFonts w:ascii="宋体" w:eastAsia="宋体" w:hAnsi="宋体"/>
                <w:kern w:val="2"/>
                <w:sz w:val="21"/>
                <w:szCs w:val="21"/>
                <w:lang w:eastAsia="zh-CN"/>
              </w:rPr>
            </w:pPr>
            <w:r>
              <w:rPr>
                <w:rFonts w:ascii="宋体" w:eastAsia="宋体" w:hAnsi="宋体"/>
                <w:kern w:val="2"/>
                <w:sz w:val="21"/>
                <w:szCs w:val="21"/>
                <w:lang w:eastAsia="zh-CN"/>
              </w:rPr>
              <w:t>综合评分法，是指</w:t>
            </w:r>
            <w:r>
              <w:rPr>
                <w:rFonts w:ascii="宋体" w:eastAsia="宋体" w:hAnsi="宋体" w:hint="eastAsia"/>
                <w:sz w:val="21"/>
                <w:szCs w:val="21"/>
                <w:lang w:eastAsia="zh-CN"/>
              </w:rPr>
              <w:t>投标文件满足招标文件全部实质性要求</w:t>
            </w:r>
            <w:r>
              <w:rPr>
                <w:rFonts w:ascii="宋体" w:eastAsia="宋体" w:hAnsi="宋体"/>
                <w:kern w:val="2"/>
                <w:sz w:val="21"/>
                <w:szCs w:val="21"/>
                <w:lang w:eastAsia="zh-CN"/>
              </w:rPr>
              <w:t>，且按照</w:t>
            </w:r>
            <w:r>
              <w:rPr>
                <w:rFonts w:ascii="宋体" w:eastAsia="宋体" w:hAnsi="宋体" w:hint="eastAsia"/>
                <w:kern w:val="2"/>
                <w:sz w:val="21"/>
                <w:szCs w:val="21"/>
                <w:lang w:eastAsia="zh-CN"/>
              </w:rPr>
              <w:t>招标文件规定的各项因素进行综合评审，评标总得分排名前列</w:t>
            </w:r>
            <w:r>
              <w:rPr>
                <w:rFonts w:ascii="宋体" w:eastAsia="宋体" w:hAnsi="宋体"/>
                <w:kern w:val="2"/>
                <w:sz w:val="21"/>
                <w:szCs w:val="21"/>
                <w:lang w:eastAsia="zh-CN"/>
              </w:rPr>
              <w:t>的投标人为中标候选人的评标方法。</w:t>
            </w:r>
          </w:p>
          <w:p>
            <w:pPr>
              <w:widowControl w:val="0"/>
              <w:ind w:firstLine="420"/>
              <w:jc w:val="both"/>
              <w:rPr>
                <w:rFonts w:ascii="宋体" w:eastAsia="宋体" w:hAnsi="宋体"/>
                <w:kern w:val="2"/>
                <w:sz w:val="21"/>
                <w:szCs w:val="21"/>
                <w:lang w:eastAsia="zh-CN"/>
              </w:rPr>
            </w:pPr>
          </w:p>
          <w:p>
            <w:pPr>
              <w:widowControl w:val="0"/>
              <w:ind w:firstLine="420"/>
              <w:jc w:val="both"/>
              <w:rPr>
                <w:rFonts w:ascii="宋体" w:eastAsia="宋体" w:hAnsi="宋体"/>
                <w:kern w:val="2"/>
                <w:sz w:val="21"/>
                <w:szCs w:val="21"/>
                <w:lang w:eastAsia="zh-CN"/>
              </w:rPr>
            </w:pPr>
            <w:r>
              <w:rPr>
                <w:rFonts w:ascii="宋体" w:eastAsia="宋体" w:hAnsi="宋体"/>
                <w:kern w:val="2"/>
                <w:sz w:val="21"/>
                <w:szCs w:val="21"/>
                <w:lang w:eastAsia="zh-CN"/>
              </w:rPr>
              <w:t>价格分计算方法：</w:t>
            </w:r>
          </w:p>
          <w:p>
            <w:pPr>
              <w:widowControl/>
              <w:ind w:left="420"/>
              <w:jc w:val="left"/>
              <w:rPr>
                <w:rFonts w:ascii="宋体" w:eastAsia="宋体" w:hAnsi="宋体"/>
                <w:kern w:val="2"/>
                <w:sz w:val="21"/>
                <w:szCs w:val="21"/>
                <w:lang w:eastAsia="zh-CN"/>
              </w:rPr>
            </w:pPr>
            <w:r>
              <w:rPr>
                <w:rFonts w:ascii="宋体" w:eastAsia="宋体" w:hAnsi="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kern w:val="2"/>
                <w:sz w:val="21"/>
                <w:szCs w:val="21"/>
                <w:lang w:eastAsia="zh-CN"/>
              </w:rPr>
              <w:br/>
            </w:r>
            <w:r>
              <w:rPr>
                <w:rFonts w:ascii="宋体" w:eastAsia="宋体" w:hAnsi="宋体"/>
                <w:kern w:val="2"/>
                <w:sz w:val="21"/>
                <w:szCs w:val="21"/>
                <w:lang w:eastAsia="zh-CN"/>
              </w:rPr>
              <w:t xml:space="preserve">投标报价得分=(评标基准价／投标报价)×100 </w:t>
            </w:r>
            <w:r>
              <w:rPr>
                <w:rFonts w:ascii="宋体" w:eastAsia="宋体" w:hAnsi="宋体"/>
                <w:kern w:val="2"/>
                <w:sz w:val="21"/>
                <w:szCs w:val="21"/>
                <w:lang w:eastAsia="zh-CN"/>
              </w:rPr>
              <w:br/>
            </w:r>
            <w:r>
              <w:rPr>
                <w:rFonts w:ascii="宋体" w:eastAsia="宋体" w:hAnsi="宋体"/>
                <w:kern w:val="2"/>
                <w:sz w:val="21"/>
                <w:szCs w:val="21"/>
                <w:lang w:eastAsia="zh-CN"/>
              </w:rPr>
              <w:t xml:space="preserve">评标总得分＝F1×A1＋F2×A2＋……＋Fn×An </w:t>
            </w:r>
            <w:r>
              <w:rPr>
                <w:rFonts w:ascii="宋体" w:eastAsia="宋体" w:hAnsi="宋体"/>
                <w:kern w:val="2"/>
                <w:sz w:val="21"/>
                <w:szCs w:val="21"/>
                <w:lang w:eastAsia="zh-CN"/>
              </w:rPr>
              <w:br/>
            </w:r>
            <w:r>
              <w:rPr>
                <w:rFonts w:ascii="宋体" w:eastAsia="宋体" w:hAnsi="宋体"/>
                <w:kern w:val="2"/>
                <w:sz w:val="21"/>
                <w:szCs w:val="21"/>
                <w:lang w:eastAsia="zh-CN"/>
              </w:rPr>
              <w:t xml:space="preserve">F1、F2……Fn分别为各项评审因素的得分； </w:t>
            </w:r>
            <w:r>
              <w:rPr>
                <w:rFonts w:ascii="宋体" w:eastAsia="宋体" w:hAnsi="宋体"/>
                <w:kern w:val="2"/>
                <w:sz w:val="21"/>
                <w:szCs w:val="21"/>
                <w:lang w:eastAsia="zh-CN"/>
              </w:rPr>
              <w:br/>
            </w:r>
            <w:r>
              <w:rPr>
                <w:rFonts w:ascii="宋体" w:eastAsia="宋体" w:hAnsi="宋体"/>
                <w:kern w:val="2"/>
                <w:sz w:val="21"/>
                <w:szCs w:val="21"/>
                <w:lang w:eastAsia="zh-CN"/>
              </w:rPr>
              <w:t xml:space="preserve">A1、A2、……An 分别为各项评审因素所占的权重(A1＋A2＋……＋An＝1)。 </w:t>
            </w:r>
            <w:r>
              <w:rPr>
                <w:rFonts w:ascii="宋体" w:eastAsia="宋体" w:hAnsi="宋体"/>
                <w:kern w:val="2"/>
                <w:sz w:val="21"/>
                <w:szCs w:val="21"/>
                <w:lang w:eastAsia="zh-CN"/>
              </w:rPr>
              <w:br/>
            </w:r>
            <w:r>
              <w:rPr>
                <w:rFonts w:ascii="宋体" w:eastAsia="宋体" w:hAnsi="宋体"/>
                <w:kern w:val="2"/>
                <w:sz w:val="21"/>
                <w:szCs w:val="21"/>
                <w:lang w:eastAsia="zh-CN"/>
              </w:rPr>
              <w:t>评标过程中，不得去掉报价中的最高报价和最低报价。</w:t>
            </w:r>
          </w:p>
          <w:p>
            <w:pPr>
              <w:widowControl/>
              <w:ind w:left="420"/>
              <w:jc w:val="left"/>
              <w:rPr>
                <w:rFonts w:ascii="宋体" w:eastAsia="宋体" w:hAnsi="宋体"/>
                <w:kern w:val="2"/>
                <w:sz w:val="21"/>
                <w:szCs w:val="21"/>
                <w:lang w:eastAsia="zh-CN"/>
              </w:rPr>
            </w:pPr>
            <w:r>
              <w:rPr>
                <w:rFonts w:ascii="宋体" w:eastAsia="宋体" w:hAnsi="宋体" w:hint="eastAsia"/>
                <w:kern w:val="2"/>
                <w:sz w:val="21"/>
                <w:szCs w:val="21"/>
                <w:lang w:eastAsia="zh-CN"/>
              </w:rPr>
              <w:t>因落实政府采购政策进行价格调整的，以调整后的价格计算评标基准价和投标报价。</w:t>
            </w:r>
          </w:p>
          <w:p>
            <w:pPr>
              <w:widowControl/>
              <w:ind w:left="420"/>
              <w:jc w:val="left"/>
              <w:rPr>
                <w:rFonts w:ascii="宋体" w:eastAsia="宋体" w:hAnsi="宋体"/>
                <w:lang w:eastAsia="zh-CN"/>
              </w:rPr>
            </w:pPr>
          </w:p>
          <w:p>
            <w:pPr>
              <w:widowControl w:val="0"/>
              <w:spacing w:line="360" w:lineRule="auto"/>
              <w:jc w:val="both"/>
              <w:rPr>
                <w:rFonts w:ascii="宋体" w:eastAsia="宋体" w:hAnsi="宋体"/>
                <w:b/>
                <w:bCs/>
                <w:kern w:val="2"/>
                <w:lang w:eastAsia="zh-CN"/>
              </w:rPr>
            </w:pPr>
            <w:r>
              <w:rPr>
                <w:rFonts w:ascii="宋体" w:eastAsia="宋体" w:hAnsi="宋体" w:hint="eastAsia"/>
                <w:b/>
                <w:bCs/>
                <w:kern w:val="2"/>
                <w:sz w:val="22"/>
                <w:lang w:eastAsia="zh-CN"/>
              </w:rPr>
              <w:t>注：投标人的“投标技术响应”“技术要求偏离表中偏离情况”等必须与客观实际保持一致，响应不实且情节严重的，经查实，将依法记入供应商诚信档案或受到行政处罚。</w:t>
            </w:r>
          </w:p>
        </w:tc>
      </w:tr>
    </w:tbl>
    <w:tbl>
      <w:tblPr>
        <w:tblStyle w:val="TableNormal"/>
        <w:tblpPr w:leftFromText="180" w:rightFromText="180" w:vertAnchor="text" w:tblpXSpec="center" w:tblpY="1"/>
        <w:tblOverlap w:val="never"/>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9"/>
        <w:gridCol w:w="428"/>
        <w:gridCol w:w="1865"/>
        <w:gridCol w:w="740"/>
        <w:gridCol w:w="776"/>
        <w:gridCol w:w="4749"/>
      </w:tblGrid>
      <w:tr>
        <w:tblPrEx>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评分项</w:t>
            </w:r>
          </w:p>
        </w:tc>
        <w:tc>
          <w:tcPr>
            <w:tcW w:w="4618" w:type="dxa"/>
            <w:vAlign w:val="center"/>
          </w:tcPr>
          <w:p>
            <w:pPr>
              <w:widowControl w:val="0"/>
              <w:jc w:val="center"/>
              <w:rPr>
                <w:rFonts w:ascii="宋体" w:eastAsia="宋体" w:hAnsi="宋体"/>
                <w:b/>
                <w:bCs/>
                <w:kern w:val="2"/>
                <w:sz w:val="21"/>
                <w:szCs w:val="21"/>
                <w:lang w:eastAsia="zh-CN"/>
              </w:rPr>
            </w:pPr>
            <w:r>
              <w:rPr>
                <w:rFonts w:ascii="宋体" w:eastAsia="宋体" w:hAnsi="宋体" w:cs="宋体" w:hint="eastAsia"/>
                <w:b/>
                <w:bCs/>
                <w:kern w:val="2"/>
                <w:sz w:val="21"/>
                <w:szCs w:val="21"/>
                <w:lang w:eastAsia="zh-CN"/>
              </w:rPr>
              <w:t>权重</w:t>
            </w:r>
            <w:r>
              <w:rPr>
                <w:rFonts w:eastAsia="宋体" w:hint="eastAsia"/>
                <w:b/>
                <w:bCs/>
                <w:kern w:val="2"/>
                <w:sz w:val="21"/>
                <w:lang w:eastAsia="zh-CN"/>
              </w:rPr>
              <w:t>（%）</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b/>
                <w:bCs/>
                <w:kern w:val="2"/>
                <w:sz w:val="21"/>
                <w:szCs w:val="21"/>
                <w:lang w:eastAsia="zh-CN"/>
              </w:rPr>
              <w:t>1</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价格</w:t>
            </w:r>
          </w:p>
        </w:tc>
        <w:tc>
          <w:tcPr>
            <w:tcW w:w="4618" w:type="dxa"/>
            <w:vAlign w:val="center"/>
          </w:tcPr>
          <w:p>
            <w:pPr>
              <w:widowControl w:val="0"/>
              <w:jc w:val="center"/>
              <w:rPr>
                <w:rFonts w:ascii="宋体" w:eastAsia="宋体" w:hAnsi="宋体"/>
                <w:b/>
                <w:bCs/>
                <w:kern w:val="2"/>
                <w:sz w:val="21"/>
                <w:szCs w:val="21"/>
                <w:lang w:eastAsia="zh-CN"/>
              </w:rPr>
            </w:pPr>
            <w:r>
              <w:rPr>
                <w:rFonts w:ascii="宋体" w:eastAsia="宋体" w:hAnsi="宋体"/>
                <w:b/>
                <w:bCs/>
                <w:kern w:val="2"/>
                <w:sz w:val="21"/>
                <w:szCs w:val="21"/>
                <w:lang w:eastAsia="zh-CN"/>
              </w:rPr>
              <w:t>30</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b/>
                <w:bCs/>
                <w:kern w:val="2"/>
                <w:sz w:val="21"/>
                <w:szCs w:val="21"/>
                <w:lang w:eastAsia="zh-CN"/>
              </w:rPr>
              <w:t>2</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技术部分</w:t>
            </w:r>
          </w:p>
        </w:tc>
        <w:tc>
          <w:tcPr>
            <w:tcW w:w="4618" w:type="dxa"/>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53</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restart"/>
            <w:vAlign w:val="center"/>
          </w:tcPr>
          <w:p>
            <w:pPr>
              <w:widowControl w:val="0"/>
              <w:jc w:val="center"/>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4618"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ign w:val="center"/>
          </w:tcPr>
          <w:p>
            <w:pPr>
              <w:widowControl w:val="0"/>
              <w:jc w:val="center"/>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技术保障措施</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专家打分</w:t>
            </w:r>
          </w:p>
        </w:tc>
        <w:tc>
          <w:tcPr>
            <w:tcW w:w="4618" w:type="dxa"/>
            <w:vAlign w:val="center"/>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在投标文件中投标人需提供以下3项技术保障措施，包括：</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1.系统</w:t>
            </w:r>
            <w:r>
              <w:rPr>
                <w:rFonts w:eastAsia="宋体"/>
                <w:kern w:val="2"/>
                <w:sz w:val="21"/>
                <w:lang w:eastAsia="zh-CN"/>
              </w:rPr>
              <w:t>集</w:t>
            </w:r>
            <w:r>
              <w:rPr>
                <w:rFonts w:ascii="PMingLiU" w:eastAsia="PMingLiU" w:hAnsi="PMingLiU" w:cs="PMingLiU" w:hint="eastAsia"/>
                <w:kern w:val="2"/>
                <w:sz w:val="21"/>
                <w:lang w:eastAsia="zh-CN"/>
              </w:rPr>
              <w:t>成</w:t>
            </w:r>
            <w:r>
              <w:rPr>
                <w:rFonts w:ascii="宋体" w:eastAsia="宋体" w:hAnsi="宋体" w:cs="PMingLiU" w:hint="eastAsia"/>
                <w:kern w:val="2"/>
                <w:sz w:val="21"/>
                <w:lang w:eastAsia="zh-CN"/>
              </w:rPr>
              <w:t>方案</w:t>
            </w:r>
            <w:r>
              <w:rPr>
                <w:rFonts w:ascii="宋体" w:eastAsia="宋体" w:hAnsi="宋体" w:hint="eastAsia"/>
                <w:kern w:val="2"/>
                <w:sz w:val="21"/>
                <w:szCs w:val="21"/>
                <w:lang w:eastAsia="zh-CN"/>
              </w:rPr>
              <w:t>：说明类脑计算视觉开发套件的系统集成方案，包括脉冲动态视觉传感器（DVS）与FPGA开发板之间的通信方式、接口规范及软硬件兼容性保障措施。</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2.开发资源支持：提供FPGA平台所配套的软件开发资源，如SDK、BSP、驱动程序、API接口文档、开发示例代码等，并说明对主流开发工具链的支持情况。</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3.实施计划：提供项目整体实施进度安排，包含各阶段目标、工作内容、人员分工、交付计划、培训服务安排及风险应对措施等。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1．提供保障措施3项的，得100分；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2．提供保障措施任意2项的，得60分；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3．提供保障措施任意1项的，得30分；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4．提供保障措施0项的，不得分；</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cs="宋体" w:hint="eastAsia"/>
                <w:sz w:val="21"/>
                <w:szCs w:val="21"/>
                <w:lang w:eastAsia="zh-CN"/>
              </w:rPr>
              <w:t>技术要求偏离情况</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50</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专家打分</w:t>
            </w:r>
          </w:p>
        </w:tc>
        <w:tc>
          <w:tcPr>
            <w:tcW w:w="4618" w:type="dxa"/>
            <w:vAlign w:val="center"/>
          </w:tcPr>
          <w:p>
            <w:pPr>
              <w:widowControl/>
              <w:jc w:val="left"/>
              <w:rPr>
                <w:rFonts w:ascii="宋体" w:eastAsia="宋体" w:hAnsi="宋体" w:cs="宋体"/>
                <w:sz w:val="21"/>
                <w:szCs w:val="21"/>
                <w:lang w:eastAsia="zh-CN"/>
              </w:rPr>
            </w:pPr>
            <w:r>
              <w:rPr>
                <w:rFonts w:ascii="宋体" w:eastAsia="宋体" w:hAnsi="宋体" w:cs="宋体" w:hint="eastAsia"/>
                <w:sz w:val="21"/>
                <w:szCs w:val="21"/>
                <w:lang w:eastAsia="zh-CN"/>
              </w:rPr>
              <w:t>（一）评分内容：</w:t>
            </w:r>
          </w:p>
          <w:p>
            <w:pPr>
              <w:widowControl/>
              <w:jc w:val="left"/>
              <w:rPr>
                <w:rFonts w:ascii="宋体" w:eastAsia="宋体" w:hAnsi="宋体" w:cs="宋体"/>
                <w:sz w:val="21"/>
                <w:szCs w:val="21"/>
                <w:lang w:eastAsia="zh-CN"/>
              </w:rPr>
            </w:pPr>
            <w:r>
              <w:rPr>
                <w:rFonts w:ascii="宋体" w:eastAsia="宋体" w:hAnsi="宋体" w:cs="宋体" w:hint="eastAsia"/>
                <w:sz w:val="21"/>
                <w:szCs w:val="21"/>
                <w:lang w:eastAsia="zh-CN"/>
              </w:rPr>
              <w:t>投标人应如实填写《技术要求偏离表》，评审委员会根据技术需求参数响应情况进行打分。</w:t>
            </w:r>
          </w:p>
          <w:p>
            <w:pPr>
              <w:widowControl/>
              <w:jc w:val="left"/>
              <w:rPr>
                <w:rFonts w:ascii="宋体" w:eastAsia="宋体" w:hAnsi="宋体" w:cs="宋体"/>
                <w:sz w:val="21"/>
                <w:szCs w:val="21"/>
                <w:lang w:eastAsia="zh-CN"/>
              </w:rPr>
            </w:pPr>
            <w:r>
              <w:rPr>
                <w:rFonts w:ascii="宋体" w:eastAsia="宋体" w:hAnsi="宋体" w:cs="宋体" w:hint="eastAsia"/>
                <w:sz w:val="21"/>
                <w:szCs w:val="21"/>
                <w:lang w:eastAsia="zh-CN"/>
              </w:rPr>
              <w:t>（二）评分依据：</w:t>
            </w:r>
          </w:p>
          <w:p>
            <w:pPr>
              <w:widowControl/>
              <w:jc w:val="left"/>
              <w:rPr>
                <w:rFonts w:eastAsia="宋体" w:cs="宋体"/>
                <w:kern w:val="2"/>
                <w:sz w:val="21"/>
                <w:szCs w:val="21"/>
                <w:lang w:eastAsia="zh-CN"/>
              </w:rPr>
            </w:pPr>
            <w:r>
              <w:rPr>
                <w:rFonts w:ascii="宋体" w:eastAsia="宋体" w:hAnsi="宋体" w:cs="宋体" w:hint="eastAsia"/>
                <w:sz w:val="21"/>
                <w:szCs w:val="21"/>
                <w:lang w:eastAsia="zh-CN"/>
              </w:rPr>
              <w:t>各项技术参数指标及要求全部满足的得100分，所有标注“▲”的重要参数每负偏离一项扣12分，一般参数每负偏离一项扣</w:t>
            </w:r>
            <w:r>
              <w:rPr>
                <w:rFonts w:ascii="宋体" w:eastAsia="宋体" w:hAnsi="宋体" w:cs="宋体"/>
                <w:sz w:val="21"/>
                <w:szCs w:val="21"/>
                <w:lang w:eastAsia="zh-CN"/>
              </w:rPr>
              <w:t>8</w:t>
            </w:r>
            <w:r>
              <w:rPr>
                <w:rFonts w:ascii="宋体" w:eastAsia="宋体" w:hAnsi="宋体" w:cs="宋体" w:hint="eastAsia"/>
                <w:sz w:val="21"/>
                <w:szCs w:val="21"/>
                <w:lang w:eastAsia="zh-CN"/>
              </w:rPr>
              <w:t>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b/>
                <w:bCs/>
                <w:kern w:val="2"/>
                <w:sz w:val="21"/>
                <w:szCs w:val="21"/>
                <w:lang w:eastAsia="zh-CN"/>
              </w:rPr>
              <w:t>3</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商务部分</w:t>
            </w:r>
          </w:p>
        </w:tc>
        <w:tc>
          <w:tcPr>
            <w:tcW w:w="4618" w:type="dxa"/>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10</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restart"/>
            <w:vAlign w:val="center"/>
          </w:tcPr>
          <w:p>
            <w:pPr>
              <w:keepNext/>
              <w:keepLines/>
              <w:widowControl w:val="0"/>
              <w:jc w:val="center"/>
              <w:outlineLvl w:val="0"/>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4618"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ign w:val="center"/>
          </w:tcPr>
          <w:p>
            <w:pPr>
              <w:keepNext/>
              <w:keepLines/>
              <w:widowControl w:val="0"/>
              <w:jc w:val="center"/>
              <w:outlineLvl w:val="0"/>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保修期内售后服务条款偏离情况</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5</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4618" w:type="dxa"/>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投标人应如实填写《商务要求偏离表（保修期内售后服务要求）》，评审委员会根据响应情况进行打分。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eastAsia="宋体" w:cs="宋体"/>
                <w:kern w:val="2"/>
                <w:sz w:val="21"/>
                <w:szCs w:val="21"/>
                <w:lang w:eastAsia="zh-CN"/>
              </w:rPr>
            </w:pPr>
            <w:r>
              <w:rPr>
                <w:rFonts w:ascii="宋体" w:eastAsia="宋体" w:hAnsi="宋体" w:cs="宋体" w:hint="eastAsia"/>
                <w:kern w:val="2"/>
                <w:sz w:val="21"/>
                <w:szCs w:val="21"/>
                <w:lang w:eastAsia="zh-CN"/>
              </w:rPr>
              <w:t>全部满足要求的得100分，每负偏离一项扣50分，扣完为止。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2</w:t>
            </w:r>
          </w:p>
        </w:tc>
        <w:tc>
          <w:tcPr>
            <w:tcW w:w="181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保修期外售后服务条款偏离情况</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2</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4618" w:type="dxa"/>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投标人应如实填写《商务要求偏离表（保修期外售后服务要求）》，评审委员会根据响应情况进行打分。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eastAsia="宋体" w:cs="宋体"/>
                <w:kern w:val="2"/>
                <w:sz w:val="21"/>
                <w:szCs w:val="21"/>
                <w:lang w:eastAsia="zh-CN"/>
              </w:rPr>
            </w:pPr>
            <w:r>
              <w:rPr>
                <w:rFonts w:ascii="宋体" w:eastAsia="宋体" w:hAnsi="宋体" w:cs="宋体" w:hint="eastAsia"/>
                <w:kern w:val="2"/>
                <w:sz w:val="21"/>
                <w:szCs w:val="21"/>
                <w:lang w:eastAsia="zh-CN"/>
              </w:rPr>
              <w:t>全部满足要求的得100分，每负偏离一项扣100分，扣完为止。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3</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其他商务条款偏离情况</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cs="宋体"/>
                <w:kern w:val="2"/>
                <w:sz w:val="21"/>
                <w:szCs w:val="21"/>
                <w:lang w:eastAsia="zh-CN"/>
              </w:rPr>
              <w:t>3</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4618" w:type="dxa"/>
            <w:vAlign w:val="center"/>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投标人应如实填写《商务要求偏离表（其他商务要求）》，评审委员会根据响应情况进行打分。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eastAsia="宋体" w:cs="宋体"/>
                <w:kern w:val="2"/>
                <w:sz w:val="21"/>
                <w:szCs w:val="21"/>
                <w:lang w:eastAsia="zh-CN"/>
              </w:rPr>
            </w:pPr>
            <w:r>
              <w:rPr>
                <w:rFonts w:ascii="宋体" w:eastAsia="宋体" w:hAnsi="宋体" w:cs="宋体" w:hint="eastAsia"/>
                <w:kern w:val="2"/>
                <w:sz w:val="21"/>
                <w:szCs w:val="21"/>
                <w:lang w:eastAsia="zh-CN"/>
              </w:rPr>
              <w:t>全部满足要求的得100分，每负偏离一项扣25分，扣完为止。</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b/>
                <w:bCs/>
                <w:kern w:val="2"/>
                <w:sz w:val="21"/>
                <w:szCs w:val="21"/>
                <w:lang w:eastAsia="zh-CN"/>
              </w:rPr>
              <w:t>4</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综合实力</w:t>
            </w:r>
          </w:p>
        </w:tc>
        <w:tc>
          <w:tcPr>
            <w:tcW w:w="4618" w:type="dxa"/>
            <w:vAlign w:val="center"/>
          </w:tcPr>
          <w:p>
            <w:pPr>
              <w:widowControl w:val="0"/>
              <w:snapToGrid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3</w:t>
            </w:r>
          </w:p>
        </w:tc>
      </w:tr>
      <w:tr>
        <w:tblPrEx>
          <w:tblW w:w="5000" w:type="pct"/>
          <w:tblCellSpacing w:w="0" w:type="dxa"/>
          <w:tblInd w:w="0" w:type="dxa"/>
          <w:tblLayout w:type="fixed"/>
          <w:tblCellMar>
            <w:top w:w="0" w:type="dxa"/>
            <w:left w:w="108" w:type="dxa"/>
            <w:bottom w:w="0" w:type="dxa"/>
            <w:right w:w="108" w:type="dxa"/>
          </w:tblCellMar>
        </w:tblPrEx>
        <w:trPr>
          <w:trHeight w:val="57"/>
          <w:tblCellSpacing w:w="0" w:type="dxa"/>
        </w:trPr>
        <w:tc>
          <w:tcPr>
            <w:tcW w:w="728" w:type="dxa"/>
            <w:vMerge w:val="restart"/>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1814"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评审因素</w:t>
            </w:r>
          </w:p>
        </w:tc>
        <w:tc>
          <w:tcPr>
            <w:tcW w:w="720"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权重（%）</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4618"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1923"/>
          <w:tblCellSpacing w:w="0" w:type="dxa"/>
        </w:trPr>
        <w:tc>
          <w:tcPr>
            <w:tcW w:w="728" w:type="dxa"/>
            <w:vMerge/>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814" w:type="dxa"/>
            <w:vAlign w:val="center"/>
          </w:tcPr>
          <w:p>
            <w:pPr>
              <w:widowControl w:val="0"/>
              <w:snapToGrid w:val="0"/>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投标人同类业绩</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专家打分</w:t>
            </w:r>
          </w:p>
        </w:tc>
        <w:tc>
          <w:tcPr>
            <w:tcW w:w="4618" w:type="dxa"/>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投标人自2020年1月1日至本项目投标截止日（以合同签订时间为准）的类脑视觉传感器类或类脑视觉开发套件相关项目同类业绩或应用或案例，提供3个即得满分，提供2个得60分，提供1个得30分，未提供的不得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投标人应在投标文件中提供每一个项目的合同和验收报告（均加盖合同甲方公章或业务章）扫描件，否则不得分。</w:t>
            </w:r>
          </w:p>
        </w:tc>
      </w:tr>
      <w:tr>
        <w:tblPrEx>
          <w:tblW w:w="5000" w:type="pct"/>
          <w:tblCellSpacing w:w="0" w:type="dxa"/>
          <w:tblInd w:w="0" w:type="dxa"/>
          <w:tblLayout w:type="fixed"/>
          <w:tblCellMar>
            <w:top w:w="0" w:type="dxa"/>
            <w:left w:w="108" w:type="dxa"/>
            <w:bottom w:w="0" w:type="dxa"/>
            <w:right w:w="108" w:type="dxa"/>
          </w:tblCellMar>
        </w:tblPrEx>
        <w:trPr>
          <w:trHeight w:val="397"/>
          <w:tblCellSpacing w:w="0" w:type="dxa"/>
        </w:trPr>
        <w:tc>
          <w:tcPr>
            <w:tcW w:w="728" w:type="dxa"/>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5</w:t>
            </w:r>
          </w:p>
        </w:tc>
        <w:tc>
          <w:tcPr>
            <w:tcW w:w="3705" w:type="dxa"/>
            <w:gridSpan w:val="4"/>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诚信情况</w:t>
            </w:r>
          </w:p>
        </w:tc>
        <w:tc>
          <w:tcPr>
            <w:tcW w:w="4618" w:type="dxa"/>
            <w:vAlign w:val="center"/>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4</w:t>
            </w:r>
          </w:p>
        </w:tc>
      </w:tr>
      <w:tr>
        <w:tblPrEx>
          <w:tblW w:w="5000" w:type="pct"/>
          <w:tblCellSpacing w:w="0" w:type="dxa"/>
          <w:tblInd w:w="0" w:type="dxa"/>
          <w:tblLayout w:type="fixed"/>
          <w:tblCellMar>
            <w:top w:w="0" w:type="dxa"/>
            <w:left w:w="108" w:type="dxa"/>
            <w:bottom w:w="0" w:type="dxa"/>
            <w:right w:w="108" w:type="dxa"/>
          </w:tblCellMar>
        </w:tblPrEx>
        <w:trPr>
          <w:trHeight w:val="287"/>
          <w:tblCellSpacing w:w="0" w:type="dxa"/>
        </w:trPr>
        <w:tc>
          <w:tcPr>
            <w:tcW w:w="728" w:type="dxa"/>
            <w:vMerge w:val="restart"/>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序号</w:t>
            </w:r>
          </w:p>
        </w:tc>
        <w:tc>
          <w:tcPr>
            <w:tcW w:w="1814" w:type="dxa"/>
            <w:vAlign w:val="center"/>
          </w:tcPr>
          <w:p>
            <w:pPr>
              <w:widowControl w:val="0"/>
              <w:snapToGrid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评审因素</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权重（%）</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评分方式</w:t>
            </w:r>
          </w:p>
        </w:tc>
        <w:tc>
          <w:tcPr>
            <w:tcW w:w="4618"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评分准则</w:t>
            </w:r>
          </w:p>
        </w:tc>
      </w:tr>
      <w:tr>
        <w:tblPrEx>
          <w:tblW w:w="5000" w:type="pct"/>
          <w:tblCellSpacing w:w="0" w:type="dxa"/>
          <w:tblInd w:w="0" w:type="dxa"/>
          <w:tblLayout w:type="fixed"/>
          <w:tblCellMar>
            <w:top w:w="0" w:type="dxa"/>
            <w:left w:w="108" w:type="dxa"/>
            <w:bottom w:w="0" w:type="dxa"/>
            <w:right w:w="108" w:type="dxa"/>
          </w:tblCellMar>
        </w:tblPrEx>
        <w:trPr>
          <w:trHeight w:val="1923"/>
          <w:tblCellSpacing w:w="0" w:type="dxa"/>
        </w:trPr>
        <w:tc>
          <w:tcPr>
            <w:tcW w:w="728" w:type="dxa"/>
            <w:vMerge/>
            <w:vAlign w:val="center"/>
          </w:tcPr>
          <w:p>
            <w:pPr>
              <w:keepNext/>
              <w:keepLines/>
              <w:widowControl w:val="0"/>
              <w:jc w:val="center"/>
              <w:outlineLvl w:val="2"/>
              <w:rPr>
                <w:rFonts w:ascii="宋体" w:eastAsia="宋体" w:hAnsi="宋体"/>
                <w:kern w:val="2"/>
                <w:sz w:val="21"/>
                <w:szCs w:val="21"/>
                <w:lang w:eastAsia="zh-CN"/>
              </w:rPr>
            </w:pPr>
          </w:p>
        </w:tc>
        <w:tc>
          <w:tcPr>
            <w:tcW w:w="416"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1814" w:type="dxa"/>
            <w:vAlign w:val="center"/>
          </w:tcPr>
          <w:p>
            <w:pPr>
              <w:widowControl w:val="0"/>
              <w:snapToGrid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诚信</w:t>
            </w:r>
          </w:p>
        </w:tc>
        <w:tc>
          <w:tcPr>
            <w:tcW w:w="720"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755"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专家评分</w:t>
            </w:r>
          </w:p>
        </w:tc>
        <w:tc>
          <w:tcPr>
            <w:tcW w:w="4618" w:type="dxa"/>
          </w:tcPr>
          <w:p>
            <w:pPr>
              <w:widowControl w:val="0"/>
              <w:jc w:val="both"/>
              <w:rPr>
                <w:rFonts w:eastAsia="宋体"/>
                <w:kern w:val="2"/>
                <w:sz w:val="21"/>
                <w:szCs w:val="21"/>
                <w:lang w:eastAsia="zh-CN"/>
              </w:rPr>
            </w:pPr>
            <w:r>
              <w:rPr>
                <w:rFonts w:eastAsia="宋体" w:hint="eastAsia"/>
                <w:kern w:val="2"/>
                <w:sz w:val="21"/>
                <w:szCs w:val="21"/>
                <w:lang w:eastAsia="zh-CN"/>
              </w:rPr>
              <w:t>（一）评分内容：</w:t>
            </w:r>
          </w:p>
          <w:p>
            <w:pPr>
              <w:widowControl w:val="0"/>
              <w:jc w:val="both"/>
              <w:rPr>
                <w:rFonts w:eastAsia="宋体"/>
                <w:kern w:val="2"/>
                <w:sz w:val="21"/>
                <w:szCs w:val="21"/>
                <w:lang w:eastAsia="zh-CN"/>
              </w:rPr>
            </w:pPr>
            <w:r>
              <w:rPr>
                <w:rFonts w:eastAsia="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jc w:val="both"/>
              <w:rPr>
                <w:rFonts w:eastAsia="宋体"/>
                <w:kern w:val="2"/>
                <w:sz w:val="21"/>
                <w:szCs w:val="21"/>
                <w:lang w:eastAsia="zh-CN"/>
              </w:rPr>
            </w:pPr>
            <w:r>
              <w:rPr>
                <w:rFonts w:eastAsia="宋体" w:hint="eastAsia"/>
                <w:kern w:val="2"/>
                <w:sz w:val="21"/>
                <w:szCs w:val="21"/>
                <w:lang w:eastAsia="zh-CN"/>
              </w:rPr>
              <w:t>（二）评分依据：</w:t>
            </w:r>
          </w:p>
          <w:p>
            <w:pPr>
              <w:widowControl w:val="0"/>
              <w:jc w:val="both"/>
              <w:rPr>
                <w:rFonts w:ascii="宋体" w:eastAsia="宋体" w:hAnsi="宋体" w:cs="宋体"/>
                <w:kern w:val="2"/>
                <w:sz w:val="21"/>
                <w:szCs w:val="21"/>
                <w:lang w:eastAsia="zh-CN"/>
              </w:rPr>
            </w:pPr>
            <w:r>
              <w:rPr>
                <w:rFonts w:eastAsia="宋体" w:hint="eastAsia"/>
                <w:kern w:val="2"/>
                <w:sz w:val="21"/>
                <w:szCs w:val="21"/>
                <w:lang w:eastAsia="zh-CN"/>
              </w:rPr>
              <w:t>查询渠道：通过“信用中国”（www.creditchina.gov.cn，</w:t>
            </w:r>
            <w:r>
              <w:rPr>
                <w:rFonts w:eastAsia="宋体" w:hint="eastAsia"/>
                <w:b/>
                <w:bCs/>
                <w:kern w:val="2"/>
                <w:sz w:val="21"/>
                <w:szCs w:val="21"/>
                <w:lang w:eastAsia="zh-CN"/>
              </w:rPr>
              <w:t>下载信用信息报告</w:t>
            </w:r>
            <w:r>
              <w:rPr>
                <w:rFonts w:eastAsia="宋体" w:hint="eastAsia"/>
                <w:kern w:val="2"/>
                <w:sz w:val="21"/>
                <w:szCs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sectPr>
          <w:pgSz w:w="11907" w:h="16840"/>
          <w:pgMar w:top="1440" w:right="1418" w:bottom="1440" w:left="1418" w:header="851" w:footer="992" w:gutter="0"/>
          <w:cols w:num="1" w:space="425"/>
          <w:titlePg/>
          <w:docGrid w:linePitch="462" w:charSpace="0"/>
        </w:sectPr>
      </w:pPr>
    </w:p>
    <w:p>
      <w:pPr>
        <w:widowControl w:val="0"/>
        <w:jc w:val="both"/>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0"/>
    </w:p>
    <w:p>
      <w:pPr>
        <w:widowControl w:val="0"/>
        <w:spacing w:after="312" w:afterLines="100" w:line="400" w:lineRule="exact"/>
        <w:ind w:firstLine="420" w:firstLineChars="200"/>
        <w:jc w:val="both"/>
        <w:rPr>
          <w:rFonts w:ascii="宋体" w:eastAsia="宋体" w:hAnsi="宋体"/>
          <w:color w:val="FF0000"/>
          <w:kern w:val="2"/>
          <w:sz w:val="21"/>
          <w:szCs w:val="21"/>
          <w:lang w:eastAsia="zh-CN"/>
        </w:rPr>
      </w:pPr>
      <w:r>
        <w:rPr>
          <w:rFonts w:eastAsia="宋体" w:hint="eastAsia"/>
          <w:kern w:val="2"/>
          <w:sz w:val="21"/>
          <w:lang w:eastAsia="zh-CN"/>
        </w:rPr>
        <w:br w:type="page"/>
      </w:r>
      <w:bookmarkStart w:id="1" w:name="_Hlk137453387"/>
    </w:p>
    <w:bookmarkEnd w:id="1"/>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eastAsia="宋体"/>
          <w:b/>
          <w:kern w:val="2"/>
          <w:lang w:eastAsia="zh-CN"/>
        </w:rPr>
      </w:pPr>
      <w:r>
        <w:rPr>
          <w:rFonts w:ascii="宋体" w:eastAsia="宋体" w:hAnsi="宋体" w:hint="eastAsia"/>
          <w:kern w:val="2"/>
          <w:sz w:val="21"/>
          <w:szCs w:val="21"/>
          <w:lang w:eastAsia="zh-CN"/>
        </w:rPr>
        <w:t>第五章  合同条款及格式</w:t>
      </w: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jc w:val="both"/>
        <w:rPr>
          <w:rFonts w:eastAsia="宋体"/>
          <w:b/>
          <w:kern w:val="2"/>
          <w:lang w:eastAsia="zh-CN"/>
        </w:rPr>
      </w:pPr>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0" w:after="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第一册专用条款</w:t>
      </w:r>
    </w:p>
    <w:p>
      <w:pPr>
        <w:keepNext/>
        <w:keepLines/>
        <w:widowControl w:val="0"/>
        <w:adjustRightInd w:val="0"/>
        <w:spacing w:before="0" w:after="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2.本项目不接受联合体投标，是否接受投标人选用进口产品参与投标，详见招标文件“第三章 用户需求书”（由供应商在《采购投标及履约承诺函》中作出声明）；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ascii="宋体" w:eastAsia="宋体" w:hAnsi="宋体" w:cs="宋体" w:hint="eastAsia"/>
          <w:b/>
          <w:color w:val="FF0000"/>
          <w:sz w:val="21"/>
          <w:szCs w:val="21"/>
          <w:lang w:eastAsia="zh-CN"/>
        </w:rPr>
        <w:t>（由供应商提供《供应商基本情况表》并加盖公章扫描件）；</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9.本项目为非专门面向中小企业采购项目。</w:t>
      </w:r>
    </w:p>
    <w:p>
      <w:pPr>
        <w:widowControl w:val="0"/>
        <w:jc w:val="both"/>
        <w:rPr>
          <w:rFonts w:ascii="宋体" w:eastAsia="宋体" w:hAnsi="宋体" w:cs="宋体"/>
          <w:sz w:val="21"/>
          <w:szCs w:val="21"/>
          <w:lang w:eastAsia="zh-CN"/>
        </w:rPr>
      </w:pPr>
    </w:p>
    <w:p>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jc w:val="both"/>
        <w:rPr>
          <w:rFonts w:ascii="宋体" w:eastAsia="宋体" w:hAnsi="宋体"/>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pPr>
        <w:widowControl w:val="0"/>
        <w:spacing w:line="360" w:lineRule="auto"/>
        <w:jc w:val="both"/>
        <w:rPr>
          <w:rFonts w:eastAsia="宋体"/>
          <w:b/>
          <w:bCs/>
          <w:kern w:val="2"/>
          <w:lang w:eastAsia="zh-CN"/>
        </w:rPr>
      </w:pPr>
    </w:p>
    <w:p>
      <w:pPr>
        <w:widowControl w:val="0"/>
        <w:jc w:val="left"/>
        <w:rPr>
          <w:rFonts w:eastAsia="宋体"/>
          <w:b/>
          <w:kern w:val="2"/>
          <w:sz w:val="22"/>
          <w:szCs w:val="18"/>
          <w:lang w:eastAsia="zh-CN"/>
        </w:rPr>
      </w:pPr>
      <w:r>
        <w:rPr>
          <w:rFonts w:eastAsia="宋体" w:hint="eastAsia"/>
          <w:b/>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8"/>
          <w:szCs w:val="28"/>
          <w:lang w:eastAsia="zh-CN"/>
        </w:rPr>
      </w:pPr>
      <w:bookmarkStart w:id="3" w:name="bt投标函"/>
      <w:bookmarkEnd w:id="3"/>
      <w:bookmarkStart w:id="4" w:name="bt投标报价汇总表"/>
      <w:bookmarkEnd w:id="4"/>
      <w:bookmarkStart w:id="5" w:name="bt其他资料2"/>
      <w:bookmarkEnd w:id="5"/>
      <w:bookmarkStart w:id="6" w:name="bt本工程承诺书"/>
      <w:bookmarkEnd w:id="6"/>
      <w:bookmarkStart w:id="7" w:name="bt投标文件签署授权委托书"/>
      <w:bookmarkEnd w:id="7"/>
      <w:bookmarkStart w:id="8" w:name="bt合同条款及格式"/>
      <w:bookmarkEnd w:id="8"/>
      <w:bookmarkStart w:id="9" w:name="bt合同条款"/>
      <w:bookmarkEnd w:id="9"/>
      <w:bookmarkStart w:id="10" w:name="bt技术标投标文件格式"/>
      <w:bookmarkEnd w:id="10"/>
      <w:bookmarkStart w:id="11" w:name="bt投标人须知"/>
      <w:bookmarkEnd w:id="11"/>
      <w:bookmarkStart w:id="12" w:name="bt投标人情况介绍"/>
      <w:bookmarkEnd w:id="12"/>
      <w:bookmarkStart w:id="13" w:name="bt商务标投标文件格式"/>
      <w:bookmarkEnd w:id="13"/>
      <w:bookmarkStart w:id="14" w:name="bt项目管理班子配备情况"/>
      <w:bookmarkEnd w:id="14"/>
      <w:bookmarkStart w:id="15" w:name="合同格式"/>
      <w:bookmarkEnd w:id="15"/>
      <w:bookmarkStart w:id="16" w:name="bt其他资料由投标人自定"/>
      <w:bookmarkEnd w:id="16"/>
      <w:bookmarkStart w:id="17" w:name="bt说明"/>
      <w:bookmarkEnd w:id="17"/>
      <w:bookmarkStart w:id="18" w:name="bt合同格式"/>
      <w:bookmarkEnd w:id="18"/>
      <w:bookmarkStart w:id="19" w:name="bt开标一览表"/>
      <w:bookmarkEnd w:id="19"/>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bookmarkStart w:id="20" w:name="_Toc73521635"/>
      <w:bookmarkStart w:id="21" w:name="_Toc60560625"/>
      <w:bookmarkStart w:id="22" w:name="_Toc100052364"/>
      <w:bookmarkStart w:id="23" w:name="_Toc73521547"/>
      <w:bookmarkStart w:id="24" w:name="_Toc60631620"/>
      <w:bookmarkStart w:id="25" w:name="_Toc101074876"/>
      <w:bookmarkStart w:id="26" w:name="_Toc73518117"/>
      <w:bookmarkStart w:id="27" w:name="_Toc73517639"/>
      <w:r>
        <w:rPr>
          <w:rFonts w:ascii="宋体" w:eastAsia="宋体" w:hAnsi="宋体" w:hint="eastAsia"/>
          <w:b/>
          <w:bCs/>
          <w:lang w:eastAsia="zh-CN"/>
        </w:rPr>
        <w:t>一、对通用条款的补充内容</w:t>
      </w:r>
    </w:p>
    <w:bookmarkEnd w:id="20"/>
    <w:bookmarkEnd w:id="21"/>
    <w:bookmarkEnd w:id="22"/>
    <w:bookmarkEnd w:id="23"/>
    <w:bookmarkEnd w:id="24"/>
    <w:bookmarkEnd w:id="25"/>
    <w:bookmarkEnd w:id="26"/>
    <w:bookmarkEnd w:id="27"/>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3"/>
        <w:gridCol w:w="1992"/>
        <w:gridCol w:w="6019"/>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1946"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5881"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797" w:type="dxa"/>
            <w:gridSpan w:val="3"/>
            <w:vAlign w:val="center"/>
          </w:tcPr>
          <w:p>
            <w:pPr>
              <w:widowControl w:val="0"/>
              <w:jc w:val="center"/>
              <w:rPr>
                <w:rFonts w:ascii="宋体" w:eastAsia="宋体" w:hAnsi="宋体"/>
                <w:b/>
                <w:bCs/>
                <w:kern w:val="2"/>
                <w:sz w:val="21"/>
                <w:lang w:eastAsia="zh-CN"/>
              </w:rPr>
            </w:pPr>
            <w:r>
              <w:rPr>
                <w:rFonts w:ascii="宋体" w:eastAsia="宋体" w:hAnsi="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采购人</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深圳河套学院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采购代理机构</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5881" w:type="dxa"/>
            <w:vAlign w:val="center"/>
          </w:tcPr>
          <w:p>
            <w:pPr>
              <w:widowControl w:val="0"/>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投标截止日三日前，投标人有义务在招标期间在深圳交易集团（深圳公共资源交易中心）网站浏览与本项目有关的澄清和修改信息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1946" w:type="dxa"/>
            <w:vAlign w:val="center"/>
          </w:tcPr>
          <w:p>
            <w:pPr>
              <w:widowControl w:val="0"/>
              <w:jc w:val="center"/>
              <w:rPr>
                <w:rFonts w:ascii="宋体" w:eastAsia="宋体" w:hAnsi="宋体"/>
                <w:kern w:val="2"/>
                <w:sz w:val="21"/>
                <w:lang w:eastAsia="zh-CN"/>
              </w:rPr>
            </w:pPr>
            <w:bookmarkStart w:id="28" w:name="_Hlk71664860"/>
            <w:r>
              <w:rPr>
                <w:rFonts w:ascii="宋体" w:eastAsia="宋体" w:hAnsi="宋体" w:hint="eastAsia"/>
                <w:kern w:val="2"/>
                <w:sz w:val="21"/>
                <w:lang w:eastAsia="zh-CN"/>
              </w:rPr>
              <w:t>样品、演示、方案讲解</w:t>
            </w:r>
            <w:bookmarkEnd w:id="28"/>
          </w:p>
        </w:tc>
        <w:tc>
          <w:tcPr>
            <w:tcW w:w="5881"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588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42</w:t>
            </w:r>
          </w:p>
        </w:tc>
        <w:tc>
          <w:tcPr>
            <w:tcW w:w="1946"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公开招标失败的处理</w:t>
            </w:r>
          </w:p>
        </w:tc>
        <w:tc>
          <w:tcPr>
            <w:tcW w:w="5881" w:type="dxa"/>
            <w:vAlign w:val="center"/>
          </w:tcPr>
          <w:p>
            <w:pPr>
              <w:widowControl w:val="0"/>
              <w:jc w:val="left"/>
              <w:rPr>
                <w:rFonts w:ascii="宋体" w:eastAsia="宋体" w:hAnsi="宋体"/>
                <w:b/>
                <w:kern w:val="2"/>
                <w:sz w:val="21"/>
                <w:lang w:eastAsia="zh-CN"/>
              </w:rPr>
            </w:pPr>
            <w:r>
              <w:rPr>
                <w:rFonts w:ascii="宋体" w:eastAsia="宋体" w:hAnsi="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9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5881"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需要，合同金额的5 % ，投标供应商自主选择以支票、汇票、本票、保函等非现金形式缴纳或提交。履约保证金在中标人履行完成合同约定权利义务事项在合同期满之日起30日内按原方式退还，不计利息。 采购人逾期退还履约保证金的，向中标人每日偿付履约保证金的0.5 ‰的利息。因中标人原因而未能达到本项目验收标准或验收不通过的，履约保证金不予退还。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投诉</w:t>
            </w:r>
          </w:p>
        </w:tc>
        <w:tc>
          <w:tcPr>
            <w:tcW w:w="5881" w:type="dxa"/>
            <w:vAlign w:val="center"/>
          </w:tcPr>
          <w:p>
            <w:pPr>
              <w:widowControl w:val="0"/>
              <w:jc w:val="both"/>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29"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68"/>
        <w:gridCol w:w="583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844" w:type="dxa"/>
          </w:tcPr>
          <w:p>
            <w:pPr>
              <w:jc w:val="center"/>
              <w:rPr>
                <w:kern w:val="2"/>
                <w:sz w:val="21"/>
                <w:lang w:eastAsia="zh-CN"/>
              </w:rPr>
            </w:pPr>
            <w:r>
              <w:rPr>
                <w:rFonts w:hint="eastAsia"/>
                <w:kern w:val="2"/>
                <w:sz w:val="21"/>
                <w:lang w:eastAsia="zh-CN"/>
              </w:rPr>
              <w:t>评标方法</w:t>
            </w:r>
          </w:p>
        </w:tc>
        <w:tc>
          <w:tcPr>
            <w:tcW w:w="5240" w:type="dxa"/>
          </w:tcPr>
          <w:p>
            <w:pPr>
              <w:jc w:val="center"/>
              <w:rPr>
                <w:kern w:val="2"/>
                <w:sz w:val="21"/>
                <w:lang w:eastAsia="zh-CN"/>
              </w:rPr>
            </w:pPr>
            <w:r>
              <w:rPr>
                <w:rFonts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2844" w:type="dxa"/>
          </w:tcPr>
          <w:p>
            <w:pPr>
              <w:jc w:val="center"/>
              <w:rPr>
                <w:kern w:val="2"/>
                <w:sz w:val="21"/>
                <w:lang w:eastAsia="zh-CN"/>
              </w:rPr>
            </w:pPr>
            <w:r>
              <w:rPr>
                <w:rFonts w:hint="eastAsia"/>
                <w:kern w:val="2"/>
                <w:sz w:val="21"/>
                <w:lang w:eastAsia="zh-CN"/>
              </w:rPr>
              <w:t>候选中标供应商家数</w:t>
            </w:r>
          </w:p>
        </w:tc>
        <w:tc>
          <w:tcPr>
            <w:tcW w:w="5240" w:type="dxa"/>
          </w:tcPr>
          <w:p>
            <w:pPr>
              <w:jc w:val="center"/>
              <w:rPr>
                <w:kern w:val="2"/>
                <w:sz w:val="21"/>
                <w:lang w:eastAsia="zh-CN"/>
              </w:rPr>
            </w:pPr>
            <w:r>
              <w:rPr>
                <w:rFonts w:hint="eastAsia"/>
                <w:kern w:val="2"/>
                <w:sz w:val="21"/>
                <w:lang w:eastAsia="zh-CN"/>
              </w:rPr>
              <w:t>3</w:t>
            </w:r>
          </w:p>
        </w:tc>
      </w:tr>
      <w:tr>
        <w:tblPrEx>
          <w:tblW w:w="5000" w:type="pct"/>
          <w:jc w:val="center"/>
          <w:tblLayout w:type="fixed"/>
          <w:tblCellMar>
            <w:top w:w="0" w:type="dxa"/>
            <w:left w:w="108" w:type="dxa"/>
            <w:bottom w:w="0" w:type="dxa"/>
            <w:right w:w="108" w:type="dxa"/>
          </w:tblCellMar>
        </w:tblPrEx>
        <w:trPr>
          <w:jc w:val="center"/>
        </w:trPr>
        <w:tc>
          <w:tcPr>
            <w:tcW w:w="2844" w:type="dxa"/>
          </w:tcPr>
          <w:p>
            <w:pPr>
              <w:jc w:val="center"/>
              <w:rPr>
                <w:kern w:val="2"/>
                <w:sz w:val="21"/>
                <w:lang w:eastAsia="zh-CN"/>
              </w:rPr>
            </w:pPr>
            <w:r>
              <w:rPr>
                <w:rFonts w:hint="eastAsia"/>
                <w:kern w:val="2"/>
                <w:sz w:val="21"/>
                <w:lang w:eastAsia="zh-CN"/>
              </w:rPr>
              <w:t>中标供应商家数</w:t>
            </w:r>
          </w:p>
        </w:tc>
        <w:tc>
          <w:tcPr>
            <w:tcW w:w="5240" w:type="dxa"/>
          </w:tcPr>
          <w:p>
            <w:pPr>
              <w:jc w:val="center"/>
              <w:rPr>
                <w:kern w:val="2"/>
                <w:sz w:val="21"/>
                <w:lang w:eastAsia="zh-CN"/>
              </w:rPr>
            </w:pPr>
            <w:r>
              <w:rPr>
                <w:rFonts w:hint="eastAsia"/>
                <w:kern w:val="2"/>
                <w:sz w:val="21"/>
                <w:lang w:eastAsia="zh-CN"/>
              </w:rPr>
              <w:t>1</w:t>
            </w:r>
          </w:p>
        </w:tc>
      </w:tr>
    </w:tbl>
    <w:p>
      <w:pPr>
        <w:widowControl w:val="0"/>
        <w:jc w:val="both"/>
        <w:rPr>
          <w:rFonts w:ascii="宋体" w:eastAsia="宋体" w:hAnsi="宋体"/>
          <w:b/>
          <w:kern w:val="2"/>
          <w:sz w:val="21"/>
          <w:lang w:eastAsia="zh-CN"/>
        </w:rPr>
      </w:pPr>
    </w:p>
    <w:bookmarkEnd w:id="29"/>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eastAsia="宋体"/>
          <w:b/>
          <w:bCs/>
          <w:color w:val="FF0000"/>
          <w:kern w:val="2"/>
          <w:sz w:val="21"/>
          <w:lang w:eastAsia="zh-CN"/>
        </w:rPr>
        <w:t>10%</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bookmarkStart w:id="30" w:name="_Hlk71970739"/>
      <w:r>
        <w:rPr>
          <w:rFonts w:ascii="宋体" w:eastAsia="宋体" w:hAnsi="宋体" w:cs="宋体" w:hint="eastAsia"/>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eastAsia="宋体" w:hint="eastAsia"/>
          <w:b/>
          <w:bCs/>
          <w:color w:val="FF0000"/>
          <w:kern w:val="2"/>
          <w:sz w:val="21"/>
          <w:lang w:eastAsia="zh-CN"/>
        </w:rPr>
        <w:t>标的所属行业以招标文件第一册第三章用户需求书“货物清单明细”的“标的所属行业”一栏为准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bookmarkEnd w:id="30"/>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b/>
          <w:kern w:val="2"/>
          <w:sz w:val="21"/>
          <w:lang w:eastAsia="zh-CN"/>
        </w:rPr>
      </w:pPr>
      <w:r>
        <w:rPr>
          <w:rFonts w:eastAsia="宋体" w:hint="eastAsia"/>
          <w:b/>
          <w:kern w:val="2"/>
          <w:sz w:val="21"/>
          <w:lang w:eastAsia="zh-CN"/>
        </w:rPr>
        <w:t>2、</w:t>
      </w:r>
      <w:bookmarkStart w:id="31" w:name="_Hlk76855768"/>
      <w:bookmarkStart w:id="32" w:name="_Hlk72594729"/>
      <w:r>
        <w:rPr>
          <w:rFonts w:eastAsia="宋体" w:hint="eastAsia"/>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01"/>
        <w:gridCol w:w="1901"/>
        <w:gridCol w:w="1901"/>
        <w:gridCol w:w="19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基本户信息：</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账户名：深圳交易集团有限公司</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账号：632765883</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开户行：民生银行深圳五洲支行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转账备注：</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项目编号+项目名称</w:t>
      </w:r>
    </w:p>
    <w:p>
      <w:pPr>
        <w:widowControl w:val="0"/>
        <w:ind w:firstLine="420" w:firstLineChars="200"/>
        <w:jc w:val="left"/>
        <w:rPr>
          <w:rFonts w:eastAsia="宋体"/>
          <w:kern w:val="2"/>
          <w:sz w:val="21"/>
          <w:lang w:eastAsia="zh-CN"/>
        </w:rPr>
      </w:pPr>
    </w:p>
    <w:p>
      <w:pPr>
        <w:widowControl w:val="0"/>
        <w:jc w:val="both"/>
        <w:rPr>
          <w:rFonts w:eastAsia="宋体"/>
          <w:kern w:val="2"/>
          <w:sz w:val="28"/>
          <w:szCs w:val="28"/>
          <w:lang w:eastAsia="zh-CN"/>
        </w:rPr>
      </w:pPr>
      <w:bookmarkStart w:id="33" w:name="_Toc128884461"/>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6"/>
        <w:gridCol w:w="4938"/>
        <w:gridCol w:w="325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6"/>
          <w:jc w:val="center"/>
        </w:trPr>
        <w:tc>
          <w:tcPr>
            <w:tcW w:w="81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92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241"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591"/>
          <w:jc w:val="center"/>
        </w:trPr>
        <w:tc>
          <w:tcPr>
            <w:tcW w:w="81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492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深圳河套学院类脑计算视觉开发套件项目</w:t>
            </w:r>
            <w:bookmarkStart w:id="34" w:name="_GoBack"/>
            <w:bookmarkEnd w:id="34"/>
          </w:p>
        </w:tc>
        <w:tc>
          <w:tcPr>
            <w:tcW w:w="3241"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930000</w:t>
            </w:r>
          </w:p>
        </w:tc>
      </w:tr>
    </w:tbl>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bookmarkStart w:id="35" w:name="_Hlk72258617"/>
      <w:r>
        <w:rPr>
          <w:rFonts w:ascii="宋体" w:eastAsia="宋体" w:hAnsi="宋体" w:hint="eastAsia"/>
          <w:b/>
          <w:bCs/>
          <w:lang w:eastAsia="zh-CN"/>
        </w:rPr>
        <w:t>二、货物清单明细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2665"/>
        <w:gridCol w:w="1226"/>
        <w:gridCol w:w="1120"/>
        <w:gridCol w:w="1523"/>
        <w:gridCol w:w="17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7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68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62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45"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95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18"/>
          <w:jc w:val="center"/>
        </w:trPr>
        <w:tc>
          <w:tcPr>
            <w:tcW w:w="41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7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类脑视觉开发套件</w:t>
            </w:r>
          </w:p>
        </w:tc>
        <w:tc>
          <w:tcPr>
            <w:tcW w:w="681" w:type="pct"/>
            <w:vAlign w:val="center"/>
          </w:tcPr>
          <w:p>
            <w:pPr>
              <w:widowControl w:val="0"/>
              <w:jc w:val="center"/>
              <w:rPr>
                <w:rFonts w:eastAsia="宋体"/>
                <w:bCs/>
                <w:kern w:val="2"/>
                <w:sz w:val="21"/>
                <w:szCs w:val="21"/>
                <w:lang w:eastAsia="zh-CN"/>
              </w:rPr>
            </w:pPr>
            <w:r>
              <w:rPr>
                <w:rFonts w:eastAsia="宋体" w:hint="eastAsia"/>
                <w:bCs/>
                <w:kern w:val="2"/>
                <w:sz w:val="21"/>
                <w:lang w:eastAsia="zh-CN"/>
              </w:rPr>
              <w:t>15</w:t>
            </w:r>
          </w:p>
        </w:tc>
        <w:tc>
          <w:tcPr>
            <w:tcW w:w="62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845"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拒绝进口</w:t>
            </w:r>
          </w:p>
        </w:tc>
        <w:tc>
          <w:tcPr>
            <w:tcW w:w="95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工业</w:t>
            </w:r>
          </w:p>
        </w:tc>
      </w:tr>
    </w:tbl>
    <w:p>
      <w:pPr>
        <w:widowControl w:val="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w:t>
      </w:r>
      <w:bookmarkEnd w:id="35"/>
      <w:r>
        <w:rPr>
          <w:rFonts w:ascii="宋体" w:eastAsia="宋体" w:hAnsi="宋体" w:hint="eastAsia"/>
          <w:b/>
          <w:color w:val="FF0000"/>
          <w:kern w:val="2"/>
          <w:sz w:val="21"/>
          <w:szCs w:val="21"/>
          <w:lang w:eastAsia="zh-CN"/>
        </w:rPr>
        <w:t>本项目为单一产品采购，不设置核心产品。</w:t>
      </w:r>
    </w:p>
    <w:p>
      <w:pPr>
        <w:widowControl w:val="0"/>
        <w:ind w:firstLine="420" w:firstLineChars="200"/>
        <w:jc w:val="both"/>
        <w:rPr>
          <w:rFonts w:eastAsia="宋体"/>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三、实质性条款</w:t>
      </w:r>
    </w:p>
    <w:tbl>
      <w:tblPr>
        <w:tblStyle w:val="TableNormal"/>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5"/>
        <w:gridCol w:w="8179"/>
      </w:tblGrid>
      <w:tr>
        <w:tblPrEx>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807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kern w:val="2"/>
                <w:sz w:val="21"/>
                <w:szCs w:val="21"/>
                <w:lang w:eastAsia="zh-CN" w:bidi="ar"/>
              </w:rPr>
              <w:t>实质性条款具体内容</w:t>
            </w:r>
          </w:p>
        </w:tc>
      </w:tr>
      <w:tr>
        <w:tblPrEx>
          <w:tblW w:w="5000" w:type="pct"/>
          <w:tblInd w:w="138" w:type="dxa"/>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8074" w:type="dxa"/>
          </w:tcPr>
          <w:p>
            <w:pPr>
              <w:widowControl w:val="0"/>
              <w:jc w:val="both"/>
              <w:rPr>
                <w:rFonts w:eastAsia="宋体" w:hAnsi="宋体"/>
                <w:sz w:val="21"/>
                <w:szCs w:val="21"/>
                <w:lang w:eastAsia="zh-CN"/>
              </w:rPr>
            </w:pPr>
            <w:r>
              <w:rPr>
                <w:rFonts w:eastAsia="宋体" w:hAnsi="宋体" w:hint="eastAsia"/>
                <w:sz w:val="21"/>
                <w:szCs w:val="21"/>
                <w:lang w:eastAsia="zh-CN"/>
              </w:rPr>
              <w:t>满足本项目标★的条款要求。</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ascii="宋体" w:eastAsia="宋体"/>
          <w:b/>
          <w:bCs/>
          <w:szCs w:val="20"/>
          <w:lang w:eastAsia="zh-CN"/>
        </w:rPr>
      </w:pPr>
    </w:p>
    <w:p>
      <w:pPr>
        <w:widowControl w:val="0"/>
        <w:spacing w:line="360" w:lineRule="auto"/>
        <w:jc w:val="both"/>
        <w:rPr>
          <w:rFonts w:eastAsia="宋体"/>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36" w:name="_Hlk72585069"/>
      <w:r>
        <w:rPr>
          <w:rFonts w:eastAsia="宋体" w:hint="eastAsia"/>
          <w:b/>
          <w:kern w:val="2"/>
          <w:sz w:val="21"/>
          <w:szCs w:val="21"/>
          <w:lang w:eastAsia="zh-CN"/>
        </w:rPr>
        <w:t>招标技术要求中，用</w:t>
      </w:r>
      <w:r>
        <w:rPr>
          <w:rFonts w:eastAsia="宋体" w:hint="eastAsia"/>
          <w:b/>
          <w:color w:val="FF0000"/>
          <w:kern w:val="2"/>
          <w:sz w:val="21"/>
          <w:szCs w:val="21"/>
          <w:lang w:eastAsia="zh-CN"/>
        </w:rPr>
        <w:t>红色加粗字体标注</w:t>
      </w:r>
      <w:r>
        <w:rPr>
          <w:rFonts w:eastAsia="宋体" w:hint="eastAsia"/>
          <w:b/>
          <w:kern w:val="2"/>
          <w:sz w:val="21"/>
          <w:szCs w:val="21"/>
          <w:lang w:eastAsia="zh-CN"/>
        </w:rPr>
        <w:t>的指标项均要求提供证明资料；其余指标项未要求提供证明资料，无需提供相关证明资料。</w:t>
      </w:r>
    </w:p>
    <w:p>
      <w:pPr>
        <w:widowControl w:val="0"/>
        <w:ind w:firstLine="420" w:firstLineChars="200"/>
        <w:jc w:val="both"/>
        <w:rPr>
          <w:rFonts w:eastAsia="宋体"/>
          <w:b/>
          <w:kern w:val="2"/>
          <w:sz w:val="21"/>
          <w:szCs w:val="21"/>
          <w:lang w:eastAsia="zh-CN"/>
        </w:rPr>
      </w:pPr>
      <w:r>
        <w:rPr>
          <w:rFonts w:eastAsia="宋体" w:hint="eastAsia"/>
          <w:b/>
          <w:color w:val="FF0000"/>
          <w:kern w:val="2"/>
          <w:sz w:val="21"/>
          <w:szCs w:val="21"/>
          <w:lang w:eastAsia="zh-CN"/>
        </w:rPr>
        <w:t>4、涉及区间的参数，除特别注明以外，</w:t>
      </w:r>
      <w:bookmarkStart w:id="37" w:name="_Hlk75447406"/>
      <w:r>
        <w:rPr>
          <w:rFonts w:eastAsia="宋体" w:hint="eastAsia"/>
          <w:b/>
          <w:color w:val="FF0000"/>
          <w:kern w:val="2"/>
          <w:sz w:val="21"/>
          <w:szCs w:val="21"/>
          <w:lang w:eastAsia="zh-CN"/>
        </w:rPr>
        <w:t>产品参数区间与招标要求不一致的均视为负偏离。</w:t>
      </w:r>
      <w:bookmarkEnd w:id="37"/>
      <w:r>
        <w:rPr>
          <w:rFonts w:eastAsia="宋体" w:hint="eastAsia"/>
          <w:b/>
          <w:color w:val="FF0000"/>
          <w:kern w:val="2"/>
          <w:sz w:val="21"/>
          <w:szCs w:val="21"/>
          <w:lang w:eastAsia="zh-CN"/>
        </w:rPr>
        <w:t>例：区间要求为0-20ML,只要响应的不是“0-20ML”，如投标文件响应为 0-15ML 、0-21ML 、1-12ML 、 9-20ML 、6-21ML 、9ML等情形均视为负偏离。</w:t>
      </w:r>
    </w:p>
    <w:bookmarkEnd w:id="36"/>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5"/>
        <w:gridCol w:w="1207"/>
        <w:gridCol w:w="690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序号</w:t>
            </w:r>
          </w:p>
        </w:tc>
        <w:tc>
          <w:tcPr>
            <w:tcW w:w="1134" w:type="dxa"/>
            <w:vAlign w:val="center"/>
          </w:tcPr>
          <w:p>
            <w:pPr>
              <w:widowControl/>
              <w:jc w:val="center"/>
              <w:rPr>
                <w:rFonts w:eastAsia="宋体"/>
                <w:color w:val="000000"/>
                <w:kern w:val="2"/>
                <w:sz w:val="21"/>
                <w:szCs w:val="21"/>
                <w:lang w:eastAsia="zh-CN"/>
              </w:rPr>
            </w:pPr>
            <w:r>
              <w:rPr>
                <w:rFonts w:eastAsia="宋体"/>
                <w:color w:val="000000"/>
                <w:kern w:val="2"/>
                <w:sz w:val="21"/>
                <w:szCs w:val="21"/>
                <w:lang w:eastAsia="zh-CN"/>
              </w:rPr>
              <w:t>货物名称</w:t>
            </w:r>
          </w:p>
        </w:tc>
        <w:tc>
          <w:tcPr>
            <w:tcW w:w="6485" w:type="dxa"/>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招标</w:t>
            </w:r>
            <w:r>
              <w:rPr>
                <w:rFonts w:eastAsia="宋体"/>
                <w:color w:val="000000"/>
                <w:kern w:val="2"/>
                <w:sz w:val="21"/>
                <w:szCs w:val="21"/>
                <w:lang w:eastAsia="zh-CN"/>
              </w:rPr>
              <w:t>技术要求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1</w:t>
            </w:r>
          </w:p>
        </w:tc>
        <w:tc>
          <w:tcPr>
            <w:tcW w:w="1134"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类脑计算视觉开发套件</w:t>
            </w:r>
          </w:p>
        </w:tc>
        <w:tc>
          <w:tcPr>
            <w:tcW w:w="6485" w:type="dxa"/>
          </w:tcPr>
          <w:p>
            <w:pPr>
              <w:widowControl w:val="0"/>
              <w:jc w:val="both"/>
              <w:rPr>
                <w:rFonts w:eastAsia="宋体"/>
                <w:kern w:val="2"/>
                <w:sz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.1</w:t>
            </w:r>
            <w:r>
              <w:rPr>
                <w:rFonts w:eastAsia="宋体" w:hint="eastAsia"/>
                <w:color w:val="000000"/>
                <w:kern w:val="2"/>
                <w:sz w:val="21"/>
                <w:szCs w:val="21"/>
                <w:lang w:eastAsia="zh-CN"/>
              </w:rPr>
              <w:t>脉冲动态视觉传感器 DVS</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1.1.1</w:t>
            </w:r>
            <w:r>
              <w:rPr>
                <w:rFonts w:eastAsia="宋体" w:hint="eastAsia"/>
                <w:b/>
                <w:bCs/>
                <w:color w:val="EE0000"/>
                <w:kern w:val="2"/>
                <w:sz w:val="21"/>
                <w:szCs w:val="21"/>
                <w:lang w:eastAsia="zh-CN"/>
              </w:rPr>
              <w:t>▲支持彩色，且事件输出与彩色帧输出的空间分辨率均不低于</w:t>
            </w:r>
            <w:r>
              <w:rPr>
                <w:rFonts w:eastAsia="宋体"/>
                <w:b/>
                <w:bCs/>
                <w:color w:val="EE0000"/>
                <w:kern w:val="2"/>
                <w:sz w:val="21"/>
                <w:szCs w:val="21"/>
                <w:lang w:eastAsia="zh-CN"/>
              </w:rPr>
              <w:t>346x260</w:t>
            </w:r>
            <w:r>
              <w:rPr>
                <w:rFonts w:eastAsia="宋体" w:hint="eastAsia"/>
                <w:b/>
                <w:bCs/>
                <w:color w:val="EE0000"/>
                <w:kern w:val="2"/>
                <w:sz w:val="21"/>
                <w:szCs w:val="21"/>
                <w:lang w:eastAsia="zh-CN"/>
              </w:rPr>
              <w:t>像素。</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1.1.2事件输出动态范围高于110 dB。</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1.1.3事件输出延迟≤1毫秒，时间分辨率≤1微秒。</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1.1.4事件吞吐量不低于1200万事件/秒。</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1.1.5</w:t>
            </w:r>
            <w:r>
              <w:rPr>
                <w:rFonts w:eastAsia="宋体" w:hint="eastAsia"/>
                <w:b/>
                <w:bCs/>
                <w:color w:val="EE0000"/>
                <w:kern w:val="2"/>
                <w:sz w:val="21"/>
                <w:szCs w:val="21"/>
                <w:lang w:eastAsia="zh-CN"/>
              </w:rPr>
              <w:t>▲支持直接通过</w:t>
            </w:r>
            <w:r>
              <w:rPr>
                <w:rFonts w:eastAsia="宋体"/>
                <w:b/>
                <w:bCs/>
                <w:color w:val="EE0000"/>
                <w:kern w:val="2"/>
                <w:sz w:val="21"/>
                <w:szCs w:val="21"/>
                <w:lang w:eastAsia="zh-CN"/>
              </w:rPr>
              <w:t>IO</w:t>
            </w:r>
            <w:r>
              <w:rPr>
                <w:rFonts w:eastAsia="宋体" w:hint="eastAsia"/>
                <w:b/>
                <w:bCs/>
                <w:color w:val="EE0000"/>
                <w:kern w:val="2"/>
                <w:sz w:val="21"/>
                <w:szCs w:val="21"/>
                <w:lang w:eastAsia="zh-CN"/>
              </w:rPr>
              <w:t>接口与</w:t>
            </w:r>
            <w:r>
              <w:rPr>
                <w:rFonts w:eastAsia="宋体"/>
                <w:b/>
                <w:bCs/>
                <w:color w:val="EE0000"/>
                <w:kern w:val="2"/>
                <w:sz w:val="21"/>
                <w:szCs w:val="21"/>
                <w:lang w:eastAsia="zh-CN"/>
              </w:rPr>
              <w:t>FPGA</w:t>
            </w:r>
            <w:r>
              <w:rPr>
                <w:rFonts w:eastAsia="宋体" w:hint="eastAsia"/>
                <w:b/>
                <w:bCs/>
                <w:color w:val="EE0000"/>
                <w:kern w:val="2"/>
                <w:sz w:val="21"/>
                <w:szCs w:val="21"/>
                <w:lang w:eastAsia="zh-CN"/>
              </w:rPr>
              <w:t>通信。</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 FPGA开发板</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1.2.1</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主芯片具备配置不低于四核</w:t>
            </w:r>
            <w:r>
              <w:rPr>
                <w:rFonts w:eastAsia="宋体"/>
                <w:b/>
                <w:bCs/>
                <w:color w:val="EE0000"/>
                <w:kern w:val="2"/>
                <w:sz w:val="21"/>
                <w:szCs w:val="21"/>
                <w:lang w:eastAsia="zh-CN"/>
              </w:rPr>
              <w:t xml:space="preserve">Arm Cortex-A53 + </w:t>
            </w:r>
            <w:r>
              <w:rPr>
                <w:rFonts w:eastAsia="宋体" w:hint="eastAsia"/>
                <w:b/>
                <w:bCs/>
                <w:color w:val="EE0000"/>
                <w:kern w:val="2"/>
                <w:sz w:val="21"/>
                <w:szCs w:val="21"/>
                <w:lang w:eastAsia="zh-CN"/>
              </w:rPr>
              <w:t>双核</w:t>
            </w:r>
            <w:r>
              <w:rPr>
                <w:rFonts w:eastAsia="宋体"/>
                <w:b/>
                <w:bCs/>
                <w:color w:val="EE0000"/>
                <w:kern w:val="2"/>
                <w:sz w:val="21"/>
                <w:szCs w:val="21"/>
                <w:lang w:eastAsia="zh-CN"/>
              </w:rPr>
              <w:t>Arm Cortex-R5F</w:t>
            </w:r>
            <w:r>
              <w:rPr>
                <w:rFonts w:eastAsia="宋体" w:hint="eastAsia"/>
                <w:b/>
                <w:bCs/>
                <w:color w:val="EE0000"/>
                <w:kern w:val="2"/>
                <w:sz w:val="21"/>
                <w:szCs w:val="21"/>
                <w:lang w:eastAsia="zh-CN"/>
              </w:rPr>
              <w:t>的</w:t>
            </w:r>
            <w:r>
              <w:rPr>
                <w:rFonts w:eastAsia="宋体"/>
                <w:b/>
                <w:bCs/>
                <w:color w:val="EE0000"/>
                <w:kern w:val="2"/>
                <w:sz w:val="21"/>
                <w:szCs w:val="21"/>
                <w:lang w:eastAsia="zh-CN"/>
              </w:rPr>
              <w:t>CPU</w:t>
            </w:r>
            <w:r>
              <w:rPr>
                <w:rFonts w:eastAsia="宋体" w:hint="eastAsia"/>
                <w:b/>
                <w:bCs/>
                <w:color w:val="EE0000"/>
                <w:kern w:val="2"/>
                <w:sz w:val="21"/>
                <w:szCs w:val="21"/>
                <w:lang w:eastAsia="zh-CN"/>
              </w:rPr>
              <w:t>；具备配置不低于</w:t>
            </w:r>
            <w:r>
              <w:rPr>
                <w:rFonts w:eastAsia="宋体"/>
                <w:b/>
                <w:bCs/>
                <w:color w:val="EE0000"/>
                <w:kern w:val="2"/>
                <w:sz w:val="21"/>
                <w:szCs w:val="21"/>
                <w:lang w:eastAsia="zh-CN"/>
              </w:rPr>
              <w:t>Mali-400 MP2</w:t>
            </w:r>
            <w:r>
              <w:rPr>
                <w:rFonts w:eastAsia="宋体" w:hint="eastAsia"/>
                <w:b/>
                <w:bCs/>
                <w:color w:val="EE0000"/>
                <w:kern w:val="2"/>
                <w:sz w:val="21"/>
                <w:szCs w:val="21"/>
                <w:lang w:eastAsia="zh-CN"/>
              </w:rPr>
              <w:t>的</w:t>
            </w:r>
            <w:r>
              <w:rPr>
                <w:rFonts w:eastAsia="宋体"/>
                <w:b/>
                <w:bCs/>
                <w:color w:val="EE0000"/>
                <w:kern w:val="2"/>
                <w:sz w:val="21"/>
                <w:szCs w:val="21"/>
                <w:lang w:eastAsia="zh-CN"/>
              </w:rPr>
              <w:t>GPU</w:t>
            </w:r>
            <w:r>
              <w:rPr>
                <w:rFonts w:eastAsia="宋体" w:hint="eastAsia"/>
                <w:b/>
                <w:bCs/>
                <w:color w:val="EE0000"/>
                <w:kern w:val="2"/>
                <w:sz w:val="21"/>
                <w:szCs w:val="21"/>
                <w:lang w:eastAsia="zh-CN"/>
              </w:rPr>
              <w:t>。</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1.2.2</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主芯片包含≥</w:t>
            </w:r>
            <w:r>
              <w:rPr>
                <w:rFonts w:eastAsia="宋体"/>
                <w:b/>
                <w:bCs/>
                <w:color w:val="EE0000"/>
                <w:kern w:val="2"/>
                <w:sz w:val="21"/>
                <w:szCs w:val="21"/>
                <w:lang w:eastAsia="zh-CN"/>
              </w:rPr>
              <w:t>600,000</w:t>
            </w:r>
            <w:r>
              <w:rPr>
                <w:rFonts w:eastAsia="宋体" w:hint="eastAsia"/>
                <w:b/>
                <w:bCs/>
                <w:color w:val="EE0000"/>
                <w:kern w:val="2"/>
                <w:sz w:val="21"/>
                <w:szCs w:val="21"/>
                <w:lang w:eastAsia="zh-CN"/>
              </w:rPr>
              <w:t>个（±</w:t>
            </w:r>
            <w:r>
              <w:rPr>
                <w:rFonts w:eastAsia="宋体"/>
                <w:b/>
                <w:bCs/>
                <w:color w:val="EE0000"/>
                <w:kern w:val="2"/>
                <w:sz w:val="21"/>
                <w:szCs w:val="21"/>
                <w:lang w:eastAsia="zh-CN"/>
              </w:rPr>
              <w:t>500</w:t>
            </w:r>
            <w:r>
              <w:rPr>
                <w:rFonts w:eastAsia="宋体" w:hint="eastAsia"/>
                <w:b/>
                <w:bCs/>
                <w:color w:val="EE0000"/>
                <w:kern w:val="2"/>
                <w:sz w:val="21"/>
                <w:szCs w:val="21"/>
                <w:lang w:eastAsia="zh-CN"/>
              </w:rPr>
              <w:t>个）逻辑单元。</w:t>
            </w:r>
          </w:p>
          <w:p>
            <w:pPr>
              <w:widowControl w:val="0"/>
              <w:jc w:val="both"/>
              <w:rPr>
                <w:rFonts w:eastAsia="宋体"/>
                <w:b/>
                <w:bCs/>
                <w:color w:val="EE0000"/>
                <w:kern w:val="2"/>
                <w:sz w:val="21"/>
                <w:szCs w:val="21"/>
                <w:lang w:eastAsia="zh-CN"/>
              </w:rPr>
            </w:pPr>
            <w:r>
              <w:rPr>
                <w:rFonts w:eastAsia="宋体" w:hint="eastAsia"/>
                <w:b/>
                <w:bCs/>
                <w:color w:val="EE0000"/>
                <w:kern w:val="2"/>
                <w:sz w:val="21"/>
                <w:lang w:eastAsia="zh-CN"/>
              </w:rPr>
              <w:t>要求投标时</w:t>
            </w:r>
            <w:r>
              <w:rPr>
                <w:rFonts w:eastAsia="宋体" w:hint="eastAsia"/>
                <w:b/>
                <w:bCs/>
                <w:color w:val="EE0000"/>
                <w:kern w:val="2"/>
                <w:sz w:val="21"/>
                <w:szCs w:val="21"/>
                <w:lang w:eastAsia="zh-CN"/>
              </w:rPr>
              <w:t>提供产品说明书扫描件或彩页扫描件作为证明资料，并对相关技术参数响应情况做出标注。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1.2.3 FPGA主芯片的片上总RAM大小不低于40.9 Mb。</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1.2.4 FPGA主芯片内部集成至少24个传输速率不低于16.3 Gb/s的收发器。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6485"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1.2.5</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开发板至少暴露出</w:t>
            </w:r>
            <w:r>
              <w:rPr>
                <w:rFonts w:eastAsia="宋体"/>
                <w:b/>
                <w:bCs/>
                <w:color w:val="EE0000"/>
                <w:kern w:val="2"/>
                <w:sz w:val="21"/>
                <w:szCs w:val="21"/>
                <w:lang w:eastAsia="zh-CN"/>
              </w:rPr>
              <w:t>13</w:t>
            </w:r>
            <w:r>
              <w:rPr>
                <w:rFonts w:eastAsia="宋体" w:hint="eastAsia"/>
                <w:b/>
                <w:bCs/>
                <w:color w:val="EE0000"/>
                <w:kern w:val="2"/>
                <w:sz w:val="21"/>
                <w:szCs w:val="21"/>
                <w:lang w:eastAsia="zh-CN"/>
              </w:rPr>
              <w:t>个支持</w:t>
            </w:r>
            <w:r>
              <w:rPr>
                <w:rFonts w:eastAsia="宋体"/>
                <w:b/>
                <w:bCs/>
                <w:color w:val="EE0000"/>
                <w:kern w:val="2"/>
                <w:sz w:val="21"/>
                <w:szCs w:val="21"/>
                <w:lang w:eastAsia="zh-CN"/>
              </w:rPr>
              <w:t>3.3V LVCMOS</w:t>
            </w:r>
            <w:r>
              <w:rPr>
                <w:rFonts w:eastAsia="宋体" w:hint="eastAsia"/>
                <w:b/>
                <w:bCs/>
                <w:color w:val="EE0000"/>
                <w:kern w:val="2"/>
                <w:sz w:val="21"/>
                <w:szCs w:val="21"/>
                <w:lang w:eastAsia="zh-CN"/>
              </w:rPr>
              <w:t>的单端</w:t>
            </w:r>
            <w:r>
              <w:rPr>
                <w:rFonts w:eastAsia="宋体"/>
                <w:b/>
                <w:bCs/>
                <w:color w:val="EE0000"/>
                <w:kern w:val="2"/>
                <w:sz w:val="21"/>
                <w:szCs w:val="21"/>
                <w:lang w:eastAsia="zh-CN"/>
              </w:rPr>
              <w:t>GPIO</w:t>
            </w:r>
            <w:r>
              <w:rPr>
                <w:rFonts w:eastAsia="宋体" w:hint="eastAsia"/>
                <w:b/>
                <w:bCs/>
                <w:color w:val="EE0000"/>
                <w:kern w:val="2"/>
                <w:sz w:val="21"/>
                <w:szCs w:val="21"/>
                <w:lang w:eastAsia="zh-CN"/>
              </w:rPr>
              <w:t>。</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r>
    </w:tbl>
    <w:p>
      <w:pPr>
        <w:widowControl w:val="0"/>
        <w:jc w:val="both"/>
        <w:rPr>
          <w:rFonts w:eastAsia="宋体"/>
          <w:b/>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、评分时，如对一项招标商务要求（以划分框为准）中的内容存在两处（或以上）负偏离的，在评分时只作一项负偏离扣分。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7"/>
        <w:gridCol w:w="1556"/>
        <w:gridCol w:w="659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40"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524"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商务需求项</w:t>
            </w:r>
          </w:p>
        </w:tc>
        <w:tc>
          <w:tcPr>
            <w:tcW w:w="6456"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jc w:val="center"/>
          <w:tblLayout w:type="fixed"/>
          <w:tblCellMar>
            <w:top w:w="0" w:type="dxa"/>
            <w:left w:w="108" w:type="dxa"/>
            <w:bottom w:w="0" w:type="dxa"/>
            <w:right w:w="108" w:type="dxa"/>
          </w:tblCellMar>
        </w:tblPrEx>
        <w:trPr>
          <w:trHeight w:val="280"/>
          <w:jc w:val="center"/>
        </w:trPr>
        <w:tc>
          <w:tcPr>
            <w:tcW w:w="8820" w:type="dxa"/>
            <w:gridSpan w:val="3"/>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52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w:t>
            </w:r>
          </w:p>
        </w:tc>
        <w:tc>
          <w:tcPr>
            <w:tcW w:w="645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原厂保修，货物保修期3年，自最终验收合格之日起计算。</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52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维修响应及故障解决时间</w:t>
            </w:r>
          </w:p>
        </w:tc>
        <w:tc>
          <w:tcPr>
            <w:tcW w:w="645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中标人保证在接到通知后2小时内响应，24小时内赶到现场进行修理完毕或者更换硬件以保证回复正常运行。如果无法修复成功，需48小时内提供具备同等功能的备用机器以避免影响正常使用。</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52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培训方案</w:t>
            </w:r>
          </w:p>
        </w:tc>
        <w:tc>
          <w:tcPr>
            <w:tcW w:w="645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中标人应负责联系原厂工程师至采购人单位提供培训服务，培训次数不少于3次，总时长不少于6小时。培训内容应包括但不限于：脉冲动态视觉传感器使用、FPGA开发板使用等。无法提供上述培训服务的，需提供配套产品技术资料与教学材料。</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152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关于报价</w:t>
            </w:r>
          </w:p>
        </w:tc>
        <w:tc>
          <w:tcPr>
            <w:tcW w:w="6456" w:type="dxa"/>
            <w:vAlign w:val="center"/>
          </w:tcPr>
          <w:p>
            <w:pPr>
              <w:widowControl w:val="0"/>
              <w:jc w:val="both"/>
              <w:rPr>
                <w:rFonts w:ascii="宋体" w:eastAsia="宋体" w:hAnsi="宋体" w:cs="宋体"/>
                <w:bCs/>
                <w:kern w:val="2"/>
                <w:sz w:val="21"/>
                <w:szCs w:val="21"/>
                <w:lang w:eastAsia="zh-CN"/>
              </w:rPr>
            </w:pPr>
            <w:r>
              <w:rPr>
                <w:rFonts w:eastAsia="宋体" w:hint="eastAsia"/>
                <w:kern w:val="2"/>
                <w:sz w:val="21"/>
                <w:lang w:eastAsia="zh-CN"/>
              </w:rPr>
              <w:t>保修期内产生的费用均已包含在投标报价中。</w:t>
            </w:r>
          </w:p>
        </w:tc>
      </w:tr>
      <w:tr>
        <w:tblPrEx>
          <w:tblW w:w="5000" w:type="pct"/>
          <w:jc w:val="center"/>
          <w:tblLayout w:type="fixed"/>
          <w:tblCellMar>
            <w:top w:w="0" w:type="dxa"/>
            <w:left w:w="108" w:type="dxa"/>
            <w:bottom w:w="0" w:type="dxa"/>
            <w:right w:w="108" w:type="dxa"/>
          </w:tblCellMar>
        </w:tblPrEx>
        <w:trPr>
          <w:trHeight w:val="523"/>
          <w:jc w:val="center"/>
        </w:trPr>
        <w:tc>
          <w:tcPr>
            <w:tcW w:w="8820" w:type="dxa"/>
            <w:gridSpan w:val="3"/>
            <w:vAlign w:val="center"/>
          </w:tcPr>
          <w:p>
            <w:pPr>
              <w:widowControl w:val="0"/>
              <w:spacing w:line="360" w:lineRule="exact"/>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（二）保修期外售后服务要求</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524"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维修零配件、消耗品和延续保修合同的报价</w:t>
            </w:r>
          </w:p>
        </w:tc>
        <w:tc>
          <w:tcPr>
            <w:tcW w:w="645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保修期满后，仍然继续提供产品维护服务。对产品的问题响应时间不超过72小时。若产品需要维修或更新，应在双方充分沟通的情况下及时满足客户的要求，所产生的费用按照双方协商的成本价格进行收取。</w:t>
            </w:r>
          </w:p>
        </w:tc>
      </w:tr>
      <w:tr>
        <w:tblPrEx>
          <w:tblW w:w="5000" w:type="pct"/>
          <w:jc w:val="center"/>
          <w:tblLayout w:type="fixed"/>
          <w:tblCellMar>
            <w:top w:w="0" w:type="dxa"/>
            <w:left w:w="108" w:type="dxa"/>
            <w:bottom w:w="0" w:type="dxa"/>
            <w:right w:w="108" w:type="dxa"/>
          </w:tblCellMar>
        </w:tblPrEx>
        <w:trPr>
          <w:trHeight w:val="454"/>
          <w:jc w:val="center"/>
        </w:trPr>
        <w:tc>
          <w:tcPr>
            <w:tcW w:w="8820" w:type="dxa"/>
            <w:gridSpan w:val="3"/>
            <w:vAlign w:val="center"/>
          </w:tcPr>
          <w:p>
            <w:pPr>
              <w:widowControl w:val="0"/>
              <w:spacing w:line="360" w:lineRule="exact"/>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（三）其他商务要求</w:t>
            </w:r>
          </w:p>
        </w:tc>
      </w:tr>
      <w:tr>
        <w:tblPrEx>
          <w:tblW w:w="5000" w:type="pct"/>
          <w:jc w:val="center"/>
          <w:tblLayout w:type="fixed"/>
          <w:tblCellMar>
            <w:top w:w="0" w:type="dxa"/>
            <w:left w:w="108" w:type="dxa"/>
            <w:bottom w:w="0" w:type="dxa"/>
            <w:right w:w="108" w:type="dxa"/>
          </w:tblCellMar>
        </w:tblPrEx>
        <w:trPr>
          <w:trHeight w:val="138"/>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bookmarkStart w:id="38" w:name="_Hlk72260973"/>
            <w:r>
              <w:rPr>
                <w:rFonts w:ascii="宋体" w:eastAsia="宋体" w:hAnsi="宋体" w:cs="宋体" w:hint="eastAsia"/>
                <w:bCs/>
                <w:kern w:val="2"/>
                <w:sz w:val="21"/>
                <w:szCs w:val="21"/>
                <w:lang w:eastAsia="zh-CN"/>
              </w:rPr>
              <w:t>1</w:t>
            </w:r>
          </w:p>
        </w:tc>
        <w:tc>
          <w:tcPr>
            <w:tcW w:w="1524"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★交货及付款要求</w:t>
            </w: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1.1交货地点：深圳河套学院.</w:t>
            </w: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1.2交货义务：中标人应负责完成以下交货相关义务，包括但不限于货物的运输、搬运、安装、调试、验收配合、检测服务，并应向采购人提供完整的货物操作说明书、图纸及相关技术资料。</w:t>
            </w:r>
          </w:p>
        </w:tc>
      </w:tr>
      <w:tr>
        <w:tblPrEx>
          <w:tblW w:w="5000" w:type="pct"/>
          <w:jc w:val="center"/>
          <w:tblLayout w:type="fixed"/>
          <w:tblCellMar>
            <w:top w:w="0" w:type="dxa"/>
            <w:left w:w="108" w:type="dxa"/>
            <w:bottom w:w="0" w:type="dxa"/>
            <w:right w:w="108" w:type="dxa"/>
          </w:tblCellMar>
        </w:tblPrEx>
        <w:trPr>
          <w:trHeight w:val="16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1.3交货期限：签订合同后30天（日历日）内交货。</w:t>
            </w:r>
          </w:p>
        </w:tc>
      </w:tr>
      <w:tr>
        <w:tblPrEx>
          <w:tblW w:w="5000" w:type="pct"/>
          <w:jc w:val="center"/>
          <w:tblLayout w:type="fixed"/>
          <w:tblCellMar>
            <w:top w:w="0" w:type="dxa"/>
            <w:left w:w="108" w:type="dxa"/>
            <w:bottom w:w="0" w:type="dxa"/>
            <w:right w:w="108" w:type="dxa"/>
          </w:tblCellMar>
        </w:tblPrEx>
        <w:trPr>
          <w:trHeight w:val="16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1.4付款期限和方式：</w:t>
            </w:r>
            <w:r>
              <w:rPr>
                <w:rFonts w:eastAsia="宋体" w:hint="eastAsia"/>
                <w:kern w:val="2"/>
                <w:sz w:val="21"/>
                <w:lang w:eastAsia="zh-CN"/>
              </w:rPr>
              <w:t>合同生效且本项目资金下达，并收到政府拨付资金后，采购人根据实际情况通知中标人开票，中标人将全部货物送达采购人指定地点，并在收到中标人相应发票之后支付合同总额的50%；完成安装、调试及验收合格后，采购人根据实际情况通知中标人开票，并在收到相应发票后支付合同总额的50%。中标人迟延提供前述发票的，采购人有权相应顺延支付货款的时间且无需承担任何违约责任。</w:t>
            </w:r>
          </w:p>
        </w:tc>
      </w:tr>
      <w:tr>
        <w:tblPrEx>
          <w:tblW w:w="5000" w:type="pct"/>
          <w:jc w:val="center"/>
          <w:tblLayout w:type="fixed"/>
          <w:tblCellMar>
            <w:top w:w="0" w:type="dxa"/>
            <w:left w:w="108" w:type="dxa"/>
            <w:bottom w:w="0" w:type="dxa"/>
            <w:right w:w="108" w:type="dxa"/>
          </w:tblCellMar>
        </w:tblPrEx>
        <w:trPr>
          <w:trHeight w:val="104"/>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524"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★关于验收</w:t>
            </w: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2.1采购人和中标人应在交付时对货物进行开箱验货，以确认货物的数量、型号、规格等是否符合合同要求。</w:t>
            </w:r>
          </w:p>
        </w:tc>
      </w:tr>
      <w:tr>
        <w:tblPrEx>
          <w:tblW w:w="5000" w:type="pct"/>
          <w:jc w:val="center"/>
          <w:tblLayout w:type="fixed"/>
          <w:tblCellMar>
            <w:top w:w="0" w:type="dxa"/>
            <w:left w:w="108" w:type="dxa"/>
            <w:bottom w:w="0" w:type="dxa"/>
            <w:right w:w="108" w:type="dxa"/>
          </w:tblCellMar>
        </w:tblPrEx>
        <w:trPr>
          <w:trHeight w:val="10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2.2如货物经安装、调试、试运行后验收的，中标人应在货物到货并经开箱验货合格后3日内完成货物安装、调试的所有工作。</w:t>
            </w:r>
          </w:p>
        </w:tc>
      </w:tr>
      <w:tr>
        <w:tblPrEx>
          <w:tblW w:w="5000" w:type="pct"/>
          <w:jc w:val="center"/>
          <w:tblLayout w:type="fixed"/>
          <w:tblCellMar>
            <w:top w:w="0" w:type="dxa"/>
            <w:left w:w="108" w:type="dxa"/>
            <w:bottom w:w="0" w:type="dxa"/>
            <w:right w:w="108" w:type="dxa"/>
          </w:tblCellMar>
        </w:tblPrEx>
        <w:trPr>
          <w:trHeight w:val="10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2.3采购人验收合格前，除货物已由采购人实际使用的情况外，货物的一切风险（包括但不限于货物的损毁、灭失及可能的侵权等），均由中标人承担。</w:t>
            </w:r>
          </w:p>
        </w:tc>
      </w:tr>
      <w:tr>
        <w:tblPrEx>
          <w:tblW w:w="5000" w:type="pct"/>
          <w:jc w:val="center"/>
          <w:tblLayout w:type="fixed"/>
          <w:tblCellMar>
            <w:top w:w="0" w:type="dxa"/>
            <w:left w:w="108" w:type="dxa"/>
            <w:bottom w:w="0" w:type="dxa"/>
            <w:right w:w="108" w:type="dxa"/>
          </w:tblCellMar>
        </w:tblPrEx>
        <w:trPr>
          <w:trHeight w:val="49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2.4验收时，双方按照合同约定及时对交付的货物进行验收，中标人应配合采购人的履约检查及验收。</w:t>
            </w:r>
          </w:p>
        </w:tc>
      </w:tr>
      <w:tr>
        <w:tblPrEx>
          <w:tblW w:w="5000" w:type="pct"/>
          <w:jc w:val="center"/>
          <w:tblLayout w:type="fixed"/>
          <w:tblCellMar>
            <w:top w:w="0" w:type="dxa"/>
            <w:left w:w="108" w:type="dxa"/>
            <w:bottom w:w="0" w:type="dxa"/>
            <w:right w:w="108" w:type="dxa"/>
          </w:tblCellMar>
        </w:tblPrEx>
        <w:trPr>
          <w:trHeight w:val="49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2.5中标人货物经过采购人组织的验收后，中标人需提供产品保修文件。</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524" w:type="dxa"/>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检测验证</w:t>
            </w:r>
          </w:p>
        </w:tc>
        <w:tc>
          <w:tcPr>
            <w:tcW w:w="645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r>
      <w:tr>
        <w:tblPrEx>
          <w:tblW w:w="5000" w:type="pct"/>
          <w:jc w:val="center"/>
          <w:tblLayout w:type="fixed"/>
          <w:tblCellMar>
            <w:top w:w="0" w:type="dxa"/>
            <w:left w:w="108" w:type="dxa"/>
            <w:bottom w:w="0" w:type="dxa"/>
            <w:right w:w="108" w:type="dxa"/>
          </w:tblCellMar>
        </w:tblPrEx>
        <w:trPr>
          <w:trHeight w:val="138"/>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1524"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违约责任</w:t>
            </w:r>
          </w:p>
        </w:tc>
        <w:tc>
          <w:tcPr>
            <w:tcW w:w="645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4.1中标人不能交货的，需偿付不能交货部分货款的5%的违约金并按主管部门相关规定处理。</w:t>
            </w: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4.2中标人逾期交货的，应当承担继续履行、采取补救措施或者赔偿损失等违约责任。</w:t>
            </w: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24"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45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bookmarkEnd w:id="38"/>
    </w:tbl>
    <w:p>
      <w:pPr>
        <w:widowControl w:val="0"/>
        <w:spacing w:line="360" w:lineRule="auto"/>
        <w:jc w:val="both"/>
        <w:rPr>
          <w:rFonts w:eastAsia="宋体"/>
          <w:b/>
          <w:bCs/>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六、其他重要条款</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eastAsia="宋体" w:cs="宋体" w:hint="eastAsia"/>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Autospacing="0" w:afterAutospacing="0"/>
        <w:ind w:firstLine="393" w:firstLineChars="187"/>
        <w:jc w:val="left"/>
        <w:rPr>
          <w:rFonts w:ascii="宋体" w:eastAsia="宋体" w:hAnsi="宋体" w:cs="宋体"/>
          <w:szCs w:val="21"/>
          <w:lang w:eastAsia="zh-CN"/>
        </w:rPr>
      </w:pPr>
      <w:r>
        <w:rPr>
          <w:rFonts w:eastAsia="宋体"/>
          <w:bCs/>
          <w:sz w:val="21"/>
          <w:szCs w:val="21"/>
          <w:lang w:eastAsia="zh-CN" w:bidi="ar"/>
        </w:rPr>
        <w:t>2</w:t>
      </w:r>
      <w:r>
        <w:rPr>
          <w:rFonts w:eastAsia="宋体" w:cs="宋体" w:hint="eastAsia"/>
          <w:bCs/>
          <w:sz w:val="21"/>
          <w:szCs w:val="21"/>
          <w:lang w:eastAsia="zh-CN" w:bidi="ar"/>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eastAsia="宋体" w:cs="宋体" w:hint="eastAsia"/>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eastAsia="宋体" w:cs="宋体" w:hint="eastAsia"/>
          <w:bCs/>
          <w:kern w:val="2"/>
          <w:sz w:val="21"/>
          <w:szCs w:val="21"/>
          <w:lang w:eastAsia="zh-CN" w:bidi="ar"/>
        </w:rPr>
        <w:t>、除采购合同继续履行将损害国家利益和社会公共利益外，双方当事人不得擅自变更、中止或者终止合同。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eastAsia="宋体" w:cs="宋体" w:hint="eastAsia"/>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1.投标人在编辑投标文件时，在投标文件目录中属于本节点内容的需在对应节点中填写，填写到其他节点后果由供应商自行承担。</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2.投标文件均不对外公开。</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kern w:val="2"/>
          <w:lang w:eastAsia="zh-CN"/>
        </w:rPr>
      </w:pPr>
      <w:r>
        <w:rPr>
          <w:rFonts w:ascii="宋体" w:eastAsia="宋体" w:hAnsi="宋体" w:hint="eastAsia"/>
          <w:kern w:val="2"/>
          <w:lang w:eastAsia="zh-CN"/>
        </w:rPr>
        <w:t>投标文件主要包括以下内容：</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（1）投标函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（3）投标人情况及资格证明文件</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（4）项目详细报价</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（5）供应商基本情况表</w:t>
      </w:r>
      <w:r>
        <w:rPr>
          <w:rFonts w:eastAsia="宋体" w:hint="eastAsia"/>
          <w:b/>
          <w:bCs/>
          <w:color w:val="FF0000"/>
          <w:kern w:val="2"/>
          <w:sz w:val="21"/>
          <w:szCs w:val="21"/>
          <w:lang w:eastAsia="zh-CN"/>
        </w:rPr>
        <w:t>（须加盖投标单位公章）</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（8）实质性条款响应情况表</w:t>
      </w:r>
    </w:p>
    <w:p>
      <w:pPr>
        <w:widowControl w:val="0"/>
        <w:ind w:firstLine="840" w:firstLineChars="400"/>
        <w:jc w:val="both"/>
        <w:rPr>
          <w:rFonts w:eastAsia="宋体" w:hint="eastAsia"/>
          <w:kern w:val="2"/>
          <w:sz w:val="21"/>
          <w:szCs w:val="21"/>
          <w:lang w:eastAsia="zh-CN"/>
        </w:rPr>
      </w:pPr>
      <w:r>
        <w:rPr>
          <w:rFonts w:eastAsia="宋体" w:hint="eastAsia"/>
          <w:kern w:val="2"/>
          <w:sz w:val="21"/>
          <w:szCs w:val="21"/>
          <w:lang w:eastAsia="zh-CN"/>
        </w:rPr>
        <w:t>（9）技术保障措施（格式自定）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技术要求偏离表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）商务要求偏离表</w:t>
      </w:r>
    </w:p>
    <w:p>
      <w:pPr>
        <w:widowControl w:val="0"/>
        <w:ind w:firstLine="840" w:firstLineChars="400"/>
        <w:jc w:val="both"/>
        <w:rPr>
          <w:rFonts w:eastAsia="宋体"/>
          <w:kern w:val="2"/>
          <w:sz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）投标人同类业绩</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3</w:t>
      </w:r>
      <w:r>
        <w:rPr>
          <w:rFonts w:eastAsia="宋体" w:hint="eastAsia"/>
          <w:kern w:val="2"/>
          <w:sz w:val="21"/>
          <w:szCs w:val="21"/>
          <w:lang w:eastAsia="zh-CN"/>
        </w:rPr>
        <w:t>）投标人认为需要加以说明的其他内容</w:t>
      </w:r>
    </w:p>
    <w:p>
      <w:pPr>
        <w:widowControl w:val="0"/>
        <w:ind w:firstLine="424" w:firstLineChars="202"/>
        <w:jc w:val="both"/>
        <w:rPr>
          <w:rFonts w:ascii="宋体" w:eastAsia="宋体" w:hAnsi="宋体"/>
          <w:b/>
          <w:kern w:val="2"/>
          <w:sz w:val="21"/>
          <w:szCs w:val="21"/>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w:t>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color w:val="000000"/>
          <w:kern w:val="2"/>
          <w:sz w:val="21"/>
          <w:szCs w:val="21"/>
          <w:u w:val="single"/>
          <w:lang w:eastAsia="zh-CN"/>
        </w:rPr>
        <w:t>深圳公共资源交易中心（深圳交易集团有限公司政府采购业务分公司）</w:t>
      </w:r>
    </w:p>
    <w:p>
      <w:pPr>
        <w:widowControl w:val="0"/>
        <w:ind w:firstLine="420" w:firstLineChars="200"/>
        <w:jc w:val="both"/>
        <w:rPr>
          <w:rFonts w:ascii="宋体" w:eastAsia="宋体" w:hAnsi="宋体"/>
          <w:kern w:val="2"/>
          <w:sz w:val="21"/>
          <w:szCs w:val="21"/>
          <w:lang w:eastAsia="zh-CN"/>
        </w:rPr>
      </w:pPr>
      <w:bookmarkStart w:id="39" w:name="_Hlk73818812"/>
      <w:r>
        <w:rPr>
          <w:rFonts w:eastAsia="宋体" w:hint="eastAsia"/>
          <w:kern w:val="2"/>
          <w:sz w:val="21"/>
          <w:szCs w:val="21"/>
          <w:lang w:eastAsia="zh-CN"/>
        </w:rPr>
        <w:t>1、根据已收到贵单位的项目编号为</w:t>
      </w:r>
      <w:r>
        <w:rPr>
          <w:rFonts w:eastAsia="宋体" w:hint="eastAsia"/>
          <w:b/>
          <w:bCs/>
          <w:color w:val="0000FF"/>
          <w:kern w:val="2"/>
          <w:sz w:val="21"/>
          <w:szCs w:val="21"/>
          <w:u w:val="single"/>
          <w:lang w:eastAsia="zh-CN"/>
        </w:rPr>
        <w:t>SZZXCG-2025-00284</w:t>
      </w:r>
      <w:r>
        <w:rPr>
          <w:rFonts w:eastAsia="宋体" w:hint="eastAsia"/>
          <w:kern w:val="2"/>
          <w:sz w:val="21"/>
          <w:szCs w:val="21"/>
          <w:lang w:eastAsia="zh-CN"/>
        </w:rPr>
        <w:t>的</w:t>
      </w:r>
      <w:r>
        <w:rPr>
          <w:rFonts w:eastAsia="宋体" w:hint="eastAsia"/>
          <w:b/>
          <w:bCs/>
          <w:color w:val="0000FF"/>
          <w:kern w:val="2"/>
          <w:sz w:val="21"/>
          <w:szCs w:val="21"/>
          <w:u w:val="single"/>
          <w:lang w:eastAsia="zh-CN"/>
        </w:rPr>
        <w:t>深圳河套学院类脑计算视觉开发套件项目</w:t>
      </w:r>
      <w:r>
        <w:rPr>
          <w:rFonts w:eastAsia="宋体" w:hint="eastAsia"/>
          <w:kern w:val="2"/>
          <w:sz w:val="21"/>
          <w:szCs w:val="21"/>
          <w:u w:val="single"/>
          <w:lang w:eastAsia="zh-CN" w:bidi="ar"/>
        </w:rPr>
        <w:t>（项目名称）</w:t>
      </w:r>
      <w:r>
        <w:rPr>
          <w:rFonts w:eastAsia="宋体" w:hint="eastAsia"/>
          <w:kern w:val="2"/>
          <w:sz w:val="21"/>
          <w:szCs w:val="21"/>
          <w:lang w:eastAsia="zh-CN"/>
        </w:rPr>
        <w:t>的招标文件，遵照《深圳经济特区政府采购条例》和《深圳网上政府采购管理暂行办法》等有关规定，我单位经研究上述招标文件的专用条款及通用条款后，</w:t>
      </w:r>
      <w:bookmarkStart w:id="40" w:name="_Hlk72263588"/>
      <w:r>
        <w:rPr>
          <w:rFonts w:eastAsia="宋体" w:hint="eastAsia"/>
          <w:kern w:val="2"/>
          <w:sz w:val="21"/>
          <w:szCs w:val="21"/>
          <w:lang w:eastAsia="zh-CN"/>
        </w:rPr>
        <w:t>愿意按照招标文件要求承包上述项目并修补其任何缺陷。</w:t>
      </w:r>
      <w:bookmarkEnd w:id="40"/>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；单位地址：</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电话：</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ascii="宋体" w:eastAsia="宋体" w:hAnsi="宋体" w:hint="eastAsia"/>
          <w:kern w:val="2"/>
          <w:sz w:val="21"/>
          <w:szCs w:val="21"/>
          <w:lang w:eastAsia="zh-CN" w:bidi="ar"/>
        </w:rPr>
        <w:t>日期：</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年</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月</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日</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jc w:val="left"/>
        <w:rPr>
          <w:rFonts w:ascii="黑体" w:eastAsia="黑体" w:hAnsi="宋体"/>
          <w:bCs/>
          <w:szCs w:val="32"/>
          <w:lang w:eastAsia="zh-CN"/>
        </w:rPr>
      </w:pPr>
      <w:r>
        <w:rPr>
          <w:rFonts w:ascii="黑体" w:eastAsia="黑体"/>
          <w:b/>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致：深圳公共资源交易中心（深圳交易集团有限公司政府采购业务分公司）</w:t>
      </w:r>
    </w:p>
    <w:p>
      <w:pPr>
        <w:widowControl w:val="0"/>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我单位承诺：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1.我单位参与本项目</w:t>
      </w:r>
      <w:r>
        <w:rPr>
          <w:rFonts w:ascii="宋体" w:eastAsia="宋体" w:hAnsi="宋体" w:cs="宋体" w:hint="eastAsia"/>
          <w:kern w:val="2"/>
          <w:sz w:val="21"/>
          <w:lang w:eastAsia="zh-CN" w:bidi="ar"/>
        </w:rPr>
        <w:t>所投标（响应）的货物、工程或服务，不存在侵犯知识产权的情况。</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2.我单位</w:t>
      </w:r>
      <w:r>
        <w:rPr>
          <w:rFonts w:ascii="宋体" w:eastAsia="宋体" w:hAnsi="宋体" w:cs="宋体" w:hint="eastAsia"/>
          <w:sz w:val="21"/>
          <w:szCs w:val="21"/>
          <w:lang w:eastAsia="zh-CN"/>
        </w:rPr>
        <w:t>参与本项目采购活动时</w:t>
      </w:r>
      <w:r>
        <w:rPr>
          <w:rFonts w:eastAsia="宋体" w:cs="宋体" w:hint="eastAsia"/>
          <w:kern w:val="2"/>
          <w:sz w:val="21"/>
          <w:lang w:eastAsia="zh-CN" w:bidi="ar"/>
        </w:rPr>
        <w:t>不存在被有关部门禁止参与政府采购活动且在有效期内的情况。</w:t>
      </w:r>
      <w:r>
        <w:rPr>
          <w:rFonts w:eastAsia="宋体" w:hint="eastAsia"/>
          <w:kern w:val="2"/>
          <w:sz w:val="21"/>
          <w:lang w:eastAsia="zh-CN"/>
        </w:rPr>
        <w:t>符合招标文件关于联合体及进口产品的相关资格要求。</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bidi="ar"/>
        </w:rPr>
        <w:t>4.我单位</w:t>
      </w:r>
      <w:r>
        <w:rPr>
          <w:rFonts w:eastAsia="宋体" w:cs="宋体" w:hint="eastAsia"/>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eastAsia="宋体" w:cs="宋体" w:hint="eastAsia"/>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eastAsia="宋体" w:cs="宋体" w:hint="eastAsia"/>
          <w:color w:val="FF0000"/>
          <w:kern w:val="2"/>
          <w:sz w:val="21"/>
          <w:lang w:eastAsia="zh-CN" w:bidi="ar"/>
        </w:rPr>
        <w:t>〕</w:t>
      </w:r>
      <w:r>
        <w:rPr>
          <w:rFonts w:eastAsia="宋体"/>
          <w:color w:val="FF0000"/>
          <w:kern w:val="2"/>
          <w:sz w:val="21"/>
          <w:lang w:eastAsia="zh-CN" w:bidi="ar"/>
        </w:rPr>
        <w:t>3</w:t>
      </w:r>
      <w:r>
        <w:rPr>
          <w:rFonts w:eastAsia="宋体" w:cs="宋体" w:hint="eastAsia"/>
          <w:color w:val="FF0000"/>
          <w:kern w:val="2"/>
          <w:sz w:val="21"/>
          <w:lang w:eastAsia="zh-CN" w:bidi="ar"/>
        </w:rPr>
        <w:t>号）列明的严重违法失信行为。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9.我单位承诺中标后项目不转包，未经采购人同意不进行分包。</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bidi="ar"/>
        </w:rPr>
        <w:t>10.</w:t>
      </w:r>
      <w:r>
        <w:rPr>
          <w:rFonts w:ascii="宋体" w:eastAsia="宋体" w:hAnsi="宋体" w:cs="宋体" w:hint="eastAsia"/>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cs="宋体" w:hint="eastAsia"/>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eastAsia="宋体" w:cs="宋体" w:hint="eastAsia"/>
          <w:kern w:val="2"/>
          <w:sz w:val="21"/>
          <w:lang w:eastAsia="zh-CN" w:bidi="ar"/>
        </w:rPr>
        <w:t>《财政部</w:t>
      </w:r>
      <w:r>
        <w:rPr>
          <w:rFonts w:eastAsia="宋体"/>
          <w:kern w:val="2"/>
          <w:sz w:val="21"/>
          <w:lang w:eastAsia="zh-CN" w:bidi="ar"/>
        </w:rPr>
        <w:t xml:space="preserve"> </w:t>
      </w:r>
      <w:r>
        <w:rPr>
          <w:rFonts w:eastAsia="宋体" w:cs="宋体" w:hint="eastAsia"/>
          <w:kern w:val="2"/>
          <w:sz w:val="21"/>
          <w:lang w:eastAsia="zh-CN" w:bidi="ar"/>
        </w:rPr>
        <w:t>生态环境部</w:t>
      </w:r>
      <w:r>
        <w:rPr>
          <w:rFonts w:eastAsia="宋体"/>
          <w:kern w:val="2"/>
          <w:sz w:val="21"/>
          <w:lang w:eastAsia="zh-CN" w:bidi="ar"/>
        </w:rPr>
        <w:t xml:space="preserve"> </w:t>
      </w:r>
      <w:r>
        <w:rPr>
          <w:rFonts w:eastAsia="宋体" w:cs="宋体" w:hint="eastAsia"/>
          <w:kern w:val="2"/>
          <w:sz w:val="21"/>
          <w:lang w:eastAsia="zh-CN" w:bidi="ar"/>
        </w:rPr>
        <w:t>工业和信息化部关于印发</w:t>
      </w:r>
      <w:r>
        <w:rPr>
          <w:rFonts w:eastAsia="宋体"/>
          <w:kern w:val="2"/>
          <w:sz w:val="21"/>
          <w:lang w:eastAsia="zh-CN" w:bidi="ar"/>
        </w:rPr>
        <w:t>&lt;</w:t>
      </w:r>
      <w:r>
        <w:rPr>
          <w:rFonts w:eastAsia="宋体" w:cs="宋体" w:hint="eastAsia"/>
          <w:kern w:val="2"/>
          <w:sz w:val="21"/>
          <w:lang w:eastAsia="zh-CN" w:bidi="ar"/>
        </w:rPr>
        <w:t>绿色数据中心政府采购需求标准（试行）</w:t>
      </w:r>
      <w:r>
        <w:rPr>
          <w:rFonts w:eastAsia="宋体"/>
          <w:kern w:val="2"/>
          <w:sz w:val="21"/>
          <w:lang w:eastAsia="zh-CN" w:bidi="ar"/>
        </w:rPr>
        <w:t>&gt;</w:t>
      </w:r>
      <w:r>
        <w:rPr>
          <w:rFonts w:eastAsia="宋体" w:cs="宋体" w:hint="eastAsia"/>
          <w:kern w:val="2"/>
          <w:sz w:val="21"/>
          <w:lang w:eastAsia="zh-CN" w:bidi="ar"/>
        </w:rPr>
        <w:t>的通知》（财库〔</w:t>
      </w:r>
      <w:r>
        <w:rPr>
          <w:rFonts w:eastAsia="宋体"/>
          <w:kern w:val="2"/>
          <w:sz w:val="21"/>
          <w:lang w:eastAsia="zh-CN" w:bidi="ar"/>
        </w:rPr>
        <w:t>2023</w:t>
      </w:r>
      <w:r>
        <w:rPr>
          <w:rFonts w:eastAsia="宋体" w:cs="宋体" w:hint="eastAsia"/>
          <w:kern w:val="2"/>
          <w:sz w:val="21"/>
          <w:lang w:eastAsia="zh-CN" w:bidi="ar"/>
        </w:rPr>
        <w:t>〕</w:t>
      </w:r>
      <w:r>
        <w:rPr>
          <w:rFonts w:eastAsia="宋体"/>
          <w:kern w:val="2"/>
          <w:sz w:val="21"/>
          <w:lang w:eastAsia="zh-CN" w:bidi="ar"/>
        </w:rPr>
        <w:t>7</w:t>
      </w:r>
      <w:r>
        <w:rPr>
          <w:rFonts w:eastAsia="宋体" w:cs="宋体" w:hint="eastAsia"/>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bidi="ar"/>
        </w:rPr>
        <w:t>12.</w:t>
      </w:r>
      <w:r>
        <w:rPr>
          <w:rFonts w:ascii="宋体" w:eastAsia="宋体" w:hAnsi="宋体" w:cs="宋体" w:hint="eastAsia"/>
          <w:bCs/>
          <w:kern w:val="2"/>
          <w:sz w:val="21"/>
          <w:lang w:eastAsia="zh-CN" w:bidi="ar"/>
        </w:rPr>
        <w:t>我单位已知悉并同意中标（成交）结果信息公示（公开）的内容。</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eastAsia="宋体" w:cs="宋体" w:hint="eastAsia"/>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日期：</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年</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月</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rPr>
          <w:rFonts w:eastAsia="宋体"/>
          <w:kern w:val="2"/>
          <w:sz w:val="21"/>
          <w:lang w:eastAsia="zh-CN"/>
        </w:rPr>
      </w:pPr>
      <w:r>
        <w:rPr>
          <w:rFonts w:eastAsia="宋体"/>
          <w:kern w:val="2"/>
          <w:sz w:val="21"/>
          <w:lang w:eastAsia="zh-CN"/>
        </w:rPr>
        <w:br w:type="page"/>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货物制造商名称。</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黑体" w:hAnsi="Calibri"/>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1"/>
        </w:numPr>
        <w:jc w:val="center"/>
        <w:outlineLvl w:val="3"/>
        <w:rPr>
          <w:rFonts w:eastAsia="宋体"/>
          <w:b/>
          <w:kern w:val="2"/>
          <w:lang w:eastAsia="zh-CN"/>
        </w:rPr>
      </w:pPr>
      <w:r>
        <w:rPr>
          <w:rFonts w:eastAsia="宋体"/>
          <w:b/>
          <w:kern w:val="2"/>
          <w:lang w:eastAsia="zh-CN"/>
        </w:rPr>
        <w:t>中小企业声明函（货物）</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color w:val="0000FF"/>
          <w:kern w:val="2"/>
          <w:sz w:val="21"/>
          <w:szCs w:val="21"/>
          <w:u w:val="single"/>
          <w:lang w:eastAsia="zh-CN"/>
        </w:rPr>
        <w:t>深圳河套学院</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color w:val="0000FF"/>
          <w:kern w:val="2"/>
          <w:sz w:val="21"/>
          <w:szCs w:val="21"/>
          <w:u w:val="single"/>
          <w:lang w:eastAsia="zh-CN"/>
        </w:rPr>
        <w:t>深圳河套学院类脑计算视觉开发套件项目</w:t>
      </w:r>
      <w:r>
        <w:rPr>
          <w:rFonts w:ascii="宋体" w:eastAsia="宋体" w:hAnsi="宋体" w:cs="宋体" w:hint="eastAsia"/>
          <w:b/>
          <w:bCs/>
          <w:i/>
          <w:iCs/>
          <w:kern w:val="2"/>
          <w:sz w:val="21"/>
          <w:szCs w:val="21"/>
          <w:u w:val="single"/>
          <w:lang w:eastAsia="zh-CN"/>
        </w:rPr>
        <w:t xml:space="preserve">（项目名称）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color w:val="0000FF"/>
          <w:kern w:val="2"/>
          <w:sz w:val="21"/>
          <w:szCs w:val="21"/>
          <w:u w:val="single"/>
          <w:lang w:eastAsia="zh-CN"/>
        </w:rPr>
        <w:t>类脑视觉开发套件</w:t>
      </w:r>
      <w:r>
        <w:rPr>
          <w:rFonts w:ascii="宋体" w:eastAsia="宋体" w:hAnsi="宋体" w:cs="宋体" w:hint="eastAsia"/>
          <w:b/>
          <w:bCs/>
          <w:i/>
          <w:iCs/>
          <w:kern w:val="2"/>
          <w:sz w:val="21"/>
          <w:szCs w:val="21"/>
          <w:u w:val="single"/>
          <w:lang w:eastAsia="zh-CN"/>
        </w:rPr>
        <w:t xml:space="preserve">（标的名称）   </w:t>
      </w:r>
      <w:r>
        <w:rPr>
          <w:rFonts w:ascii="宋体" w:eastAsia="宋体" w:hAnsi="宋体" w:cs="宋体" w:hint="eastAsia"/>
          <w:kern w:val="2"/>
          <w:sz w:val="21"/>
          <w:szCs w:val="21"/>
          <w:lang w:eastAsia="zh-CN"/>
        </w:rPr>
        <w:t>，属于</w:t>
      </w:r>
      <w:r>
        <w:rPr>
          <w:rFonts w:ascii="宋体" w:eastAsia="宋体" w:hAnsi="宋体" w:cs="宋体" w:hint="eastAsia"/>
          <w:b/>
          <w:bCs/>
          <w:i/>
          <w:iCs/>
          <w:color w:val="0000FF"/>
          <w:kern w:val="2"/>
          <w:sz w:val="21"/>
          <w:szCs w:val="21"/>
          <w:u w:val="single"/>
          <w:lang w:eastAsia="zh-CN"/>
        </w:rPr>
        <w:t xml:space="preserve"> 工业</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41"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42" w:name="_Hlk73562331"/>
      <w:bookmarkStart w:id="43"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color w:val="0000FF"/>
          <w:kern w:val="2"/>
          <w:sz w:val="21"/>
          <w:szCs w:val="21"/>
          <w:u w:val="single"/>
          <w:lang w:eastAsia="zh-CN"/>
        </w:rPr>
        <w:t>深</w:t>
      </w:r>
      <w:r>
        <w:rPr>
          <w:rFonts w:ascii="宋体" w:eastAsia="宋体" w:hAnsi="宋体" w:cs="宋体" w:hint="eastAsia"/>
          <w:b/>
          <w:bCs/>
          <w:i/>
          <w:iCs/>
          <w:color w:val="0000FF"/>
          <w:kern w:val="2"/>
          <w:sz w:val="21"/>
          <w:szCs w:val="21"/>
          <w:u w:val="single"/>
          <w:lang w:eastAsia="zh-CN"/>
        </w:rPr>
        <w:t>圳河套学院</w:t>
      </w:r>
      <w:r>
        <w:rPr>
          <w:rFonts w:ascii="宋体" w:eastAsia="宋体" w:hAnsi="宋体" w:cs="宋体" w:hint="eastAsia"/>
          <w:b/>
          <w:bCs/>
          <w:i/>
          <w:iCs/>
          <w:kern w:val="2"/>
          <w:sz w:val="21"/>
          <w:szCs w:val="21"/>
          <w:u w:val="single"/>
          <w:lang w:eastAsia="zh-CN"/>
        </w:rPr>
        <w:t xml:space="preserve">（单位名称）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pPr>
        <w:widowControl w:val="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宋体" w:hint="eastAsia"/>
          <w:b/>
          <w:bCs/>
          <w:i/>
          <w:iCs/>
          <w:color w:val="0000FF"/>
          <w:kern w:val="2"/>
          <w:sz w:val="21"/>
          <w:szCs w:val="21"/>
          <w:u w:val="single"/>
          <w:lang w:eastAsia="zh-CN"/>
        </w:rPr>
        <w:t>深</w:t>
      </w:r>
      <w:r>
        <w:rPr>
          <w:rFonts w:ascii="宋体" w:eastAsia="宋体" w:hAnsi="宋体" w:cs="宋体" w:hint="eastAsia"/>
          <w:b/>
          <w:bCs/>
          <w:i/>
          <w:iCs/>
          <w:color w:val="0000FF"/>
          <w:kern w:val="2"/>
          <w:sz w:val="21"/>
          <w:szCs w:val="21"/>
          <w:u w:val="single"/>
          <w:lang w:eastAsia="zh-CN"/>
        </w:rPr>
        <w:t>圳河套学院</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spacing w:line="360" w:lineRule="auto"/>
        <w:ind w:firstLine="420" w:firstLineChars="200"/>
        <w:jc w:val="both"/>
        <w:outlineLvl w:val="3"/>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spacing w:line="360" w:lineRule="auto"/>
        <w:ind w:firstLine="420" w:firstLineChars="200"/>
        <w:jc w:val="both"/>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ascii="黑体" w:eastAsia="黑体"/>
          <w:kern w:val="2"/>
          <w:lang w:eastAsia="zh-CN"/>
        </w:rPr>
      </w:pPr>
      <w:r>
        <w:rPr>
          <w:rFonts w:ascii="黑体" w:eastAsia="黑体" w:hint="eastAsia"/>
          <w:kern w:val="2"/>
          <w:lang w:eastAsia="zh-CN"/>
        </w:rPr>
        <w:br w:type="page"/>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2"/>
        <w:gridCol w:w="1308"/>
        <w:gridCol w:w="758"/>
        <w:gridCol w:w="834"/>
        <w:gridCol w:w="739"/>
        <w:gridCol w:w="966"/>
        <w:gridCol w:w="588"/>
        <w:gridCol w:w="568"/>
        <w:gridCol w:w="777"/>
        <w:gridCol w:w="777"/>
        <w:gridCol w:w="11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29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50"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82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731"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95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8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5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769"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769"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115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5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29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类脑视觉开发套件</w:t>
            </w:r>
          </w:p>
        </w:tc>
        <w:tc>
          <w:tcPr>
            <w:tcW w:w="750" w:type="dxa"/>
            <w:vAlign w:val="center"/>
          </w:tcPr>
          <w:p>
            <w:pPr>
              <w:widowControl w:val="0"/>
              <w:jc w:val="center"/>
              <w:rPr>
                <w:rFonts w:eastAsia="宋体"/>
                <w:bCs/>
                <w:kern w:val="2"/>
                <w:sz w:val="21"/>
                <w:szCs w:val="21"/>
                <w:lang w:eastAsia="zh-CN"/>
              </w:rPr>
            </w:pPr>
          </w:p>
        </w:tc>
        <w:tc>
          <w:tcPr>
            <w:tcW w:w="825" w:type="dxa"/>
            <w:vAlign w:val="center"/>
          </w:tcPr>
          <w:p>
            <w:pPr>
              <w:widowControl w:val="0"/>
              <w:jc w:val="center"/>
              <w:rPr>
                <w:rFonts w:eastAsia="宋体"/>
                <w:bCs/>
                <w:kern w:val="2"/>
                <w:sz w:val="21"/>
                <w:szCs w:val="21"/>
                <w:lang w:eastAsia="zh-CN"/>
              </w:rPr>
            </w:pPr>
          </w:p>
        </w:tc>
        <w:tc>
          <w:tcPr>
            <w:tcW w:w="731" w:type="dxa"/>
            <w:vAlign w:val="center"/>
          </w:tcPr>
          <w:p>
            <w:pPr>
              <w:widowControl w:val="0"/>
              <w:jc w:val="center"/>
              <w:rPr>
                <w:rFonts w:eastAsia="宋体"/>
                <w:bCs/>
                <w:kern w:val="2"/>
                <w:sz w:val="21"/>
                <w:szCs w:val="21"/>
                <w:lang w:eastAsia="zh-CN"/>
              </w:rPr>
            </w:pPr>
          </w:p>
        </w:tc>
        <w:tc>
          <w:tcPr>
            <w:tcW w:w="956" w:type="dxa"/>
            <w:vAlign w:val="center"/>
          </w:tcPr>
          <w:p>
            <w:pPr>
              <w:widowControl w:val="0"/>
              <w:jc w:val="center"/>
              <w:rPr>
                <w:rFonts w:eastAsia="宋体"/>
                <w:bCs/>
                <w:kern w:val="2"/>
                <w:sz w:val="21"/>
                <w:szCs w:val="21"/>
                <w:lang w:eastAsia="zh-CN"/>
              </w:rPr>
            </w:pPr>
          </w:p>
        </w:tc>
        <w:tc>
          <w:tcPr>
            <w:tcW w:w="582" w:type="dxa"/>
            <w:vAlign w:val="center"/>
          </w:tcPr>
          <w:p>
            <w:pPr>
              <w:widowControl w:val="0"/>
              <w:jc w:val="center"/>
              <w:rPr>
                <w:rFonts w:eastAsia="宋体"/>
                <w:bCs/>
                <w:kern w:val="2"/>
                <w:sz w:val="21"/>
                <w:szCs w:val="21"/>
                <w:lang w:eastAsia="zh-CN"/>
              </w:rPr>
            </w:pPr>
            <w:r>
              <w:rPr>
                <w:rFonts w:eastAsia="宋体" w:hint="eastAsia"/>
                <w:bCs/>
                <w:kern w:val="2"/>
                <w:sz w:val="21"/>
                <w:lang w:eastAsia="zh-CN"/>
              </w:rPr>
              <w:t>15</w:t>
            </w:r>
          </w:p>
        </w:tc>
        <w:tc>
          <w:tcPr>
            <w:tcW w:w="5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769" w:type="dxa"/>
            <w:vAlign w:val="center"/>
          </w:tcPr>
          <w:p>
            <w:pPr>
              <w:widowControl w:val="0"/>
              <w:jc w:val="center"/>
              <w:rPr>
                <w:rFonts w:eastAsia="宋体"/>
                <w:bCs/>
                <w:kern w:val="2"/>
                <w:sz w:val="21"/>
                <w:szCs w:val="21"/>
                <w:lang w:eastAsia="zh-CN"/>
              </w:rPr>
            </w:pPr>
          </w:p>
        </w:tc>
        <w:tc>
          <w:tcPr>
            <w:tcW w:w="769" w:type="dxa"/>
            <w:vAlign w:val="center"/>
          </w:tcPr>
          <w:p>
            <w:pPr>
              <w:widowControl w:val="0"/>
              <w:jc w:val="center"/>
              <w:rPr>
                <w:rFonts w:eastAsia="宋体"/>
                <w:bCs/>
                <w:kern w:val="2"/>
                <w:sz w:val="21"/>
                <w:szCs w:val="21"/>
                <w:lang w:eastAsia="zh-CN"/>
              </w:rPr>
            </w:pPr>
          </w:p>
        </w:tc>
        <w:tc>
          <w:tcPr>
            <w:tcW w:w="115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930000</w:t>
            </w:r>
          </w:p>
        </w:tc>
      </w:tr>
      <w:tr>
        <w:tblPrEx>
          <w:tblW w:w="5000" w:type="pct"/>
          <w:jc w:val="center"/>
          <w:tblLayout w:type="fixed"/>
          <w:tblCellMar>
            <w:top w:w="0" w:type="dxa"/>
            <w:left w:w="108" w:type="dxa"/>
            <w:bottom w:w="0" w:type="dxa"/>
            <w:right w:w="108" w:type="dxa"/>
          </w:tblCellMar>
        </w:tblPrEx>
        <w:trPr>
          <w:trHeight w:val="462"/>
          <w:jc w:val="center"/>
        </w:trPr>
        <w:tc>
          <w:tcPr>
            <w:tcW w:w="8908" w:type="dxa"/>
            <w:gridSpan w:val="11"/>
            <w:vAlign w:val="center"/>
          </w:tcPr>
          <w:p>
            <w:pPr>
              <w:widowControl w:val="0"/>
              <w:jc w:val="left"/>
              <w:rPr>
                <w:rFonts w:eastAsia="宋体"/>
                <w:b/>
                <w:bCs/>
                <w:color w:val="FF0000"/>
                <w:kern w:val="2"/>
                <w:sz w:val="21"/>
                <w:szCs w:val="21"/>
                <w:lang w:eastAsia="zh-CN"/>
              </w:rPr>
            </w:pPr>
            <w:r>
              <w:rPr>
                <w:rFonts w:eastAsia="宋体" w:hint="eastAsia"/>
                <w:b/>
                <w:bCs/>
                <w:color w:val="FF0000"/>
                <w:kern w:val="2"/>
                <w:sz w:val="21"/>
                <w:szCs w:val="21"/>
                <w:lang w:eastAsia="zh-CN"/>
              </w:rPr>
              <w:t>合计（即投标总价；币种：人民币；单位：元） 小写：            大写：</w:t>
            </w:r>
          </w:p>
        </w:tc>
      </w:tr>
    </w:tbl>
    <w:p>
      <w:pPr>
        <w:widowControl w:val="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4"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bookmarkEnd w:id="44"/>
    </w:p>
    <w:p>
      <w:pPr>
        <w:widowControl w:val="0"/>
        <w:ind w:firstLine="470" w:firstLineChars="196"/>
        <w:jc w:val="both"/>
        <w:rPr>
          <w:rFonts w:ascii="宋体" w:eastAsia="宋体" w:hAnsi="宋体"/>
          <w:b/>
          <w:kern w:val="2"/>
          <w:sz w:val="21"/>
          <w:szCs w:val="21"/>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12" w:firstLineChars="196"/>
        <w:jc w:val="both"/>
        <w:rPr>
          <w:rFonts w:ascii="宋体" w:eastAsia="宋体" w:hAnsi="宋体"/>
          <w:b/>
          <w:kern w:val="2"/>
          <w:lang w:eastAsia="zh-CN"/>
        </w:rPr>
      </w:pPr>
      <w:r>
        <w:rPr>
          <w:rFonts w:ascii="宋体" w:eastAsia="宋体" w:hAnsi="宋体"/>
          <w:b/>
          <w:kern w:val="2"/>
          <w:sz w:val="21"/>
          <w:szCs w:val="21"/>
          <w:lang w:eastAsia="zh-CN"/>
        </w:rPr>
        <w:t>4</w:t>
      </w:r>
      <w:r>
        <w:rPr>
          <w:rFonts w:ascii="宋体" w:eastAsia="宋体" w:hAnsi="宋体" w:hint="eastAsia"/>
          <w:b/>
          <w:kern w:val="2"/>
          <w:sz w:val="21"/>
          <w:szCs w:val="21"/>
          <w:lang w:eastAsia="zh-CN"/>
        </w:rPr>
        <w:t>.所投货物均应填写制造商名称，“制造商”是指产品品牌厂商，产品代工制造</w:t>
      </w:r>
      <w:r>
        <w:rPr>
          <w:rFonts w:ascii="宋体" w:eastAsia="宋体" w:hAnsi="宋体" w:hint="eastAsia"/>
          <w:b/>
          <w:kern w:val="2"/>
          <w:lang w:eastAsia="zh-CN"/>
        </w:rPr>
        <w:t>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      </w:t>
      </w:r>
      <w:r>
        <w:rPr>
          <w:rFonts w:eastAsia="宋体" w:hint="eastAsia"/>
          <w:b/>
          <w:kern w:val="2"/>
          <w:lang w:eastAsia="zh-CN"/>
        </w:rPr>
        <w:t>。</w:t>
      </w:r>
    </w:p>
    <w:p>
      <w:pPr>
        <w:widowControl w:val="0"/>
        <w:ind w:firstLine="420" w:firstLineChars="200"/>
        <w:jc w:val="both"/>
        <w:rPr>
          <w:rFonts w:eastAsia="宋体"/>
          <w:b/>
          <w:kern w:val="2"/>
          <w:lang w:eastAsia="zh-CN"/>
        </w:rPr>
      </w:pPr>
      <w:r>
        <w:rPr>
          <w:rFonts w:ascii="宋体" w:eastAsia="宋体" w:hAnsi="宋体" w:hint="eastAsia"/>
          <w:b/>
          <w:color w:val="FF0000"/>
          <w:kern w:val="2"/>
          <w:sz w:val="21"/>
          <w:szCs w:val="21"/>
          <w:lang w:eastAsia="zh-CN"/>
        </w:rPr>
        <w:t>本项目为单一产品采购，不设置核心产品。</w:t>
      </w:r>
    </w:p>
    <w:p>
      <w:pPr>
        <w:widowControl w:val="0"/>
        <w:tabs>
          <w:tab w:val="left" w:pos="720"/>
        </w:tabs>
        <w:ind w:firstLine="1920" w:firstLineChars="800"/>
        <w:jc w:val="both"/>
        <w:rPr>
          <w:rFonts w:eastAsia="宋体"/>
          <w:b/>
          <w:kern w:val="2"/>
          <w:lang w:eastAsia="zh-CN"/>
        </w:rPr>
      </w:pPr>
    </w:p>
    <w:p>
      <w:pPr>
        <w:widowControl w:val="0"/>
        <w:spacing w:line="360" w:lineRule="auto"/>
        <w:jc w:val="both"/>
        <w:rPr>
          <w:rFonts w:eastAsia="宋体"/>
          <w:b/>
          <w:bCs/>
          <w:kern w:val="2"/>
          <w:lang w:eastAsia="zh-CN"/>
        </w:rPr>
      </w:pPr>
    </w:p>
    <w:p>
      <w:pPr>
        <w:widowControl w:val="0"/>
        <w:tabs>
          <w:tab w:val="left" w:pos="720"/>
        </w:tabs>
        <w:ind w:firstLine="1920" w:firstLineChars="80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spacing w:line="360" w:lineRule="auto"/>
        <w:jc w:val="both"/>
        <w:rPr>
          <w:rFonts w:eastAsia="宋体" w:hAnsi="宋体"/>
          <w:b/>
          <w:bCs/>
          <w:kern w:val="2"/>
          <w:lang w:eastAsia="zh-CN"/>
        </w:rPr>
      </w:pPr>
    </w:p>
    <w:p>
      <w:pPr>
        <w:widowControl w:val="0"/>
        <w:spacing w:line="360" w:lineRule="auto"/>
        <w:jc w:val="both"/>
        <w:rPr>
          <w:rFonts w:eastAsia="宋体" w:hAnsi="宋体"/>
          <w:b/>
          <w:bCs/>
          <w:kern w:val="2"/>
          <w:lang w:eastAsia="zh-CN"/>
        </w:rPr>
      </w:pPr>
    </w:p>
    <w:p>
      <w:pPr>
        <w:widowControl w:val="0"/>
        <w:spacing w:line="360" w:lineRule="auto"/>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45" w:name="_Hlk72073235"/>
      <w:r>
        <w:rPr>
          <w:rFonts w:eastAsia="宋体" w:hint="eastAsia"/>
          <w:b/>
          <w:kern w:val="2"/>
          <w:lang w:eastAsia="zh-CN"/>
        </w:rPr>
        <w:t>投标人认为需要涉及的其他内容报价清单</w:t>
      </w:r>
      <w:bookmarkEnd w:id="45"/>
    </w:p>
    <w:p>
      <w:pPr>
        <w:widowControl w:val="0"/>
        <w:jc w:val="both"/>
        <w:rPr>
          <w:rFonts w:eastAsia="宋体"/>
          <w:b/>
          <w:bCs/>
          <w:kern w:val="2"/>
          <w:sz w:val="21"/>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spacing w:before="0" w:after="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五、供应商基本情况表</w:t>
      </w:r>
    </w:p>
    <w:p>
      <w:pPr>
        <w:widowControl w:val="0"/>
        <w:jc w:val="both"/>
        <w:rPr>
          <w:rFonts w:eastAsia="宋体"/>
          <w:kern w:val="2"/>
          <w:sz w:val="21"/>
          <w:lang w:eastAsia="zh-CN"/>
        </w:rPr>
      </w:pPr>
    </w:p>
    <w:p>
      <w:pPr>
        <w:widowControl w:val="0"/>
        <w:jc w:val="both"/>
        <w:rPr>
          <w:rFonts w:ascii="宋体" w:eastAsia="宋体" w:hAnsi="宋体" w:cs="宋体"/>
          <w:kern w:val="2"/>
          <w:lang w:eastAsia="zh-CN"/>
        </w:rPr>
      </w:pPr>
      <w:r>
        <w:rPr>
          <w:rFonts w:ascii="宋体" w:eastAsia="宋体" w:hAnsi="宋体" w:cs="宋体" w:hint="eastAsia"/>
          <w:kern w:val="2"/>
          <w:lang w:eastAsia="zh-CN"/>
        </w:rPr>
        <w:t>填表单位：</w:t>
      </w:r>
      <w:r>
        <w:rPr>
          <w:rFonts w:ascii="宋体" w:eastAsia="宋体" w:hAnsi="宋体" w:cs="宋体" w:hint="eastAsia"/>
          <w:b/>
          <w:color w:val="FF0000"/>
          <w:kern w:val="2"/>
          <w:highlight w:val="yellow"/>
          <w:lang w:eastAsia="zh-CN"/>
        </w:rPr>
        <w:t>（加盖单位公章）</w:t>
      </w:r>
      <w:r>
        <w:rPr>
          <w:rFonts w:ascii="宋体" w:eastAsia="宋体" w:hAnsi="宋体" w:cs="宋体" w:hint="eastAsia"/>
          <w:kern w:val="2"/>
          <w:lang w:eastAsia="zh-CN"/>
        </w:rPr>
        <w:tab/>
      </w:r>
      <w:r>
        <w:rPr>
          <w:rFonts w:ascii="宋体" w:eastAsia="宋体" w:hAnsi="宋体" w:cs="宋体" w:hint="eastAsia"/>
          <w:kern w:val="2"/>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34"/>
        <w:gridCol w:w="1377"/>
        <w:gridCol w:w="1027"/>
        <w:gridCol w:w="744"/>
        <w:gridCol w:w="858"/>
        <w:gridCol w:w="1852"/>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0"/>
                <w:szCs w:val="20"/>
                <w:lang w:eastAsia="zh-CN"/>
              </w:rPr>
            </w:pPr>
            <w:r>
              <w:rPr>
                <w:rFonts w:ascii="宋体" w:hAnsi="宋体" w:cs="宋体" w:hint="eastAsia"/>
                <w:b/>
                <w:bCs/>
                <w:color w:val="0000FF"/>
                <w:kern w:val="2"/>
                <w:sz w:val="20"/>
                <w:szCs w:val="20"/>
                <w:lang w:eastAsia="zh-CN"/>
              </w:rPr>
              <w:t>深圳河套学院</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项目名称</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kern w:val="2"/>
                <w:sz w:val="20"/>
                <w:szCs w:val="20"/>
                <w:lang w:eastAsia="zh-CN"/>
              </w:rPr>
            </w:pPr>
            <w:r>
              <w:rPr>
                <w:rFonts w:ascii="宋体" w:hAnsi="宋体" w:cs="宋体" w:hint="eastAsia"/>
                <w:b/>
                <w:bCs/>
                <w:color w:val="0000FF"/>
                <w:kern w:val="2"/>
                <w:sz w:val="20"/>
                <w:szCs w:val="20"/>
                <w:lang w:eastAsia="zh-CN"/>
              </w:rPr>
              <w:t>深圳河套学院类脑计算视觉开发套件项目</w:t>
            </w:r>
          </w:p>
        </w:tc>
      </w:tr>
      <w:tr>
        <w:tblPrEx>
          <w:tblW w:w="5000" w:type="pct"/>
          <w:jc w:val="center"/>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供应商统一社会信用代码</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b/>
                <w:bCs/>
                <w:kern w:val="2"/>
                <w:sz w:val="20"/>
                <w:szCs w:val="20"/>
                <w:lang w:eastAsia="zh-CN"/>
              </w:rPr>
              <w:t>投标（响应）供应商相关人员情况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序号</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职务</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姓名</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身份证号码</w:t>
            </w:r>
          </w:p>
        </w:tc>
        <w:tc>
          <w:tcPr>
            <w:tcW w:w="1972"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劳动合同</w:t>
            </w:r>
          </w:p>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关系单位</w:t>
            </w:r>
          </w:p>
        </w:tc>
        <w:tc>
          <w:tcPr>
            <w:tcW w:w="1928"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缴纳社会</w:t>
            </w:r>
          </w:p>
          <w:p>
            <w:pPr>
              <w:snapToGrid w:val="0"/>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保险单位</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1</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法定代表人/单位负责人/主要经营负责人</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2</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项目投标授权代表人</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bidi="ar"/>
              </w:rPr>
              <w:t>3</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项目负责人</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bidi="ar"/>
              </w:rPr>
              <w:t>4</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主要技术人员</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bidi="ar"/>
              </w:rPr>
              <w:t>5</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ind w:firstLine="0"/>
              <w:jc w:val="center"/>
              <w:rPr>
                <w:rFonts w:ascii="宋体" w:hAnsi="宋体" w:cs="宋体"/>
                <w:kern w:val="2"/>
                <w:sz w:val="20"/>
                <w:szCs w:val="20"/>
                <w:lang w:eastAsia="zh-CN"/>
              </w:rPr>
            </w:pPr>
            <w:r>
              <w:rPr>
                <w:rFonts w:ascii="宋体" w:hAnsi="宋体" w:cs="宋体" w:hint="eastAsia"/>
                <w:kern w:val="2"/>
                <w:sz w:val="20"/>
                <w:szCs w:val="20"/>
                <w:lang w:eastAsia="zh-CN"/>
              </w:rPr>
              <w:t>投标文件编制人员</w:t>
            </w:r>
          </w:p>
        </w:tc>
        <w:tc>
          <w:tcPr>
            <w:tcW w:w="10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0"/>
                <w:szCs w:val="20"/>
                <w:lang w:eastAsia="zh-CN"/>
              </w:rPr>
            </w:pPr>
            <w:r>
              <w:rPr>
                <w:rFonts w:ascii="宋体" w:hAnsi="宋体" w:cs="宋体" w:hint="eastAsia"/>
                <w:b/>
                <w:bCs/>
                <w:kern w:val="2"/>
                <w:sz w:val="20"/>
                <w:szCs w:val="20"/>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b/>
                <w:bCs/>
                <w:kern w:val="2"/>
                <w:sz w:val="20"/>
                <w:szCs w:val="20"/>
                <w:lang w:eastAsia="zh-CN"/>
              </w:rPr>
            </w:pPr>
            <w:r>
              <w:rPr>
                <w:rFonts w:ascii="宋体" w:hAnsi="宋体" w:cs="宋体" w:hint="eastAsia"/>
                <w:b/>
                <w:bCs/>
                <w:kern w:val="2"/>
                <w:sz w:val="20"/>
                <w:szCs w:val="20"/>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bidi="ar"/>
              </w:rPr>
            </w:pPr>
            <w:r>
              <w:rPr>
                <w:rFonts w:ascii="宋体" w:hAnsi="宋体" w:cs="宋体" w:hint="eastAsia"/>
                <w:kern w:val="2"/>
                <w:sz w:val="20"/>
                <w:szCs w:val="20"/>
                <w:lang w:eastAsia="zh-CN" w:bidi="ar"/>
              </w:rPr>
              <w:t>序号</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关联关系类型</w:t>
            </w:r>
          </w:p>
        </w:tc>
        <w:tc>
          <w:tcPr>
            <w:tcW w:w="187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关联主体名称</w:t>
            </w:r>
          </w:p>
        </w:tc>
        <w:tc>
          <w:tcPr>
            <w:tcW w:w="4812" w:type="dxa"/>
            <w:gridSpan w:val="3"/>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备注</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bidi="ar"/>
              </w:rPr>
            </w:pPr>
            <w:r>
              <w:rPr>
                <w:rFonts w:ascii="宋体" w:hAnsi="宋体" w:cs="宋体" w:hint="eastAsia"/>
                <w:kern w:val="2"/>
                <w:sz w:val="20"/>
                <w:szCs w:val="20"/>
                <w:lang w:eastAsia="zh-CN" w:bidi="ar"/>
              </w:rPr>
              <w:t>1</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控股股东</w:t>
            </w:r>
          </w:p>
        </w:tc>
        <w:tc>
          <w:tcPr>
            <w:tcW w:w="187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0"/>
                <w:szCs w:val="20"/>
                <w:lang w:eastAsia="zh-CN"/>
              </w:rPr>
            </w:pPr>
            <w:r>
              <w:rPr>
                <w:rFonts w:ascii="宋体" w:hAnsi="宋体" w:cs="宋体"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bidi="ar"/>
              </w:rPr>
            </w:pPr>
            <w:r>
              <w:rPr>
                <w:rFonts w:ascii="宋体" w:hAnsi="宋体" w:cs="宋体" w:hint="eastAsia"/>
                <w:kern w:val="2"/>
                <w:sz w:val="20"/>
                <w:szCs w:val="20"/>
                <w:lang w:eastAsia="zh-CN" w:bidi="ar"/>
              </w:rPr>
              <w:t>2</w:t>
            </w:r>
          </w:p>
        </w:tc>
        <w:tc>
          <w:tcPr>
            <w:tcW w:w="214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r>
              <w:rPr>
                <w:rFonts w:ascii="宋体" w:hAnsi="宋体" w:cs="宋体" w:hint="eastAsia"/>
                <w:kern w:val="2"/>
                <w:sz w:val="20"/>
                <w:szCs w:val="20"/>
                <w:lang w:eastAsia="zh-CN"/>
              </w:rPr>
              <w:t>管理关系</w:t>
            </w:r>
          </w:p>
        </w:tc>
        <w:tc>
          <w:tcPr>
            <w:tcW w:w="187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0"/>
                <w:szCs w:val="20"/>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0"/>
                <w:szCs w:val="20"/>
                <w:lang w:eastAsia="zh-CN"/>
              </w:rPr>
            </w:pPr>
            <w:r>
              <w:rPr>
                <w:rFonts w:ascii="宋体" w:hAnsi="宋体" w:cs="宋体" w:hint="eastAsia"/>
                <w:kern w:val="2"/>
                <w:sz w:val="20"/>
                <w:szCs w:val="20"/>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0"/>
                <w:szCs w:val="20"/>
                <w:lang w:eastAsia="zh-CN"/>
              </w:rPr>
            </w:pPr>
            <w:r>
              <w:rPr>
                <w:rFonts w:ascii="宋体" w:hAnsi="宋体" w:cs="宋体" w:hint="eastAsia"/>
                <w:b/>
                <w:bCs/>
                <w:kern w:val="2"/>
                <w:sz w:val="20"/>
                <w:szCs w:val="20"/>
                <w:lang w:eastAsia="zh-CN"/>
              </w:rPr>
              <w:t>说明：同一关联关系类型有多个主体的，应分行填写。</w:t>
            </w:r>
          </w:p>
        </w:tc>
      </w:tr>
    </w:tbl>
    <w:p>
      <w:pPr>
        <w:widowControl/>
        <w:jc w:val="left"/>
        <w:rPr>
          <w:rFonts w:ascii="宋体" w:eastAsia="宋体" w:hAnsi="宋体" w:cs="宋体"/>
          <w:kern w:val="2"/>
          <w:sz w:val="20"/>
          <w:szCs w:val="22"/>
          <w:lang w:eastAsia="zh-CN"/>
        </w:rPr>
        <w:sectPr>
          <w:pgSz w:w="11906" w:h="16838"/>
          <w:pgMar w:top="1417" w:right="1417" w:bottom="1417" w:left="1701" w:header="851" w:footer="1588" w:gutter="0"/>
          <w:pgNumType w:fmt="numberInDash"/>
          <w:cols w:num="1" w:space="720"/>
          <w:docGrid w:type="lines" w:linePitch="31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六、法定代表人（负责人）证明书</w:t>
      </w:r>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eastAsia="宋体" w:cs="宋体" w:hint="eastAsia"/>
          <w:kern w:val="2"/>
          <w:sz w:val="21"/>
          <w:szCs w:val="21"/>
          <w:lang w:eastAsia="zh-CN" w:bidi="ar"/>
        </w:rPr>
        <w:t>（姓名），现任我单位</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特此证明。</w:t>
      </w:r>
    </w:p>
    <w:p>
      <w:pPr>
        <w:widowControl w:val="0"/>
        <w:spacing w:line="360" w:lineRule="auto"/>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说明：</w:t>
      </w:r>
      <w:r>
        <w:rPr>
          <w:rFonts w:eastAsia="宋体"/>
          <w:b/>
          <w:bCs/>
          <w:color w:val="FF0000"/>
          <w:kern w:val="2"/>
          <w:sz w:val="21"/>
          <w:szCs w:val="21"/>
          <w:lang w:eastAsia="zh-CN" w:bidi="ar"/>
        </w:rPr>
        <w:t>1</w:t>
      </w:r>
      <w:r>
        <w:rPr>
          <w:rFonts w:eastAsia="宋体" w:cs="宋体" w:hint="eastAsia"/>
          <w:b/>
          <w:bCs/>
          <w:color w:val="FF0000"/>
          <w:kern w:val="2"/>
          <w:sz w:val="21"/>
          <w:szCs w:val="21"/>
          <w:lang w:eastAsia="zh-CN" w:bidi="ar"/>
        </w:rPr>
        <w:t>、法定代表人为投标人（企业事业单位、国家机关、社会团体）的主要行政负责人。</w:t>
      </w:r>
    </w:p>
    <w:p>
      <w:pPr>
        <w:widowControl w:val="0"/>
        <w:numPr>
          <w:ilvl w:val="0"/>
          <w:numId w:val="2"/>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2"/>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本项目投标授权代表为法定代表人（负责人）的，无需提供《投标文件签署授权委托书》。</w:t>
      </w:r>
    </w:p>
    <w:p>
      <w:pPr>
        <w:widowControl w:val="0"/>
        <w:numPr>
          <w:ilvl w:val="0"/>
          <w:numId w:val="2"/>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eastAsia="黑体" w:hAnsi="宋体" w:cs="黑体"/>
          <w:bCs/>
          <w:kern w:val="2"/>
          <w:szCs w:val="32"/>
          <w:lang w:eastAsia="zh-CN"/>
        </w:rPr>
      </w:pPr>
      <w:r>
        <w:rPr>
          <w:rFonts w:ascii="黑体" w:eastAsia="黑体" w:hAnsi="宋体" w:cs="黑体" w:hint="eastAsia"/>
          <w:bCs/>
          <w:kern w:val="2"/>
          <w:szCs w:val="32"/>
          <w:lang w:eastAsia="zh-CN"/>
        </w:rPr>
        <w:br w:type="page"/>
      </w:r>
    </w:p>
    <w:p>
      <w:pPr>
        <w:keepNext/>
        <w:keepLines/>
        <w:widowControl/>
        <w:spacing w:before="120" w:after="120" w:line="240" w:lineRule="auto"/>
        <w:jc w:val="center"/>
        <w:outlineLvl w:val="2"/>
        <w:rPr>
          <w:rFonts w:ascii="黑体" w:eastAsia="黑体" w:hAnsi="宋体" w:cs="黑体"/>
          <w:bCs/>
          <w:kern w:val="2"/>
          <w:szCs w:val="32"/>
          <w:lang w:eastAsia="zh-CN"/>
        </w:rPr>
      </w:pPr>
      <w:r>
        <w:rPr>
          <w:rFonts w:ascii="黑体" w:eastAsia="黑体" w:hAnsi="宋体" w:cs="黑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身份证件号：</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r>
        <w:rPr>
          <w:rFonts w:eastAsia="宋体" w:cs="宋体" w:hint="eastAsia"/>
          <w:kern w:val="2"/>
          <w:sz w:val="21"/>
          <w:szCs w:val="21"/>
          <w:lang w:eastAsia="zh-CN" w:bidi="ar"/>
        </w:rPr>
        <w:t>，电子邮箱：</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eastAsia="宋体" w:cs="宋体" w:hint="eastAsia"/>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eastAsia="宋体" w:hAnsi="宋体"/>
          <w:b/>
          <w:bCs/>
          <w:kern w:val="2"/>
          <w:lang w:eastAsia="zh-CN"/>
        </w:rPr>
      </w:pPr>
      <w:r>
        <w:rPr>
          <w:rFonts w:eastAsia="宋体"/>
          <w:b/>
          <w:bCs/>
          <w:kern w:val="2"/>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八、实质性条款响应情况表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9"/>
        <w:gridCol w:w="3359"/>
        <w:gridCol w:w="2907"/>
        <w:gridCol w:w="1352"/>
        <w:gridCol w:w="9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序号</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实质性条款具体内容</w:t>
            </w:r>
          </w:p>
        </w:tc>
        <w:tc>
          <w:tcPr>
            <w:tcW w:w="270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投标响应</w:t>
            </w:r>
          </w:p>
        </w:tc>
        <w:tc>
          <w:tcPr>
            <w:tcW w:w="1256"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偏离情况</w:t>
            </w:r>
          </w:p>
        </w:tc>
        <w:tc>
          <w:tcPr>
            <w:tcW w:w="847"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说明</w:t>
            </w:r>
          </w:p>
        </w:tc>
      </w:tr>
      <w:tr>
        <w:tblPrEx>
          <w:tblW w:w="5000" w:type="pct"/>
          <w:jc w:val="center"/>
          <w:tblLayout w:type="fixed"/>
          <w:tblCellMar>
            <w:top w:w="0" w:type="dxa"/>
            <w:left w:w="108" w:type="dxa"/>
            <w:bottom w:w="0" w:type="dxa"/>
            <w:right w:w="108" w:type="dxa"/>
          </w:tblCellMar>
        </w:tblPrEx>
        <w:trPr>
          <w:jc w:val="center"/>
        </w:trPr>
        <w:tc>
          <w:tcPr>
            <w:tcW w:w="704"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1</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eastAsia="宋体" w:hAnsi="宋体"/>
                <w:sz w:val="21"/>
                <w:szCs w:val="21"/>
                <w:lang w:eastAsia="zh-CN"/>
              </w:rPr>
            </w:pPr>
            <w:r>
              <w:rPr>
                <w:rFonts w:eastAsia="宋体" w:hAnsi="宋体" w:hint="eastAsia"/>
                <w:sz w:val="21"/>
                <w:szCs w:val="21"/>
                <w:lang w:eastAsia="zh-CN"/>
              </w:rPr>
              <w:t>满足本项目标★的条款要求。</w:t>
            </w:r>
          </w:p>
        </w:tc>
        <w:tc>
          <w:tcPr>
            <w:tcW w:w="2700"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c>
          <w:tcPr>
            <w:tcW w:w="1256"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c>
          <w:tcPr>
            <w:tcW w:w="847"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r>
    </w:tbl>
    <w:p>
      <w:pPr>
        <w:widowControl w:val="0"/>
        <w:jc w:val="both"/>
        <w:rPr>
          <w:rFonts w:eastAsia="宋体"/>
          <w:b/>
          <w:kern w:val="2"/>
          <w:szCs w:val="22"/>
          <w:lang w:eastAsia="zh-CN"/>
        </w:rPr>
      </w:pPr>
      <w:r>
        <w:rPr>
          <w:rFonts w:eastAsia="宋体" w:cs="宋体" w:hint="eastAsia"/>
          <w:b/>
          <w:kern w:val="2"/>
          <w:szCs w:val="22"/>
          <w:lang w:eastAsia="zh-CN" w:bidi="ar"/>
        </w:rPr>
        <w:t>注：</w:t>
      </w:r>
      <w:r>
        <w:rPr>
          <w:rFonts w:eastAsia="宋体"/>
          <w:b/>
          <w:kern w:val="2"/>
          <w:szCs w:val="22"/>
          <w:lang w:eastAsia="zh-CN" w:bidi="ar"/>
        </w:rPr>
        <w:t>1.</w:t>
      </w:r>
      <w:r>
        <w:rPr>
          <w:rFonts w:eastAsia="宋体" w:cs="宋体" w:hint="eastAsia"/>
          <w:b/>
          <w:kern w:val="2"/>
          <w:szCs w:val="22"/>
          <w:lang w:eastAsia="zh-CN" w:bidi="ar"/>
        </w:rPr>
        <w:t>上表所列各项均为不可负偏离条款。</w:t>
      </w:r>
    </w:p>
    <w:p>
      <w:pPr>
        <w:widowControl w:val="0"/>
        <w:ind w:firstLine="480" w:firstLineChars="200"/>
        <w:jc w:val="both"/>
        <w:rPr>
          <w:rFonts w:eastAsia="宋体"/>
          <w:b/>
          <w:kern w:val="2"/>
          <w:szCs w:val="22"/>
          <w:lang w:eastAsia="zh-CN"/>
        </w:rPr>
      </w:pPr>
      <w:r>
        <w:rPr>
          <w:rFonts w:eastAsia="宋体"/>
          <w:b/>
          <w:kern w:val="2"/>
          <w:szCs w:val="22"/>
          <w:lang w:eastAsia="zh-CN" w:bidi="ar"/>
        </w:rPr>
        <w:t>2.</w:t>
      </w:r>
      <w:r>
        <w:rPr>
          <w:rFonts w:eastAsia="宋体" w:cs="宋体" w:hint="eastAsia"/>
          <w:b/>
          <w:kern w:val="2"/>
          <w:szCs w:val="22"/>
          <w:lang w:eastAsia="zh-CN" w:bidi="ar"/>
        </w:rPr>
        <w:t>“投标响应”一栏应当详细填写投标人自身响应情况，而不能不合理照搬照抄招实质性条款具体内容。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b/>
          <w:kern w:val="2"/>
          <w:szCs w:val="22"/>
          <w:lang w:eastAsia="zh-CN" w:bidi="ar"/>
        </w:rPr>
        <w:t>3.</w:t>
      </w:r>
      <w:r>
        <w:rPr>
          <w:rFonts w:eastAsia="宋体" w:cs="宋体" w:hint="eastAsia"/>
          <w:b/>
          <w:kern w:val="2"/>
          <w:szCs w:val="22"/>
          <w:lang w:eastAsia="zh-CN" w:bidi="ar"/>
        </w:rPr>
        <w:t>“偏离情况”一栏应填写“正偏离”、“负偏离”或“无偏离”，</w:t>
      </w:r>
      <w:r>
        <w:rPr>
          <w:rFonts w:eastAsia="宋体" w:cs="宋体" w:hint="eastAsia"/>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bidi="ar"/>
        </w:rPr>
        <w:t>4.</w:t>
      </w:r>
      <w:r>
        <w:rPr>
          <w:rFonts w:eastAsia="宋体" w:cs="宋体" w:hint="eastAsia"/>
          <w:b/>
          <w:kern w:val="2"/>
          <w:lang w:eastAsia="zh-CN" w:bidi="ar"/>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bidi="ar"/>
        </w:rPr>
        <w:t>5.</w:t>
      </w:r>
      <w:r>
        <w:rPr>
          <w:rFonts w:eastAsia="宋体" w:cs="宋体" w:hint="eastAsia"/>
          <w:b/>
          <w:kern w:val="2"/>
          <w:szCs w:val="22"/>
          <w:lang w:eastAsia="zh-CN" w:bidi="ar"/>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b/>
          <w:kern w:val="2"/>
          <w:szCs w:val="22"/>
          <w:lang w:eastAsia="zh-CN" w:bidi="ar"/>
        </w:rPr>
        <w:t>6.</w:t>
      </w:r>
      <w:r>
        <w:rPr>
          <w:rFonts w:eastAsia="宋体" w:cs="宋体" w:hint="eastAsia"/>
          <w:b/>
          <w:kern w:val="2"/>
          <w:szCs w:val="22"/>
          <w:lang w:eastAsia="zh-CN" w:bidi="ar"/>
        </w:rPr>
        <w:t>要求提供证明资料，在“说明”一栏中列明证明资料的位置</w:t>
      </w:r>
      <w:r>
        <w:rPr>
          <w:rFonts w:eastAsia="宋体"/>
          <w:b/>
          <w:kern w:val="2"/>
          <w:szCs w:val="22"/>
          <w:lang w:eastAsia="zh-CN" w:bidi="ar"/>
        </w:rPr>
        <w:t>,</w:t>
      </w:r>
      <w:r>
        <w:rPr>
          <w:rFonts w:eastAsia="宋体" w:cs="宋体" w:hint="eastAsia"/>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eastAsia="黑体" w:hAnsi="宋体"/>
          <w:kern w:val="2"/>
          <w:szCs w:val="20"/>
          <w:highlight w:val="yellow"/>
          <w:lang w:eastAsia="zh-CN"/>
        </w:rPr>
      </w:pPr>
      <w:r>
        <w:rPr>
          <w:rFonts w:ascii="黑体" w:eastAsia="黑体" w:hAnsi="宋体"/>
          <w:kern w:val="2"/>
          <w:szCs w:val="20"/>
          <w:highlight w:val="yellow"/>
          <w:lang w:eastAsia="zh-CN"/>
        </w:rPr>
        <w:br w:type="page"/>
      </w:r>
    </w:p>
    <w:p>
      <w:pPr>
        <w:keepNext/>
        <w:keepLines/>
        <w:widowControl w:val="0"/>
        <w:numPr>
          <w:ilvl w:val="0"/>
          <w:numId w:val="3"/>
        </w:numPr>
        <w:bidi w:val="0"/>
        <w:spacing w:before="260" w:after="260" w:line="240" w:lineRule="auto"/>
        <w:jc w:val="center"/>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技术保障措施</w:t>
      </w:r>
      <w:r>
        <w:rPr>
          <w:rFonts w:ascii="黑体" w:eastAsia="黑体" w:hAnsi="黑体" w:cs="黑体" w:hint="eastAsia"/>
          <w:kern w:val="2"/>
          <w:szCs w:val="28"/>
          <w:lang w:eastAsia="zh-CN"/>
        </w:rPr>
        <w:t>（</w:t>
      </w:r>
      <w:r>
        <w:rPr>
          <w:rFonts w:ascii="黑体" w:eastAsia="黑体" w:hAnsi="黑体" w:cs="黑体" w:hint="eastAsia"/>
          <w:kern w:val="2"/>
          <w:szCs w:val="28"/>
          <w:lang w:eastAsia="zh-CN"/>
        </w:rPr>
        <w:t>格式自定</w:t>
      </w:r>
      <w:r>
        <w:rPr>
          <w:rFonts w:ascii="黑体" w:eastAsia="黑体" w:hAnsi="黑体" w:cs="黑体" w:hint="eastAsia"/>
          <w:kern w:val="2"/>
          <w:szCs w:val="28"/>
          <w:lang w:eastAsia="zh-CN"/>
        </w:rPr>
        <w:t>）</w:t>
      </w:r>
    </w:p>
    <w:p>
      <w:pPr>
        <w:widowControl w:val="0"/>
        <w:numPr>
          <w:numId w:val="0"/>
        </w:numPr>
        <w:ind w:left="0" w:firstLine="0"/>
        <w:jc w:val="both"/>
        <w:rPr>
          <w:rFonts w:ascii="黑体" w:eastAsia="黑体" w:hAnsi="黑体" w:cs="黑体" w:hint="eastAsia"/>
          <w:kern w:val="2"/>
          <w:szCs w:val="28"/>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jc w:val="both"/>
        <w:rPr>
          <w:rFonts w:ascii="黑体" w:eastAsia="黑体" w:hAnsi="黑体" w:cs="黑体" w:hint="eastAsia"/>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9"/>
        <w:gridCol w:w="1058"/>
        <w:gridCol w:w="2949"/>
        <w:gridCol w:w="2723"/>
        <w:gridCol w:w="1098"/>
        <w:gridCol w:w="6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序号</w:t>
            </w:r>
          </w:p>
        </w:tc>
        <w:tc>
          <w:tcPr>
            <w:tcW w:w="1134" w:type="dxa"/>
            <w:vAlign w:val="center"/>
          </w:tcPr>
          <w:p>
            <w:pPr>
              <w:widowControl/>
              <w:jc w:val="center"/>
              <w:rPr>
                <w:rFonts w:eastAsia="宋体"/>
                <w:color w:val="000000"/>
                <w:kern w:val="2"/>
                <w:sz w:val="21"/>
                <w:szCs w:val="21"/>
                <w:lang w:eastAsia="zh-CN"/>
              </w:rPr>
            </w:pPr>
            <w:r>
              <w:rPr>
                <w:rFonts w:eastAsia="宋体"/>
                <w:color w:val="000000"/>
                <w:kern w:val="2"/>
                <w:sz w:val="21"/>
                <w:szCs w:val="21"/>
                <w:lang w:eastAsia="zh-CN"/>
              </w:rPr>
              <w:t>货物名称</w:t>
            </w:r>
          </w:p>
        </w:tc>
        <w:tc>
          <w:tcPr>
            <w:tcW w:w="3200" w:type="dxa"/>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招标</w:t>
            </w:r>
            <w:r>
              <w:rPr>
                <w:rFonts w:eastAsia="宋体"/>
                <w:color w:val="000000"/>
                <w:kern w:val="2"/>
                <w:sz w:val="21"/>
                <w:szCs w:val="21"/>
                <w:lang w:eastAsia="zh-CN"/>
              </w:rPr>
              <w:t>技术要求</w:t>
            </w:r>
          </w:p>
        </w:tc>
        <w:tc>
          <w:tcPr>
            <w:tcW w:w="2953" w:type="dxa"/>
            <w:vAlign w:val="center"/>
          </w:tcPr>
          <w:p>
            <w:pPr>
              <w:widowControl w:val="0"/>
              <w:jc w:val="center"/>
              <w:rPr>
                <w:rFonts w:eastAsia="宋体" w:hint="eastAsia"/>
                <w:color w:val="000000"/>
                <w:kern w:val="2"/>
                <w:sz w:val="21"/>
                <w:szCs w:val="21"/>
                <w:lang w:eastAsia="zh-CN"/>
              </w:rPr>
            </w:pPr>
            <w:r>
              <w:rPr>
                <w:rFonts w:eastAsia="宋体" w:hint="eastAsia"/>
                <w:kern w:val="2"/>
                <w:sz w:val="21"/>
                <w:szCs w:val="21"/>
                <w:lang w:eastAsia="zh-CN"/>
              </w:rPr>
              <w:t>投标技术响应</w:t>
            </w:r>
          </w:p>
        </w:tc>
        <w:tc>
          <w:tcPr>
            <w:tcW w:w="1178" w:type="dxa"/>
            <w:vAlign w:val="center"/>
          </w:tcPr>
          <w:p>
            <w:pPr>
              <w:widowControl w:val="0"/>
              <w:jc w:val="center"/>
              <w:rPr>
                <w:rFonts w:eastAsia="宋体" w:hint="eastAsia"/>
                <w:color w:val="000000"/>
                <w:kern w:val="2"/>
                <w:sz w:val="21"/>
                <w:szCs w:val="21"/>
                <w:lang w:eastAsia="zh-CN"/>
              </w:rPr>
            </w:pPr>
            <w:r>
              <w:rPr>
                <w:rFonts w:eastAsia="宋体" w:hint="eastAsia"/>
                <w:kern w:val="2"/>
                <w:sz w:val="21"/>
                <w:szCs w:val="21"/>
                <w:lang w:eastAsia="zh-CN"/>
              </w:rPr>
              <w:t>偏离情况</w:t>
            </w:r>
          </w:p>
        </w:tc>
        <w:tc>
          <w:tcPr>
            <w:tcW w:w="712" w:type="dxa"/>
            <w:vAlign w:val="center"/>
          </w:tcPr>
          <w:p>
            <w:pPr>
              <w:widowControl w:val="0"/>
              <w:jc w:val="center"/>
              <w:rPr>
                <w:rFonts w:eastAsia="宋体" w:hint="eastAsia"/>
                <w:color w:val="000000"/>
                <w:kern w:val="2"/>
                <w:sz w:val="21"/>
                <w:szCs w:val="21"/>
                <w:lang w:eastAsia="zh-CN"/>
              </w:rPr>
            </w:pPr>
            <w:r>
              <w:rPr>
                <w:rFonts w:eastAsia="宋体" w:hint="eastAsia"/>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1</w:t>
            </w:r>
          </w:p>
        </w:tc>
        <w:tc>
          <w:tcPr>
            <w:tcW w:w="1134" w:type="dxa"/>
            <w:vMerge w:val="restart"/>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类脑计算视觉开发套件</w:t>
            </w:r>
          </w:p>
        </w:tc>
        <w:tc>
          <w:tcPr>
            <w:tcW w:w="3200" w:type="dxa"/>
          </w:tcPr>
          <w:p>
            <w:pPr>
              <w:widowControl w:val="0"/>
              <w:jc w:val="both"/>
              <w:rPr>
                <w:rFonts w:eastAsia="宋体"/>
                <w:kern w:val="2"/>
                <w:sz w:val="21"/>
                <w:lang w:eastAsia="zh-CN"/>
              </w:rPr>
            </w:pPr>
            <w:r>
              <w:rPr>
                <w:rFonts w:eastAsia="宋体" w:hint="eastAsia"/>
                <w:color w:val="000000"/>
                <w:kern w:val="2"/>
                <w:sz w:val="21"/>
                <w:szCs w:val="21"/>
                <w:lang w:eastAsia="zh-CN"/>
              </w:rPr>
              <w:t>1</w:t>
            </w:r>
            <w:r>
              <w:rPr>
                <w:rFonts w:eastAsia="宋体"/>
                <w:color w:val="000000"/>
                <w:kern w:val="2"/>
                <w:sz w:val="21"/>
                <w:szCs w:val="21"/>
                <w:lang w:eastAsia="zh-CN"/>
              </w:rPr>
              <w:t>.1</w:t>
            </w:r>
            <w:r>
              <w:rPr>
                <w:rFonts w:eastAsia="宋体" w:hint="eastAsia"/>
                <w:color w:val="000000"/>
                <w:kern w:val="2"/>
                <w:sz w:val="21"/>
                <w:szCs w:val="21"/>
                <w:lang w:eastAsia="zh-CN"/>
              </w:rPr>
              <w:t>脉冲动态视觉传感器 DVS</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1.1.1</w:t>
            </w:r>
            <w:r>
              <w:rPr>
                <w:rFonts w:eastAsia="宋体" w:hint="eastAsia"/>
                <w:b/>
                <w:bCs/>
                <w:color w:val="EE0000"/>
                <w:kern w:val="2"/>
                <w:sz w:val="21"/>
                <w:szCs w:val="21"/>
                <w:lang w:eastAsia="zh-CN"/>
              </w:rPr>
              <w:t>▲支持彩色，且事件输出与彩色帧输出的空间分辨率均不低于</w:t>
            </w:r>
            <w:r>
              <w:rPr>
                <w:rFonts w:eastAsia="宋体"/>
                <w:b/>
                <w:bCs/>
                <w:color w:val="EE0000"/>
                <w:kern w:val="2"/>
                <w:sz w:val="21"/>
                <w:szCs w:val="21"/>
                <w:lang w:eastAsia="zh-CN"/>
              </w:rPr>
              <w:t>346x260</w:t>
            </w:r>
            <w:r>
              <w:rPr>
                <w:rFonts w:eastAsia="宋体" w:hint="eastAsia"/>
                <w:b/>
                <w:bCs/>
                <w:color w:val="EE0000"/>
                <w:kern w:val="2"/>
                <w:sz w:val="21"/>
                <w:szCs w:val="21"/>
                <w:lang w:eastAsia="zh-CN"/>
              </w:rPr>
              <w:t>像素。</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c>
          <w:tcPr>
            <w:tcW w:w="2953" w:type="dxa"/>
          </w:tcPr>
          <w:p>
            <w:pPr>
              <w:widowControl w:val="0"/>
              <w:jc w:val="both"/>
              <w:rPr>
                <w:rFonts w:eastAsia="宋体" w:hint="eastAsia"/>
                <w:b/>
                <w:bCs/>
                <w:color w:val="EE0000"/>
                <w:kern w:val="2"/>
                <w:sz w:val="21"/>
                <w:szCs w:val="21"/>
                <w:lang w:eastAsia="zh-CN"/>
              </w:rPr>
            </w:pPr>
          </w:p>
        </w:tc>
        <w:tc>
          <w:tcPr>
            <w:tcW w:w="1178" w:type="dxa"/>
          </w:tcPr>
          <w:p>
            <w:pPr>
              <w:widowControl w:val="0"/>
              <w:jc w:val="both"/>
              <w:rPr>
                <w:rFonts w:eastAsia="宋体" w:hint="eastAsia"/>
                <w:b/>
                <w:bCs/>
                <w:color w:val="EE0000"/>
                <w:kern w:val="2"/>
                <w:sz w:val="21"/>
                <w:szCs w:val="21"/>
                <w:lang w:eastAsia="zh-CN"/>
              </w:rPr>
            </w:pPr>
          </w:p>
        </w:tc>
        <w:tc>
          <w:tcPr>
            <w:tcW w:w="712" w:type="dxa"/>
          </w:tcPr>
          <w:p>
            <w:pPr>
              <w:widowControl w:val="0"/>
              <w:jc w:val="both"/>
              <w:rPr>
                <w:rFonts w:eastAsia="宋体" w:hint="eastAsia"/>
                <w:b/>
                <w:bCs/>
                <w:color w:val="EE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1.1.2事件输出动态范围高于110 dB。</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1.1.3事件输出延迟≤1毫秒，时间分辨率≤1微秒。</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1.1.4事件吞吐量不低于1200万事件/秒。</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1.1.5</w:t>
            </w:r>
            <w:r>
              <w:rPr>
                <w:rFonts w:eastAsia="宋体" w:hint="eastAsia"/>
                <w:b/>
                <w:bCs/>
                <w:color w:val="EE0000"/>
                <w:kern w:val="2"/>
                <w:sz w:val="21"/>
                <w:szCs w:val="21"/>
                <w:lang w:eastAsia="zh-CN"/>
              </w:rPr>
              <w:t>▲支持直接通过</w:t>
            </w:r>
            <w:r>
              <w:rPr>
                <w:rFonts w:eastAsia="宋体"/>
                <w:b/>
                <w:bCs/>
                <w:color w:val="EE0000"/>
                <w:kern w:val="2"/>
                <w:sz w:val="21"/>
                <w:szCs w:val="21"/>
                <w:lang w:eastAsia="zh-CN"/>
              </w:rPr>
              <w:t>IO</w:t>
            </w:r>
            <w:r>
              <w:rPr>
                <w:rFonts w:eastAsia="宋体" w:hint="eastAsia"/>
                <w:b/>
                <w:bCs/>
                <w:color w:val="EE0000"/>
                <w:kern w:val="2"/>
                <w:sz w:val="21"/>
                <w:szCs w:val="21"/>
                <w:lang w:eastAsia="zh-CN"/>
              </w:rPr>
              <w:t>接口与</w:t>
            </w:r>
            <w:r>
              <w:rPr>
                <w:rFonts w:eastAsia="宋体"/>
                <w:b/>
                <w:bCs/>
                <w:color w:val="EE0000"/>
                <w:kern w:val="2"/>
                <w:sz w:val="21"/>
                <w:szCs w:val="21"/>
                <w:lang w:eastAsia="zh-CN"/>
              </w:rPr>
              <w:t>FPGA</w:t>
            </w:r>
            <w:r>
              <w:rPr>
                <w:rFonts w:eastAsia="宋体" w:hint="eastAsia"/>
                <w:b/>
                <w:bCs/>
                <w:color w:val="EE0000"/>
                <w:kern w:val="2"/>
                <w:sz w:val="21"/>
                <w:szCs w:val="21"/>
                <w:lang w:eastAsia="zh-CN"/>
              </w:rPr>
              <w:t>通信。</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c>
          <w:tcPr>
            <w:tcW w:w="2953" w:type="dxa"/>
          </w:tcPr>
          <w:p>
            <w:pPr>
              <w:widowControl w:val="0"/>
              <w:jc w:val="both"/>
              <w:rPr>
                <w:rFonts w:eastAsia="宋体" w:hint="eastAsia"/>
                <w:b/>
                <w:bCs/>
                <w:color w:val="EE0000"/>
                <w:kern w:val="2"/>
                <w:sz w:val="21"/>
                <w:szCs w:val="21"/>
                <w:lang w:eastAsia="zh-CN"/>
              </w:rPr>
            </w:pPr>
          </w:p>
        </w:tc>
        <w:tc>
          <w:tcPr>
            <w:tcW w:w="1178" w:type="dxa"/>
          </w:tcPr>
          <w:p>
            <w:pPr>
              <w:widowControl w:val="0"/>
              <w:jc w:val="both"/>
              <w:rPr>
                <w:rFonts w:eastAsia="宋体" w:hint="eastAsia"/>
                <w:b/>
                <w:bCs/>
                <w:color w:val="EE0000"/>
                <w:kern w:val="2"/>
                <w:sz w:val="21"/>
                <w:szCs w:val="21"/>
                <w:lang w:eastAsia="zh-CN"/>
              </w:rPr>
            </w:pPr>
          </w:p>
        </w:tc>
        <w:tc>
          <w:tcPr>
            <w:tcW w:w="712" w:type="dxa"/>
          </w:tcPr>
          <w:p>
            <w:pPr>
              <w:widowControl w:val="0"/>
              <w:jc w:val="both"/>
              <w:rPr>
                <w:rFonts w:eastAsia="宋体" w:hint="eastAsia"/>
                <w:b/>
                <w:bCs/>
                <w:color w:val="EE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 FPGA开发板</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1.2.1</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主芯片具备配置不低于四核</w:t>
            </w:r>
            <w:r>
              <w:rPr>
                <w:rFonts w:eastAsia="宋体"/>
                <w:b/>
                <w:bCs/>
                <w:color w:val="EE0000"/>
                <w:kern w:val="2"/>
                <w:sz w:val="21"/>
                <w:szCs w:val="21"/>
                <w:lang w:eastAsia="zh-CN"/>
              </w:rPr>
              <w:t xml:space="preserve">Arm Cortex-A53 + </w:t>
            </w:r>
            <w:r>
              <w:rPr>
                <w:rFonts w:eastAsia="宋体" w:hint="eastAsia"/>
                <w:b/>
                <w:bCs/>
                <w:color w:val="EE0000"/>
                <w:kern w:val="2"/>
                <w:sz w:val="21"/>
                <w:szCs w:val="21"/>
                <w:lang w:eastAsia="zh-CN"/>
              </w:rPr>
              <w:t>双核</w:t>
            </w:r>
            <w:r>
              <w:rPr>
                <w:rFonts w:eastAsia="宋体"/>
                <w:b/>
                <w:bCs/>
                <w:color w:val="EE0000"/>
                <w:kern w:val="2"/>
                <w:sz w:val="21"/>
                <w:szCs w:val="21"/>
                <w:lang w:eastAsia="zh-CN"/>
              </w:rPr>
              <w:t>Arm Cortex-R5F</w:t>
            </w:r>
            <w:r>
              <w:rPr>
                <w:rFonts w:eastAsia="宋体" w:hint="eastAsia"/>
                <w:b/>
                <w:bCs/>
                <w:color w:val="EE0000"/>
                <w:kern w:val="2"/>
                <w:sz w:val="21"/>
                <w:szCs w:val="21"/>
                <w:lang w:eastAsia="zh-CN"/>
              </w:rPr>
              <w:t>的</w:t>
            </w:r>
            <w:r>
              <w:rPr>
                <w:rFonts w:eastAsia="宋体"/>
                <w:b/>
                <w:bCs/>
                <w:color w:val="EE0000"/>
                <w:kern w:val="2"/>
                <w:sz w:val="21"/>
                <w:szCs w:val="21"/>
                <w:lang w:eastAsia="zh-CN"/>
              </w:rPr>
              <w:t>CPU</w:t>
            </w:r>
            <w:r>
              <w:rPr>
                <w:rFonts w:eastAsia="宋体" w:hint="eastAsia"/>
                <w:b/>
                <w:bCs/>
                <w:color w:val="EE0000"/>
                <w:kern w:val="2"/>
                <w:sz w:val="21"/>
                <w:szCs w:val="21"/>
                <w:lang w:eastAsia="zh-CN"/>
              </w:rPr>
              <w:t>；具备配置不低于</w:t>
            </w:r>
            <w:r>
              <w:rPr>
                <w:rFonts w:eastAsia="宋体"/>
                <w:b/>
                <w:bCs/>
                <w:color w:val="EE0000"/>
                <w:kern w:val="2"/>
                <w:sz w:val="21"/>
                <w:szCs w:val="21"/>
                <w:lang w:eastAsia="zh-CN"/>
              </w:rPr>
              <w:t>Mali-400 MP2</w:t>
            </w:r>
            <w:r>
              <w:rPr>
                <w:rFonts w:eastAsia="宋体" w:hint="eastAsia"/>
                <w:b/>
                <w:bCs/>
                <w:color w:val="EE0000"/>
                <w:kern w:val="2"/>
                <w:sz w:val="21"/>
                <w:szCs w:val="21"/>
                <w:lang w:eastAsia="zh-CN"/>
              </w:rPr>
              <w:t>的</w:t>
            </w:r>
            <w:r>
              <w:rPr>
                <w:rFonts w:eastAsia="宋体"/>
                <w:b/>
                <w:bCs/>
                <w:color w:val="EE0000"/>
                <w:kern w:val="2"/>
                <w:sz w:val="21"/>
                <w:szCs w:val="21"/>
                <w:lang w:eastAsia="zh-CN"/>
              </w:rPr>
              <w:t>GPU</w:t>
            </w:r>
            <w:r>
              <w:rPr>
                <w:rFonts w:eastAsia="宋体" w:hint="eastAsia"/>
                <w:b/>
                <w:bCs/>
                <w:color w:val="EE0000"/>
                <w:kern w:val="2"/>
                <w:sz w:val="21"/>
                <w:szCs w:val="21"/>
                <w:lang w:eastAsia="zh-CN"/>
              </w:rPr>
              <w:t>。</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c>
          <w:tcPr>
            <w:tcW w:w="2953" w:type="dxa"/>
          </w:tcPr>
          <w:p>
            <w:pPr>
              <w:widowControl w:val="0"/>
              <w:jc w:val="both"/>
              <w:rPr>
                <w:rFonts w:eastAsia="宋体" w:hint="eastAsia"/>
                <w:b/>
                <w:bCs/>
                <w:color w:val="EE0000"/>
                <w:kern w:val="2"/>
                <w:sz w:val="21"/>
                <w:szCs w:val="21"/>
                <w:lang w:eastAsia="zh-CN"/>
              </w:rPr>
            </w:pPr>
          </w:p>
        </w:tc>
        <w:tc>
          <w:tcPr>
            <w:tcW w:w="1178" w:type="dxa"/>
          </w:tcPr>
          <w:p>
            <w:pPr>
              <w:widowControl w:val="0"/>
              <w:jc w:val="both"/>
              <w:rPr>
                <w:rFonts w:eastAsia="宋体" w:hint="eastAsia"/>
                <w:b/>
                <w:bCs/>
                <w:color w:val="EE0000"/>
                <w:kern w:val="2"/>
                <w:sz w:val="21"/>
                <w:szCs w:val="21"/>
                <w:lang w:eastAsia="zh-CN"/>
              </w:rPr>
            </w:pPr>
          </w:p>
        </w:tc>
        <w:tc>
          <w:tcPr>
            <w:tcW w:w="712" w:type="dxa"/>
          </w:tcPr>
          <w:p>
            <w:pPr>
              <w:widowControl w:val="0"/>
              <w:jc w:val="both"/>
              <w:rPr>
                <w:rFonts w:eastAsia="宋体" w:hint="eastAsia"/>
                <w:b/>
                <w:bCs/>
                <w:color w:val="EE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1.2.2</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主芯片包含≥</w:t>
            </w:r>
            <w:r>
              <w:rPr>
                <w:rFonts w:eastAsia="宋体"/>
                <w:b/>
                <w:bCs/>
                <w:color w:val="EE0000"/>
                <w:kern w:val="2"/>
                <w:sz w:val="21"/>
                <w:szCs w:val="21"/>
                <w:lang w:eastAsia="zh-CN"/>
              </w:rPr>
              <w:t>600,000</w:t>
            </w:r>
            <w:r>
              <w:rPr>
                <w:rFonts w:eastAsia="宋体" w:hint="eastAsia"/>
                <w:b/>
                <w:bCs/>
                <w:color w:val="EE0000"/>
                <w:kern w:val="2"/>
                <w:sz w:val="21"/>
                <w:szCs w:val="21"/>
                <w:lang w:eastAsia="zh-CN"/>
              </w:rPr>
              <w:t>个（±</w:t>
            </w:r>
            <w:r>
              <w:rPr>
                <w:rFonts w:eastAsia="宋体"/>
                <w:b/>
                <w:bCs/>
                <w:color w:val="EE0000"/>
                <w:kern w:val="2"/>
                <w:sz w:val="21"/>
                <w:szCs w:val="21"/>
                <w:lang w:eastAsia="zh-CN"/>
              </w:rPr>
              <w:t>500</w:t>
            </w:r>
            <w:r>
              <w:rPr>
                <w:rFonts w:eastAsia="宋体" w:hint="eastAsia"/>
                <w:b/>
                <w:bCs/>
                <w:color w:val="EE0000"/>
                <w:kern w:val="2"/>
                <w:sz w:val="21"/>
                <w:szCs w:val="21"/>
                <w:lang w:eastAsia="zh-CN"/>
              </w:rPr>
              <w:t>个）逻辑单元。</w:t>
            </w:r>
          </w:p>
          <w:p>
            <w:pPr>
              <w:widowControl w:val="0"/>
              <w:jc w:val="both"/>
              <w:rPr>
                <w:rFonts w:eastAsia="宋体"/>
                <w:b/>
                <w:bCs/>
                <w:color w:val="EE0000"/>
                <w:kern w:val="2"/>
                <w:sz w:val="21"/>
                <w:szCs w:val="21"/>
                <w:lang w:eastAsia="zh-CN"/>
              </w:rPr>
            </w:pPr>
            <w:r>
              <w:rPr>
                <w:rFonts w:eastAsia="宋体" w:hint="eastAsia"/>
                <w:b/>
                <w:bCs/>
                <w:color w:val="EE0000"/>
                <w:kern w:val="2"/>
                <w:sz w:val="21"/>
                <w:lang w:eastAsia="zh-CN"/>
              </w:rPr>
              <w:t>要求投标时</w:t>
            </w:r>
            <w:r>
              <w:rPr>
                <w:rFonts w:eastAsia="宋体" w:hint="eastAsia"/>
                <w:b/>
                <w:bCs/>
                <w:color w:val="EE0000"/>
                <w:kern w:val="2"/>
                <w:sz w:val="21"/>
                <w:szCs w:val="21"/>
                <w:lang w:eastAsia="zh-CN"/>
              </w:rPr>
              <w:t>提供产品说明书扫描件或彩页扫描件作为证明资料，并对相关技术参数响应情况做出标注。</w:t>
            </w:r>
          </w:p>
        </w:tc>
        <w:tc>
          <w:tcPr>
            <w:tcW w:w="2953" w:type="dxa"/>
          </w:tcPr>
          <w:p>
            <w:pPr>
              <w:widowControl w:val="0"/>
              <w:jc w:val="both"/>
              <w:rPr>
                <w:rFonts w:eastAsia="宋体" w:hint="eastAsia"/>
                <w:b/>
                <w:bCs/>
                <w:color w:val="EE0000"/>
                <w:kern w:val="2"/>
                <w:sz w:val="21"/>
                <w:lang w:eastAsia="zh-CN"/>
              </w:rPr>
            </w:pPr>
          </w:p>
        </w:tc>
        <w:tc>
          <w:tcPr>
            <w:tcW w:w="1178" w:type="dxa"/>
          </w:tcPr>
          <w:p>
            <w:pPr>
              <w:widowControl w:val="0"/>
              <w:jc w:val="both"/>
              <w:rPr>
                <w:rFonts w:eastAsia="宋体" w:hint="eastAsia"/>
                <w:b/>
                <w:bCs/>
                <w:color w:val="EE0000"/>
                <w:kern w:val="2"/>
                <w:sz w:val="21"/>
                <w:lang w:eastAsia="zh-CN"/>
              </w:rPr>
            </w:pPr>
          </w:p>
        </w:tc>
        <w:tc>
          <w:tcPr>
            <w:tcW w:w="712" w:type="dxa"/>
          </w:tcPr>
          <w:p>
            <w:pPr>
              <w:widowControl w:val="0"/>
              <w:jc w:val="both"/>
              <w:rPr>
                <w:rFonts w:eastAsia="宋体" w:hint="eastAsia"/>
                <w:b/>
                <w:bCs/>
                <w:color w:val="EE0000"/>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1.2.3 FPGA主芯片的片上总RAM大小不低于40.9 Mb。</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color w:val="000000"/>
                <w:kern w:val="2"/>
                <w:sz w:val="21"/>
                <w:szCs w:val="21"/>
                <w:lang w:eastAsia="zh-CN"/>
              </w:rPr>
            </w:pPr>
            <w:r>
              <w:rPr>
                <w:rFonts w:eastAsia="宋体" w:hint="eastAsia"/>
                <w:color w:val="000000"/>
                <w:kern w:val="2"/>
                <w:sz w:val="21"/>
                <w:szCs w:val="21"/>
                <w:lang w:eastAsia="zh-CN"/>
              </w:rPr>
              <w:t>1.2.4 FPGA主芯片内部集成至少24个传输速率不低于16.3 Gb/s的收发器。</w:t>
            </w:r>
          </w:p>
        </w:tc>
        <w:tc>
          <w:tcPr>
            <w:tcW w:w="2953" w:type="dxa"/>
          </w:tcPr>
          <w:p>
            <w:pPr>
              <w:widowControl w:val="0"/>
              <w:jc w:val="both"/>
              <w:rPr>
                <w:rFonts w:eastAsia="宋体" w:hint="eastAsia"/>
                <w:color w:val="000000"/>
                <w:kern w:val="2"/>
                <w:sz w:val="21"/>
                <w:szCs w:val="21"/>
                <w:lang w:eastAsia="zh-CN"/>
              </w:rPr>
            </w:pPr>
          </w:p>
        </w:tc>
        <w:tc>
          <w:tcPr>
            <w:tcW w:w="1178" w:type="dxa"/>
          </w:tcPr>
          <w:p>
            <w:pPr>
              <w:widowControl w:val="0"/>
              <w:jc w:val="both"/>
              <w:rPr>
                <w:rFonts w:eastAsia="宋体" w:hint="eastAsia"/>
                <w:color w:val="000000"/>
                <w:kern w:val="2"/>
                <w:sz w:val="21"/>
                <w:szCs w:val="21"/>
                <w:lang w:eastAsia="zh-CN"/>
              </w:rPr>
            </w:pPr>
          </w:p>
        </w:tc>
        <w:tc>
          <w:tcPr>
            <w:tcW w:w="712" w:type="dxa"/>
          </w:tcPr>
          <w:p>
            <w:pPr>
              <w:widowControl w:val="0"/>
              <w:jc w:val="both"/>
              <w:rPr>
                <w:rFonts w:eastAsia="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val="0"/>
              <w:jc w:val="center"/>
              <w:rPr>
                <w:rFonts w:eastAsia="宋体"/>
                <w:color w:val="000000"/>
                <w:kern w:val="2"/>
                <w:sz w:val="21"/>
                <w:szCs w:val="21"/>
                <w:lang w:eastAsia="zh-CN"/>
              </w:rPr>
            </w:pPr>
          </w:p>
        </w:tc>
        <w:tc>
          <w:tcPr>
            <w:tcW w:w="3200" w:type="dxa"/>
          </w:tcPr>
          <w:p>
            <w:pPr>
              <w:widowControl w:val="0"/>
              <w:jc w:val="both"/>
              <w:rPr>
                <w:rFonts w:eastAsia="宋体"/>
                <w:b/>
                <w:bCs/>
                <w:color w:val="EE0000"/>
                <w:kern w:val="2"/>
                <w:sz w:val="21"/>
                <w:szCs w:val="21"/>
                <w:lang w:eastAsia="zh-CN"/>
              </w:rPr>
            </w:pPr>
            <w:r>
              <w:rPr>
                <w:rFonts w:eastAsia="宋体"/>
                <w:b/>
                <w:bCs/>
                <w:color w:val="EE0000"/>
                <w:kern w:val="2"/>
                <w:sz w:val="21"/>
                <w:szCs w:val="21"/>
                <w:lang w:eastAsia="zh-CN"/>
              </w:rPr>
              <w:t>1.2.5</w:t>
            </w:r>
            <w:r>
              <w:rPr>
                <w:rFonts w:eastAsia="宋体" w:hint="eastAsia"/>
                <w:b/>
                <w:bCs/>
                <w:color w:val="EE0000"/>
                <w:kern w:val="2"/>
                <w:sz w:val="21"/>
                <w:szCs w:val="21"/>
                <w:lang w:eastAsia="zh-CN"/>
              </w:rPr>
              <w:t>▲</w:t>
            </w:r>
            <w:r>
              <w:rPr>
                <w:rFonts w:eastAsia="宋体"/>
                <w:b/>
                <w:bCs/>
                <w:color w:val="EE0000"/>
                <w:kern w:val="2"/>
                <w:sz w:val="21"/>
                <w:szCs w:val="21"/>
                <w:lang w:eastAsia="zh-CN"/>
              </w:rPr>
              <w:t>FPGA</w:t>
            </w:r>
            <w:r>
              <w:rPr>
                <w:rFonts w:eastAsia="宋体" w:hint="eastAsia"/>
                <w:b/>
                <w:bCs/>
                <w:color w:val="EE0000"/>
                <w:kern w:val="2"/>
                <w:sz w:val="21"/>
                <w:szCs w:val="21"/>
                <w:lang w:eastAsia="zh-CN"/>
              </w:rPr>
              <w:t>开发板至少暴露出</w:t>
            </w:r>
            <w:r>
              <w:rPr>
                <w:rFonts w:eastAsia="宋体"/>
                <w:b/>
                <w:bCs/>
                <w:color w:val="EE0000"/>
                <w:kern w:val="2"/>
                <w:sz w:val="21"/>
                <w:szCs w:val="21"/>
                <w:lang w:eastAsia="zh-CN"/>
              </w:rPr>
              <w:t>13</w:t>
            </w:r>
            <w:r>
              <w:rPr>
                <w:rFonts w:eastAsia="宋体" w:hint="eastAsia"/>
                <w:b/>
                <w:bCs/>
                <w:color w:val="EE0000"/>
                <w:kern w:val="2"/>
                <w:sz w:val="21"/>
                <w:szCs w:val="21"/>
                <w:lang w:eastAsia="zh-CN"/>
              </w:rPr>
              <w:t>个支持</w:t>
            </w:r>
            <w:r>
              <w:rPr>
                <w:rFonts w:eastAsia="宋体"/>
                <w:b/>
                <w:bCs/>
                <w:color w:val="EE0000"/>
                <w:kern w:val="2"/>
                <w:sz w:val="21"/>
                <w:szCs w:val="21"/>
                <w:lang w:eastAsia="zh-CN"/>
              </w:rPr>
              <w:t>3.3V LVCMOS</w:t>
            </w:r>
            <w:r>
              <w:rPr>
                <w:rFonts w:eastAsia="宋体" w:hint="eastAsia"/>
                <w:b/>
                <w:bCs/>
                <w:color w:val="EE0000"/>
                <w:kern w:val="2"/>
                <w:sz w:val="21"/>
                <w:szCs w:val="21"/>
                <w:lang w:eastAsia="zh-CN"/>
              </w:rPr>
              <w:t>的单端</w:t>
            </w:r>
            <w:r>
              <w:rPr>
                <w:rFonts w:eastAsia="宋体"/>
                <w:b/>
                <w:bCs/>
                <w:color w:val="EE0000"/>
                <w:kern w:val="2"/>
                <w:sz w:val="21"/>
                <w:szCs w:val="21"/>
                <w:lang w:eastAsia="zh-CN"/>
              </w:rPr>
              <w:t>GPIO</w:t>
            </w:r>
            <w:r>
              <w:rPr>
                <w:rFonts w:eastAsia="宋体" w:hint="eastAsia"/>
                <w:b/>
                <w:bCs/>
                <w:color w:val="EE0000"/>
                <w:kern w:val="2"/>
                <w:sz w:val="21"/>
                <w:szCs w:val="21"/>
                <w:lang w:eastAsia="zh-CN"/>
              </w:rPr>
              <w:t>。</w:t>
            </w:r>
          </w:p>
          <w:p>
            <w:pPr>
              <w:widowControl w:val="0"/>
              <w:jc w:val="both"/>
              <w:rPr>
                <w:rFonts w:eastAsia="宋体"/>
                <w:b/>
                <w:bCs/>
                <w:color w:val="EE0000"/>
                <w:kern w:val="2"/>
                <w:sz w:val="21"/>
                <w:szCs w:val="21"/>
                <w:lang w:eastAsia="zh-CN"/>
              </w:rPr>
            </w:pPr>
            <w:r>
              <w:rPr>
                <w:rFonts w:eastAsia="宋体" w:hint="eastAsia"/>
                <w:b/>
                <w:bCs/>
                <w:color w:val="EE0000"/>
                <w:kern w:val="2"/>
                <w:sz w:val="21"/>
                <w:szCs w:val="21"/>
                <w:lang w:eastAsia="zh-CN"/>
              </w:rPr>
              <w:t>要求投标时提供产品说明书扫描件或彩页扫描件作为证明资料，并对相关技术参数响应情况做出标注。</w:t>
            </w:r>
          </w:p>
        </w:tc>
        <w:tc>
          <w:tcPr>
            <w:tcW w:w="2953" w:type="dxa"/>
          </w:tcPr>
          <w:p>
            <w:pPr>
              <w:widowControl w:val="0"/>
              <w:jc w:val="both"/>
              <w:rPr>
                <w:rFonts w:eastAsia="宋体" w:hint="eastAsia"/>
                <w:b/>
                <w:bCs/>
                <w:color w:val="EE0000"/>
                <w:kern w:val="2"/>
                <w:sz w:val="21"/>
                <w:szCs w:val="21"/>
                <w:lang w:eastAsia="zh-CN"/>
              </w:rPr>
            </w:pPr>
          </w:p>
        </w:tc>
        <w:tc>
          <w:tcPr>
            <w:tcW w:w="1178" w:type="dxa"/>
          </w:tcPr>
          <w:p>
            <w:pPr>
              <w:widowControl w:val="0"/>
              <w:jc w:val="both"/>
              <w:rPr>
                <w:rFonts w:eastAsia="宋体" w:hint="eastAsia"/>
                <w:b/>
                <w:bCs/>
                <w:color w:val="EE0000"/>
                <w:kern w:val="2"/>
                <w:sz w:val="21"/>
                <w:szCs w:val="21"/>
                <w:lang w:eastAsia="zh-CN"/>
              </w:rPr>
            </w:pPr>
          </w:p>
        </w:tc>
        <w:tc>
          <w:tcPr>
            <w:tcW w:w="712" w:type="dxa"/>
          </w:tcPr>
          <w:p>
            <w:pPr>
              <w:widowControl w:val="0"/>
              <w:jc w:val="both"/>
              <w:rPr>
                <w:rFonts w:eastAsia="宋体" w:hint="eastAsia"/>
                <w:b/>
                <w:bCs/>
                <w:color w:val="EE0000"/>
                <w:kern w:val="2"/>
                <w:sz w:val="21"/>
                <w:szCs w:val="21"/>
                <w:lang w:eastAsia="zh-CN"/>
              </w:rPr>
            </w:pPr>
          </w:p>
        </w:tc>
      </w:tr>
    </w:tbl>
    <w:p>
      <w:pPr>
        <w:widowControl w:val="0"/>
        <w:ind w:firstLine="420" w:firstLineChars="200"/>
        <w:jc w:val="both"/>
        <w:rPr>
          <w:rFonts w:eastAsia="宋体"/>
          <w:kern w:val="2"/>
          <w:sz w:val="21"/>
          <w:lang w:eastAsia="zh-CN"/>
        </w:rPr>
      </w:pPr>
      <w:r>
        <w:rPr>
          <w:rFonts w:eastAsia="宋体" w:hint="eastAsia"/>
          <w:kern w:val="2"/>
          <w:sz w:val="21"/>
          <w:lang w:eastAsia="zh-CN"/>
        </w:rPr>
        <w:t>证明资料【如有的话，提供的证明资料应统一编号（排序），格式自定】：</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《技术要求偏离表》编制指引：</w:t>
      </w:r>
    </w:p>
    <w:p>
      <w:pPr>
        <w:widowControl w:val="0"/>
        <w:ind w:firstLine="420" w:firstLineChars="200"/>
        <w:jc w:val="both"/>
        <w:rPr>
          <w:rFonts w:eastAsia="宋体"/>
          <w:kern w:val="2"/>
          <w:sz w:val="21"/>
          <w:lang w:eastAsia="zh-CN"/>
        </w:rPr>
      </w:pPr>
      <w:r>
        <w:rPr>
          <w:rFonts w:eastAsia="宋体" w:hint="eastAsia"/>
          <w:kern w:val="2"/>
          <w:sz w:val="21"/>
          <w:lang w:eastAsia="zh-CN"/>
        </w:rPr>
        <w:t>1、技术要求偏离表的序号、货物名称、招标技术要求等栏目对应“用户需求书”中的“技术要求”章节相关内容。</w:t>
      </w:r>
    </w:p>
    <w:p>
      <w:pPr>
        <w:widowControl w:val="0"/>
        <w:ind w:firstLine="420" w:firstLineChars="200"/>
        <w:jc w:val="both"/>
        <w:rPr>
          <w:rFonts w:eastAsia="宋体"/>
          <w:color w:val="FF0000"/>
          <w:kern w:val="2"/>
          <w:sz w:val="21"/>
          <w:lang w:eastAsia="zh-CN"/>
        </w:rPr>
      </w:pPr>
      <w:r>
        <w:rPr>
          <w:rFonts w:eastAsia="宋体"/>
          <w:kern w:val="2"/>
          <w:sz w:val="21"/>
          <w:lang w:eastAsia="zh-CN"/>
        </w:rPr>
        <w:t>2</w:t>
      </w:r>
      <w:r>
        <w:rPr>
          <w:rFonts w:eastAsia="宋体" w:hint="eastAsia"/>
          <w:kern w:val="2"/>
          <w:sz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color w:val="FF0000"/>
          <w:kern w:val="2"/>
          <w:sz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color w:val="FF0000"/>
          <w:kern w:val="2"/>
          <w:sz w:val="21"/>
          <w:lang w:eastAsia="zh-CN"/>
        </w:rPr>
      </w:pPr>
      <w:r>
        <w:rPr>
          <w:rFonts w:eastAsia="宋体"/>
          <w:kern w:val="2"/>
          <w:sz w:val="21"/>
          <w:lang w:eastAsia="zh-CN"/>
        </w:rPr>
        <w:t>3</w:t>
      </w:r>
      <w:r>
        <w:rPr>
          <w:rFonts w:eastAsia="宋体" w:hint="eastAsia"/>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color w:val="FF0000"/>
          <w:kern w:val="2"/>
          <w:sz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kern w:val="2"/>
          <w:sz w:val="21"/>
          <w:lang w:eastAsia="zh-CN"/>
        </w:rPr>
      </w:pPr>
      <w:r>
        <w:rPr>
          <w:rFonts w:eastAsia="宋体"/>
          <w:kern w:val="2"/>
          <w:sz w:val="21"/>
          <w:lang w:eastAsia="zh-CN"/>
        </w:rPr>
        <w:t>4</w:t>
      </w:r>
      <w:r>
        <w:rPr>
          <w:rFonts w:eastAsia="宋体" w:hint="eastAsia"/>
          <w:kern w:val="2"/>
          <w:sz w:val="21"/>
          <w:lang w:eastAsia="zh-CN"/>
        </w:rPr>
        <w:t>、未要求提供证明资料的招标技术要求，可以不提供证明资料（如实响应即可）。</w:t>
      </w:r>
    </w:p>
    <w:p>
      <w:pPr>
        <w:widowControl w:val="0"/>
        <w:ind w:firstLine="420" w:firstLineChars="200"/>
        <w:jc w:val="both"/>
        <w:rPr>
          <w:rFonts w:eastAsia="宋体"/>
          <w:kern w:val="2"/>
          <w:sz w:val="21"/>
          <w:lang w:eastAsia="zh-CN"/>
        </w:rPr>
      </w:pPr>
      <w:r>
        <w:rPr>
          <w:rFonts w:eastAsia="宋体" w:hint="eastAsia"/>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ind w:firstLine="420" w:firstLineChars="200"/>
        <w:jc w:val="both"/>
        <w:rPr>
          <w:rFonts w:eastAsia="宋体"/>
          <w:kern w:val="2"/>
          <w:sz w:val="21"/>
          <w:lang w:eastAsia="zh-CN"/>
        </w:rPr>
      </w:pPr>
      <w:r>
        <w:rPr>
          <w:rFonts w:eastAsia="宋体" w:hint="eastAsia"/>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widowControl w:val="0"/>
        <w:ind w:firstLine="420" w:firstLineChars="200"/>
        <w:jc w:val="both"/>
        <w:rPr>
          <w:rFonts w:eastAsia="宋体"/>
          <w:kern w:val="2"/>
          <w:sz w:val="21"/>
          <w:lang w:eastAsia="zh-CN"/>
        </w:rPr>
      </w:pPr>
      <w:r>
        <w:rPr>
          <w:rFonts w:eastAsia="宋体" w:hint="eastAsia"/>
          <w:kern w:val="2"/>
          <w:sz w:val="21"/>
          <w:lang w:eastAsia="zh-CN"/>
        </w:rPr>
        <w:t>7、证明资料的形式及其它具体要求：</w:t>
      </w:r>
    </w:p>
    <w:p>
      <w:pPr>
        <w:widowControl w:val="0"/>
        <w:ind w:firstLine="420" w:firstLineChars="200"/>
        <w:jc w:val="both"/>
        <w:rPr>
          <w:rFonts w:eastAsia="宋体"/>
          <w:kern w:val="2"/>
          <w:sz w:val="21"/>
          <w:lang w:eastAsia="zh-CN"/>
        </w:rPr>
      </w:pPr>
      <w:r>
        <w:rPr>
          <w:rFonts w:eastAsia="宋体" w:hint="eastAsia"/>
          <w:kern w:val="2"/>
          <w:sz w:val="21"/>
          <w:lang w:eastAsia="zh-CN"/>
        </w:rPr>
        <w:t>（1）除照片、图片（截图）及不需加盖公章的文字说明（技术说明）外，其它证明资料均要求为原件扫描件；</w:t>
      </w:r>
    </w:p>
    <w:p>
      <w:pPr>
        <w:widowControl w:val="0"/>
        <w:ind w:firstLine="420" w:firstLineChars="200"/>
        <w:jc w:val="both"/>
        <w:rPr>
          <w:rFonts w:eastAsia="宋体"/>
          <w:kern w:val="2"/>
          <w:sz w:val="21"/>
          <w:lang w:eastAsia="zh-CN"/>
        </w:rPr>
      </w:pPr>
      <w:r>
        <w:rPr>
          <w:rFonts w:eastAsia="宋体" w:hint="eastAsia"/>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kern w:val="2"/>
          <w:sz w:val="21"/>
          <w:lang w:eastAsia="zh-CN"/>
        </w:rPr>
      </w:pPr>
      <w:r>
        <w:rPr>
          <w:rFonts w:eastAsia="宋体" w:hint="eastAsia"/>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其它证明资料的形式要求参照以上要求执行；</w:t>
      </w:r>
    </w:p>
    <w:p>
      <w:pPr>
        <w:widowControl w:val="0"/>
        <w:ind w:firstLine="420" w:firstLineChars="200"/>
        <w:jc w:val="both"/>
        <w:rPr>
          <w:rFonts w:eastAsia="宋体"/>
          <w:kern w:val="2"/>
          <w:sz w:val="21"/>
          <w:lang w:eastAsia="zh-CN"/>
        </w:rPr>
      </w:pPr>
      <w:r>
        <w:rPr>
          <w:rFonts w:eastAsia="宋体" w:hint="eastAsia"/>
          <w:kern w:val="2"/>
          <w:sz w:val="21"/>
          <w:lang w:eastAsia="zh-CN"/>
        </w:rPr>
        <w:t>8、其它注意事项：</w:t>
      </w:r>
    </w:p>
    <w:p>
      <w:pPr>
        <w:widowControl w:val="0"/>
        <w:ind w:firstLine="420" w:firstLineChars="200"/>
        <w:jc w:val="both"/>
        <w:rPr>
          <w:rFonts w:eastAsia="宋体"/>
          <w:kern w:val="2"/>
          <w:sz w:val="21"/>
          <w:lang w:eastAsia="zh-CN"/>
        </w:rPr>
      </w:pPr>
      <w:r>
        <w:rPr>
          <w:rFonts w:eastAsia="宋体" w:hint="eastAsia"/>
          <w:kern w:val="2"/>
          <w:sz w:val="21"/>
          <w:lang w:eastAsia="zh-CN"/>
        </w:rPr>
        <w:t>（1）评审委员会有权对投标人的响应情况作出判断（评审结论）；</w:t>
      </w:r>
    </w:p>
    <w:p>
      <w:pPr>
        <w:widowControl w:val="0"/>
        <w:ind w:firstLine="420" w:firstLineChars="200"/>
        <w:jc w:val="both"/>
        <w:rPr>
          <w:rFonts w:eastAsia="宋体"/>
          <w:kern w:val="2"/>
          <w:sz w:val="21"/>
          <w:lang w:eastAsia="zh-CN"/>
        </w:rPr>
      </w:pPr>
      <w:r>
        <w:rPr>
          <w:rFonts w:eastAsia="宋体" w:hint="eastAsia"/>
          <w:kern w:val="2"/>
          <w:sz w:val="21"/>
          <w:lang w:eastAsia="zh-CN"/>
        </w:rPr>
        <w:t>（2）评审委员会有权对以谋取中标为目的的技术规格模糊响应（如有意不合理照搬照抄招标文件的技术要求）或虚假响应予以认定。</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一</w:t>
      </w:r>
      <w:r>
        <w:rPr>
          <w:rFonts w:ascii="黑体" w:eastAsia="黑体" w:hAnsi="黑体" w:cs="黑体" w:hint="eastAsia"/>
          <w:kern w:val="2"/>
          <w:szCs w:val="28"/>
          <w:lang w:eastAsia="zh-CN"/>
        </w:rPr>
        <w:t>、商务要求偏离表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250"/>
        <w:gridCol w:w="2663"/>
        <w:gridCol w:w="2580"/>
        <w:gridCol w:w="1023"/>
        <w:gridCol w:w="102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40"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427"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商务需求项</w:t>
            </w:r>
          </w:p>
        </w:tc>
        <w:tc>
          <w:tcPr>
            <w:tcW w:w="3086"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招标商务要求</w:t>
            </w:r>
          </w:p>
        </w:tc>
        <w:tc>
          <w:tcPr>
            <w:tcW w:w="2989"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投标商务响应</w:t>
            </w:r>
          </w:p>
        </w:tc>
        <w:tc>
          <w:tcPr>
            <w:tcW w:w="1160"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偏离情况</w:t>
            </w:r>
          </w:p>
        </w:tc>
        <w:tc>
          <w:tcPr>
            <w:tcW w:w="1160"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280"/>
          <w:jc w:val="center"/>
        </w:trPr>
        <w:tc>
          <w:tcPr>
            <w:tcW w:w="10662" w:type="dxa"/>
            <w:gridSpan w:val="6"/>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42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w:t>
            </w:r>
          </w:p>
        </w:tc>
        <w:tc>
          <w:tcPr>
            <w:tcW w:w="308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原厂保修，货物保修期3年，自最终验收合格之日起计算。</w:t>
            </w:r>
          </w:p>
        </w:tc>
        <w:tc>
          <w:tcPr>
            <w:tcW w:w="2989"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42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维修响应及故障解决时间</w:t>
            </w:r>
          </w:p>
        </w:tc>
        <w:tc>
          <w:tcPr>
            <w:tcW w:w="308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中标人保证在接到通知后2小时内响应，24小时内赶到现场进行修理完毕或者更换硬件以保证回复正常运行。如果无法修复成功，需48小时内提供具备同等功能的备用机器以避免影响正常使用。</w:t>
            </w:r>
          </w:p>
        </w:tc>
        <w:tc>
          <w:tcPr>
            <w:tcW w:w="2989"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42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培训方案</w:t>
            </w:r>
          </w:p>
        </w:tc>
        <w:tc>
          <w:tcPr>
            <w:tcW w:w="308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中标人应负责联系原厂工程师至采购人单位提供培训服务，培训次数不少于3次，总时长不少于6小时。培训内容应包括但不限于：脉冲动态视觉传感器使用、FPGA开发板使用等。无法提供上述培训服务的，需提供配套产品技术资料与教学材料。</w:t>
            </w:r>
          </w:p>
        </w:tc>
        <w:tc>
          <w:tcPr>
            <w:tcW w:w="2989"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142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关于报价</w:t>
            </w:r>
          </w:p>
        </w:tc>
        <w:tc>
          <w:tcPr>
            <w:tcW w:w="3086" w:type="dxa"/>
            <w:vAlign w:val="center"/>
          </w:tcPr>
          <w:p>
            <w:pPr>
              <w:widowControl w:val="0"/>
              <w:jc w:val="both"/>
              <w:rPr>
                <w:rFonts w:ascii="宋体" w:eastAsia="宋体" w:hAnsi="宋体" w:cs="宋体"/>
                <w:bCs/>
                <w:kern w:val="2"/>
                <w:sz w:val="21"/>
                <w:szCs w:val="21"/>
                <w:lang w:eastAsia="zh-CN"/>
              </w:rPr>
            </w:pPr>
            <w:r>
              <w:rPr>
                <w:rFonts w:eastAsia="宋体" w:hint="eastAsia"/>
                <w:kern w:val="2"/>
                <w:sz w:val="21"/>
                <w:lang w:eastAsia="zh-CN"/>
              </w:rPr>
              <w:t>保修期内产生的费用均已包含在投标报价中。</w:t>
            </w:r>
          </w:p>
        </w:tc>
        <w:tc>
          <w:tcPr>
            <w:tcW w:w="2989" w:type="dxa"/>
            <w:vAlign w:val="center"/>
          </w:tcPr>
          <w:p>
            <w:pPr>
              <w:widowControl w:val="0"/>
              <w:jc w:val="both"/>
              <w:rPr>
                <w:rFonts w:eastAsia="宋体" w:hint="eastAsia"/>
                <w:kern w:val="2"/>
                <w:sz w:val="21"/>
                <w:lang w:eastAsia="zh-CN"/>
              </w:rPr>
            </w:pPr>
          </w:p>
        </w:tc>
        <w:tc>
          <w:tcPr>
            <w:tcW w:w="1160" w:type="dxa"/>
            <w:vAlign w:val="center"/>
          </w:tcPr>
          <w:p>
            <w:pPr>
              <w:widowControl w:val="0"/>
              <w:jc w:val="both"/>
              <w:rPr>
                <w:rFonts w:eastAsia="宋体" w:hint="eastAsia"/>
                <w:kern w:val="2"/>
                <w:sz w:val="21"/>
                <w:lang w:eastAsia="zh-CN"/>
              </w:rPr>
            </w:pPr>
          </w:p>
        </w:tc>
        <w:tc>
          <w:tcPr>
            <w:tcW w:w="1160" w:type="dxa"/>
            <w:vAlign w:val="center"/>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277"/>
          <w:jc w:val="center"/>
        </w:trPr>
        <w:tc>
          <w:tcPr>
            <w:tcW w:w="10662" w:type="dxa"/>
            <w:gridSpan w:val="6"/>
            <w:vAlign w:val="center"/>
          </w:tcPr>
          <w:p>
            <w:pPr>
              <w:widowControl w:val="0"/>
              <w:spacing w:line="36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（二）保修期外售后服务要求</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42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维修零配件、消耗品和延续保修合同的报价</w:t>
            </w:r>
          </w:p>
        </w:tc>
        <w:tc>
          <w:tcPr>
            <w:tcW w:w="3086" w:type="dxa"/>
            <w:vAlign w:val="center"/>
          </w:tcPr>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保修期满后，仍然继续提供产品维护服务。对产品的问题响应时间不超过72小时。若产品需要维修或更新，应在双方充分沟通的情况下及时满足客户的要求，所产生的费用按照双方协商的成本价格进行收取。</w:t>
            </w:r>
          </w:p>
        </w:tc>
        <w:tc>
          <w:tcPr>
            <w:tcW w:w="2989"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c>
          <w:tcPr>
            <w:tcW w:w="1160" w:type="dxa"/>
            <w:vAlign w:val="center"/>
          </w:tcPr>
          <w:p>
            <w:pPr>
              <w:widowControl w:val="0"/>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10662" w:type="dxa"/>
            <w:gridSpan w:val="6"/>
            <w:vAlign w:val="center"/>
          </w:tcPr>
          <w:p>
            <w:pPr>
              <w:widowControl w:val="0"/>
              <w:spacing w:line="36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（三）其他商务要求</w:t>
            </w:r>
          </w:p>
        </w:tc>
      </w:tr>
      <w:tr>
        <w:tblPrEx>
          <w:tblW w:w="5000" w:type="pct"/>
          <w:jc w:val="center"/>
          <w:tblLayout w:type="fixed"/>
          <w:tblCellMar>
            <w:top w:w="0" w:type="dxa"/>
            <w:left w:w="108" w:type="dxa"/>
            <w:bottom w:w="0" w:type="dxa"/>
            <w:right w:w="108" w:type="dxa"/>
          </w:tblCellMar>
        </w:tblPrEx>
        <w:trPr>
          <w:trHeight w:val="138"/>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427"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★交货及付款要求</w:t>
            </w: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1.1交货地点：深圳河套学院.</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1.2交货义务：中标人应负责完成以下交货相关义务，包括但不限于货物的运输、搬运、安装、调试、验收配合、检测服务，并应向采购人提供完整的货物操作说明书、图纸及相关技术资料。</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6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1.3交货期限：签订合同后30天（日历日）内交货。</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6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1.4付款期限和方式：</w:t>
            </w:r>
            <w:r>
              <w:rPr>
                <w:rFonts w:eastAsia="宋体" w:hint="eastAsia"/>
                <w:kern w:val="2"/>
                <w:sz w:val="21"/>
                <w:lang w:eastAsia="zh-CN"/>
              </w:rPr>
              <w:t>合同生效且本项目资金下达，并收到政府拨付资金后，采购人根据实际情况通知中标人开票，中标人将全部货物送达采购人指定地点，并在收到中标人相应发票之后支付合同总额的50%；完成安装、调试及验收合格后，采购人根据实际情况通知中标人开票，并在收到相应发票后支付合同总额的50%。中标人迟延提供前述发票的，采购人有权相应顺延支付货款的时间且无需承担任何违约责任。</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4"/>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427"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★关于验收</w:t>
            </w: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2.1采购人和中标人应在交付时对货物进行开箱验货，以确认货物的数量、型号、规格等是否符合合同要求。</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2.2如货物经安装、调试、试运行后验收的，中标人应在货物到货并经开箱验货合格后3日内完成货物安装、调试的所有工作。</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2.3采购人验收合格前，除货物已由采购人实际使用的情况外，货物的一切风险（包括但不限于货物的损毁、灭失及可能的侵权等），均由中标人承担。</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9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2.4验收时，双方按照合同约定及时对交付的货物进行验收，中标人应配合采购人的履约检查及验收。</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92"/>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2.5中标人货物经过采购人组织的验收后，中标人需提供产品保修文件。</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40" w:type="dxa"/>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427" w:type="dxa"/>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检测验证</w:t>
            </w:r>
          </w:p>
        </w:tc>
        <w:tc>
          <w:tcPr>
            <w:tcW w:w="3086"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c>
          <w:tcPr>
            <w:tcW w:w="2989"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160"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8"/>
          <w:jc w:val="center"/>
        </w:trPr>
        <w:tc>
          <w:tcPr>
            <w:tcW w:w="840" w:type="dxa"/>
            <w:vMerge w:val="restart"/>
            <w:vAlign w:val="center"/>
          </w:tcPr>
          <w:p>
            <w:pPr>
              <w:widowControl w:val="0"/>
              <w:spacing w:line="360" w:lineRule="exact"/>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w:t>
            </w:r>
          </w:p>
        </w:tc>
        <w:tc>
          <w:tcPr>
            <w:tcW w:w="1427" w:type="dxa"/>
            <w:vMerge w:val="restart"/>
            <w:vAlign w:val="center"/>
          </w:tcPr>
          <w:p>
            <w:pPr>
              <w:widowControl w:val="0"/>
              <w:spacing w:line="360" w:lineRule="exact"/>
              <w:jc w:val="center"/>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违约责任</w:t>
            </w:r>
          </w:p>
        </w:tc>
        <w:tc>
          <w:tcPr>
            <w:tcW w:w="308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4.1中标人不能交货的，需偿付不能交货部分货款的5%的违约金并按主管部门相关规定处理。</w:t>
            </w:r>
          </w:p>
        </w:tc>
        <w:tc>
          <w:tcPr>
            <w:tcW w:w="2989"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4.2中标人逾期交货的，应当承担继续履行、采取补救措施或者赔偿损失等违约责任。</w:t>
            </w:r>
          </w:p>
        </w:tc>
        <w:tc>
          <w:tcPr>
            <w:tcW w:w="2989"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36"/>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427"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86" w:type="dxa"/>
          </w:tcPr>
          <w:p>
            <w:pPr>
              <w:widowControl w:val="0"/>
              <w:spacing w:line="360" w:lineRule="exact"/>
              <w:jc w:val="both"/>
              <w:rPr>
                <w:rFonts w:ascii="宋体" w:eastAsia="宋体" w:hAnsi="宋体" w:cs="宋体"/>
                <w:color w:val="000000"/>
                <w:kern w:val="2"/>
                <w:sz w:val="21"/>
                <w:szCs w:val="21"/>
                <w:lang w:eastAsia="zh-CN"/>
              </w:rPr>
            </w:pPr>
            <w:r>
              <w:rPr>
                <w:rFonts w:eastAsia="宋体" w:hint="eastAsia"/>
                <w:kern w:val="2"/>
                <w:sz w:val="21"/>
                <w:lang w:eastAsia="zh-CN"/>
              </w:rPr>
              <w:t>4.3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2989"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c>
          <w:tcPr>
            <w:tcW w:w="1160" w:type="dxa"/>
          </w:tcPr>
          <w:p>
            <w:pPr>
              <w:widowControl w:val="0"/>
              <w:spacing w:line="360" w:lineRule="exact"/>
              <w:jc w:val="both"/>
              <w:rPr>
                <w:rFonts w:eastAsia="宋体" w:hint="eastAsia"/>
                <w:kern w:val="2"/>
                <w:sz w:val="21"/>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ind w:firstLine="0"/>
        <w:jc w:val="both"/>
        <w:rPr>
          <w:rFonts w:ascii="宋体" w:eastAsia="宋体" w:hAnsi="宋体" w:cs="宋体"/>
          <w:kern w:val="2"/>
          <w:szCs w:val="20"/>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十二、</w:t>
      </w:r>
      <w:r>
        <w:rPr>
          <w:rFonts w:ascii="黑体" w:eastAsia="黑体" w:hAnsi="黑体" w:cs="黑体" w:hint="eastAsia"/>
          <w:kern w:val="2"/>
          <w:szCs w:val="28"/>
          <w:lang w:eastAsia="zh-CN"/>
        </w:rPr>
        <w:t>投标人同类业绩</w:t>
      </w:r>
    </w:p>
    <w:tbl>
      <w:tblPr>
        <w:tblStyle w:val="TableNormal"/>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9"/>
        <w:gridCol w:w="1544"/>
        <w:gridCol w:w="2162"/>
        <w:gridCol w:w="925"/>
        <w:gridCol w:w="1081"/>
        <w:gridCol w:w="2378"/>
      </w:tblGrid>
      <w:tr>
        <w:tblPrEx>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645"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采购人</w:t>
            </w:r>
          </w:p>
        </w:tc>
        <w:tc>
          <w:tcPr>
            <w:tcW w:w="831"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项目名称</w:t>
            </w:r>
          </w:p>
        </w:tc>
        <w:tc>
          <w:tcPr>
            <w:tcW w:w="1164"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项目规模（金额）</w:t>
            </w:r>
          </w:p>
        </w:tc>
        <w:tc>
          <w:tcPr>
            <w:tcW w:w="498"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合同签订日期</w:t>
            </w:r>
          </w:p>
        </w:tc>
        <w:tc>
          <w:tcPr>
            <w:tcW w:w="582"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履约验收时间</w:t>
            </w:r>
          </w:p>
        </w:tc>
        <w:tc>
          <w:tcPr>
            <w:tcW w:w="1280"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完成质量情况（以履约验收报告为准）</w:t>
            </w: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r>
              <w:rPr>
                <w:rFonts w:ascii="宋体" w:eastAsia="宋体" w:hAnsi="宋体"/>
                <w:kern w:val="2"/>
                <w:sz w:val="20"/>
                <w:szCs w:val="21"/>
                <w:lang w:eastAsia="zh-CN"/>
              </w:rPr>
              <w:t>……</w:t>
            </w: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p>
            <w:pPr>
              <w:widowControl w:val="0"/>
              <w:jc w:val="both"/>
              <w:rPr>
                <w:rFonts w:eastAsia="宋体"/>
                <w:kern w:val="2"/>
                <w:sz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bl>
    <w:p>
      <w:pPr>
        <w:widowControl w:val="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left"/>
        <w:rPr>
          <w:rFonts w:eastAsia="宋体"/>
          <w:color w:val="FF0000"/>
          <w:kern w:val="2"/>
          <w:lang w:eastAsia="zh-CN"/>
        </w:rPr>
      </w:pPr>
    </w:p>
    <w:p>
      <w:pPr>
        <w:widowControl w:val="0"/>
        <w:jc w:val="both"/>
        <w:rPr>
          <w:rFonts w:eastAsia="宋体"/>
          <w:kern w:val="2"/>
          <w:sz w:val="21"/>
          <w:lang w:eastAsia="zh-CN"/>
        </w:rPr>
      </w:pPr>
    </w:p>
    <w:p>
      <w:pPr>
        <w:widowControl w:val="0"/>
        <w:jc w:val="both"/>
        <w:rPr>
          <w:rFonts w:ascii="黑体" w:eastAsia="黑体" w:hAnsi="黑体" w:cs="黑体"/>
          <w:kern w:val="2"/>
          <w:szCs w:val="28"/>
          <w:lang w:eastAsia="zh-CN"/>
        </w:rPr>
      </w:pPr>
      <w:r>
        <w:rPr>
          <w:rFonts w:ascii="宋体" w:eastAsia="宋体" w:hAnsi="宋体" w:hint="eastAsia"/>
          <w:b/>
          <w:color w:val="FF0000"/>
          <w:kern w:val="2"/>
          <w:sz w:val="28"/>
          <w:szCs w:val="28"/>
          <w:lang w:eastAsia="zh-CN"/>
        </w:rPr>
        <w:br w:type="page"/>
      </w: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三</w:t>
      </w:r>
      <w:r>
        <w:rPr>
          <w:rFonts w:ascii="黑体" w:eastAsia="黑体" w:hAnsi="黑体" w:cs="黑体" w:hint="eastAsia"/>
          <w:kern w:val="2"/>
          <w:szCs w:val="28"/>
          <w:lang w:eastAsia="zh-CN"/>
        </w:rPr>
        <w:t>、投标人认为需要加以说明的其他内容</w:t>
      </w:r>
    </w:p>
    <w:p>
      <w:pPr>
        <w:widowControl/>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widowControl w:val="0"/>
        <w:spacing w:after="120" w:afterLines="50" w:line="36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84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b/>
                <w:bCs/>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与其他投标供应商的法定代表人、主要经营负责人、投标授权代表人、项目负责人、主要技术人员为</w:t>
            </w:r>
            <w:r>
              <w:rPr>
                <w:rFonts w:ascii="宋体" w:hAnsi="宋体" w:cs="宋体" w:hint="eastAsia"/>
                <w:b/>
                <w:bCs/>
                <w:kern w:val="2"/>
                <w:sz w:val="21"/>
                <w:szCs w:val="21"/>
                <w:lang w:eastAsia="zh-CN" w:bidi="ar"/>
              </w:rPr>
              <w:t>同一人、属同一单位或者在同一单位缴纳社会保险</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参与本项目采购活动时，与其他投标供应商存在单位负责人为</w:t>
            </w:r>
            <w:r>
              <w:rPr>
                <w:rFonts w:ascii="宋体" w:hAnsi="宋体" w:cs="宋体" w:hint="eastAsia"/>
                <w:b/>
                <w:bCs/>
                <w:kern w:val="2"/>
                <w:sz w:val="21"/>
                <w:szCs w:val="21"/>
                <w:lang w:eastAsia="zh-CN" w:bidi="ar"/>
              </w:rPr>
              <w:t>同一人或直接控股、管理关系</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与其他投标供应商的投标文件或部分投标文件</w:t>
            </w:r>
            <w:r>
              <w:rPr>
                <w:rFonts w:ascii="宋体" w:hAnsi="宋体" w:cs="宋体" w:hint="eastAsia"/>
                <w:b/>
                <w:bCs/>
                <w:kern w:val="2"/>
                <w:sz w:val="21"/>
                <w:szCs w:val="21"/>
                <w:lang w:eastAsia="zh-CN" w:bidi="ar"/>
              </w:rPr>
              <w:t>相互混装或存在非正常一致</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与其他投标供应商的投标文件由</w:t>
            </w:r>
            <w:r>
              <w:rPr>
                <w:rFonts w:ascii="宋体" w:hAnsi="宋体" w:cs="宋体" w:hint="eastAsia"/>
                <w:b/>
                <w:bCs/>
                <w:kern w:val="2"/>
                <w:sz w:val="21"/>
                <w:szCs w:val="21"/>
                <w:lang w:eastAsia="zh-CN" w:bidi="ar"/>
              </w:rPr>
              <w:t>同一单位或者同一人编制</w:t>
            </w:r>
            <w:r>
              <w:rPr>
                <w:rFonts w:ascii="宋体" w:hAnsi="宋体" w:cs="宋体" w:hint="eastAsia"/>
                <w:kern w:val="2"/>
                <w:sz w:val="21"/>
                <w:szCs w:val="21"/>
                <w:lang w:eastAsia="zh-CN" w:bidi="ar"/>
              </w:rPr>
              <w:t>，或者使用</w:t>
            </w:r>
            <w:r>
              <w:rPr>
                <w:rFonts w:ascii="宋体" w:hAnsi="宋体" w:cs="宋体" w:hint="eastAsia"/>
                <w:b/>
                <w:bCs/>
                <w:kern w:val="2"/>
                <w:sz w:val="21"/>
                <w:szCs w:val="21"/>
                <w:lang w:eastAsia="zh-CN" w:bidi="ar"/>
              </w:rPr>
              <w:t>同一设备编制</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提供</w:t>
            </w:r>
            <w:r>
              <w:rPr>
                <w:rFonts w:ascii="宋体" w:hAnsi="宋体" w:cs="宋体" w:hint="eastAsia"/>
                <w:b/>
                <w:bCs/>
                <w:kern w:val="2"/>
                <w:sz w:val="21"/>
                <w:szCs w:val="21"/>
                <w:lang w:eastAsia="zh-CN" w:bidi="ar"/>
              </w:rPr>
              <w:t>未经出具机构核实</w:t>
            </w:r>
            <w:r>
              <w:rPr>
                <w:rFonts w:ascii="宋体" w:hAnsi="宋体" w:cs="宋体" w:hint="eastAsia"/>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擅自将投标密钥出借他人使用或未妥善保管。</w:t>
            </w:r>
          </w:p>
        </w:tc>
      </w:tr>
    </w:tbl>
    <w:p>
      <w:pPr>
        <w:widowControl w:val="0"/>
        <w:spacing w:before="120" w:beforeLines="50"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（三）项目负责人或者主要技术人员不是本单位人员的。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（四）投标保证金不是从投标供应商基本账户转出的。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（五）其他隐瞒真实情况、提供虚假资料的行为。</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（一）投标供应商之间相互约定给予未中标的供应商利益补偿。</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（四）不同投标供应商的投标文件或部分投标文件相互混装。</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（五）不同投标供应商的投标文件内容存在非正常一致。</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（七）不同投标人的投标报价呈规律性差异。</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（八）不同投标人的投标保证金从同一单位或者个人的账户转出。</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（九）主管部门依照法律、法规认定的其他情形。</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bidi="ar"/>
        </w:rPr>
        <w:t>（一）对于从其他主体获取的投标资料，我单位应审慎核查，确保其真实性。</w:t>
      </w:r>
      <w:r>
        <w:rPr>
          <w:rFonts w:ascii="宋体" w:eastAsia="宋体" w:hAnsi="宋体" w:cs="宋体" w:hint="eastAsia"/>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（三）我单位对投标电子密钥负有妥善保管、及时变更和续期等主体责任；使用电子密钥在</w:t>
      </w:r>
      <w:r>
        <w:rPr>
          <w:rFonts w:eastAsia="宋体" w:hint="eastAsia"/>
          <w:kern w:val="2"/>
          <w:sz w:val="21"/>
          <w:lang w:eastAsia="zh-CN" w:bidi="ar"/>
        </w:rPr>
        <w:t>深圳自行采购网站</w:t>
      </w:r>
      <w:r>
        <w:rPr>
          <w:rFonts w:ascii="宋体" w:eastAsia="宋体" w:hAnsi="宋体" w:cs="宋体" w:hint="eastAsia"/>
          <w:kern w:val="2"/>
          <w:sz w:val="21"/>
          <w:szCs w:val="21"/>
          <w:lang w:eastAsia="zh-CN" w:bidi="ar"/>
        </w:rPr>
        <w:t>进行的活动，均具有法律效力，须承担相应的法律后果。若</w:t>
      </w:r>
      <w:r>
        <w:rPr>
          <w:rFonts w:ascii="宋体" w:eastAsia="宋体" w:hAnsi="宋体" w:cs="宋体" w:hint="eastAsia"/>
          <w:b/>
          <w:bCs/>
          <w:kern w:val="2"/>
          <w:sz w:val="21"/>
          <w:szCs w:val="21"/>
          <w:lang w:eastAsia="zh-CN" w:bidi="ar"/>
        </w:rPr>
        <w:t>擅自将投标密钥出借他人使用所造成的法律后果，由我单位自行承担</w:t>
      </w:r>
      <w:r>
        <w:rPr>
          <w:rFonts w:ascii="宋体" w:eastAsia="宋体" w:hAnsi="宋体" w:cs="宋体" w:hint="eastAsia"/>
          <w:kern w:val="2"/>
          <w:sz w:val="21"/>
          <w:szCs w:val="21"/>
          <w:lang w:eastAsia="zh-CN" w:bidi="ar"/>
        </w:rPr>
        <w:t>。</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四、我单位已充分知悉政府采购违法、违规行为的法律后果。</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kern w:val="2"/>
          <w:sz w:val="21"/>
          <w:szCs w:val="21"/>
          <w:highlight w:val="yellow"/>
          <w:lang w:eastAsia="zh-CN"/>
        </w:rPr>
      </w:pPr>
      <w:r>
        <w:rPr>
          <w:rFonts w:ascii="宋体" w:eastAsia="宋体" w:hAnsi="宋体" w:cs="宋体" w:hint="eastAsia"/>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
      <w:tblGrid>
        <w:gridCol w:w="9289"/>
      </w:tblGrid>
      <w:tr>
        <w:tblPrEx>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cs="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单位负责人签名：</w:t>
      </w:r>
      <w:r>
        <w:rPr>
          <w:rFonts w:ascii="宋体" w:eastAsia="宋体" w:hAnsi="宋体" w:cs="宋体" w:hint="eastAsia"/>
          <w:spacing w:val="-4"/>
          <w:sz w:val="21"/>
          <w:szCs w:val="21"/>
          <w:u w:val="single"/>
          <w:lang w:eastAsia="zh-CN" w:bidi="ar"/>
        </w:rPr>
        <w:t xml:space="preserve">              </w:t>
      </w:r>
    </w:p>
    <w:p>
      <w:pPr>
        <w:widowControl/>
        <w:wordWrap w:val="0"/>
        <w:autoSpaceDE w:val="0"/>
        <w:autoSpaceDN w:val="0"/>
        <w:spacing w:line="340" w:lineRule="exact"/>
        <w:ind w:right="808" w:firstLine="420" w:firstLineChars="200"/>
        <w:jc w:val="center"/>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 xml:space="preserve">     日期：</w:t>
      </w:r>
      <w:r>
        <w:rPr>
          <w:rFonts w:ascii="宋体" w:eastAsia="宋体" w:hAnsi="宋体" w:cs="宋体" w:hint="eastAsia"/>
          <w:spacing w:val="-4"/>
          <w:sz w:val="21"/>
          <w:szCs w:val="21"/>
          <w:u w:val="single"/>
          <w:lang w:eastAsia="zh-CN" w:bidi="ar"/>
        </w:rPr>
        <w:t xml:space="preserve">              </w:t>
      </w:r>
    </w:p>
    <w:p>
      <w:pPr>
        <w:widowControl/>
        <w:autoSpaceDE w:val="0"/>
        <w:autoSpaceDN w:val="0"/>
        <w:spacing w:line="340" w:lineRule="exact"/>
        <w:ind w:firstLine="420" w:firstLineChars="200"/>
        <w:jc w:val="left"/>
        <w:rPr>
          <w:rFonts w:ascii="宋体" w:eastAsia="宋体" w:hAnsi="宋体" w:cs="宋体"/>
          <w:b/>
          <w:bCs/>
          <w:color w:val="FF0000"/>
          <w:spacing w:val="-4"/>
          <w:sz w:val="21"/>
          <w:szCs w:val="21"/>
          <w:lang w:eastAsia="zh-CN"/>
        </w:rPr>
      </w:pPr>
    </w:p>
    <w:p>
      <w:pPr>
        <w:widowControl/>
        <w:autoSpaceDE w:val="0"/>
        <w:autoSpaceDN w:val="0"/>
        <w:spacing w:line="340" w:lineRule="exact"/>
        <w:jc w:val="left"/>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bidi="ar"/>
        </w:rPr>
        <w:t>注：1.《采购违法行为风险知悉确认书》需由投标供应商负责人</w:t>
      </w:r>
      <w:r>
        <w:rPr>
          <w:rFonts w:ascii="宋体" w:eastAsia="宋体" w:hAnsi="宋体" w:cs="宋体" w:hint="eastAsia"/>
          <w:b/>
          <w:bCs/>
          <w:color w:val="FF0000"/>
          <w:spacing w:val="-4"/>
          <w:sz w:val="21"/>
          <w:szCs w:val="21"/>
          <w:highlight w:val="yellow"/>
          <w:lang w:eastAsia="zh-CN" w:bidi="ar"/>
        </w:rPr>
        <w:t>签字并加盖单位公章</w:t>
      </w:r>
      <w:r>
        <w:rPr>
          <w:rFonts w:ascii="宋体" w:eastAsia="宋体" w:hAnsi="宋体" w:cs="宋体" w:hint="eastAsia"/>
          <w:b/>
          <w:bCs/>
          <w:color w:val="FF0000"/>
          <w:spacing w:val="-4"/>
          <w:sz w:val="21"/>
          <w:szCs w:val="21"/>
          <w:lang w:eastAsia="zh-CN" w:bidi="ar"/>
        </w:rPr>
        <w:t>后，扫描上传至投标文件一并提交。</w:t>
      </w:r>
    </w:p>
    <w:p>
      <w:pPr>
        <w:widowControl w:val="0"/>
        <w:spacing w:beforeAutospacing="0" w:afterAutospacing="0"/>
        <w:jc w:val="both"/>
        <w:rPr>
          <w:rFonts w:eastAsia="宋体"/>
          <w:color w:val="FF0000"/>
          <w:lang w:eastAsia="zh-CN" w:bidi="ar"/>
        </w:rPr>
      </w:pPr>
      <w:r>
        <w:rPr>
          <w:rFonts w:ascii="宋体" w:eastAsia="宋体" w:hAnsi="宋体" w:cs="宋体" w:hint="eastAsia"/>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widowControl/>
        <w:autoSpaceDE w:val="0"/>
        <w:autoSpaceDN w:val="0"/>
        <w:spacing w:line="400" w:lineRule="exact"/>
        <w:ind w:firstLine="420" w:firstLineChars="200"/>
        <w:jc w:val="left"/>
        <w:rPr>
          <w:rFonts w:ascii="宋体" w:eastAsia="宋体" w:hAnsi="宋体" w:cs="宋体"/>
          <w:color w:val="FF0000"/>
          <w:spacing w:val="-4"/>
          <w:sz w:val="21"/>
          <w:szCs w:val="21"/>
          <w:lang w:eastAsia="zh-CN"/>
        </w:rPr>
      </w:pP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cs="黑体"/>
          <w:kern w:val="2"/>
          <w:szCs w:val="20"/>
          <w:lang w:eastAsia="zh-CN" w:bidi="ar"/>
        </w:rPr>
      </w:pPr>
      <w:r>
        <w:rPr>
          <w:rFonts w:ascii="黑体" w:eastAsia="黑体" w:cs="黑体" w:hint="eastAsia"/>
          <w:kern w:val="2"/>
          <w:szCs w:val="20"/>
          <w:lang w:eastAsia="zh-CN" w:bidi="ar"/>
        </w:rPr>
        <w:br w:type="page"/>
      </w:r>
    </w:p>
    <w:p>
      <w:pPr>
        <w:widowControl w:val="0"/>
        <w:jc w:val="center"/>
        <w:rPr>
          <w:rFonts w:ascii="黑体" w:eastAsia="黑体" w:cs="黑体"/>
          <w:kern w:val="2"/>
          <w:szCs w:val="20"/>
          <w:lang w:eastAsia="zh-CN"/>
        </w:rPr>
      </w:pPr>
      <w:r>
        <w:rPr>
          <w:rFonts w:ascii="黑体" w:eastAsia="黑体" w:cs="黑体" w:hint="eastAsia"/>
          <w:kern w:val="2"/>
          <w:szCs w:val="20"/>
          <w:lang w:eastAsia="zh-CN" w:bidi="ar"/>
        </w:rPr>
        <w:t>（二）订单融资情况</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bidi="ar"/>
        </w:rPr>
        <w:t>1、关于订单融资政策</w:t>
      </w:r>
    </w:p>
    <w:p>
      <w:pPr>
        <w:widowControl w:val="0"/>
        <w:spacing w:beforeAutospacing="0" w:after="120" w:afterAutospacing="0"/>
        <w:ind w:firstLine="420" w:firstLineChars="200"/>
        <w:jc w:val="both"/>
        <w:rPr>
          <w:rFonts w:eastAsia="宋体"/>
          <w:b/>
          <w:szCs w:val="21"/>
          <w:lang w:eastAsia="zh-CN"/>
        </w:rPr>
      </w:pPr>
      <w:r>
        <w:rPr>
          <w:rFonts w:eastAsia="宋体" w:cs="宋体" w:hint="eastAsia"/>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eastAsia="宋体" w:cs="宋体" w:hint="eastAsia"/>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eastAsia="宋体" w:cs="宋体" w:hint="eastAsia"/>
          <w:bCs/>
          <w:kern w:val="2"/>
          <w:sz w:val="21"/>
          <w:szCs w:val="21"/>
          <w:lang w:eastAsia="zh-CN" w:bidi="ar"/>
        </w:rPr>
        <w:t>）信息公开栏目。</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bidi="ar"/>
        </w:rPr>
        <w:t>2、供应商账户信息</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投标人（单位全称）：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r>
        <w:rPr>
          <w:rFonts w:eastAsia="宋体"/>
          <w:kern w:val="2"/>
          <w:sz w:val="21"/>
          <w:szCs w:val="21"/>
          <w:lang w:eastAsia="zh-CN" w:bidi="ar"/>
        </w:rPr>
        <w:t xml:space="preserve">  </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联系电话：</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开户银行名称：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开户银行账号：</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jc w:val="both"/>
        <w:rPr>
          <w:rFonts w:eastAsia="宋体"/>
          <w:kern w:val="2"/>
          <w:sz w:val="21"/>
          <w:szCs w:val="21"/>
          <w:lang w:eastAsia="zh-CN"/>
        </w:rPr>
      </w:pPr>
      <w:r>
        <w:rPr>
          <w:rFonts w:ascii="宋体" w:eastAsia="宋体" w:hAnsi="宋体" w:cs="宋体" w:hint="eastAsia"/>
          <w:b/>
          <w:bCs/>
          <w:color w:val="FF0000"/>
          <w:spacing w:val="-4"/>
          <w:sz w:val="21"/>
          <w:szCs w:val="21"/>
          <w:lang w:eastAsia="zh-CN" w:bidi="ar"/>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hAnsi="宋体" w:cs="黑体"/>
          <w:szCs w:val="20"/>
          <w:lang w:eastAsia="zh-CN" w:bidi="ar"/>
        </w:rPr>
      </w:pPr>
      <w:r>
        <w:rPr>
          <w:rFonts w:ascii="黑体" w:eastAsia="黑体" w:hAnsi="宋体" w:cs="黑体" w:hint="eastAsia"/>
          <w:szCs w:val="20"/>
          <w:lang w:eastAsia="zh-CN" w:bidi="ar"/>
        </w:rPr>
        <w:br w:type="page"/>
      </w:r>
    </w:p>
    <w:p>
      <w:pPr>
        <w:widowControl/>
        <w:jc w:val="center"/>
        <w:rPr>
          <w:rFonts w:ascii="黑体" w:eastAsia="黑体" w:hAnsi="宋体" w:cs="黑体"/>
          <w:szCs w:val="20"/>
          <w:lang w:eastAsia="zh-CN"/>
        </w:rPr>
      </w:pPr>
      <w:r>
        <w:rPr>
          <w:rFonts w:ascii="黑体" w:eastAsia="黑体" w:hAnsi="宋体" w:cs="黑体" w:hint="eastAsia"/>
          <w:szCs w:val="20"/>
          <w:lang w:eastAsia="zh-CN" w:bidi="ar"/>
        </w:rPr>
        <w:t>（三）投标人认为需要加以说明的其他内容（格式自定）</w:t>
      </w: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center"/>
        <w:outlineLvl w:val="0"/>
        <w:rPr>
          <w:rFonts w:ascii="宋体" w:eastAsia="宋体" w:hAnsi="宋体" w:cs="宋体"/>
          <w:b/>
          <w:bCs/>
          <w:spacing w:val="-20"/>
          <w:kern w:val="44"/>
          <w:sz w:val="48"/>
          <w:szCs w:val="48"/>
          <w:lang w:eastAsia="zh-CN"/>
        </w:rPr>
      </w:pPr>
      <w:bookmarkStart w:id="46" w:name="_Toc3995"/>
      <w:r>
        <w:rPr>
          <w:rFonts w:eastAsia="宋体" w:hint="eastAsia"/>
          <w:b/>
          <w:kern w:val="2"/>
          <w:lang w:eastAsia="zh-CN"/>
        </w:rPr>
        <w:t>（仅供参考，具体以项目需求及采购结果为准）</w:t>
      </w:r>
    </w:p>
    <w:bookmarkEnd w:id="46"/>
    <w:p>
      <w:pPr>
        <w:widowControl w:val="0"/>
        <w:spacing w:before="120" w:beforeLines="50" w:after="120" w:afterLines="50" w:line="360" w:lineRule="auto"/>
        <w:jc w:val="center"/>
        <w:rPr>
          <w:rFonts w:ascii="黑体-简" w:eastAsia="黑体-简" w:hAnsi="黑体-简" w:cs="黑体-简"/>
          <w:b/>
          <w:kern w:val="2"/>
          <w:sz w:val="36"/>
          <w:szCs w:val="36"/>
          <w:lang w:eastAsia="zh-CN"/>
        </w:rPr>
      </w:pPr>
      <w:r>
        <w:rPr>
          <w:rFonts w:ascii="黑体-简" w:eastAsia="黑体-简" w:hAnsi="黑体-简" w:cs="黑体-简" w:hint="eastAsia"/>
          <w:b/>
          <w:kern w:val="2"/>
          <w:sz w:val="36"/>
          <w:szCs w:val="36"/>
          <w:lang w:eastAsia="zh-CN"/>
        </w:rPr>
        <w:t>货物采购合同</w:t>
      </w:r>
    </w:p>
    <w:p>
      <w:pPr>
        <w:widowControl w:val="0"/>
        <w:wordWrap w:val="0"/>
        <w:spacing w:before="120" w:beforeLines="50" w:after="120" w:afterLines="50" w:line="360" w:lineRule="auto"/>
        <w:jc w:val="right"/>
        <w:rPr>
          <w:rFonts w:ascii="宋体" w:eastAsia="宋体" w:hAnsi="宋体" w:cs="宋体"/>
          <w:kern w:val="2"/>
          <w:lang w:eastAsia="zh-CN"/>
        </w:rPr>
      </w:pPr>
      <w:r>
        <w:rPr>
          <w:rFonts w:ascii="宋体" w:eastAsia="宋体" w:hAnsi="宋体" w:cs="宋体" w:hint="eastAsia"/>
          <w:kern w:val="2"/>
          <w:lang w:eastAsia="zh-CN"/>
        </w:rPr>
        <w:t xml:space="preserve">合同编号：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甲方（采购方）:</w:t>
      </w:r>
      <w:r>
        <w:rPr>
          <w:rFonts w:eastAsia="宋体" w:hint="eastAsia"/>
          <w:lang w:eastAsia="zh-CN"/>
        </w:rPr>
        <w:t xml:space="preserve"> XXXXXXXX</w:t>
      </w:r>
    </w:p>
    <w:p>
      <w:pPr>
        <w:widowControl w:val="0"/>
        <w:spacing w:line="360" w:lineRule="auto"/>
        <w:jc w:val="left"/>
        <w:rPr>
          <w:rFonts w:ascii="宋体" w:eastAsia="宋体" w:hAnsi="宋体" w:cs="宋体"/>
          <w:bCs/>
          <w:color w:val="000000"/>
          <w:kern w:val="2"/>
          <w:lang w:eastAsia="zh-CN"/>
        </w:rPr>
      </w:pPr>
      <w:r>
        <w:rPr>
          <w:rFonts w:ascii="宋体" w:eastAsia="宋体" w:hAnsi="宋体" w:cs="宋体" w:hint="eastAsia"/>
          <w:b/>
          <w:color w:val="000000"/>
          <w:kern w:val="2"/>
          <w:lang w:eastAsia="zh-CN"/>
        </w:rPr>
        <w:t xml:space="preserve">地址：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法定代表人：</w:t>
      </w:r>
      <w:r>
        <w:rPr>
          <w:rFonts w:ascii="宋体" w:eastAsia="宋体" w:hAnsi="宋体" w:cs="宋体" w:hint="eastAsia"/>
          <w:b/>
          <w:color w:val="000000"/>
          <w:lang w:eastAsia="zh-CN"/>
        </w:rPr>
        <w:br/>
      </w:r>
      <w:r>
        <w:rPr>
          <w:rFonts w:ascii="宋体" w:eastAsia="宋体" w:hAnsi="宋体" w:cs="宋体"/>
          <w:b/>
          <w:color w:val="000000"/>
          <w:lang w:eastAsia="zh-CN"/>
        </w:rPr>
        <w:t>联系人：</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color w:val="000000"/>
          <w:lang w:eastAsia="zh-CN"/>
        </w:rPr>
        <w:t>联系电话：</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color w:val="000000"/>
          <w:lang w:eastAsia="zh-CN"/>
        </w:rPr>
        <w:t>电子邮件：</w:t>
      </w:r>
    </w:p>
    <w:p>
      <w:pPr>
        <w:widowControl w:val="0"/>
        <w:spacing w:beforeAutospacing="0" w:afterAutospacing="0" w:line="360" w:lineRule="auto"/>
        <w:jc w:val="left"/>
        <w:rPr>
          <w:rFonts w:ascii="宋体" w:eastAsia="宋体" w:hAnsi="宋体" w:cs="宋体"/>
          <w:b/>
          <w:lang w:eastAsia="zh-CN"/>
        </w:rPr>
      </w:pP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乙方（销售方）:</w:t>
      </w:r>
      <w:r>
        <w:rPr>
          <w:rFonts w:ascii="宋体" w:eastAsia="宋体" w:hAnsi="宋体" w:cs="宋体" w:hint="eastAsia"/>
          <w:b/>
          <w:color w:val="000000"/>
          <w:lang w:eastAsia="zh-CN"/>
        </w:rPr>
        <w:t xml:space="preserve"> </w:t>
      </w:r>
    </w:p>
    <w:p>
      <w:pPr>
        <w:widowControl w:val="0"/>
        <w:spacing w:line="360" w:lineRule="auto"/>
        <w:jc w:val="left"/>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地址：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法定代表人：</w:t>
      </w:r>
      <w:r>
        <w:rPr>
          <w:rFonts w:ascii="宋体" w:eastAsia="宋体" w:hAnsi="宋体" w:cs="宋体" w:hint="eastAsia"/>
          <w:b/>
          <w:color w:val="000000"/>
          <w:lang w:eastAsia="zh-CN"/>
        </w:rPr>
        <w:t xml:space="preserve"> </w:t>
      </w:r>
      <w:r>
        <w:rPr>
          <w:rFonts w:ascii="宋体" w:eastAsia="宋体" w:hAnsi="宋体" w:cs="宋体" w:hint="eastAsia"/>
          <w:b/>
          <w:color w:val="000000"/>
          <w:lang w:eastAsia="zh-CN"/>
        </w:rPr>
        <w:br/>
      </w:r>
      <w:r>
        <w:rPr>
          <w:rFonts w:ascii="宋体" w:eastAsia="宋体" w:hAnsi="宋体" w:cs="宋体"/>
          <w:b/>
          <w:color w:val="000000"/>
          <w:lang w:eastAsia="zh-CN"/>
        </w:rPr>
        <w:t>联系人</w:t>
      </w:r>
      <w:r>
        <w:rPr>
          <w:rFonts w:ascii="宋体" w:eastAsia="宋体" w:hAnsi="宋体" w:cs="宋体" w:hint="eastAsia"/>
          <w:b/>
          <w:color w:val="000000"/>
          <w:lang w:eastAsia="zh-CN"/>
        </w:rPr>
        <w:t>：</w:t>
      </w:r>
    </w:p>
    <w:p>
      <w:pPr>
        <w:widowControl w:val="0"/>
        <w:spacing w:beforeAutospacing="0" w:afterAutospacing="0" w:line="360" w:lineRule="auto"/>
        <w:jc w:val="left"/>
        <w:rPr>
          <w:rFonts w:eastAsia="宋体"/>
          <w:lang w:eastAsia="zh-CN"/>
        </w:rPr>
      </w:pPr>
      <w:r>
        <w:rPr>
          <w:rFonts w:ascii="宋体" w:eastAsia="宋体" w:hAnsi="宋体" w:cs="宋体" w:hint="eastAsia"/>
          <w:b/>
          <w:color w:val="000000"/>
          <w:lang w:eastAsia="zh-CN"/>
        </w:rPr>
        <w:t>联系电话：</w:t>
      </w:r>
    </w:p>
    <w:p>
      <w:pPr>
        <w:widowControl w:val="0"/>
        <w:spacing w:beforeAutospacing="0" w:afterAutospacing="0" w:line="360" w:lineRule="auto"/>
        <w:jc w:val="left"/>
        <w:rPr>
          <w:rFonts w:ascii="宋体" w:eastAsia="宋体" w:hAnsi="宋体" w:cs="宋体"/>
          <w:b/>
          <w:bCs/>
          <w:color w:val="000000"/>
          <w:lang w:eastAsia="zh-CN"/>
        </w:rPr>
      </w:pPr>
      <w:r>
        <w:rPr>
          <w:rFonts w:eastAsia="宋体" w:hint="eastAsia"/>
          <w:b/>
          <w:bCs/>
          <w:lang w:eastAsia="zh-CN"/>
        </w:rPr>
        <w:t>电子邮件：</w:t>
      </w:r>
    </w:p>
    <w:p>
      <w:pPr>
        <w:widowControl w:val="0"/>
        <w:spacing w:beforeAutospacing="0" w:afterAutospacing="0" w:line="360" w:lineRule="auto"/>
        <w:ind w:firstLine="480" w:firstLineChars="200"/>
        <w:jc w:val="left"/>
        <w:rPr>
          <w:rFonts w:ascii="宋体" w:eastAsia="宋体" w:hAnsi="宋体" w:cs="宋体"/>
          <w:lang w:eastAsia="zh-CN"/>
        </w:rPr>
      </w:pPr>
      <w:r>
        <w:rPr>
          <w:rFonts w:eastAsia="宋体"/>
          <w:lang w:eastAsia="zh-CN" w:bidi="ar"/>
        </w:rPr>
        <w:t>根据</w:t>
      </w:r>
      <w:r>
        <w:rPr>
          <w:rFonts w:eastAsia="宋体" w:hint="eastAsia"/>
          <w:lang w:eastAsia="zh-CN" w:bidi="ar"/>
        </w:rPr>
        <w:t>《中华人民共和国民法典》</w:t>
      </w:r>
      <w:r>
        <w:rPr>
          <w:rFonts w:eastAsia="宋体"/>
          <w:lang w:eastAsia="zh-CN" w:bidi="ar"/>
        </w:rPr>
        <w:t>规定，</w:t>
      </w:r>
      <w:r>
        <w:rPr>
          <w:rFonts w:ascii="宋体" w:eastAsia="宋体" w:hAnsi="宋体" w:cs="宋体" w:hint="eastAsia"/>
          <w:lang w:eastAsia="zh-CN"/>
        </w:rPr>
        <w:t>甲、乙双方本着诚实信用、互惠互利的原则，经</w:t>
      </w:r>
      <w:r>
        <w:rPr>
          <w:rFonts w:ascii="宋体" w:eastAsia="宋体" w:hAnsi="宋体" w:cs="宋体"/>
          <w:lang w:eastAsia="zh-CN"/>
        </w:rPr>
        <w:t>双方</w:t>
      </w:r>
      <w:r>
        <w:rPr>
          <w:rFonts w:ascii="宋体" w:eastAsia="宋体" w:hAnsi="宋体" w:cs="宋体" w:hint="eastAsia"/>
          <w:lang w:eastAsia="zh-CN"/>
        </w:rPr>
        <w:t>友好协商，甲方</w:t>
      </w:r>
      <w:r>
        <w:rPr>
          <w:rFonts w:ascii="宋体" w:eastAsia="宋体" w:hAnsi="宋体" w:cs="宋体"/>
          <w:lang w:eastAsia="zh-CN"/>
        </w:rPr>
        <w:t>决定</w:t>
      </w:r>
      <w:r>
        <w:rPr>
          <w:rFonts w:ascii="宋体" w:eastAsia="宋体" w:hAnsi="宋体" w:cs="宋体" w:hint="eastAsia"/>
          <w:lang w:eastAsia="zh-CN"/>
        </w:rPr>
        <w:t>向乙方购买</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lang w:eastAsia="zh-CN"/>
        </w:rPr>
        <w:t>产品，特订立本合同</w:t>
      </w:r>
      <w:r>
        <w:rPr>
          <w:rFonts w:ascii="宋体" w:eastAsia="宋体" w:hAnsi="宋体" w:cs="宋体"/>
          <w:lang w:eastAsia="zh-CN"/>
        </w:rPr>
        <w:t>并</w:t>
      </w:r>
      <w:r>
        <w:rPr>
          <w:rFonts w:ascii="宋体" w:eastAsia="宋体" w:hAnsi="宋体" w:cs="宋体" w:hint="eastAsia"/>
          <w:lang w:eastAsia="zh-CN"/>
        </w:rPr>
        <w:t>共同遵守。</w:t>
      </w:r>
    </w:p>
    <w:p>
      <w:pPr>
        <w:widowControl w:val="0"/>
        <w:numPr>
          <w:ilvl w:val="0"/>
          <w:numId w:val="4"/>
        </w:numPr>
        <w:spacing w:before="120" w:beforeLines="50" w:after="120" w:afterLines="50" w:line="360" w:lineRule="auto"/>
        <w:ind w:left="567" w:hanging="567" w:firstLineChars="0"/>
        <w:jc w:val="both"/>
        <w:rPr>
          <w:rFonts w:ascii="宋体" w:eastAsia="宋体" w:hAnsi="宋体" w:cs="宋体"/>
          <w:kern w:val="2"/>
          <w:lang w:eastAsia="zh-CN"/>
        </w:rPr>
      </w:pPr>
      <w:r>
        <w:rPr>
          <w:rFonts w:ascii="宋体" w:eastAsia="宋体" w:hAnsi="宋体" w:cs="宋体" w:hint="eastAsia"/>
          <w:b/>
          <w:kern w:val="2"/>
          <w:lang w:eastAsia="zh-CN"/>
        </w:rPr>
        <w:t>产品信息</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1215"/>
        <w:gridCol w:w="1276"/>
        <w:gridCol w:w="4106"/>
        <w:gridCol w:w="185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序号</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产品名称</w:t>
            </w: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产品单价</w:t>
            </w: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产品数量(单位：每米、每件、每个……)</w:t>
            </w: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备注（型号、外观、包装等特殊要求）</w:t>
            </w: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1</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2</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汇总</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bl>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r>
        <w:rPr>
          <w:rFonts w:ascii="宋体" w:eastAsia="宋体" w:hAnsi="宋体" w:cs="宋体"/>
          <w:kern w:val="2"/>
          <w:lang w:eastAsia="zh-CN"/>
        </w:rPr>
        <w:t>注明：产品价格均为含税价，乙方应向甲方提供正式足额发票</w:t>
      </w:r>
    </w:p>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p>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r>
        <w:rPr>
          <w:rFonts w:ascii="宋体" w:eastAsia="宋体" w:hAnsi="宋体" w:cs="宋体"/>
          <w:kern w:val="2"/>
          <w:lang w:eastAsia="zh-CN"/>
        </w:rPr>
        <w:t>或者采用</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产品名称：</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产品数量：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产品单价：</w:t>
      </w:r>
    </w:p>
    <w:p>
      <w:pPr>
        <w:widowControl w:val="0"/>
        <w:tabs>
          <w:tab w:val="left" w:pos="6360"/>
        </w:tabs>
        <w:spacing w:line="360" w:lineRule="auto"/>
        <w:jc w:val="both"/>
        <w:rPr>
          <w:rFonts w:ascii="宋体" w:eastAsia="宋体" w:hAnsi="宋体" w:cs="宋体"/>
          <w:kern w:val="2"/>
          <w:lang w:eastAsia="zh-CN"/>
        </w:rPr>
      </w:pP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甲方向乙方采购的产品总额为人民币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元（大写：</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）。对此产品报价，双方应承担保密责任。</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以上价格均为含税价格。</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如产品为</w:t>
      </w:r>
      <w:r>
        <w:rPr>
          <w:rFonts w:ascii="宋体" w:eastAsia="宋体" w:hAnsi="宋体" w:cs="宋体"/>
          <w:kern w:val="2"/>
          <w:lang w:eastAsia="zh-CN"/>
        </w:rPr>
        <w:t>定</w:t>
      </w:r>
      <w:r>
        <w:rPr>
          <w:rFonts w:ascii="宋体" w:eastAsia="宋体" w:hAnsi="宋体" w:cs="宋体" w:hint="eastAsia"/>
          <w:kern w:val="2"/>
          <w:lang w:eastAsia="zh-CN"/>
        </w:rPr>
        <w:t>制商品，请将经双方确认的产品有关功能说明以及具体定制信息作为本合同附件，</w:t>
      </w:r>
      <w:r>
        <w:rPr>
          <w:rFonts w:ascii="宋体" w:eastAsia="宋体" w:hAnsi="宋体" w:cs="宋体"/>
          <w:kern w:val="2"/>
          <w:lang w:eastAsia="zh-CN"/>
        </w:rPr>
        <w:t>同时</w:t>
      </w:r>
      <w:r>
        <w:rPr>
          <w:rFonts w:ascii="宋体" w:eastAsia="宋体" w:hAnsi="宋体" w:cs="宋体" w:hint="eastAsia"/>
          <w:kern w:val="2"/>
          <w:lang w:eastAsia="zh-CN"/>
        </w:rPr>
        <w:t>作为验收标准。</w:t>
      </w:r>
    </w:p>
    <w:p>
      <w:pPr>
        <w:widowControl w:val="0"/>
        <w:tabs>
          <w:tab w:val="left" w:pos="6360"/>
        </w:tabs>
        <w:spacing w:line="360" w:lineRule="auto"/>
        <w:ind w:firstLine="480" w:firstLineChars="200"/>
        <w:jc w:val="both"/>
        <w:rPr>
          <w:rFonts w:ascii="宋体" w:eastAsia="宋体" w:hAnsi="宋体" w:cs="宋体"/>
          <w:kern w:val="2"/>
          <w:lang w:eastAsia="zh-CN"/>
        </w:rPr>
      </w:pPr>
    </w:p>
    <w:p>
      <w:pPr>
        <w:widowControl w:val="0"/>
        <w:numPr>
          <w:ilvl w:val="0"/>
          <w:numId w:val="5"/>
        </w:numPr>
        <w:spacing w:line="360" w:lineRule="auto"/>
        <w:ind w:left="420" w:hanging="420"/>
        <w:jc w:val="both"/>
        <w:rPr>
          <w:rFonts w:ascii="宋体" w:eastAsia="宋体" w:hAnsi="宋体" w:cs="宋体"/>
          <w:b/>
          <w:bCs/>
          <w:kern w:val="2"/>
          <w:lang w:eastAsia="zh-CN"/>
        </w:rPr>
      </w:pPr>
      <w:r>
        <w:rPr>
          <w:rFonts w:ascii="宋体" w:eastAsia="宋体" w:hAnsi="宋体" w:cs="宋体" w:hint="eastAsia"/>
          <w:b/>
          <w:bCs/>
          <w:kern w:val="2"/>
          <w:lang w:eastAsia="zh-CN"/>
        </w:rPr>
        <w:t>产品质量 </w:t>
      </w:r>
    </w:p>
    <w:p>
      <w:pPr>
        <w:widowControl w:val="0"/>
        <w:spacing w:line="360" w:lineRule="auto"/>
        <w:ind w:left="480" w:firstLine="60" w:leftChars="200" w:firstLineChars="25"/>
        <w:jc w:val="both"/>
        <w:rPr>
          <w:rFonts w:ascii="宋体" w:eastAsia="宋体" w:hAnsi="宋体" w:cs="宋体"/>
          <w:kern w:val="2"/>
          <w:lang w:eastAsia="zh-CN"/>
        </w:rPr>
      </w:pPr>
      <w:r>
        <w:rPr>
          <w:rFonts w:ascii="宋体" w:eastAsia="宋体" w:hAnsi="宋体" w:cs="宋体" w:hint="eastAsia"/>
          <w:kern w:val="2"/>
          <w:lang w:eastAsia="zh-CN"/>
        </w:rPr>
        <w:t>产品质量严格按照下列</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项标准执行。</w:t>
      </w:r>
      <w:r>
        <w:rPr>
          <w:rFonts w:ascii="宋体" w:eastAsia="宋体" w:hAnsi="宋体" w:cs="宋体" w:hint="eastAsia"/>
          <w:kern w:val="2"/>
          <w:lang w:eastAsia="zh-CN"/>
        </w:rPr>
        <w:br/>
      </w:r>
      <w:r>
        <w:rPr>
          <w:rFonts w:ascii="宋体" w:eastAsia="宋体" w:hAnsi="宋体" w:cs="宋体" w:hint="eastAsia"/>
          <w:kern w:val="2"/>
          <w:lang w:eastAsia="zh-CN"/>
        </w:rPr>
        <w:t>(1) 按照</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标准执行(须注明按国家标准或部颁或企业具体标准，如标准代号、编号和标准名称等)。</w:t>
      </w:r>
      <w:r>
        <w:rPr>
          <w:rFonts w:ascii="宋体" w:eastAsia="宋体" w:hAnsi="宋体" w:cs="宋体" w:hint="eastAsia"/>
          <w:kern w:val="2"/>
          <w:lang w:eastAsia="zh-CN"/>
        </w:rPr>
        <w:br/>
      </w:r>
      <w:r>
        <w:rPr>
          <w:rFonts w:ascii="宋体" w:eastAsia="宋体" w:hAnsi="宋体" w:cs="宋体" w:hint="eastAsia"/>
          <w:kern w:val="2"/>
          <w:lang w:eastAsia="zh-CN"/>
        </w:rPr>
        <w:t>(2) 按样本</w:t>
      </w:r>
      <w:r>
        <w:rPr>
          <w:rFonts w:ascii="宋体" w:eastAsia="宋体" w:hAnsi="宋体" w:cs="宋体"/>
          <w:kern w:val="2"/>
          <w:lang w:eastAsia="zh-CN"/>
        </w:rPr>
        <w:t>为标准</w:t>
      </w:r>
      <w:r>
        <w:rPr>
          <w:rFonts w:ascii="宋体" w:eastAsia="宋体" w:hAnsi="宋体" w:cs="宋体" w:hint="eastAsia"/>
          <w:kern w:val="2"/>
          <w:lang w:eastAsia="zh-CN"/>
        </w:rPr>
        <w:t>，样本作为合同的附件（应注明样本封存及保管方式）。 </w:t>
      </w:r>
      <w:r>
        <w:rPr>
          <w:rFonts w:ascii="宋体" w:eastAsia="宋体" w:hAnsi="宋体" w:cs="宋体" w:hint="eastAsia"/>
          <w:kern w:val="2"/>
          <w:lang w:eastAsia="zh-CN"/>
        </w:rPr>
        <w:br/>
      </w:r>
      <w:r>
        <w:rPr>
          <w:rFonts w:ascii="宋体" w:eastAsia="宋体" w:hAnsi="宋体" w:cs="宋体" w:hint="eastAsia"/>
          <w:kern w:val="2"/>
          <w:lang w:eastAsia="zh-CN"/>
        </w:rPr>
        <w:t>(3) 按双方商定要求执行，具体为：</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（应具体约定产品质量要求）。</w:t>
      </w:r>
    </w:p>
    <w:p>
      <w:pPr>
        <w:widowControl w:val="0"/>
        <w:spacing w:before="120" w:beforeLines="50" w:after="120" w:afterLines="50" w:line="360" w:lineRule="auto"/>
        <w:ind w:firstLine="0" w:firstLineChars="0"/>
        <w:jc w:val="both"/>
        <w:rPr>
          <w:rFonts w:ascii="宋体" w:eastAsia="宋体" w:hAnsi="宋体" w:cs="宋体"/>
          <w:b/>
          <w:bCs/>
          <w:kern w:val="2"/>
          <w:lang w:eastAsia="zh-CN"/>
        </w:rPr>
      </w:pPr>
      <w:r>
        <w:rPr>
          <w:rFonts w:ascii="宋体" w:eastAsia="宋体" w:hAnsi="宋体" w:cs="宋体"/>
          <w:b/>
          <w:bCs/>
          <w:kern w:val="2"/>
          <w:lang w:eastAsia="zh-CN"/>
        </w:rPr>
        <w:t>三、</w:t>
      </w:r>
      <w:r>
        <w:rPr>
          <w:rFonts w:ascii="宋体" w:eastAsia="宋体" w:hAnsi="宋体" w:cs="宋体" w:hint="eastAsia"/>
          <w:b/>
          <w:bCs/>
          <w:kern w:val="2"/>
          <w:lang w:eastAsia="zh-CN"/>
        </w:rPr>
        <w:t>交货</w:t>
      </w:r>
      <w:r>
        <w:rPr>
          <w:rFonts w:ascii="宋体" w:eastAsia="宋体" w:hAnsi="宋体" w:cs="宋体"/>
          <w:b/>
          <w:bCs/>
          <w:kern w:val="2"/>
          <w:lang w:eastAsia="zh-CN"/>
        </w:rPr>
        <w:t>时间、地点及交货方式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1.</w:t>
      </w:r>
      <w:r>
        <w:rPr>
          <w:rFonts w:ascii="宋体" w:eastAsia="宋体" w:hAnsi="宋体" w:cs="宋体" w:hint="eastAsia"/>
          <w:kern w:val="2"/>
          <w:lang w:eastAsia="zh-CN"/>
        </w:rPr>
        <w:t>交货时间:</w:t>
      </w:r>
      <w:r>
        <w:rPr>
          <w:rFonts w:ascii="宋体" w:eastAsia="宋体" w:hAnsi="宋体" w:cs="宋体"/>
          <w:kern w:val="2"/>
          <w:lang w:eastAsia="zh-CN"/>
        </w:rPr>
        <w:t>自本合同签订之日起</w:t>
      </w:r>
      <w:r>
        <w:rPr>
          <w:rFonts w:ascii="宋体" w:eastAsia="宋体" w:hAnsi="宋体" w:cs="宋体"/>
          <w:kern w:val="2"/>
          <w:u w:val="single"/>
          <w:lang w:eastAsia="zh-CN"/>
        </w:rPr>
        <w:t xml:space="preserve">    </w:t>
      </w:r>
      <w:r>
        <w:rPr>
          <w:rFonts w:ascii="宋体" w:eastAsia="宋体" w:hAnsi="宋体" w:cs="宋体"/>
          <w:kern w:val="2"/>
          <w:lang w:eastAsia="zh-CN"/>
        </w:rPr>
        <w:t>个自然日内完成交货</w:t>
      </w:r>
      <w:r>
        <w:rPr>
          <w:rFonts w:ascii="宋体" w:eastAsia="宋体" w:hAnsi="宋体" w:cs="宋体" w:hint="eastAsia"/>
          <w:kern w:val="2"/>
          <w:u w:val="single"/>
          <w:lang w:eastAsia="zh-CN"/>
        </w:rPr>
        <w:t xml:space="preserve">          </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如乙方</w:t>
      </w:r>
      <w:r>
        <w:rPr>
          <w:rFonts w:ascii="宋体" w:eastAsia="宋体" w:hAnsi="宋体" w:cs="宋体" w:hint="eastAsia"/>
          <w:kern w:val="2"/>
          <w:lang w:eastAsia="zh-CN"/>
        </w:rPr>
        <w:t>要求延期交货应于交货日7天前通知</w:t>
      </w:r>
      <w:r>
        <w:rPr>
          <w:rFonts w:ascii="宋体" w:eastAsia="宋体" w:hAnsi="宋体" w:cs="宋体"/>
          <w:kern w:val="2"/>
          <w:lang w:eastAsia="zh-CN"/>
        </w:rPr>
        <w:t>甲方</w:t>
      </w:r>
      <w:r>
        <w:rPr>
          <w:rFonts w:ascii="宋体" w:eastAsia="宋体" w:hAnsi="宋体" w:cs="宋体" w:hint="eastAsia"/>
          <w:kern w:val="2"/>
          <w:lang w:eastAsia="zh-CN"/>
        </w:rPr>
        <w:t>并获得</w:t>
      </w:r>
      <w:r>
        <w:rPr>
          <w:rFonts w:ascii="宋体" w:eastAsia="宋体" w:hAnsi="宋体" w:cs="宋体"/>
          <w:kern w:val="2"/>
          <w:lang w:eastAsia="zh-CN"/>
        </w:rPr>
        <w:t>甲方</w:t>
      </w:r>
      <w:r>
        <w:rPr>
          <w:rFonts w:ascii="宋体" w:eastAsia="宋体" w:hAnsi="宋体" w:cs="宋体" w:hint="eastAsia"/>
          <w:kern w:val="2"/>
          <w:lang w:eastAsia="zh-CN"/>
        </w:rPr>
        <w:t>的</w:t>
      </w:r>
      <w:r>
        <w:rPr>
          <w:rFonts w:ascii="宋体" w:eastAsia="宋体" w:hAnsi="宋体" w:cs="宋体"/>
          <w:kern w:val="2"/>
          <w:lang w:eastAsia="zh-CN"/>
        </w:rPr>
        <w:t>书面</w:t>
      </w:r>
      <w:r>
        <w:rPr>
          <w:rFonts w:ascii="宋体" w:eastAsia="宋体" w:hAnsi="宋体" w:cs="宋体" w:hint="eastAsia"/>
          <w:kern w:val="2"/>
          <w:lang w:eastAsia="zh-CN"/>
        </w:rPr>
        <w:t xml:space="preserve">同意。   </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w:t>
      </w:r>
      <w:r>
        <w:rPr>
          <w:rFonts w:ascii="宋体" w:eastAsia="宋体" w:hAnsi="宋体" w:cs="宋体" w:hint="eastAsia"/>
          <w:kern w:val="2"/>
          <w:lang w:eastAsia="zh-CN"/>
        </w:rPr>
        <w:t>交货地点：</w:t>
      </w:r>
      <w:r>
        <w:rPr>
          <w:rFonts w:ascii="宋体" w:eastAsia="宋体" w:hAnsi="宋体" w:cs="宋体" w:hint="eastAsia"/>
          <w:kern w:val="2"/>
          <w:u w:val="single"/>
          <w:lang w:eastAsia="zh-CN"/>
        </w:rPr>
        <w:t>                        </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货物由乙方负责免费送货到甲方所在地并运输至甲方指定安置地点，产品在运到甲方指定交货地点前的一切风险由乙方承担。</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color w:val="000000"/>
          <w:kern w:val="2"/>
          <w:lang w:eastAsia="zh-CN"/>
        </w:rPr>
        <w:t>3.</w:t>
      </w:r>
      <w:r>
        <w:rPr>
          <w:rFonts w:ascii="宋体" w:eastAsia="宋体" w:hAnsi="宋体" w:cs="宋体" w:hint="eastAsia"/>
          <w:color w:val="000000"/>
          <w:kern w:val="2"/>
          <w:lang w:eastAsia="zh-CN"/>
        </w:rPr>
        <w:t>运输及安装过程中，</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应对其</w:t>
      </w:r>
      <w:r>
        <w:rPr>
          <w:rFonts w:ascii="宋体" w:eastAsia="宋体" w:hAnsi="宋体" w:cs="宋体"/>
          <w:color w:val="000000"/>
          <w:kern w:val="2"/>
          <w:lang w:eastAsia="zh-CN"/>
        </w:rPr>
        <w:t>运输</w:t>
      </w:r>
      <w:r>
        <w:rPr>
          <w:rFonts w:ascii="宋体" w:eastAsia="宋体" w:hAnsi="宋体" w:cs="宋体" w:hint="eastAsia"/>
          <w:color w:val="000000"/>
          <w:kern w:val="2"/>
          <w:lang w:eastAsia="zh-CN"/>
        </w:rPr>
        <w:t>人员、</w:t>
      </w:r>
      <w:r>
        <w:rPr>
          <w:rFonts w:ascii="宋体" w:eastAsia="宋体" w:hAnsi="宋体" w:cs="宋体"/>
          <w:color w:val="000000"/>
          <w:kern w:val="2"/>
          <w:lang w:eastAsia="zh-CN"/>
        </w:rPr>
        <w:t>安装人员</w:t>
      </w:r>
      <w:r>
        <w:rPr>
          <w:rFonts w:ascii="宋体" w:eastAsia="宋体" w:hAnsi="宋体" w:cs="宋体" w:hint="eastAsia"/>
          <w:color w:val="000000"/>
          <w:kern w:val="2"/>
          <w:lang w:eastAsia="zh-CN"/>
        </w:rPr>
        <w:t>及其他任何第三方的人身和财产安全负责，如在前述过程中，由于卖方</w:t>
      </w:r>
      <w:r>
        <w:rPr>
          <w:rFonts w:ascii="宋体" w:eastAsia="宋体" w:hAnsi="宋体" w:cs="宋体"/>
          <w:color w:val="000000"/>
          <w:kern w:val="2"/>
          <w:lang w:eastAsia="zh-CN"/>
        </w:rPr>
        <w:t>运输</w:t>
      </w:r>
      <w:r>
        <w:rPr>
          <w:rFonts w:ascii="宋体" w:eastAsia="宋体" w:hAnsi="宋体" w:cs="宋体" w:hint="eastAsia"/>
          <w:color w:val="000000"/>
          <w:kern w:val="2"/>
          <w:lang w:eastAsia="zh-CN"/>
        </w:rPr>
        <w:t>人员</w:t>
      </w:r>
      <w:r>
        <w:rPr>
          <w:rFonts w:ascii="宋体" w:eastAsia="宋体" w:hAnsi="宋体" w:cs="宋体"/>
          <w:color w:val="000000"/>
          <w:kern w:val="2"/>
          <w:lang w:eastAsia="zh-CN"/>
        </w:rPr>
        <w:t>或安装人员</w:t>
      </w:r>
      <w:r>
        <w:rPr>
          <w:rFonts w:ascii="宋体" w:eastAsia="宋体" w:hAnsi="宋体" w:cs="宋体" w:hint="eastAsia"/>
          <w:color w:val="000000"/>
          <w:kern w:val="2"/>
          <w:lang w:eastAsia="zh-CN"/>
        </w:rPr>
        <w:t>的故意或过失对于</w:t>
      </w:r>
      <w:r>
        <w:rPr>
          <w:rFonts w:ascii="宋体" w:eastAsia="宋体" w:hAnsi="宋体" w:cs="宋体"/>
          <w:color w:val="000000"/>
          <w:kern w:val="2"/>
          <w:lang w:eastAsia="zh-CN"/>
        </w:rPr>
        <w:t>产品、</w:t>
      </w:r>
      <w:r>
        <w:rPr>
          <w:rFonts w:ascii="宋体" w:eastAsia="宋体" w:hAnsi="宋体" w:cs="宋体" w:hint="eastAsia"/>
          <w:color w:val="000000"/>
          <w:kern w:val="2"/>
          <w:lang w:eastAsia="zh-CN"/>
        </w:rPr>
        <w:t>其自身、</w:t>
      </w:r>
      <w:r>
        <w:rPr>
          <w:rFonts w:ascii="宋体" w:eastAsia="宋体" w:hAnsi="宋体" w:cs="宋体"/>
          <w:color w:val="000000"/>
          <w:kern w:val="2"/>
          <w:lang w:eastAsia="zh-CN"/>
        </w:rPr>
        <w:t>甲方</w:t>
      </w:r>
      <w:r>
        <w:rPr>
          <w:rFonts w:ascii="宋体" w:eastAsia="宋体" w:hAnsi="宋体" w:cs="宋体" w:hint="eastAsia"/>
          <w:color w:val="000000"/>
          <w:kern w:val="2"/>
          <w:lang w:eastAsia="zh-CN"/>
        </w:rPr>
        <w:t>及其他任何第三方的人身和财产造成损害的，应由</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承担赔偿责任。</w:t>
      </w:r>
    </w:p>
    <w:p>
      <w:pPr>
        <w:widowControl w:val="0"/>
        <w:spacing w:before="120" w:beforeLines="50" w:after="120" w:afterLines="50" w:line="360" w:lineRule="auto"/>
        <w:ind w:firstLine="0" w:firstLineChars="0"/>
        <w:jc w:val="both"/>
        <w:rPr>
          <w:rFonts w:ascii="宋体" w:eastAsia="宋体" w:hAnsi="宋体" w:cs="宋体"/>
          <w:b/>
          <w:bCs/>
          <w:kern w:val="2"/>
          <w:lang w:eastAsia="zh-CN"/>
        </w:rPr>
      </w:pPr>
      <w:r>
        <w:rPr>
          <w:rFonts w:ascii="宋体" w:eastAsia="宋体" w:hAnsi="宋体" w:cs="宋体"/>
          <w:b/>
          <w:bCs/>
          <w:kern w:val="2"/>
          <w:lang w:eastAsia="zh-CN"/>
        </w:rPr>
        <w:t>四、</w:t>
      </w:r>
      <w:r>
        <w:rPr>
          <w:rFonts w:ascii="宋体" w:eastAsia="宋体" w:hAnsi="宋体" w:cs="宋体" w:hint="eastAsia"/>
          <w:b/>
          <w:bCs/>
          <w:kern w:val="2"/>
          <w:lang w:eastAsia="zh-CN"/>
        </w:rPr>
        <w:t>支付条件</w:t>
      </w:r>
      <w:r>
        <w:rPr>
          <w:rFonts w:ascii="宋体" w:eastAsia="宋体" w:hAnsi="宋体" w:cs="宋体"/>
          <w:b/>
          <w:bCs/>
          <w:kern w:val="2"/>
          <w:lang w:eastAsia="zh-CN"/>
        </w:rPr>
        <w:t>及方式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1.乙</w:t>
      </w:r>
      <w:r>
        <w:rPr>
          <w:rFonts w:ascii="宋体" w:eastAsia="宋体" w:hAnsi="宋体" w:cs="宋体" w:hint="eastAsia"/>
          <w:kern w:val="2"/>
          <w:lang w:eastAsia="zh-CN"/>
        </w:rPr>
        <w:t>方</w:t>
      </w:r>
      <w:r>
        <w:rPr>
          <w:rFonts w:ascii="宋体" w:eastAsia="宋体" w:hAnsi="宋体" w:cs="宋体"/>
          <w:kern w:val="2"/>
          <w:lang w:eastAsia="zh-CN"/>
        </w:rPr>
        <w:t>应</w:t>
      </w:r>
      <w:r>
        <w:rPr>
          <w:rFonts w:ascii="宋体" w:eastAsia="宋体" w:hAnsi="宋体" w:cs="宋体" w:hint="eastAsia"/>
          <w:kern w:val="2"/>
          <w:lang w:eastAsia="zh-CN"/>
        </w:rPr>
        <w:t>在本合同签订后的</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日内</w:t>
      </w:r>
      <w:r>
        <w:rPr>
          <w:rFonts w:ascii="宋体" w:eastAsia="宋体" w:hAnsi="宋体" w:cs="宋体"/>
          <w:kern w:val="2"/>
          <w:lang w:eastAsia="zh-CN"/>
        </w:rPr>
        <w:t>向甲方提供正规足额发票。</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2.乙方负责将</w:t>
      </w:r>
      <w:r>
        <w:rPr>
          <w:rFonts w:ascii="宋体" w:eastAsia="宋体" w:hAnsi="宋体" w:cs="宋体" w:hint="eastAsia"/>
          <w:kern w:val="2"/>
          <w:lang w:eastAsia="zh-CN"/>
        </w:rPr>
        <w:t>货物运至合同约定地点</w:t>
      </w:r>
      <w:r>
        <w:rPr>
          <w:rFonts w:ascii="宋体" w:eastAsia="宋体" w:hAnsi="宋体" w:cs="宋体"/>
          <w:kern w:val="2"/>
          <w:lang w:eastAsia="zh-CN"/>
        </w:rPr>
        <w:t>后</w:t>
      </w:r>
      <w:r>
        <w:rPr>
          <w:rFonts w:ascii="宋体" w:eastAsia="宋体" w:hAnsi="宋体" w:cs="宋体" w:hint="eastAsia"/>
          <w:kern w:val="2"/>
          <w:lang w:eastAsia="zh-CN"/>
        </w:rPr>
        <w:t>按照本合同约定由甲方进行验收，验收合格</w:t>
      </w:r>
      <w:r>
        <w:rPr>
          <w:rFonts w:ascii="宋体" w:eastAsia="宋体" w:hAnsi="宋体" w:cs="宋体"/>
          <w:kern w:val="2"/>
          <w:lang w:eastAsia="zh-CN"/>
        </w:rPr>
        <w:t>并收到乙方开具的正式足额发票后，</w:t>
      </w:r>
      <w:r>
        <w:rPr>
          <w:rFonts w:ascii="宋体" w:eastAsia="宋体" w:hAnsi="宋体" w:cs="宋体" w:hint="eastAsia"/>
          <w:kern w:val="2"/>
          <w:lang w:eastAsia="zh-CN"/>
        </w:rPr>
        <w:t>甲方应在</w:t>
      </w:r>
      <w:r>
        <w:rPr>
          <w:rFonts w:ascii="宋体" w:eastAsia="宋体" w:hAnsi="宋体" w:cs="宋体"/>
          <w:kern w:val="2"/>
          <w:u w:val="single"/>
          <w:lang w:eastAsia="zh-CN"/>
        </w:rPr>
        <w:t xml:space="preserve">    </w:t>
      </w:r>
      <w:r>
        <w:rPr>
          <w:rFonts w:ascii="宋体" w:eastAsia="宋体" w:hAnsi="宋体" w:cs="宋体" w:hint="eastAsia"/>
          <w:kern w:val="2"/>
          <w:lang w:eastAsia="zh-CN"/>
        </w:rPr>
        <w:t xml:space="preserve">日内向乙方支付货款人民币 </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________元</w:t>
      </w:r>
      <w:r>
        <w:rPr>
          <w:rFonts w:ascii="宋体" w:eastAsia="宋体" w:hAnsi="宋体" w:cs="宋体" w:hint="eastAsia"/>
          <w:kern w:val="2"/>
          <w:lang w:eastAsia="zh-CN"/>
        </w:rPr>
        <w:t>（大写：</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r>
        <w:rPr>
          <w:rFonts w:ascii="宋体" w:eastAsia="宋体" w:hAnsi="宋体" w:cs="宋体" w:hint="eastAsia"/>
          <w:color w:val="000000"/>
          <w:kern w:val="2"/>
          <w:lang w:eastAsia="zh-CN"/>
        </w:rPr>
        <w:t>但该验收合格不免除</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因货物存在的质量问题需要提供的维修保养以及退换货责任。</w:t>
      </w:r>
    </w:p>
    <w:p>
      <w:pPr>
        <w:widowControl w:val="0"/>
        <w:spacing w:before="120" w:beforeLines="50" w:line="360" w:lineRule="auto"/>
        <w:ind w:left="414" w:firstLine="0" w:firstLineChars="0"/>
        <w:jc w:val="both"/>
        <w:rPr>
          <w:rFonts w:ascii="宋体" w:eastAsia="宋体" w:hAnsi="宋体" w:cs="宋体"/>
          <w:kern w:val="2"/>
          <w:lang w:eastAsia="zh-CN"/>
        </w:rPr>
      </w:pPr>
      <w:r>
        <w:rPr>
          <w:rFonts w:ascii="宋体" w:eastAsia="宋体" w:hAnsi="宋体" w:cs="宋体" w:hint="eastAsia"/>
          <w:kern w:val="2"/>
          <w:lang w:eastAsia="zh-CN"/>
        </w:rPr>
        <w:t>上述款项均为含税金额。</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支付方式：</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甲方以下列形式之一向卖方付款：</w:t>
      </w:r>
      <w:r>
        <w:rPr>
          <w:rFonts w:ascii="Wingdings" w:eastAsia="宋体" w:hAnsi="Wingdings" w:cs="宋体"/>
          <w:kern w:val="2"/>
          <w:lang w:eastAsia="zh-CN"/>
        </w:rPr>
        <w:sym w:font="Wingdings" w:char="F0A8"/>
      </w:r>
      <w:r>
        <w:rPr>
          <w:rFonts w:ascii="宋体" w:eastAsia="宋体" w:hAnsi="宋体" w:cs="宋体" w:hint="eastAsia"/>
          <w:kern w:val="2"/>
          <w:lang w:eastAsia="zh-CN"/>
        </w:rPr>
        <w:t>转帐支票</w:t>
      </w:r>
      <w:r>
        <w:rPr>
          <w:rFonts w:ascii="Wingdings" w:eastAsia="宋体" w:hAnsi="Wingdings" w:cs="宋体"/>
          <w:kern w:val="2"/>
          <w:lang w:eastAsia="zh-CN"/>
        </w:rPr>
        <w:sym w:font="Wingdings" w:char="F0A8"/>
      </w:r>
      <w:r>
        <w:rPr>
          <w:rFonts w:ascii="宋体" w:eastAsia="宋体" w:hAnsi="宋体" w:cs="宋体" w:hint="eastAsia"/>
          <w:kern w:val="2"/>
          <w:lang w:eastAsia="zh-CN"/>
        </w:rPr>
        <w:t>银行汇票</w:t>
      </w:r>
      <w:r>
        <w:rPr>
          <w:rFonts w:ascii="Wingdings" w:eastAsia="宋体" w:hAnsi="Wingdings" w:cs="宋体"/>
          <w:kern w:val="2"/>
          <w:lang w:eastAsia="zh-CN"/>
        </w:rPr>
        <w:sym w:font="Wingdings" w:char="F06E"/>
      </w:r>
      <w:r>
        <w:rPr>
          <w:rFonts w:ascii="宋体" w:eastAsia="宋体" w:hAnsi="宋体" w:cs="宋体" w:hint="eastAsia"/>
          <w:kern w:val="2"/>
          <w:lang w:eastAsia="zh-CN"/>
        </w:rPr>
        <w:t>汇款。</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 xml:space="preserve"> 甲方应将货款汇入乙方指定的帐户。</w:t>
      </w:r>
    </w:p>
    <w:p>
      <w:pPr>
        <w:widowControl w:val="0"/>
        <w:spacing w:line="360" w:lineRule="auto"/>
        <w:ind w:left="2400" w:hanging="2400" w:hangingChars="1000"/>
        <w:jc w:val="both"/>
        <w:rPr>
          <w:rFonts w:ascii="宋体" w:eastAsia="宋体" w:hAnsi="宋体" w:cs="宋体"/>
          <w:kern w:val="2"/>
          <w:lang w:eastAsia="zh-CN"/>
        </w:rPr>
      </w:pPr>
      <w:r>
        <w:rPr>
          <w:rFonts w:ascii="宋体" w:eastAsia="宋体" w:hAnsi="宋体" w:cs="宋体" w:hint="eastAsia"/>
          <w:kern w:val="2"/>
          <w:lang w:eastAsia="zh-CN"/>
        </w:rPr>
        <w:t xml:space="preserve">    单位名称：  </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开</w:t>
      </w:r>
      <w:r>
        <w:rPr>
          <w:rFonts w:ascii="宋体" w:eastAsia="宋体" w:hAnsi="宋体" w:cs="宋体" w:hint="eastAsia"/>
          <w:kern w:val="2"/>
          <w:lang w:eastAsia="zh-CN"/>
        </w:rPr>
        <w:t xml:space="preserve"> 户 行:  </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 xml:space="preserve">帐    号： </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如上述付款方式或帐户发生改变，乙方应以书面形式（并加盖公章）告知甲方。</w:t>
      </w:r>
    </w:p>
    <w:p>
      <w:pPr>
        <w:widowControl w:val="0"/>
        <w:spacing w:before="120" w:beforeLines="50" w:after="120" w:afterLines="50" w:line="360" w:lineRule="auto"/>
        <w:ind w:firstLine="0" w:firstLineChars="0"/>
        <w:jc w:val="both"/>
        <w:rPr>
          <w:rFonts w:ascii="宋体" w:eastAsia="宋体" w:hAnsi="宋体" w:cs="宋体"/>
          <w:kern w:val="2"/>
          <w:lang w:eastAsia="zh-CN"/>
        </w:rPr>
      </w:pPr>
      <w:r>
        <w:rPr>
          <w:rFonts w:ascii="宋体" w:eastAsia="宋体" w:hAnsi="宋体" w:cs="宋体"/>
          <w:b/>
          <w:kern w:val="2"/>
          <w:lang w:eastAsia="zh-CN"/>
        </w:rPr>
        <w:t>五、</w:t>
      </w:r>
      <w:r>
        <w:rPr>
          <w:rFonts w:ascii="宋体" w:eastAsia="宋体" w:hAnsi="宋体" w:cs="宋体" w:hint="eastAsia"/>
          <w:b/>
          <w:kern w:val="2"/>
          <w:lang w:eastAsia="zh-CN"/>
        </w:rPr>
        <w:t>产品验收</w:t>
      </w:r>
      <w:r>
        <w:rPr>
          <w:rFonts w:ascii="宋体" w:eastAsia="宋体" w:hAnsi="宋体" w:cs="宋体"/>
          <w:b/>
          <w:kern w:val="2"/>
          <w:lang w:eastAsia="zh-CN"/>
        </w:rPr>
        <w:t>及</w:t>
      </w:r>
      <w:r>
        <w:rPr>
          <w:rFonts w:ascii="宋体" w:eastAsia="宋体" w:hAnsi="宋体" w:cs="宋体" w:hint="eastAsia"/>
          <w:b/>
          <w:kern w:val="2"/>
          <w:lang w:eastAsia="zh-CN"/>
        </w:rPr>
        <w:t>售后</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color w:val="000000"/>
          <w:kern w:val="2"/>
          <w:lang w:eastAsia="zh-CN"/>
        </w:rPr>
        <w:t>1.</w:t>
      </w:r>
      <w:r>
        <w:rPr>
          <w:rFonts w:ascii="宋体" w:eastAsia="宋体" w:hAnsi="宋体" w:cs="宋体" w:hint="eastAsia"/>
          <w:kern w:val="2"/>
          <w:lang w:eastAsia="zh-CN"/>
        </w:rPr>
        <w:t>乙方送货到甲方指定地点后，双方应现场进行外观验收，对于产品的型号、外观、数量、配件、包装是否无破损等情况进行查验</w:t>
      </w:r>
      <w:r>
        <w:rPr>
          <w:rFonts w:ascii="宋体" w:eastAsia="宋体" w:hAnsi="宋体" w:cs="宋体"/>
          <w:kern w:val="2"/>
          <w:lang w:eastAsia="zh-CN"/>
        </w:rPr>
        <w:t>。</w:t>
      </w:r>
      <w:r>
        <w:rPr>
          <w:rFonts w:ascii="宋体" w:eastAsia="宋体" w:hAnsi="宋体" w:cs="宋体" w:hint="eastAsia"/>
          <w:kern w:val="2"/>
          <w:lang w:eastAsia="zh-CN"/>
        </w:rPr>
        <w:t>如前述任何内容不符合合同约定或甲方要求的，甲方有权不予签收，</w:t>
      </w:r>
      <w:r>
        <w:rPr>
          <w:rFonts w:ascii="宋体" w:eastAsia="宋体" w:hAnsi="宋体" w:cs="宋体"/>
          <w:kern w:val="2"/>
          <w:lang w:eastAsia="zh-CN"/>
        </w:rPr>
        <w:t>且</w:t>
      </w:r>
      <w:r>
        <w:rPr>
          <w:rFonts w:ascii="宋体" w:eastAsia="宋体" w:hAnsi="宋体" w:cs="宋体" w:hint="eastAsia"/>
          <w:kern w:val="2"/>
          <w:lang w:eastAsia="zh-CN"/>
        </w:rPr>
        <w:t>乙方应在甲方指定时间内补足或更换至符合合同约定及甲方要求的产品。</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w:t>
      </w:r>
      <w:r>
        <w:rPr>
          <w:rFonts w:ascii="宋体" w:eastAsia="宋体" w:hAnsi="宋体" w:cs="宋体" w:hint="eastAsia"/>
          <w:kern w:val="2"/>
          <w:lang w:eastAsia="zh-CN"/>
        </w:rPr>
        <w:t>通过甲方外观验收后，对于需要进行安装并加载软件方可实现产品功能的，乙方应对</w:t>
      </w:r>
      <w:r>
        <w:rPr>
          <w:rFonts w:ascii="宋体" w:eastAsia="宋体" w:hAnsi="宋体" w:cs="宋体"/>
          <w:kern w:val="2"/>
          <w:lang w:eastAsia="zh-CN"/>
        </w:rPr>
        <w:t>产品</w:t>
      </w:r>
      <w:r>
        <w:rPr>
          <w:rFonts w:ascii="宋体" w:eastAsia="宋体" w:hAnsi="宋体" w:cs="宋体" w:hint="eastAsia"/>
          <w:kern w:val="2"/>
          <w:lang w:eastAsia="zh-CN"/>
        </w:rPr>
        <w:t>进行安装并加载软件进行试运行，如试运行情况符合甲方要求及合同约定的，视为该</w:t>
      </w:r>
      <w:r>
        <w:rPr>
          <w:rFonts w:ascii="宋体" w:eastAsia="宋体" w:hAnsi="宋体" w:cs="宋体"/>
          <w:kern w:val="2"/>
          <w:lang w:eastAsia="zh-CN"/>
        </w:rPr>
        <w:t>产品</w:t>
      </w:r>
      <w:r>
        <w:rPr>
          <w:rFonts w:ascii="宋体" w:eastAsia="宋体" w:hAnsi="宋体" w:cs="宋体" w:hint="eastAsia"/>
          <w:kern w:val="2"/>
          <w:lang w:eastAsia="zh-CN"/>
        </w:rPr>
        <w:t>通过甲方试运行验收，甲方将按照合同约定安排支付验收款</w:t>
      </w:r>
      <w:r>
        <w:rPr>
          <w:rFonts w:ascii="宋体" w:eastAsia="宋体" w:hAnsi="宋体" w:cs="宋体"/>
          <w:kern w:val="2"/>
          <w:lang w:eastAsia="zh-CN"/>
        </w:rPr>
        <w:t>。</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质保期为产品通过甲方验收之日起</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w:t>
      </w:r>
      <w:r>
        <w:rPr>
          <w:rFonts w:ascii="宋体" w:eastAsia="宋体" w:hAnsi="宋体" w:cs="宋体" w:hint="eastAsia"/>
          <w:kern w:val="2"/>
          <w:lang w:eastAsia="zh-CN"/>
        </w:rPr>
        <w:t>年</w:t>
      </w:r>
      <w:r>
        <w:rPr>
          <w:rFonts w:ascii="宋体" w:eastAsia="宋体" w:hAnsi="宋体" w:cs="宋体"/>
          <w:kern w:val="2"/>
          <w:lang w:eastAsia="zh-CN"/>
        </w:rPr>
        <w:t>，</w:t>
      </w:r>
      <w:r>
        <w:rPr>
          <w:rFonts w:ascii="宋体" w:eastAsia="宋体" w:hAnsi="宋体" w:cs="宋体" w:hint="eastAsia"/>
          <w:kern w:val="2"/>
          <w:lang w:eastAsia="zh-CN" w:bidi="ar"/>
        </w:rPr>
        <w:t>或产品生产商承诺的质保期</w:t>
      </w:r>
      <w:r>
        <w:rPr>
          <w:rFonts w:ascii="宋体" w:eastAsia="宋体" w:hAnsi="宋体" w:cs="宋体"/>
          <w:kern w:val="2"/>
          <w:lang w:eastAsia="zh-CN" w:bidi="ar"/>
        </w:rPr>
        <w:t>/保修期，以期间较长者为准</w:t>
      </w:r>
      <w:r>
        <w:rPr>
          <w:rFonts w:ascii="宋体" w:eastAsia="宋体" w:hAnsi="宋体" w:cs="宋体" w:hint="eastAsia"/>
          <w:kern w:val="2"/>
          <w:lang w:eastAsia="zh-CN"/>
        </w:rPr>
        <w:t>。在</w:t>
      </w:r>
      <w:r>
        <w:rPr>
          <w:rFonts w:ascii="宋体" w:eastAsia="宋体" w:hAnsi="宋体" w:cs="宋体"/>
          <w:kern w:val="2"/>
          <w:lang w:eastAsia="zh-CN"/>
        </w:rPr>
        <w:t>前述</w:t>
      </w:r>
      <w:r>
        <w:rPr>
          <w:rFonts w:ascii="宋体" w:eastAsia="宋体" w:hAnsi="宋体" w:cs="宋体" w:hint="eastAsia"/>
          <w:kern w:val="2"/>
          <w:lang w:eastAsia="zh-CN"/>
        </w:rPr>
        <w:t>期</w:t>
      </w:r>
      <w:r>
        <w:rPr>
          <w:rFonts w:ascii="宋体" w:eastAsia="宋体" w:hAnsi="宋体" w:cs="宋体"/>
          <w:kern w:val="2"/>
          <w:lang w:eastAsia="zh-CN"/>
        </w:rPr>
        <w:t>间</w:t>
      </w:r>
      <w:r>
        <w:rPr>
          <w:rFonts w:ascii="宋体" w:eastAsia="宋体" w:hAnsi="宋体" w:cs="宋体" w:hint="eastAsia"/>
          <w:kern w:val="2"/>
          <w:lang w:eastAsia="zh-CN"/>
        </w:rPr>
        <w:t>内，由于产品本身质量问题引起的产品维修及更换等一切费用由乙方负责；</w:t>
      </w:r>
      <w:r>
        <w:rPr>
          <w:rFonts w:ascii="宋体" w:eastAsia="宋体" w:hAnsi="宋体" w:cs="宋体"/>
          <w:kern w:val="2"/>
          <w:lang w:eastAsia="zh-CN"/>
        </w:rPr>
        <w:t>该期间届满</w:t>
      </w:r>
      <w:r>
        <w:rPr>
          <w:rFonts w:ascii="宋体" w:eastAsia="宋体" w:hAnsi="宋体" w:cs="宋体" w:hint="eastAsia"/>
          <w:kern w:val="2"/>
          <w:lang w:eastAsia="zh-CN"/>
        </w:rPr>
        <w:t>后，乙方</w:t>
      </w:r>
      <w:r>
        <w:rPr>
          <w:rFonts w:ascii="宋体" w:eastAsia="宋体" w:hAnsi="宋体" w:cs="宋体"/>
          <w:kern w:val="2"/>
          <w:lang w:eastAsia="zh-CN"/>
        </w:rPr>
        <w:t>应为甲方</w:t>
      </w:r>
      <w:r>
        <w:rPr>
          <w:rFonts w:ascii="宋体" w:eastAsia="宋体" w:hAnsi="宋体" w:cs="宋体" w:hint="eastAsia"/>
          <w:kern w:val="2"/>
          <w:lang w:eastAsia="zh-CN"/>
        </w:rPr>
        <w:t>提供有偿</w:t>
      </w:r>
      <w:r>
        <w:rPr>
          <w:rFonts w:ascii="宋体" w:eastAsia="宋体" w:hAnsi="宋体" w:cs="宋体"/>
          <w:kern w:val="2"/>
          <w:lang w:eastAsia="zh-CN"/>
        </w:rPr>
        <w:t>维修或更换</w:t>
      </w:r>
      <w:r>
        <w:rPr>
          <w:rFonts w:ascii="宋体" w:eastAsia="宋体" w:hAnsi="宋体" w:cs="宋体" w:hint="eastAsia"/>
          <w:kern w:val="2"/>
          <w:lang w:eastAsia="zh-CN"/>
        </w:rPr>
        <w:t>服务。</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4.</w:t>
      </w:r>
      <w:r>
        <w:rPr>
          <w:rFonts w:ascii="宋体" w:eastAsia="宋体" w:hAnsi="宋体" w:cs="宋体" w:hint="eastAsia"/>
          <w:kern w:val="2"/>
          <w:lang w:eastAsia="zh-CN"/>
        </w:rPr>
        <w:t>乙方应及时为甲方免费提供与产品相关的咨询服务。</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5.产品</w:t>
      </w:r>
      <w:r>
        <w:rPr>
          <w:rFonts w:ascii="宋体" w:eastAsia="宋体" w:hAnsi="宋体" w:cs="宋体" w:hint="eastAsia"/>
          <w:kern w:val="2"/>
          <w:lang w:eastAsia="zh-CN"/>
        </w:rPr>
        <w:t>品质要求及</w:t>
      </w:r>
      <w:r>
        <w:rPr>
          <w:rFonts w:ascii="宋体" w:eastAsia="宋体" w:hAnsi="宋体" w:cs="宋体"/>
          <w:kern w:val="2"/>
          <w:lang w:eastAsia="zh-CN"/>
        </w:rPr>
        <w:t>乙</w:t>
      </w:r>
      <w:r>
        <w:rPr>
          <w:rFonts w:ascii="宋体" w:eastAsia="宋体" w:hAnsi="宋体" w:cs="宋体" w:hint="eastAsia"/>
          <w:kern w:val="2"/>
          <w:lang w:eastAsia="zh-CN"/>
        </w:rPr>
        <w:t>方对质量负责条件和期限</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（1）乙方应保</w:t>
      </w:r>
      <w:r>
        <w:rPr>
          <w:rFonts w:ascii="宋体" w:eastAsia="宋体" w:hAnsi="宋体" w:cs="宋体" w:hint="eastAsia"/>
          <w:kern w:val="2"/>
          <w:lang w:eastAsia="zh-CN"/>
        </w:rPr>
        <w:t>证</w:t>
      </w:r>
      <w:r>
        <w:rPr>
          <w:rFonts w:ascii="宋体" w:eastAsia="宋体" w:hAnsi="宋体" w:cs="宋体"/>
          <w:kern w:val="2"/>
          <w:lang w:eastAsia="zh-CN"/>
        </w:rPr>
        <w:t>按照行业标准及约定保证其销售</w:t>
      </w:r>
      <w:r>
        <w:rPr>
          <w:rFonts w:ascii="宋体" w:eastAsia="宋体" w:hAnsi="宋体" w:cs="宋体" w:hint="eastAsia"/>
          <w:kern w:val="2"/>
          <w:lang w:eastAsia="zh-CN"/>
        </w:rPr>
        <w:t>产品质量。</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（2）乙方销售</w:t>
      </w:r>
      <w:r>
        <w:rPr>
          <w:rFonts w:ascii="宋体" w:eastAsia="宋体" w:hAnsi="宋体" w:cs="宋体" w:hint="eastAsia"/>
          <w:kern w:val="2"/>
          <w:lang w:eastAsia="zh-CN"/>
        </w:rPr>
        <w:t>的产品必须是全新的（包括零部件）</w:t>
      </w:r>
      <w:r>
        <w:rPr>
          <w:rFonts w:ascii="宋体" w:eastAsia="宋体" w:hAnsi="宋体" w:cs="宋体"/>
          <w:kern w:val="2"/>
          <w:lang w:eastAsia="zh-CN"/>
        </w:rPr>
        <w:t>，</w:t>
      </w:r>
      <w:r>
        <w:rPr>
          <w:rFonts w:ascii="宋体" w:eastAsia="宋体" w:hAnsi="宋体" w:cs="宋体" w:hint="eastAsia"/>
          <w:kern w:val="2"/>
          <w:lang w:eastAsia="zh-CN"/>
        </w:rPr>
        <w:t>有关产品必须符合国家检测</w:t>
      </w:r>
      <w:r>
        <w:rPr>
          <w:rFonts w:ascii="宋体" w:eastAsia="宋体" w:hAnsi="宋体" w:cs="宋体"/>
          <w:kern w:val="2"/>
          <w:lang w:eastAsia="zh-CN"/>
        </w:rPr>
        <w:t>标</w:t>
      </w:r>
      <w:r>
        <w:rPr>
          <w:rFonts w:ascii="宋体" w:eastAsia="宋体" w:hAnsi="宋体" w:cs="宋体" w:hint="eastAsia"/>
          <w:kern w:val="2"/>
          <w:lang w:eastAsia="zh-CN"/>
        </w:rPr>
        <w:t>准。</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（3）乙</w:t>
      </w:r>
      <w:r>
        <w:rPr>
          <w:rFonts w:ascii="宋体" w:eastAsia="宋体" w:hAnsi="宋体" w:cs="宋体" w:hint="eastAsia"/>
          <w:kern w:val="2"/>
          <w:lang w:eastAsia="zh-CN"/>
        </w:rPr>
        <w:t>方对所提供的产品</w:t>
      </w:r>
      <w:r>
        <w:rPr>
          <w:rFonts w:ascii="宋体" w:eastAsia="宋体" w:hAnsi="宋体" w:cs="宋体"/>
          <w:kern w:val="2"/>
          <w:lang w:eastAsia="zh-CN"/>
        </w:rPr>
        <w:t>按照本合同第五条第3款约定提供质保维修服务</w:t>
      </w:r>
      <w:r>
        <w:rPr>
          <w:rFonts w:ascii="宋体" w:eastAsia="宋体" w:hAnsi="宋体" w:cs="宋体" w:hint="eastAsia"/>
          <w:kern w:val="2"/>
          <w:lang w:eastAsia="zh-CN"/>
        </w:rPr>
        <w:t>，</w:t>
      </w:r>
      <w:r>
        <w:rPr>
          <w:rFonts w:ascii="宋体" w:eastAsia="宋体" w:hAnsi="宋体" w:cs="宋体"/>
          <w:kern w:val="2"/>
          <w:lang w:eastAsia="zh-CN"/>
        </w:rPr>
        <w:t>约定</w:t>
      </w:r>
      <w:r>
        <w:rPr>
          <w:rFonts w:ascii="宋体" w:eastAsia="宋体" w:hAnsi="宋体" w:cs="宋体" w:hint="eastAsia"/>
          <w:kern w:val="2"/>
          <w:lang w:eastAsia="zh-CN"/>
        </w:rPr>
        <w:t>期</w:t>
      </w:r>
      <w:r>
        <w:rPr>
          <w:rFonts w:ascii="宋体" w:eastAsia="宋体" w:hAnsi="宋体" w:cs="宋体"/>
          <w:kern w:val="2"/>
          <w:lang w:eastAsia="zh-CN"/>
        </w:rPr>
        <w:t>间</w:t>
      </w:r>
      <w:r>
        <w:rPr>
          <w:rFonts w:ascii="宋体" w:eastAsia="宋体" w:hAnsi="宋体" w:cs="宋体" w:hint="eastAsia"/>
          <w:kern w:val="2"/>
          <w:lang w:eastAsia="zh-CN"/>
        </w:rPr>
        <w:t>内非因</w:t>
      </w:r>
      <w:r>
        <w:rPr>
          <w:rFonts w:ascii="宋体" w:eastAsia="宋体" w:hAnsi="宋体" w:cs="宋体"/>
          <w:kern w:val="2"/>
          <w:lang w:eastAsia="zh-CN"/>
        </w:rPr>
        <w:t>甲</w:t>
      </w:r>
      <w:r>
        <w:rPr>
          <w:rFonts w:ascii="宋体" w:eastAsia="宋体" w:hAnsi="宋体" w:cs="宋体" w:hint="eastAsia"/>
          <w:kern w:val="2"/>
          <w:lang w:eastAsia="zh-CN"/>
        </w:rPr>
        <w:t>方的人为原因而出现</w:t>
      </w:r>
      <w:r>
        <w:rPr>
          <w:rFonts w:ascii="宋体" w:eastAsia="宋体" w:hAnsi="宋体" w:cs="宋体"/>
          <w:kern w:val="2"/>
          <w:lang w:eastAsia="zh-CN"/>
        </w:rPr>
        <w:t>产品</w:t>
      </w:r>
      <w:r>
        <w:rPr>
          <w:rFonts w:ascii="宋体" w:eastAsia="宋体" w:hAnsi="宋体" w:cs="宋体" w:hint="eastAsia"/>
          <w:kern w:val="2"/>
          <w:lang w:eastAsia="zh-CN"/>
        </w:rPr>
        <w:t>质量问题，由</w:t>
      </w:r>
      <w:r>
        <w:rPr>
          <w:rFonts w:ascii="宋体" w:eastAsia="宋体" w:hAnsi="宋体" w:cs="宋体"/>
          <w:kern w:val="2"/>
          <w:lang w:eastAsia="zh-CN"/>
        </w:rPr>
        <w:t>乙方</w:t>
      </w:r>
      <w:r>
        <w:rPr>
          <w:rFonts w:ascii="宋体" w:eastAsia="宋体" w:hAnsi="宋体" w:cs="宋体" w:hint="eastAsia"/>
          <w:kern w:val="2"/>
          <w:lang w:eastAsia="zh-CN"/>
        </w:rPr>
        <w:t>负责负责包修、包换或者包退，并承担</w:t>
      </w:r>
      <w:r>
        <w:rPr>
          <w:rFonts w:ascii="宋体" w:eastAsia="宋体" w:hAnsi="宋体" w:cs="宋体"/>
          <w:kern w:val="2"/>
          <w:lang w:eastAsia="zh-CN"/>
        </w:rPr>
        <w:t>甲方因此支出的</w:t>
      </w:r>
      <w:r>
        <w:rPr>
          <w:rFonts w:ascii="宋体" w:eastAsia="宋体" w:hAnsi="宋体" w:cs="宋体" w:hint="eastAsia"/>
          <w:kern w:val="2"/>
          <w:lang w:eastAsia="zh-CN"/>
        </w:rPr>
        <w:t>修理、调换或退货的实际费用。</w:t>
      </w:r>
      <w:r>
        <w:rPr>
          <w:rFonts w:ascii="宋体" w:eastAsia="宋体" w:hAnsi="宋体" w:cs="宋体"/>
          <w:kern w:val="2"/>
          <w:lang w:eastAsia="zh-CN"/>
        </w:rPr>
        <w:t>如乙方无法</w:t>
      </w:r>
      <w:r>
        <w:rPr>
          <w:rFonts w:ascii="宋体" w:eastAsia="宋体" w:hAnsi="宋体" w:cs="宋体" w:hint="eastAsia"/>
          <w:kern w:val="2"/>
          <w:lang w:eastAsia="zh-CN"/>
        </w:rPr>
        <w:t>修理或不能调换，</w:t>
      </w:r>
      <w:r>
        <w:rPr>
          <w:rFonts w:ascii="宋体" w:eastAsia="宋体" w:hAnsi="宋体" w:cs="宋体"/>
          <w:kern w:val="2"/>
          <w:lang w:eastAsia="zh-CN"/>
        </w:rPr>
        <w:t>则按照无法</w:t>
      </w:r>
      <w:r>
        <w:rPr>
          <w:rFonts w:ascii="宋体" w:eastAsia="宋体" w:hAnsi="宋体" w:cs="宋体" w:hint="eastAsia"/>
          <w:kern w:val="2"/>
          <w:lang w:eastAsia="zh-CN"/>
        </w:rPr>
        <w:t>交货处理。</w:t>
      </w:r>
    </w:p>
    <w:p>
      <w:pPr>
        <w:widowControl w:val="0"/>
        <w:spacing w:before="120" w:beforeLines="50" w:after="120" w:afterLines="50"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六、</w:t>
      </w:r>
      <w:r>
        <w:rPr>
          <w:rFonts w:ascii="宋体" w:eastAsia="宋体" w:hAnsi="宋体" w:cs="宋体" w:hint="eastAsia"/>
          <w:b/>
          <w:kern w:val="2"/>
          <w:lang w:eastAsia="zh-CN"/>
        </w:rPr>
        <w:t>保守秘密和知识产权</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双方在洽谈和履行本合同过程中，获悉对方的任何经营、技术、价格等信息，不得向任何第三方公开；但该信息已经为公众所知晓或信息所有方明示可以公开的除外。</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乙方承诺其</w:t>
      </w:r>
      <w:r>
        <w:rPr>
          <w:rFonts w:ascii="宋体" w:eastAsia="宋体" w:hAnsi="宋体" w:cs="宋体"/>
          <w:kern w:val="2"/>
          <w:lang w:eastAsia="zh-CN"/>
        </w:rPr>
        <w:t>产品</w:t>
      </w:r>
      <w:r>
        <w:rPr>
          <w:rFonts w:ascii="宋体" w:eastAsia="宋体" w:hAnsi="宋体" w:cs="宋体" w:hint="eastAsia"/>
          <w:kern w:val="2"/>
          <w:lang w:eastAsia="zh-CN"/>
        </w:rPr>
        <w:t>不涉及对于任何第三方合法权益的侵犯（包括但不限于知识产权），否则由此造成第三方向甲方进行索赔或使得甲方受到任何损失的，由乙方承担责任。</w:t>
      </w:r>
    </w:p>
    <w:p>
      <w:pPr>
        <w:widowControl w:val="0"/>
        <w:spacing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七、</w:t>
      </w:r>
      <w:r>
        <w:rPr>
          <w:rFonts w:ascii="宋体" w:eastAsia="宋体" w:hAnsi="宋体" w:cs="宋体" w:hint="eastAsia"/>
          <w:b/>
          <w:kern w:val="2"/>
          <w:lang w:eastAsia="zh-CN"/>
        </w:rPr>
        <w:t>合同的变更或解除</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甲乙双方均应严格信守本合同，不得变更或解除合同</w:t>
      </w:r>
      <w:r>
        <w:rPr>
          <w:rFonts w:ascii="宋体" w:eastAsia="宋体" w:hAnsi="宋体" w:cs="宋体"/>
          <w:kern w:val="2"/>
          <w:lang w:eastAsia="zh-CN"/>
        </w:rPr>
        <w:t>。如需变更或增加条款，经双方协商一致后可签署补充协议，其效力与本合同相同。</w:t>
      </w:r>
    </w:p>
    <w:p>
      <w:pPr>
        <w:widowControl w:val="0"/>
        <w:spacing w:before="120" w:beforeLines="50" w:line="360" w:lineRule="auto"/>
        <w:ind w:firstLine="120" w:firstLineChars="50"/>
        <w:jc w:val="both"/>
        <w:rPr>
          <w:rFonts w:ascii="宋体" w:eastAsia="宋体" w:hAnsi="宋体" w:cs="宋体"/>
          <w:b/>
          <w:kern w:val="2"/>
          <w:lang w:eastAsia="zh-CN"/>
        </w:rPr>
      </w:pPr>
      <w:r>
        <w:rPr>
          <w:rFonts w:ascii="宋体" w:eastAsia="宋体" w:hAnsi="宋体" w:cs="宋体"/>
          <w:b/>
          <w:kern w:val="2"/>
          <w:lang w:eastAsia="zh-CN"/>
        </w:rPr>
        <w:t>八、</w:t>
      </w:r>
      <w:r>
        <w:rPr>
          <w:rFonts w:ascii="宋体" w:eastAsia="宋体" w:hAnsi="宋体" w:cs="宋体" w:hint="eastAsia"/>
          <w:b/>
          <w:kern w:val="2"/>
          <w:lang w:eastAsia="zh-CN"/>
        </w:rPr>
        <w:t>违约责任和免责条款</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1.甲方违约责任</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（1）甲方</w:t>
      </w:r>
      <w:r>
        <w:rPr>
          <w:rFonts w:ascii="宋体" w:eastAsia="宋体" w:hAnsi="宋体" w:cs="宋体" w:hint="eastAsia"/>
          <w:kern w:val="2"/>
          <w:lang w:eastAsia="zh-CN"/>
        </w:rPr>
        <w:t>中途退货的，应向</w:t>
      </w:r>
      <w:r>
        <w:rPr>
          <w:rFonts w:ascii="宋体" w:eastAsia="宋体" w:hAnsi="宋体" w:cs="宋体"/>
          <w:kern w:val="2"/>
          <w:lang w:eastAsia="zh-CN"/>
        </w:rPr>
        <w:t>乙方支付</w:t>
      </w:r>
      <w:r>
        <w:rPr>
          <w:rFonts w:ascii="宋体" w:eastAsia="宋体" w:hAnsi="宋体" w:cs="宋体" w:hint="eastAsia"/>
          <w:kern w:val="2"/>
          <w:lang w:eastAsia="zh-CN"/>
        </w:rPr>
        <w:t>退货部分货款2</w:t>
      </w:r>
      <w:r>
        <w:rPr>
          <w:rFonts w:ascii="宋体" w:eastAsia="宋体" w:hAnsi="宋体" w:cs="宋体"/>
          <w:kern w:val="2"/>
          <w:lang w:eastAsia="zh-CN"/>
        </w:rPr>
        <w:t>0%</w:t>
      </w:r>
      <w:r>
        <w:rPr>
          <w:rFonts w:ascii="宋体" w:eastAsia="宋体" w:hAnsi="宋体" w:cs="宋体" w:hint="eastAsia"/>
          <w:kern w:val="2"/>
          <w:lang w:eastAsia="zh-CN"/>
        </w:rPr>
        <w:t>的违约金。</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（2）甲方如约定为</w:t>
      </w:r>
      <w:r>
        <w:rPr>
          <w:rFonts w:ascii="宋体" w:eastAsia="宋体" w:hAnsi="宋体" w:cs="宋体" w:hint="eastAsia"/>
          <w:kern w:val="2"/>
          <w:lang w:eastAsia="zh-CN"/>
        </w:rPr>
        <w:t>自提产品</w:t>
      </w:r>
      <w:r>
        <w:rPr>
          <w:rFonts w:ascii="宋体" w:eastAsia="宋体" w:hAnsi="宋体" w:cs="宋体"/>
          <w:kern w:val="2"/>
          <w:lang w:eastAsia="zh-CN"/>
        </w:rPr>
        <w:t>但</w:t>
      </w:r>
      <w:r>
        <w:rPr>
          <w:rFonts w:ascii="宋体" w:eastAsia="宋体" w:hAnsi="宋体" w:cs="宋体" w:hint="eastAsia"/>
          <w:kern w:val="2"/>
          <w:lang w:eastAsia="zh-CN"/>
        </w:rPr>
        <w:t>未按约定时间或通知的时间提货的，应当承担逾期提货部分产生的保管费用。</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（3）甲方</w:t>
      </w:r>
      <w:r>
        <w:rPr>
          <w:rFonts w:ascii="宋体" w:eastAsia="宋体" w:hAnsi="宋体" w:cs="宋体" w:hint="eastAsia"/>
          <w:kern w:val="2"/>
          <w:lang w:eastAsia="zh-CN"/>
        </w:rPr>
        <w:t>逾期付款的，</w:t>
      </w:r>
      <w:r>
        <w:rPr>
          <w:rFonts w:ascii="宋体" w:eastAsia="宋体" w:hAnsi="宋体" w:cs="宋体"/>
          <w:kern w:val="2"/>
          <w:lang w:eastAsia="zh-CN"/>
        </w:rPr>
        <w:t>每逾期一天，应支付逾期付款金额5‰的违约</w:t>
      </w:r>
      <w:r>
        <w:rPr>
          <w:rFonts w:ascii="宋体" w:eastAsia="宋体" w:hAnsi="宋体" w:cs="宋体" w:hint="eastAsia"/>
          <w:kern w:val="2"/>
          <w:lang w:eastAsia="zh-CN"/>
        </w:rPr>
        <w:t>金</w:t>
      </w:r>
      <w:r>
        <w:rPr>
          <w:rFonts w:ascii="宋体" w:eastAsia="宋体" w:hAnsi="宋体" w:cs="宋体"/>
          <w:kern w:val="2"/>
          <w:lang w:eastAsia="zh-CN"/>
        </w:rPr>
        <w:t>，违约金以本合同总金额</w:t>
      </w:r>
      <w:r>
        <w:rPr>
          <w:rFonts w:ascii="宋体" w:eastAsia="宋体" w:hAnsi="宋体" w:cs="宋体" w:hint="eastAsia"/>
          <w:kern w:val="2"/>
          <w:lang w:eastAsia="zh-CN"/>
        </w:rPr>
        <w:t>的2</w:t>
      </w:r>
      <w:r>
        <w:rPr>
          <w:rFonts w:ascii="宋体" w:eastAsia="宋体" w:hAnsi="宋体" w:cs="宋体"/>
          <w:kern w:val="2"/>
          <w:lang w:eastAsia="zh-CN"/>
        </w:rPr>
        <w:t>0%为上限</w:t>
      </w:r>
      <w:r>
        <w:rPr>
          <w:rFonts w:ascii="宋体" w:eastAsia="宋体" w:hAnsi="宋体" w:cs="宋体" w:hint="eastAsia"/>
          <w:kern w:val="2"/>
          <w:lang w:eastAsia="zh-CN"/>
        </w:rPr>
        <w:t>。</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2.乙方违约责任</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（1）乙方</w:t>
      </w:r>
      <w:r>
        <w:rPr>
          <w:rFonts w:ascii="宋体" w:eastAsia="宋体" w:hAnsi="宋体" w:cs="宋体" w:hint="eastAsia"/>
          <w:kern w:val="2"/>
          <w:lang w:eastAsia="zh-CN"/>
        </w:rPr>
        <w:t>不能交货的，应向</w:t>
      </w:r>
      <w:r>
        <w:rPr>
          <w:rFonts w:ascii="宋体" w:eastAsia="宋体" w:hAnsi="宋体" w:cs="宋体"/>
          <w:kern w:val="2"/>
          <w:lang w:eastAsia="zh-CN"/>
        </w:rPr>
        <w:t>甲方</w:t>
      </w:r>
      <w:r>
        <w:rPr>
          <w:rFonts w:ascii="宋体" w:eastAsia="宋体" w:hAnsi="宋体" w:cs="宋体" w:hint="eastAsia"/>
          <w:kern w:val="2"/>
          <w:lang w:eastAsia="zh-CN"/>
        </w:rPr>
        <w:t>承担不能交货部分货款</w:t>
      </w:r>
      <w:r>
        <w:rPr>
          <w:rFonts w:ascii="宋体" w:eastAsia="宋体" w:hAnsi="宋体" w:cs="宋体"/>
          <w:kern w:val="2"/>
          <w:lang w:eastAsia="zh-CN"/>
        </w:rPr>
        <w:t>20%</w:t>
      </w:r>
      <w:r>
        <w:rPr>
          <w:rFonts w:ascii="宋体" w:eastAsia="宋体" w:hAnsi="宋体" w:cs="宋体" w:hint="eastAsia"/>
          <w:kern w:val="2"/>
          <w:lang w:eastAsia="zh-CN"/>
        </w:rPr>
        <w:t>的违约金。</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（2）乙方</w:t>
      </w:r>
      <w:r>
        <w:rPr>
          <w:rFonts w:ascii="宋体" w:eastAsia="宋体" w:hAnsi="宋体" w:cs="宋体" w:hint="eastAsia"/>
          <w:kern w:val="2"/>
          <w:lang w:eastAsia="zh-CN"/>
        </w:rPr>
        <w:t>所交产品品种、规格、型号</w:t>
      </w:r>
      <w:r>
        <w:rPr>
          <w:rFonts w:ascii="宋体" w:eastAsia="宋体" w:hAnsi="宋体" w:cs="宋体"/>
          <w:kern w:val="2"/>
          <w:lang w:eastAsia="zh-CN"/>
        </w:rPr>
        <w:t>或</w:t>
      </w:r>
      <w:r>
        <w:rPr>
          <w:rFonts w:ascii="宋体" w:eastAsia="宋体" w:hAnsi="宋体" w:cs="宋体" w:hint="eastAsia"/>
          <w:kern w:val="2"/>
          <w:lang w:eastAsia="zh-CN"/>
        </w:rPr>
        <w:t>质量不符合合同约定的，</w:t>
      </w:r>
      <w:r>
        <w:rPr>
          <w:rFonts w:ascii="宋体" w:eastAsia="宋体" w:hAnsi="宋体" w:cs="宋体"/>
          <w:kern w:val="2"/>
          <w:lang w:eastAsia="zh-CN"/>
        </w:rPr>
        <w:t>双方协商处理</w:t>
      </w:r>
      <w:r>
        <w:rPr>
          <w:rFonts w:ascii="宋体" w:eastAsia="宋体" w:hAnsi="宋体" w:cs="宋体" w:hint="eastAsia"/>
          <w:kern w:val="2"/>
          <w:lang w:eastAsia="zh-CN"/>
        </w:rPr>
        <w:t>，</w:t>
      </w:r>
      <w:r>
        <w:rPr>
          <w:rFonts w:ascii="宋体" w:eastAsia="宋体" w:hAnsi="宋体" w:cs="宋体"/>
          <w:kern w:val="2"/>
          <w:lang w:eastAsia="zh-CN"/>
        </w:rPr>
        <w:t>如甲方不同意签收，则乙方</w:t>
      </w:r>
      <w:r>
        <w:rPr>
          <w:rFonts w:ascii="宋体" w:eastAsia="宋体" w:hAnsi="宋体" w:cs="宋体" w:hint="eastAsia"/>
          <w:kern w:val="2"/>
          <w:lang w:eastAsia="zh-CN"/>
        </w:rPr>
        <w:t>应负责包换或包修，并承担修理、调换或退货的费用。</w:t>
      </w:r>
      <w:r>
        <w:rPr>
          <w:rFonts w:ascii="宋体" w:eastAsia="宋体" w:hAnsi="宋体" w:cs="宋体"/>
          <w:kern w:val="2"/>
          <w:lang w:eastAsia="zh-CN"/>
        </w:rPr>
        <w:t>乙方</w:t>
      </w:r>
      <w:r>
        <w:rPr>
          <w:rFonts w:ascii="宋体" w:eastAsia="宋体" w:hAnsi="宋体" w:cs="宋体" w:hint="eastAsia"/>
          <w:kern w:val="2"/>
          <w:lang w:eastAsia="zh-CN"/>
        </w:rPr>
        <w:t>不能修理或退换的，按不能交货处理。</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（3）乙方</w:t>
      </w:r>
      <w:r>
        <w:rPr>
          <w:rFonts w:ascii="宋体" w:eastAsia="宋体" w:hAnsi="宋体" w:cs="宋体" w:hint="eastAsia"/>
          <w:kern w:val="2"/>
          <w:lang w:eastAsia="zh-CN"/>
        </w:rPr>
        <w:t>逾期交货的，</w:t>
      </w:r>
      <w:r>
        <w:rPr>
          <w:rFonts w:ascii="宋体" w:eastAsia="宋体" w:hAnsi="宋体" w:cs="宋体" w:hint="eastAsia"/>
          <w:kern w:val="2"/>
          <w:lang w:eastAsia="zh-CN" w:bidi="ar"/>
        </w:rPr>
        <w:t>每逾期一天，应支付逾期交货部分金额</w:t>
      </w:r>
      <w:r>
        <w:rPr>
          <w:rFonts w:ascii="宋体" w:eastAsia="宋体" w:hAnsi="宋体" w:cs="宋体"/>
          <w:kern w:val="2"/>
          <w:lang w:eastAsia="zh-CN" w:bidi="ar"/>
        </w:rPr>
        <w:t>5</w:t>
      </w:r>
      <w:r>
        <w:rPr>
          <w:rFonts w:ascii="宋体" w:eastAsia="宋体" w:hAnsi="宋体" w:cs="宋体" w:hint="eastAsia"/>
          <w:kern w:val="2"/>
          <w:lang w:eastAsia="zh-CN" w:bidi="ar"/>
        </w:rPr>
        <w:t>‰</w:t>
      </w:r>
      <w:r>
        <w:rPr>
          <w:rFonts w:ascii="宋体" w:eastAsia="宋体" w:hAnsi="宋体" w:cs="宋体"/>
          <w:kern w:val="2"/>
          <w:lang w:eastAsia="zh-CN" w:bidi="ar"/>
        </w:rPr>
        <w:t>的</w:t>
      </w:r>
      <w:r>
        <w:rPr>
          <w:rFonts w:ascii="宋体" w:eastAsia="宋体" w:hAnsi="宋体" w:cs="宋体" w:hint="eastAsia"/>
          <w:kern w:val="2"/>
          <w:lang w:eastAsia="zh-CN" w:bidi="ar"/>
        </w:rPr>
        <w:t>违约金，</w:t>
      </w:r>
      <w:r>
        <w:rPr>
          <w:rFonts w:ascii="宋体" w:eastAsia="宋体" w:hAnsi="宋体" w:cs="宋体"/>
          <w:kern w:val="2"/>
          <w:lang w:eastAsia="zh-CN"/>
        </w:rPr>
        <w:t>违约金以本合同总金额为上限，且乙方需</w:t>
      </w:r>
      <w:r>
        <w:rPr>
          <w:rFonts w:ascii="宋体" w:eastAsia="宋体" w:hAnsi="宋体" w:cs="宋体" w:hint="eastAsia"/>
          <w:kern w:val="2"/>
          <w:lang w:eastAsia="zh-CN"/>
        </w:rPr>
        <w:t>承担</w:t>
      </w:r>
      <w:r>
        <w:rPr>
          <w:rFonts w:ascii="宋体" w:eastAsia="宋体" w:hAnsi="宋体" w:cs="宋体"/>
          <w:kern w:val="2"/>
          <w:lang w:eastAsia="zh-CN"/>
        </w:rPr>
        <w:t>甲方</w:t>
      </w:r>
      <w:r>
        <w:rPr>
          <w:rFonts w:ascii="宋体" w:eastAsia="宋体" w:hAnsi="宋体" w:cs="宋体" w:hint="eastAsia"/>
          <w:kern w:val="2"/>
          <w:lang w:eastAsia="zh-CN"/>
        </w:rPr>
        <w:t>因此而造成的</w:t>
      </w:r>
      <w:r>
        <w:rPr>
          <w:rFonts w:ascii="宋体" w:eastAsia="宋体" w:hAnsi="宋体" w:cs="宋体"/>
          <w:kern w:val="2"/>
          <w:lang w:eastAsia="zh-CN"/>
        </w:rPr>
        <w:t>全部</w:t>
      </w:r>
      <w:r>
        <w:rPr>
          <w:rFonts w:ascii="宋体" w:eastAsia="宋体" w:hAnsi="宋体" w:cs="宋体" w:hint="eastAsia"/>
          <w:kern w:val="2"/>
          <w:lang w:eastAsia="zh-CN"/>
        </w:rPr>
        <w:t>损失。</w:t>
      </w:r>
      <w:r>
        <w:rPr>
          <w:rFonts w:ascii="宋体" w:eastAsia="宋体" w:hAnsi="宋体" w:cs="宋体"/>
          <w:kern w:val="2"/>
          <w:lang w:eastAsia="zh-CN"/>
        </w:rPr>
        <w:t>乙方</w:t>
      </w:r>
      <w:r>
        <w:rPr>
          <w:rFonts w:ascii="宋体" w:eastAsia="宋体" w:hAnsi="宋体" w:cs="宋体" w:hint="eastAsia"/>
          <w:kern w:val="2"/>
          <w:lang w:eastAsia="zh-CN"/>
        </w:rPr>
        <w:t>提前交货的，如果是</w:t>
      </w:r>
      <w:r>
        <w:rPr>
          <w:rFonts w:ascii="宋体" w:eastAsia="宋体" w:hAnsi="宋体" w:cs="宋体"/>
          <w:kern w:val="2"/>
          <w:lang w:eastAsia="zh-CN"/>
        </w:rPr>
        <w:t>甲方</w:t>
      </w:r>
      <w:r>
        <w:rPr>
          <w:rFonts w:ascii="宋体" w:eastAsia="宋体" w:hAnsi="宋体" w:cs="宋体" w:hint="eastAsia"/>
          <w:kern w:val="2"/>
          <w:lang w:eastAsia="zh-CN"/>
        </w:rPr>
        <w:t>提货的，可拒绝提货；如果是送货的，可要求</w:t>
      </w:r>
      <w:r>
        <w:rPr>
          <w:rFonts w:ascii="宋体" w:eastAsia="宋体" w:hAnsi="宋体" w:cs="宋体"/>
          <w:kern w:val="2"/>
          <w:lang w:eastAsia="zh-CN"/>
        </w:rPr>
        <w:t>乙方</w:t>
      </w:r>
      <w:r>
        <w:rPr>
          <w:rFonts w:ascii="宋体" w:eastAsia="宋体" w:hAnsi="宋体" w:cs="宋体" w:hint="eastAsia"/>
          <w:kern w:val="2"/>
          <w:lang w:eastAsia="zh-CN"/>
        </w:rPr>
        <w:t>承担提前交货期间的保管费用，</w:t>
      </w:r>
      <w:r>
        <w:rPr>
          <w:rFonts w:ascii="宋体" w:eastAsia="宋体" w:hAnsi="宋体" w:cs="宋体"/>
          <w:kern w:val="2"/>
          <w:lang w:eastAsia="zh-CN"/>
        </w:rPr>
        <w:t>甲方</w:t>
      </w:r>
      <w:r>
        <w:rPr>
          <w:rFonts w:ascii="宋体" w:eastAsia="宋体" w:hAnsi="宋体" w:cs="宋体" w:hint="eastAsia"/>
          <w:kern w:val="2"/>
          <w:lang w:eastAsia="zh-CN"/>
        </w:rPr>
        <w:t>仍按约定支付货款。</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(4) 乙方</w:t>
      </w:r>
      <w:r>
        <w:rPr>
          <w:rFonts w:ascii="宋体" w:eastAsia="宋体" w:hAnsi="宋体" w:cs="宋体" w:hint="eastAsia"/>
          <w:kern w:val="2"/>
          <w:lang w:eastAsia="zh-CN"/>
        </w:rPr>
        <w:t>未按约定时间提供应交的技术资料或包装物的，</w:t>
      </w:r>
      <w:r>
        <w:rPr>
          <w:rFonts w:ascii="宋体" w:eastAsia="宋体" w:hAnsi="宋体" w:cs="宋体" w:hint="eastAsia"/>
          <w:kern w:val="2"/>
          <w:lang w:eastAsia="zh-CN" w:bidi="ar"/>
        </w:rPr>
        <w:t>每逾期一天，应支付逾期交货部分金额</w:t>
      </w:r>
      <w:r>
        <w:rPr>
          <w:rFonts w:ascii="宋体" w:eastAsia="宋体" w:hAnsi="宋体" w:cs="宋体"/>
          <w:kern w:val="2"/>
          <w:lang w:eastAsia="zh-CN" w:bidi="ar"/>
        </w:rPr>
        <w:t>5</w:t>
      </w:r>
      <w:r>
        <w:rPr>
          <w:rFonts w:ascii="宋体" w:eastAsia="宋体" w:hAnsi="宋体" w:cs="宋体" w:hint="eastAsia"/>
          <w:kern w:val="2"/>
          <w:lang w:eastAsia="zh-CN" w:bidi="ar"/>
        </w:rPr>
        <w:t>‰</w:t>
      </w:r>
      <w:r>
        <w:rPr>
          <w:rFonts w:ascii="宋体" w:eastAsia="宋体" w:hAnsi="宋体" w:cs="宋体"/>
          <w:kern w:val="2"/>
          <w:lang w:eastAsia="zh-CN" w:bidi="ar"/>
        </w:rPr>
        <w:t>的</w:t>
      </w:r>
      <w:r>
        <w:rPr>
          <w:rFonts w:ascii="宋体" w:eastAsia="宋体" w:hAnsi="宋体" w:cs="宋体" w:hint="eastAsia"/>
          <w:kern w:val="2"/>
          <w:lang w:eastAsia="zh-CN" w:bidi="ar"/>
        </w:rPr>
        <w:t>违约金，</w:t>
      </w:r>
      <w:r>
        <w:rPr>
          <w:rFonts w:ascii="宋体" w:eastAsia="宋体" w:hAnsi="宋体" w:cs="宋体"/>
          <w:kern w:val="2"/>
          <w:lang w:eastAsia="zh-CN"/>
        </w:rPr>
        <w:t>违约金以本合同总金额为上限，且乙方需</w:t>
      </w:r>
      <w:r>
        <w:rPr>
          <w:rFonts w:ascii="宋体" w:eastAsia="宋体" w:hAnsi="宋体" w:cs="宋体" w:hint="eastAsia"/>
          <w:kern w:val="2"/>
          <w:lang w:eastAsia="zh-CN"/>
        </w:rPr>
        <w:t>承担</w:t>
      </w:r>
      <w:r>
        <w:rPr>
          <w:rFonts w:ascii="宋体" w:eastAsia="宋体" w:hAnsi="宋体" w:cs="宋体"/>
          <w:kern w:val="2"/>
          <w:lang w:eastAsia="zh-CN"/>
        </w:rPr>
        <w:t>甲方</w:t>
      </w:r>
      <w:r>
        <w:rPr>
          <w:rFonts w:ascii="宋体" w:eastAsia="宋体" w:hAnsi="宋体" w:cs="宋体" w:hint="eastAsia"/>
          <w:kern w:val="2"/>
          <w:lang w:eastAsia="zh-CN"/>
        </w:rPr>
        <w:t>因此而造成的</w:t>
      </w:r>
      <w:r>
        <w:rPr>
          <w:rFonts w:ascii="宋体" w:eastAsia="宋体" w:hAnsi="宋体" w:cs="宋体"/>
          <w:kern w:val="2"/>
          <w:lang w:eastAsia="zh-CN"/>
        </w:rPr>
        <w:t>全部</w:t>
      </w:r>
      <w:r>
        <w:rPr>
          <w:rFonts w:ascii="宋体" w:eastAsia="宋体" w:hAnsi="宋体" w:cs="宋体" w:hint="eastAsia"/>
          <w:kern w:val="2"/>
          <w:lang w:eastAsia="zh-CN"/>
        </w:rPr>
        <w:t>损失。</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甲乙双方应严格信守合同，如有违约，违约方应向守约方赔付因违约方违约所造成的一切经济损失</w:t>
      </w:r>
      <w:r>
        <w:rPr>
          <w:rFonts w:ascii="宋体" w:eastAsia="宋体" w:hAnsi="宋体" w:cs="宋体"/>
          <w:kern w:val="2"/>
          <w:lang w:eastAsia="zh-CN"/>
        </w:rPr>
        <w:t>，</w:t>
      </w:r>
      <w:r>
        <w:rPr>
          <w:rFonts w:ascii="宋体" w:eastAsia="宋体" w:hAnsi="宋体" w:cs="宋体" w:hint="eastAsia"/>
          <w:kern w:val="2"/>
          <w:lang w:eastAsia="zh-CN"/>
        </w:rPr>
        <w:t>以本合同总金额为上限。</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4.</w:t>
      </w:r>
      <w:r>
        <w:rPr>
          <w:rFonts w:ascii="宋体" w:eastAsia="宋体" w:hAnsi="宋体" w:cs="宋体" w:hint="eastAsia"/>
          <w:kern w:val="2"/>
          <w:lang w:eastAsia="zh-CN"/>
        </w:rPr>
        <w:t>因不可抗力（如天灾，动乱，战争，</w:t>
      </w:r>
      <w:r>
        <w:rPr>
          <w:rFonts w:ascii="宋体" w:eastAsia="宋体" w:hAnsi="宋体" w:cs="宋体"/>
          <w:kern w:val="2"/>
          <w:lang w:eastAsia="zh-CN"/>
        </w:rPr>
        <w:t>瘟疫</w:t>
      </w:r>
      <w:r>
        <w:rPr>
          <w:rFonts w:ascii="宋体" w:eastAsia="宋体" w:hAnsi="宋体" w:cs="宋体" w:hint="eastAsia"/>
          <w:kern w:val="2"/>
          <w:lang w:eastAsia="zh-CN"/>
        </w:rPr>
        <w:t>及政府行为等）而导致的合同无法执行，双方商议处理，不视为违约</w:t>
      </w:r>
      <w:r>
        <w:rPr>
          <w:rFonts w:ascii="宋体" w:eastAsia="宋体" w:hAnsi="宋体" w:cs="宋体"/>
          <w:kern w:val="2"/>
          <w:lang w:eastAsia="zh-CN"/>
        </w:rPr>
        <w:t>，但受到不可抗力的一方应当在不可抗力发生后7日内以书面形式告知对方</w:t>
      </w:r>
      <w:r>
        <w:rPr>
          <w:rFonts w:ascii="宋体" w:eastAsia="宋体" w:hAnsi="宋体" w:cs="宋体" w:hint="eastAsia"/>
          <w:kern w:val="2"/>
          <w:lang w:eastAsia="zh-CN"/>
        </w:rPr>
        <w:t>。</w:t>
      </w:r>
    </w:p>
    <w:p>
      <w:pPr>
        <w:widowControl w:val="0"/>
        <w:spacing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九、</w:t>
      </w:r>
      <w:r>
        <w:rPr>
          <w:rFonts w:ascii="宋体" w:eastAsia="宋体" w:hAnsi="宋体" w:cs="宋体" w:hint="eastAsia"/>
          <w:b/>
          <w:kern w:val="2"/>
          <w:lang w:eastAsia="zh-CN"/>
        </w:rPr>
        <w:t>争议解决方式</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凡因本合同的效力、履行、解释等发生的一切争议，双方应首先友好协商解决，协商不成时，</w:t>
      </w:r>
      <w:r>
        <w:rPr>
          <w:rFonts w:ascii="宋体" w:eastAsia="宋体" w:hAnsi="宋体" w:cs="宋体"/>
          <w:kern w:val="2"/>
          <w:lang w:eastAsia="zh-CN"/>
        </w:rPr>
        <w:t>任何一方</w:t>
      </w:r>
      <w:r>
        <w:rPr>
          <w:rFonts w:ascii="宋体" w:eastAsia="宋体" w:hAnsi="宋体" w:cs="宋体" w:hint="eastAsia"/>
          <w:kern w:val="2"/>
          <w:lang w:eastAsia="zh-CN"/>
        </w:rPr>
        <w:t>均可向甲方所在地人民法院起诉。</w:t>
      </w:r>
    </w:p>
    <w:p>
      <w:pPr>
        <w:widowControl w:val="0"/>
        <w:spacing w:before="120" w:beforeLines="50" w:after="120" w:afterLines="50"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十、</w:t>
      </w:r>
      <w:r>
        <w:rPr>
          <w:rFonts w:ascii="宋体" w:eastAsia="宋体" w:hAnsi="宋体" w:cs="宋体" w:hint="eastAsia"/>
          <w:b/>
          <w:kern w:val="2"/>
          <w:lang w:eastAsia="zh-CN"/>
        </w:rPr>
        <w:t>生效及其他</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本合同壹式肆份，甲乙双方签章后即时生效，双方各持贰份，每份均具有同等法律效力。</w:t>
      </w:r>
    </w:p>
    <w:p>
      <w:pPr>
        <w:widowControl w:val="0"/>
        <w:spacing w:line="360" w:lineRule="auto"/>
        <w:jc w:val="left"/>
        <w:rPr>
          <w:rFonts w:ascii="宋体" w:eastAsia="宋体" w:hAnsi="宋体" w:cs="宋体"/>
          <w:kern w:val="2"/>
          <w:lang w:eastAsia="zh-CN"/>
        </w:rPr>
      </w:pP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 xml:space="preserve">甲方（采购方）： </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授权代表签字：</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加盖公章：</w:t>
      </w:r>
    </w:p>
    <w:p>
      <w:pPr>
        <w:widowControl w:val="0"/>
        <w:spacing w:line="360" w:lineRule="auto"/>
        <w:jc w:val="left"/>
        <w:rPr>
          <w:rFonts w:ascii="宋体" w:eastAsia="宋体" w:hAnsi="宋体" w:cs="宋体"/>
          <w:kern w:val="2"/>
          <w:lang w:eastAsia="zh-CN"/>
        </w:rPr>
      </w:pPr>
    </w:p>
    <w:p>
      <w:pPr>
        <w:widowControl w:val="0"/>
        <w:spacing w:line="360" w:lineRule="auto"/>
        <w:jc w:val="left"/>
        <w:rPr>
          <w:rFonts w:ascii="宋体" w:eastAsia="宋体" w:hAnsi="宋体" w:cs="宋体"/>
          <w:b/>
          <w:bCs/>
          <w:kern w:val="2"/>
          <w:lang w:eastAsia="zh-CN"/>
        </w:rPr>
      </w:pP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乙方（销售方）：</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授权代表签字：</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加盖公章：</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47" w:name="_Hlk72399513"/>
      <w:bookmarkStart w:id="48" w:name="_Hlk72439706"/>
      <w:r>
        <w:rPr>
          <w:rFonts w:ascii="Cambria" w:eastAsia="宋体" w:hAnsi="Cambria" w:cs="宋体" w:hint="eastAsia"/>
          <w:b/>
          <w:bCs/>
          <w:kern w:val="2"/>
          <w:sz w:val="28"/>
          <w:szCs w:val="28"/>
          <w:lang w:eastAsia="zh-CN"/>
        </w:rPr>
        <w:t>总则</w:t>
      </w:r>
    </w:p>
    <w:bookmarkEnd w:id="47"/>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1.1采购代理机构发出招标文件通用条款版本，列出深圳市自行采购项目进行招标采购所适用的通用条款内容。</w:t>
      </w:r>
      <w:bookmarkStart w:id="49" w:name="_Hlk72399729"/>
      <w:r>
        <w:rPr>
          <w:rFonts w:ascii="宋体" w:eastAsia="宋体" w:hAnsi="宋体" w:hint="eastAsia"/>
          <w:kern w:val="2"/>
          <w:sz w:val="21"/>
          <w:szCs w:val="21"/>
          <w:lang w:eastAsia="zh-CN"/>
        </w:rPr>
        <w:t>如有需要，采购代理机构可以对通用条款的内容进行补充。</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3.1“采购人”：指依法进行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 xml:space="preserve">的国家机关、事业单位、团体组织；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本文件所述的“采购代理机构”指</w:t>
      </w:r>
      <w:r>
        <w:rPr>
          <w:rFonts w:ascii="宋体" w:eastAsia="宋体" w:hAnsi="宋体" w:hint="eastAsia"/>
          <w:b/>
          <w:bCs/>
          <w:kern w:val="2"/>
          <w:sz w:val="21"/>
          <w:szCs w:val="21"/>
          <w:lang w:eastAsia="zh-CN"/>
        </w:rPr>
        <w:t>深圳公共资源交易中心（</w:t>
      </w:r>
      <w:r>
        <w:rPr>
          <w:rFonts w:ascii="宋体" w:eastAsia="宋体" w:hAnsi="宋体" w:hint="eastAsia"/>
          <w:b/>
          <w:bCs/>
          <w:kern w:val="2"/>
          <w:sz w:val="21"/>
          <w:lang w:eastAsia="zh-CN"/>
        </w:rPr>
        <w:t>深圳交易集团有限公司政府采购业务分公司）</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3.5“日期”指公历日；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50"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（1）投标联合体各方参加采购活动应当具备下列条件：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1、具有独立承担民事责任的能力；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2、有良好的商业信誉和健全的财务会计制度；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3、具有履行合同所必需的设备和专业技术能力；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4、有依法缴纳税收和社会保障资金的良好记录；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5、参加采购活动前三年内，在经营活动中没有重大违法记录；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6、法律、行政法规规定的其他条件。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支持本国产品、支持中小企业、监狱企业和残疾人福利性单位发展，支持乡村产业振兴，支持创新、节能减排、绿色环保等。</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  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7.4  投标人</w:t>
      </w:r>
      <w:bookmarkStart w:id="51"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9.3采购人应当通过采购代理机构向投标人提供有关现场的书面资料和数据。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9.4任何人或任何组织在踏勘现场时向投标人提供的任何书面资料或口头承诺，未经采购代理机构在网上发布或书面通知，均作无效处理。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9.5未参与踏勘现场不作为否定投标人资格的理由。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10．标前会议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10.2任何人或任何组织在标前会议时向投标人提供的任何书面资料或口头承诺，未经采购代理机构在网上发布或书面通知，均作无效处理。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10.3未参与标前会议不作为否定投标人资格的理由。</w:t>
      </w:r>
    </w:p>
    <w:bookmarkEnd w:id="50"/>
    <w:p>
      <w:pPr>
        <w:widowControl w:val="0"/>
        <w:ind w:firstLine="412" w:firstLineChars="196"/>
        <w:jc w:val="both"/>
        <w:rPr>
          <w:rFonts w:ascii="宋体" w:eastAsia="宋体" w:hAnsi="宋体"/>
          <w:kern w:val="2"/>
          <w:sz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11．</w:t>
      </w:r>
      <w:bookmarkStart w:id="52"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11.1招标文件除以下内容外，采购代理机构在招标期间发出的澄清或修改等相关公告或通知内容，均是招标文件的组成部分，对投标人起约束作用；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第四章</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11.4在项目产生质疑、投诉等阶段，主管部门、采购人、代理机构、评审委员会等可以要求供应商提供原件进行核查。</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12．招标文件的澄清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12.2投标人如对招标文件内容有疑问，应当在招标公告规定的澄清（提问）截止时间前将疑问内容加盖公章书面提交至采购代理机构。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13.1招标文件发出后，在投标截止日期前任何时候，确需要变更招标文件内容的，采购代理机构可主动或在解答投标人提出的澄清问题时对招标文件进行修改。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13.2招标文件的修改以书面形式（包括采购代理机构网站发布方式，如更正公告等）发送给所有投标人，招标文件的修改内容作为招标文件的组成部分，并具有约束力。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2"/>
    </w:p>
    <w:p>
      <w:pPr>
        <w:widowControl w:val="0"/>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53"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54"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54"/>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55"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5"/>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56"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56"/>
    <w:p>
      <w:pPr>
        <w:widowControl w:val="0"/>
        <w:ind w:firstLine="420" w:firstLineChars="200"/>
        <w:jc w:val="both"/>
        <w:rPr>
          <w:rFonts w:ascii="宋体" w:eastAsia="宋体" w:hAnsi="宋体"/>
          <w:kern w:val="2"/>
          <w:sz w:val="21"/>
          <w:szCs w:val="21"/>
          <w:lang w:eastAsia="zh-CN"/>
        </w:rPr>
      </w:pPr>
      <w:bookmarkStart w:id="58"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20.3 中标供应商的投标文件有效期，截止于完成本招标文件规定的全部项目内容，并通过竣工验收及保修期结束。</w:t>
      </w:r>
    </w:p>
    <w:bookmarkEnd w:id="58"/>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59"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eastAsia="宋体" w:hint="eastAsia"/>
          <w:kern w:val="2"/>
          <w:sz w:val="21"/>
          <w:szCs w:val="21"/>
          <w:lang w:eastAsia="zh-CN"/>
        </w:rPr>
        <w:t>〕</w:t>
      </w:r>
      <w:r>
        <w:rPr>
          <w:rFonts w:eastAsia="宋体"/>
          <w:kern w:val="2"/>
          <w:sz w:val="21"/>
          <w:szCs w:val="21"/>
          <w:lang w:eastAsia="zh-CN"/>
        </w:rPr>
        <w:t>51</w:t>
      </w:r>
      <w:r>
        <w:rPr>
          <w:rFonts w:eastAsia="宋体" w:hint="eastAsia"/>
          <w:kern w:val="2"/>
          <w:sz w:val="21"/>
          <w:szCs w:val="21"/>
          <w:lang w:eastAsia="zh-CN"/>
        </w:rPr>
        <w:t>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60" w:name="_Hlk72402860"/>
      <w:r>
        <w:rPr>
          <w:rFonts w:ascii="黑体" w:eastAsia="黑体" w:hAnsi="宋体" w:hint="eastAsia"/>
          <w:kern w:val="2"/>
          <w:sz w:val="21"/>
          <w:szCs w:val="21"/>
          <w:lang w:eastAsia="zh-CN"/>
        </w:rPr>
        <w:t>投标文件的制作要求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23.2.4投标文件不能带病毒。采购代理机构将用专业杀毒软件对投标文件进行病毒检测，如果这两种软件均报告发现病毒，则采购代理机构认为该投标文件带病毒。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23.2.5投标人在编辑投标文件时，在投标文件目录中属于本节点内容的需在对应节点中填写，填写到其他节点后果由供应商自行承担。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23.2.7如果开标时出现网络故障、技术故障，影响了采购活动，采购代理机构有权采取措施如延期、接受无法从网上上传的投标书等，以保障采购活动的公开、公平和公正。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60"/>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61"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25.3投标截止时间以后不得上传投标文件。</w:t>
      </w:r>
    </w:p>
    <w:bookmarkEnd w:id="61"/>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62" w:name="_Hlk72428346"/>
      <w:r>
        <w:rPr>
          <w:rFonts w:ascii="黑体" w:eastAsia="黑体" w:hAnsi="宋体" w:hint="eastAsia"/>
          <w:kern w:val="2"/>
          <w:sz w:val="21"/>
          <w:szCs w:val="21"/>
          <w:lang w:eastAsia="zh-CN"/>
        </w:rPr>
        <w:t>27．投标文件的修改和撤销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27.2投标截止时间以后不得修改投标文件。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27.4采购代理机构不退还投标文件，专用条款另有规定的除外。</w:t>
      </w:r>
    </w:p>
    <w:bookmarkEnd w:id="62"/>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29.1网上开标结束后召开评审会议，评审委员会由采购代理机构依法组建，负责评审活动。</w:t>
      </w:r>
    </w:p>
    <w:p>
      <w:pPr>
        <w:widowControl w:val="0"/>
        <w:ind w:firstLine="420" w:firstLineChars="200"/>
        <w:jc w:val="both"/>
        <w:rPr>
          <w:rFonts w:ascii="宋体" w:eastAsia="宋体" w:hAnsi="宋体"/>
          <w:color w:val="FF0000"/>
          <w:kern w:val="2"/>
          <w:sz w:val="21"/>
          <w:szCs w:val="21"/>
          <w:lang w:eastAsia="zh-CN"/>
        </w:rPr>
      </w:pPr>
      <w:bookmarkStart w:id="63"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3"/>
      <w:r>
        <w:rPr>
          <w:rFonts w:ascii="宋体" w:eastAsia="宋体" w:hAnsi="宋体" w:hint="eastAsia"/>
          <w:kern w:val="2"/>
          <w:sz w:val="21"/>
          <w:szCs w:val="21"/>
          <w:lang w:eastAsia="zh-CN"/>
        </w:rPr>
        <w:t>评定</w:t>
      </w:r>
      <w:r>
        <w:rPr>
          <w:rFonts w:eastAsia="宋体" w:hint="eastAsia"/>
          <w:kern w:val="2"/>
          <w:sz w:val="21"/>
          <w:szCs w:val="21"/>
          <w:lang w:eastAsia="zh-CN"/>
        </w:rPr>
        <w:t>分离项目评审专家均由评审专家组成。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r>
        <w:rPr>
          <w:rFonts w:ascii="宋体" w:eastAsia="宋体" w:hAnsi="宋体" w:hint="eastAsia"/>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31.1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32.4.5不同投标供应商的投标文件或部分投标文件相互混装；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64" w:name="_Hlk71407321"/>
      <w:r>
        <w:rPr>
          <w:rFonts w:ascii="宋体" w:eastAsia="宋体" w:hAnsi="宋体" w:hint="eastAsia"/>
          <w:kern w:val="2"/>
          <w:sz w:val="21"/>
          <w:szCs w:val="21"/>
          <w:lang w:eastAsia="zh-CN"/>
        </w:rPr>
        <w:t>33.1对招标文件中描述有歧义或前后不一致的地方（不含</w:t>
      </w:r>
      <w:r>
        <w:rPr>
          <w:rFonts w:eastAsia="宋体" w:hint="eastAsia"/>
          <w:kern w:val="2"/>
          <w:sz w:val="21"/>
          <w:szCs w:val="21"/>
          <w:lang w:eastAsia="zh-CN"/>
        </w:rPr>
        <w:t>招标文件存在歧义、重大缺陷导致评审工作无法进行的情况）</w:t>
      </w:r>
      <w:r>
        <w:rPr>
          <w:rFonts w:ascii="宋体" w:eastAsia="宋体" w:hAnsi="宋体" w:hint="eastAsia"/>
          <w:kern w:val="2"/>
          <w:sz w:val="21"/>
          <w:szCs w:val="21"/>
          <w:lang w:eastAsia="zh-CN"/>
        </w:rPr>
        <w:t>，评审委员会有权进行评判，但对同一条款的评判应适用于每个投标人。</w:t>
      </w:r>
      <w:bookmarkEnd w:id="6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33.2</w:t>
      </w:r>
      <w:r>
        <w:rPr>
          <w:rFonts w:eastAsia="宋体" w:hint="eastAsia"/>
          <w:kern w:val="2"/>
          <w:sz w:val="21"/>
          <w:szCs w:val="21"/>
          <w:lang w:eastAsia="zh-CN"/>
        </w:rPr>
        <w:t>评审委员会发现招标文件存在歧义、重大缺陷导致评审工作无法进行，或者招标文件内容违反国家有关强制性规定的，应当停止评审工作，与</w:t>
      </w:r>
      <w:r>
        <w:rPr>
          <w:rFonts w:ascii="宋体" w:eastAsia="宋体" w:hAnsi="宋体" w:hint="eastAsia"/>
          <w:kern w:val="2"/>
          <w:sz w:val="21"/>
          <w:szCs w:val="21"/>
          <w:lang w:eastAsia="zh-CN"/>
        </w:rPr>
        <w:t>采购代理机构</w:t>
      </w:r>
      <w:r>
        <w:rPr>
          <w:rFonts w:eastAsia="宋体" w:hint="eastAsia"/>
          <w:kern w:val="2"/>
          <w:sz w:val="21"/>
          <w:szCs w:val="21"/>
          <w:lang w:eastAsia="zh-CN"/>
        </w:rPr>
        <w:t>沟通并作书面记录。经确认后，项目应当修改招标文件，重新组织采购活动。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65" w:name="_Toc73518151"/>
      <w:bookmarkStart w:id="66" w:name="_Toc73517673"/>
      <w:bookmarkStart w:id="67" w:name="_Toc73521581"/>
      <w:bookmarkStart w:id="68" w:name="_Toc100052400"/>
      <w:bookmarkStart w:id="69" w:name="_Toc73521669"/>
      <w:r>
        <w:rPr>
          <w:rFonts w:ascii="黑体" w:eastAsia="黑体" w:hAnsi="宋体" w:hint="eastAsia"/>
          <w:kern w:val="2"/>
          <w:sz w:val="21"/>
          <w:szCs w:val="21"/>
          <w:lang w:eastAsia="zh-CN"/>
        </w:rPr>
        <w:t>34．错误的修正</w:t>
      </w:r>
      <w:bookmarkEnd w:id="65"/>
      <w:bookmarkEnd w:id="66"/>
      <w:bookmarkEnd w:id="67"/>
      <w:bookmarkEnd w:id="68"/>
      <w:bookmarkEnd w:id="6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p>
    <w:p>
      <w:pPr>
        <w:widowControl w:val="0"/>
        <w:ind w:firstLine="420" w:firstLineChars="200"/>
        <w:jc w:val="both"/>
        <w:rPr>
          <w:rFonts w:ascii="ˎ̥" w:eastAsia="宋体" w:hAnsi="ˎ̥"/>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70"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投标人为中标供应商</w:t>
      </w:r>
      <w:r>
        <w:rPr>
          <w:rFonts w:ascii="ˎ̥" w:eastAsia="宋体" w:hAnsi="ˎ̥" w:hint="eastAsia"/>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38.1.3采</w:t>
      </w:r>
      <w:r>
        <w:rPr>
          <w:rFonts w:ascii="ˎ̥" w:eastAsia="宋体" w:hAnsi="ˎ̥" w:hint="eastAsia"/>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 xml:space="preserve">38.2.2 </w:t>
      </w:r>
      <w:bookmarkStart w:id="71" w:name="_Hlk71469733"/>
      <w:r>
        <w:rPr>
          <w:rFonts w:eastAsia="宋体" w:hint="eastAsia"/>
          <w:kern w:val="2"/>
          <w:sz w:val="21"/>
          <w:szCs w:val="21"/>
          <w:lang w:eastAsia="zh-CN"/>
        </w:rPr>
        <w:t>适用评定分离的采购项目，采用综合评分法评审。</w:t>
      </w:r>
      <w:r>
        <w:rPr>
          <w:rFonts w:ascii="宋体" w:eastAsia="宋体" w:hAnsi="宋体" w:hint="eastAsia"/>
          <w:kern w:val="2"/>
          <w:sz w:val="21"/>
          <w:szCs w:val="21"/>
          <w:lang w:eastAsia="zh-CN"/>
        </w:rPr>
        <w:t>评审委员会按照评审结果，推荐</w:t>
      </w:r>
      <w:r>
        <w:rPr>
          <w:rFonts w:eastAsia="宋体" w:hint="eastAsia"/>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72" w:name="_Hlk71469688"/>
      <w:r>
        <w:rPr>
          <w:rFonts w:eastAsia="宋体" w:hint="eastAsia"/>
          <w:kern w:val="2"/>
          <w:sz w:val="21"/>
          <w:szCs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1"/>
      <w:bookmarkEnd w:id="7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38.2.4采购代理机构</w:t>
      </w:r>
      <w:r>
        <w:rPr>
          <w:rFonts w:eastAsia="宋体" w:hint="eastAsia"/>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hint="eastAsia"/>
          <w:kern w:val="2"/>
          <w:sz w:val="21"/>
          <w:szCs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szCs w:val="21"/>
          <w:lang w:eastAsia="zh-CN"/>
        </w:rPr>
        <w:t>采购代理机构</w:t>
      </w:r>
      <w:r>
        <w:rPr>
          <w:rFonts w:eastAsia="宋体" w:hint="eastAsia"/>
          <w:kern w:val="2"/>
          <w:sz w:val="21"/>
          <w:szCs w:val="21"/>
          <w:lang w:eastAsia="zh-CN"/>
        </w:rPr>
        <w:t>。具体定标程序及相关要求以参照《深圳市财政局关于印发</w:t>
      </w:r>
      <w:r>
        <w:rPr>
          <w:rFonts w:ascii="宋体" w:eastAsia="宋体" w:hAnsi="宋体" w:hint="eastAsia"/>
          <w:kern w:val="2"/>
          <w:sz w:val="21"/>
          <w:szCs w:val="21"/>
          <w:lang w:eastAsia="zh-CN"/>
        </w:rPr>
        <w:t>〈</w:t>
      </w:r>
      <w:r>
        <w:rPr>
          <w:rFonts w:eastAsia="宋体" w:hint="eastAsia"/>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hint="eastAsia"/>
          <w:kern w:val="2"/>
          <w:sz w:val="21"/>
          <w:szCs w:val="21"/>
          <w:lang w:eastAsia="zh-CN"/>
        </w:rPr>
        <w:t>的通知》（深财规【</w:t>
      </w:r>
      <w:r>
        <w:rPr>
          <w:rFonts w:eastAsia="宋体"/>
          <w:kern w:val="2"/>
          <w:sz w:val="21"/>
          <w:szCs w:val="21"/>
          <w:lang w:eastAsia="zh-CN"/>
        </w:rPr>
        <w:t>2020</w:t>
      </w:r>
      <w:r>
        <w:rPr>
          <w:rFonts w:eastAsia="宋体" w:hint="eastAsia"/>
          <w:kern w:val="2"/>
          <w:sz w:val="21"/>
          <w:szCs w:val="21"/>
          <w:lang w:eastAsia="zh-CN"/>
        </w:rPr>
        <w:t>】</w:t>
      </w:r>
      <w:r>
        <w:rPr>
          <w:rFonts w:eastAsia="宋体"/>
          <w:kern w:val="2"/>
          <w:sz w:val="21"/>
          <w:szCs w:val="21"/>
          <w:lang w:eastAsia="zh-CN"/>
        </w:rPr>
        <w:t>1</w:t>
      </w:r>
      <w:r>
        <w:rPr>
          <w:rFonts w:eastAsia="宋体" w:hint="eastAsia"/>
          <w:kern w:val="2"/>
          <w:sz w:val="21"/>
          <w:szCs w:val="21"/>
          <w:lang w:eastAsia="zh-CN"/>
        </w:rPr>
        <w:t>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0"/>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73" w:name="_Hlk72438709"/>
      <w:r>
        <w:rPr>
          <w:rFonts w:ascii="宋体" w:eastAsia="宋体" w:hAnsi="宋体" w:hint="eastAsia"/>
          <w:kern w:val="2"/>
          <w:sz w:val="21"/>
          <w:szCs w:val="21"/>
          <w:lang w:eastAsia="zh-CN"/>
        </w:rPr>
        <w:t>为体现“公开、公平、公正”的原则，评审结束后经采购人确认（确定）评审结果，采购代理机构将在深圳交易集团（深圳公共资源交易中心）官网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3"/>
      <w:bookmarkStart w:id="74" w:name="_Hlk72438751"/>
      <w:r>
        <w:rPr>
          <w:rFonts w:ascii="宋体" w:eastAsia="宋体" w:hAnsi="宋体" w:hint="eastAsia"/>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4"/>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41.1</w:t>
      </w:r>
      <w:bookmarkStart w:id="75"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5"/>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41.2中标通知书是合同的重要组成部分。</w:t>
      </w:r>
    </w:p>
    <w:p>
      <w:pPr>
        <w:widowControl w:val="0"/>
        <w:ind w:firstLine="420" w:firstLineChars="200"/>
        <w:jc w:val="both"/>
        <w:rPr>
          <w:rFonts w:ascii="宋体" w:eastAsia="宋体" w:hAnsi="宋体"/>
          <w:kern w:val="2"/>
          <w:sz w:val="21"/>
          <w:szCs w:val="21"/>
          <w:lang w:eastAsia="zh-CN"/>
        </w:rPr>
      </w:pPr>
      <w:bookmarkStart w:id="76" w:name="_Hlk71407340"/>
      <w:r>
        <w:rPr>
          <w:rFonts w:ascii="宋体" w:eastAsia="宋体" w:hAnsi="宋体" w:hint="eastAsia"/>
          <w:kern w:val="2"/>
          <w:sz w:val="21"/>
          <w:szCs w:val="21"/>
          <w:lang w:eastAsia="zh-CN"/>
        </w:rPr>
        <w:t>41.3因质疑投诉或其它原因导致项目结果变更或采购终止的，采购代理机构有权吊销中标通知书。</w:t>
      </w:r>
      <w:bookmarkEnd w:id="76"/>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实际递交投标文件的供应商数量不足、经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（2）如需要根据实际情况向采购人主管部门提出非公开招标方式申请的，经采购人主管部门批准，公开招标失败采购项目可转为竞争性谈判或单一来源谈判方式采购。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重新按公开招标流程组织采购活动。</w:t>
      </w:r>
    </w:p>
    <w:p>
      <w:pPr>
        <w:widowControl w:val="0"/>
        <w:ind w:firstLine="420" w:firstLineChars="200"/>
        <w:jc w:val="both"/>
        <w:rPr>
          <w:rFonts w:ascii="黑体" w:eastAsia="黑体" w:hAnsi="宋体"/>
          <w:kern w:val="2"/>
          <w:lang w:eastAsia="zh-CN"/>
        </w:rPr>
      </w:pPr>
      <w:r>
        <w:rPr>
          <w:rFonts w:ascii="宋体" w:eastAsia="宋体" w:hAnsi="宋体" w:hint="eastAsia"/>
          <w:kern w:val="2"/>
          <w:sz w:val="21"/>
          <w:lang w:eastAsia="zh-CN"/>
        </w:rPr>
        <w:t>42.5公开招标失败的采购项目转为竞争性谈判或单一来源谈判方式采购的，按规定要求组织自行采购工作。</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77" w:name="_Hlk72439043"/>
      <w:r>
        <w:rPr>
          <w:rFonts w:ascii="Cambria" w:eastAsia="宋体" w:hAnsi="Cambria" w:cs="宋体" w:hint="eastAsia"/>
          <w:b/>
          <w:bCs/>
          <w:kern w:val="2"/>
          <w:sz w:val="28"/>
          <w:szCs w:val="28"/>
          <w:lang w:eastAsia="zh-CN"/>
        </w:rPr>
        <w:t>合同的授予与备案</w:t>
      </w:r>
      <w:bookmarkEnd w:id="77"/>
    </w:p>
    <w:p>
      <w:pPr>
        <w:widowControl w:val="0"/>
        <w:ind w:firstLine="420" w:firstLineChars="200"/>
        <w:jc w:val="both"/>
        <w:rPr>
          <w:rFonts w:ascii="黑体" w:eastAsia="黑体" w:hAnsi="宋体"/>
          <w:kern w:val="2"/>
          <w:sz w:val="21"/>
          <w:szCs w:val="21"/>
          <w:lang w:eastAsia="zh-CN"/>
        </w:rPr>
      </w:pPr>
      <w:bookmarkStart w:id="78" w:name="_Toc73518157"/>
      <w:bookmarkStart w:id="79" w:name="_Toc73517679"/>
      <w:bookmarkStart w:id="80" w:name="_Toc73521674"/>
      <w:bookmarkStart w:id="81" w:name="_Toc100052408"/>
      <w:bookmarkStart w:id="82" w:name="_Toc73521586"/>
      <w:bookmarkStart w:id="83" w:name="_Hlk72439088"/>
      <w:r>
        <w:rPr>
          <w:rFonts w:ascii="黑体" w:eastAsia="黑体" w:hAnsi="宋体" w:hint="eastAsia"/>
          <w:kern w:val="2"/>
          <w:sz w:val="21"/>
          <w:szCs w:val="21"/>
          <w:lang w:eastAsia="zh-CN"/>
        </w:rPr>
        <w:t>43．合同授予标准</w:t>
      </w:r>
      <w:bookmarkEnd w:id="78"/>
      <w:bookmarkEnd w:id="79"/>
      <w:bookmarkEnd w:id="80"/>
      <w:bookmarkEnd w:id="81"/>
      <w:bookmarkEnd w:id="8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84" w:name="_Toc73518158"/>
      <w:bookmarkStart w:id="85" w:name="_Toc100052409"/>
      <w:bookmarkStart w:id="86" w:name="_Toc73521675"/>
      <w:bookmarkStart w:id="87" w:name="_Toc73521587"/>
      <w:bookmarkStart w:id="88" w:name="_Toc73517680"/>
      <w:r>
        <w:rPr>
          <w:rFonts w:ascii="黑体" w:eastAsia="黑体" w:hAnsi="宋体" w:hint="eastAsia"/>
          <w:kern w:val="2"/>
          <w:sz w:val="21"/>
          <w:szCs w:val="21"/>
          <w:lang w:eastAsia="zh-CN"/>
        </w:rPr>
        <w:t>44．</w:t>
      </w:r>
      <w:bookmarkEnd w:id="84"/>
      <w:bookmarkEnd w:id="85"/>
      <w:bookmarkEnd w:id="86"/>
      <w:bookmarkEnd w:id="87"/>
      <w:bookmarkEnd w:id="88"/>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89" w:name="_Toc73517682"/>
      <w:bookmarkStart w:id="90" w:name="_Toc73521589"/>
      <w:bookmarkStart w:id="91" w:name="_Toc73518160"/>
      <w:bookmarkStart w:id="92" w:name="_Toc100052410"/>
      <w:bookmarkStart w:id="93" w:name="_Toc73521677"/>
      <w:r>
        <w:rPr>
          <w:rFonts w:ascii="黑体" w:eastAsia="黑体" w:hAnsi="宋体" w:hint="eastAsia"/>
          <w:kern w:val="2"/>
          <w:sz w:val="21"/>
          <w:szCs w:val="21"/>
          <w:lang w:eastAsia="zh-CN"/>
        </w:rPr>
        <w:t>45．合同的签订</w:t>
      </w:r>
      <w:bookmarkEnd w:id="89"/>
      <w:bookmarkEnd w:id="90"/>
      <w:bookmarkEnd w:id="91"/>
      <w:bookmarkEnd w:id="92"/>
      <w:bookmarkEnd w:id="9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94" w:name="_Toc100052411"/>
      <w:bookmarkStart w:id="95" w:name="_Toc73521678"/>
      <w:bookmarkStart w:id="96" w:name="_Toc73521590"/>
      <w:bookmarkStart w:id="97" w:name="_Toc73517683"/>
      <w:bookmarkStart w:id="98" w:name="_Toc73518161"/>
      <w:r>
        <w:rPr>
          <w:rFonts w:ascii="黑体" w:eastAsia="黑体" w:hAnsi="宋体" w:hint="eastAsia"/>
          <w:kern w:val="2"/>
          <w:sz w:val="21"/>
          <w:szCs w:val="21"/>
          <w:lang w:eastAsia="zh-CN"/>
        </w:rPr>
        <w:t>46．履约担保</w:t>
      </w:r>
      <w:bookmarkEnd w:id="94"/>
      <w:bookmarkEnd w:id="95"/>
      <w:bookmarkEnd w:id="96"/>
      <w:bookmarkEnd w:id="97"/>
      <w:bookmarkEnd w:id="9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hint="eastAsia"/>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自行采购项目，无需办理政府采购合同备案。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ascii="宋体" w:eastAsia="宋体" w:hAnsi="宋体" w:hint="eastAsia"/>
          <w:kern w:val="2"/>
          <w:sz w:val="21"/>
          <w:szCs w:val="21"/>
          <w:lang w:eastAsia="zh-CN"/>
        </w:rPr>
        <w:t>采购代理机构或采购人不予退还其交纳的谈判保证金，情节严重的，并由主管部门</w:t>
      </w:r>
      <w:bookmarkEnd w:id="99"/>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（4）拒绝履行合同义务的。</w:t>
      </w:r>
    </w:p>
    <w:bookmarkEnd w:id="83"/>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0" w:name="_Hlk75374941"/>
      <w:r>
        <w:rPr>
          <w:rFonts w:ascii="宋体" w:eastAsia="宋体" w:hAnsi="宋体" w:hint="eastAsia"/>
          <w:kern w:val="2"/>
          <w:sz w:val="21"/>
          <w:szCs w:val="21"/>
          <w:lang w:eastAsia="zh-CN"/>
        </w:rPr>
        <w:t>以联合体形式参与的，质疑应当由组成联合体的所有成员共同提出</w:t>
      </w:r>
      <w:bookmarkEnd w:id="100"/>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52.3.3应提交书面质疑函，质疑函应当包括以下内容：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供应商提交的质疑材料不全或者未按要求签字或者盖章的，采购代理机构应当一次性告知供应商需补正的内容和补正期限。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质疑事项不予受理的，采购代理机构应当向供应商出具不符合质疑条件告知书。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宋体" w:eastAsia="宋体" w:hAnsi="宋体"/>
          <w:kern w:val="2"/>
          <w:sz w:val="21"/>
          <w:szCs w:val="21"/>
          <w:lang w:eastAsia="zh-CN"/>
        </w:rPr>
      </w:pPr>
    </w:p>
    <w:p>
      <w:pPr>
        <w:keepNext/>
        <w:keepLines/>
        <w:widowControl w:val="0"/>
        <w:adjustRightInd w:val="0"/>
        <w:spacing w:before="260" w:after="260" w:line="240" w:lineRule="auto"/>
        <w:jc w:val="center"/>
        <w:textAlignment w:val="baseline"/>
        <w:outlineLvl w:val="1"/>
        <w:rPr>
          <w:rFonts w:ascii="宋体" w:eastAsia="宋体" w:hAnsi="宋体"/>
          <w:b/>
          <w:bCs/>
          <w:szCs w:val="21"/>
          <w:lang w:eastAsia="zh-CN"/>
        </w:rPr>
        <w:sectPr>
          <w:headerReference w:type="default" r:id="rId4"/>
          <w:footerReference w:type="even" r:id="rId5"/>
          <w:footerReference w:type="default" r:id="rId6"/>
          <w:headerReference w:type="first" r:id="rId7"/>
          <w:pgSz w:w="11907" w:h="16840"/>
          <w:pgMar w:top="1361" w:right="1417" w:bottom="1417" w:left="141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深圳河套学院类脑计算视觉开发套件项目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供应商基本情况表（须加盖投标单位公章）</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SZZXCG-2025-00284-001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深圳河套学院类脑计算视觉开发套件项目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2.本项目不接受联合体投标，是否接受投标人选用进口产品参与投标，详见招标文件第三章用户需求书”（由供应商在《采购投标及履约承诺函》中作出声明）；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FangSong" w:eastAsia="FangSong" w:hAnsi="FangSong" w:cs="FangSong"/>
                <w:color w:val="666666"/>
                <w:lang w:val="en" w:eastAsia="en"/>
              </w:rPr>
              <w:br/>
            </w:r>
            <w:r>
              <w:rPr>
                <w:rFonts w:ascii="FangSong" w:eastAsia="FangSong" w:hAnsi="FangSong" w:cs="FangSong"/>
                <w:color w:val="666666"/>
                <w:lang w:val="en" w:eastAsia="en"/>
              </w:rPr>
              <w:t>9.本项目为非专门面向中小企业采购项目。</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其他商务条款偏离情况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黑体-简">
    <w:altName w:val="黑体"/>
    <w:panose1 w:val="00000000000000000000"/>
    <w:charset w:val="80"/>
    <w:family w:val="auto"/>
    <w:pitch w:val="default"/>
    <w:sig w:usb0="00000000" w:usb1="00000000" w:usb2="00000010" w:usb3="00000000" w:csb0="003E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61</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BBF41D"/>
    <w:multiLevelType w:val="multilevel"/>
    <w:tmpl w:val="A7BBF41D"/>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B609221C"/>
    <w:multiLevelType w:val="singleLevel"/>
    <w:tmpl w:val="B609221C"/>
    <w:lvl w:ilvl="0">
      <w:start w:val="1"/>
      <w:numFmt w:val="decimal"/>
      <w:suff w:val="nothing"/>
      <w:lvlText w:val="%1、"/>
      <w:lvlJc w:val="left"/>
    </w:lvl>
  </w:abstractNum>
  <w:abstractNum w:abstractNumId="2">
    <w:nsid w:val="0000000B"/>
    <w:multiLevelType w:val="multilevel"/>
    <w:tmpl w:val="0000000B"/>
    <w:lvl w:ilvl="0">
      <w:start w:val="1"/>
      <w:numFmt w:val="japaneseCounting"/>
      <w:lvlText w:val="第%1章"/>
      <w:lvlJc w:val="left"/>
      <w:pPr>
        <w:ind w:left="1080" w:hanging="10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4140C93"/>
    <w:multiLevelType w:val="singleLevel"/>
    <w:tmpl w:val="24140C93"/>
    <w:lvl w:ilvl="0">
      <w:start w:val="9"/>
      <w:numFmt w:val="chineseCounting"/>
      <w:suff w:val="nothing"/>
      <w:lvlText w:val="%1、"/>
      <w:lvlJc w:val="left"/>
      <w:rPr>
        <w:rFonts w:hint="eastAsia"/>
      </w:rPr>
    </w:lvl>
  </w:abstractNum>
  <w:abstractNum w:abstractNumId="4">
    <w:nsid w:val="5D65E69D"/>
    <w:multiLevelType w:val="singleLevel"/>
    <w:tmpl w:val="5D65E69D"/>
    <w:lvl w:ilvl="0">
      <w:start w:val="2"/>
      <w:numFmt w:val="chineseCounting"/>
      <w:suff w:val="nothing"/>
      <w:lvlText w:val="%1、"/>
      <w:lvlJc w:val="left"/>
    </w:lvl>
  </w:abstractNum>
  <w:abstractNum w:abstractNumId="5">
    <w:nsid w:val="63306323"/>
    <w:multiLevelType w:val="multilevel"/>
    <w:tmpl w:val="63306323"/>
    <w:lvl w:ilvl="0">
      <w:start w:val="1"/>
      <w:numFmt w:val="japaneseCounting"/>
      <w:lvlText w:val="%1、"/>
      <w:lvlJc w:val="left"/>
      <w:pPr>
        <w:ind w:left="405" w:hanging="40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Heading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Heading2Char"/>
    <w:qFormat/>
    <w:pPr>
      <w:adjustRightInd w:val="0"/>
      <w:jc w:val="center"/>
      <w:textAlignment w:val="baseline"/>
      <w:outlineLvl w:val="1"/>
    </w:pPr>
    <w:rPr>
      <w:kern w:val="0"/>
      <w:sz w:val="24"/>
      <w:szCs w:val="20"/>
    </w:rPr>
  </w:style>
  <w:style w:type="paragraph" w:styleId="Heading3">
    <w:name w:val="heading 3"/>
    <w:basedOn w:val="Heading4"/>
    <w:next w:val="Normal"/>
    <w:link w:val="Heading3Char"/>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Heading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NormalWeb">
    <w:name w:val="Normal (Web)"/>
    <w:basedOn w:val="Normal"/>
    <w:link w:val="NormalWebChar"/>
    <w:uiPriority w:val="99"/>
    <w:qFormat/>
    <w:pPr>
      <w:widowControl w:val="0"/>
      <w:spacing w:beforeAutospacing="1" w:afterAutospacing="1"/>
    </w:pPr>
    <w:rPr>
      <w:rFonts w:eastAsia="宋体"/>
      <w:lang w:eastAsia="zh-CN"/>
    </w:rPr>
  </w:style>
  <w:style w:type="character" w:customStyle="1" w:styleId="NormalWebChar">
    <w:name w:val="Normal (Web) Char"/>
    <w:link w:val="NormalWeb"/>
    <w:qFormat/>
    <w:rPr>
      <w:rFonts w:eastAsia="宋体"/>
      <w:kern w:val="2"/>
      <w:sz w:val="24"/>
      <w:szCs w:val="24"/>
    </w:rPr>
  </w:style>
  <w:style w:type="paragraph" w:styleId="BodyText">
    <w:name w:val="Body Text"/>
    <w:basedOn w:val="Normal"/>
    <w:next w:val="BodyText2"/>
    <w:link w:val="BodyTextChar"/>
    <w:qFormat/>
    <w:pPr>
      <w:widowControl w:val="0"/>
      <w:spacing w:line="360" w:lineRule="auto"/>
      <w:jc w:val="both"/>
    </w:pPr>
    <w:rPr>
      <w:rFonts w:eastAsia="宋体"/>
      <w:b/>
      <w:bCs/>
      <w:kern w:val="2"/>
      <w:lang w:eastAsia="zh-CN"/>
    </w:rPr>
  </w:style>
  <w:style w:type="paragraph" w:styleId="BodyText2">
    <w:name w:val="Body Text 2"/>
    <w:basedOn w:val="Normal"/>
    <w:link w:val="BodyText2Char"/>
    <w:qFormat/>
    <w:pPr>
      <w:widowControl w:val="0"/>
      <w:spacing w:line="360" w:lineRule="auto"/>
      <w:jc w:val="both"/>
    </w:pPr>
    <w:rPr>
      <w:rFonts w:eastAsia="宋体"/>
      <w:kern w:val="2"/>
      <w:lang w:eastAsia="zh-CN"/>
    </w:rPr>
  </w:style>
  <w:style w:type="character" w:customStyle="1" w:styleId="BodyText2Char">
    <w:name w:val="Body Text 2 Char"/>
    <w:link w:val="BodyText2"/>
    <w:qFormat/>
    <w:rPr>
      <w:rFonts w:eastAsia="宋体"/>
      <w:kern w:val="2"/>
      <w:sz w:val="24"/>
      <w:szCs w:val="24"/>
      <w:lang w:eastAsia="zh-CN"/>
    </w:rPr>
  </w:style>
  <w:style w:type="character" w:customStyle="1" w:styleId="BodyTextChar">
    <w:name w:val="Body Text Char"/>
    <w:link w:val="BodyText"/>
    <w:qFormat/>
    <w:rPr>
      <w:rFonts w:eastAsia="宋体"/>
      <w:b/>
      <w:bCs/>
      <w:kern w:val="2"/>
      <w:sz w:val="24"/>
      <w:szCs w:val="24"/>
      <w:lang w:eastAsia="zh-CN"/>
    </w:rPr>
  </w:style>
  <w:style w:type="character" w:customStyle="1" w:styleId="Heading4Char">
    <w:name w:val="Heading 4 Char"/>
    <w:link w:val="Heading4"/>
    <w:uiPriority w:val="9"/>
    <w:qFormat/>
    <w:rPr>
      <w:rFonts w:ascii="Arial" w:eastAsia="黑体" w:hAnsi="Arial"/>
      <w:b/>
      <w:bCs/>
      <w:kern w:val="2"/>
      <w:sz w:val="28"/>
      <w:szCs w:val="28"/>
      <w:lang w:eastAsia="zh-CN"/>
    </w:rPr>
  </w:style>
  <w:style w:type="character" w:customStyle="1" w:styleId="Heading3Char">
    <w:name w:val="Heading 3 Char"/>
    <w:link w:val="Heading3"/>
    <w:uiPriority w:val="9"/>
    <w:qFormat/>
    <w:rPr>
      <w:rFonts w:ascii="宋体" w:eastAsia="宋体" w:hAnsi="宋体"/>
      <w:b/>
      <w:bCs/>
      <w:kern w:val="2"/>
      <w:sz w:val="28"/>
      <w:szCs w:val="32"/>
      <w:lang w:eastAsia="zh-CN"/>
    </w:rPr>
  </w:style>
  <w:style w:type="character" w:customStyle="1" w:styleId="Heading1Char">
    <w:name w:val="Heading 1 Char"/>
    <w:link w:val="Heading1"/>
    <w:qFormat/>
    <w:rPr>
      <w:rFonts w:ascii="宋体" w:eastAsia="黑体" w:hAnsi="宋体"/>
      <w:b/>
      <w:bCs/>
      <w:kern w:val="44"/>
      <w:sz w:val="28"/>
      <w:szCs w:val="44"/>
      <w:lang w:eastAsia="zh-CN"/>
    </w:rPr>
  </w:style>
  <w:style w:type="character" w:customStyle="1" w:styleId="Heading2Char">
    <w:name w:val="Heading 2 Char"/>
    <w:link w:val="Heading2"/>
    <w:qFormat/>
    <w:rPr>
      <w:rFonts w:ascii="宋体" w:eastAsia="宋体" w:hAnsi="宋体"/>
      <w:b/>
      <w:bCs/>
      <w:sz w:val="24"/>
      <w:lang w:eastAsia="zh-CN"/>
    </w:rPr>
  </w:style>
  <w:style w:type="character" w:customStyle="1" w:styleId="3Char">
    <w:name w:val="标题 3 Char"/>
    <w:qFormat/>
    <w:rPr>
      <w:rFonts w:ascii="黑体" w:eastAsia="黑体"/>
      <w:bCs/>
      <w:sz w:val="30"/>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NormalIndentChar"/>
    <w:qFormat/>
    <w:pPr>
      <w:widowControl w:val="0"/>
      <w:ind w:firstLine="420"/>
      <w:jc w:val="both"/>
    </w:pPr>
    <w:rPr>
      <w:rFonts w:eastAsia="宋体"/>
      <w:kern w:val="2"/>
      <w:sz w:val="21"/>
      <w:szCs w:val="20"/>
      <w:lang w:eastAsia="zh-CN"/>
    </w:rPr>
  </w:style>
  <w:style w:type="character" w:customStyle="1" w:styleId="NormalIndentChar">
    <w:name w:val="Normal Indent Char"/>
    <w:link w:val="NormalIndent"/>
    <w:qFormat/>
    <w:rPr>
      <w:rFonts w:eastAsia="宋体"/>
      <w:kern w:val="2"/>
      <w:sz w:val="21"/>
      <w:lang w:eastAsia="zh-CN"/>
    </w:rPr>
  </w:style>
  <w:style w:type="paragraph" w:styleId="Header">
    <w:name w:val="header"/>
    <w:basedOn w:val="Normal"/>
    <w:link w:val="Header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HeaderChar">
    <w:name w:val="Header Char"/>
    <w:link w:val="Header"/>
    <w:uiPriority w:val="99"/>
    <w:qFormat/>
    <w:rPr>
      <w:rFonts w:eastAsia="宋体"/>
      <w:kern w:val="2"/>
      <w:sz w:val="18"/>
      <w:szCs w:val="18"/>
      <w:lang w:eastAsia="zh-CN"/>
    </w:rPr>
  </w:style>
  <w:style w:type="paragraph" w:styleId="Footer">
    <w:name w:val="footer"/>
    <w:basedOn w:val="Normal"/>
    <w:link w:val="FooterChar"/>
    <w:qFormat/>
    <w:pPr>
      <w:widowControl w:val="0"/>
      <w:tabs>
        <w:tab w:val="center" w:pos="4153"/>
        <w:tab w:val="right" w:pos="8306"/>
      </w:tabs>
      <w:snapToGrid w:val="0"/>
    </w:pPr>
    <w:rPr>
      <w:rFonts w:eastAsia="宋体"/>
      <w:kern w:val="2"/>
      <w:sz w:val="18"/>
      <w:szCs w:val="18"/>
      <w:lang w:eastAsia="zh-CN"/>
    </w:rPr>
  </w:style>
  <w:style w:type="character" w:customStyle="1" w:styleId="FooterChar">
    <w:name w:val="Footer Char"/>
    <w:link w:val="Footer"/>
    <w:qFormat/>
    <w:rPr>
      <w:rFonts w:eastAsia="宋体"/>
      <w:kern w:val="2"/>
      <w:sz w:val="18"/>
      <w:szCs w:val="18"/>
      <w:lang w:eastAsia="zh-CN"/>
    </w:rPr>
  </w:style>
  <w:style w:type="character" w:styleId="PageNumber">
    <w:name w:val="page number"/>
    <w:basedOn w:val="DefaultParagraphFont"/>
    <w:qFormat/>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Normal"/>
    <w:uiPriority w:val="34"/>
    <w:qFormat/>
    <w:pPr>
      <w:widowControl w:val="0"/>
      <w:ind w:firstLine="420" w:firstLineChars="200"/>
      <w:jc w:val="both"/>
    </w:pPr>
    <w:rPr>
      <w:rFonts w:eastAsia="宋体"/>
      <w:kern w:val="2"/>
      <w:sz w:val="21"/>
      <w:lang w:eastAsia="zh-CN"/>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