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hint="default" w:ascii="宋体" w:hAnsi="宋体" w:eastAsia="宋体"/>
          <w:sz w:val="48"/>
          <w:szCs w:val="48"/>
          <w:lang w:val="en-US" w:eastAsia="zh-CN"/>
        </w:rPr>
      </w:pPr>
      <w:bookmarkStart w:id="0" w:name="_Toc20243838"/>
      <w:bookmarkStart w:id="1" w:name="_Toc40769323"/>
      <w:r>
        <w:rPr>
          <w:rFonts w:hint="eastAsia" w:ascii="宋体" w:hAnsi="宋体"/>
          <w:sz w:val="48"/>
          <w:szCs w:val="48"/>
          <w:lang w:val="en-US" w:eastAsia="zh-CN"/>
        </w:rPr>
        <w:t xml:space="preserve">                                                                          </w:t>
      </w:r>
    </w:p>
    <w:p w14:paraId="50E710DB">
      <w:pPr>
        <w:pStyle w:val="19"/>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19"/>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blPrEx>
          <w:tblCellMar>
            <w:top w:w="0" w:type="dxa"/>
            <w:left w:w="108" w:type="dxa"/>
            <w:bottom w:w="0" w:type="dxa"/>
            <w:right w:w="108" w:type="dxa"/>
          </w:tblCellMar>
        </w:tblPrEx>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b/>
                <w:sz w:val="32"/>
                <w:szCs w:val="32"/>
                <w:u w:val="single"/>
                <w:lang w:eastAsia="zh-CN"/>
              </w:rPr>
              <w:t>东部公交203台纯电动公交车辆报废处置服务采购项目（</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深圳交易咨询集团有限公司</w:t>
            </w:r>
          </w:p>
        </w:tc>
      </w:tr>
    </w:tbl>
    <w:p w14:paraId="2161F898">
      <w:pPr>
        <w:widowControl w:val="0"/>
        <w:tabs>
          <w:tab w:val="left" w:pos="2512"/>
        </w:tabs>
        <w:autoSpaceDE w:val="0"/>
        <w:autoSpaceDN w:val="0"/>
        <w:adjustRightInd w:val="0"/>
        <w:snapToGrid w:val="0"/>
        <w:ind w:firstLine="0" w:firstLineChars="0"/>
        <w:rPr>
          <w:rFonts w:ascii="宋体" w:hAnsi="宋体"/>
          <w:b/>
          <w:sz w:val="32"/>
          <w:szCs w:val="32"/>
        </w:rPr>
      </w:pPr>
      <w:r>
        <w:rPr>
          <w:rFonts w:hint="eastAsia" w:ascii="宋体" w:hAnsi="宋体"/>
          <w:b/>
          <w:sz w:val="32"/>
          <w:szCs w:val="32"/>
        </w:rPr>
        <w:t xml:space="preserve"> </w:t>
      </w: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二○二五年</w:t>
      </w:r>
      <w:r>
        <w:rPr>
          <w:rFonts w:hint="eastAsia" w:ascii="宋体" w:hAnsi="宋体"/>
          <w:b/>
          <w:sz w:val="32"/>
          <w:szCs w:val="32"/>
          <w:lang w:val="en-US" w:eastAsia="zh-CN"/>
        </w:rPr>
        <w:t>十一</w:t>
      </w:r>
      <w:r>
        <w:rPr>
          <w:rFonts w:hint="eastAsia" w:ascii="宋体" w:hAnsi="宋体"/>
          <w:b/>
          <w:sz w:val="32"/>
          <w:szCs w:val="32"/>
        </w:rPr>
        <w:t>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31975"/>
      <w:r>
        <w:rPr>
          <w:rFonts w:hint="eastAsia" w:ascii="宋体" w:hAnsi="宋体"/>
          <w:b/>
          <w:sz w:val="44"/>
          <w:szCs w:val="44"/>
        </w:rPr>
        <w:t>目录</w:t>
      </w:r>
      <w:bookmarkEnd w:id="2"/>
    </w:p>
    <w:p w14:paraId="646C9266">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_Toc31975 </w:instrText>
      </w:r>
      <w:r>
        <w:rPr>
          <w:highlight w:val="none"/>
        </w:rPr>
        <w:fldChar w:fldCharType="separate"/>
      </w:r>
      <w:r>
        <w:rPr>
          <w:rFonts w:hint="eastAsia" w:ascii="宋体" w:hAnsi="宋体"/>
          <w:szCs w:val="44"/>
        </w:rPr>
        <w:t>目录</w:t>
      </w:r>
      <w:r>
        <w:tab/>
      </w:r>
      <w:r>
        <w:fldChar w:fldCharType="begin"/>
      </w:r>
      <w:r>
        <w:instrText xml:space="preserve"> PAGEREF _Toc31975 \h </w:instrText>
      </w:r>
      <w:r>
        <w:fldChar w:fldCharType="separate"/>
      </w:r>
      <w:r>
        <w:t>2</w:t>
      </w:r>
      <w:r>
        <w:fldChar w:fldCharType="end"/>
      </w:r>
      <w:r>
        <w:rPr>
          <w:highlight w:val="none"/>
        </w:rPr>
        <w:fldChar w:fldCharType="end"/>
      </w:r>
    </w:p>
    <w:p w14:paraId="528867C9">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_Toc17273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_Toc17273 \h </w:instrText>
      </w:r>
      <w:r>
        <w:fldChar w:fldCharType="separate"/>
      </w:r>
      <w:r>
        <w:t>3</w:t>
      </w:r>
      <w:r>
        <w:fldChar w:fldCharType="end"/>
      </w:r>
      <w:r>
        <w:rPr>
          <w:rFonts w:hAnsi="宋体"/>
          <w:kern w:val="0"/>
          <w:highlight w:val="none"/>
          <w:lang w:eastAsia="en-US"/>
        </w:rPr>
        <w:fldChar w:fldCharType="end"/>
      </w:r>
    </w:p>
    <w:p w14:paraId="72B65C1F">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_Toc14613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_Toc14613 \h </w:instrText>
      </w:r>
      <w:r>
        <w:fldChar w:fldCharType="separate"/>
      </w:r>
      <w:r>
        <w:t>6</w:t>
      </w:r>
      <w:r>
        <w:fldChar w:fldCharType="end"/>
      </w:r>
      <w:r>
        <w:rPr>
          <w:rFonts w:hAnsi="宋体"/>
          <w:kern w:val="0"/>
          <w:highlight w:val="none"/>
          <w:lang w:eastAsia="en-US"/>
        </w:rPr>
        <w:fldChar w:fldCharType="end"/>
      </w:r>
    </w:p>
    <w:p w14:paraId="52B1CC09">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_Toc6778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_Toc6778 \h </w:instrText>
      </w:r>
      <w:r>
        <w:fldChar w:fldCharType="separate"/>
      </w:r>
      <w:r>
        <w:t>20</w:t>
      </w:r>
      <w:r>
        <w:fldChar w:fldCharType="end"/>
      </w:r>
      <w:r>
        <w:rPr>
          <w:rFonts w:hAnsi="宋体"/>
          <w:kern w:val="0"/>
          <w:highlight w:val="none"/>
          <w:lang w:eastAsia="en-US"/>
        </w:rPr>
        <w:fldChar w:fldCharType="end"/>
      </w:r>
    </w:p>
    <w:p w14:paraId="0B2C7F51">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_Toc5389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_Toc5389 \h </w:instrText>
      </w:r>
      <w:r>
        <w:fldChar w:fldCharType="separate"/>
      </w:r>
      <w:r>
        <w:t>26</w:t>
      </w:r>
      <w:r>
        <w:fldChar w:fldCharType="end"/>
      </w:r>
      <w:r>
        <w:rPr>
          <w:rFonts w:hAnsi="宋体"/>
          <w:kern w:val="0"/>
          <w:highlight w:val="none"/>
          <w:lang w:eastAsia="en-US"/>
        </w:rPr>
        <w:fldChar w:fldCharType="end"/>
      </w:r>
    </w:p>
    <w:p w14:paraId="0F193F2E">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_Toc22724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_Toc22724 \h </w:instrText>
      </w:r>
      <w:r>
        <w:fldChar w:fldCharType="separate"/>
      </w:r>
      <w:r>
        <w:t>29</w:t>
      </w:r>
      <w:r>
        <w:fldChar w:fldCharType="end"/>
      </w:r>
      <w:r>
        <w:rPr>
          <w:rFonts w:hAnsi="宋体"/>
          <w:kern w:val="0"/>
          <w:highlight w:val="none"/>
          <w:lang w:eastAsia="en-US"/>
        </w:rPr>
        <w:fldChar w:fldCharType="end"/>
      </w:r>
    </w:p>
    <w:p w14:paraId="15575746">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17273"/>
      <w:r>
        <w:rPr>
          <w:rStyle w:val="56"/>
          <w:rFonts w:hAnsi="宋体"/>
          <w:b/>
          <w:sz w:val="36"/>
          <w:szCs w:val="36"/>
        </w:rPr>
        <w:br w:type="page"/>
      </w:r>
      <w:bookmarkEnd w:id="0"/>
      <w:bookmarkEnd w:id="1"/>
      <w:bookmarkStart w:id="4" w:name="_Toc49191644"/>
      <w:bookmarkStart w:id="5" w:name="_Toc48719849"/>
      <w:bookmarkStart w:id="6" w:name="_Toc48685272"/>
      <w:bookmarkStart w:id="7" w:name="_Toc43330101"/>
      <w:bookmarkStart w:id="8" w:name="_Toc40769325"/>
      <w:bookmarkStart w:id="9" w:name="_Toc152042287"/>
      <w:bookmarkStart w:id="10" w:name="_Toc152045511"/>
      <w:bookmarkStart w:id="11" w:name="_Toc144974479"/>
      <w:r>
        <w:rPr>
          <w:rFonts w:hint="eastAsia" w:ascii="宋体" w:hAnsi="宋体" w:cs="宋体"/>
          <w:b/>
          <w:bCs/>
          <w:sz w:val="36"/>
          <w:szCs w:val="36"/>
          <w:highlight w:val="none"/>
        </w:rPr>
        <w:t>“深圳阳光采购平台”相关说明</w:t>
      </w:r>
      <w:bookmarkEnd w:id="3"/>
      <w:bookmarkEnd w:id="4"/>
    </w:p>
    <w:p w14:paraId="4C330B9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9229C1F">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0E967AC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rPr>
        <w:t>https://ygcg.szexgrp.com/，</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7254EFEA">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507FEFE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638E3D08">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15678BD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304BE0C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48D8BCD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69936A3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6394F10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EBC0B8E">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631EB0A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779BBA4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69FC095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4C15C79B">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5879776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47892AE3">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3CA59BB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05ADFE47">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D9FCFF1">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3E83AB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140E2374">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5FA3319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36B20B4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深圳阳光采购平台（https://ygcg.szexgrp.com/）及中国招标投标公共服务平台（http://www.cebpubservice.com）等相关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33065A5E">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2F2F534">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ED0264F">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2AB681A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1EB612E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06F98185">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29361B22">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采购人提交的电子采购文件格式为*.ZBJ，该文件格式必须是“深圳阳光采购平台（https://ygcg.szexgrp.com/）”网站下载的最新版本的“深圳阳光采购招标文件编制工具”生成。</w:t>
      </w:r>
    </w:p>
    <w:p w14:paraId="747FB57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6271C44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FEEEA6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58D9690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网络支持：https://ygcg.szexgrp.com/。点击网页右下角白色机器人图标。</w:t>
      </w:r>
    </w:p>
    <w:p w14:paraId="3C40AA3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354A20F1">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211EE411">
      <w:pPr>
        <w:widowControl w:val="0"/>
        <w:autoSpaceDE w:val="0"/>
        <w:autoSpaceDN w:val="0"/>
        <w:adjustRightInd w:val="0"/>
        <w:snapToGrid w:val="0"/>
        <w:ind w:firstLine="0" w:firstLineChars="0"/>
        <w:outlineLvl w:val="0"/>
        <w:rPr>
          <w:rFonts w:ascii="宋体" w:hAnsi="宋体" w:cs="宋体"/>
          <w:szCs w:val="21"/>
          <w:highlight w:val="none"/>
        </w:rPr>
      </w:pP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2" w:name="_Toc14613"/>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3" w:name="_Toc43750101"/>
      <w:bookmarkStart w:id="14" w:name="_Toc40769326"/>
      <w:r>
        <w:rPr>
          <w:rFonts w:hint="eastAsia" w:ascii="宋体" w:hAnsi="宋体"/>
          <w:b/>
          <w:sz w:val="32"/>
          <w:szCs w:val="32"/>
        </w:rPr>
        <w:t>第一节 竞价人须知前附表</w:t>
      </w:r>
      <w:bookmarkEnd w:id="13"/>
      <w:bookmarkEnd w:id="14"/>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3"/>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联系地址：龙岗区龙城街道飞扬路东部公交大厦</w:t>
            </w:r>
          </w:p>
          <w:p w14:paraId="7BB88E3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联系人：陈平 </w:t>
            </w:r>
            <w:r>
              <w:rPr>
                <w:rStyle w:val="56"/>
                <w:rFonts w:hint="eastAsia"/>
                <w:highlight w:val="none"/>
              </w:rPr>
              <w:t xml:space="preserve"> </w:t>
            </w:r>
          </w:p>
          <w:p w14:paraId="29D0D8D4">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联系电话：</w:t>
            </w:r>
            <w:r>
              <w:rPr>
                <w:rFonts w:ascii="宋体" w:hAnsi="宋体"/>
                <w:szCs w:val="21"/>
                <w:highlight w:val="none"/>
              </w:rPr>
              <w:t xml:space="preserve"> </w:t>
            </w:r>
            <w:r>
              <w:rPr>
                <w:rFonts w:hint="eastAsia" w:ascii="宋体" w:hAnsi="宋体"/>
                <w:szCs w:val="21"/>
                <w:highlight w:val="none"/>
              </w:rPr>
              <w:t>13008867049</w:t>
            </w:r>
          </w:p>
        </w:tc>
      </w:tr>
      <w:tr w14:paraId="45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ascii="宋体" w:hAnsi="宋体"/>
                <w:szCs w:val="21"/>
              </w:rPr>
            </w:pPr>
            <w:r>
              <w:rPr>
                <w:rFonts w:hint="eastAsia" w:ascii="宋体" w:hAnsi="宋体"/>
                <w:szCs w:val="21"/>
              </w:rPr>
              <w:t>名称：深圳交易咨询集团有限公司</w:t>
            </w:r>
          </w:p>
          <w:p w14:paraId="147DFD32">
            <w:pPr>
              <w:ind w:firstLine="0" w:firstLineChars="0"/>
              <w:rPr>
                <w:rFonts w:ascii="宋体" w:hAnsi="宋体"/>
                <w:szCs w:val="21"/>
              </w:rPr>
            </w:pPr>
            <w:r>
              <w:rPr>
                <w:rFonts w:hint="eastAsia" w:ascii="宋体" w:hAnsi="宋体"/>
                <w:szCs w:val="21"/>
              </w:rPr>
              <w:t>联系地址：广东省深圳市南山区西丽南山智谷产业园A座深圳交易集团总部大楼21楼</w:t>
            </w:r>
          </w:p>
          <w:p w14:paraId="1ACE5A99">
            <w:pPr>
              <w:ind w:firstLine="0" w:firstLineChars="0"/>
              <w:rPr>
                <w:rFonts w:ascii="宋体" w:hAnsi="宋体"/>
                <w:szCs w:val="21"/>
              </w:rPr>
            </w:pPr>
            <w:r>
              <w:rPr>
                <w:rFonts w:hint="eastAsia" w:ascii="宋体" w:hAnsi="宋体"/>
                <w:szCs w:val="21"/>
              </w:rPr>
              <w:t>联系人：祝希宁、舒龙</w:t>
            </w:r>
          </w:p>
          <w:p w14:paraId="1362EA17">
            <w:pPr>
              <w:ind w:firstLine="0" w:firstLineChars="0"/>
              <w:rPr>
                <w:rFonts w:ascii="宋体" w:hAnsi="宋体"/>
                <w:szCs w:val="21"/>
              </w:rPr>
            </w:pPr>
            <w:r>
              <w:rPr>
                <w:rFonts w:hint="eastAsia" w:ascii="宋体" w:hAnsi="宋体"/>
                <w:szCs w:val="21"/>
              </w:rPr>
              <w:t>联系电话：15945957301、1</w:t>
            </w:r>
            <w:r>
              <w:rPr>
                <w:rFonts w:ascii="宋体" w:hAnsi="宋体"/>
                <w:szCs w:val="21"/>
              </w:rPr>
              <w:t>8165729017</w:t>
            </w:r>
          </w:p>
          <w:p w14:paraId="718ABCD4">
            <w:pPr>
              <w:ind w:firstLine="0" w:firstLineChars="0"/>
              <w:rPr>
                <w:rFonts w:ascii="宋体" w:hAnsi="宋体"/>
                <w:szCs w:val="21"/>
              </w:rPr>
            </w:pPr>
            <w:r>
              <w:rPr>
                <w:rFonts w:hint="eastAsia" w:ascii="宋体" w:hAnsi="宋体"/>
                <w:szCs w:val="21"/>
              </w:rPr>
              <w:t>电子邮箱：285041593</w:t>
            </w:r>
            <w:r>
              <w:rPr>
                <w:rFonts w:ascii="宋体" w:hAnsi="宋体"/>
                <w:szCs w:val="21"/>
              </w:rPr>
              <w:t>@qq.com</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eastAsia="楷体_GB2312"/>
              </w:rPr>
            </w:pPr>
            <w:r>
              <w:rPr>
                <w:rFonts w:hint="eastAsia" w:ascii="宋体" w:hAnsi="宋体"/>
                <w:szCs w:val="21"/>
                <w:lang w:eastAsia="zh-CN"/>
              </w:rPr>
              <w:t>东部公交203台纯电动公交车辆报废处置服务采购项目</w:t>
            </w:r>
            <w:r>
              <w:rPr>
                <w:rFonts w:hint="eastAsia" w:ascii="宋体" w:hAnsi="宋体" w:eastAsia="宋体"/>
                <w:szCs w:val="21"/>
              </w:rPr>
              <w:t>（标的X）</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hint="eastAsia" w:ascii="宋体" w:hAnsi="宋体" w:eastAsia="宋体"/>
                <w:b/>
                <w:bCs/>
                <w:szCs w:val="21"/>
                <w:lang w:eastAsia="zh-CN"/>
              </w:rPr>
            </w:pP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488" w:type="dxa"/>
          </w:tcPr>
          <w:p w14:paraId="57C20D7C">
            <w:pPr>
              <w:widowControl w:val="0"/>
              <w:autoSpaceDE w:val="0"/>
              <w:autoSpaceDN w:val="0"/>
              <w:adjustRightInd w:val="0"/>
              <w:snapToGrid w:val="0"/>
              <w:ind w:firstLine="0" w:firstLineChars="0"/>
              <w:rPr>
                <w:szCs w:val="21"/>
              </w:rPr>
            </w:pPr>
            <w:r>
              <w:rPr>
                <w:rFonts w:ascii="Segoe UI Symbol" w:hAnsi="Segoe UI Symbol" w:cs="Segoe UI Symbol"/>
                <w:szCs w:val="21"/>
              </w:rPr>
              <w:t>☑</w:t>
            </w:r>
            <w:r>
              <w:rPr>
                <w:rFonts w:hint="eastAsia"/>
                <w:szCs w:val="21"/>
              </w:rPr>
              <w:t>公开</w:t>
            </w:r>
            <w:r>
              <w:rPr>
                <w:szCs w:val="21"/>
              </w:rPr>
              <w:t xml:space="preserve">  </w:t>
            </w:r>
            <w:r>
              <w:rPr>
                <w:rFonts w:hint="eastAsia"/>
                <w:szCs w:val="21"/>
              </w:rPr>
              <w:t>□邀请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rPr>
                <w:rFonts w:ascii="宋体" w:hAnsi="宋体"/>
              </w:rPr>
            </w:pPr>
            <w:r>
              <w:rPr>
                <w:rFonts w:hint="eastAsia" w:ascii="宋体" w:hAnsi="宋体"/>
              </w:rPr>
              <w:t>采购范围及相关要求</w:t>
            </w:r>
          </w:p>
        </w:tc>
        <w:tc>
          <w:tcPr>
            <w:tcW w:w="5488" w:type="dxa"/>
            <w:vAlign w:val="center"/>
          </w:tcPr>
          <w:p w14:paraId="75CE89F5">
            <w:pPr>
              <w:ind w:firstLine="0" w:firstLineChars="0"/>
              <w:rPr>
                <w:rFonts w:ascii="宋体" w:hAnsi="宋体"/>
                <w:highlight w:val="none"/>
              </w:rPr>
            </w:pPr>
            <w:r>
              <w:rPr>
                <w:rFonts w:hint="eastAsia" w:ascii="宋体" w:hAnsi="宋体"/>
                <w:highlight w:val="none"/>
              </w:rPr>
              <w:t>采购范围：</w:t>
            </w:r>
            <w:r>
              <w:rPr>
                <w:rFonts w:hint="eastAsia" w:ascii="宋体" w:hAnsi="宋体"/>
                <w:highlight w:val="none"/>
                <w:lang w:eastAsia="zh-CN"/>
              </w:rPr>
              <w:t>东部公交203台纯电动公交车辆报废处置服务采购项目</w:t>
            </w:r>
            <w:r>
              <w:rPr>
                <w:rFonts w:hint="eastAsia" w:ascii="宋体" w:hAnsi="宋体"/>
                <w:highlight w:val="none"/>
              </w:rPr>
              <w:t>，</w:t>
            </w:r>
            <w:r>
              <w:rPr>
                <w:rFonts w:ascii="宋体" w:hAnsi="宋体"/>
                <w:highlight w:val="none"/>
              </w:rPr>
              <w:t>具体型号及参数详见</w:t>
            </w:r>
            <w:r>
              <w:rPr>
                <w:rFonts w:hint="eastAsia" w:ascii="宋体" w:hAnsi="宋体"/>
                <w:highlight w:val="none"/>
              </w:rPr>
              <w:t>采购</w:t>
            </w:r>
            <w:r>
              <w:rPr>
                <w:rFonts w:ascii="宋体" w:hAnsi="宋体"/>
                <w:highlight w:val="none"/>
              </w:rPr>
              <w:t>文件</w:t>
            </w:r>
            <w:r>
              <w:rPr>
                <w:rFonts w:hint="eastAsia" w:ascii="宋体" w:hAnsi="宋体"/>
                <w:highlight w:val="none"/>
              </w:rPr>
              <w:t>《</w:t>
            </w:r>
            <w:r>
              <w:rPr>
                <w:rFonts w:ascii="宋体" w:hAnsi="宋体"/>
                <w:highlight w:val="none"/>
              </w:rPr>
              <w:t>第三章</w:t>
            </w:r>
          </w:p>
          <w:p w14:paraId="31ECCCE2">
            <w:pPr>
              <w:ind w:firstLine="0" w:firstLineChars="0"/>
              <w:rPr>
                <w:rFonts w:ascii="宋体" w:hAnsi="宋体"/>
                <w:highlight w:val="none"/>
              </w:rPr>
            </w:pPr>
            <w:r>
              <w:rPr>
                <w:rFonts w:ascii="宋体" w:hAnsi="宋体"/>
                <w:highlight w:val="none"/>
              </w:rPr>
              <w:t>项目需求</w:t>
            </w:r>
            <w:r>
              <w:rPr>
                <w:rFonts w:hint="eastAsia" w:ascii="宋体" w:hAnsi="宋体"/>
                <w:highlight w:val="none"/>
              </w:rPr>
              <w:t xml:space="preserve"> 一、 标的物数量及明细》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rPr>
                <w:rFonts w:ascii="宋体" w:hAnsi="宋体"/>
              </w:rPr>
            </w:pPr>
            <w:r>
              <w:rPr>
                <w:rFonts w:hint="eastAsia" w:ascii="宋体" w:hAnsi="宋体"/>
              </w:rPr>
              <w:t>竞价人资格要求</w:t>
            </w:r>
          </w:p>
        </w:tc>
        <w:tc>
          <w:tcPr>
            <w:tcW w:w="5488" w:type="dxa"/>
            <w:vAlign w:val="center"/>
          </w:tcPr>
          <w:p w14:paraId="0CDED1E8">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人须为在中华人民共和国境内注册并合法运作的独立法人（提供营业执照或社会团体登记证书或事业单位法人证书或其他类型主体资格证书，加盖公司公章）。</w:t>
            </w:r>
          </w:p>
          <w:p w14:paraId="387F9918">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人提供在中国执行信息公开网（zxgk.court.gov.cn/shixin）中查询界面“省份”选择“全部”的查询截图，上述查询结果须在全国范围内、近三年内（自项目采购公告之日起往前推算）无不良记录，并加盖</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人公章。</w:t>
            </w:r>
          </w:p>
          <w:p w14:paraId="41B085ED">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人提供在信用中国（https://www.creditchina.gov.cn/xinyongfuwu/?navPage=4）中严重失信主体名单的查询截图，上述查询结果须在近三年内（自项目采购公告之日起往前推算）无不良记录，并加盖</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人公章。</w:t>
            </w:r>
          </w:p>
          <w:p w14:paraId="6D2707FB">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单位负责人（含法定代表人）为同一人或存在控股、管理关系的不同单位，不得同时参加同一标段投标或者未划分标段的同一采购项目报名（提供国家企业信用信息公示系统[https://www.gsxt.gov.cn/index.html]股东查询截图；若股东信息尚未公布的供应商，请提供格式自拟的股东构成表，并加盖供应商公章）。</w:t>
            </w:r>
          </w:p>
          <w:p w14:paraId="7DCF53A9">
            <w:pPr>
              <w:widowControl w:val="0"/>
              <w:autoSpaceDE w:val="0"/>
              <w:autoSpaceDN w:val="0"/>
              <w:adjustRightInd w:val="0"/>
              <w:snapToGrid w:val="0"/>
              <w:ind w:firstLine="0" w:firstLine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w:t>
            </w:r>
            <w:r>
              <w:rPr>
                <w:rFonts w:hint="eastAsia" w:ascii="宋体" w:hAnsi="宋体"/>
                <w:color w:val="000000" w:themeColor="text1"/>
                <w:lang w:val="en-US" w:eastAsia="zh-CN"/>
                <w14:textFill>
                  <w14:solidFill>
                    <w14:schemeClr w14:val="tx1"/>
                  </w14:solidFill>
                </w14:textFill>
              </w:rPr>
              <w:t>竞价</w:t>
            </w:r>
            <w:r>
              <w:rPr>
                <w:rFonts w:hint="eastAsia" w:ascii="宋体" w:hAnsi="宋体"/>
                <w:color w:val="000000" w:themeColor="text1"/>
                <w14:textFill>
                  <w14:solidFill>
                    <w14:schemeClr w14:val="tx1"/>
                  </w14:solidFill>
                </w14:textFill>
              </w:rPr>
              <w:t>人须具备有效的报废机动车回收拆解企业资质认定证书（应包含新能源汽车回收拆解业务，提供证明材料，并加盖供应商公章）。</w:t>
            </w:r>
          </w:p>
          <w:p w14:paraId="00B49EF5">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（六）本项目不允许联合体报价。</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0CEDB3CB">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0B94906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rPr>
              <w:t>5</w:t>
            </w:r>
            <w:r>
              <w:rPr>
                <w:rFonts w:ascii="宋体" w:hAnsi="宋体"/>
                <w:b/>
                <w:bCs/>
                <w:szCs w:val="21"/>
                <w:highlight w:val="yellow"/>
              </w:rPr>
              <w:t>年</w:t>
            </w:r>
            <w:r>
              <w:rPr>
                <w:rFonts w:hint="eastAsia" w:ascii="宋体" w:hAnsi="宋体"/>
                <w:b/>
                <w:bCs/>
                <w:szCs w:val="21"/>
                <w:highlight w:val="yellow"/>
                <w:lang w:val="en-US" w:eastAsia="zh-CN"/>
              </w:rPr>
              <w:t>12</w:t>
            </w:r>
            <w:r>
              <w:rPr>
                <w:rFonts w:ascii="宋体" w:hAnsi="宋体"/>
                <w:b/>
                <w:bCs/>
                <w:szCs w:val="21"/>
                <w:highlight w:val="yellow"/>
              </w:rPr>
              <w:t>月</w:t>
            </w:r>
            <w:r>
              <w:rPr>
                <w:rFonts w:hint="eastAsia" w:ascii="宋体" w:hAnsi="宋体"/>
                <w:b/>
                <w:bCs/>
                <w:szCs w:val="21"/>
                <w:highlight w:val="yellow"/>
                <w:lang w:val="en-US" w:eastAsia="zh-CN"/>
              </w:rPr>
              <w:t>18</w:t>
            </w:r>
            <w:r>
              <w:rPr>
                <w:rFonts w:ascii="宋体" w:hAnsi="宋体"/>
                <w:b/>
                <w:bCs/>
                <w:szCs w:val="21"/>
                <w:highlight w:val="yellow"/>
              </w:rPr>
              <w:t>日</w:t>
            </w:r>
            <w:r>
              <w:rPr>
                <w:rFonts w:hint="eastAsia" w:ascii="宋体" w:hAnsi="宋体"/>
                <w:b/>
                <w:bCs/>
                <w:szCs w:val="21"/>
                <w:highlight w:val="yellow"/>
                <w:lang w:val="en-US" w:eastAsia="zh-CN"/>
              </w:rPr>
              <w:t xml:space="preserve"> 上午10</w:t>
            </w:r>
            <w:r>
              <w:rPr>
                <w:rFonts w:hint="eastAsia" w:ascii="宋体" w:hAnsi="宋体"/>
                <w:b/>
                <w:bCs/>
                <w:szCs w:val="21"/>
                <w:highlight w:val="yellow"/>
              </w:rPr>
              <w:t xml:space="preserve">时 （北京时间）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bookmarkStart w:id="45" w:name="_GoBack"/>
            <w:bookmarkEnd w:id="45"/>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p>
        </w:tc>
      </w:tr>
      <w:tr w14:paraId="263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45999819">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p>
          <w:p w14:paraId="20EABC00">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23AC92B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u w:val="single"/>
              </w:rPr>
              <w:t>每个标的拟定1名成交供应商，1名备选供应商，允许兼投兼中。</w:t>
            </w:r>
            <w:r>
              <w:rPr>
                <w:rFonts w:hint="eastAsia" w:ascii="宋体" w:hAnsi="宋体" w:cs="Segoe UI Symbol"/>
                <w:kern w:val="0"/>
                <w:szCs w:val="21"/>
                <w:highlight w:val="none"/>
                <w:u w:val="single"/>
              </w:rPr>
              <w:t>（每个标的报价最高的竞价人为成交供应商、次高的竞价人为备选供应商）</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ascii="宋体" w:hAnsi="宋体" w:cs="Segoe UI Symbol"/>
                <w:kern w:val="0"/>
                <w:szCs w:val="21"/>
                <w:u w:val="single"/>
              </w:rPr>
              <w:t xml:space="preserve"> </w:t>
            </w:r>
            <w:r>
              <w:rPr>
                <w:rFonts w:hint="eastAsia" w:ascii="宋体" w:hAnsi="宋体"/>
                <w:szCs w:val="21"/>
                <w:u w:val="single"/>
                <w:shd w:val="clear" w:color="auto" w:fill="FFFFFF"/>
              </w:rPr>
              <w:t>成交金额的10%</w:t>
            </w:r>
          </w:p>
          <w:p w14:paraId="703CAA5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竞价人确定为</w:t>
            </w:r>
            <w:r>
              <w:rPr>
                <w:rFonts w:hint="eastAsia" w:ascii="宋体" w:hAnsi="宋体"/>
                <w:szCs w:val="21"/>
                <w:shd w:val="clear" w:color="auto" w:fill="FFFFFF"/>
              </w:rPr>
              <w:t>成交竞价人</w:t>
            </w:r>
            <w:r>
              <w:rPr>
                <w:rFonts w:hint="eastAsia" w:ascii="宋体" w:hAnsi="宋体" w:cs="Segoe UI Symbol"/>
                <w:kern w:val="0"/>
                <w:szCs w:val="21"/>
              </w:rPr>
              <w:t>后，应在成交通知书</w:t>
            </w:r>
            <w:r>
              <w:rPr>
                <w:rFonts w:ascii="宋体" w:hAnsi="宋体" w:cs="Segoe UI Symbol"/>
                <w:kern w:val="0"/>
                <w:szCs w:val="21"/>
              </w:rPr>
              <w:t>发出</w:t>
            </w:r>
            <w:r>
              <w:rPr>
                <w:rFonts w:hint="eastAsia" w:ascii="宋体" w:hAnsi="宋体" w:cs="Segoe UI Symbol"/>
                <w:kern w:val="0"/>
                <w:szCs w:val="21"/>
              </w:rPr>
              <w:t>之日起3个工作日内以银行转账的方式，一次性将履约保证金汇至深圳市东部公共交通有限公司的公司账户中，账户如下：</w:t>
            </w:r>
          </w:p>
          <w:p w14:paraId="28698DA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账户名：深圳市东部公共交通有限公司</w:t>
            </w:r>
          </w:p>
          <w:p w14:paraId="36870C85">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开户行：华夏银行股份有限公司深圳分行福田支行</w:t>
            </w:r>
          </w:p>
          <w:p w14:paraId="5C241413">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账号：10852000000433956</w:t>
            </w:r>
          </w:p>
          <w:p w14:paraId="56F15A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rPr>
              <w:t>未在规定期限内支付履约保证金的，将取消中选资格。为提高采购效率，采购人有权选择其他排名竞价人成为</w:t>
            </w:r>
            <w:r>
              <w:rPr>
                <w:rFonts w:hint="eastAsia" w:ascii="宋体" w:hAnsi="宋体"/>
                <w:szCs w:val="21"/>
                <w:shd w:val="clear" w:color="auto" w:fill="FFFFFF"/>
              </w:rPr>
              <w:t>成交竞价人</w:t>
            </w:r>
            <w:r>
              <w:rPr>
                <w:rFonts w:hint="eastAsia" w:ascii="宋体" w:hAnsi="宋体" w:cs="Segoe UI Symbol"/>
                <w:kern w:val="0"/>
                <w:szCs w:val="21"/>
                <w:u w:val="single"/>
              </w:rPr>
              <w:t>， 重新确定的</w:t>
            </w:r>
            <w:r>
              <w:rPr>
                <w:rFonts w:hint="eastAsia" w:ascii="宋体" w:hAnsi="宋体"/>
                <w:szCs w:val="21"/>
                <w:shd w:val="clear" w:color="auto" w:fill="FFFFFF"/>
              </w:rPr>
              <w:t>成交竞价人</w:t>
            </w:r>
            <w:r>
              <w:rPr>
                <w:rFonts w:hint="eastAsia" w:ascii="宋体" w:hAnsi="宋体" w:cs="Segoe UI Symbol"/>
                <w:kern w:val="0"/>
                <w:szCs w:val="21"/>
                <w:u w:val="single"/>
              </w:rPr>
              <w:t>必须按自己的报价与采购人签订合同，</w:t>
            </w:r>
            <w:r>
              <w:rPr>
                <w:rFonts w:ascii="宋体" w:hAnsi="宋体" w:cs="Segoe UI Symbol"/>
                <w:kern w:val="0"/>
                <w:szCs w:val="21"/>
                <w:u w:val="single"/>
              </w:rPr>
              <w:t xml:space="preserve"> </w:t>
            </w:r>
            <w:r>
              <w:rPr>
                <w:rFonts w:hint="eastAsia" w:ascii="宋体" w:hAnsi="宋体" w:cs="Segoe UI Symbol"/>
                <w:kern w:val="0"/>
                <w:szCs w:val="21"/>
                <w:u w:val="single"/>
              </w:rPr>
              <w:t>否则按采购文件进行处罚。</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成交通知书发出次日起3个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4"/>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9"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38" w:type="dxa"/>
            <w:gridSpan w:val="3"/>
            <w:vAlign w:val="center"/>
          </w:tcPr>
          <w:p w14:paraId="28D20912">
            <w:pPr>
              <w:ind w:firstLine="0" w:firstLineChars="0"/>
              <w:rPr>
                <w:rFonts w:hint="eastAsia"/>
                <w:lang w:eastAsia="zh-CN"/>
              </w:rPr>
            </w:pPr>
            <w:r>
              <w:rPr>
                <w:rFonts w:hint="eastAsia"/>
              </w:rPr>
              <w:t>采购失败的后续处理办法</w:t>
            </w:r>
            <w:r>
              <w:rPr>
                <w:rFonts w:hint="eastAsia"/>
                <w:lang w:eastAsia="zh-CN"/>
              </w:rPr>
              <w:t>：</w:t>
            </w:r>
          </w:p>
          <w:p w14:paraId="3F021143">
            <w:pPr>
              <w:ind w:firstLine="0" w:firstLineChars="0"/>
              <w:rPr>
                <w:rFonts w:hint="eastAsia"/>
                <w:lang w:eastAsia="zh-CN"/>
              </w:rPr>
            </w:pPr>
            <w:r>
              <w:rPr>
                <w:rFonts w:hint="eastAsia"/>
                <w:lang w:eastAsia="zh-CN"/>
              </w:rPr>
              <w:t>1.如首次公告有效竞价人不足3家，重新发布竞价公告。</w:t>
            </w:r>
          </w:p>
          <w:p w14:paraId="29503E87">
            <w:pPr>
              <w:ind w:firstLine="0" w:firstLineChars="0"/>
              <w:rPr>
                <w:rFonts w:hint="eastAsia"/>
                <w:lang w:eastAsia="zh-CN"/>
              </w:rPr>
            </w:pPr>
            <w:r>
              <w:rPr>
                <w:rFonts w:hint="eastAsia"/>
                <w:lang w:eastAsia="zh-CN"/>
              </w:rPr>
              <w:t>2.二次公告后，若有效竞价人仍不足3家只有两个符合条件的报名者，按规定程序进行公开竞价，价高者得。</w:t>
            </w:r>
          </w:p>
          <w:p w14:paraId="2DEF2155">
            <w:pPr>
              <w:ind w:firstLine="0" w:firstLineChars="0"/>
              <w:rPr>
                <w:rFonts w:hint="eastAsia"/>
                <w:lang w:eastAsia="zh-CN"/>
              </w:rPr>
            </w:pPr>
            <w:r>
              <w:rPr>
                <w:rFonts w:hint="eastAsia"/>
                <w:lang w:eastAsia="zh-CN"/>
              </w:rPr>
              <w:t>3.如只有一家报名者或无有效竞价人报名，则重启处置。</w:t>
            </w:r>
          </w:p>
        </w:tc>
      </w:tr>
    </w:tbl>
    <w:p w14:paraId="3C330E07">
      <w:pPr>
        <w:ind w:firstLine="643"/>
        <w:rPr>
          <w:rFonts w:ascii="宋体" w:hAnsi="宋体"/>
          <w:b/>
          <w:sz w:val="32"/>
          <w:szCs w:val="32"/>
        </w:rPr>
      </w:pPr>
      <w:bookmarkStart w:id="15" w:name="_Hlk532141677"/>
      <w:r>
        <w:rPr>
          <w:rFonts w:hint="eastAsia" w:ascii="宋体" w:hAnsi="宋体"/>
          <w:b/>
          <w:sz w:val="32"/>
          <w:szCs w:val="32"/>
        </w:rPr>
        <w:br w:type="page"/>
      </w:r>
    </w:p>
    <w:p w14:paraId="2B71EC4A">
      <w:pPr>
        <w:ind w:firstLine="0" w:firstLineChars="0"/>
        <w:rPr>
          <w:rFonts w:ascii="宋体" w:hAnsi="宋体"/>
          <w:b/>
          <w:sz w:val="32"/>
          <w:szCs w:val="32"/>
        </w:rPr>
      </w:pPr>
      <w:r>
        <w:rPr>
          <w:rFonts w:hint="eastAsia" w:ascii="宋体"/>
          <w:b/>
          <w:sz w:val="24"/>
        </w:rPr>
        <w:t>附表</w:t>
      </w:r>
    </w:p>
    <w:tbl>
      <w:tblPr>
        <w:tblStyle w:val="50"/>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65"/>
        <w:gridCol w:w="1616"/>
        <w:gridCol w:w="1234"/>
        <w:gridCol w:w="846"/>
        <w:gridCol w:w="1580"/>
        <w:gridCol w:w="1586"/>
      </w:tblGrid>
      <w:tr w14:paraId="209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C7DAF1" w:themeFill="text2" w:themeFillTint="32"/>
          </w:tcPr>
          <w:p w14:paraId="5361A756">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8"/>
                <w:szCs w:val="28"/>
                <w:highlight w:val="none"/>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895" w:type="pct"/>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869" w:type="pct"/>
            <w:shd w:val="clear" w:color="auto" w:fill="C7DAF1" w:themeFill="text2" w:themeFillTint="32"/>
            <w:vAlign w:val="center"/>
          </w:tcPr>
          <w:p w14:paraId="3AAB3631">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标的物名称</w:t>
            </w:r>
          </w:p>
        </w:tc>
        <w:tc>
          <w:tcPr>
            <w:tcW w:w="663" w:type="pct"/>
            <w:shd w:val="clear" w:color="auto" w:fill="C7DAF1" w:themeFill="text2" w:themeFillTint="32"/>
            <w:vAlign w:val="center"/>
          </w:tcPr>
          <w:p w14:paraId="30D886C2">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车辆型号</w:t>
            </w:r>
          </w:p>
        </w:tc>
        <w:tc>
          <w:tcPr>
            <w:tcW w:w="455" w:type="pct"/>
            <w:shd w:val="clear" w:color="auto" w:fill="C7DAF1" w:themeFill="text2" w:themeFillTint="32"/>
            <w:vAlign w:val="center"/>
          </w:tcPr>
          <w:p w14:paraId="3DD4A4B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车辆数</w:t>
            </w:r>
          </w:p>
          <w:p w14:paraId="22122B1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（台）</w:t>
            </w:r>
          </w:p>
        </w:tc>
        <w:tc>
          <w:tcPr>
            <w:tcW w:w="850" w:type="pct"/>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起始价格</w:t>
            </w:r>
          </w:p>
          <w:p w14:paraId="40D1E18E">
            <w:pPr>
              <w:ind w:left="0" w:firstLine="0" w:firstLineChars="0"/>
              <w:jc w:val="center"/>
              <w:textAlignment w:val="center"/>
              <w:rPr>
                <w:rFonts w:ascii="宋体" w:hAnsi="宋体" w:cs="宋体"/>
                <w:b/>
                <w:sz w:val="22"/>
                <w:szCs w:val="22"/>
                <w:highlight w:val="yellow"/>
              </w:rPr>
            </w:pPr>
            <w:r>
              <w:rPr>
                <w:rFonts w:hint="eastAsia" w:ascii="宋体" w:hAnsi="宋体" w:cs="宋体"/>
                <w:b/>
                <w:bCs/>
                <w:color w:val="000000"/>
                <w:kern w:val="0"/>
                <w:szCs w:val="21"/>
                <w:highlight w:val="none"/>
                <w:lang w:bidi="ar"/>
              </w:rPr>
              <w:t>（元/台，含税）暂定</w:t>
            </w:r>
          </w:p>
        </w:tc>
        <w:tc>
          <w:tcPr>
            <w:tcW w:w="853" w:type="pct"/>
            <w:shd w:val="clear" w:color="auto" w:fill="C7DAF1" w:themeFill="text2" w:themeFillTint="32"/>
            <w:vAlign w:val="center"/>
          </w:tcPr>
          <w:p w14:paraId="5DFFF33A">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保证金</w:t>
            </w:r>
          </w:p>
          <w:p w14:paraId="681C1EBB">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12" w:type="pct"/>
            <w:vAlign w:val="center"/>
          </w:tcPr>
          <w:p w14:paraId="7044921B">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标的1</w:t>
            </w:r>
          </w:p>
        </w:tc>
        <w:tc>
          <w:tcPr>
            <w:tcW w:w="895" w:type="pct"/>
            <w:vAlign w:val="center"/>
          </w:tcPr>
          <w:p w14:paraId="205A9D91">
            <w:pPr>
              <w:spacing w:line="240" w:lineRule="auto"/>
              <w:ind w:left="0" w:leftChars="0" w:firstLine="0" w:firstLineChars="0"/>
              <w:jc w:val="both"/>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YG25QJ0015955</w:t>
            </w:r>
          </w:p>
        </w:tc>
        <w:tc>
          <w:tcPr>
            <w:tcW w:w="1616" w:type="dxa"/>
            <w:vAlign w:val="center"/>
          </w:tcPr>
          <w:p w14:paraId="58632E5A">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比亚迪纯电动公交车辆报废处置（K8）</w:t>
            </w:r>
          </w:p>
        </w:tc>
        <w:tc>
          <w:tcPr>
            <w:tcW w:w="1234" w:type="dxa"/>
            <w:vAlign w:val="center"/>
          </w:tcPr>
          <w:p w14:paraId="4E9ED8EF">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CK6100LGEV</w:t>
            </w:r>
          </w:p>
        </w:tc>
        <w:tc>
          <w:tcPr>
            <w:tcW w:w="846" w:type="dxa"/>
            <w:vAlign w:val="center"/>
          </w:tcPr>
          <w:p w14:paraId="4BE224D5">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71</w:t>
            </w:r>
          </w:p>
        </w:tc>
        <w:tc>
          <w:tcPr>
            <w:tcW w:w="1580" w:type="dxa"/>
            <w:vAlign w:val="center"/>
          </w:tcPr>
          <w:p w14:paraId="396106A5">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88,494.51</w:t>
            </w:r>
          </w:p>
        </w:tc>
        <w:tc>
          <w:tcPr>
            <w:tcW w:w="853" w:type="pct"/>
            <w:vAlign w:val="center"/>
          </w:tcPr>
          <w:p w14:paraId="4A265305">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120000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08A95C5E">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标的2</w:t>
            </w:r>
          </w:p>
        </w:tc>
        <w:tc>
          <w:tcPr>
            <w:tcW w:w="895" w:type="pct"/>
            <w:vAlign w:val="center"/>
          </w:tcPr>
          <w:p w14:paraId="624DAB87">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YG25QJ0015957</w:t>
            </w:r>
          </w:p>
        </w:tc>
        <w:tc>
          <w:tcPr>
            <w:tcW w:w="1616" w:type="dxa"/>
            <w:vAlign w:val="center"/>
          </w:tcPr>
          <w:p w14:paraId="5B1468DF">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比亚迪纯电动公交车辆报废处置（K8）</w:t>
            </w:r>
          </w:p>
        </w:tc>
        <w:tc>
          <w:tcPr>
            <w:tcW w:w="1234" w:type="dxa"/>
            <w:vAlign w:val="center"/>
          </w:tcPr>
          <w:p w14:paraId="0CFC6470">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CK6100LGEV2</w:t>
            </w:r>
          </w:p>
        </w:tc>
        <w:tc>
          <w:tcPr>
            <w:tcW w:w="846" w:type="dxa"/>
            <w:vAlign w:val="center"/>
          </w:tcPr>
          <w:p w14:paraId="018EB633">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28</w:t>
            </w:r>
          </w:p>
        </w:tc>
        <w:tc>
          <w:tcPr>
            <w:tcW w:w="1580" w:type="dxa"/>
            <w:vAlign w:val="center"/>
          </w:tcPr>
          <w:p w14:paraId="712AD23D">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101,170.00</w:t>
            </w:r>
          </w:p>
        </w:tc>
        <w:tc>
          <w:tcPr>
            <w:tcW w:w="853" w:type="pct"/>
            <w:vAlign w:val="center"/>
          </w:tcPr>
          <w:p w14:paraId="3719039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50000</w:t>
            </w:r>
          </w:p>
        </w:tc>
      </w:tr>
      <w:tr w14:paraId="6031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5CD0D0C4">
            <w:pPr>
              <w:ind w:left="0" w:firstLine="0" w:firstLineChars="0"/>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标的3</w:t>
            </w:r>
          </w:p>
        </w:tc>
        <w:tc>
          <w:tcPr>
            <w:tcW w:w="895" w:type="pct"/>
            <w:vAlign w:val="center"/>
          </w:tcPr>
          <w:p w14:paraId="29C39D40">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YG25QJ0015960</w:t>
            </w:r>
          </w:p>
        </w:tc>
        <w:tc>
          <w:tcPr>
            <w:tcW w:w="1616" w:type="dxa"/>
            <w:vAlign w:val="center"/>
          </w:tcPr>
          <w:p w14:paraId="24617A4D">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比亚迪纯电动公交车辆报废处置（C9）</w:t>
            </w:r>
          </w:p>
        </w:tc>
        <w:tc>
          <w:tcPr>
            <w:tcW w:w="1234" w:type="dxa"/>
            <w:vAlign w:val="center"/>
          </w:tcPr>
          <w:p w14:paraId="673C732F">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CK6120LLEV</w:t>
            </w:r>
          </w:p>
        </w:tc>
        <w:tc>
          <w:tcPr>
            <w:tcW w:w="846" w:type="dxa"/>
            <w:vAlign w:val="center"/>
          </w:tcPr>
          <w:p w14:paraId="20C9716C">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44</w:t>
            </w:r>
          </w:p>
        </w:tc>
        <w:tc>
          <w:tcPr>
            <w:tcW w:w="1580" w:type="dxa"/>
            <w:vAlign w:val="center"/>
          </w:tcPr>
          <w:p w14:paraId="61FB3DFD">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116,064.42</w:t>
            </w:r>
          </w:p>
        </w:tc>
        <w:tc>
          <w:tcPr>
            <w:tcW w:w="853" w:type="pct"/>
            <w:vAlign w:val="center"/>
          </w:tcPr>
          <w:p w14:paraId="48E1F560">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100000</w:t>
            </w:r>
          </w:p>
        </w:tc>
      </w:tr>
      <w:tr w14:paraId="5451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05920AD5">
            <w:pPr>
              <w:ind w:left="0" w:firstLine="0" w:firstLineChars="0"/>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4</w:t>
            </w:r>
          </w:p>
        </w:tc>
        <w:tc>
          <w:tcPr>
            <w:tcW w:w="895" w:type="pct"/>
            <w:vAlign w:val="center"/>
          </w:tcPr>
          <w:p w14:paraId="3533D738">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YG25QJ0015963</w:t>
            </w:r>
          </w:p>
        </w:tc>
        <w:tc>
          <w:tcPr>
            <w:tcW w:w="1616" w:type="dxa"/>
            <w:vAlign w:val="center"/>
          </w:tcPr>
          <w:p w14:paraId="1BB9D5AB">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比亚迪纯电动公交车辆报废处置（C9）</w:t>
            </w:r>
          </w:p>
        </w:tc>
        <w:tc>
          <w:tcPr>
            <w:tcW w:w="1234" w:type="dxa"/>
            <w:vAlign w:val="center"/>
          </w:tcPr>
          <w:p w14:paraId="06BD31B3">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CK6120LLEV</w:t>
            </w:r>
          </w:p>
        </w:tc>
        <w:tc>
          <w:tcPr>
            <w:tcW w:w="846" w:type="dxa"/>
            <w:vAlign w:val="center"/>
          </w:tcPr>
          <w:p w14:paraId="12A00FB3">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60</w:t>
            </w:r>
          </w:p>
        </w:tc>
        <w:tc>
          <w:tcPr>
            <w:tcW w:w="1580" w:type="dxa"/>
            <w:vAlign w:val="center"/>
          </w:tcPr>
          <w:p w14:paraId="210021EA">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116,064.42</w:t>
            </w:r>
          </w:p>
        </w:tc>
        <w:tc>
          <w:tcPr>
            <w:tcW w:w="853" w:type="pct"/>
            <w:vAlign w:val="center"/>
          </w:tcPr>
          <w:p w14:paraId="7A247C3D">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130000</w:t>
            </w: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5"/>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6" w:name="_Toc332121736"/>
      <w:bookmarkStart w:id="17" w:name="_Toc152045553"/>
      <w:bookmarkStart w:id="18" w:name="_Toc403513515"/>
      <w:bookmarkStart w:id="19" w:name="_Toc144974521"/>
      <w:bookmarkStart w:id="20" w:name="_Toc330213968"/>
      <w:bookmarkStart w:id="21" w:name="_Toc152042329"/>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
    <w:bookmarkEnd w:id="17"/>
    <w:bookmarkEnd w:id="18"/>
    <w:bookmarkEnd w:id="19"/>
    <w:bookmarkEnd w:id="20"/>
    <w:bookmarkEnd w:id="21"/>
    <w:p w14:paraId="0086FF86">
      <w:pPr>
        <w:widowControl w:val="0"/>
        <w:numPr>
          <w:ilvl w:val="0"/>
          <w:numId w:val="0"/>
        </w:numPr>
        <w:tabs>
          <w:tab w:val="left" w:pos="567"/>
        </w:tabs>
        <w:autoSpaceDE w:val="0"/>
        <w:autoSpaceDN w:val="0"/>
        <w:adjustRightInd w:val="0"/>
        <w:snapToGrid w:val="0"/>
        <w:rPr>
          <w:rFonts w:ascii="宋体"/>
          <w:szCs w:val="21"/>
        </w:rPr>
      </w:pPr>
      <w:bookmarkStart w:id="22" w:name="_Toc144974577"/>
      <w:bookmarkStart w:id="23" w:name="_Toc152045609"/>
      <w:bookmarkStart w:id="24" w:name="_Toc403513554"/>
      <w:bookmarkStart w:id="25" w:name="_Toc152042387"/>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0"/>
        <w:rPr>
          <w:rFonts w:ascii="宋体" w:hAnsi="宋体"/>
          <w:b/>
          <w:bCs/>
          <w:sz w:val="84"/>
          <w:szCs w:val="84"/>
        </w:rPr>
      </w:pPr>
    </w:p>
    <w:p w14:paraId="60CBD3E0">
      <w:pPr>
        <w:widowControl w:val="0"/>
        <w:autoSpaceDE w:val="0"/>
        <w:autoSpaceDN w:val="0"/>
        <w:adjustRightInd w:val="0"/>
        <w:snapToGrid w:val="0"/>
        <w:ind w:firstLine="0" w:firstLineChars="0"/>
        <w:outlineLvl w:val="0"/>
        <w:rPr>
          <w:rFonts w:ascii="宋体" w:hAnsi="宋体"/>
          <w:b/>
          <w:bCs/>
          <w:sz w:val="84"/>
          <w:szCs w:val="84"/>
        </w:rPr>
      </w:pPr>
    </w:p>
    <w:p w14:paraId="14126FD5">
      <w:pPr>
        <w:widowControl w:val="0"/>
        <w:autoSpaceDE w:val="0"/>
        <w:autoSpaceDN w:val="0"/>
        <w:adjustRightInd w:val="0"/>
        <w:snapToGrid w:val="0"/>
        <w:ind w:firstLine="0" w:firstLineChars="0"/>
        <w:outlineLvl w:val="0"/>
        <w:rPr>
          <w:rFonts w:ascii="宋体" w:hAnsi="宋体"/>
          <w:b/>
          <w:bCs/>
          <w:sz w:val="84"/>
          <w:szCs w:val="84"/>
        </w:rPr>
      </w:pPr>
    </w:p>
    <w:p w14:paraId="1AFBC011">
      <w:pPr>
        <w:widowControl w:val="0"/>
        <w:autoSpaceDE w:val="0"/>
        <w:autoSpaceDN w:val="0"/>
        <w:adjustRightInd w:val="0"/>
        <w:snapToGrid w:val="0"/>
        <w:ind w:firstLine="0" w:firstLineChars="0"/>
        <w:jc w:val="center"/>
        <w:outlineLvl w:val="0"/>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6" w:name="_Toc6778"/>
      <w:r>
        <w:rPr>
          <w:rFonts w:hint="eastAsia" w:ascii="宋体" w:hAnsi="宋体"/>
          <w:b/>
          <w:bCs/>
          <w:sz w:val="52"/>
          <w:szCs w:val="52"/>
        </w:rPr>
        <w:t>第二章 合同条款及格式</w:t>
      </w:r>
      <w:bookmarkEnd w:id="22"/>
      <w:bookmarkEnd w:id="23"/>
      <w:bookmarkEnd w:id="24"/>
      <w:bookmarkEnd w:id="25"/>
      <w:bookmarkEnd w:id="26"/>
      <w:bookmarkStart w:id="27" w:name="_Toc403513619"/>
      <w:bookmarkStart w:id="28" w:name="_Toc406669470"/>
    </w:p>
    <w:p w14:paraId="64EA7E50">
      <w:pPr>
        <w:spacing w:line="560" w:lineRule="exact"/>
        <w:ind w:firstLine="480"/>
        <w:outlineLvl w:val="0"/>
        <w:rPr>
          <w:rFonts w:ascii="仿宋_GB2312" w:hAnsi="仿宋_GB2312" w:eastAsia="仿宋_GB2312" w:cs="仿宋_GB2312"/>
          <w:sz w:val="24"/>
        </w:rPr>
      </w:pPr>
    </w:p>
    <w:p w14:paraId="0C58EE6D">
      <w:pPr>
        <w:spacing w:line="560" w:lineRule="exact"/>
        <w:ind w:firstLine="480"/>
        <w:outlineLvl w:val="0"/>
        <w:rPr>
          <w:rFonts w:ascii="仿宋_GB2312" w:hAnsi="仿宋_GB2312" w:eastAsia="仿宋_GB2312" w:cs="仿宋_GB2312"/>
          <w:sz w:val="24"/>
        </w:rPr>
      </w:pPr>
    </w:p>
    <w:p w14:paraId="285C701D">
      <w:pPr>
        <w:spacing w:line="560" w:lineRule="exact"/>
        <w:ind w:firstLine="480"/>
        <w:outlineLvl w:val="0"/>
        <w:rPr>
          <w:rFonts w:ascii="仿宋_GB2312" w:hAnsi="仿宋_GB2312" w:eastAsia="仿宋_GB2312" w:cs="仿宋_GB2312"/>
          <w:sz w:val="24"/>
        </w:rPr>
      </w:pPr>
    </w:p>
    <w:p w14:paraId="0228EC3B">
      <w:pPr>
        <w:spacing w:line="560" w:lineRule="exact"/>
        <w:ind w:firstLine="480"/>
        <w:outlineLvl w:val="0"/>
        <w:rPr>
          <w:rFonts w:ascii="仿宋_GB2312" w:hAnsi="仿宋_GB2312" w:eastAsia="仿宋_GB2312" w:cs="仿宋_GB2312"/>
          <w:sz w:val="24"/>
        </w:rPr>
      </w:pPr>
    </w:p>
    <w:p w14:paraId="0514C6D8">
      <w:pPr>
        <w:spacing w:line="560" w:lineRule="exact"/>
        <w:ind w:firstLine="480"/>
        <w:outlineLvl w:val="0"/>
        <w:rPr>
          <w:rFonts w:ascii="仿宋_GB2312" w:hAnsi="仿宋_GB2312" w:eastAsia="仿宋_GB2312" w:cs="仿宋_GB2312"/>
          <w:sz w:val="24"/>
        </w:rPr>
      </w:pPr>
    </w:p>
    <w:p w14:paraId="55538979">
      <w:pPr>
        <w:spacing w:line="560" w:lineRule="exact"/>
        <w:ind w:firstLine="480"/>
        <w:outlineLvl w:val="0"/>
        <w:rPr>
          <w:rFonts w:ascii="仿宋_GB2312" w:hAnsi="仿宋_GB2312" w:eastAsia="仿宋_GB2312" w:cs="仿宋_GB2312"/>
          <w:sz w:val="24"/>
        </w:rPr>
      </w:pPr>
    </w:p>
    <w:p w14:paraId="798B88DD">
      <w:pPr>
        <w:spacing w:line="560" w:lineRule="exact"/>
        <w:ind w:firstLine="480"/>
        <w:outlineLvl w:val="0"/>
        <w:rPr>
          <w:rFonts w:ascii="仿宋_GB2312" w:hAnsi="仿宋_GB2312" w:eastAsia="仿宋_GB2312" w:cs="仿宋_GB2312"/>
          <w:sz w:val="24"/>
        </w:rPr>
      </w:pPr>
    </w:p>
    <w:p w14:paraId="14C08B3B">
      <w:pPr>
        <w:spacing w:line="560" w:lineRule="exact"/>
        <w:ind w:firstLine="480"/>
        <w:outlineLvl w:val="0"/>
        <w:rPr>
          <w:rFonts w:ascii="仿宋_GB2312" w:hAnsi="仿宋_GB2312" w:eastAsia="仿宋_GB2312" w:cs="仿宋_GB2312"/>
          <w:sz w:val="24"/>
        </w:rPr>
      </w:pPr>
    </w:p>
    <w:p w14:paraId="6753370A">
      <w:pPr>
        <w:spacing w:line="560" w:lineRule="exact"/>
        <w:ind w:firstLine="480"/>
        <w:outlineLvl w:val="0"/>
        <w:rPr>
          <w:rFonts w:ascii="仿宋_GB2312" w:hAnsi="仿宋_GB2312" w:eastAsia="仿宋_GB2312" w:cs="仿宋_GB2312"/>
          <w:sz w:val="24"/>
        </w:rPr>
      </w:pPr>
    </w:p>
    <w:p w14:paraId="08FD8B7D">
      <w:pPr>
        <w:spacing w:line="560" w:lineRule="exact"/>
        <w:ind w:firstLine="480"/>
        <w:outlineLvl w:val="0"/>
        <w:rPr>
          <w:rFonts w:ascii="仿宋_GB2312" w:hAnsi="仿宋_GB2312" w:eastAsia="仿宋_GB2312" w:cs="仿宋_GB2312"/>
          <w:sz w:val="24"/>
        </w:rPr>
      </w:pPr>
    </w:p>
    <w:p w14:paraId="31EB224F">
      <w:pPr>
        <w:spacing w:line="560" w:lineRule="exact"/>
        <w:ind w:firstLine="480"/>
        <w:outlineLvl w:val="0"/>
        <w:rPr>
          <w:rFonts w:ascii="仿宋_GB2312" w:hAnsi="仿宋_GB2312" w:eastAsia="仿宋_GB2312" w:cs="仿宋_GB2312"/>
          <w:sz w:val="24"/>
        </w:rPr>
      </w:pPr>
    </w:p>
    <w:p w14:paraId="4D6451FC">
      <w:pPr>
        <w:spacing w:line="560" w:lineRule="exact"/>
        <w:ind w:firstLine="480"/>
        <w:outlineLvl w:val="0"/>
        <w:rPr>
          <w:rFonts w:ascii="仿宋_GB2312" w:hAnsi="仿宋_GB2312" w:eastAsia="仿宋_GB2312" w:cs="仿宋_GB2312"/>
          <w:sz w:val="24"/>
        </w:rPr>
      </w:pPr>
    </w:p>
    <w:p w14:paraId="7DACC18B">
      <w:pPr>
        <w:spacing w:line="660" w:lineRule="exact"/>
        <w:ind w:firstLine="0" w:firstLineChars="0"/>
        <w:rPr>
          <w:rFonts w:asciiTheme="minorEastAsia" w:hAnsiTheme="minorEastAsia" w:eastAsiaTheme="minorEastAsia" w:cstheme="minorEastAsia"/>
          <w:szCs w:val="21"/>
        </w:rPr>
      </w:pPr>
    </w:p>
    <w:p w14:paraId="3C4465FD">
      <w:pPr>
        <w:widowControl w:val="0"/>
        <w:spacing w:line="5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车辆报废处置服务项目合同</w:t>
      </w:r>
    </w:p>
    <w:p w14:paraId="188E46BF">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1C337F26">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甲      方：</w:t>
      </w:r>
    </w:p>
    <w:p w14:paraId="0824C622">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统一社会信用代码：</w:t>
      </w:r>
    </w:p>
    <w:p w14:paraId="0CDD0074">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法定代表人：</w:t>
      </w:r>
    </w:p>
    <w:p w14:paraId="6AB3CBBF">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地      址：</w:t>
      </w:r>
    </w:p>
    <w:p w14:paraId="7CFABF57">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653AF2DF">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乙      方：</w:t>
      </w:r>
    </w:p>
    <w:p w14:paraId="76653C3F">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统一社会信用代码：</w:t>
      </w:r>
    </w:p>
    <w:p w14:paraId="6E7C4475">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法定代表人：</w:t>
      </w:r>
    </w:p>
    <w:p w14:paraId="0806E4AE">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地      址：</w:t>
      </w:r>
    </w:p>
    <w:p w14:paraId="432F4F7F">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06F7F0AB">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根据《机动车登记规定》《报废机动车回收管理办法》等相关法律法规规定，为保障甲、乙双方合法权益，现就甲方委托乙方回收处理报废车辆事宜，经甲、乙双方友好协商签订本合同，以兹共同遵照执行。</w:t>
      </w:r>
    </w:p>
    <w:p w14:paraId="2916378C">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第一条 服务内容</w:t>
      </w:r>
    </w:p>
    <w:p w14:paraId="09D87D7D">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（一）甲方委托乙方回收甲方的    辆纯电动公交车辆及依法办理此批车辆报废和注销登记手续（车辆信息详见附件）。</w:t>
      </w:r>
    </w:p>
    <w:p w14:paraId="3045853C">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（二）乙方负责到甲方指定地点回收车辆，并承担车辆交接后产生的一切费用，包括但不限于租赁费、服务费、拖车费、过路过桥费、油（电）费、人工费、称重费等。</w:t>
      </w:r>
    </w:p>
    <w:p w14:paraId="40041CD5">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第二条 价格及结算方式</w:t>
      </w:r>
    </w:p>
    <w:p w14:paraId="2C094543">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（一）乙方回收甲方    辆    品牌（车型：     ）纯电动公交车辆的含税收购单价为    元/辆，共计    辆收购总金额合计为     元（大写：           ）。</w:t>
      </w:r>
    </w:p>
    <w:p w14:paraId="5576D110">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（二）乙方按照以下方式及本合同约定的收购总金额通过银行转账形式向甲方指定银行账户支付报废车辆收购款。</w:t>
      </w:r>
    </w:p>
    <w:p w14:paraId="5040BE5E">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1.自甲乙双方签订合同之日起10个工作日内一次性向甲方支付收购总金额100%的款项共        元（大写：                 </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w:t>
      </w:r>
    </w:p>
    <w:p w14:paraId="6FF6247D">
      <w:pPr>
        <w:widowControl w:val="0"/>
        <w:spacing w:line="560" w:lineRule="exact"/>
        <w:ind w:firstLine="0" w:firstLineChars="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2.甲方收到乙方支付的全额收购款后，乙方才可接收甲方车辆。</w:t>
      </w:r>
    </w:p>
    <w:p w14:paraId="5299BCDD">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（三）甲方向乙方开具增值税专用发票。</w:t>
      </w:r>
    </w:p>
    <w:p w14:paraId="2B76851D">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（四）甲方指定银行账户信息：</w:t>
      </w:r>
    </w:p>
    <w:p w14:paraId="42EE55A9">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账户名称：</w:t>
      </w:r>
    </w:p>
    <w:p w14:paraId="5C6DDB75">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开户银行：</w:t>
      </w:r>
    </w:p>
    <w:p w14:paraId="20E796DE">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账    号：</w:t>
      </w:r>
    </w:p>
    <w:p w14:paraId="42C1FA20">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第三条 履约保证金</w:t>
      </w:r>
    </w:p>
    <w:p w14:paraId="11C6F3C5">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本合同签订前，乙方须向甲方支付履约保证金     元（大写：        </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通过银行转账形式转入甲方指定银行账户（转账备注请注明：车辆报废处置服务项目合同履约保证金）。经甲方确认，乙方已全面且无误地履行了其合同项下的所有义务并确认无任何违约行为后，则甲方应在乙方申请退还后的三十个工作日内，通过原支付路径将相关款项无息退还至乙方账户。</w:t>
      </w:r>
    </w:p>
    <w:p w14:paraId="3FE07337">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第四条 甲方权利和义务</w:t>
      </w:r>
    </w:p>
    <w:p w14:paraId="5AEB1C01">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（一）甲方授权委托乙方回收甲方的    辆纯电动公交车辆及办理此批车辆报废和注销登记手续。</w:t>
      </w:r>
    </w:p>
    <w:p w14:paraId="7E835788">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甲方应确保交付给乙方的公交车辆属于甲方资产，无任何产权纠纷，无未处理完毕的道路交通安全违法行为和交通事故等，并确保在深圳市公安机关交通管理部门登记的车辆档案状态正常，满足深圳市车辆管理所办理报废和注销登记手续的条件。</w:t>
      </w:r>
    </w:p>
    <w:p w14:paraId="781BA2BC">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（三）甲方应在合同签订完成并收到乙方支付的全额收购款项后起60日内将车辆移交给乙方。</w:t>
      </w:r>
    </w:p>
    <w:p w14:paraId="35F7DD12">
      <w:pPr>
        <w:widowControl w:val="0"/>
        <w:spacing w:line="560" w:lineRule="exact"/>
        <w:ind w:firstLine="0" w:firstLineChars="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第五条 乙方权利和义务</w:t>
      </w:r>
    </w:p>
    <w:p w14:paraId="0BF1B9D8">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（一）乙方拆解报废车辆的操作流程、设备、场地应符合安全管理和环境保护等相关法律法规和强制性标准要求，因乙方违法拆解甲方车辆造成的法律风险及经济损失责任由乙方承担。</w:t>
      </w:r>
    </w:p>
    <w:p w14:paraId="407AF9AE">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（二）乙方须自行承担使用场地、工具设备、专用车辆、工作人员等产生的租赁费、服务费、拖车费、过路过桥费、油（电）费、人工费等一切附加费用。</w:t>
      </w:r>
    </w:p>
    <w:p w14:paraId="3E1DE368">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（三）当乙方接收到甲方发出的回收车辆通知，该通知形式包括但不限于书面、电话或即时通讯软件通知，须在5日内完成回收甲方指定地点的车辆并拖离甲方指定场站及承担拖车费用。</w:t>
      </w:r>
    </w:p>
    <w:p w14:paraId="41D0E021">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（四）乙方从甲方指定地点拖离车辆后45日内须办理完机动车报废和注销登记手续，并在上述期限内向甲方交付《报废汽车回收证明》及《机动车注销证明书》的原件及电子扫描件。</w:t>
      </w:r>
    </w:p>
    <w:p w14:paraId="2271F059">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五）乙方</w:t>
      </w:r>
      <w:r>
        <w:rPr>
          <w:rFonts w:hint="eastAsia" w:asciiTheme="minorEastAsia" w:hAnsiTheme="minorEastAsia" w:eastAsiaTheme="minorEastAsia" w:cstheme="minorEastAsia"/>
          <w:szCs w:val="21"/>
        </w:rPr>
        <w:t>委托本合同外第三方</w:t>
      </w:r>
      <w:r>
        <w:rPr>
          <w:rFonts w:hint="eastAsia" w:asciiTheme="minorEastAsia" w:hAnsiTheme="minorEastAsia" w:eastAsiaTheme="minorEastAsia" w:cstheme="minorEastAsia"/>
          <w:szCs w:val="21"/>
          <w:lang w:val="en-US" w:eastAsia="zh-CN"/>
        </w:rPr>
        <w:t>到甲方指定地点交接车辆的</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乙方应</w:t>
      </w:r>
      <w:r>
        <w:rPr>
          <w:rFonts w:hint="eastAsia" w:asciiTheme="minorEastAsia" w:hAnsiTheme="minorEastAsia" w:eastAsiaTheme="minorEastAsia" w:cstheme="minorEastAsia"/>
          <w:szCs w:val="21"/>
        </w:rPr>
        <w:t>出具书面委托或其他证明文件，第三方的一切行为将被</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视为等同</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自身行为，并且</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对此负全部责任。</w:t>
      </w:r>
    </w:p>
    <w:p w14:paraId="4AB6E045">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六）乙方或乙方委托的第三方进入甲方指定地点回收车辆的，应遵守甲方的安全管理制度，在场站内文明作业，不得影响甲方的正常生产秩序，若因乙方或乙方委托的第三方原因造成人员伤亡或财产损失的，由乙方承担一切法律及经济损失责任。</w:t>
      </w:r>
    </w:p>
    <w:p w14:paraId="391A7B08">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七）乙方或乙方委托的第三方单位回收甲方车辆须配合甲方做好移交登记手续，甲乙双方已完成交接签字或乙方对甲方车辆实施了拖（吊）车作业的，即视为该车辆资产已移交给乙方，由乙方承担所有因后续车辆装卸、运输、拆解等过程中引发的安全法律和经济损失责任。</w:t>
      </w:r>
    </w:p>
    <w:p w14:paraId="67922D39">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第六条 违约责任</w:t>
      </w:r>
    </w:p>
    <w:p w14:paraId="66118860">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（一）如果任何一方未履行或不及时、不适当履行其于本合同项下的任何义务，均构成违约，应依法承担违约责任，赔偿另一方因此产生的合理费用和开支以及遭受的直接经济损失和间接经济损失等全部损失。</w:t>
      </w:r>
    </w:p>
    <w:p w14:paraId="5971A7E2">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甲方逾期未将车辆（不包括车辆行驶证、登记证书等证件）移交给乙方的，从逾期之日起，逾期未移交的车辆按照每天每辆车1000元的标准向乙方支付违约金，如因不可抗或乙方因素造成逾期交接车辆的，甲方不承担逾期交车责任。</w:t>
      </w:r>
    </w:p>
    <w:p w14:paraId="598D217C">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三）乙方接收到甲方发出的回收车辆通知后，该通知形式包括但不限于书面、电话或即时通讯软件通知，未能在规定期限内完成指定车辆回收时，即视为乙方逾期未完成车辆回收。从逾期之日起，逾期未回收的车辆按照每天每辆车1000元的标准扣除履约保证金；逾期超过30天的，甲方有权单方面解除合同，没收全部履约保证金，同时保留对乙方追究违约责任的权利。</w:t>
      </w:r>
    </w:p>
    <w:p w14:paraId="76CF9E56">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四）乙方逾期未办理完车辆报废和注销登记手续的，除不可抗因素外，从逾期之日起，每天每辆车扣除履约保证金200元，逾期超过30天的，甲方有权单方面解除合同，没收全部履约保证金，同时保留对乙方追究违约责任的权利。</w:t>
      </w:r>
    </w:p>
    <w:p w14:paraId="5629A27E">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五）乙方未在约定期限内向甲方全额支付收购款的，从逾期之日起，每天向甲方支付剩余未付收购款万分之五的滞纳金（从乙方履约保证金中扣除），直至乙方付清收购款为止。逾期超过30天的，甲方有权单方面解除合同，没收全部履约保证金，同时保留对乙方追究违约责任的权利。</w:t>
      </w:r>
    </w:p>
    <w:p w14:paraId="7E80982A">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（六）乙方有下列行为之一的，甲方有权单方面解除合同，没收全部履约保证金，并追究乙方的违约或违法责任：</w:t>
      </w:r>
    </w:p>
    <w:p w14:paraId="545384FA">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1.乙方在拖运甲方公交车辆离开甲方场站后，驾驶甲方公交车辆上路行驶的。</w:t>
      </w:r>
    </w:p>
    <w:p w14:paraId="03EDFB3A">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2.乙方回收甲方公交车辆后，非法改装变卖车辆的。</w:t>
      </w:r>
    </w:p>
    <w:p w14:paraId="78BF9B72">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3.乙方回收甲方公交车辆后，存在其他违反法律法规强制性规定的行为的。</w:t>
      </w:r>
    </w:p>
    <w:p w14:paraId="4D4006AD">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第七条 不可抗力</w:t>
      </w:r>
    </w:p>
    <w:p w14:paraId="51000446">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由于地震、台风、水灾、战争、政策以及其它不可预见和不能防止和避免的事件，致使一方不能履行合同时，受不可抗力影响的一方应立即将事件情况及时以书面的形式通知另一方，并应在事发之日起15日内提供有效证明。按事件对履行合同的影响程度，由双方协商决定是否解除合同，或在受不可抗力影响的范围内免于承担违约责任，或延期履行合同。</w:t>
      </w:r>
    </w:p>
    <w:p w14:paraId="12448AD0">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（二）任何一方因不可抗力导致未能按期履行本合同约定义务的，不视为违约。</w:t>
      </w:r>
    </w:p>
    <w:p w14:paraId="65AD3FF6">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第八条 争议解决</w:t>
      </w:r>
    </w:p>
    <w:p w14:paraId="63D4D01B">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凡因执行本合同所发生的或与本合同有关的一切争议、纠纷，双方应当通过友好协商方式解决。协商不成的，双方同意将争议提请甲方所在地有管辖权的人民法院依法裁决。</w:t>
      </w:r>
    </w:p>
    <w:p w14:paraId="04FE0AB0">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第九条 合同的变更与解除</w:t>
      </w:r>
    </w:p>
    <w:p w14:paraId="651172B4">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（一）本合同未尽事宜，需进行修改、补充或完善的，由双方另行协商后签署补充协议约定，补充协议与本合同具有同等法律效力。</w:t>
      </w:r>
    </w:p>
    <w:p w14:paraId="7DDC917D">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（二）存在下列情形之一的，一方有权提出解除本合同：</w:t>
      </w:r>
    </w:p>
    <w:p w14:paraId="472DA245">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1.一方违反本合同，造成订立本合同的基本目的已经无法实现。</w:t>
      </w:r>
    </w:p>
    <w:p w14:paraId="073015CB">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2.一方在本合同约定的期限内，没有履行合同的主要义务，在对方提出要求履行的合理期限内仍未履行的。</w:t>
      </w:r>
    </w:p>
    <w:p w14:paraId="5E269384">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第十条 合同期限</w:t>
      </w:r>
    </w:p>
    <w:p w14:paraId="3F7BFCAD">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本合同有效期，自签订之日起至甲乙双方履行完毕全部权利义务且无违约责任后合同即终止。</w:t>
      </w:r>
    </w:p>
    <w:p w14:paraId="45262A96">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第十一条 合同生效</w:t>
      </w:r>
    </w:p>
    <w:p w14:paraId="372AAD51">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（一）本合同经双方法定代表人或合法授权代表签字并加盖公司印章后生效。</w:t>
      </w:r>
    </w:p>
    <w:p w14:paraId="549A5D0C">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（二）本合同一式贰份，双方各执壹份，各份具有同等法律效力。</w:t>
      </w:r>
    </w:p>
    <w:p w14:paraId="29E90B1F">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7B8FC45D">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496D963A">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甲方：（签章）                                                   </w:t>
      </w:r>
    </w:p>
    <w:p w14:paraId="1A645F5C">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33D0CB33">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代表人：（签字）</w:t>
      </w:r>
    </w:p>
    <w:p w14:paraId="6BB66D13">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35F76CE7">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55E4E185">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乙方：（签章）</w:t>
      </w:r>
    </w:p>
    <w:p w14:paraId="0C5B7A87">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57BC4FE3">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代表人：（签字）</w:t>
      </w:r>
    </w:p>
    <w:p w14:paraId="2C0EB843">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0986F55E">
      <w:pPr>
        <w:widowControl w:val="0"/>
        <w:spacing w:line="560" w:lineRule="exact"/>
        <w:ind w:firstLine="0" w:firstLineChars="0"/>
        <w:rPr>
          <w:rFonts w:hint="eastAsia" w:asciiTheme="minorEastAsia" w:hAnsiTheme="minorEastAsia" w:eastAsiaTheme="minorEastAsia" w:cstheme="minorEastAsia"/>
          <w:szCs w:val="21"/>
          <w:lang w:val="en-US" w:eastAsia="zh-CN"/>
        </w:rPr>
      </w:pPr>
    </w:p>
    <w:p w14:paraId="29F86573">
      <w:pPr>
        <w:widowControl w:val="0"/>
        <w:spacing w:line="560" w:lineRule="exact"/>
        <w:ind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本合同由甲方与乙方于     年   月   日在深圳市龙岗区订立。</w:t>
      </w:r>
    </w:p>
    <w:p w14:paraId="0E33A354">
      <w:pPr>
        <w:widowControl w:val="0"/>
        <w:autoSpaceDE w:val="0"/>
        <w:autoSpaceDN w:val="0"/>
        <w:adjustRightInd w:val="0"/>
        <w:snapToGrid w:val="0"/>
        <w:ind w:firstLine="0" w:firstLineChars="0"/>
        <w:jc w:val="center"/>
        <w:outlineLvl w:val="0"/>
        <w:rPr>
          <w:rFonts w:ascii="宋体" w:hAnsi="宋体"/>
          <w:b/>
          <w:bCs/>
          <w:sz w:val="52"/>
          <w:szCs w:val="52"/>
        </w:rPr>
      </w:pPr>
    </w:p>
    <w:p w14:paraId="33BAEFF8">
      <w:pPr>
        <w:widowControl w:val="0"/>
        <w:autoSpaceDE w:val="0"/>
        <w:autoSpaceDN w:val="0"/>
        <w:adjustRightInd w:val="0"/>
        <w:snapToGrid w:val="0"/>
        <w:ind w:firstLine="0" w:firstLineChars="0"/>
        <w:jc w:val="center"/>
        <w:outlineLvl w:val="0"/>
        <w:rPr>
          <w:rFonts w:ascii="宋体" w:hAnsi="宋体"/>
          <w:b/>
          <w:bCs/>
          <w:sz w:val="52"/>
          <w:szCs w:val="52"/>
        </w:rPr>
      </w:pPr>
    </w:p>
    <w:p w14:paraId="3508DD61">
      <w:pPr>
        <w:widowControl w:val="0"/>
        <w:autoSpaceDE w:val="0"/>
        <w:autoSpaceDN w:val="0"/>
        <w:adjustRightInd w:val="0"/>
        <w:snapToGrid w:val="0"/>
        <w:ind w:firstLine="0" w:firstLineChars="0"/>
        <w:jc w:val="center"/>
        <w:outlineLvl w:val="0"/>
        <w:rPr>
          <w:rFonts w:ascii="宋体" w:hAnsi="宋体"/>
          <w:b/>
          <w:bCs/>
          <w:sz w:val="52"/>
          <w:szCs w:val="52"/>
        </w:rPr>
      </w:pPr>
    </w:p>
    <w:p w14:paraId="1333DFFF">
      <w:pPr>
        <w:widowControl w:val="0"/>
        <w:autoSpaceDE w:val="0"/>
        <w:autoSpaceDN w:val="0"/>
        <w:adjustRightInd w:val="0"/>
        <w:snapToGrid w:val="0"/>
        <w:ind w:firstLine="0" w:firstLineChars="0"/>
        <w:jc w:val="center"/>
        <w:outlineLvl w:val="0"/>
        <w:rPr>
          <w:rFonts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bookmarkStart w:id="29" w:name="_Toc5389"/>
      <w:r>
        <w:rPr>
          <w:rFonts w:hint="eastAsia" w:ascii="宋体" w:hAnsi="宋体"/>
          <w:b/>
          <w:bCs/>
          <w:sz w:val="52"/>
          <w:szCs w:val="52"/>
        </w:rPr>
        <w:t>第三章 项目需求</w:t>
      </w:r>
      <w:bookmarkEnd w:id="29"/>
    </w:p>
    <w:p w14:paraId="7D49998E">
      <w:pPr>
        <w:widowControl w:val="0"/>
        <w:autoSpaceDE w:val="0"/>
        <w:autoSpaceDN w:val="0"/>
        <w:adjustRightInd w:val="0"/>
        <w:snapToGrid w:val="0"/>
        <w:ind w:firstLine="0" w:firstLineChars="0"/>
        <w:jc w:val="center"/>
        <w:rPr>
          <w:rFonts w:ascii="宋体" w:hAnsi="宋体"/>
          <w:b/>
          <w:sz w:val="52"/>
          <w:szCs w:val="52"/>
        </w:rPr>
      </w:pPr>
      <w:bookmarkStart w:id="30"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0"/>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ind w:firstLine="0" w:firstLineChars="0"/>
        <w:jc w:val="left"/>
        <w:rPr>
          <w:rFonts w:asciiTheme="minorEastAsia" w:hAnsiTheme="minorEastAsia" w:eastAsiaTheme="minorEastAsia" w:cstheme="minorEastAsia"/>
          <w:b/>
          <w:szCs w:val="21"/>
        </w:rPr>
      </w:pPr>
      <w:bookmarkStart w:id="31" w:name="_Toc77858946"/>
      <w:r>
        <w:rPr>
          <w:rFonts w:hint="eastAsia" w:asciiTheme="minorEastAsia" w:hAnsiTheme="minorEastAsia" w:eastAsiaTheme="minorEastAsia" w:cstheme="minorEastAsia"/>
          <w:b/>
          <w:szCs w:val="21"/>
        </w:rPr>
        <w:t xml:space="preserve">一、 </w:t>
      </w:r>
      <w:bookmarkEnd w:id="31"/>
      <w:r>
        <w:rPr>
          <w:rFonts w:hint="eastAsia" w:asciiTheme="minorEastAsia" w:hAnsiTheme="minorEastAsia" w:eastAsiaTheme="minorEastAsia" w:cstheme="minorEastAsia"/>
          <w:b/>
          <w:szCs w:val="21"/>
        </w:rPr>
        <w:t xml:space="preserve">标的物数量及明细  </w:t>
      </w:r>
    </w:p>
    <w:p w14:paraId="01B1F325">
      <w:pPr>
        <w:widowControl w:val="0"/>
        <w:spacing w:after="120" w:line="560" w:lineRule="exact"/>
        <w:ind w:left="0" w:leftChars="0" w:firstLine="0" w:firstLineChars="0"/>
        <w:jc w:val="both"/>
        <w:rPr>
          <w:rFonts w:hint="eastAsia" w:ascii="宋体" w:hAnsi="宋体" w:eastAsia="宋体" w:cs="宋体"/>
          <w:kern w:val="0"/>
          <w:sz w:val="28"/>
          <w:szCs w:val="28"/>
          <w:lang w:val="en-US" w:eastAsia="zh-CN" w:bidi="ar-SA"/>
        </w:rPr>
      </w:pPr>
      <w:r>
        <w:rPr>
          <w:rFonts w:hint="eastAsia" w:ascii="宋体" w:hAnsi="宋体" w:cs="宋体"/>
          <w:kern w:val="0"/>
          <w:sz w:val="21"/>
          <w:szCs w:val="21"/>
          <w:lang w:val="en-US" w:eastAsia="zh-CN" w:bidi="ar-SA"/>
        </w:rPr>
        <w:t>203</w:t>
      </w:r>
      <w:r>
        <w:rPr>
          <w:rFonts w:hint="eastAsia" w:ascii="宋体" w:hAnsi="宋体" w:eastAsia="宋体" w:cs="宋体"/>
          <w:kern w:val="0"/>
          <w:sz w:val="21"/>
          <w:szCs w:val="21"/>
          <w:lang w:val="en-US" w:eastAsia="zh-CN" w:bidi="ar-SA"/>
        </w:rPr>
        <w:t>台纯电动公交车辆报废处置服务，具体标的明细如下</w:t>
      </w:r>
      <w:r>
        <w:rPr>
          <w:rFonts w:hint="eastAsia" w:ascii="宋体" w:hAnsi="宋体" w:eastAsia="宋体" w:cs="宋体"/>
          <w:kern w:val="0"/>
          <w:sz w:val="28"/>
          <w:szCs w:val="28"/>
          <w:lang w:val="en-US" w:eastAsia="zh-CN" w:bidi="ar-SA"/>
        </w:rPr>
        <w:t>：</w:t>
      </w:r>
    </w:p>
    <w:tbl>
      <w:tblPr>
        <w:tblStyle w:val="49"/>
        <w:tblW w:w="8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6"/>
        <w:gridCol w:w="1755"/>
        <w:gridCol w:w="759"/>
        <w:gridCol w:w="750"/>
        <w:gridCol w:w="1080"/>
        <w:gridCol w:w="915"/>
        <w:gridCol w:w="825"/>
        <w:gridCol w:w="1695"/>
      </w:tblGrid>
      <w:tr w14:paraId="7C75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trPr>
        <w:tc>
          <w:tcPr>
            <w:tcW w:w="5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FD506B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标的</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66F7">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标的物名称</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48C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车辆数</w:t>
            </w:r>
          </w:p>
          <w:p w14:paraId="7308599B">
            <w:pPr>
              <w:widowControl w:val="0"/>
              <w:spacing w:after="120" w:line="560" w:lineRule="exact"/>
              <w:ind w:left="0" w:leftChars="0" w:firstLine="0" w:firstLineChars="0"/>
              <w:jc w:val="center"/>
              <w:rPr>
                <w:rFonts w:hint="default" w:ascii="Calibri" w:hAnsi="Calibri" w:eastAsia="宋体" w:cs="Times New Roman"/>
                <w:kern w:val="0"/>
                <w:sz w:val="18"/>
                <w:szCs w:val="18"/>
                <w:lang w:val="en-US" w:eastAsia="zh-CN" w:bidi="ar-SA"/>
              </w:rPr>
            </w:pPr>
            <w:r>
              <w:rPr>
                <w:rFonts w:hint="eastAsia" w:ascii="宋体" w:hAnsi="宋体" w:eastAsia="宋体" w:cs="宋体"/>
                <w:i w:val="0"/>
                <w:color w:val="000000"/>
                <w:kern w:val="0"/>
                <w:sz w:val="18"/>
                <w:szCs w:val="18"/>
                <w:u w:val="none"/>
                <w:lang w:val="en-US" w:eastAsia="zh-CN" w:bidi="ar-SA"/>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CB1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车辆</w:t>
            </w:r>
          </w:p>
          <w:p w14:paraId="36778EC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2FD3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车辆型号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2A3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电池</w:t>
            </w:r>
          </w:p>
          <w:p w14:paraId="5AF3ABB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品牌</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920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电池</w:t>
            </w:r>
          </w:p>
          <w:p w14:paraId="6F4C6F7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类型</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D0A4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动力蓄电池组总电（能）量（kw·h/台）</w:t>
            </w:r>
          </w:p>
        </w:tc>
      </w:tr>
      <w:tr w14:paraId="4457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0945B">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33F21EF">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8ADE">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96062">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9D4E">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CK6100LGEV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47A4">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8973F">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磷酸</w:t>
            </w:r>
          </w:p>
          <w:p w14:paraId="686078CD">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5449">
            <w:pPr>
              <w:keepNext w:val="0"/>
              <w:keepLines w:val="0"/>
              <w:widowControl/>
              <w:suppressLineNumbers w:val="0"/>
              <w:spacing w:line="240" w:lineRule="auto"/>
              <w:ind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216</w:t>
            </w:r>
          </w:p>
        </w:tc>
      </w:tr>
      <w:tr w14:paraId="0183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B3D44">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FB67C05">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4F4C">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41A9">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4F43">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CK6100LGEV2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96F2">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B179">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磷酸</w:t>
            </w:r>
          </w:p>
          <w:p w14:paraId="5AE73F90">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E763">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291.6</w:t>
            </w:r>
          </w:p>
        </w:tc>
      </w:tr>
      <w:tr w14:paraId="7BD5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0C949">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FE7AF15">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比亚迪纯电动公交车辆报废处置（C9）</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1639">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2E93E">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6A32">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CK6120LLEV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0738">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5CDD2">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磷酸</w:t>
            </w:r>
          </w:p>
          <w:p w14:paraId="0D6533AF">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D3CB">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329</w:t>
            </w:r>
          </w:p>
        </w:tc>
      </w:tr>
      <w:tr w14:paraId="1BC5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C1A00">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5DDE7EA">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比亚迪纯电动公交车辆报废处置（C9）</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937D">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5DAF">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19CC">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CK6120LLEV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EB26">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4ADA">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磷酸</w:t>
            </w:r>
          </w:p>
          <w:p w14:paraId="674147CF">
            <w:pPr>
              <w:widowControl w:val="0"/>
              <w:spacing w:line="240" w:lineRule="auto"/>
              <w:ind w:firstLine="0" w:firstLine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3DE9">
            <w:pPr>
              <w:widowControl w:val="0"/>
              <w:spacing w:line="240" w:lineRule="auto"/>
              <w:ind w:firstLine="0" w:firstLine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329</w:t>
            </w:r>
          </w:p>
        </w:tc>
      </w:tr>
    </w:tbl>
    <w:p w14:paraId="3AB1E293">
      <w:pPr>
        <w:pStyle w:val="19"/>
        <w:ind w:firstLine="420"/>
      </w:pPr>
    </w:p>
    <w:p w14:paraId="5DEDA546">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4C383128">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（一）响应人须自行承担回收拆解采购人报废车辆以及办理注销登记等所产生的租赁费、服务费、拖车费、过路过桥费、油（电）费、人工费、称重费等一切附加费用。</w:t>
      </w:r>
    </w:p>
    <w:p w14:paraId="7EE2CA24">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（二）响应人与采购人签订合同之日起10个工作日内，响应人应严格按照合同所规定的价格条款，全额向采购人支付合同约定的总金额，即成交总金额的百分之百。</w:t>
      </w:r>
    </w:p>
    <w:p w14:paraId="4923A2DB">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（三）响应人向采购人全额支付合同约定款项后，方能接收采购人报废车辆。</w:t>
      </w:r>
    </w:p>
    <w:p w14:paraId="542A293F">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（四）响应人在签订合同前须向采购人指定银行账户缴纳成交金额10%的合同履约保证金，响应人合同义务履行完毕且无违约责任的无息按原路退还给响应人。</w:t>
      </w:r>
    </w:p>
    <w:p w14:paraId="3A335460">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三、质量与服务要求</w:t>
      </w:r>
    </w:p>
    <w:p w14:paraId="7764C04F">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（一）响应人接到采购人通知后，须在5日内完成回收采购人指定地点的车辆，并由响应人负责将车辆从采购人指定地点拖至报废车辆回收拆解场地及承担拖车费用。</w:t>
      </w:r>
    </w:p>
    <w:p w14:paraId="37E50A30">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（二）响应人从采购人指定地点拖离车辆后45日内须办理完车辆报废和注销登记手续，并向采购人交付《报废汽车回收证明》《机动车注销证明书》及相应的电子版本。</w:t>
      </w:r>
    </w:p>
    <w:p w14:paraId="5AE5435B">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（三）响应人委托本合同外第三方到采购人指定地点交接车辆的，响应人应出具书面委托或其他证明文件，第三方的一切行为将被采购人视为等同响应人自身行为，并且响应人对此负全部责任。</w:t>
      </w:r>
    </w:p>
    <w:p w14:paraId="3587E870">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四）响应人相关人员及专项作业车辆进入采购人指定地点回收车辆，应遵守采购人的安全管理制度，在场站内文明作业，不得影响采购人的正常生产秩序，若因响应人原因造成人员伤亡或财产损失的，由响应人承担一切法律及经济损失责任。</w:t>
      </w:r>
    </w:p>
    <w:p w14:paraId="42391F1D">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五）响应人回收采购人报废车辆须配合采购人做好移交登记手续，双方已完成交接登记或者响应人已对车辆实施拖（吊）车作业的，即视为该车辆资产已移交给响应人，由响应人承担所有因后续车辆装卸、运输、拆解等过程中引发的安全法律和经济损失责任。</w:t>
      </w:r>
    </w:p>
    <w:p w14:paraId="38CC25F3">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四、考核标准</w:t>
      </w:r>
    </w:p>
    <w:p w14:paraId="6C246FC8">
      <w:pPr>
        <w:pStyle w:val="19"/>
        <w:ind w:firstLine="420"/>
        <w:rPr>
          <w:rFonts w:hint="eastAsia"/>
        </w:rPr>
      </w:pPr>
      <w:r>
        <w:rPr>
          <w:rFonts w:hint="eastAsia"/>
        </w:rPr>
        <w:t>（一）响应人中标并收到成交通知书后30日内不与采购人签订合同的，采购人有权启用备选供应商。</w:t>
      </w:r>
    </w:p>
    <w:p w14:paraId="1B394DBC">
      <w:pPr>
        <w:pStyle w:val="19"/>
        <w:ind w:firstLine="420"/>
        <w:rPr>
          <w:rFonts w:hint="eastAsia"/>
        </w:rPr>
      </w:pPr>
      <w:r>
        <w:rPr>
          <w:rFonts w:hint="eastAsia"/>
        </w:rPr>
        <w:t>（二）响应人逾期未完成车辆回收的，从逾期之日起，逾期未回收的车辆按照每天每辆车1000元的标准扣除履约保证金；逾期超过30天的，采购人有权单方面解除合同，没收全部履约保证金，同时保留对响应人追究违约责任的权利。</w:t>
      </w:r>
    </w:p>
    <w:p w14:paraId="60BE5E24">
      <w:pPr>
        <w:pStyle w:val="19"/>
        <w:ind w:firstLine="420"/>
        <w:rPr>
          <w:rFonts w:hint="eastAsia"/>
        </w:rPr>
      </w:pPr>
      <w:r>
        <w:rPr>
          <w:rFonts w:hint="eastAsia"/>
        </w:rPr>
        <w:t>（三）响应人未在约定期限及约定支付比例内向采购人足额支付成交款项的，从逾期之日起，每天向采购人支付剩余未付成交款万分之五的滞纳金，直至响应人付清成交款为止。</w:t>
      </w:r>
    </w:p>
    <w:p w14:paraId="609E1DBD">
      <w:pPr>
        <w:pStyle w:val="19"/>
        <w:ind w:firstLine="420"/>
        <w:rPr>
          <w:rFonts w:hint="eastAsia"/>
        </w:rPr>
      </w:pPr>
      <w:r>
        <w:rPr>
          <w:rFonts w:hint="eastAsia"/>
        </w:rPr>
        <w:t>（四）响应人逾期未办理完车辆报废和注销登记手续的，除不可抗因素外，从逾期之日起，每天每辆车扣除履约保证金200元，逾期超过30天的，采购人有权单方面解除合同，没收全部履约保证金，同时保留对响应人追究违约责任的权利。</w:t>
      </w:r>
    </w:p>
    <w:p w14:paraId="41320F94">
      <w:pPr>
        <w:pStyle w:val="19"/>
        <w:ind w:firstLine="420"/>
        <w:rPr>
          <w:rFonts w:hint="eastAsia"/>
        </w:rPr>
      </w:pPr>
      <w:r>
        <w:rPr>
          <w:rFonts w:hint="eastAsia"/>
        </w:rPr>
        <w:t>（五）响应人有下列行为之一的，采购人有权单方面解除合同，没收全部履约保证金，并追究响应人的违约或违法责任：</w:t>
      </w:r>
    </w:p>
    <w:p w14:paraId="2E461C1F">
      <w:pPr>
        <w:pStyle w:val="19"/>
        <w:ind w:firstLine="420"/>
        <w:rPr>
          <w:rFonts w:hint="eastAsia"/>
        </w:rPr>
      </w:pPr>
      <w:r>
        <w:rPr>
          <w:rFonts w:hint="eastAsia"/>
        </w:rPr>
        <w:t>1.响应人在拖运采购人公交车辆离开采购人场站后，违法上路驾驶采购人公交车辆的。</w:t>
      </w:r>
    </w:p>
    <w:p w14:paraId="01950297">
      <w:pPr>
        <w:pStyle w:val="19"/>
        <w:ind w:firstLine="420"/>
        <w:rPr>
          <w:rFonts w:hint="eastAsia"/>
        </w:rPr>
      </w:pPr>
      <w:r>
        <w:rPr>
          <w:rFonts w:hint="eastAsia"/>
        </w:rPr>
        <w:t>2.响应人回收采购人公交车辆后，非法改装变卖车辆的。</w:t>
      </w:r>
    </w:p>
    <w:p w14:paraId="1C03D8CA">
      <w:pPr>
        <w:pStyle w:val="19"/>
        <w:ind w:firstLine="420"/>
        <w:rPr>
          <w:rFonts w:ascii="宋体" w:hAnsi="宋体"/>
          <w:b/>
          <w:sz w:val="28"/>
        </w:rPr>
      </w:pPr>
      <w:r>
        <w:rPr>
          <w:rFonts w:hint="eastAsia"/>
        </w:rPr>
        <w:t>3.响应人回收采购人公交车辆后存在其他违反法律法规强制性规定的行为的。</w:t>
      </w:r>
    </w:p>
    <w:p w14:paraId="78059989">
      <w:pPr>
        <w:widowControl w:val="0"/>
        <w:autoSpaceDE w:val="0"/>
        <w:autoSpaceDN w:val="0"/>
        <w:adjustRightInd w:val="0"/>
        <w:snapToGrid w:val="0"/>
        <w:ind w:firstLine="0" w:firstLineChars="0"/>
        <w:jc w:val="left"/>
        <w:outlineLvl w:val="0"/>
        <w:rPr>
          <w:rFonts w:ascii="宋体" w:hAnsi="宋体"/>
          <w:b/>
          <w:sz w:val="28"/>
        </w:rPr>
      </w:pPr>
    </w:p>
    <w:p w14:paraId="47D8A2E9">
      <w:pPr>
        <w:widowControl w:val="0"/>
        <w:autoSpaceDE w:val="0"/>
        <w:autoSpaceDN w:val="0"/>
        <w:adjustRightInd w:val="0"/>
        <w:snapToGrid w:val="0"/>
        <w:ind w:firstLine="0" w:firstLineChars="0"/>
        <w:jc w:val="left"/>
        <w:outlineLvl w:val="0"/>
        <w:rPr>
          <w:rFonts w:ascii="宋体" w:hAnsi="宋体"/>
          <w:b/>
          <w:sz w:val="28"/>
        </w:rPr>
      </w:pPr>
    </w:p>
    <w:p w14:paraId="7AFB94A4">
      <w:pPr>
        <w:widowControl w:val="0"/>
        <w:autoSpaceDE w:val="0"/>
        <w:autoSpaceDN w:val="0"/>
        <w:adjustRightInd w:val="0"/>
        <w:snapToGrid w:val="0"/>
        <w:ind w:firstLine="0" w:firstLineChars="0"/>
        <w:jc w:val="left"/>
        <w:outlineLvl w:val="0"/>
        <w:rPr>
          <w:rFonts w:ascii="宋体" w:hAnsi="宋体"/>
          <w:b/>
          <w:sz w:val="28"/>
        </w:rPr>
      </w:pPr>
    </w:p>
    <w:p w14:paraId="7AA18809">
      <w:pPr>
        <w:widowControl w:val="0"/>
        <w:autoSpaceDE w:val="0"/>
        <w:autoSpaceDN w:val="0"/>
        <w:adjustRightInd w:val="0"/>
        <w:snapToGrid w:val="0"/>
        <w:ind w:firstLine="0" w:firstLineChars="0"/>
        <w:jc w:val="left"/>
        <w:outlineLvl w:val="0"/>
        <w:rPr>
          <w:rFonts w:ascii="宋体" w:hAnsi="宋体"/>
          <w:b/>
          <w:sz w:val="28"/>
        </w:rPr>
      </w:pPr>
    </w:p>
    <w:bookmarkEnd w:id="27"/>
    <w:bookmarkEnd w:id="28"/>
    <w:p w14:paraId="2AF01307">
      <w:pPr>
        <w:widowControl w:val="0"/>
        <w:autoSpaceDE w:val="0"/>
        <w:autoSpaceDN w:val="0"/>
        <w:adjustRightInd w:val="0"/>
        <w:snapToGrid w:val="0"/>
        <w:ind w:firstLine="0" w:firstLineChars="0"/>
        <w:jc w:val="center"/>
        <w:outlineLvl w:val="0"/>
        <w:rPr>
          <w:rFonts w:ascii="宋体" w:hAnsi="宋体"/>
          <w:b/>
          <w:bCs/>
          <w:sz w:val="52"/>
          <w:szCs w:val="52"/>
        </w:rPr>
      </w:pPr>
      <w:bookmarkStart w:id="32" w:name="_Toc144974855"/>
      <w:bookmarkStart w:id="33" w:name="_Toc152042575"/>
      <w:bookmarkStart w:id="34" w:name="_Toc152045786"/>
    </w:p>
    <w:p w14:paraId="0055D7CD">
      <w:pPr>
        <w:widowControl w:val="0"/>
        <w:autoSpaceDE w:val="0"/>
        <w:autoSpaceDN w:val="0"/>
        <w:adjustRightInd w:val="0"/>
        <w:snapToGrid w:val="0"/>
        <w:ind w:firstLine="0" w:firstLineChars="0"/>
        <w:jc w:val="center"/>
        <w:outlineLvl w:val="0"/>
        <w:rPr>
          <w:rFonts w:ascii="宋体" w:hAnsi="宋体"/>
          <w:b/>
          <w:bCs/>
          <w:sz w:val="52"/>
          <w:szCs w:val="52"/>
        </w:rPr>
      </w:pPr>
    </w:p>
    <w:p w14:paraId="3D119579">
      <w:pPr>
        <w:widowControl w:val="0"/>
        <w:autoSpaceDE w:val="0"/>
        <w:autoSpaceDN w:val="0"/>
        <w:adjustRightInd w:val="0"/>
        <w:snapToGrid w:val="0"/>
        <w:ind w:firstLine="0" w:firstLineChars="0"/>
        <w:jc w:val="center"/>
        <w:outlineLvl w:val="0"/>
        <w:rPr>
          <w:rFonts w:ascii="宋体" w:hAnsi="宋体"/>
          <w:b/>
          <w:bCs/>
          <w:sz w:val="52"/>
          <w:szCs w:val="52"/>
        </w:rPr>
      </w:pPr>
    </w:p>
    <w:p w14:paraId="19B48CC7">
      <w:pPr>
        <w:widowControl w:val="0"/>
        <w:autoSpaceDE w:val="0"/>
        <w:autoSpaceDN w:val="0"/>
        <w:adjustRightInd w:val="0"/>
        <w:snapToGrid w:val="0"/>
        <w:ind w:firstLine="0" w:firstLineChars="0"/>
        <w:jc w:val="center"/>
        <w:outlineLvl w:val="0"/>
        <w:rPr>
          <w:rFonts w:ascii="宋体" w:hAnsi="宋体"/>
          <w:b/>
          <w:bCs/>
          <w:sz w:val="52"/>
          <w:szCs w:val="52"/>
        </w:rPr>
      </w:pPr>
    </w:p>
    <w:p w14:paraId="0940BC03">
      <w:pPr>
        <w:widowControl w:val="0"/>
        <w:autoSpaceDE w:val="0"/>
        <w:autoSpaceDN w:val="0"/>
        <w:adjustRightInd w:val="0"/>
        <w:snapToGrid w:val="0"/>
        <w:ind w:firstLine="0" w:firstLineChars="0"/>
        <w:jc w:val="center"/>
        <w:outlineLvl w:val="0"/>
        <w:rPr>
          <w:rFonts w:ascii="宋体" w:hAnsi="宋体"/>
          <w:b/>
          <w:bCs/>
          <w:sz w:val="52"/>
          <w:szCs w:val="52"/>
        </w:rPr>
      </w:pPr>
    </w:p>
    <w:p w14:paraId="3E2D47FA">
      <w:pPr>
        <w:widowControl w:val="0"/>
        <w:autoSpaceDE w:val="0"/>
        <w:autoSpaceDN w:val="0"/>
        <w:adjustRightInd w:val="0"/>
        <w:snapToGrid w:val="0"/>
        <w:ind w:firstLine="0" w:firstLineChars="0"/>
        <w:jc w:val="center"/>
        <w:outlineLvl w:val="0"/>
        <w:rPr>
          <w:rFonts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bookmarkStart w:id="35" w:name="_Toc22724"/>
      <w:r>
        <w:rPr>
          <w:rFonts w:hint="eastAsia" w:ascii="宋体" w:hAnsi="宋体"/>
          <w:b/>
          <w:bCs/>
          <w:sz w:val="52"/>
          <w:szCs w:val="52"/>
        </w:rPr>
        <w:t>第四章 报名文件格式</w:t>
      </w:r>
      <w:bookmarkEnd w:id="32"/>
      <w:bookmarkEnd w:id="33"/>
      <w:bookmarkEnd w:id="34"/>
      <w:bookmarkEnd w:id="35"/>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6" w:name="_Toc277844084"/>
      <w:bookmarkStart w:id="37" w:name="_Toc277844085"/>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blPrEx>
          <w:tblCellMar>
            <w:top w:w="0" w:type="dxa"/>
            <w:left w:w="108" w:type="dxa"/>
            <w:bottom w:w="0" w:type="dxa"/>
            <w:right w:w="108" w:type="dxa"/>
          </w:tblCellMar>
        </w:tblPrEx>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lang w:eastAsia="zh-CN"/>
              </w:rPr>
              <w:t>东部公交203台纯电动公交车辆报废处置服务采购项目（</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r>
              <w:rPr>
                <w:rFonts w:ascii="宋体" w:hAnsi="宋体"/>
                <w:b/>
                <w:sz w:val="32"/>
                <w:szCs w:val="32"/>
                <w:u w:val="single"/>
              </w:rPr>
              <w:t xml:space="preserve">   </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ascii="宋体" w:hAnsi="宋体"/>
                <w:b/>
                <w:sz w:val="32"/>
                <w:szCs w:val="32"/>
                <w:u w:val="single"/>
              </w:rPr>
            </w:pP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38" w:name="_Toc390444140"/>
      <w:bookmarkStart w:id="39" w:name="_Toc280341017"/>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0" w:name="_Toc278892899"/>
      <w:bookmarkStart w:id="41" w:name="_Toc280341016"/>
      <w:bookmarkStart w:id="42" w:name="_Toc390444141"/>
      <w:bookmarkStart w:id="43"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0"/>
      <w:bookmarkEnd w:id="41"/>
      <w:bookmarkEnd w:id="42"/>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43"/>
    <w:p w14:paraId="7AB6D6FE">
      <w:pPr>
        <w:widowControl w:val="0"/>
        <w:autoSpaceDE w:val="0"/>
        <w:autoSpaceDN w:val="0"/>
        <w:adjustRightInd w:val="0"/>
        <w:snapToGrid w:val="0"/>
        <w:ind w:firstLine="0" w:firstLineChars="0"/>
        <w:jc w:val="center"/>
        <w:rPr>
          <w:rFonts w:ascii="宋体" w:hAnsi="宋体"/>
          <w:b/>
          <w:sz w:val="32"/>
          <w:szCs w:val="32"/>
        </w:rPr>
      </w:pPr>
      <w:bookmarkStart w:id="44"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44"/>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38"/>
      <w:bookmarkEnd w:id="39"/>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东部公交203台纯电动公交车辆报废处置服务采购项目</w:t>
      </w:r>
      <w:r>
        <w:rPr>
          <w:rFonts w:hint="eastAsia" w:ascii="宋体" w:hAnsi="宋体"/>
        </w:rPr>
        <w:t>（项目编号：</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36"/>
    <w:bookmarkEnd w:id="37"/>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19"/>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u w:val="single"/>
          <w:lang w:eastAsia="zh-CN"/>
        </w:rPr>
        <w:t>东部公交203台纯电动公交车辆报废处置服务采购项目</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19"/>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FCD29D-315E-4EE6-BF6F-2184D23C241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42ED0818-E402-457D-BAF3-3CE312A746C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12D33C13-5192-4AB8-9CC4-EE8A6DF4C18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1D7391E9-ED13-4E2A-BF78-F0F693FC1775}"/>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embedRegular r:id="rId5" w:fontKey="{B3E55F97-206E-453C-974E-FC7B518182AB}"/>
  </w:font>
  <w:font w:name="Palatino">
    <w:altName w:val="Book Antiqua"/>
    <w:panose1 w:val="00000000000000000000"/>
    <w:charset w:val="00"/>
    <w:family w:val="moder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6" w:fontKey="{6A1FE211-4396-4845-902A-D1F8F82C3F4A}"/>
  </w:font>
  <w:font w:name="MS Mincho">
    <w:altName w:val="Yu Gothic UI"/>
    <w:panose1 w:val="02020609040205080304"/>
    <w:charset w:val="80"/>
    <w:family w:val="modern"/>
    <w:pitch w:val="default"/>
    <w:sig w:usb0="00000000" w:usb1="00000000" w:usb2="08000012" w:usb3="00000000" w:csb0="0002009F" w:csb1="00000000"/>
    <w:embedRegular r:id="rId7" w:fontKey="{3EDFF9D9-5DB4-45BF-B7DC-AA66386032F5}"/>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8" w:fontKey="{82442F21-CC79-49D6-A46A-1CC27FB4171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2611"/>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6A8"/>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B91D0C"/>
    <w:rsid w:val="01CD5B3A"/>
    <w:rsid w:val="02954528"/>
    <w:rsid w:val="02B42E7F"/>
    <w:rsid w:val="033329F4"/>
    <w:rsid w:val="05342DCA"/>
    <w:rsid w:val="063040F2"/>
    <w:rsid w:val="06C12E7B"/>
    <w:rsid w:val="083B347B"/>
    <w:rsid w:val="084C5688"/>
    <w:rsid w:val="084E1866"/>
    <w:rsid w:val="08534C69"/>
    <w:rsid w:val="089374F4"/>
    <w:rsid w:val="09EB2136"/>
    <w:rsid w:val="0A1B3564"/>
    <w:rsid w:val="0A986FEA"/>
    <w:rsid w:val="0ADA4045"/>
    <w:rsid w:val="0B9B1707"/>
    <w:rsid w:val="0D211151"/>
    <w:rsid w:val="0DA23A73"/>
    <w:rsid w:val="0DB6395A"/>
    <w:rsid w:val="0DD623AE"/>
    <w:rsid w:val="0DF11C32"/>
    <w:rsid w:val="0E61310A"/>
    <w:rsid w:val="11AF0294"/>
    <w:rsid w:val="125D0629"/>
    <w:rsid w:val="12E80694"/>
    <w:rsid w:val="132541A5"/>
    <w:rsid w:val="1409446E"/>
    <w:rsid w:val="14E60C13"/>
    <w:rsid w:val="151D3C77"/>
    <w:rsid w:val="154B1B50"/>
    <w:rsid w:val="157955E3"/>
    <w:rsid w:val="15802DCC"/>
    <w:rsid w:val="15896A68"/>
    <w:rsid w:val="15F94494"/>
    <w:rsid w:val="15FA6A93"/>
    <w:rsid w:val="16585B40"/>
    <w:rsid w:val="16BA7CDA"/>
    <w:rsid w:val="16F83A74"/>
    <w:rsid w:val="17C0003C"/>
    <w:rsid w:val="18585984"/>
    <w:rsid w:val="18C63235"/>
    <w:rsid w:val="199A59BC"/>
    <w:rsid w:val="1A1B310D"/>
    <w:rsid w:val="1A304E0A"/>
    <w:rsid w:val="1A3F2583"/>
    <w:rsid w:val="1AD60E4A"/>
    <w:rsid w:val="1B9F6E12"/>
    <w:rsid w:val="1C785082"/>
    <w:rsid w:val="1DED69F8"/>
    <w:rsid w:val="1EBF3830"/>
    <w:rsid w:val="1EDF2427"/>
    <w:rsid w:val="204053B7"/>
    <w:rsid w:val="207C1CAA"/>
    <w:rsid w:val="20DB75CF"/>
    <w:rsid w:val="21890D0F"/>
    <w:rsid w:val="22373BB6"/>
    <w:rsid w:val="243E497C"/>
    <w:rsid w:val="249661B1"/>
    <w:rsid w:val="24AC174C"/>
    <w:rsid w:val="2509221B"/>
    <w:rsid w:val="25687E50"/>
    <w:rsid w:val="25CE35D5"/>
    <w:rsid w:val="265E2A29"/>
    <w:rsid w:val="28692EE5"/>
    <w:rsid w:val="28754330"/>
    <w:rsid w:val="28ED6A0B"/>
    <w:rsid w:val="29795D3D"/>
    <w:rsid w:val="297B4032"/>
    <w:rsid w:val="299D58EC"/>
    <w:rsid w:val="2A41655D"/>
    <w:rsid w:val="2A675B5E"/>
    <w:rsid w:val="2BCC1C69"/>
    <w:rsid w:val="2BE92273"/>
    <w:rsid w:val="2C842D93"/>
    <w:rsid w:val="2F590507"/>
    <w:rsid w:val="2F7D1270"/>
    <w:rsid w:val="2FA635E2"/>
    <w:rsid w:val="322F5A53"/>
    <w:rsid w:val="32A10AFD"/>
    <w:rsid w:val="33386D9E"/>
    <w:rsid w:val="34CE0236"/>
    <w:rsid w:val="34DF6185"/>
    <w:rsid w:val="353C447E"/>
    <w:rsid w:val="35D001EC"/>
    <w:rsid w:val="36E9368B"/>
    <w:rsid w:val="36F212F6"/>
    <w:rsid w:val="374F2B62"/>
    <w:rsid w:val="37E76AA3"/>
    <w:rsid w:val="39235FCF"/>
    <w:rsid w:val="394A2C6F"/>
    <w:rsid w:val="39D50A08"/>
    <w:rsid w:val="3A1E65D5"/>
    <w:rsid w:val="3A4E57F4"/>
    <w:rsid w:val="3A554F8A"/>
    <w:rsid w:val="3B765EA1"/>
    <w:rsid w:val="3BC772B6"/>
    <w:rsid w:val="3D302827"/>
    <w:rsid w:val="3D393726"/>
    <w:rsid w:val="3ED30323"/>
    <w:rsid w:val="3F3C0C4C"/>
    <w:rsid w:val="3FA67A04"/>
    <w:rsid w:val="3FB05F21"/>
    <w:rsid w:val="3FC609E4"/>
    <w:rsid w:val="407E56F3"/>
    <w:rsid w:val="409978C4"/>
    <w:rsid w:val="40D83A48"/>
    <w:rsid w:val="41F8595E"/>
    <w:rsid w:val="44421112"/>
    <w:rsid w:val="44BE2B5D"/>
    <w:rsid w:val="45AA1102"/>
    <w:rsid w:val="45F84521"/>
    <w:rsid w:val="461E3DBF"/>
    <w:rsid w:val="46B97AE5"/>
    <w:rsid w:val="47890E8D"/>
    <w:rsid w:val="47CA0235"/>
    <w:rsid w:val="48117653"/>
    <w:rsid w:val="490074BB"/>
    <w:rsid w:val="492B15C9"/>
    <w:rsid w:val="49437E06"/>
    <w:rsid w:val="49534F6A"/>
    <w:rsid w:val="498D1081"/>
    <w:rsid w:val="49EC3FFA"/>
    <w:rsid w:val="4A2A68D0"/>
    <w:rsid w:val="4A7B537E"/>
    <w:rsid w:val="4AFB201B"/>
    <w:rsid w:val="4B741B04"/>
    <w:rsid w:val="4C1560B3"/>
    <w:rsid w:val="4C48746A"/>
    <w:rsid w:val="4D2031C8"/>
    <w:rsid w:val="4DEC77E0"/>
    <w:rsid w:val="4E230ECA"/>
    <w:rsid w:val="4E833473"/>
    <w:rsid w:val="4F65219F"/>
    <w:rsid w:val="4F784B91"/>
    <w:rsid w:val="4FD62ED6"/>
    <w:rsid w:val="50722D7F"/>
    <w:rsid w:val="50A96FF5"/>
    <w:rsid w:val="51165E00"/>
    <w:rsid w:val="51183EB0"/>
    <w:rsid w:val="51D57C3C"/>
    <w:rsid w:val="52613607"/>
    <w:rsid w:val="528D5CD9"/>
    <w:rsid w:val="53130849"/>
    <w:rsid w:val="531D3476"/>
    <w:rsid w:val="532838FB"/>
    <w:rsid w:val="538E3623"/>
    <w:rsid w:val="55851DF3"/>
    <w:rsid w:val="568B6949"/>
    <w:rsid w:val="569274B0"/>
    <w:rsid w:val="58825CDD"/>
    <w:rsid w:val="58A579B4"/>
    <w:rsid w:val="592F4560"/>
    <w:rsid w:val="599D779C"/>
    <w:rsid w:val="59E674C0"/>
    <w:rsid w:val="5A151902"/>
    <w:rsid w:val="5A9658BC"/>
    <w:rsid w:val="5B435A44"/>
    <w:rsid w:val="5C9C18B0"/>
    <w:rsid w:val="5E8A0D41"/>
    <w:rsid w:val="5F994755"/>
    <w:rsid w:val="5FBD0003"/>
    <w:rsid w:val="602D0A71"/>
    <w:rsid w:val="60AD570E"/>
    <w:rsid w:val="60DC5176"/>
    <w:rsid w:val="618522C0"/>
    <w:rsid w:val="62CE653B"/>
    <w:rsid w:val="62F82823"/>
    <w:rsid w:val="62F82F07"/>
    <w:rsid w:val="63A15A4A"/>
    <w:rsid w:val="648B3FB8"/>
    <w:rsid w:val="649A3992"/>
    <w:rsid w:val="649C61C5"/>
    <w:rsid w:val="658857B6"/>
    <w:rsid w:val="6598698C"/>
    <w:rsid w:val="65B01F28"/>
    <w:rsid w:val="66185388"/>
    <w:rsid w:val="661F70AE"/>
    <w:rsid w:val="664535CE"/>
    <w:rsid w:val="66A75A72"/>
    <w:rsid w:val="66E16111"/>
    <w:rsid w:val="67277FC8"/>
    <w:rsid w:val="68C9511D"/>
    <w:rsid w:val="69070598"/>
    <w:rsid w:val="69224EEB"/>
    <w:rsid w:val="6A890F99"/>
    <w:rsid w:val="6BD01D72"/>
    <w:rsid w:val="6CF45FB1"/>
    <w:rsid w:val="6E105A03"/>
    <w:rsid w:val="6E873A42"/>
    <w:rsid w:val="6EED1A53"/>
    <w:rsid w:val="6F062BB9"/>
    <w:rsid w:val="6F7E452A"/>
    <w:rsid w:val="704052CB"/>
    <w:rsid w:val="70760A7F"/>
    <w:rsid w:val="713D49FD"/>
    <w:rsid w:val="72C214EC"/>
    <w:rsid w:val="73334198"/>
    <w:rsid w:val="734207A0"/>
    <w:rsid w:val="73AD64F5"/>
    <w:rsid w:val="740F42BD"/>
    <w:rsid w:val="741D3046"/>
    <w:rsid w:val="744C59E1"/>
    <w:rsid w:val="74786307"/>
    <w:rsid w:val="75995B66"/>
    <w:rsid w:val="76C25C04"/>
    <w:rsid w:val="77CE4490"/>
    <w:rsid w:val="79714EE9"/>
    <w:rsid w:val="79CA0B5C"/>
    <w:rsid w:val="79FC440F"/>
    <w:rsid w:val="7A0D30A2"/>
    <w:rsid w:val="7AC06E37"/>
    <w:rsid w:val="7BDA78A7"/>
    <w:rsid w:val="7C591322"/>
    <w:rsid w:val="7D126BCC"/>
    <w:rsid w:val="7D387A1A"/>
    <w:rsid w:val="7E6F5960"/>
    <w:rsid w:val="7EDC56AF"/>
    <w:rsid w:val="7F172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74"/>
    <w:qFormat/>
    <w:uiPriority w:val="0"/>
    <w:pPr>
      <w:keepNext/>
      <w:keepLines/>
      <w:spacing w:before="120" w:after="120"/>
      <w:outlineLvl w:val="2"/>
    </w:pPr>
    <w:rPr>
      <w:b/>
      <w:bCs/>
      <w:sz w:val="24"/>
      <w:szCs w:val="32"/>
    </w:rPr>
  </w:style>
  <w:style w:type="paragraph" w:styleId="5">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6"/>
    <w:qFormat/>
    <w:uiPriority w:val="99"/>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link w:val="316"/>
    <w:autoRedefine/>
    <w:qFormat/>
    <w:uiPriority w:val="99"/>
    <w:rPr>
      <w:rFonts w:ascii="宋体"/>
      <w:sz w:val="18"/>
      <w:szCs w:val="18"/>
    </w:rPr>
  </w:style>
  <w:style w:type="paragraph" w:styleId="16">
    <w:name w:val="toa heading"/>
    <w:basedOn w:val="1"/>
    <w:next w:val="1"/>
    <w:autoRedefine/>
    <w:qFormat/>
    <w:uiPriority w:val="0"/>
    <w:pPr>
      <w:spacing w:before="120"/>
    </w:pPr>
    <w:rPr>
      <w:rFonts w:ascii="Arial" w:hAnsi="Arial"/>
      <w:b/>
      <w:bCs/>
    </w:rPr>
  </w:style>
  <w:style w:type="paragraph" w:styleId="17">
    <w:name w:val="annotation text"/>
    <w:basedOn w:val="1"/>
    <w:link w:val="324"/>
    <w:qFormat/>
    <w:uiPriority w:val="0"/>
    <w:pPr>
      <w:jc w:val="left"/>
    </w:pPr>
  </w:style>
  <w:style w:type="paragraph" w:styleId="18">
    <w:name w:val="Body Text 3"/>
    <w:basedOn w:val="1"/>
    <w:link w:val="293"/>
    <w:qFormat/>
    <w:uiPriority w:val="0"/>
    <w:rPr>
      <w:rFonts w:ascii="宋体"/>
      <w:sz w:val="24"/>
      <w:szCs w:val="20"/>
    </w:rPr>
  </w:style>
  <w:style w:type="paragraph" w:styleId="19">
    <w:name w:val="Body Text"/>
    <w:basedOn w:val="1"/>
    <w:link w:val="329"/>
    <w:autoRedefine/>
    <w:qFormat/>
    <w:uiPriority w:val="1"/>
    <w:pPr>
      <w:spacing w:after="120"/>
    </w:pPr>
  </w:style>
  <w:style w:type="paragraph" w:styleId="20">
    <w:name w:val="Body Text Indent"/>
    <w:basedOn w:val="1"/>
    <w:link w:val="318"/>
    <w:qFormat/>
    <w:uiPriority w:val="99"/>
    <w:pPr>
      <w:spacing w:after="120"/>
      <w:ind w:left="420" w:leftChars="200"/>
    </w:pPr>
  </w:style>
  <w:style w:type="paragraph" w:styleId="21">
    <w:name w:val="List 2"/>
    <w:basedOn w:val="1"/>
    <w:autoRedefine/>
    <w:qFormat/>
    <w:uiPriority w:val="0"/>
    <w:pPr>
      <w:ind w:left="100" w:leftChars="200" w:hanging="200" w:hangingChars="200"/>
    </w:pPr>
  </w:style>
  <w:style w:type="paragraph" w:styleId="22">
    <w:name w:val="List Bullet 2"/>
    <w:basedOn w:val="1"/>
    <w:autoRedefine/>
    <w:qFormat/>
    <w:uiPriority w:val="0"/>
    <w:pPr>
      <w:tabs>
        <w:tab w:val="left" w:pos="780"/>
      </w:tabs>
      <w:ind w:left="840" w:hanging="420"/>
    </w:pPr>
  </w:style>
  <w:style w:type="paragraph" w:styleId="23">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autoRedefine/>
    <w:qFormat/>
    <w:uiPriority w:val="39"/>
    <w:pPr>
      <w:ind w:left="940"/>
      <w:jc w:val="left"/>
    </w:pPr>
    <w:rPr>
      <w:rFonts w:ascii="宋体" w:hAnsi="宋体"/>
      <w:kern w:val="0"/>
      <w:szCs w:val="21"/>
      <w:lang w:eastAsia="en-US"/>
    </w:rPr>
  </w:style>
  <w:style w:type="paragraph" w:styleId="25">
    <w:name w:val="Plain Text"/>
    <w:basedOn w:val="1"/>
    <w:link w:val="346"/>
    <w:autoRedefine/>
    <w:qFormat/>
    <w:uiPriority w:val="0"/>
    <w:rPr>
      <w:rFonts w:ascii="宋体" w:hAnsi="Courier New"/>
      <w:szCs w:val="21"/>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3"/>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19"/>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19"/>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4"/>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5"/>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3"/>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0"/>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2"/>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7"/>
    <w:next w:val="17"/>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2"/>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4"/>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5"/>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3"/>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5"/>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4"/>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5"/>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8"/>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2"/>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0"/>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7"/>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5"/>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0"/>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8"/>
    <w:qFormat/>
    <w:uiPriority w:val="0"/>
    <w:rPr>
      <w:b/>
      <w:bCs/>
      <w:sz w:val="24"/>
      <w:szCs w:val="24"/>
    </w:rPr>
  </w:style>
  <w:style w:type="character" w:customStyle="1" w:styleId="324">
    <w:name w:val="批注文字 字符"/>
    <w:link w:val="17"/>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19"/>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9"/>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5"/>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5"/>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3"/>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6"/>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4"/>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3"/>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5"/>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5142</Words>
  <Characters>5685</Characters>
  <Lines>132</Lines>
  <Paragraphs>37</Paragraphs>
  <TotalTime>6</TotalTime>
  <ScaleCrop>false</ScaleCrop>
  <LinksUpToDate>false</LinksUpToDate>
  <CharactersWithSpaces>5937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xy</cp:lastModifiedBy>
  <cp:lastPrinted>2024-08-26T01:16:00Z</cp:lastPrinted>
  <dcterms:modified xsi:type="dcterms:W3CDTF">2025-12-09T01:52:02Z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C050400A72D341D288658D3234AB71F0_13</vt:lpwstr>
  </property>
  <property fmtid="{D5CDD505-2E9C-101B-9397-08002B2CF9AE}" pid="4" name="KSOTemplateDocerSaveRecord">
    <vt:lpwstr>eyJoZGlkIjoiYjhmZjllZGFlY2M4MWFhMjJkOWU0ZjkwNjQ0N2NmYzYiLCJ1c2VySWQiOiIyNDMzOTQ3NDAifQ==</vt:lpwstr>
  </property>
</Properties>
</file>