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3A91EB">
      <w:pPr>
        <w:keepNext w:val="0"/>
        <w:keepLines w:val="0"/>
        <w:widowControl w:val="0"/>
        <w:suppressLineNumbers w:val="0"/>
        <w:spacing w:before="0" w:beforeAutospacing="0" w:after="0" w:afterAutospacing="0"/>
        <w:ind w:left="0" w:right="0" w:firstLine="3654" w:firstLineChars="1300"/>
        <w:jc w:val="both"/>
        <w:rPr>
          <w:rFonts w:hint="eastAsia" w:ascii="宋体" w:hAnsi="宋体" w:eastAsia="宋体" w:cs="宋体"/>
          <w:color w:val="FF0000"/>
          <w:sz w:val="30"/>
          <w:szCs w:val="30"/>
          <w:lang w:val="en-US"/>
        </w:rPr>
      </w:pPr>
      <w:r>
        <w:rPr>
          <w:rFonts w:hint="eastAsia" w:ascii="宋体" w:hAnsi="宋体" w:eastAsia="黑体" w:cs="黑体"/>
          <w:b/>
          <w:bCs/>
          <w:color w:val="FF0000"/>
          <w:kern w:val="44"/>
          <w:sz w:val="28"/>
          <w:szCs w:val="44"/>
          <w:lang w:val="en-US" w:eastAsia="zh-CN" w:bidi="ar"/>
        </w:rPr>
        <w:t>特别警示条款</w:t>
      </w:r>
    </w:p>
    <w:p w14:paraId="34B2AC34">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240" w:afterLines="100" w:afterAutospacing="0" w:line="400" w:lineRule="exact"/>
        <w:ind w:left="0" w:right="0" w:firstLine="422" w:firstLineChars="200"/>
        <w:jc w:val="both"/>
        <w:rPr>
          <w:rFonts w:hint="eastAsia" w:ascii="宋体" w:hAnsi="宋体" w:eastAsia="宋体" w:cs="宋体"/>
          <w:b/>
          <w:bCs/>
          <w:color w:val="FF0000"/>
          <w:sz w:val="21"/>
          <w:szCs w:val="21"/>
          <w:highlight w:val="yellow"/>
          <w:lang w:val="en-US"/>
        </w:rPr>
      </w:pPr>
      <w:r>
        <w:rPr>
          <w:rFonts w:hint="eastAsia" w:ascii="宋体" w:hAnsi="宋体" w:eastAsia="宋体" w:cs="宋体"/>
          <w:b/>
          <w:bCs/>
          <w:color w:val="FF0000"/>
          <w:kern w:val="2"/>
          <w:sz w:val="21"/>
          <w:szCs w:val="21"/>
          <w:highlight w:val="yellow"/>
          <w:lang w:val="en-US" w:eastAsia="zh-CN" w:bidi="ar"/>
        </w:rPr>
        <w:t>本项目为自行采购项目，参照《深圳经济特区政府采购条例》、《深圳经济特区政府采购条例实施细则》及政府采购其他法律法规，按照采购人内控制度，通过公开招标方式确定中标供应商。参与本项目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44"/>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11"/>
        <w:gridCol w:w="8223"/>
      </w:tblGrid>
      <w:tr w14:paraId="6D7C0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19FA08E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序号</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54ABCA0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b/>
                <w:bCs/>
                <w:color w:val="FF0000"/>
                <w:kern w:val="2"/>
                <w:sz w:val="21"/>
                <w:szCs w:val="21"/>
                <w:lang w:val="en-US" w:eastAsia="zh-CN" w:bidi="ar"/>
              </w:rPr>
              <w:t>供应商参与投标禁止情形</w:t>
            </w:r>
          </w:p>
        </w:tc>
      </w:tr>
      <w:tr w14:paraId="44895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179CA84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1</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2286564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与其他投标供应商的法定代表人、主要经营负责人、投标授权代表人、项目负责人、主要技术人员为</w:t>
            </w:r>
            <w:r>
              <w:rPr>
                <w:rFonts w:hint="eastAsia" w:ascii="宋体" w:hAnsi="宋体" w:eastAsia="宋体" w:cs="宋体"/>
                <w:b/>
                <w:bCs/>
                <w:color w:val="FF0000"/>
                <w:kern w:val="2"/>
                <w:sz w:val="21"/>
                <w:szCs w:val="21"/>
                <w:lang w:val="en-US" w:eastAsia="zh-CN" w:bidi="ar"/>
              </w:rPr>
              <w:t>同一人、属同一单位或者在同一单位缴纳社会保险</w:t>
            </w:r>
            <w:r>
              <w:rPr>
                <w:rFonts w:hint="eastAsia" w:ascii="宋体" w:hAnsi="宋体" w:eastAsia="宋体" w:cs="宋体"/>
                <w:color w:val="FF0000"/>
                <w:kern w:val="2"/>
                <w:sz w:val="21"/>
                <w:szCs w:val="21"/>
                <w:lang w:val="en-US" w:eastAsia="zh-CN" w:bidi="ar"/>
              </w:rPr>
              <w:t>。</w:t>
            </w:r>
          </w:p>
        </w:tc>
      </w:tr>
      <w:tr w14:paraId="695B7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DA4471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2</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283D155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参与本项目采购活动时，与其他投标供应商存在单位负责人为</w:t>
            </w:r>
            <w:r>
              <w:rPr>
                <w:rFonts w:hint="eastAsia" w:ascii="宋体" w:hAnsi="宋体" w:eastAsia="宋体" w:cs="宋体"/>
                <w:b/>
                <w:bCs/>
                <w:color w:val="FF0000"/>
                <w:kern w:val="2"/>
                <w:sz w:val="21"/>
                <w:szCs w:val="21"/>
                <w:lang w:val="en-US" w:eastAsia="zh-CN" w:bidi="ar"/>
              </w:rPr>
              <w:t>同一人或直接控股、管理关系</w:t>
            </w:r>
            <w:r>
              <w:rPr>
                <w:rFonts w:hint="eastAsia" w:ascii="宋体" w:hAnsi="宋体" w:eastAsia="宋体" w:cs="宋体"/>
                <w:color w:val="FF0000"/>
                <w:kern w:val="2"/>
                <w:sz w:val="21"/>
                <w:szCs w:val="21"/>
                <w:lang w:val="en-US" w:eastAsia="zh-CN" w:bidi="ar"/>
              </w:rPr>
              <w:t>。</w:t>
            </w:r>
          </w:p>
        </w:tc>
      </w:tr>
      <w:tr w14:paraId="06328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5340AE1D">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3</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4E3DC6D4">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与其他投标供应商的投标文件或部分投标文件</w:t>
            </w:r>
            <w:r>
              <w:rPr>
                <w:rFonts w:hint="eastAsia" w:ascii="宋体" w:hAnsi="宋体" w:eastAsia="宋体" w:cs="宋体"/>
                <w:b/>
                <w:bCs/>
                <w:color w:val="FF0000"/>
                <w:kern w:val="2"/>
                <w:sz w:val="21"/>
                <w:szCs w:val="21"/>
                <w:lang w:val="en-US" w:eastAsia="zh-CN" w:bidi="ar"/>
              </w:rPr>
              <w:t>相互混装或存在非正常一致</w:t>
            </w:r>
            <w:r>
              <w:rPr>
                <w:rFonts w:hint="eastAsia" w:ascii="宋体" w:hAnsi="宋体" w:eastAsia="宋体" w:cs="宋体"/>
                <w:color w:val="FF0000"/>
                <w:kern w:val="2"/>
                <w:sz w:val="21"/>
                <w:szCs w:val="21"/>
                <w:lang w:val="en-US" w:eastAsia="zh-CN" w:bidi="ar"/>
              </w:rPr>
              <w:t>。</w:t>
            </w:r>
          </w:p>
        </w:tc>
      </w:tr>
      <w:tr w14:paraId="649C6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1A7512C2">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4</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1D96A800">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与其他投标供应商的投标文件由</w:t>
            </w:r>
            <w:r>
              <w:rPr>
                <w:rFonts w:hint="eastAsia" w:ascii="宋体" w:hAnsi="宋体" w:eastAsia="宋体" w:cs="宋体"/>
                <w:b/>
                <w:bCs/>
                <w:color w:val="FF0000"/>
                <w:kern w:val="2"/>
                <w:sz w:val="21"/>
                <w:szCs w:val="21"/>
                <w:lang w:val="en-US" w:eastAsia="zh-CN" w:bidi="ar"/>
              </w:rPr>
              <w:t>同一单位或者同一人编制</w:t>
            </w:r>
            <w:r>
              <w:rPr>
                <w:rFonts w:hint="eastAsia" w:ascii="宋体" w:hAnsi="宋体" w:eastAsia="宋体" w:cs="宋体"/>
                <w:color w:val="FF0000"/>
                <w:kern w:val="2"/>
                <w:sz w:val="21"/>
                <w:szCs w:val="21"/>
                <w:lang w:val="en-US" w:eastAsia="zh-CN" w:bidi="ar"/>
              </w:rPr>
              <w:t>，或者使用</w:t>
            </w:r>
            <w:r>
              <w:rPr>
                <w:rFonts w:hint="eastAsia" w:ascii="宋体" w:hAnsi="宋体" w:eastAsia="宋体" w:cs="宋体"/>
                <w:b/>
                <w:bCs/>
                <w:color w:val="FF0000"/>
                <w:kern w:val="2"/>
                <w:sz w:val="21"/>
                <w:szCs w:val="21"/>
                <w:lang w:val="en-US" w:eastAsia="zh-CN" w:bidi="ar"/>
              </w:rPr>
              <w:t>同一设备编制</w:t>
            </w:r>
            <w:r>
              <w:rPr>
                <w:rFonts w:hint="eastAsia" w:ascii="宋体" w:hAnsi="宋体" w:eastAsia="宋体" w:cs="宋体"/>
                <w:color w:val="FF0000"/>
                <w:kern w:val="2"/>
                <w:sz w:val="21"/>
                <w:szCs w:val="21"/>
                <w:lang w:val="en-US" w:eastAsia="zh-CN" w:bidi="ar"/>
              </w:rPr>
              <w:t>。</w:t>
            </w:r>
          </w:p>
        </w:tc>
      </w:tr>
      <w:tr w14:paraId="58DC6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7238168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5</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7AA72ED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提供</w:t>
            </w:r>
            <w:r>
              <w:rPr>
                <w:rFonts w:hint="eastAsia" w:ascii="宋体" w:hAnsi="宋体" w:eastAsia="宋体" w:cs="宋体"/>
                <w:b/>
                <w:bCs/>
                <w:color w:val="FF0000"/>
                <w:kern w:val="2"/>
                <w:sz w:val="21"/>
                <w:szCs w:val="21"/>
                <w:lang w:val="en-US" w:eastAsia="zh-CN" w:bidi="ar"/>
              </w:rPr>
              <w:t>未经出具机构核实</w:t>
            </w:r>
            <w:r>
              <w:rPr>
                <w:rFonts w:hint="eastAsia" w:ascii="宋体" w:hAnsi="宋体" w:eastAsia="宋体" w:cs="宋体"/>
                <w:color w:val="FF0000"/>
                <w:kern w:val="2"/>
                <w:sz w:val="21"/>
                <w:szCs w:val="21"/>
                <w:lang w:val="en-US" w:eastAsia="zh-CN" w:bidi="ar"/>
              </w:rPr>
              <w:t>的虚假的检验检测报告、业绩材料、社保缴纳证明、学历学位证书、职称认证证书等材料。</w:t>
            </w:r>
          </w:p>
        </w:tc>
      </w:tr>
      <w:tr w14:paraId="11C81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0CA87CD2">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6</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274CA5E4">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sz w:val="21"/>
                <w:szCs w:val="21"/>
                <w:highlight w:val="none"/>
                <w:lang w:val="en-US" w:eastAsia="zh-CN"/>
              </w:rPr>
              <w:t>擅自将投标密钥</w:t>
            </w:r>
            <w:r>
              <w:rPr>
                <w:rFonts w:hint="eastAsia" w:ascii="宋体" w:hAnsi="宋体" w:eastAsia="宋体" w:cs="宋体"/>
                <w:color w:val="FF0000"/>
                <w:sz w:val="21"/>
                <w:szCs w:val="21"/>
                <w:highlight w:val="none"/>
                <w:lang w:eastAsia="zh-CN"/>
              </w:rPr>
              <w:t>或</w:t>
            </w:r>
            <w:r>
              <w:rPr>
                <w:rFonts w:hint="eastAsia" w:ascii="宋体" w:hAnsi="宋体" w:eastAsia="宋体" w:cs="宋体"/>
                <w:color w:val="FF0000"/>
                <w:sz w:val="21"/>
                <w:szCs w:val="21"/>
                <w:highlight w:val="none"/>
                <w:lang w:val="en-US" w:eastAsia="zh-CN"/>
              </w:rPr>
              <w:t>电子营业执照出借他人使用或未妥善保管。</w:t>
            </w:r>
          </w:p>
        </w:tc>
      </w:tr>
    </w:tbl>
    <w:p w14:paraId="2886DDA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p>
    <w:p w14:paraId="1CD7EA4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一、</w:t>
      </w:r>
      <w:r>
        <w:rPr>
          <w:rFonts w:hint="eastAsia" w:ascii="宋体" w:hAnsi="宋体" w:eastAsia="宋体" w:cs="宋体"/>
          <w:b/>
          <w:bCs/>
          <w:color w:val="FF0000"/>
          <w:kern w:val="2"/>
          <w:sz w:val="21"/>
          <w:szCs w:val="21"/>
          <w:lang w:val="en-US" w:eastAsia="zh-CN" w:bidi="ar"/>
        </w:rPr>
        <w:t>《深圳经济特区政府采购条例》第五十七条</w:t>
      </w:r>
      <w:r>
        <w:rPr>
          <w:rFonts w:hint="eastAsia" w:ascii="宋体" w:hAnsi="宋体" w:eastAsia="宋体" w:cs="宋体"/>
          <w:color w:val="FF0000"/>
          <w:kern w:val="2"/>
          <w:sz w:val="21"/>
          <w:szCs w:val="21"/>
          <w:lang w:val="en-US" w:eastAsia="zh-CN" w:bidi="ar"/>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4CCFFE9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（一）在采购活动中应当回避而未回避的；</w:t>
      </w:r>
    </w:p>
    <w:p w14:paraId="3B49402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（二）未按本条例规定签订、履行采购合同，造成严重后果的；</w:t>
      </w:r>
    </w:p>
    <w:p w14:paraId="6FC930E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（三）隐瞒真实情况，提供虚假资料的；</w:t>
      </w:r>
    </w:p>
    <w:p w14:paraId="5723C87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（四）以非法手段排斥其他供应商参与竞争的；</w:t>
      </w:r>
    </w:p>
    <w:p w14:paraId="6CDAC8E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（五）与其他采购参加人串通投标的；</w:t>
      </w:r>
    </w:p>
    <w:p w14:paraId="0CD5FCBD">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（六）恶意投诉的；</w:t>
      </w:r>
    </w:p>
    <w:p w14:paraId="11B47E0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（七）向采购项目相关人行贿或者提供其他不当利益的；</w:t>
      </w:r>
    </w:p>
    <w:p w14:paraId="7D8AA79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（八）阻碍、抗拒主管部门监督检查的；</w:t>
      </w:r>
    </w:p>
    <w:p w14:paraId="45B58549">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（九）其他违反本条例规定的行为。</w:t>
      </w:r>
    </w:p>
    <w:p w14:paraId="513D0D5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both"/>
        <w:rPr>
          <w:rFonts w:hint="eastAsia" w:ascii="宋体" w:hAnsi="宋体" w:eastAsia="宋体" w:cs="宋体"/>
          <w:color w:val="FF0000"/>
          <w:sz w:val="21"/>
          <w:szCs w:val="21"/>
          <w:lang w:val="en-US"/>
        </w:rPr>
      </w:pPr>
      <w:r>
        <w:rPr>
          <w:rFonts w:hint="eastAsia" w:ascii="宋体" w:hAnsi="宋体" w:eastAsia="宋体" w:cs="宋体"/>
          <w:b/>
          <w:bCs/>
          <w:color w:val="FF0000"/>
          <w:kern w:val="2"/>
          <w:sz w:val="21"/>
          <w:szCs w:val="21"/>
          <w:lang w:val="en-US" w:eastAsia="zh-CN" w:bidi="ar"/>
        </w:rPr>
        <w:t xml:space="preserve">二、《深圳经济特区政府采购条例实施细则》第七十五条 </w:t>
      </w:r>
      <w:r>
        <w:rPr>
          <w:rFonts w:hint="eastAsia" w:ascii="宋体" w:hAnsi="宋体" w:eastAsia="宋体" w:cs="宋体"/>
          <w:color w:val="FF0000"/>
          <w:kern w:val="2"/>
          <w:sz w:val="21"/>
          <w:szCs w:val="21"/>
          <w:lang w:val="en-US" w:eastAsia="zh-CN" w:bidi="ar"/>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741C889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both"/>
        <w:rPr>
          <w:rFonts w:hint="eastAsia" w:ascii="宋体" w:hAnsi="宋体" w:eastAsia="宋体" w:cs="宋体"/>
          <w:color w:val="FF0000"/>
          <w:sz w:val="21"/>
          <w:szCs w:val="21"/>
          <w:lang w:val="en-US"/>
        </w:rPr>
      </w:pPr>
      <w:r>
        <w:rPr>
          <w:rFonts w:hint="eastAsia" w:ascii="宋体" w:hAnsi="宋体" w:eastAsia="宋体" w:cs="宋体"/>
          <w:b/>
          <w:bCs/>
          <w:color w:val="FF0000"/>
          <w:kern w:val="2"/>
          <w:sz w:val="21"/>
          <w:szCs w:val="21"/>
          <w:lang w:val="en-US" w:eastAsia="zh-CN" w:bidi="ar"/>
        </w:rPr>
        <w:t xml:space="preserve">三、《深圳经济特区政府采购条例实施细则》第七十七条 </w:t>
      </w:r>
      <w:r>
        <w:rPr>
          <w:rFonts w:hint="eastAsia" w:ascii="宋体" w:hAnsi="宋体" w:eastAsia="宋体" w:cs="宋体"/>
          <w:color w:val="FF0000"/>
          <w:kern w:val="2"/>
          <w:sz w:val="21"/>
          <w:szCs w:val="21"/>
          <w:lang w:val="en-US" w:eastAsia="zh-CN" w:bidi="ar"/>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1D93975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投标供应商不能提供项目负责人或者主要技术人员的劳动合同、社会保险等劳动关系证明材料的，视为存在前款第（三）项规定的情形。</w:t>
      </w:r>
    </w:p>
    <w:p w14:paraId="4D7B4E3B">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both"/>
        <w:rPr>
          <w:bCs/>
          <w:color w:val="FF0000"/>
          <w:sz w:val="21"/>
          <w:szCs w:val="21"/>
          <w:lang w:val="en-US"/>
        </w:rPr>
      </w:pPr>
      <w:r>
        <w:rPr>
          <w:rFonts w:hint="eastAsia" w:ascii="Times New Roman" w:hAnsi="Times New Roman" w:eastAsia="宋体" w:cs="宋体"/>
          <w:b/>
          <w:bCs w:val="0"/>
          <w:color w:val="FF0000"/>
          <w:kern w:val="2"/>
          <w:sz w:val="21"/>
          <w:szCs w:val="21"/>
          <w:lang w:val="en-US" w:eastAsia="zh-CN" w:bidi="ar"/>
        </w:rPr>
        <w:t>四、根据《深圳经济特区政府采购条例实施细则》第七十五条规定</w:t>
      </w:r>
      <w:r>
        <w:rPr>
          <w:rFonts w:hint="eastAsia" w:ascii="Times New Roman" w:hAnsi="Times New Roman" w:eastAsia="宋体" w:cs="宋体"/>
          <w:bCs/>
          <w:color w:val="FF0000"/>
          <w:kern w:val="2"/>
          <w:sz w:val="21"/>
          <w:szCs w:val="21"/>
          <w:lang w:val="en-US" w:eastAsia="zh-CN" w:bidi="ar"/>
        </w:rPr>
        <w:t>，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eastAsia="宋体" w:cs="宋体"/>
          <w:color w:val="FF0000"/>
          <w:kern w:val="2"/>
          <w:sz w:val="21"/>
          <w:szCs w:val="21"/>
          <w:lang w:val="en-US" w:eastAsia="zh-CN" w:bidi="ar"/>
        </w:rPr>
        <w:t>取消参与本市政府采购资格</w:t>
      </w:r>
      <w:r>
        <w:rPr>
          <w:rFonts w:hint="eastAsia" w:ascii="Times New Roman" w:hAnsi="宋体" w:eastAsia="宋体" w:cs="宋体"/>
          <w:color w:val="FF0000"/>
          <w:kern w:val="2"/>
          <w:sz w:val="21"/>
          <w:szCs w:val="21"/>
          <w:lang w:val="en-US" w:eastAsia="zh-CN" w:bidi="ar"/>
        </w:rPr>
        <w:t>、</w:t>
      </w:r>
      <w:r>
        <w:rPr>
          <w:rFonts w:hint="eastAsia" w:ascii="宋体" w:hAnsi="宋体" w:eastAsia="宋体" w:cs="宋体"/>
          <w:color w:val="FF0000"/>
          <w:kern w:val="2"/>
          <w:sz w:val="21"/>
          <w:szCs w:val="21"/>
          <w:lang w:val="en-US" w:eastAsia="zh-CN" w:bidi="ar"/>
        </w:rPr>
        <w:t>依法吊销其营业</w:t>
      </w:r>
      <w:r>
        <w:rPr>
          <w:rFonts w:hint="eastAsia" w:ascii="Times New Roman" w:hAnsi="宋体" w:eastAsia="宋体" w:cs="宋体"/>
          <w:color w:val="FF0000"/>
          <w:kern w:val="2"/>
          <w:sz w:val="21"/>
          <w:szCs w:val="21"/>
          <w:lang w:val="en-US" w:eastAsia="zh-CN" w:bidi="ar"/>
        </w:rPr>
        <w:t>执照等行政处罚，</w:t>
      </w:r>
      <w:r>
        <w:rPr>
          <w:rFonts w:hint="eastAsia" w:ascii="宋体" w:hAnsi="宋体" w:eastAsia="宋体" w:cs="宋体"/>
          <w:color w:val="FF0000"/>
          <w:kern w:val="2"/>
          <w:sz w:val="21"/>
          <w:szCs w:val="21"/>
          <w:lang w:val="en-US" w:eastAsia="zh-CN" w:bidi="ar"/>
        </w:rPr>
        <w:t>构成犯罪的，依法追究刑事责任</w:t>
      </w:r>
      <w:r>
        <w:rPr>
          <w:rFonts w:hint="eastAsia" w:ascii="Times New Roman" w:hAnsi="Times New Roman" w:eastAsia="宋体" w:cs="宋体"/>
          <w:bCs/>
          <w:color w:val="FF0000"/>
          <w:kern w:val="2"/>
          <w:sz w:val="21"/>
          <w:szCs w:val="21"/>
          <w:lang w:val="en-US" w:eastAsia="zh-CN" w:bidi="ar"/>
        </w:rPr>
        <w:t>，请各供应商独立编制、上传投标文件，妥善保管和使用电子秘钥。</w:t>
      </w:r>
    </w:p>
    <w:p w14:paraId="2DAC962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both"/>
        <w:rPr>
          <w:sz w:val="21"/>
          <w:szCs w:val="21"/>
          <w:lang w:val="en-US"/>
        </w:rPr>
      </w:pPr>
      <w:r>
        <w:rPr>
          <w:rFonts w:hint="eastAsia" w:ascii="Times New Roman" w:hAnsi="Times New Roman" w:eastAsia="宋体" w:cs="宋体"/>
          <w:b/>
          <w:bCs w:val="0"/>
          <w:color w:val="FF0000"/>
          <w:kern w:val="2"/>
          <w:sz w:val="21"/>
          <w:szCs w:val="21"/>
          <w:lang w:val="en-US" w:eastAsia="zh-CN" w:bidi="ar"/>
        </w:rPr>
        <w:t>五、请投标供应商阅读《采购违法行为风险知悉确认书》（内容详见“投标文件”中节点“投标人认为需要加以说明的其他内容”），并经各投标供应商负责人签字并加盖单位公章后，扫描上传至投标文件一并提交。</w:t>
      </w:r>
    </w:p>
    <w:p w14:paraId="45B1838B">
      <w:pPr>
        <w:keepNext w:val="0"/>
        <w:keepLines w:val="0"/>
        <w:widowControl/>
        <w:suppressLineNumbers w:val="0"/>
        <w:spacing w:before="0" w:beforeAutospacing="1" w:after="0" w:afterAutospacing="1"/>
        <w:ind w:left="0" w:right="0"/>
        <w:jc w:val="left"/>
        <w:outlineLvl w:val="1"/>
        <w:rPr>
          <w:rFonts w:hint="eastAsia" w:ascii="黑体" w:hAnsi="宋体" w:eastAsia="黑体" w:cs="黑体"/>
          <w:kern w:val="0"/>
          <w:sz w:val="21"/>
          <w:szCs w:val="21"/>
          <w:lang w:val="en-US"/>
        </w:rPr>
      </w:pPr>
      <w:r>
        <w:rPr>
          <w:rFonts w:hint="eastAsia" w:ascii="Times New Roman" w:hAnsi="Times New Roman" w:eastAsia="宋体" w:cs="宋体"/>
          <w:b/>
          <w:bCs w:val="0"/>
          <w:color w:val="FF0000"/>
          <w:kern w:val="2"/>
          <w:sz w:val="21"/>
          <w:szCs w:val="21"/>
          <w:lang w:val="en-US" w:eastAsia="zh-CN" w:bidi="ar"/>
        </w:rPr>
        <w:t>注：“特别警示条款”和《采购违法行为风险知悉确认书》用于对供应商违法行为的提醒，不作为供应商资格性审查及符合性审查条件。</w:t>
      </w:r>
    </w:p>
    <w:p w14:paraId="07CA7F96">
      <w:pPr>
        <w:rPr>
          <w:rFonts w:hint="eastAsia" w:ascii="方正小标宋简体" w:hAnsi="方正小标宋简体" w:eastAsia="方正小标宋简体" w:cs="方正小标宋简体"/>
          <w:bCs/>
          <w:color w:val="000000"/>
          <w:sz w:val="21"/>
          <w:szCs w:val="21"/>
        </w:rPr>
      </w:pPr>
      <w:r>
        <w:rPr>
          <w:rFonts w:hint="eastAsia" w:ascii="方正小标宋简体" w:hAnsi="方正小标宋简体" w:eastAsia="方正小标宋简体" w:cs="方正小标宋简体"/>
          <w:bCs/>
          <w:color w:val="000000"/>
          <w:sz w:val="21"/>
          <w:szCs w:val="21"/>
        </w:rPr>
        <w:br w:type="page"/>
      </w:r>
    </w:p>
    <w:p w14:paraId="6B1156CA">
      <w:pPr>
        <w:widowControl/>
        <w:spacing w:before="100" w:beforeAutospacing="1" w:after="100" w:afterAutospacing="1"/>
        <w:jc w:val="center"/>
        <w:outlineLvl w:val="1"/>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招标文件信息</w:t>
      </w:r>
    </w:p>
    <w:tbl>
      <w:tblPr>
        <w:tblStyle w:val="43"/>
        <w:tblW w:w="7943" w:type="dxa"/>
        <w:jc w:val="center"/>
        <w:tblCellSpacing w:w="0" w:type="dxa"/>
        <w:tblLayout w:type="autofit"/>
        <w:tblCellMar>
          <w:top w:w="45" w:type="dxa"/>
          <w:left w:w="45" w:type="dxa"/>
          <w:bottom w:w="45" w:type="dxa"/>
          <w:right w:w="45" w:type="dxa"/>
        </w:tblCellMar>
      </w:tblPr>
      <w:tblGrid>
        <w:gridCol w:w="2723"/>
        <w:gridCol w:w="5220"/>
      </w:tblGrid>
      <w:tr w14:paraId="5374EC01">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C72480E">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项目编号：</w:t>
            </w:r>
          </w:p>
        </w:tc>
        <w:tc>
          <w:tcPr>
            <w:tcW w:w="5220" w:type="dxa"/>
            <w:shd w:val="clear" w:color="auto" w:fill="auto"/>
            <w:vAlign w:val="center"/>
          </w:tcPr>
          <w:p w14:paraId="3A26D3A5">
            <w:pPr>
              <w:keepNext w:val="0"/>
              <w:keepLines w:val="0"/>
              <w:widowControl/>
              <w:suppressLineNumbers w:val="0"/>
              <w:spacing w:before="0" w:beforeAutospacing="0" w:after="0" w:afterAutospacing="0"/>
              <w:ind w:left="0" w:right="0"/>
              <w:jc w:val="left"/>
              <w:rPr>
                <w:rFonts w:hint="default"/>
                <w:sz w:val="30"/>
                <w:szCs w:val="30"/>
              </w:rPr>
            </w:pPr>
            <w:r>
              <w:rPr>
                <w:rFonts w:hint="default"/>
                <w:sz w:val="30"/>
                <w:szCs w:val="30"/>
              </w:rPr>
              <w:t>SZZXCG-2025-00298</w:t>
            </w:r>
          </w:p>
        </w:tc>
      </w:tr>
      <w:tr w14:paraId="7728C16B">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225BDF20">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项目名称：</w:t>
            </w:r>
          </w:p>
        </w:tc>
        <w:tc>
          <w:tcPr>
            <w:tcW w:w="5220" w:type="dxa"/>
            <w:shd w:val="clear" w:color="auto" w:fill="auto"/>
            <w:vAlign w:val="center"/>
          </w:tcPr>
          <w:p w14:paraId="7AF9766E">
            <w:pPr>
              <w:keepNext w:val="0"/>
              <w:keepLines w:val="0"/>
              <w:widowControl/>
              <w:suppressLineNumbers w:val="0"/>
              <w:spacing w:before="0" w:beforeAutospacing="0" w:after="0" w:afterAutospacing="0"/>
              <w:ind w:left="0" w:right="0"/>
              <w:jc w:val="left"/>
              <w:rPr>
                <w:rFonts w:hint="default"/>
                <w:sz w:val="30"/>
                <w:szCs w:val="30"/>
              </w:rPr>
            </w:pPr>
            <w:r>
              <w:rPr>
                <w:rFonts w:hint="default" w:ascii="宋体" w:hAnsi="宋体" w:cs="宋体"/>
                <w:kern w:val="0"/>
                <w:sz w:val="30"/>
                <w:szCs w:val="30"/>
              </w:rPr>
              <w:t>深圳市第三人民医院生物安全柜采购</w:t>
            </w:r>
          </w:p>
        </w:tc>
      </w:tr>
      <w:tr w14:paraId="3E6B37FC">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68FD2C5">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包 号：</w:t>
            </w:r>
          </w:p>
        </w:tc>
        <w:tc>
          <w:tcPr>
            <w:tcW w:w="5220" w:type="dxa"/>
            <w:shd w:val="clear" w:color="auto" w:fill="auto"/>
            <w:vAlign w:val="center"/>
          </w:tcPr>
          <w:p w14:paraId="596A80D1">
            <w:pPr>
              <w:keepNext w:val="0"/>
              <w:keepLines w:val="0"/>
              <w:widowControl/>
              <w:suppressLineNumbers w:val="0"/>
              <w:spacing w:before="0" w:beforeAutospacing="0" w:after="0" w:afterAutospacing="0"/>
              <w:ind w:left="0" w:right="0"/>
              <w:jc w:val="left"/>
              <w:rPr>
                <w:rFonts w:hint="default"/>
                <w:sz w:val="30"/>
                <w:szCs w:val="30"/>
              </w:rPr>
            </w:pPr>
            <w:r>
              <w:rPr>
                <w:rFonts w:hint="default" w:ascii="宋体" w:hAnsi="宋体" w:cs="宋体"/>
                <w:kern w:val="0"/>
                <w:sz w:val="30"/>
                <w:szCs w:val="30"/>
              </w:rPr>
              <w:t>A</w:t>
            </w:r>
          </w:p>
        </w:tc>
      </w:tr>
      <w:tr w14:paraId="54AC9776">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3CD6938F">
            <w:pPr>
              <w:keepNext w:val="0"/>
              <w:keepLines w:val="0"/>
              <w:widowControl/>
              <w:suppressLineNumbers w:val="0"/>
              <w:spacing w:before="0" w:beforeAutospacing="0" w:after="0" w:afterAutospacing="0"/>
              <w:ind w:left="0" w:right="0"/>
              <w:jc w:val="right"/>
              <w:rPr>
                <w:rFonts w:hint="default"/>
                <w:sz w:val="30"/>
                <w:szCs w:val="30"/>
                <w:highlight w:val="none"/>
              </w:rPr>
            </w:pPr>
            <w:r>
              <w:rPr>
                <w:rFonts w:hint="default" w:ascii="宋体" w:hAnsi="宋体" w:cs="宋体"/>
                <w:kern w:val="0"/>
                <w:sz w:val="30"/>
                <w:szCs w:val="30"/>
                <w:highlight w:val="none"/>
              </w:rPr>
              <w:t>项目类型：</w:t>
            </w:r>
          </w:p>
        </w:tc>
        <w:tc>
          <w:tcPr>
            <w:tcW w:w="5220" w:type="dxa"/>
            <w:shd w:val="clear" w:color="auto" w:fill="auto"/>
            <w:vAlign w:val="center"/>
          </w:tcPr>
          <w:p w14:paraId="4DD33C41">
            <w:pPr>
              <w:keepNext w:val="0"/>
              <w:keepLines w:val="0"/>
              <w:widowControl/>
              <w:suppressLineNumbers w:val="0"/>
              <w:spacing w:before="0" w:beforeAutospacing="0" w:after="0" w:afterAutospacing="0"/>
              <w:ind w:left="0" w:right="0"/>
              <w:jc w:val="left"/>
              <w:rPr>
                <w:rFonts w:hint="default"/>
                <w:sz w:val="30"/>
                <w:szCs w:val="30"/>
                <w:highlight w:val="none"/>
              </w:rPr>
            </w:pPr>
            <w:r>
              <w:rPr>
                <w:rFonts w:hint="default"/>
                <w:sz w:val="30"/>
                <w:szCs w:val="30"/>
                <w:highlight w:val="none"/>
              </w:rPr>
              <w:t>货物类</w:t>
            </w:r>
          </w:p>
        </w:tc>
      </w:tr>
      <w:tr w14:paraId="1462399A">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AADC35C">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采购方式：</w:t>
            </w:r>
          </w:p>
        </w:tc>
        <w:tc>
          <w:tcPr>
            <w:tcW w:w="5220" w:type="dxa"/>
            <w:shd w:val="clear" w:color="auto" w:fill="auto"/>
            <w:vAlign w:val="center"/>
          </w:tcPr>
          <w:p w14:paraId="060EF927">
            <w:pPr>
              <w:keepNext w:val="0"/>
              <w:keepLines w:val="0"/>
              <w:widowControl/>
              <w:suppressLineNumbers w:val="0"/>
              <w:spacing w:before="0" w:beforeAutospacing="0" w:after="0" w:afterAutospacing="0"/>
              <w:ind w:left="0" w:right="0"/>
              <w:jc w:val="left"/>
              <w:rPr>
                <w:rFonts w:hint="default"/>
                <w:sz w:val="30"/>
                <w:szCs w:val="30"/>
              </w:rPr>
            </w:pPr>
            <w:r>
              <w:rPr>
                <w:rFonts w:hint="default" w:ascii="宋体" w:hAnsi="宋体" w:cs="宋体"/>
                <w:kern w:val="0"/>
                <w:sz w:val="30"/>
                <w:szCs w:val="30"/>
              </w:rPr>
              <w:t>公开</w:t>
            </w:r>
            <w:r>
              <w:rPr>
                <w:rFonts w:hint="eastAsia" w:ascii="宋体" w:hAnsi="宋体" w:cs="宋体"/>
                <w:kern w:val="0"/>
                <w:sz w:val="30"/>
                <w:szCs w:val="30"/>
              </w:rPr>
              <w:t>招标</w:t>
            </w:r>
          </w:p>
        </w:tc>
      </w:tr>
      <w:tr w14:paraId="5A295F02">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22966ED8">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货币类型：</w:t>
            </w:r>
          </w:p>
        </w:tc>
        <w:tc>
          <w:tcPr>
            <w:tcW w:w="5220" w:type="dxa"/>
            <w:shd w:val="clear" w:color="auto" w:fill="auto"/>
            <w:vAlign w:val="center"/>
          </w:tcPr>
          <w:p w14:paraId="65532C93">
            <w:pPr>
              <w:keepNext w:val="0"/>
              <w:keepLines w:val="0"/>
              <w:widowControl/>
              <w:suppressLineNumbers w:val="0"/>
              <w:spacing w:before="0" w:beforeAutospacing="0" w:after="0" w:afterAutospacing="0"/>
              <w:ind w:left="0" w:right="0"/>
              <w:jc w:val="left"/>
              <w:rPr>
                <w:rFonts w:hint="default"/>
                <w:sz w:val="30"/>
                <w:szCs w:val="30"/>
              </w:rPr>
            </w:pPr>
            <w:r>
              <w:rPr>
                <w:rFonts w:hint="default" w:ascii="宋体" w:hAnsi="宋体" w:cs="宋体"/>
                <w:kern w:val="0"/>
                <w:sz w:val="30"/>
                <w:szCs w:val="30"/>
              </w:rPr>
              <w:t>人民币</w:t>
            </w:r>
          </w:p>
        </w:tc>
      </w:tr>
      <w:tr w14:paraId="0A8C4BB1">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E230D7B">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评标方法：</w:t>
            </w:r>
          </w:p>
        </w:tc>
        <w:tc>
          <w:tcPr>
            <w:tcW w:w="5220" w:type="dxa"/>
            <w:shd w:val="clear" w:color="auto" w:fill="auto"/>
            <w:vAlign w:val="center"/>
          </w:tcPr>
          <w:p w14:paraId="50D38784">
            <w:pPr>
              <w:keepNext w:val="0"/>
              <w:keepLines w:val="0"/>
              <w:widowControl/>
              <w:suppressLineNumbers w:val="0"/>
              <w:spacing w:before="0" w:beforeAutospacing="0" w:after="0" w:afterAutospacing="0"/>
              <w:ind w:left="0" w:right="0"/>
              <w:jc w:val="left"/>
              <w:rPr>
                <w:rFonts w:hint="default"/>
                <w:sz w:val="30"/>
                <w:szCs w:val="30"/>
              </w:rPr>
            </w:pPr>
            <w:r>
              <w:rPr>
                <w:rFonts w:hint="default" w:ascii="宋体" w:hAnsi="宋体" w:cs="宋体"/>
                <w:kern w:val="0"/>
                <w:sz w:val="30"/>
                <w:szCs w:val="30"/>
                <w:lang w:bidi="ar"/>
              </w:rPr>
              <w:t>综合评分法</w:t>
            </w:r>
          </w:p>
        </w:tc>
      </w:tr>
    </w:tbl>
    <w:p w14:paraId="498FFE10">
      <w:pPr>
        <w:pStyle w:val="38"/>
        <w:jc w:val="center"/>
        <w:outlineLvl w:val="1"/>
        <w:rPr>
          <w:rFonts w:ascii="黑体" w:hAnsi="黑体" w:eastAsia="黑体"/>
          <w:sz w:val="40"/>
          <w:szCs w:val="40"/>
        </w:rPr>
      </w:pPr>
    </w:p>
    <w:p w14:paraId="40594077">
      <w:pPr>
        <w:pStyle w:val="2"/>
      </w:pPr>
      <w:r>
        <w:br w:type="page"/>
      </w:r>
    </w:p>
    <w:p w14:paraId="5907D210">
      <w:pPr>
        <w:pStyle w:val="38"/>
        <w:jc w:val="center"/>
        <w:outlineLvl w:val="1"/>
        <w:rPr>
          <w:rFonts w:ascii="黑体" w:hAnsi="黑体" w:eastAsia="黑体"/>
          <w:sz w:val="40"/>
          <w:szCs w:val="40"/>
        </w:rPr>
      </w:pPr>
      <w:r>
        <w:rPr>
          <w:rFonts w:hint="eastAsia" w:ascii="黑体" w:hAnsi="黑体" w:eastAsia="黑体"/>
          <w:sz w:val="40"/>
          <w:szCs w:val="40"/>
        </w:rPr>
        <w:t>资格性审查表</w:t>
      </w:r>
    </w:p>
    <w:tbl>
      <w:tblPr>
        <w:tblStyle w:val="43"/>
        <w:tblW w:w="906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637"/>
        <w:gridCol w:w="8424"/>
      </w:tblGrid>
      <w:tr w14:paraId="1B3AB9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0" w:type="auto"/>
            <w:tcBorders>
              <w:top w:val="single" w:color="000000" w:sz="8" w:space="0"/>
              <w:left w:val="single" w:color="000000" w:sz="8" w:space="0"/>
              <w:bottom w:val="single" w:color="000000" w:sz="8" w:space="0"/>
              <w:right w:val="single" w:color="000000" w:sz="8" w:space="0"/>
            </w:tcBorders>
            <w:shd w:val="clear" w:color="auto" w:fill="E6EFFA"/>
          </w:tcPr>
          <w:p w14:paraId="4057868C">
            <w:pPr>
              <w:keepNext w:val="0"/>
              <w:keepLines w:val="0"/>
              <w:suppressLineNumbers w:val="0"/>
              <w:spacing w:before="0" w:beforeAutospacing="0" w:after="0" w:afterAutospacing="0"/>
              <w:ind w:left="0" w:right="0"/>
              <w:jc w:val="center"/>
              <w:rPr>
                <w:rFonts w:hint="default" w:asciiTheme="minorEastAsia" w:hAnsiTheme="minorEastAsia" w:eastAsiaTheme="minorEastAsia"/>
                <w:szCs w:val="21"/>
              </w:rPr>
            </w:pPr>
            <w:r>
              <w:rPr>
                <w:rFonts w:hint="default" w:asciiTheme="minorEastAsia" w:hAnsiTheme="minorEastAsia" w:eastAsiaTheme="minorEastAsia"/>
                <w:szCs w:val="21"/>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vAlign w:val="center"/>
          </w:tcPr>
          <w:p w14:paraId="58B1549B">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szCs w:val="21"/>
              </w:rPr>
            </w:pPr>
            <w:r>
              <w:rPr>
                <w:rFonts w:hint="default" w:asciiTheme="minorEastAsia" w:hAnsiTheme="minorEastAsia" w:eastAsiaTheme="minorEastAsia"/>
                <w:szCs w:val="21"/>
              </w:rPr>
              <w:t>内容</w:t>
            </w:r>
          </w:p>
        </w:tc>
      </w:tr>
      <w:tr w14:paraId="5E77FE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tcPr>
          <w:p w14:paraId="05890EC5">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Cs w:val="21"/>
              </w:rPr>
            </w:pPr>
            <w:r>
              <w:rPr>
                <w:rFonts w:hint="eastAsia" w:cs="宋体" w:asciiTheme="minorEastAsia" w:hAnsiTheme="minorEastAsia" w:eastAsiaTheme="minorEastAsia"/>
                <w:kern w:val="0"/>
                <w:szCs w:val="21"/>
              </w:rPr>
              <w:t>1</w:t>
            </w:r>
          </w:p>
        </w:tc>
        <w:tc>
          <w:tcPr>
            <w:tcW w:w="0" w:type="auto"/>
            <w:tcBorders>
              <w:top w:val="single" w:color="000000" w:sz="8" w:space="0"/>
              <w:left w:val="single" w:color="000000" w:sz="8" w:space="0"/>
              <w:bottom w:val="single" w:color="000000" w:sz="8" w:space="0"/>
              <w:right w:val="single" w:color="000000" w:sz="8" w:space="0"/>
            </w:tcBorders>
          </w:tcPr>
          <w:p w14:paraId="678F5714">
            <w:pPr>
              <w:keepNext w:val="0"/>
              <w:keepLines w:val="0"/>
              <w:suppressLineNumbers w:val="0"/>
              <w:spacing w:before="0" w:beforeAutospacing="0" w:after="0" w:afterAutospacing="0"/>
              <w:ind w:left="0" w:right="0"/>
              <w:rPr>
                <w:rFonts w:hint="default" w:cs="宋体" w:asciiTheme="minorEastAsia" w:hAnsiTheme="minorEastAsia" w:eastAsiaTheme="minorEastAsia"/>
                <w:szCs w:val="21"/>
              </w:rPr>
            </w:pPr>
            <w:r>
              <w:rPr>
                <w:rFonts w:hint="default" w:cs="宋体" w:asciiTheme="minorEastAsia" w:hAnsiTheme="minorEastAsia" w:eastAsiaTheme="minorEastAsia"/>
                <w:kern w:val="0"/>
                <w:szCs w:val="21"/>
              </w:rPr>
              <w:t>投标人不</w:t>
            </w:r>
            <w:r>
              <w:rPr>
                <w:rFonts w:hint="eastAsia" w:cs="宋体" w:asciiTheme="minorEastAsia" w:hAnsiTheme="minorEastAsia" w:eastAsiaTheme="minorEastAsia"/>
                <w:kern w:val="0"/>
                <w:szCs w:val="21"/>
              </w:rPr>
              <w:t>符合</w:t>
            </w:r>
            <w:r>
              <w:rPr>
                <w:rFonts w:hint="default" w:cs="宋体" w:asciiTheme="minorEastAsia" w:hAnsiTheme="minorEastAsia" w:eastAsiaTheme="minorEastAsia"/>
                <w:kern w:val="0"/>
                <w:szCs w:val="21"/>
              </w:rPr>
              <w:t>资格要求，或未提交相应的资格证明资料（详见</w:t>
            </w:r>
            <w:r>
              <w:rPr>
                <w:rFonts w:hint="eastAsia" w:cs="宋体" w:asciiTheme="minorEastAsia" w:hAnsiTheme="minorEastAsia" w:eastAsiaTheme="minorEastAsia"/>
                <w:kern w:val="0"/>
                <w:szCs w:val="21"/>
              </w:rPr>
              <w:t>招标</w:t>
            </w:r>
            <w:r>
              <w:rPr>
                <w:rFonts w:hint="default" w:cs="宋体" w:asciiTheme="minorEastAsia" w:hAnsiTheme="minorEastAsia" w:eastAsiaTheme="minorEastAsia"/>
                <w:kern w:val="0"/>
                <w:szCs w:val="21"/>
              </w:rPr>
              <w:t>公告</w:t>
            </w:r>
            <w:r>
              <w:rPr>
                <w:rFonts w:hint="eastAsia" w:asciiTheme="minorEastAsia" w:hAnsiTheme="minorEastAsia" w:eastAsiaTheme="minorEastAsia"/>
                <w:szCs w:val="21"/>
              </w:rPr>
              <w:t>投标人资格要求</w:t>
            </w:r>
            <w:r>
              <w:rPr>
                <w:rFonts w:hint="default" w:cs="宋体" w:asciiTheme="minorEastAsia" w:hAnsiTheme="minorEastAsia" w:eastAsiaTheme="minorEastAsia"/>
                <w:kern w:val="0"/>
                <w:szCs w:val="21"/>
              </w:rPr>
              <w:t>）</w:t>
            </w:r>
          </w:p>
        </w:tc>
      </w:tr>
    </w:tbl>
    <w:p w14:paraId="0BC99A87">
      <w:pPr>
        <w:pStyle w:val="38"/>
        <w:spacing w:before="280"/>
        <w:jc w:val="center"/>
        <w:outlineLvl w:val="1"/>
        <w:rPr>
          <w:rFonts w:ascii="黑体" w:hAnsi="黑体" w:eastAsia="黑体"/>
          <w:sz w:val="40"/>
          <w:szCs w:val="40"/>
        </w:rPr>
      </w:pPr>
      <w:r>
        <w:rPr>
          <w:rFonts w:hint="eastAsia" w:ascii="黑体" w:hAnsi="黑体" w:eastAsia="黑体"/>
          <w:sz w:val="40"/>
          <w:szCs w:val="40"/>
        </w:rPr>
        <w:t>符合性审查表</w:t>
      </w:r>
    </w:p>
    <w:tbl>
      <w:tblPr>
        <w:tblStyle w:val="43"/>
        <w:tblW w:w="906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675"/>
        <w:gridCol w:w="8386"/>
      </w:tblGrid>
      <w:tr w14:paraId="2CD1B9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shd w:val="clear" w:color="auto" w:fill="E6EFFA"/>
          </w:tcPr>
          <w:p w14:paraId="44B7B273">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kern w:val="0"/>
                <w:szCs w:val="21"/>
              </w:rPr>
            </w:pPr>
            <w:r>
              <w:rPr>
                <w:rFonts w:hint="default" w:cs="宋体" w:asciiTheme="minorEastAsia" w:hAnsiTheme="minorEastAsia" w:eastAsiaTheme="minorEastAsia"/>
                <w:kern w:val="0"/>
                <w:szCs w:val="21"/>
              </w:rPr>
              <w:t>序号</w:t>
            </w:r>
          </w:p>
        </w:tc>
        <w:tc>
          <w:tcPr>
            <w:tcW w:w="8386"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0D81521">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szCs w:val="21"/>
              </w:rPr>
            </w:pPr>
            <w:r>
              <w:rPr>
                <w:rFonts w:hint="default" w:cs="宋体" w:asciiTheme="minorEastAsia" w:hAnsiTheme="minorEastAsia" w:eastAsiaTheme="minorEastAsia"/>
                <w:kern w:val="0"/>
                <w:szCs w:val="21"/>
              </w:rPr>
              <w:t>内容</w:t>
            </w:r>
          </w:p>
        </w:tc>
      </w:tr>
      <w:tr w14:paraId="11DCCC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722ED6E7">
            <w:pPr>
              <w:keepNext w:val="0"/>
              <w:keepLines w:val="0"/>
              <w:widowControl/>
              <w:suppressLineNumbers w:val="0"/>
              <w:spacing w:before="0" w:beforeAutospacing="0" w:after="0" w:afterAutospacing="0"/>
              <w:ind w:left="0" w:right="0"/>
              <w:jc w:val="center"/>
              <w:textAlignment w:val="top"/>
              <w:rPr>
                <w:rFonts w:hint="default" w:asciiTheme="minorEastAsia" w:hAnsiTheme="minorEastAsia" w:eastAsiaTheme="minorEastAsia"/>
                <w:szCs w:val="21"/>
              </w:rPr>
            </w:pPr>
            <w:r>
              <w:rPr>
                <w:rFonts w:hint="eastAsia" w:asciiTheme="minorEastAsia" w:hAnsiTheme="minorEastAsia" w:eastAsiaTheme="minorEastAsia"/>
                <w:szCs w:val="21"/>
              </w:rPr>
              <w:t>1</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06585B5A">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不得将一个包内容拆开投标；</w:t>
            </w:r>
          </w:p>
        </w:tc>
      </w:tr>
      <w:tr w14:paraId="30BAC8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2AB9FE39">
            <w:pPr>
              <w:keepNext w:val="0"/>
              <w:keepLines w:val="0"/>
              <w:widowControl/>
              <w:suppressLineNumbers w:val="0"/>
              <w:spacing w:before="0" w:beforeAutospacing="0" w:after="0" w:afterAutospacing="0"/>
              <w:ind w:left="0" w:right="0"/>
              <w:jc w:val="center"/>
              <w:textAlignment w:val="top"/>
              <w:rPr>
                <w:rFonts w:hint="default" w:asciiTheme="minorEastAsia" w:hAnsiTheme="minorEastAsia" w:eastAsiaTheme="minorEastAsia"/>
                <w:szCs w:val="21"/>
              </w:rPr>
            </w:pPr>
            <w:r>
              <w:rPr>
                <w:rFonts w:hint="eastAsia" w:asciiTheme="minorEastAsia" w:hAnsiTheme="minorEastAsia" w:eastAsiaTheme="minorEastAsia"/>
                <w:szCs w:val="21"/>
              </w:rPr>
              <w:t>2</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7FA93B8B">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对同一项目投标时，不得提供两套以上的投标方案（招标文件另有规定的除外）；</w:t>
            </w:r>
          </w:p>
        </w:tc>
      </w:tr>
      <w:tr w14:paraId="75F891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577AE4B1">
            <w:pPr>
              <w:keepNext w:val="0"/>
              <w:keepLines w:val="0"/>
              <w:widowControl/>
              <w:suppressLineNumbers w:val="0"/>
              <w:spacing w:before="0" w:beforeAutospacing="0" w:after="0" w:afterAutospacing="0"/>
              <w:ind w:left="0" w:right="0"/>
              <w:jc w:val="center"/>
              <w:textAlignment w:val="top"/>
              <w:rPr>
                <w:rFonts w:hint="default" w:asciiTheme="minorEastAsia" w:hAnsiTheme="minorEastAsia" w:eastAsiaTheme="minorEastAsia"/>
                <w:szCs w:val="21"/>
              </w:rPr>
            </w:pPr>
            <w:r>
              <w:rPr>
                <w:rFonts w:hint="eastAsia" w:asciiTheme="minorEastAsia" w:hAnsiTheme="minorEastAsia" w:eastAsiaTheme="minorEastAsia"/>
                <w:szCs w:val="21"/>
              </w:rPr>
              <w:t>3</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1CAF056F">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分项报价或投标总价不得高于相应预算金额（或设定的预算金额下的最高限价）；</w:t>
            </w:r>
          </w:p>
        </w:tc>
      </w:tr>
      <w:tr w14:paraId="5C4DE6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436" w:hRule="atLeast"/>
          <w:jc w:val="center"/>
        </w:trPr>
        <w:tc>
          <w:tcPr>
            <w:tcW w:w="675" w:type="dxa"/>
            <w:tcBorders>
              <w:top w:val="single" w:color="000000" w:sz="8" w:space="0"/>
              <w:left w:val="single" w:color="000000" w:sz="8" w:space="0"/>
              <w:bottom w:val="single" w:color="000000" w:sz="8" w:space="0"/>
              <w:right w:val="single" w:color="000000" w:sz="8" w:space="0"/>
            </w:tcBorders>
          </w:tcPr>
          <w:p w14:paraId="43E0DE44">
            <w:pPr>
              <w:keepNext w:val="0"/>
              <w:keepLines w:val="0"/>
              <w:widowControl/>
              <w:suppressLineNumbers w:val="0"/>
              <w:spacing w:before="0" w:beforeAutospacing="0" w:after="0" w:afterAutospacing="0"/>
              <w:ind w:left="0" w:right="0"/>
              <w:jc w:val="center"/>
              <w:textAlignment w:val="top"/>
              <w:rPr>
                <w:rFonts w:hint="default" w:asciiTheme="minorEastAsia" w:hAnsiTheme="minorEastAsia" w:eastAsiaTheme="minorEastAsia"/>
                <w:szCs w:val="21"/>
              </w:rPr>
            </w:pPr>
            <w:r>
              <w:rPr>
                <w:rFonts w:hint="eastAsia" w:asciiTheme="minorEastAsia" w:hAnsiTheme="minorEastAsia" w:eastAsiaTheme="minorEastAsia"/>
                <w:szCs w:val="21"/>
              </w:rPr>
              <w:t>4</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412D0D05">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5458B4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vAlign w:val="top"/>
          </w:tcPr>
          <w:p w14:paraId="1E3BC570">
            <w:pPr>
              <w:keepNext w:val="0"/>
              <w:keepLines w:val="0"/>
              <w:suppressLineNumbers w:val="0"/>
              <w:spacing w:before="0" w:beforeAutospacing="0" w:after="0" w:afterAutospacing="0"/>
              <w:ind w:left="0" w:right="0"/>
              <w:jc w:val="center"/>
              <w:rPr>
                <w:rFonts w:hint="default" w:asciiTheme="minorEastAsia" w:hAnsiTheme="minorEastAsia" w:eastAsiaTheme="minorEastAsia"/>
                <w:szCs w:val="21"/>
                <w:highlight w:val="yellow"/>
              </w:rPr>
            </w:pPr>
            <w:r>
              <w:rPr>
                <w:rFonts w:hint="default"/>
                <w:szCs w:val="21"/>
              </w:rPr>
              <w:t>5</w:t>
            </w:r>
          </w:p>
        </w:tc>
        <w:tc>
          <w:tcPr>
            <w:tcW w:w="8386" w:type="dxa"/>
            <w:tcBorders>
              <w:top w:val="single" w:color="000000" w:sz="8" w:space="0"/>
              <w:left w:val="single" w:color="000000" w:sz="8" w:space="0"/>
              <w:bottom w:val="single" w:color="000000" w:sz="8" w:space="0"/>
              <w:right w:val="single" w:color="000000" w:sz="8" w:space="0"/>
            </w:tcBorders>
            <w:shd w:val="clear" w:color="auto" w:fill="auto"/>
            <w:vAlign w:val="top"/>
          </w:tcPr>
          <w:p w14:paraId="63673206">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03C408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vAlign w:val="top"/>
          </w:tcPr>
          <w:p w14:paraId="1A7C66EA">
            <w:pPr>
              <w:keepNext w:val="0"/>
              <w:keepLines w:val="0"/>
              <w:suppressLineNumbers w:val="0"/>
              <w:spacing w:before="0" w:beforeAutospacing="0" w:after="0" w:afterAutospacing="0"/>
              <w:ind w:left="0" w:right="0"/>
              <w:jc w:val="center"/>
              <w:rPr>
                <w:rFonts w:hint="default" w:asciiTheme="minorEastAsia" w:hAnsiTheme="minorEastAsia" w:eastAsiaTheme="minorEastAsia"/>
                <w:szCs w:val="21"/>
              </w:rPr>
            </w:pPr>
            <w:r>
              <w:rPr>
                <w:rFonts w:hint="default"/>
                <w:szCs w:val="21"/>
              </w:rPr>
              <w:t>6</w:t>
            </w:r>
          </w:p>
        </w:tc>
        <w:tc>
          <w:tcPr>
            <w:tcW w:w="8386" w:type="dxa"/>
            <w:tcBorders>
              <w:top w:val="single" w:color="000000" w:sz="8" w:space="0"/>
              <w:left w:val="single" w:color="000000" w:sz="8" w:space="0"/>
              <w:bottom w:val="single" w:color="000000" w:sz="8" w:space="0"/>
              <w:right w:val="single" w:color="000000" w:sz="8" w:space="0"/>
            </w:tcBorders>
            <w:shd w:val="clear" w:color="auto" w:fill="auto"/>
            <w:vAlign w:val="top"/>
          </w:tcPr>
          <w:p w14:paraId="4A319F7B">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rPr>
              <w:t>未按招标文件所提供的样式填写《投标函》；未按招标文件所提供的《采购投标及履约承诺函》进行承诺；未按招标文件对投标文件组成的要求提供投标文件；</w:t>
            </w:r>
          </w:p>
        </w:tc>
      </w:tr>
      <w:tr w14:paraId="7FA9C8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vAlign w:val="top"/>
          </w:tcPr>
          <w:p w14:paraId="40B80186">
            <w:pPr>
              <w:keepNext w:val="0"/>
              <w:keepLines w:val="0"/>
              <w:suppressLineNumbers w:val="0"/>
              <w:spacing w:before="0" w:beforeAutospacing="0" w:after="0" w:afterAutospacing="0"/>
              <w:ind w:left="0" w:right="0"/>
              <w:jc w:val="center"/>
              <w:rPr>
                <w:rFonts w:hint="default" w:asciiTheme="minorEastAsia" w:hAnsiTheme="minorEastAsia" w:eastAsiaTheme="minorEastAsia"/>
                <w:szCs w:val="21"/>
                <w:highlight w:val="yellow"/>
              </w:rPr>
            </w:pPr>
            <w:r>
              <w:rPr>
                <w:rFonts w:hint="default"/>
                <w:szCs w:val="21"/>
              </w:rPr>
              <w:t>7</w:t>
            </w:r>
          </w:p>
        </w:tc>
        <w:tc>
          <w:tcPr>
            <w:tcW w:w="8386" w:type="dxa"/>
            <w:tcBorders>
              <w:top w:val="single" w:color="000000" w:sz="8" w:space="0"/>
              <w:left w:val="single" w:color="000000" w:sz="8" w:space="0"/>
              <w:bottom w:val="single" w:color="000000" w:sz="8" w:space="0"/>
              <w:right w:val="single" w:color="000000" w:sz="8" w:space="0"/>
            </w:tcBorders>
            <w:shd w:val="clear" w:color="auto" w:fill="auto"/>
            <w:vAlign w:val="top"/>
          </w:tcPr>
          <w:p w14:paraId="2E435B36">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highlight w:val="none"/>
                <w:lang w:val="en-US" w:eastAsia="zh-CN"/>
              </w:rPr>
              <w:t>采购标的/所投产品/货物清单/报价等任意一类有缺漏项或响应不全，</w:t>
            </w:r>
            <w:r>
              <w:rPr>
                <w:rFonts w:hint="eastAsia"/>
                <w:highlight w:val="none"/>
              </w:rPr>
              <w:t>或者对招标文件规定的项目需求内容或者需求数量进行修改，评审委员会判定投标响应不满足采购需求；</w:t>
            </w:r>
          </w:p>
        </w:tc>
      </w:tr>
      <w:tr w14:paraId="7A9762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3AB2D8FD">
            <w:pPr>
              <w:keepNext w:val="0"/>
              <w:keepLines w:val="0"/>
              <w:widowControl/>
              <w:suppressLineNumbers w:val="0"/>
              <w:spacing w:before="0" w:beforeAutospacing="0" w:after="0" w:afterAutospacing="0"/>
              <w:ind w:left="0" w:right="0"/>
              <w:jc w:val="center"/>
              <w:textAlignment w:val="top"/>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8</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7DF21BDF">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投标文件电子文档不得带病毒；</w:t>
            </w:r>
          </w:p>
        </w:tc>
      </w:tr>
      <w:tr w14:paraId="55953D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1F732DCC">
            <w:pPr>
              <w:keepNext w:val="0"/>
              <w:keepLines w:val="0"/>
              <w:widowControl/>
              <w:suppressLineNumbers w:val="0"/>
              <w:spacing w:before="0" w:beforeAutospacing="0" w:after="0" w:afterAutospacing="0"/>
              <w:ind w:left="0" w:right="0"/>
              <w:jc w:val="center"/>
              <w:textAlignment w:val="top"/>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9</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5BED39F0">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投标文件用不属于本公司的电子密钥进行加密；</w:t>
            </w:r>
          </w:p>
        </w:tc>
      </w:tr>
      <w:tr w14:paraId="784D76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05AB23B0">
            <w:pPr>
              <w:keepNext w:val="0"/>
              <w:keepLines w:val="0"/>
              <w:widowControl/>
              <w:suppressLineNumbers w:val="0"/>
              <w:spacing w:before="0" w:beforeAutospacing="0" w:after="0" w:afterAutospacing="0"/>
              <w:ind w:left="0" w:right="0"/>
              <w:jc w:val="center"/>
              <w:textAlignment w:val="top"/>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32F4BD9B">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法律、法规、规章、规范性文件规定的其他情形。</w:t>
            </w:r>
          </w:p>
        </w:tc>
      </w:tr>
    </w:tbl>
    <w:p w14:paraId="6D04AD9C">
      <w:pPr>
        <w:pStyle w:val="38"/>
        <w:jc w:val="center"/>
        <w:outlineLvl w:val="1"/>
        <w:rPr>
          <w:rFonts w:ascii="黑体" w:hAnsi="黑体" w:eastAsia="黑体"/>
          <w:sz w:val="40"/>
          <w:szCs w:val="40"/>
        </w:rPr>
      </w:pPr>
    </w:p>
    <w:p w14:paraId="77C7D8E6">
      <w:pPr>
        <w:pStyle w:val="2"/>
      </w:pPr>
      <w:r>
        <w:br w:type="page"/>
      </w:r>
    </w:p>
    <w:p w14:paraId="5EC88375">
      <w:pPr>
        <w:pStyle w:val="38"/>
        <w:jc w:val="center"/>
        <w:outlineLvl w:val="1"/>
        <w:rPr>
          <w:rFonts w:ascii="黑体" w:hAnsi="黑体" w:eastAsia="黑体"/>
          <w:sz w:val="40"/>
          <w:szCs w:val="40"/>
        </w:rPr>
      </w:pPr>
      <w:r>
        <w:rPr>
          <w:rFonts w:hint="eastAsia" w:ascii="黑体" w:hAnsi="黑体" w:eastAsia="黑体"/>
          <w:sz w:val="40"/>
          <w:szCs w:val="40"/>
        </w:rPr>
        <w:t>评标信息</w:t>
      </w:r>
    </w:p>
    <w:tbl>
      <w:tblPr>
        <w:tblStyle w:val="43"/>
        <w:tblW w:w="9072"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5" w:type="dxa"/>
          <w:left w:w="45" w:type="dxa"/>
          <w:bottom w:w="45" w:type="dxa"/>
          <w:right w:w="45" w:type="dxa"/>
        </w:tblCellMar>
      </w:tblPr>
      <w:tblGrid>
        <w:gridCol w:w="9072"/>
      </w:tblGrid>
      <w:tr w14:paraId="6A1E4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072" w:type="dxa"/>
            <w:vAlign w:val="center"/>
          </w:tcPr>
          <w:p w14:paraId="66A3D8B2">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b/>
                <w:bCs/>
                <w:sz w:val="24"/>
              </w:rPr>
            </w:pPr>
            <w:r>
              <w:rPr>
                <w:rFonts w:hint="default" w:asciiTheme="minorEastAsia" w:hAnsiTheme="minorEastAsia" w:eastAsiaTheme="minorEastAsia"/>
                <w:b/>
                <w:bCs/>
              </w:rPr>
              <w:t>评标方法：综合评分法</w:t>
            </w:r>
          </w:p>
        </w:tc>
      </w:tr>
      <w:tr w14:paraId="07287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072" w:type="dxa"/>
            <w:vAlign w:val="center"/>
          </w:tcPr>
          <w:p w14:paraId="6CD4D24F">
            <w:pPr>
              <w:keepNext w:val="0"/>
              <w:keepLines w:val="0"/>
              <w:suppressLineNumbers w:val="0"/>
              <w:spacing w:before="0" w:beforeAutospacing="0" w:after="0" w:afterAutospacing="0"/>
              <w:ind w:left="0" w:right="0" w:firstLine="420"/>
              <w:rPr>
                <w:rFonts w:hint="default" w:asciiTheme="minorEastAsia" w:hAnsiTheme="minorEastAsia" w:eastAsiaTheme="minorEastAsia"/>
                <w:szCs w:val="21"/>
              </w:rPr>
            </w:pPr>
            <w:r>
              <w:rPr>
                <w:rFonts w:hint="default" w:asciiTheme="minorEastAsia" w:hAnsiTheme="minorEastAsia" w:eastAsiaTheme="minorEastAsia"/>
                <w:szCs w:val="21"/>
              </w:rPr>
              <w:t>综合评分法，是指</w:t>
            </w:r>
            <w:r>
              <w:rPr>
                <w:rFonts w:hint="eastAsia" w:asciiTheme="minorEastAsia" w:hAnsiTheme="minorEastAsia" w:eastAsiaTheme="minorEastAsia"/>
                <w:kern w:val="0"/>
                <w:szCs w:val="21"/>
              </w:rPr>
              <w:t>投标文件满足招标文件全部实质性要求</w:t>
            </w:r>
            <w:r>
              <w:rPr>
                <w:rFonts w:hint="default" w:asciiTheme="minorEastAsia" w:hAnsiTheme="minorEastAsia" w:eastAsiaTheme="minorEastAsia"/>
                <w:szCs w:val="21"/>
              </w:rPr>
              <w:t>，且按照</w:t>
            </w:r>
            <w:r>
              <w:rPr>
                <w:rFonts w:hint="eastAsia" w:asciiTheme="minorEastAsia" w:hAnsiTheme="minorEastAsia" w:eastAsiaTheme="minorEastAsia"/>
                <w:szCs w:val="21"/>
              </w:rPr>
              <w:t>招标文件规定的各项因素进行综合评审，评标总得分排名前列</w:t>
            </w:r>
            <w:r>
              <w:rPr>
                <w:rFonts w:hint="default" w:asciiTheme="minorEastAsia" w:hAnsiTheme="minorEastAsia" w:eastAsiaTheme="minorEastAsia"/>
                <w:szCs w:val="21"/>
              </w:rPr>
              <w:t>的投标人为中标候选人的评标方法。</w:t>
            </w:r>
          </w:p>
          <w:p w14:paraId="2957557C">
            <w:pPr>
              <w:keepNext w:val="0"/>
              <w:keepLines w:val="0"/>
              <w:suppressLineNumbers w:val="0"/>
              <w:spacing w:before="0" w:beforeAutospacing="0" w:after="0" w:afterAutospacing="0"/>
              <w:ind w:left="0" w:right="0" w:firstLine="420"/>
              <w:rPr>
                <w:rFonts w:hint="default" w:asciiTheme="minorEastAsia" w:hAnsiTheme="minorEastAsia" w:eastAsiaTheme="minorEastAsia"/>
                <w:szCs w:val="21"/>
              </w:rPr>
            </w:pPr>
            <w:r>
              <w:rPr>
                <w:rFonts w:hint="default" w:asciiTheme="minorEastAsia" w:hAnsiTheme="minorEastAsia" w:eastAsiaTheme="minorEastAsia"/>
                <w:szCs w:val="21"/>
              </w:rPr>
              <w:t>价格分计算方法：</w:t>
            </w:r>
          </w:p>
          <w:p w14:paraId="3D604D7B">
            <w:pPr>
              <w:keepNext w:val="0"/>
              <w:keepLines w:val="0"/>
              <w:widowControl/>
              <w:suppressLineNumbers w:val="0"/>
              <w:spacing w:before="0" w:beforeAutospacing="0" w:after="0" w:afterAutospacing="0"/>
              <w:ind w:left="420" w:right="0"/>
              <w:jc w:val="left"/>
              <w:rPr>
                <w:rFonts w:hint="default" w:asciiTheme="minorEastAsia" w:hAnsiTheme="minorEastAsia" w:eastAsiaTheme="minorEastAsia"/>
                <w:szCs w:val="21"/>
              </w:rPr>
            </w:pPr>
            <w:r>
              <w:rPr>
                <w:rFonts w:hint="default" w:asciiTheme="minorEastAsia" w:hAnsiTheme="minorEastAsia" w:eastAsiaTheme="minorEastAsia"/>
                <w:szCs w:val="21"/>
              </w:rPr>
              <w:t xml:space="preserve">采用低价优先法计算，即满足招标文件要求且投标价格最低的投标报价为评标基准价，其价格分为满分。其他投标人的价格分统一按照下列公式计算： </w:t>
            </w:r>
            <w:r>
              <w:rPr>
                <w:rFonts w:hint="default" w:asciiTheme="minorEastAsia" w:hAnsiTheme="minorEastAsia" w:eastAsiaTheme="minorEastAsia"/>
                <w:szCs w:val="21"/>
              </w:rPr>
              <w:br w:type="textWrapping"/>
            </w:r>
            <w:r>
              <w:rPr>
                <w:rFonts w:hint="default" w:asciiTheme="minorEastAsia" w:hAnsiTheme="minorEastAsia" w:eastAsiaTheme="minorEastAsia"/>
                <w:szCs w:val="21"/>
              </w:rPr>
              <w:t xml:space="preserve">投标报价得分=(评标基准价／投标报价)×100 </w:t>
            </w:r>
            <w:r>
              <w:rPr>
                <w:rFonts w:hint="default" w:asciiTheme="minorEastAsia" w:hAnsiTheme="minorEastAsia" w:eastAsiaTheme="minorEastAsia"/>
                <w:szCs w:val="21"/>
              </w:rPr>
              <w:br w:type="textWrapping"/>
            </w:r>
            <w:r>
              <w:rPr>
                <w:rFonts w:hint="default" w:asciiTheme="minorEastAsia" w:hAnsiTheme="minorEastAsia" w:eastAsiaTheme="minorEastAsia"/>
                <w:szCs w:val="21"/>
              </w:rPr>
              <w:t xml:space="preserve">评标总得分＝F1×A1＋F2×A2＋……＋Fn×An </w:t>
            </w:r>
            <w:r>
              <w:rPr>
                <w:rFonts w:hint="default" w:asciiTheme="minorEastAsia" w:hAnsiTheme="minorEastAsia" w:eastAsiaTheme="minorEastAsia"/>
                <w:szCs w:val="21"/>
              </w:rPr>
              <w:br w:type="textWrapping"/>
            </w:r>
            <w:r>
              <w:rPr>
                <w:rFonts w:hint="default" w:asciiTheme="minorEastAsia" w:hAnsiTheme="minorEastAsia" w:eastAsiaTheme="minorEastAsia"/>
                <w:szCs w:val="21"/>
              </w:rPr>
              <w:t xml:space="preserve">F1、F2……Fn分别为各项评审因素的得分； </w:t>
            </w:r>
            <w:r>
              <w:rPr>
                <w:rFonts w:hint="default" w:asciiTheme="minorEastAsia" w:hAnsiTheme="minorEastAsia" w:eastAsiaTheme="minorEastAsia"/>
                <w:szCs w:val="21"/>
              </w:rPr>
              <w:br w:type="textWrapping"/>
            </w:r>
            <w:r>
              <w:rPr>
                <w:rFonts w:hint="default" w:asciiTheme="minorEastAsia" w:hAnsiTheme="minorEastAsia" w:eastAsiaTheme="minorEastAsia"/>
                <w:szCs w:val="21"/>
              </w:rPr>
              <w:t xml:space="preserve">A1、A2、……An 分别为各项评审因素所占的权重(A1＋A2＋……＋An＝1)。 </w:t>
            </w:r>
            <w:r>
              <w:rPr>
                <w:rFonts w:hint="default" w:asciiTheme="minorEastAsia" w:hAnsiTheme="minorEastAsia" w:eastAsiaTheme="minorEastAsia"/>
                <w:szCs w:val="21"/>
              </w:rPr>
              <w:br w:type="textWrapping"/>
            </w:r>
            <w:r>
              <w:rPr>
                <w:rFonts w:hint="default" w:asciiTheme="minorEastAsia" w:hAnsiTheme="minorEastAsia" w:eastAsiaTheme="minorEastAsia"/>
                <w:szCs w:val="21"/>
              </w:rPr>
              <w:t>评标过程中，不得去掉报价中的最高报价和最低报价。</w:t>
            </w:r>
          </w:p>
          <w:p w14:paraId="6A82B2B9">
            <w:pPr>
              <w:keepNext w:val="0"/>
              <w:keepLines w:val="0"/>
              <w:widowControl/>
              <w:suppressLineNumbers w:val="0"/>
              <w:spacing w:before="0" w:beforeAutospacing="0" w:after="0" w:afterAutospacing="0"/>
              <w:ind w:left="420" w:right="0"/>
              <w:jc w:val="left"/>
              <w:rPr>
                <w:rFonts w:hint="default" w:asciiTheme="minorEastAsia" w:hAnsiTheme="minorEastAsia" w:eastAsiaTheme="minorEastAsia"/>
                <w:szCs w:val="21"/>
              </w:rPr>
            </w:pPr>
            <w:r>
              <w:rPr>
                <w:rFonts w:hint="eastAsia" w:asciiTheme="minorEastAsia" w:hAnsiTheme="minorEastAsia" w:eastAsiaTheme="minorEastAsia"/>
                <w:szCs w:val="21"/>
              </w:rPr>
              <w:t>因落实政府采购政策进行价格调整的，以调整后的价格计算评标基准价和投标报价。</w:t>
            </w:r>
          </w:p>
          <w:p w14:paraId="4085AFB4">
            <w:pPr>
              <w:keepNext w:val="0"/>
              <w:keepLines w:val="0"/>
              <w:widowControl/>
              <w:suppressLineNumbers w:val="0"/>
              <w:spacing w:before="0" w:beforeAutospacing="0" w:after="0" w:afterAutospacing="0"/>
              <w:ind w:left="420" w:right="0"/>
              <w:jc w:val="left"/>
              <w:rPr>
                <w:rFonts w:hint="default" w:asciiTheme="minorEastAsia" w:hAnsiTheme="minorEastAsia" w:eastAsiaTheme="minorEastAsia"/>
                <w:kern w:val="0"/>
                <w:sz w:val="24"/>
              </w:rPr>
            </w:pPr>
          </w:p>
          <w:p w14:paraId="4D86AD8D">
            <w:pPr>
              <w:pStyle w:val="2"/>
              <w:keepNext w:val="0"/>
              <w:keepLines w:val="0"/>
              <w:suppressLineNumbers w:val="0"/>
              <w:spacing w:before="0" w:beforeAutospacing="0" w:after="0" w:afterAutospacing="0"/>
              <w:ind w:left="0" w:right="0"/>
              <w:rPr>
                <w:rFonts w:hint="default" w:asciiTheme="minorEastAsia" w:hAnsiTheme="minorEastAsia" w:eastAsiaTheme="minorEastAsia"/>
              </w:rPr>
            </w:pPr>
            <w:r>
              <w:rPr>
                <w:rFonts w:hint="eastAsia" w:asciiTheme="minorEastAsia" w:hAnsiTheme="minorEastAsia" w:eastAsiaTheme="minorEastAsia"/>
                <w:sz w:val="22"/>
              </w:rPr>
              <w:t>注：投标人的“投标技术响应”“技术要求偏离表中偏离情况”等必须与客观实际保持一致，响应不实且情节严重的，经查实，将依法记入供应商诚信档案或受到行政处罚。</w:t>
            </w:r>
          </w:p>
        </w:tc>
      </w:tr>
    </w:tbl>
    <w:tbl>
      <w:tblPr>
        <w:tblStyle w:val="43"/>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05"/>
        <w:gridCol w:w="1762"/>
        <w:gridCol w:w="851"/>
        <w:gridCol w:w="5119"/>
      </w:tblGrid>
      <w:tr w14:paraId="07E98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5CA4C010">
            <w:pPr>
              <w:keepNext w:val="0"/>
              <w:keepLines w:val="0"/>
              <w:suppressLineNumbers w:val="0"/>
              <w:spacing w:before="0" w:beforeAutospacing="0" w:after="0" w:afterAutospacing="0" w:line="240" w:lineRule="exact"/>
              <w:ind w:left="0" w:right="0"/>
              <w:jc w:val="center"/>
              <w:rPr>
                <w:rFonts w:hint="eastAsia" w:ascii="宋体" w:hAnsi="宋体" w:eastAsia="宋体" w:cs="宋体"/>
                <w:sz w:val="21"/>
                <w:szCs w:val="21"/>
              </w:rPr>
            </w:pPr>
            <w:r>
              <w:rPr>
                <w:rFonts w:hint="eastAsia" w:ascii="宋体" w:hAnsi="宋体" w:eastAsia="宋体" w:cs="宋体"/>
                <w:sz w:val="21"/>
                <w:szCs w:val="21"/>
              </w:rPr>
              <w:t>序号</w:t>
            </w:r>
          </w:p>
        </w:tc>
        <w:tc>
          <w:tcPr>
            <w:tcW w:w="3118" w:type="dxa"/>
            <w:gridSpan w:val="3"/>
            <w:vAlign w:val="center"/>
          </w:tcPr>
          <w:p w14:paraId="3769008D">
            <w:pPr>
              <w:keepNext w:val="0"/>
              <w:keepLines w:val="0"/>
              <w:suppressLineNumbers w:val="0"/>
              <w:spacing w:before="0" w:beforeAutospacing="0" w:after="0" w:afterAutospacing="0" w:line="240" w:lineRule="exact"/>
              <w:ind w:left="0" w:right="0"/>
              <w:jc w:val="center"/>
              <w:rPr>
                <w:rFonts w:hint="eastAsia" w:ascii="宋体" w:hAnsi="宋体" w:eastAsia="宋体" w:cs="宋体"/>
                <w:sz w:val="21"/>
                <w:szCs w:val="21"/>
              </w:rPr>
            </w:pPr>
            <w:r>
              <w:rPr>
                <w:rFonts w:hint="eastAsia" w:ascii="宋体" w:hAnsi="宋体" w:eastAsia="宋体" w:cs="宋体"/>
                <w:sz w:val="21"/>
                <w:szCs w:val="21"/>
              </w:rPr>
              <w:t>评分项</w:t>
            </w:r>
          </w:p>
        </w:tc>
        <w:tc>
          <w:tcPr>
            <w:tcW w:w="5119" w:type="dxa"/>
            <w:vAlign w:val="center"/>
          </w:tcPr>
          <w:p w14:paraId="5246F9C9">
            <w:pPr>
              <w:keepNext w:val="0"/>
              <w:keepLines w:val="0"/>
              <w:suppressLineNumbers w:val="0"/>
              <w:spacing w:before="0" w:beforeAutospacing="0" w:after="0" w:afterAutospacing="0" w:line="240" w:lineRule="exact"/>
              <w:ind w:left="0" w:right="0"/>
              <w:jc w:val="center"/>
              <w:rPr>
                <w:rFonts w:hint="eastAsia" w:ascii="宋体" w:hAnsi="宋体" w:eastAsia="宋体" w:cs="宋体"/>
                <w:sz w:val="21"/>
                <w:szCs w:val="21"/>
              </w:rPr>
            </w:pPr>
            <w:r>
              <w:rPr>
                <w:rFonts w:hint="eastAsia" w:ascii="宋体" w:hAnsi="宋体" w:eastAsia="宋体" w:cs="宋体"/>
                <w:sz w:val="21"/>
                <w:szCs w:val="21"/>
              </w:rPr>
              <w:t>权重</w:t>
            </w:r>
          </w:p>
        </w:tc>
      </w:tr>
      <w:tr w14:paraId="0F87B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252D744C">
            <w:pPr>
              <w:keepNext w:val="0"/>
              <w:keepLines w:val="0"/>
              <w:suppressLineNumbers w:val="0"/>
              <w:spacing w:before="0" w:beforeAutospacing="0" w:after="0" w:afterAutospacing="0" w:line="240" w:lineRule="exact"/>
              <w:ind w:left="0" w:right="0"/>
              <w:jc w:val="center"/>
              <w:rPr>
                <w:rFonts w:hint="eastAsia" w:ascii="宋体" w:hAnsi="宋体" w:eastAsia="宋体" w:cs="宋体"/>
                <w:sz w:val="21"/>
                <w:szCs w:val="21"/>
              </w:rPr>
            </w:pPr>
            <w:r>
              <w:rPr>
                <w:rFonts w:hint="eastAsia" w:ascii="宋体" w:hAnsi="宋体" w:eastAsia="宋体" w:cs="宋体"/>
                <w:sz w:val="21"/>
                <w:szCs w:val="21"/>
              </w:rPr>
              <w:t>1</w:t>
            </w:r>
          </w:p>
        </w:tc>
        <w:tc>
          <w:tcPr>
            <w:tcW w:w="3118" w:type="dxa"/>
            <w:gridSpan w:val="3"/>
            <w:vAlign w:val="center"/>
          </w:tcPr>
          <w:p w14:paraId="5BD34F77">
            <w:pPr>
              <w:keepNext w:val="0"/>
              <w:keepLines w:val="0"/>
              <w:suppressLineNumbers w:val="0"/>
              <w:spacing w:before="0" w:beforeAutospacing="0" w:after="0" w:afterAutospacing="0" w:line="240" w:lineRule="exact"/>
              <w:ind w:left="0" w:right="0"/>
              <w:jc w:val="center"/>
              <w:rPr>
                <w:rFonts w:hint="eastAsia" w:ascii="宋体" w:hAnsi="宋体" w:eastAsia="宋体" w:cs="宋体"/>
                <w:sz w:val="21"/>
                <w:szCs w:val="21"/>
              </w:rPr>
            </w:pPr>
            <w:r>
              <w:rPr>
                <w:rFonts w:hint="eastAsia" w:ascii="宋体" w:hAnsi="宋体" w:eastAsia="宋体" w:cs="宋体"/>
                <w:sz w:val="21"/>
                <w:szCs w:val="21"/>
              </w:rPr>
              <w:t>价格</w:t>
            </w:r>
          </w:p>
        </w:tc>
        <w:tc>
          <w:tcPr>
            <w:tcW w:w="5119" w:type="dxa"/>
            <w:vAlign w:val="center"/>
          </w:tcPr>
          <w:p w14:paraId="549C697D">
            <w:pPr>
              <w:keepNext w:val="0"/>
              <w:keepLines w:val="0"/>
              <w:suppressLineNumbers w:val="0"/>
              <w:spacing w:before="0" w:beforeAutospacing="0" w:after="0" w:afterAutospacing="0" w:line="240" w:lineRule="exact"/>
              <w:ind w:left="0" w:right="0"/>
              <w:jc w:val="center"/>
              <w:rPr>
                <w:rFonts w:hint="eastAsia" w:ascii="宋体" w:hAnsi="宋体" w:eastAsia="宋体" w:cs="宋体"/>
                <w:sz w:val="21"/>
                <w:szCs w:val="21"/>
              </w:rPr>
            </w:pPr>
            <w:r>
              <w:rPr>
                <w:rFonts w:hint="eastAsia" w:ascii="宋体" w:hAnsi="宋体" w:eastAsia="宋体" w:cs="宋体"/>
                <w:sz w:val="21"/>
                <w:szCs w:val="21"/>
              </w:rPr>
              <w:t>30</w:t>
            </w:r>
          </w:p>
        </w:tc>
      </w:tr>
      <w:tr w14:paraId="43EFD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63ADCA2E">
            <w:pPr>
              <w:keepNext w:val="0"/>
              <w:keepLines w:val="0"/>
              <w:suppressLineNumbers w:val="0"/>
              <w:spacing w:before="0" w:beforeAutospacing="0" w:after="0" w:afterAutospacing="0" w:line="240" w:lineRule="exact"/>
              <w:ind w:left="0" w:right="0"/>
              <w:jc w:val="center"/>
              <w:rPr>
                <w:rFonts w:hint="eastAsia" w:ascii="宋体" w:hAnsi="宋体" w:eastAsia="宋体" w:cs="宋体"/>
                <w:sz w:val="21"/>
                <w:szCs w:val="21"/>
              </w:rPr>
            </w:pPr>
            <w:r>
              <w:rPr>
                <w:rFonts w:hint="eastAsia" w:ascii="宋体" w:hAnsi="宋体" w:eastAsia="宋体" w:cs="宋体"/>
                <w:sz w:val="21"/>
                <w:szCs w:val="21"/>
              </w:rPr>
              <w:t>2</w:t>
            </w:r>
          </w:p>
        </w:tc>
        <w:tc>
          <w:tcPr>
            <w:tcW w:w="3118" w:type="dxa"/>
            <w:gridSpan w:val="3"/>
            <w:vAlign w:val="center"/>
          </w:tcPr>
          <w:p w14:paraId="1D323A07">
            <w:pPr>
              <w:keepNext w:val="0"/>
              <w:keepLines w:val="0"/>
              <w:suppressLineNumbers w:val="0"/>
              <w:spacing w:before="0" w:beforeAutospacing="0" w:after="0" w:afterAutospacing="0" w:line="240" w:lineRule="exact"/>
              <w:ind w:left="0" w:right="0"/>
              <w:jc w:val="center"/>
              <w:rPr>
                <w:rFonts w:hint="eastAsia" w:ascii="宋体" w:hAnsi="宋体" w:eastAsia="宋体" w:cs="宋体"/>
                <w:sz w:val="21"/>
                <w:szCs w:val="21"/>
              </w:rPr>
            </w:pPr>
            <w:r>
              <w:rPr>
                <w:rFonts w:hint="eastAsia" w:ascii="宋体" w:hAnsi="宋体" w:eastAsia="宋体" w:cs="宋体"/>
                <w:sz w:val="21"/>
                <w:szCs w:val="21"/>
              </w:rPr>
              <w:t>技术部分</w:t>
            </w:r>
          </w:p>
        </w:tc>
        <w:tc>
          <w:tcPr>
            <w:tcW w:w="5119" w:type="dxa"/>
            <w:vAlign w:val="center"/>
          </w:tcPr>
          <w:p w14:paraId="2AE8E6ED">
            <w:pPr>
              <w:keepNext w:val="0"/>
              <w:keepLines w:val="0"/>
              <w:suppressLineNumbers w:val="0"/>
              <w:spacing w:before="0" w:beforeAutospacing="0" w:after="0" w:afterAutospacing="0"/>
              <w:ind w:left="0" w:right="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55</w:t>
            </w:r>
          </w:p>
        </w:tc>
      </w:tr>
      <w:tr w14:paraId="31FB3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Merge w:val="restart"/>
            <w:vAlign w:val="center"/>
          </w:tcPr>
          <w:p w14:paraId="63278B4B">
            <w:pPr>
              <w:keepNext w:val="0"/>
              <w:keepLines w:val="0"/>
              <w:suppressLineNumbers w:val="0"/>
              <w:spacing w:before="0" w:beforeAutospacing="0" w:after="0" w:afterAutospacing="0" w:line="240" w:lineRule="exact"/>
              <w:ind w:left="0" w:right="0"/>
              <w:jc w:val="center"/>
              <w:rPr>
                <w:rFonts w:hint="eastAsia" w:ascii="宋体" w:hAnsi="宋体" w:eastAsia="宋体" w:cs="宋体"/>
                <w:sz w:val="21"/>
                <w:szCs w:val="21"/>
              </w:rPr>
            </w:pPr>
          </w:p>
        </w:tc>
        <w:tc>
          <w:tcPr>
            <w:tcW w:w="505" w:type="dxa"/>
            <w:vAlign w:val="center"/>
          </w:tcPr>
          <w:p w14:paraId="7F17A644">
            <w:pPr>
              <w:keepNext w:val="0"/>
              <w:keepLines w:val="0"/>
              <w:suppressLineNumbers w:val="0"/>
              <w:spacing w:before="0" w:beforeAutospacing="0" w:after="0" w:afterAutospacing="0" w:line="240" w:lineRule="exact"/>
              <w:ind w:left="0" w:right="0"/>
              <w:jc w:val="center"/>
              <w:rPr>
                <w:rFonts w:hint="eastAsia" w:ascii="宋体" w:hAnsi="宋体" w:eastAsia="宋体" w:cs="宋体"/>
                <w:sz w:val="21"/>
                <w:szCs w:val="21"/>
              </w:rPr>
            </w:pPr>
            <w:r>
              <w:rPr>
                <w:rFonts w:hint="eastAsia" w:ascii="宋体" w:hAnsi="宋体" w:eastAsia="宋体" w:cs="宋体"/>
                <w:sz w:val="21"/>
                <w:szCs w:val="21"/>
              </w:rPr>
              <w:t>序号</w:t>
            </w:r>
          </w:p>
        </w:tc>
        <w:tc>
          <w:tcPr>
            <w:tcW w:w="1762" w:type="dxa"/>
            <w:vAlign w:val="center"/>
          </w:tcPr>
          <w:p w14:paraId="49527FBB">
            <w:pPr>
              <w:keepNext w:val="0"/>
              <w:keepLines w:val="0"/>
              <w:suppressLineNumbers w:val="0"/>
              <w:spacing w:before="0" w:beforeAutospacing="0" w:after="0" w:afterAutospacing="0" w:line="240" w:lineRule="exact"/>
              <w:ind w:left="0" w:right="0"/>
              <w:jc w:val="center"/>
              <w:rPr>
                <w:rFonts w:hint="eastAsia" w:ascii="宋体" w:hAnsi="宋体" w:eastAsia="宋体" w:cs="宋体"/>
                <w:sz w:val="21"/>
                <w:szCs w:val="21"/>
              </w:rPr>
            </w:pPr>
            <w:r>
              <w:rPr>
                <w:rFonts w:hint="eastAsia" w:ascii="宋体" w:hAnsi="宋体" w:eastAsia="宋体" w:cs="宋体"/>
                <w:sz w:val="21"/>
                <w:szCs w:val="21"/>
              </w:rPr>
              <w:t>评分因素</w:t>
            </w:r>
          </w:p>
        </w:tc>
        <w:tc>
          <w:tcPr>
            <w:tcW w:w="851" w:type="dxa"/>
            <w:vAlign w:val="center"/>
          </w:tcPr>
          <w:p w14:paraId="7CFAFAAD">
            <w:pPr>
              <w:keepNext w:val="0"/>
              <w:keepLines w:val="0"/>
              <w:suppressLineNumbers w:val="0"/>
              <w:spacing w:before="0" w:beforeAutospacing="0" w:after="0" w:afterAutospacing="0" w:line="240" w:lineRule="exact"/>
              <w:ind w:left="0" w:right="0"/>
              <w:jc w:val="center"/>
              <w:rPr>
                <w:rFonts w:hint="eastAsia" w:ascii="宋体" w:hAnsi="宋体" w:eastAsia="宋体" w:cs="宋体"/>
                <w:sz w:val="21"/>
                <w:szCs w:val="21"/>
              </w:rPr>
            </w:pPr>
            <w:r>
              <w:rPr>
                <w:rFonts w:hint="eastAsia" w:ascii="宋体" w:hAnsi="宋体" w:eastAsia="宋体" w:cs="宋体"/>
                <w:sz w:val="21"/>
                <w:szCs w:val="21"/>
              </w:rPr>
              <w:t>权重（%）</w:t>
            </w:r>
          </w:p>
        </w:tc>
        <w:tc>
          <w:tcPr>
            <w:tcW w:w="5119" w:type="dxa"/>
            <w:vAlign w:val="center"/>
          </w:tcPr>
          <w:p w14:paraId="436FC592">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评分准则</w:t>
            </w:r>
          </w:p>
        </w:tc>
      </w:tr>
      <w:tr w14:paraId="720D2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Merge w:val="continue"/>
            <w:vAlign w:val="center"/>
          </w:tcPr>
          <w:p w14:paraId="0E44E350">
            <w:pPr>
              <w:keepNext/>
              <w:keepLines/>
              <w:suppressLineNumbers w:val="0"/>
              <w:spacing w:before="340" w:beforeAutospacing="0" w:after="330" w:afterAutospacing="0" w:line="240" w:lineRule="exact"/>
              <w:ind w:left="0" w:right="0"/>
              <w:jc w:val="center"/>
              <w:outlineLvl w:val="0"/>
              <w:rPr>
                <w:rFonts w:hint="eastAsia" w:ascii="宋体" w:hAnsi="宋体" w:eastAsia="宋体" w:cs="宋体"/>
                <w:sz w:val="21"/>
                <w:szCs w:val="21"/>
              </w:rPr>
            </w:pPr>
          </w:p>
        </w:tc>
        <w:tc>
          <w:tcPr>
            <w:tcW w:w="505" w:type="dxa"/>
            <w:vAlign w:val="center"/>
          </w:tcPr>
          <w:p w14:paraId="03D13448">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762" w:type="dxa"/>
            <w:vAlign w:val="center"/>
          </w:tcPr>
          <w:p w14:paraId="0BCF54D3">
            <w:pPr>
              <w:keepNext w:val="0"/>
              <w:keepLines w:val="0"/>
              <w:suppressLineNumbers w:val="0"/>
              <w:adjustRightInd w:val="0"/>
              <w:snapToGrid w:val="0"/>
              <w:spacing w:before="0" w:beforeAutospacing="0" w:after="0" w:afterAutospacing="0" w:line="240" w:lineRule="atLeas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技术规格偏离情况</w:t>
            </w:r>
          </w:p>
        </w:tc>
        <w:tc>
          <w:tcPr>
            <w:tcW w:w="851" w:type="dxa"/>
            <w:vAlign w:val="center"/>
          </w:tcPr>
          <w:p w14:paraId="2BF5CBA4">
            <w:pPr>
              <w:keepNext w:val="0"/>
              <w:keepLines w:val="0"/>
              <w:suppressLineNumbers w:val="0"/>
              <w:spacing w:before="0" w:beforeAutospacing="0" w:after="0" w:afterAutospacing="0"/>
              <w:ind w:left="-78" w:leftChars="-37" w:right="-73" w:rightChars="-35"/>
              <w:jc w:val="center"/>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55</w:t>
            </w:r>
          </w:p>
        </w:tc>
        <w:tc>
          <w:tcPr>
            <w:tcW w:w="5119" w:type="dxa"/>
            <w:vAlign w:val="center"/>
          </w:tcPr>
          <w:p w14:paraId="23EA5E1C">
            <w:pPr>
              <w:pStyle w:val="18"/>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kern w:val="0"/>
                <w:sz w:val="21"/>
                <w:szCs w:val="21"/>
                <w:highlight w:val="none"/>
                <w:lang w:eastAsia="zh-CN"/>
              </w:rPr>
              <w:t>评分内容</w:t>
            </w:r>
            <w:r>
              <w:rPr>
                <w:rFonts w:hint="eastAsia" w:ascii="宋体" w:hAnsi="宋体" w:eastAsia="宋体" w:cs="宋体"/>
                <w:kern w:val="0"/>
                <w:sz w:val="21"/>
                <w:szCs w:val="21"/>
                <w:highlight w:val="none"/>
              </w:rPr>
              <w:t>：投标人应如实填写《技术要求偏离表》，评审委员会根据技术需求参数响应情况进行打分，各项技术参数指标及要求全部满足的得100分，所有标注“▲”的重要参数每项负偏离一扣</w:t>
            </w:r>
            <w:r>
              <w:rPr>
                <w:rFonts w:hint="eastAsia" w:ascii="宋体" w:hAnsi="宋体" w:eastAsia="宋体" w:cs="宋体"/>
                <w:kern w:val="0"/>
                <w:sz w:val="21"/>
                <w:szCs w:val="21"/>
                <w:highlight w:val="none"/>
                <w:lang w:val="en-US" w:eastAsia="zh-CN"/>
              </w:rPr>
              <w:t>10</w:t>
            </w:r>
            <w:r>
              <w:rPr>
                <w:rFonts w:hint="eastAsia" w:ascii="宋体" w:hAnsi="宋体" w:eastAsia="宋体" w:cs="宋体"/>
                <w:kern w:val="0"/>
                <w:sz w:val="21"/>
                <w:szCs w:val="21"/>
                <w:highlight w:val="none"/>
              </w:rPr>
              <w:t>分，一般参数每负偏离一条扣</w:t>
            </w:r>
            <w:r>
              <w:rPr>
                <w:rFonts w:hint="eastAsia" w:ascii="宋体" w:hAnsi="宋体" w:eastAsia="宋体" w:cs="宋体"/>
                <w:kern w:val="0"/>
                <w:sz w:val="21"/>
                <w:szCs w:val="21"/>
                <w:highlight w:val="none"/>
                <w:lang w:val="en-US" w:eastAsia="zh-CN"/>
              </w:rPr>
              <w:t>4.7</w:t>
            </w:r>
            <w:r>
              <w:rPr>
                <w:rFonts w:hint="eastAsia" w:ascii="宋体" w:hAnsi="宋体" w:eastAsia="宋体" w:cs="宋体"/>
                <w:kern w:val="0"/>
                <w:sz w:val="21"/>
                <w:szCs w:val="21"/>
                <w:highlight w:val="none"/>
              </w:rPr>
              <w:t>分，扣完为止。</w:t>
            </w:r>
            <w:r>
              <w:rPr>
                <w:rFonts w:hint="eastAsia" w:ascii="宋体" w:hAnsi="宋体" w:eastAsia="宋体" w:cs="宋体"/>
                <w:sz w:val="21"/>
                <w:szCs w:val="21"/>
                <w:highlight w:val="none"/>
              </w:rPr>
              <w:t>如技术要求中载明提供证明材料的，需提供对应的证明材料</w:t>
            </w:r>
            <w:r>
              <w:rPr>
                <w:rFonts w:hint="eastAsia" w:ascii="宋体" w:hAnsi="宋体" w:eastAsia="宋体" w:cs="宋体"/>
                <w:sz w:val="21"/>
                <w:szCs w:val="21"/>
                <w:highlight w:val="none"/>
                <w:lang w:eastAsia="zh-CN"/>
              </w:rPr>
              <w:t>，</w:t>
            </w:r>
            <w:r>
              <w:rPr>
                <w:rFonts w:hint="eastAsia" w:hAnsi="宋体" w:cs="宋体"/>
                <w:sz w:val="21"/>
                <w:szCs w:val="21"/>
                <w:highlight w:val="none"/>
                <w:lang w:val="en-US" w:eastAsia="zh-CN"/>
              </w:rPr>
              <w:t>未提供有效证明材料的视为负偏离。证明材料是否有效由评审委员会根据招标文件要求判定。</w:t>
            </w:r>
          </w:p>
        </w:tc>
      </w:tr>
      <w:tr w14:paraId="709E8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7CBB55DB">
            <w:pPr>
              <w:keepNext w:val="0"/>
              <w:keepLines w:val="0"/>
              <w:suppressLineNumbers w:val="0"/>
              <w:spacing w:before="0" w:beforeAutospacing="0" w:after="0" w:afterAutospacing="0" w:line="240" w:lineRule="exact"/>
              <w:ind w:left="0" w:right="0"/>
              <w:jc w:val="center"/>
              <w:rPr>
                <w:rFonts w:hint="eastAsia" w:ascii="宋体" w:hAnsi="宋体" w:eastAsia="宋体" w:cs="宋体"/>
                <w:sz w:val="21"/>
                <w:szCs w:val="21"/>
              </w:rPr>
            </w:pPr>
            <w:r>
              <w:rPr>
                <w:rFonts w:hint="eastAsia" w:ascii="宋体" w:hAnsi="宋体" w:eastAsia="宋体" w:cs="宋体"/>
                <w:sz w:val="21"/>
                <w:szCs w:val="21"/>
              </w:rPr>
              <w:t>3</w:t>
            </w:r>
          </w:p>
        </w:tc>
        <w:tc>
          <w:tcPr>
            <w:tcW w:w="3118" w:type="dxa"/>
            <w:gridSpan w:val="3"/>
            <w:vAlign w:val="center"/>
          </w:tcPr>
          <w:p w14:paraId="39D99EFB">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商务需求</w:t>
            </w:r>
          </w:p>
        </w:tc>
        <w:tc>
          <w:tcPr>
            <w:tcW w:w="5119" w:type="dxa"/>
            <w:vAlign w:val="center"/>
          </w:tcPr>
          <w:p w14:paraId="6CB4D6BA">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12</w:t>
            </w:r>
          </w:p>
        </w:tc>
      </w:tr>
      <w:tr w14:paraId="0443C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Merge w:val="restart"/>
            <w:vAlign w:val="center"/>
          </w:tcPr>
          <w:p w14:paraId="0D62C5EC">
            <w:pPr>
              <w:keepNext/>
              <w:keepLines/>
              <w:suppressLineNumbers w:val="0"/>
              <w:spacing w:before="340" w:beforeAutospacing="0" w:after="330" w:afterAutospacing="0" w:line="240" w:lineRule="exact"/>
              <w:ind w:left="0" w:right="0"/>
              <w:jc w:val="center"/>
              <w:outlineLvl w:val="0"/>
              <w:rPr>
                <w:rFonts w:hint="eastAsia" w:ascii="宋体" w:hAnsi="宋体" w:eastAsia="宋体" w:cs="宋体"/>
                <w:sz w:val="21"/>
                <w:szCs w:val="21"/>
              </w:rPr>
            </w:pPr>
          </w:p>
        </w:tc>
        <w:tc>
          <w:tcPr>
            <w:tcW w:w="505" w:type="dxa"/>
            <w:vAlign w:val="center"/>
          </w:tcPr>
          <w:p w14:paraId="214FAB81">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762" w:type="dxa"/>
            <w:vAlign w:val="center"/>
          </w:tcPr>
          <w:p w14:paraId="08733342">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评分因素</w:t>
            </w:r>
          </w:p>
        </w:tc>
        <w:tc>
          <w:tcPr>
            <w:tcW w:w="851" w:type="dxa"/>
            <w:vAlign w:val="center"/>
          </w:tcPr>
          <w:p w14:paraId="468211B7">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权重（%）</w:t>
            </w:r>
          </w:p>
        </w:tc>
        <w:tc>
          <w:tcPr>
            <w:tcW w:w="5119" w:type="dxa"/>
            <w:vAlign w:val="center"/>
          </w:tcPr>
          <w:p w14:paraId="06EE6FC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评分准则</w:t>
            </w:r>
          </w:p>
        </w:tc>
      </w:tr>
      <w:tr w14:paraId="04353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Merge w:val="continue"/>
            <w:vAlign w:val="center"/>
          </w:tcPr>
          <w:p w14:paraId="37713165">
            <w:pPr>
              <w:keepNext/>
              <w:keepLines/>
              <w:suppressLineNumbers w:val="0"/>
              <w:spacing w:before="340" w:beforeAutospacing="0" w:after="330" w:afterAutospacing="0" w:line="240" w:lineRule="exact"/>
              <w:ind w:left="0" w:right="0"/>
              <w:jc w:val="center"/>
              <w:outlineLvl w:val="0"/>
              <w:rPr>
                <w:rFonts w:hint="eastAsia" w:ascii="宋体" w:hAnsi="宋体" w:eastAsia="宋体" w:cs="宋体"/>
                <w:sz w:val="21"/>
                <w:szCs w:val="21"/>
              </w:rPr>
            </w:pPr>
          </w:p>
        </w:tc>
        <w:tc>
          <w:tcPr>
            <w:tcW w:w="505" w:type="dxa"/>
            <w:vAlign w:val="center"/>
          </w:tcPr>
          <w:p w14:paraId="0C80D2AD">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762" w:type="dxa"/>
            <w:vAlign w:val="center"/>
          </w:tcPr>
          <w:p w14:paraId="451EE84D">
            <w:pPr>
              <w:keepNext w:val="0"/>
              <w:keepLines w:val="0"/>
              <w:suppressLineNumbers w:val="0"/>
              <w:wordWrap w:val="0"/>
              <w:spacing w:before="0" w:beforeAutospacing="0" w:after="0" w:afterAutospacing="0"/>
              <w:ind w:left="0" w:right="0"/>
              <w:jc w:val="center"/>
              <w:textAlignment w:val="top"/>
              <w:rPr>
                <w:rFonts w:hint="eastAsia" w:ascii="宋体" w:hAnsi="宋体" w:eastAsia="宋体" w:cs="宋体"/>
                <w:color w:val="auto"/>
                <w:sz w:val="21"/>
                <w:szCs w:val="21"/>
              </w:rPr>
            </w:pPr>
            <w:r>
              <w:rPr>
                <w:rFonts w:hint="eastAsia" w:ascii="宋体" w:hAnsi="宋体" w:eastAsia="宋体" w:cs="宋体"/>
                <w:color w:val="auto"/>
                <w:sz w:val="21"/>
                <w:szCs w:val="21"/>
              </w:rPr>
              <w:t>商务条款偏离情况</w:t>
            </w:r>
          </w:p>
        </w:tc>
        <w:tc>
          <w:tcPr>
            <w:tcW w:w="851" w:type="dxa"/>
            <w:vAlign w:val="center"/>
          </w:tcPr>
          <w:p w14:paraId="4DC2A751">
            <w:pPr>
              <w:keepNext w:val="0"/>
              <w:keepLines w:val="0"/>
              <w:suppressLineNumbers w:val="0"/>
              <w:spacing w:before="0" w:beforeAutospacing="0" w:after="0" w:afterAutospacing="0"/>
              <w:ind w:left="-78" w:leftChars="-37" w:right="-73" w:rightChars="-35"/>
              <w:jc w:val="center"/>
              <w:rPr>
                <w:rFonts w:hint="eastAsia" w:ascii="宋体" w:hAnsi="宋体" w:eastAsia="宋体" w:cs="宋体"/>
                <w:color w:val="auto"/>
                <w:sz w:val="21"/>
                <w:szCs w:val="21"/>
              </w:rPr>
            </w:pPr>
            <w:r>
              <w:rPr>
                <w:rFonts w:hint="eastAsia" w:ascii="宋体" w:hAnsi="宋体" w:eastAsia="宋体" w:cs="宋体"/>
                <w:color w:val="auto"/>
                <w:sz w:val="21"/>
                <w:szCs w:val="21"/>
              </w:rPr>
              <w:t>12</w:t>
            </w:r>
          </w:p>
        </w:tc>
        <w:tc>
          <w:tcPr>
            <w:tcW w:w="5119" w:type="dxa"/>
            <w:vAlign w:val="center"/>
          </w:tcPr>
          <w:p w14:paraId="1C1519A6">
            <w:pPr>
              <w:keepNext w:val="0"/>
              <w:keepLines w:val="0"/>
              <w:suppressLineNumbers w:val="0"/>
              <w:adjustRightInd w:val="0"/>
              <w:snapToGrid w:val="0"/>
              <w:spacing w:before="0" w:beforeAutospacing="0" w:after="0" w:afterAutospacing="0" w:line="240" w:lineRule="atLeast"/>
              <w:ind w:left="0" w:right="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投标人应如实填写《商务</w:t>
            </w:r>
            <w:r>
              <w:rPr>
                <w:rFonts w:hint="eastAsia" w:ascii="宋体" w:hAnsi="宋体" w:eastAsia="宋体" w:cs="宋体"/>
                <w:color w:val="auto"/>
                <w:sz w:val="21"/>
                <w:szCs w:val="21"/>
                <w:lang w:val="en-US" w:eastAsia="zh-CN"/>
              </w:rPr>
              <w:t>要求</w:t>
            </w:r>
            <w:r>
              <w:rPr>
                <w:rFonts w:hint="eastAsia" w:ascii="宋体" w:hAnsi="宋体" w:eastAsia="宋体" w:cs="宋体"/>
                <w:color w:val="auto"/>
                <w:sz w:val="21"/>
                <w:szCs w:val="21"/>
              </w:rPr>
              <w:t>偏离表》，评审委员会根据响应情况进行打分: 全部满足得</w:t>
            </w:r>
            <w:r>
              <w:rPr>
                <w:rFonts w:hint="eastAsia" w:ascii="宋体" w:hAnsi="宋体" w:eastAsia="宋体" w:cs="宋体"/>
                <w:color w:val="auto"/>
                <w:sz w:val="21"/>
                <w:szCs w:val="21"/>
                <w:lang w:val="en-US" w:eastAsia="zh-CN"/>
              </w:rPr>
              <w:t>100</w:t>
            </w:r>
            <w:r>
              <w:rPr>
                <w:rFonts w:hint="eastAsia" w:ascii="宋体" w:hAnsi="宋体" w:eastAsia="宋体" w:cs="宋体"/>
                <w:color w:val="auto"/>
                <w:sz w:val="21"/>
                <w:szCs w:val="21"/>
              </w:rPr>
              <w:t>分，每负偏离一项扣</w:t>
            </w:r>
            <w:r>
              <w:rPr>
                <w:rFonts w:hint="eastAsia" w:ascii="宋体" w:hAnsi="宋体" w:cs="宋体"/>
                <w:color w:val="auto"/>
                <w:sz w:val="21"/>
                <w:szCs w:val="21"/>
                <w:lang w:val="en-US" w:eastAsia="zh-CN"/>
              </w:rPr>
              <w:t>8.4</w:t>
            </w:r>
            <w:r>
              <w:rPr>
                <w:rFonts w:hint="eastAsia" w:ascii="宋体" w:hAnsi="宋体" w:eastAsia="宋体" w:cs="宋体"/>
                <w:color w:val="auto"/>
                <w:sz w:val="21"/>
                <w:szCs w:val="21"/>
              </w:rPr>
              <w:t>分</w:t>
            </w:r>
            <w:r>
              <w:rPr>
                <w:rFonts w:hint="eastAsia" w:ascii="宋体" w:hAnsi="宋体" w:cs="宋体"/>
                <w:color w:val="auto"/>
                <w:sz w:val="21"/>
                <w:szCs w:val="21"/>
                <w:lang w:eastAsia="zh-CN"/>
              </w:rPr>
              <w:t>，</w:t>
            </w:r>
            <w:r>
              <w:rPr>
                <w:rFonts w:hint="eastAsia"/>
                <w:lang w:val="en-US" w:eastAsia="zh-CN"/>
              </w:rPr>
              <w:t>扣完为止。</w:t>
            </w:r>
          </w:p>
        </w:tc>
      </w:tr>
      <w:tr w14:paraId="61F0D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309A76F2">
            <w:pPr>
              <w:keepNext w:val="0"/>
              <w:keepLines w:val="0"/>
              <w:suppressLineNumbers w:val="0"/>
              <w:spacing w:before="0" w:beforeAutospacing="0" w:after="0" w:afterAutospacing="0" w:line="240" w:lineRule="exact"/>
              <w:ind w:left="0" w:right="0"/>
              <w:jc w:val="center"/>
              <w:rPr>
                <w:rFonts w:hint="eastAsia" w:ascii="宋体" w:hAnsi="宋体" w:eastAsia="宋体" w:cs="宋体"/>
                <w:sz w:val="21"/>
                <w:szCs w:val="21"/>
              </w:rPr>
            </w:pPr>
            <w:r>
              <w:rPr>
                <w:rFonts w:hint="eastAsia" w:ascii="宋体" w:hAnsi="宋体" w:eastAsia="宋体" w:cs="宋体"/>
                <w:sz w:val="21"/>
                <w:szCs w:val="21"/>
              </w:rPr>
              <w:t>4</w:t>
            </w:r>
          </w:p>
        </w:tc>
        <w:tc>
          <w:tcPr>
            <w:tcW w:w="3118" w:type="dxa"/>
            <w:gridSpan w:val="3"/>
            <w:vAlign w:val="center"/>
          </w:tcPr>
          <w:p w14:paraId="30D1DEFB">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诚信情况</w:t>
            </w:r>
          </w:p>
        </w:tc>
        <w:tc>
          <w:tcPr>
            <w:tcW w:w="5119" w:type="dxa"/>
            <w:vAlign w:val="center"/>
          </w:tcPr>
          <w:p w14:paraId="7E641E71">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1"/>
                <w:szCs w:val="21"/>
                <w:lang w:eastAsia="zh-CN"/>
              </w:rPr>
            </w:pPr>
            <w:r>
              <w:rPr>
                <w:rFonts w:hint="eastAsia" w:ascii="宋体" w:hAnsi="宋体" w:cs="宋体"/>
                <w:color w:val="auto"/>
                <w:kern w:val="0"/>
                <w:sz w:val="21"/>
                <w:szCs w:val="21"/>
                <w:lang w:val="en-US" w:eastAsia="zh-CN"/>
              </w:rPr>
              <w:t>1</w:t>
            </w:r>
          </w:p>
        </w:tc>
      </w:tr>
      <w:tr w14:paraId="5EF1E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Merge w:val="restart"/>
            <w:vAlign w:val="center"/>
          </w:tcPr>
          <w:p w14:paraId="7090A094">
            <w:pPr>
              <w:keepNext w:val="0"/>
              <w:keepLines w:val="0"/>
              <w:suppressLineNumbers w:val="0"/>
              <w:spacing w:before="0" w:beforeAutospacing="0" w:after="0" w:afterAutospacing="0" w:line="240" w:lineRule="exact"/>
              <w:ind w:left="0" w:right="0"/>
              <w:jc w:val="center"/>
              <w:rPr>
                <w:rFonts w:hint="eastAsia" w:ascii="宋体" w:hAnsi="宋体" w:eastAsia="宋体" w:cs="宋体"/>
                <w:sz w:val="21"/>
                <w:szCs w:val="21"/>
              </w:rPr>
            </w:pPr>
          </w:p>
        </w:tc>
        <w:tc>
          <w:tcPr>
            <w:tcW w:w="505" w:type="dxa"/>
            <w:vAlign w:val="center"/>
          </w:tcPr>
          <w:p w14:paraId="776D5070">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762" w:type="dxa"/>
            <w:vAlign w:val="center"/>
          </w:tcPr>
          <w:p w14:paraId="37B3D080">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评分因素</w:t>
            </w:r>
          </w:p>
        </w:tc>
        <w:tc>
          <w:tcPr>
            <w:tcW w:w="851" w:type="dxa"/>
            <w:vAlign w:val="center"/>
          </w:tcPr>
          <w:p w14:paraId="08528310">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权重（%）</w:t>
            </w:r>
          </w:p>
        </w:tc>
        <w:tc>
          <w:tcPr>
            <w:tcW w:w="5119" w:type="dxa"/>
            <w:vAlign w:val="center"/>
          </w:tcPr>
          <w:p w14:paraId="607AB80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评分准则</w:t>
            </w:r>
          </w:p>
        </w:tc>
      </w:tr>
      <w:tr w14:paraId="0E86E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Merge w:val="continue"/>
            <w:vAlign w:val="center"/>
          </w:tcPr>
          <w:p w14:paraId="01DA33B8">
            <w:pPr>
              <w:keepNext/>
              <w:keepLines/>
              <w:suppressLineNumbers w:val="0"/>
              <w:spacing w:before="340" w:beforeAutospacing="0" w:after="330" w:afterAutospacing="0" w:line="240" w:lineRule="exact"/>
              <w:ind w:left="0" w:right="0"/>
              <w:jc w:val="center"/>
              <w:outlineLvl w:val="0"/>
              <w:rPr>
                <w:rFonts w:hint="eastAsia" w:ascii="宋体" w:hAnsi="宋体" w:eastAsia="宋体" w:cs="宋体"/>
                <w:sz w:val="21"/>
                <w:szCs w:val="21"/>
              </w:rPr>
            </w:pPr>
          </w:p>
        </w:tc>
        <w:tc>
          <w:tcPr>
            <w:tcW w:w="505" w:type="dxa"/>
            <w:vAlign w:val="center"/>
          </w:tcPr>
          <w:p w14:paraId="2AFEC1EF">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762" w:type="dxa"/>
            <w:vAlign w:val="center"/>
          </w:tcPr>
          <w:p w14:paraId="0A62A820">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诚信</w:t>
            </w:r>
          </w:p>
        </w:tc>
        <w:tc>
          <w:tcPr>
            <w:tcW w:w="851" w:type="dxa"/>
            <w:vAlign w:val="center"/>
          </w:tcPr>
          <w:p w14:paraId="05D883E2">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1"/>
                <w:szCs w:val="21"/>
                <w:lang w:eastAsia="zh-CN"/>
              </w:rPr>
            </w:pPr>
            <w:r>
              <w:rPr>
                <w:rFonts w:hint="eastAsia" w:ascii="宋体" w:hAnsi="宋体" w:cs="宋体"/>
                <w:color w:val="auto"/>
                <w:kern w:val="0"/>
                <w:sz w:val="21"/>
                <w:szCs w:val="21"/>
                <w:lang w:val="en-US" w:eastAsia="zh-CN"/>
              </w:rPr>
              <w:t>1</w:t>
            </w:r>
          </w:p>
        </w:tc>
        <w:tc>
          <w:tcPr>
            <w:tcW w:w="5119" w:type="dxa"/>
          </w:tcPr>
          <w:p w14:paraId="5E4827AD">
            <w:pPr>
              <w:keepNext w:val="0"/>
              <w:keepLines w:val="0"/>
              <w:suppressLineNumbers w:val="0"/>
              <w:spacing w:before="0" w:beforeAutospacing="0" w:after="0" w:afterAutospacing="0"/>
              <w:ind w:left="0" w:right="0"/>
              <w:rPr>
                <w:rFonts w:hint="eastAsia" w:ascii="宋体" w:hAnsi="宋体" w:eastAsia="宋体" w:cs="宋体"/>
                <w:b/>
                <w:bCs/>
                <w:color w:val="auto"/>
                <w:sz w:val="21"/>
                <w:szCs w:val="21"/>
              </w:rPr>
            </w:pPr>
            <w:r>
              <w:rPr>
                <w:rFonts w:hint="eastAsia" w:ascii="宋体" w:hAnsi="宋体" w:eastAsia="宋体" w:cs="宋体"/>
                <w:b/>
                <w:bCs/>
                <w:color w:val="auto"/>
                <w:sz w:val="21"/>
                <w:szCs w:val="21"/>
              </w:rPr>
              <w:t>（一）评分内容：</w:t>
            </w:r>
          </w:p>
          <w:p w14:paraId="112708FE">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委员会提供有关供应商诚信查询结果。</w:t>
            </w:r>
          </w:p>
          <w:p w14:paraId="2190B664">
            <w:pPr>
              <w:keepNext w:val="0"/>
              <w:keepLines w:val="0"/>
              <w:suppressLineNumbers w:val="0"/>
              <w:spacing w:before="0" w:beforeAutospacing="0" w:after="0" w:afterAutospacing="0"/>
              <w:ind w:left="0" w:right="0"/>
              <w:rPr>
                <w:rFonts w:hint="eastAsia" w:ascii="宋体" w:hAnsi="宋体" w:eastAsia="宋体" w:cs="宋体"/>
                <w:b/>
                <w:bCs/>
                <w:color w:val="auto"/>
                <w:sz w:val="21"/>
                <w:szCs w:val="21"/>
              </w:rPr>
            </w:pPr>
            <w:r>
              <w:rPr>
                <w:rFonts w:hint="eastAsia" w:ascii="宋体" w:hAnsi="宋体" w:eastAsia="宋体" w:cs="宋体"/>
                <w:b/>
                <w:bCs/>
                <w:color w:val="auto"/>
                <w:sz w:val="21"/>
                <w:szCs w:val="21"/>
              </w:rPr>
              <w:t>（二）评分依据：</w:t>
            </w:r>
          </w:p>
          <w:p w14:paraId="47B1E40F">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查询渠道：通过“信用中国”（www.creditchina.gov.cn，下载信用信息报告）、“中国政府采购网”（www.ccgp.gov.cn）以及“深圳市政府采购监管网”（http://zfcg.sz.gov.cn）查询供应商信用信息，信用信息以开标当日的查询结果为准。</w:t>
            </w:r>
          </w:p>
        </w:tc>
      </w:tr>
      <w:tr w14:paraId="39322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65BFE1E4">
            <w:pPr>
              <w:keepNext/>
              <w:keepLines/>
              <w:suppressLineNumbers w:val="0"/>
              <w:spacing w:before="340" w:beforeAutospacing="0" w:after="330" w:afterAutospacing="0" w:line="240" w:lineRule="exact"/>
              <w:ind w:left="0" w:right="0"/>
              <w:jc w:val="center"/>
              <w:outlineLvl w:val="0"/>
              <w:rPr>
                <w:rFonts w:hint="eastAsia" w:ascii="宋体" w:hAnsi="宋体" w:eastAsia="宋体" w:cs="宋体"/>
                <w:sz w:val="21"/>
                <w:szCs w:val="21"/>
                <w:lang w:val="en-US" w:eastAsia="zh-CN"/>
              </w:rPr>
            </w:pPr>
            <w:r>
              <w:rPr>
                <w:rFonts w:hint="eastAsia" w:ascii="宋体" w:hAnsi="宋体" w:cs="宋体"/>
                <w:sz w:val="21"/>
                <w:szCs w:val="21"/>
                <w:lang w:val="en-US" w:eastAsia="zh-CN"/>
              </w:rPr>
              <w:t>5</w:t>
            </w:r>
          </w:p>
        </w:tc>
        <w:tc>
          <w:tcPr>
            <w:tcW w:w="3118" w:type="dxa"/>
            <w:gridSpan w:val="3"/>
            <w:vAlign w:val="center"/>
          </w:tcPr>
          <w:p w14:paraId="6EF2715F">
            <w:pPr>
              <w:keepNext w:val="0"/>
              <w:keepLines w:val="0"/>
              <w:suppressLineNumbers w:val="0"/>
              <w:spacing w:before="0" w:beforeAutospacing="0" w:after="0" w:afterAutospacing="0" w:line="240" w:lineRule="exact"/>
              <w:ind w:left="0" w:right="0"/>
              <w:jc w:val="center"/>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综合实力</w:t>
            </w:r>
          </w:p>
        </w:tc>
        <w:tc>
          <w:tcPr>
            <w:tcW w:w="5119" w:type="dxa"/>
            <w:vAlign w:val="center"/>
          </w:tcPr>
          <w:p w14:paraId="323D4C8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w:t>
            </w:r>
          </w:p>
        </w:tc>
      </w:tr>
      <w:tr w14:paraId="772F9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Merge w:val="restart"/>
            <w:vAlign w:val="center"/>
          </w:tcPr>
          <w:p w14:paraId="5697DE76">
            <w:pPr>
              <w:keepNext/>
              <w:keepLines/>
              <w:suppressLineNumbers w:val="0"/>
              <w:spacing w:before="340" w:beforeAutospacing="0" w:after="330" w:afterAutospacing="0" w:line="240" w:lineRule="exact"/>
              <w:ind w:left="0" w:right="0"/>
              <w:jc w:val="center"/>
              <w:outlineLvl w:val="0"/>
              <w:rPr>
                <w:rFonts w:hint="eastAsia" w:ascii="宋体" w:hAnsi="宋体" w:eastAsia="宋体" w:cs="宋体"/>
                <w:sz w:val="21"/>
                <w:szCs w:val="21"/>
              </w:rPr>
            </w:pPr>
          </w:p>
        </w:tc>
        <w:tc>
          <w:tcPr>
            <w:tcW w:w="505" w:type="dxa"/>
            <w:vAlign w:val="center"/>
          </w:tcPr>
          <w:p w14:paraId="124F9A9C">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762" w:type="dxa"/>
            <w:vAlign w:val="center"/>
          </w:tcPr>
          <w:p w14:paraId="72171884">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评分因素</w:t>
            </w:r>
          </w:p>
        </w:tc>
        <w:tc>
          <w:tcPr>
            <w:tcW w:w="851" w:type="dxa"/>
            <w:vAlign w:val="center"/>
          </w:tcPr>
          <w:p w14:paraId="660063B0">
            <w:pPr>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sz w:val="21"/>
                <w:szCs w:val="21"/>
              </w:rPr>
              <w:t>权重（%）</w:t>
            </w:r>
          </w:p>
        </w:tc>
        <w:tc>
          <w:tcPr>
            <w:tcW w:w="5119" w:type="dxa"/>
            <w:vAlign w:val="center"/>
          </w:tcPr>
          <w:p w14:paraId="0C430624">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评分准则</w:t>
            </w:r>
          </w:p>
        </w:tc>
      </w:tr>
      <w:tr w14:paraId="170D1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Merge w:val="continue"/>
            <w:vAlign w:val="center"/>
          </w:tcPr>
          <w:p w14:paraId="78B33A79">
            <w:pPr>
              <w:keepNext/>
              <w:keepLines/>
              <w:suppressLineNumbers w:val="0"/>
              <w:spacing w:before="340" w:beforeAutospacing="0" w:after="330" w:afterAutospacing="0" w:line="240" w:lineRule="exact"/>
              <w:ind w:left="0" w:right="0"/>
              <w:jc w:val="center"/>
              <w:outlineLvl w:val="0"/>
              <w:rPr>
                <w:rFonts w:hint="eastAsia" w:ascii="宋体" w:hAnsi="宋体" w:eastAsia="宋体" w:cs="宋体"/>
                <w:sz w:val="21"/>
                <w:szCs w:val="21"/>
              </w:rPr>
            </w:pPr>
          </w:p>
        </w:tc>
        <w:tc>
          <w:tcPr>
            <w:tcW w:w="505" w:type="dxa"/>
            <w:vAlign w:val="center"/>
          </w:tcPr>
          <w:p w14:paraId="554C7F54">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1</w:t>
            </w:r>
          </w:p>
        </w:tc>
        <w:tc>
          <w:tcPr>
            <w:tcW w:w="1762" w:type="dxa"/>
            <w:vAlign w:val="center"/>
          </w:tcPr>
          <w:p w14:paraId="7A61EEC8">
            <w:pPr>
              <w:keepNext w:val="0"/>
              <w:keepLines w:val="0"/>
              <w:suppressLineNumbers w:val="0"/>
              <w:wordWrap w:val="0"/>
              <w:spacing w:before="0" w:beforeAutospacing="0" w:after="0" w:afterAutospacing="0"/>
              <w:ind w:left="0" w:leftChars="0" w:right="0" w:rightChars="0"/>
              <w:jc w:val="center"/>
              <w:textAlignment w:val="top"/>
              <w:rPr>
                <w:rFonts w:hint="eastAsia" w:ascii="宋体" w:hAnsi="宋体" w:eastAsia="宋体" w:cs="宋体"/>
                <w:color w:val="auto"/>
                <w:sz w:val="21"/>
                <w:szCs w:val="21"/>
              </w:rPr>
            </w:pPr>
            <w:r>
              <w:rPr>
                <w:rFonts w:hint="eastAsia" w:ascii="宋体" w:hAnsi="宋体" w:eastAsia="宋体" w:cs="宋体"/>
                <w:color w:val="auto"/>
                <w:sz w:val="21"/>
                <w:szCs w:val="21"/>
              </w:rPr>
              <w:t>同类业绩</w:t>
            </w:r>
          </w:p>
        </w:tc>
        <w:tc>
          <w:tcPr>
            <w:tcW w:w="851" w:type="dxa"/>
            <w:vAlign w:val="center"/>
          </w:tcPr>
          <w:p w14:paraId="3EEE8A7D">
            <w:pPr>
              <w:keepNext w:val="0"/>
              <w:keepLines w:val="0"/>
              <w:suppressLineNumbers w:val="0"/>
              <w:spacing w:before="0" w:beforeAutospacing="0" w:after="0" w:afterAutospacing="0"/>
              <w:ind w:left="-78" w:leftChars="-37" w:right="-73" w:rightChars="-35"/>
              <w:jc w:val="center"/>
              <w:rPr>
                <w:rFonts w:hint="eastAsia" w:ascii="宋体" w:hAnsi="宋体" w:eastAsia="宋体" w:cs="宋体"/>
                <w:color w:val="auto"/>
                <w:kern w:val="0"/>
                <w:sz w:val="21"/>
                <w:szCs w:val="21"/>
                <w:lang w:val="en-US" w:eastAsia="zh-CN"/>
              </w:rPr>
            </w:pPr>
            <w:r>
              <w:rPr>
                <w:rFonts w:hint="eastAsia" w:ascii="宋体" w:hAnsi="宋体" w:cs="宋体"/>
                <w:color w:val="auto"/>
                <w:sz w:val="21"/>
                <w:szCs w:val="21"/>
                <w:lang w:val="en-US" w:eastAsia="zh-CN"/>
              </w:rPr>
              <w:t>2</w:t>
            </w:r>
          </w:p>
        </w:tc>
        <w:tc>
          <w:tcPr>
            <w:tcW w:w="5119" w:type="dxa"/>
            <w:vAlign w:val="top"/>
          </w:tcPr>
          <w:p w14:paraId="03EECA0F">
            <w:pPr>
              <w:keepNext w:val="0"/>
              <w:keepLines w:val="0"/>
              <w:suppressLineNumbers w:val="0"/>
              <w:wordWrap w:val="0"/>
              <w:spacing w:before="0" w:beforeAutospacing="0" w:after="0" w:afterAutospacing="0"/>
              <w:ind w:left="0" w:right="0"/>
              <w:textAlignment w:val="top"/>
              <w:rPr>
                <w:rFonts w:hint="eastAsia" w:ascii="宋体" w:hAnsi="宋体" w:eastAsia="宋体" w:cs="宋体"/>
                <w:color w:val="auto"/>
                <w:sz w:val="21"/>
                <w:szCs w:val="21"/>
              </w:rPr>
            </w:pPr>
            <w:r>
              <w:rPr>
                <w:rFonts w:hint="eastAsia" w:ascii="宋体" w:hAnsi="宋体" w:eastAsia="宋体" w:cs="宋体"/>
                <w:color w:val="auto"/>
                <w:sz w:val="21"/>
                <w:szCs w:val="21"/>
              </w:rPr>
              <w:t>一、评分内容：</w:t>
            </w:r>
          </w:p>
          <w:p w14:paraId="03DE4E34">
            <w:pPr>
              <w:keepNext w:val="0"/>
              <w:keepLines w:val="0"/>
              <w:suppressLineNumbers w:val="0"/>
              <w:wordWrap w:val="0"/>
              <w:spacing w:before="0" w:beforeAutospacing="0" w:after="0" w:afterAutospacing="0"/>
              <w:ind w:left="0" w:right="0"/>
              <w:textAlignment w:val="top"/>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投标人</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lang w:val="en-US" w:eastAsia="zh-CN"/>
              </w:rPr>
              <w:t>任意所投产品的</w:t>
            </w:r>
            <w:r>
              <w:rPr>
                <w:rFonts w:hint="eastAsia" w:ascii="宋体" w:hAnsi="宋体" w:eastAsia="宋体" w:cs="宋体"/>
                <w:color w:val="auto"/>
                <w:sz w:val="21"/>
                <w:szCs w:val="21"/>
                <w:lang w:eastAsia="zh-CN"/>
              </w:rPr>
              <w:t>制造商</w:t>
            </w:r>
            <w:r>
              <w:rPr>
                <w:rFonts w:hint="eastAsia"/>
                <w:lang w:val="en-US" w:eastAsia="zh-CN"/>
              </w:rPr>
              <w:t>（与分项报价表中的制造商名称一致</w:t>
            </w:r>
            <w:r>
              <w:rPr>
                <w:rFonts w:hint="eastAsia" w:ascii="宋体" w:hAnsi="宋体" w:cs="宋体"/>
                <w:color w:val="auto"/>
                <w:sz w:val="21"/>
                <w:szCs w:val="21"/>
                <w:lang w:eastAsia="zh-CN"/>
              </w:rPr>
              <w:t>）</w:t>
            </w:r>
            <w:r>
              <w:rPr>
                <w:rFonts w:hint="eastAsia" w:ascii="宋体" w:hAnsi="宋体" w:eastAsia="宋体" w:cs="宋体"/>
                <w:color w:val="auto"/>
                <w:sz w:val="21"/>
                <w:szCs w:val="21"/>
              </w:rPr>
              <w:t>2022年1月1日至投标截止时间前具备</w:t>
            </w:r>
            <w:r>
              <w:rPr>
                <w:rFonts w:hint="eastAsia" w:ascii="宋体" w:hAnsi="宋体" w:cs="宋体"/>
                <w:color w:val="auto"/>
                <w:sz w:val="21"/>
                <w:szCs w:val="21"/>
                <w:lang w:val="en-US" w:eastAsia="zh-CN"/>
              </w:rPr>
              <w:t>任意产品</w:t>
            </w:r>
            <w:r>
              <w:rPr>
                <w:rFonts w:hint="eastAsia" w:ascii="宋体" w:hAnsi="宋体" w:eastAsia="宋体" w:cs="宋体"/>
                <w:color w:val="auto"/>
                <w:sz w:val="21"/>
                <w:szCs w:val="21"/>
              </w:rPr>
              <w:t>同</w:t>
            </w:r>
            <w:r>
              <w:rPr>
                <w:rFonts w:hint="eastAsia" w:ascii="宋体" w:hAnsi="宋体" w:eastAsia="宋体" w:cs="宋体"/>
                <w:color w:val="auto"/>
                <w:sz w:val="21"/>
                <w:szCs w:val="21"/>
                <w:lang w:val="en-US" w:eastAsia="zh-CN"/>
              </w:rPr>
              <w:t>品牌</w:t>
            </w:r>
            <w:r>
              <w:rPr>
                <w:rFonts w:hint="eastAsia" w:ascii="宋体" w:hAnsi="宋体" w:eastAsia="宋体" w:cs="宋体"/>
                <w:color w:val="auto"/>
                <w:sz w:val="21"/>
                <w:szCs w:val="21"/>
                <w:lang w:eastAsia="zh-CN"/>
              </w:rPr>
              <w:t>同型号</w:t>
            </w:r>
            <w:r>
              <w:rPr>
                <w:rFonts w:hint="eastAsia" w:ascii="宋体" w:hAnsi="宋体" w:eastAsia="宋体" w:cs="宋体"/>
                <w:color w:val="auto"/>
                <w:sz w:val="21"/>
                <w:szCs w:val="21"/>
              </w:rPr>
              <w:t>的</w:t>
            </w:r>
            <w:r>
              <w:rPr>
                <w:rFonts w:hint="eastAsia" w:ascii="宋体" w:hAnsi="宋体" w:eastAsia="宋体" w:cs="宋体"/>
                <w:color w:val="auto"/>
                <w:sz w:val="21"/>
                <w:szCs w:val="21"/>
                <w:lang w:eastAsia="zh-CN"/>
              </w:rPr>
              <w:t>业绩</w:t>
            </w:r>
            <w:r>
              <w:rPr>
                <w:rFonts w:hint="eastAsia" w:ascii="宋体" w:hAnsi="宋体" w:eastAsia="宋体" w:cs="宋体"/>
                <w:color w:val="auto"/>
                <w:sz w:val="21"/>
                <w:szCs w:val="21"/>
              </w:rPr>
              <w:t>（以</w:t>
            </w:r>
            <w:r>
              <w:rPr>
                <w:rFonts w:hint="eastAsia" w:ascii="宋体" w:hAnsi="宋体" w:eastAsia="宋体" w:cs="宋体"/>
                <w:color w:val="FF0000"/>
                <w:sz w:val="21"/>
                <w:szCs w:val="21"/>
              </w:rPr>
              <w:t>合同</w:t>
            </w:r>
            <w:r>
              <w:rPr>
                <w:rFonts w:hint="eastAsia" w:ascii="宋体" w:hAnsi="宋体" w:eastAsia="宋体" w:cs="宋体"/>
                <w:color w:val="auto"/>
                <w:sz w:val="21"/>
                <w:szCs w:val="21"/>
              </w:rPr>
              <w:t>签订时间为准），每提供1项得</w:t>
            </w:r>
            <w:r>
              <w:rPr>
                <w:rFonts w:hint="eastAsia" w:ascii="宋体" w:hAnsi="宋体" w:eastAsia="宋体" w:cs="宋体"/>
                <w:color w:val="auto"/>
                <w:sz w:val="21"/>
                <w:szCs w:val="21"/>
                <w:lang w:val="en-US" w:eastAsia="zh-CN"/>
              </w:rPr>
              <w:t>34</w:t>
            </w:r>
            <w:r>
              <w:rPr>
                <w:rFonts w:hint="eastAsia" w:ascii="宋体" w:hAnsi="宋体" w:eastAsia="宋体" w:cs="宋体"/>
                <w:color w:val="auto"/>
                <w:sz w:val="21"/>
                <w:szCs w:val="21"/>
              </w:rPr>
              <w:t>分，本项最高得</w:t>
            </w:r>
            <w:r>
              <w:rPr>
                <w:rFonts w:hint="eastAsia" w:ascii="宋体" w:hAnsi="宋体" w:eastAsia="宋体" w:cs="宋体"/>
                <w:color w:val="auto"/>
                <w:sz w:val="21"/>
                <w:szCs w:val="21"/>
                <w:lang w:val="en-US" w:eastAsia="zh-CN"/>
              </w:rPr>
              <w:t>100</w:t>
            </w:r>
            <w:r>
              <w:rPr>
                <w:rFonts w:hint="eastAsia" w:ascii="宋体" w:hAnsi="宋体" w:eastAsia="宋体" w:cs="宋体"/>
                <w:color w:val="auto"/>
                <w:sz w:val="21"/>
                <w:szCs w:val="21"/>
              </w:rPr>
              <w:t>分，不提供不得分</w:t>
            </w:r>
            <w:r>
              <w:rPr>
                <w:rFonts w:hint="eastAsia" w:ascii="宋体" w:hAnsi="宋体" w:eastAsia="宋体" w:cs="宋体"/>
                <w:color w:val="auto"/>
                <w:sz w:val="21"/>
                <w:szCs w:val="21"/>
                <w:lang w:eastAsia="zh-CN"/>
              </w:rPr>
              <w:t>。</w:t>
            </w:r>
          </w:p>
          <w:p w14:paraId="6DC3C7E2">
            <w:pPr>
              <w:keepNext w:val="0"/>
              <w:keepLines w:val="0"/>
              <w:suppressLineNumbers w:val="0"/>
              <w:wordWrap w:val="0"/>
              <w:spacing w:before="0" w:beforeAutospacing="0" w:after="0" w:afterAutospacing="0"/>
              <w:ind w:left="0" w:right="0"/>
              <w:textAlignment w:val="top"/>
              <w:rPr>
                <w:rFonts w:hint="eastAsia" w:ascii="宋体" w:hAnsi="宋体" w:eastAsia="宋体" w:cs="宋体"/>
                <w:color w:val="auto"/>
                <w:sz w:val="21"/>
                <w:szCs w:val="21"/>
              </w:rPr>
            </w:pPr>
            <w:r>
              <w:rPr>
                <w:rFonts w:hint="eastAsia" w:ascii="宋体" w:hAnsi="宋体" w:eastAsia="宋体" w:cs="宋体"/>
                <w:color w:val="auto"/>
                <w:sz w:val="21"/>
                <w:szCs w:val="21"/>
              </w:rPr>
              <w:t>二、评分依据：</w:t>
            </w:r>
          </w:p>
          <w:p w14:paraId="66671038">
            <w:pPr>
              <w:keepNext w:val="0"/>
              <w:keepLines w:val="0"/>
              <w:suppressLineNumbers w:val="0"/>
              <w:wordWrap w:val="0"/>
              <w:spacing w:before="0" w:beforeAutospacing="0" w:after="0" w:afterAutospacing="0"/>
              <w:ind w:left="0" w:right="0"/>
              <w:textAlignment w:val="top"/>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1.提供合同关键信息页证明文件（含签订合同双方的单位名称、合同项目名称与含签订合同双方的落款盖章、签订日期的关键页）作为得分依据</w:t>
            </w:r>
            <w:r>
              <w:rPr>
                <w:rFonts w:hint="eastAsia" w:ascii="宋体" w:hAnsi="宋体" w:cs="宋体"/>
                <w:color w:val="auto"/>
                <w:sz w:val="21"/>
                <w:szCs w:val="21"/>
                <w:lang w:eastAsia="zh-CN"/>
              </w:rPr>
              <w:t>。</w:t>
            </w:r>
          </w:p>
          <w:p w14:paraId="275B9445">
            <w:pPr>
              <w:keepNext w:val="0"/>
              <w:keepLines w:val="0"/>
              <w:suppressLineNumbers w:val="0"/>
              <w:spacing w:before="0" w:beforeAutospacing="0" w:after="0" w:afterAutospacing="0"/>
              <w:ind w:left="0" w:right="0"/>
              <w:rPr>
                <w:rFonts w:hint="default"/>
              </w:rPr>
            </w:pPr>
          </w:p>
          <w:p w14:paraId="4E008D61">
            <w:pPr>
              <w:keepNext w:val="0"/>
              <w:keepLines w:val="0"/>
              <w:suppressLineNumbers w:val="0"/>
              <w:wordWrap w:val="0"/>
              <w:spacing w:before="0" w:beforeAutospacing="0" w:after="0" w:afterAutospacing="0"/>
              <w:ind w:left="0" w:leftChars="0" w:right="0" w:rightChars="0"/>
              <w:textAlignment w:val="top"/>
              <w:rPr>
                <w:rFonts w:hint="eastAsia" w:ascii="宋体" w:hAnsi="宋体" w:eastAsia="宋体" w:cs="宋体"/>
                <w:color w:val="auto"/>
                <w:sz w:val="21"/>
                <w:szCs w:val="21"/>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w:t>
            </w:r>
            <w:r>
              <w:rPr>
                <w:rFonts w:hint="eastAsia" w:ascii="宋体" w:hAnsi="宋体" w:eastAsia="宋体" w:cs="宋体"/>
                <w:sz w:val="21"/>
                <w:szCs w:val="21"/>
                <w:highlight w:val="none"/>
              </w:rPr>
              <w:t>以上资料均要求提供扫描件。评分中出现无证明资料或专家无法凭所提供资料判断是否得分的情况，一律作不得分处理</w:t>
            </w:r>
            <w:r>
              <w:rPr>
                <w:rFonts w:hint="eastAsia" w:ascii="宋体" w:hAnsi="宋体" w:eastAsia="宋体" w:cs="宋体"/>
                <w:sz w:val="21"/>
                <w:szCs w:val="21"/>
                <w:highlight w:val="none"/>
                <w:lang w:eastAsia="zh-CN"/>
              </w:rPr>
              <w:t>。</w:t>
            </w:r>
          </w:p>
        </w:tc>
      </w:tr>
    </w:tbl>
    <w:p w14:paraId="7E75BFA2">
      <w:pPr>
        <w:pStyle w:val="27"/>
      </w:pPr>
    </w:p>
    <w:p w14:paraId="111177FA">
      <w:pPr>
        <w:pStyle w:val="27"/>
      </w:pPr>
    </w:p>
    <w:p w14:paraId="3CBBABC0">
      <w:pPr>
        <w:pStyle w:val="27"/>
      </w:pPr>
    </w:p>
    <w:p w14:paraId="7A69B91F">
      <w:pPr>
        <w:pStyle w:val="27"/>
      </w:pPr>
    </w:p>
    <w:p w14:paraId="6D06CA24">
      <w:pPr>
        <w:pStyle w:val="27"/>
      </w:pPr>
    </w:p>
    <w:p w14:paraId="7F7F5E15">
      <w:pPr>
        <w:sectPr>
          <w:pgSz w:w="11907" w:h="16840"/>
          <w:pgMar w:top="1440" w:right="1418" w:bottom="1440" w:left="1418" w:header="851" w:footer="992" w:gutter="0"/>
          <w:pgBorders>
            <w:top w:val="none" w:sz="0" w:space="0"/>
            <w:left w:val="none" w:sz="0" w:space="0"/>
            <w:bottom w:val="none" w:sz="0" w:space="0"/>
            <w:right w:val="none" w:sz="0" w:space="0"/>
          </w:pgBorders>
          <w:cols w:space="425" w:num="1"/>
          <w:titlePg/>
          <w:docGrid w:linePitch="462" w:charSpace="0"/>
        </w:sectPr>
      </w:pPr>
    </w:p>
    <w:p w14:paraId="32741D31">
      <w:pPr>
        <w:jc w:val="center"/>
        <w:rPr>
          <w:b/>
          <w:sz w:val="120"/>
          <w:szCs w:val="120"/>
        </w:rPr>
      </w:pPr>
    </w:p>
    <w:p w14:paraId="11C33B92">
      <w:pPr>
        <w:jc w:val="center"/>
        <w:rPr>
          <w:b/>
          <w:sz w:val="120"/>
          <w:szCs w:val="120"/>
        </w:rPr>
      </w:pPr>
    </w:p>
    <w:p w14:paraId="1FB6C70D">
      <w:pPr>
        <w:jc w:val="center"/>
        <w:rPr>
          <w:b/>
          <w:sz w:val="120"/>
          <w:szCs w:val="120"/>
        </w:rPr>
      </w:pPr>
      <w:r>
        <w:rPr>
          <w:rFonts w:hint="eastAsia"/>
          <w:b/>
          <w:sz w:val="120"/>
          <w:szCs w:val="120"/>
        </w:rPr>
        <w:t>自行采购</w:t>
      </w:r>
    </w:p>
    <w:p w14:paraId="1461E0EF">
      <w:pPr>
        <w:jc w:val="center"/>
        <w:rPr>
          <w:b/>
          <w:sz w:val="120"/>
          <w:szCs w:val="120"/>
        </w:rPr>
      </w:pPr>
      <w:r>
        <w:rPr>
          <w:rFonts w:hint="eastAsia"/>
          <w:b/>
          <w:sz w:val="120"/>
          <w:szCs w:val="120"/>
        </w:rPr>
        <w:t>招标文件</w:t>
      </w:r>
    </w:p>
    <w:p w14:paraId="22702C22">
      <w:pPr>
        <w:jc w:val="center"/>
        <w:rPr>
          <w:b/>
          <w:sz w:val="52"/>
          <w:szCs w:val="52"/>
          <w:highlight w:val="yellow"/>
        </w:rPr>
      </w:pPr>
      <w:r>
        <w:rPr>
          <w:rFonts w:hint="eastAsia"/>
          <w:b/>
          <w:sz w:val="52"/>
          <w:szCs w:val="52"/>
          <w:highlight w:val="yellow"/>
        </w:rPr>
        <w:t>（</w:t>
      </w:r>
      <w:r>
        <w:rPr>
          <w:rFonts w:hint="eastAsia"/>
          <w:b/>
          <w:sz w:val="52"/>
          <w:szCs w:val="52"/>
          <w:highlight w:val="yellow"/>
          <w:lang w:val="en-US" w:eastAsia="zh-CN"/>
        </w:rPr>
        <w:t>货物</w:t>
      </w:r>
      <w:r>
        <w:rPr>
          <w:rFonts w:hint="eastAsia"/>
          <w:b/>
          <w:sz w:val="52"/>
          <w:szCs w:val="52"/>
          <w:highlight w:val="yellow"/>
        </w:rPr>
        <w:t>类）</w:t>
      </w:r>
    </w:p>
    <w:p w14:paraId="624A3FF8">
      <w:pPr>
        <w:jc w:val="center"/>
        <w:rPr>
          <w:highlight w:val="yellow"/>
        </w:rPr>
      </w:pPr>
    </w:p>
    <w:p w14:paraId="2EA9DBD4">
      <w:pPr>
        <w:jc w:val="center"/>
      </w:pPr>
    </w:p>
    <w:p w14:paraId="785222B2">
      <w:pPr>
        <w:jc w:val="center"/>
      </w:pPr>
    </w:p>
    <w:p w14:paraId="454B17D7">
      <w:pPr>
        <w:jc w:val="center"/>
      </w:pPr>
    </w:p>
    <w:p w14:paraId="15CDE25B">
      <w:pPr>
        <w:pStyle w:val="3"/>
      </w:pPr>
    </w:p>
    <w:p w14:paraId="462C60FC">
      <w:pPr>
        <w:pStyle w:val="3"/>
      </w:pPr>
    </w:p>
    <w:p w14:paraId="39F2936B">
      <w:pPr>
        <w:pStyle w:val="3"/>
      </w:pPr>
    </w:p>
    <w:p w14:paraId="1D81D587">
      <w:pPr>
        <w:pStyle w:val="3"/>
      </w:pPr>
    </w:p>
    <w:p w14:paraId="5344C81E">
      <w:pPr>
        <w:pStyle w:val="3"/>
      </w:pPr>
    </w:p>
    <w:p w14:paraId="258160E8">
      <w:pPr>
        <w:jc w:val="center"/>
        <w:rPr>
          <w:b/>
          <w:sz w:val="44"/>
          <w:szCs w:val="44"/>
        </w:rPr>
      </w:pPr>
    </w:p>
    <w:p w14:paraId="3B37AE2E">
      <w:pPr>
        <w:jc w:val="center"/>
        <w:rPr>
          <w:b/>
          <w:sz w:val="44"/>
          <w:szCs w:val="44"/>
        </w:rPr>
      </w:pPr>
      <w:bookmarkStart w:id="0" w:name="_Hlk71465316"/>
      <w:r>
        <w:rPr>
          <w:rFonts w:hint="eastAsia"/>
          <w:b/>
          <w:sz w:val="44"/>
          <w:szCs w:val="44"/>
        </w:rPr>
        <w:t>深圳公共资源交易中心</w:t>
      </w:r>
    </w:p>
    <w:p w14:paraId="40A8EFD7">
      <w:pPr>
        <w:jc w:val="center"/>
        <w:rPr>
          <w:sz w:val="28"/>
          <w:szCs w:val="28"/>
        </w:rPr>
      </w:pPr>
      <w:r>
        <w:rPr>
          <w:rFonts w:hint="eastAsia"/>
          <w:b/>
          <w:sz w:val="28"/>
          <w:szCs w:val="28"/>
        </w:rPr>
        <w:t>（</w:t>
      </w:r>
      <w:r>
        <w:rPr>
          <w:b/>
          <w:sz w:val="28"/>
          <w:szCs w:val="28"/>
        </w:rPr>
        <w:t>20</w:t>
      </w:r>
      <w:r>
        <w:rPr>
          <w:rFonts w:hint="eastAsia"/>
          <w:b/>
          <w:sz w:val="28"/>
          <w:szCs w:val="28"/>
        </w:rPr>
        <w:t>25年）</w:t>
      </w:r>
      <w:bookmarkEnd w:id="0"/>
    </w:p>
    <w:p w14:paraId="524F5E39">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240" w:afterLines="100" w:afterAutospacing="0" w:line="400" w:lineRule="exact"/>
        <w:ind w:left="0" w:right="0" w:firstLine="420" w:firstLineChars="200"/>
        <w:jc w:val="both"/>
        <w:rPr>
          <w:rFonts w:ascii="宋体" w:hAnsi="宋体"/>
          <w:color w:val="FF0000"/>
          <w:szCs w:val="21"/>
        </w:rPr>
      </w:pPr>
      <w:r>
        <w:rPr>
          <w:rFonts w:hint="eastAsia"/>
        </w:rPr>
        <w:br w:type="page"/>
      </w:r>
      <w:bookmarkStart w:id="1" w:name="_Hlk137453387"/>
    </w:p>
    <w:bookmarkEnd w:id="1"/>
    <w:p w14:paraId="22DC135A">
      <w:pPr>
        <w:pStyle w:val="4"/>
      </w:pPr>
      <w:r>
        <w:rPr>
          <w:rFonts w:hint="eastAsia"/>
        </w:rPr>
        <w:t>目   录</w:t>
      </w:r>
    </w:p>
    <w:p w14:paraId="37478AE7">
      <w:pPr>
        <w:outlineLvl w:val="0"/>
        <w:rPr>
          <w:b/>
          <w:sz w:val="24"/>
        </w:rPr>
      </w:pPr>
      <w:r>
        <w:rPr>
          <w:rFonts w:hint="eastAsia"/>
          <w:b/>
          <w:sz w:val="24"/>
        </w:rPr>
        <w:t>第一册  专用条款</w:t>
      </w:r>
    </w:p>
    <w:p w14:paraId="732C7CE2">
      <w:pPr>
        <w:rPr>
          <w:sz w:val="24"/>
        </w:rPr>
      </w:pPr>
      <w:r>
        <w:rPr>
          <w:rFonts w:hint="eastAsia"/>
          <w:sz w:val="24"/>
        </w:rPr>
        <w:t xml:space="preserve">          关键信息</w:t>
      </w:r>
    </w:p>
    <w:p w14:paraId="7E500881">
      <w:pPr>
        <w:ind w:left="630" w:leftChars="300" w:firstLine="630" w:firstLineChars="300"/>
        <w:rPr>
          <w:rFonts w:ascii="宋体" w:hAnsi="宋体"/>
          <w:szCs w:val="21"/>
        </w:rPr>
      </w:pPr>
      <w:r>
        <w:rPr>
          <w:rFonts w:hint="eastAsia" w:ascii="宋体" w:hAnsi="宋体"/>
          <w:szCs w:val="21"/>
        </w:rPr>
        <w:t>第一章  招标公告</w:t>
      </w:r>
    </w:p>
    <w:p w14:paraId="4753A9C0">
      <w:pPr>
        <w:ind w:left="630" w:leftChars="300" w:firstLine="630" w:firstLineChars="300"/>
        <w:rPr>
          <w:rFonts w:ascii="宋体" w:hAnsi="宋体"/>
          <w:szCs w:val="21"/>
        </w:rPr>
      </w:pPr>
      <w:r>
        <w:rPr>
          <w:rFonts w:hint="eastAsia" w:ascii="宋体" w:hAnsi="宋体"/>
          <w:szCs w:val="21"/>
        </w:rPr>
        <w:t xml:space="preserve">第二章  </w:t>
      </w:r>
      <w:bookmarkStart w:id="2" w:name="_Hlk71994379"/>
      <w:r>
        <w:rPr>
          <w:rFonts w:hint="eastAsia" w:ascii="宋体" w:hAnsi="宋体"/>
          <w:szCs w:val="21"/>
        </w:rPr>
        <w:t>对通用条款的补充内容及其他关键信息</w:t>
      </w:r>
      <w:bookmarkEnd w:id="2"/>
    </w:p>
    <w:p w14:paraId="48142190">
      <w:pPr>
        <w:ind w:left="630" w:leftChars="300" w:firstLine="630" w:firstLineChars="300"/>
        <w:rPr>
          <w:rFonts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18867456">
      <w:pPr>
        <w:ind w:left="630" w:leftChars="300" w:firstLine="630" w:firstLineChars="300"/>
        <w:rPr>
          <w:rFonts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291FD8F6">
      <w:pPr>
        <w:ind w:left="630" w:leftChars="300" w:firstLine="630" w:firstLineChars="300"/>
        <w:rPr>
          <w:rFonts w:hint="eastAsia"/>
          <w:b/>
          <w:sz w:val="24"/>
        </w:rPr>
      </w:pPr>
      <w:r>
        <w:rPr>
          <w:rFonts w:hint="eastAsia" w:ascii="宋体" w:hAnsi="宋体"/>
          <w:szCs w:val="21"/>
        </w:rPr>
        <w:t>第五章  合同条款及格式</w:t>
      </w:r>
    </w:p>
    <w:p w14:paraId="4934E001">
      <w:pPr>
        <w:outlineLvl w:val="0"/>
        <w:rPr>
          <w:b/>
          <w:sz w:val="24"/>
        </w:rPr>
      </w:pPr>
      <w:r>
        <w:rPr>
          <w:rFonts w:hint="eastAsia"/>
          <w:b/>
          <w:sz w:val="24"/>
        </w:rPr>
        <w:t>第二册  通用条款</w:t>
      </w:r>
    </w:p>
    <w:p w14:paraId="245476E7">
      <w:pPr>
        <w:ind w:left="630" w:leftChars="300" w:firstLine="630" w:firstLineChars="300"/>
        <w:rPr>
          <w:rFonts w:ascii="宋体" w:hAnsi="宋体"/>
          <w:szCs w:val="21"/>
        </w:rPr>
      </w:pPr>
      <w:r>
        <w:rPr>
          <w:rFonts w:hint="eastAsia" w:ascii="宋体" w:hAnsi="宋体"/>
          <w:szCs w:val="21"/>
        </w:rPr>
        <w:t>第一章  总则</w:t>
      </w:r>
    </w:p>
    <w:p w14:paraId="75DDDB69">
      <w:pPr>
        <w:ind w:left="630" w:leftChars="300" w:firstLine="630" w:firstLineChars="300"/>
        <w:rPr>
          <w:rFonts w:ascii="宋体" w:hAnsi="宋体"/>
          <w:szCs w:val="21"/>
        </w:rPr>
      </w:pPr>
      <w:r>
        <w:rPr>
          <w:rFonts w:hint="eastAsia" w:ascii="宋体" w:hAnsi="宋体"/>
          <w:szCs w:val="21"/>
        </w:rPr>
        <w:t>第二章  招标文件</w:t>
      </w:r>
    </w:p>
    <w:p w14:paraId="5294456D">
      <w:pPr>
        <w:ind w:left="630" w:leftChars="300" w:firstLine="630" w:firstLineChars="300"/>
        <w:rPr>
          <w:rFonts w:ascii="宋体" w:hAnsi="宋体"/>
          <w:szCs w:val="21"/>
        </w:rPr>
      </w:pPr>
      <w:r>
        <w:rPr>
          <w:rFonts w:hint="eastAsia" w:ascii="宋体" w:hAnsi="宋体"/>
          <w:szCs w:val="21"/>
        </w:rPr>
        <w:t>第三章  投标文件的编制</w:t>
      </w:r>
    </w:p>
    <w:p w14:paraId="05A3CC88">
      <w:pPr>
        <w:ind w:left="630" w:leftChars="300" w:firstLine="630" w:firstLineChars="300"/>
        <w:rPr>
          <w:rFonts w:ascii="宋体" w:hAnsi="宋体"/>
          <w:szCs w:val="21"/>
        </w:rPr>
      </w:pPr>
      <w:r>
        <w:rPr>
          <w:rFonts w:hint="eastAsia" w:ascii="宋体" w:hAnsi="宋体"/>
          <w:szCs w:val="21"/>
        </w:rPr>
        <w:t>第四章  投标文件的递交</w:t>
      </w:r>
    </w:p>
    <w:p w14:paraId="1DA4DB6F">
      <w:pPr>
        <w:ind w:left="630" w:leftChars="300" w:firstLine="630" w:firstLineChars="300"/>
        <w:rPr>
          <w:rFonts w:ascii="宋体" w:hAnsi="宋体"/>
          <w:szCs w:val="21"/>
        </w:rPr>
      </w:pPr>
      <w:r>
        <w:rPr>
          <w:rFonts w:hint="eastAsia" w:ascii="宋体" w:hAnsi="宋体"/>
          <w:szCs w:val="21"/>
        </w:rPr>
        <w:t>第五章  开标</w:t>
      </w:r>
    </w:p>
    <w:p w14:paraId="6061367F">
      <w:pPr>
        <w:ind w:left="630" w:leftChars="300" w:firstLine="630" w:firstLineChars="300"/>
        <w:rPr>
          <w:rFonts w:ascii="宋体" w:hAnsi="宋体"/>
          <w:szCs w:val="21"/>
        </w:rPr>
      </w:pPr>
      <w:r>
        <w:rPr>
          <w:rFonts w:hint="eastAsia" w:ascii="宋体" w:hAnsi="宋体"/>
          <w:szCs w:val="21"/>
        </w:rPr>
        <w:t>第六章  评审要求</w:t>
      </w:r>
    </w:p>
    <w:p w14:paraId="105BF3E0">
      <w:pPr>
        <w:ind w:left="630" w:leftChars="300" w:firstLine="630" w:firstLineChars="300"/>
        <w:rPr>
          <w:rFonts w:ascii="宋体" w:hAnsi="宋体"/>
          <w:szCs w:val="21"/>
        </w:rPr>
      </w:pPr>
      <w:r>
        <w:rPr>
          <w:rFonts w:hint="eastAsia" w:ascii="宋体" w:hAnsi="宋体"/>
          <w:szCs w:val="21"/>
        </w:rPr>
        <w:t>第七章  评审程序及评审方法</w:t>
      </w:r>
    </w:p>
    <w:p w14:paraId="5B6A4110">
      <w:pPr>
        <w:ind w:left="630" w:leftChars="300" w:firstLine="630" w:firstLineChars="300"/>
        <w:rPr>
          <w:rFonts w:ascii="宋体" w:hAnsi="宋体"/>
          <w:szCs w:val="21"/>
        </w:rPr>
      </w:pPr>
      <w:r>
        <w:rPr>
          <w:rFonts w:hint="eastAsia" w:ascii="宋体" w:hAnsi="宋体"/>
          <w:szCs w:val="21"/>
        </w:rPr>
        <w:t>第八章  定标及公示</w:t>
      </w:r>
    </w:p>
    <w:p w14:paraId="0DB7DB6E">
      <w:pPr>
        <w:ind w:left="630" w:leftChars="300" w:firstLine="630" w:firstLineChars="300"/>
        <w:rPr>
          <w:rFonts w:ascii="宋体" w:hAnsi="宋体"/>
          <w:szCs w:val="21"/>
        </w:rPr>
      </w:pPr>
      <w:r>
        <w:rPr>
          <w:rFonts w:hint="eastAsia" w:ascii="宋体" w:hAnsi="宋体"/>
          <w:szCs w:val="21"/>
        </w:rPr>
        <w:t>第九章  公开招标失败的后续处理</w:t>
      </w:r>
    </w:p>
    <w:p w14:paraId="526556BB">
      <w:pPr>
        <w:ind w:left="630" w:leftChars="300" w:firstLine="630" w:firstLineChars="300"/>
        <w:rPr>
          <w:rFonts w:ascii="宋体" w:hAnsi="宋体"/>
          <w:szCs w:val="21"/>
        </w:rPr>
      </w:pPr>
      <w:r>
        <w:rPr>
          <w:rFonts w:hint="eastAsia" w:ascii="宋体" w:hAnsi="宋体"/>
          <w:szCs w:val="21"/>
        </w:rPr>
        <w:t>第十章  合同的授予与备案</w:t>
      </w:r>
    </w:p>
    <w:p w14:paraId="153BBCEA">
      <w:pPr>
        <w:ind w:left="630" w:leftChars="300" w:firstLine="630" w:firstLineChars="300"/>
        <w:rPr>
          <w:rFonts w:ascii="宋体" w:hAnsi="宋体"/>
          <w:szCs w:val="21"/>
        </w:rPr>
      </w:pPr>
      <w:r>
        <w:rPr>
          <w:rFonts w:hint="eastAsia" w:ascii="宋体" w:hAnsi="宋体"/>
          <w:szCs w:val="21"/>
        </w:rPr>
        <w:t>第十一章  质疑处理</w:t>
      </w:r>
    </w:p>
    <w:p w14:paraId="03B4388A">
      <w:pPr>
        <w:rPr>
          <w:b/>
          <w:sz w:val="24"/>
        </w:rPr>
      </w:pPr>
    </w:p>
    <w:p w14:paraId="436D3976">
      <w:pPr>
        <w:rPr>
          <w:rFonts w:hint="eastAsia"/>
          <w:sz w:val="28"/>
          <w:szCs w:val="28"/>
        </w:rPr>
      </w:pPr>
      <w:r>
        <w:rPr>
          <w:rFonts w:hint="eastAsia"/>
          <w:sz w:val="28"/>
          <w:szCs w:val="28"/>
        </w:rPr>
        <w:br w:type="page"/>
      </w:r>
    </w:p>
    <w:p w14:paraId="78597686">
      <w:pPr>
        <w:pStyle w:val="7"/>
        <w:spacing w:before="0" w:after="0"/>
        <w:rPr>
          <w:rFonts w:hint="eastAsia"/>
          <w:sz w:val="28"/>
          <w:szCs w:val="28"/>
        </w:rPr>
      </w:pPr>
      <w:r>
        <w:rPr>
          <w:rFonts w:hint="eastAsia"/>
          <w:sz w:val="28"/>
          <w:szCs w:val="28"/>
        </w:rPr>
        <w:t>第一册</w:t>
      </w:r>
      <w:r>
        <w:rPr>
          <w:rFonts w:hint="eastAsia"/>
          <w:sz w:val="28"/>
          <w:szCs w:val="28"/>
          <w:lang w:val="en-US" w:eastAsia="zh-CN"/>
        </w:rPr>
        <w:t xml:space="preserve">  </w:t>
      </w:r>
      <w:r>
        <w:rPr>
          <w:rFonts w:hint="eastAsia"/>
          <w:sz w:val="28"/>
          <w:szCs w:val="28"/>
        </w:rPr>
        <w:t>专用条款</w:t>
      </w:r>
    </w:p>
    <w:p w14:paraId="3BF4023F">
      <w:pPr>
        <w:pStyle w:val="7"/>
        <w:spacing w:before="0" w:after="0"/>
        <w:rPr>
          <w:sz w:val="28"/>
          <w:szCs w:val="28"/>
        </w:rPr>
      </w:pPr>
      <w:r>
        <w:rPr>
          <w:rFonts w:hint="eastAsia"/>
          <w:sz w:val="28"/>
          <w:szCs w:val="28"/>
        </w:rPr>
        <w:t>第一章  招标公告</w:t>
      </w:r>
    </w:p>
    <w:p w14:paraId="08306463">
      <w:pPr>
        <w:rPr>
          <w:rFonts w:ascii="宋体" w:hAnsi="宋体" w:cs="宋体"/>
          <w:b/>
          <w:bCs/>
          <w:kern w:val="0"/>
          <w:szCs w:val="21"/>
        </w:rPr>
      </w:pPr>
      <w:r>
        <w:rPr>
          <w:rFonts w:hint="eastAsia" w:ascii="宋体" w:hAnsi="宋体" w:cs="宋体"/>
          <w:b/>
          <w:bCs/>
          <w:kern w:val="0"/>
          <w:szCs w:val="21"/>
        </w:rPr>
        <w:t>投标人的资格要求：</w:t>
      </w:r>
    </w:p>
    <w:p w14:paraId="2AEE874E">
      <w:pPr>
        <w:ind w:firstLine="630" w:firstLineChars="300"/>
        <w:rPr>
          <w:rFonts w:ascii="宋体" w:hAnsi="宋体" w:cs="宋体"/>
          <w:kern w:val="0"/>
          <w:szCs w:val="21"/>
          <w:highlight w:val="none"/>
        </w:rPr>
      </w:pPr>
      <w:r>
        <w:rPr>
          <w:rFonts w:hint="eastAsia" w:ascii="宋体" w:hAnsi="宋体" w:cs="宋体"/>
          <w:kern w:val="0"/>
          <w:szCs w:val="21"/>
        </w:rPr>
        <w:t>1</w:t>
      </w:r>
      <w:r>
        <w:rPr>
          <w:rFonts w:ascii="宋体" w:hAnsi="宋体" w:cs="宋体"/>
          <w:kern w:val="0"/>
          <w:szCs w:val="21"/>
        </w:rPr>
        <w:t>.</w:t>
      </w:r>
      <w:r>
        <w:rPr>
          <w:rFonts w:hint="eastAsia" w:ascii="宋体" w:hAnsi="宋体" w:cs="宋体"/>
          <w:kern w:val="0"/>
          <w:szCs w:val="21"/>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w:t>
      </w:r>
      <w:r>
        <w:rPr>
          <w:rFonts w:hint="eastAsia" w:ascii="宋体" w:hAnsi="宋体" w:cs="宋体"/>
          <w:kern w:val="0"/>
          <w:szCs w:val="21"/>
          <w:highlight w:val="none"/>
        </w:rPr>
        <w:t>时参与本项目投标，也不接受集团（或总公司）与分公司同时参与本项目投标，如出现上述情形，该两家或以上供应商的投标文件均按无效投标处理）；</w:t>
      </w:r>
    </w:p>
    <w:p w14:paraId="7B4F068F">
      <w:pPr>
        <w:ind w:firstLine="630" w:firstLineChars="300"/>
        <w:rPr>
          <w:rFonts w:ascii="宋体" w:hAnsi="宋体" w:cs="宋体"/>
          <w:kern w:val="0"/>
          <w:szCs w:val="21"/>
          <w:highlight w:val="none"/>
        </w:rPr>
      </w:pPr>
      <w:r>
        <w:rPr>
          <w:rFonts w:hint="eastAsia" w:ascii="宋体" w:hAnsi="宋体" w:cs="宋体"/>
          <w:kern w:val="0"/>
          <w:szCs w:val="21"/>
          <w:highlight w:val="none"/>
        </w:rPr>
        <w:t>2.本项目不接受联合体投标，</w:t>
      </w:r>
      <w:r>
        <w:rPr>
          <w:rFonts w:hint="eastAsia" w:ascii="宋体" w:hAnsi="宋体" w:cs="宋体"/>
          <w:kern w:val="0"/>
          <w:szCs w:val="21"/>
          <w:highlight w:val="none"/>
          <w:lang w:val="en-US" w:eastAsia="zh-CN"/>
        </w:rPr>
        <w:t>不</w:t>
      </w:r>
      <w:r>
        <w:rPr>
          <w:rFonts w:hint="eastAsia" w:ascii="宋体" w:hAnsi="宋体" w:cs="宋体"/>
          <w:kern w:val="0"/>
          <w:szCs w:val="21"/>
          <w:highlight w:val="none"/>
        </w:rPr>
        <w:t>接受投标人选用进口产品参与投标（由供应商在《采购投标及履约承诺函》中作出声明）；</w:t>
      </w:r>
    </w:p>
    <w:p w14:paraId="51651820">
      <w:pPr>
        <w:ind w:firstLine="630" w:firstLineChars="300"/>
        <w:rPr>
          <w:rFonts w:ascii="宋体" w:hAnsi="宋体" w:cs="宋体"/>
          <w:kern w:val="0"/>
          <w:szCs w:val="21"/>
        </w:rPr>
      </w:pPr>
      <w:r>
        <w:rPr>
          <w:rFonts w:hint="eastAsia" w:ascii="宋体" w:hAnsi="宋体" w:cs="宋体"/>
          <w:kern w:val="0"/>
          <w:szCs w:val="21"/>
          <w:highlight w:val="none"/>
        </w:rPr>
        <w:t>3</w:t>
      </w:r>
      <w:r>
        <w:rPr>
          <w:rFonts w:ascii="宋体" w:hAnsi="宋体" w:cs="宋体"/>
          <w:kern w:val="0"/>
          <w:szCs w:val="21"/>
          <w:highlight w:val="none"/>
        </w:rPr>
        <w:t>.</w:t>
      </w:r>
      <w:r>
        <w:rPr>
          <w:rFonts w:hint="eastAsia" w:ascii="宋体" w:hAnsi="宋体" w:cs="宋体"/>
          <w:kern w:val="0"/>
          <w:szCs w:val="21"/>
          <w:highlight w:val="none"/>
        </w:rPr>
        <w:t>参与本项目采购活动时不存在被有关</w:t>
      </w:r>
      <w:r>
        <w:rPr>
          <w:rFonts w:hint="eastAsia" w:ascii="宋体" w:hAnsi="宋体" w:cs="宋体"/>
          <w:kern w:val="0"/>
          <w:szCs w:val="21"/>
        </w:rPr>
        <w:t>部门禁止参与政府采购活动且在有效期内的情况（由供应商在《采购投标及履约承诺函》中作出声明）；</w:t>
      </w:r>
    </w:p>
    <w:p w14:paraId="742D3AB6">
      <w:pPr>
        <w:ind w:firstLine="630" w:firstLineChars="300"/>
        <w:rPr>
          <w:rFonts w:ascii="宋体" w:hAnsi="宋体" w:cs="宋体"/>
          <w:kern w:val="0"/>
          <w:szCs w:val="21"/>
        </w:rPr>
      </w:pPr>
      <w:r>
        <w:rPr>
          <w:rFonts w:hint="eastAsia" w:ascii="宋体" w:hAnsi="宋体" w:cs="宋体"/>
          <w:kern w:val="0"/>
          <w:szCs w:val="21"/>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具备《中华人民共和国政府采购法》第二十二条第一款的条件（由供应商在《采购投标及履约承诺函》中作出声明）；</w:t>
      </w:r>
    </w:p>
    <w:p w14:paraId="1CDDD134">
      <w:pPr>
        <w:ind w:firstLine="630" w:firstLineChars="300"/>
        <w:rPr>
          <w:rFonts w:ascii="宋体" w:hAnsi="宋体" w:cs="宋体"/>
          <w:kern w:val="0"/>
          <w:szCs w:val="21"/>
        </w:rPr>
      </w:pPr>
      <w:r>
        <w:rPr>
          <w:rFonts w:hint="eastAsia" w:ascii="宋体" w:hAnsi="宋体" w:cs="宋体"/>
          <w:kern w:val="0"/>
          <w:szCs w:val="21"/>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未被列入失信被执行人、重大税收违法案件当事人名单、政府采购严重违法失信行为记录名单（由供应商在《采购投标及履约承诺函》中作出声明）；</w:t>
      </w:r>
    </w:p>
    <w:p w14:paraId="5847BBB7">
      <w:pPr>
        <w:ind w:firstLine="630" w:firstLineChars="300"/>
        <w:rPr>
          <w:rFonts w:ascii="宋体" w:hAnsi="宋体" w:cs="宋体"/>
          <w:color w:val="FF0000"/>
          <w:kern w:val="0"/>
          <w:szCs w:val="21"/>
        </w:rPr>
      </w:pPr>
      <w:r>
        <w:rPr>
          <w:rFonts w:hint="eastAsia" w:ascii="宋体" w:hAnsi="宋体" w:cs="宋体"/>
          <w:color w:val="FF0000"/>
          <w:kern w:val="0"/>
          <w:szCs w:val="21"/>
        </w:rPr>
        <w:t>6.不存在《深圳市财政局政府采购供应商信用信息管理办法》（深财规〔2023〕3号）列明的严重违法失信行为（由供应商在《采购投标及履约承诺函》中作出声明）；</w:t>
      </w:r>
    </w:p>
    <w:p w14:paraId="2FBD728B">
      <w:pPr>
        <w:ind w:firstLine="630" w:firstLineChars="300"/>
        <w:rPr>
          <w:rFonts w:ascii="宋体" w:hAnsi="宋体" w:cs="宋体"/>
          <w:kern w:val="0"/>
          <w:szCs w:val="21"/>
        </w:rPr>
      </w:pPr>
      <w:r>
        <w:rPr>
          <w:rFonts w:hint="eastAsia" w:ascii="宋体" w:hAnsi="宋体" w:cs="宋体"/>
          <w:kern w:val="0"/>
          <w:szCs w:val="21"/>
        </w:rPr>
        <w:t>7.为采购项目提供整体设计、规范编制或者项目管理、监理、检测等服务的供应商，不得再参加该采购项目的其他采购活动（由供应商在《采购投标及履约承诺函》中作出声明）；</w:t>
      </w:r>
    </w:p>
    <w:p w14:paraId="29E46C37">
      <w:pPr>
        <w:ind w:firstLine="630" w:firstLineChars="300"/>
        <w:rPr>
          <w:rFonts w:ascii="宋体" w:hAnsi="宋体" w:cs="宋体"/>
          <w:color w:val="FF0000"/>
          <w:kern w:val="0"/>
          <w:szCs w:val="21"/>
        </w:rPr>
      </w:pPr>
      <w:r>
        <w:rPr>
          <w:rFonts w:hint="eastAsia" w:ascii="宋体" w:hAnsi="宋体" w:cs="宋体"/>
          <w:color w:val="FF0000"/>
          <w:kern w:val="0"/>
          <w:szCs w:val="21"/>
        </w:rPr>
        <w:t>8.</w:t>
      </w:r>
      <w:r>
        <w:rPr>
          <w:rFonts w:hint="eastAsia" w:ascii="宋体" w:hAnsi="宋体" w:eastAsia="宋体" w:cs="宋体"/>
          <w:color w:val="FF0000"/>
          <w:kern w:val="0"/>
          <w:sz w:val="21"/>
          <w:szCs w:val="21"/>
          <w:lang w:val="en-US" w:eastAsia="zh-CN" w:bidi="ar-SA"/>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由供应商提供《供应商基本情况表》相关信息）</w:t>
      </w:r>
      <w:r>
        <w:rPr>
          <w:rFonts w:hint="eastAsia" w:ascii="宋体" w:hAnsi="宋体" w:cs="宋体"/>
          <w:b/>
          <w:color w:val="FF0000"/>
          <w:kern w:val="0"/>
          <w:szCs w:val="21"/>
          <w:lang w:eastAsia="zh-CN"/>
        </w:rPr>
        <w:t>；</w:t>
      </w:r>
    </w:p>
    <w:p w14:paraId="31EBF2EE">
      <w:pPr>
        <w:ind w:firstLine="630" w:firstLineChars="300"/>
        <w:rPr>
          <w:rFonts w:hint="eastAsia" w:ascii="宋体" w:hAnsi="宋体" w:cs="宋体"/>
          <w:kern w:val="0"/>
          <w:szCs w:val="21"/>
          <w:lang w:val="en-US" w:eastAsia="zh-CN"/>
        </w:rPr>
      </w:pPr>
      <w:r>
        <w:rPr>
          <w:rFonts w:hint="eastAsia" w:ascii="宋体" w:hAnsi="宋体" w:cs="宋体"/>
          <w:kern w:val="0"/>
          <w:szCs w:val="21"/>
          <w:lang w:val="en-US" w:eastAsia="zh-CN"/>
        </w:rPr>
        <w:t>9.本项目为非专门面向中小企业采购项目。</w:t>
      </w:r>
    </w:p>
    <w:p w14:paraId="3D5A6D5E">
      <w:pPr>
        <w:ind w:firstLine="630" w:firstLineChars="300"/>
        <w:rPr>
          <w:rFonts w:hint="eastAsia" w:ascii="宋体" w:hAnsi="宋体" w:eastAsia="宋体" w:cs="宋体"/>
          <w:kern w:val="0"/>
          <w:szCs w:val="21"/>
          <w:lang w:val="en-US" w:eastAsia="zh-CN"/>
        </w:rPr>
      </w:pPr>
      <w:r>
        <w:rPr>
          <w:rFonts w:hint="eastAsia" w:ascii="宋体" w:hAnsi="宋体" w:cs="宋体"/>
          <w:kern w:val="0"/>
          <w:szCs w:val="21"/>
          <w:lang w:val="en-US" w:eastAsia="zh-CN"/>
        </w:rPr>
        <w:t>10.投标人若为生产企业：所投产品为第二、三类医疗器械的，提供监督管理部门签发的涵盖所投报医疗器械的《医疗器械生产许可证》(有效期内)扫描件；投标人若为经营企业：所投产品为第二类医疗器械的，提供监督管理部门签发的涵盖所投报医疗器械的《医疗器械经营备案凭证》扫描件；所投产品为第三类医疗器械的，提供监督管理部门签发的涵盖所投报医疗器械的《医疗器械经营许可证》(有效期内)扫描件。</w:t>
      </w:r>
    </w:p>
    <w:p w14:paraId="568D25B1">
      <w:pPr>
        <w:rPr>
          <w:rFonts w:hint="eastAsia" w:ascii="宋体" w:hAnsi="宋体" w:cs="宋体"/>
          <w:kern w:val="0"/>
          <w:szCs w:val="21"/>
        </w:rPr>
      </w:pPr>
    </w:p>
    <w:p w14:paraId="3FED9B3A">
      <w:pPr>
        <w:rPr>
          <w:rFonts w:ascii="宋体" w:hAnsi="宋体" w:cs="宋体"/>
          <w:kern w:val="0"/>
          <w:szCs w:val="21"/>
        </w:rPr>
      </w:pPr>
      <w:r>
        <w:rPr>
          <w:rFonts w:hint="eastAsia" w:ascii="宋体" w:hAnsi="宋体" w:cs="宋体"/>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176D82D6">
      <w:pPr>
        <w:numPr>
          <w:ilvl w:val="0"/>
          <w:numId w:val="0"/>
        </w:numPr>
        <w:rPr>
          <w:rFonts w:hint="eastAsia" w:ascii="宋体" w:hAnsi="宋体"/>
        </w:rPr>
      </w:pPr>
      <w:r>
        <w:rPr>
          <w:rFonts w:hint="eastAsia" w:ascii="宋体" w:hAnsi="宋体"/>
          <w:lang w:eastAsia="zh-CN"/>
        </w:rPr>
        <w:t>（</w:t>
      </w:r>
      <w:r>
        <w:rPr>
          <w:rFonts w:hint="eastAsia" w:ascii="宋体" w:hAnsi="宋体"/>
          <w:lang w:val="en-US" w:eastAsia="zh-CN"/>
        </w:rPr>
        <w:t>2</w:t>
      </w:r>
      <w:r>
        <w:rPr>
          <w:rFonts w:hint="eastAsia" w:ascii="宋体" w:hAnsi="宋体"/>
          <w:lang w:eastAsia="zh-CN"/>
        </w:rPr>
        <w:t>）</w:t>
      </w:r>
      <w:r>
        <w:rPr>
          <w:rFonts w:hint="eastAsia" w:ascii="宋体" w:hAnsi="宋体"/>
        </w:rPr>
        <w:t>供应商投标（上传投标文件）必须先行办理注册手续，具体操作指引请按照深圳公共资源交易网/交易服务指南/资料下载/深圳自行采购系统用户操作指引（供应商）相关内容指引办理。</w:t>
      </w:r>
    </w:p>
    <w:p w14:paraId="6418FFB7">
      <w:pPr>
        <w:pStyle w:val="2"/>
        <w:numPr>
          <w:ilvl w:val="0"/>
          <w:numId w:val="0"/>
        </w:numPr>
      </w:pPr>
    </w:p>
    <w:p w14:paraId="7A2BDEB3">
      <w:pPr>
        <w:jc w:val="left"/>
        <w:rPr>
          <w:b/>
          <w:sz w:val="22"/>
          <w:szCs w:val="18"/>
        </w:rPr>
      </w:pPr>
      <w:r>
        <w:rPr>
          <w:rFonts w:hint="eastAsia"/>
          <w:b/>
          <w:sz w:val="22"/>
          <w:szCs w:val="18"/>
        </w:rPr>
        <w:t>完整公告内容详见：深圳交易集团（深圳公共资源交易中心）官网https://www.szexgrp.com/jyfw/zfcg-view.html?id=zfcg</w:t>
      </w:r>
    </w:p>
    <w:p w14:paraId="7045790D">
      <w:pPr>
        <w:rPr>
          <w:rFonts w:hint="eastAsia"/>
          <w:sz w:val="28"/>
          <w:szCs w:val="28"/>
        </w:rPr>
      </w:pPr>
      <w:bookmarkStart w:id="3" w:name="bt说明"/>
      <w:bookmarkEnd w:id="3"/>
      <w:bookmarkStart w:id="4" w:name="bt商务标投标文件格式"/>
      <w:bookmarkEnd w:id="4"/>
      <w:bookmarkStart w:id="5" w:name="bt本工程承诺书"/>
      <w:bookmarkEnd w:id="5"/>
      <w:bookmarkStart w:id="6" w:name="bt其他资料由投标人自定"/>
      <w:bookmarkEnd w:id="6"/>
      <w:bookmarkStart w:id="7" w:name="bt开标一览表"/>
      <w:bookmarkEnd w:id="7"/>
      <w:bookmarkStart w:id="8" w:name="bt技术标投标文件格式"/>
      <w:bookmarkEnd w:id="8"/>
      <w:bookmarkStart w:id="9" w:name="bt投标文件签署授权委托书"/>
      <w:bookmarkEnd w:id="9"/>
      <w:bookmarkStart w:id="10" w:name="bt合同条款及格式"/>
      <w:bookmarkEnd w:id="10"/>
      <w:bookmarkStart w:id="11" w:name="bt投标人须知"/>
      <w:bookmarkEnd w:id="11"/>
      <w:bookmarkStart w:id="12" w:name="bt合同格式"/>
      <w:bookmarkEnd w:id="12"/>
      <w:bookmarkStart w:id="13" w:name="bt项目管理班子配备情况"/>
      <w:bookmarkEnd w:id="13"/>
      <w:bookmarkStart w:id="14" w:name="bt投标报价汇总表"/>
      <w:bookmarkEnd w:id="14"/>
      <w:bookmarkStart w:id="15" w:name="bt合同条款"/>
      <w:bookmarkEnd w:id="15"/>
      <w:bookmarkStart w:id="16" w:name="bt投标人情况介绍"/>
      <w:bookmarkEnd w:id="16"/>
      <w:bookmarkStart w:id="17" w:name="bt投标函"/>
      <w:bookmarkEnd w:id="17"/>
      <w:bookmarkStart w:id="18" w:name="合同格式"/>
      <w:bookmarkEnd w:id="18"/>
      <w:bookmarkStart w:id="19" w:name="bt其他资料2"/>
      <w:bookmarkEnd w:id="19"/>
      <w:r>
        <w:rPr>
          <w:rFonts w:hint="eastAsia"/>
          <w:sz w:val="28"/>
          <w:szCs w:val="28"/>
        </w:rPr>
        <w:br w:type="page"/>
      </w:r>
    </w:p>
    <w:p w14:paraId="1BDAF229">
      <w:pPr>
        <w:pStyle w:val="7"/>
        <w:jc w:val="center"/>
        <w:rPr>
          <w:sz w:val="28"/>
          <w:szCs w:val="28"/>
        </w:rPr>
      </w:pPr>
      <w:r>
        <w:rPr>
          <w:rFonts w:hint="eastAsia"/>
          <w:sz w:val="28"/>
          <w:szCs w:val="28"/>
        </w:rPr>
        <w:t>第二章 对通用条款的补充内容及其他关键信息</w:t>
      </w:r>
    </w:p>
    <w:p w14:paraId="28867BEE">
      <w:pPr>
        <w:pStyle w:val="7"/>
        <w:spacing w:before="156" w:beforeLines="50" w:after="156" w:afterLines="50"/>
        <w:rPr>
          <w:sz w:val="28"/>
          <w:szCs w:val="28"/>
        </w:rPr>
      </w:pPr>
      <w:bookmarkStart w:id="20" w:name="_Toc60631620"/>
      <w:bookmarkStart w:id="21" w:name="_Toc73521635"/>
      <w:bookmarkStart w:id="22" w:name="_Toc73517639"/>
      <w:bookmarkStart w:id="23" w:name="_Toc60560625"/>
      <w:bookmarkStart w:id="24" w:name="_Toc73518117"/>
      <w:bookmarkStart w:id="25" w:name="_Toc100052364"/>
      <w:bookmarkStart w:id="26" w:name="_Toc101074876"/>
      <w:bookmarkStart w:id="27" w:name="_Toc73521547"/>
      <w:r>
        <w:rPr>
          <w:rFonts w:hint="eastAsia"/>
          <w:szCs w:val="24"/>
        </w:rPr>
        <w:t>一、对通用条款的补充内容</w:t>
      </w:r>
    </w:p>
    <w:bookmarkEnd w:id="20"/>
    <w:bookmarkEnd w:id="21"/>
    <w:bookmarkEnd w:id="22"/>
    <w:bookmarkEnd w:id="23"/>
    <w:bookmarkEnd w:id="24"/>
    <w:bookmarkEnd w:id="25"/>
    <w:bookmarkEnd w:id="26"/>
    <w:bookmarkEnd w:id="27"/>
    <w:tbl>
      <w:tblPr>
        <w:tblStyle w:val="43"/>
        <w:tblW w:w="879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0"/>
        <w:gridCol w:w="1946"/>
        <w:gridCol w:w="5881"/>
      </w:tblGrid>
      <w:tr w14:paraId="716D93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11803C3">
            <w:pPr>
              <w:keepNext w:val="0"/>
              <w:keepLines w:val="0"/>
              <w:suppressLineNumbers w:val="0"/>
              <w:spacing w:before="0" w:beforeAutospacing="0" w:after="0" w:afterAutospacing="0"/>
              <w:ind w:left="0" w:right="0"/>
              <w:jc w:val="center"/>
              <w:rPr>
                <w:rFonts w:hint="default" w:asciiTheme="minorEastAsia" w:hAnsiTheme="minorEastAsia" w:eastAsiaTheme="minorEastAsia"/>
                <w:b/>
                <w:bCs/>
              </w:rPr>
            </w:pPr>
            <w:r>
              <w:rPr>
                <w:rFonts w:hint="eastAsia" w:asciiTheme="minorEastAsia" w:hAnsiTheme="minorEastAsia" w:eastAsiaTheme="minorEastAsia"/>
                <w:b/>
                <w:bCs/>
              </w:rPr>
              <w:t>通用条款序号</w:t>
            </w:r>
          </w:p>
        </w:tc>
        <w:tc>
          <w:tcPr>
            <w:tcW w:w="1946" w:type="dxa"/>
            <w:vAlign w:val="center"/>
          </w:tcPr>
          <w:p w14:paraId="5C40CF93">
            <w:pPr>
              <w:keepNext w:val="0"/>
              <w:keepLines w:val="0"/>
              <w:suppressLineNumbers w:val="0"/>
              <w:spacing w:before="0" w:beforeAutospacing="0" w:after="0" w:afterAutospacing="0"/>
              <w:ind w:left="0" w:right="0"/>
              <w:jc w:val="center"/>
              <w:rPr>
                <w:rFonts w:hint="default" w:asciiTheme="minorEastAsia" w:hAnsiTheme="minorEastAsia" w:eastAsiaTheme="minorEastAsia"/>
                <w:b/>
                <w:bCs/>
              </w:rPr>
            </w:pPr>
            <w:r>
              <w:rPr>
                <w:rFonts w:hint="eastAsia" w:asciiTheme="minorEastAsia" w:hAnsiTheme="minorEastAsia" w:eastAsiaTheme="minorEastAsia"/>
                <w:b/>
                <w:bCs/>
              </w:rPr>
              <w:t>涉及事项</w:t>
            </w:r>
          </w:p>
        </w:tc>
        <w:tc>
          <w:tcPr>
            <w:tcW w:w="5881" w:type="dxa"/>
            <w:vAlign w:val="center"/>
          </w:tcPr>
          <w:p w14:paraId="3FC3B245">
            <w:pPr>
              <w:keepNext w:val="0"/>
              <w:keepLines w:val="0"/>
              <w:suppressLineNumbers w:val="0"/>
              <w:spacing w:before="0" w:beforeAutospacing="0" w:after="0" w:afterAutospacing="0"/>
              <w:ind w:left="0" w:right="0"/>
              <w:jc w:val="center"/>
              <w:rPr>
                <w:rFonts w:hint="default" w:asciiTheme="minorEastAsia" w:hAnsiTheme="minorEastAsia" w:eastAsiaTheme="minorEastAsia"/>
                <w:b/>
                <w:bCs/>
              </w:rPr>
            </w:pPr>
            <w:r>
              <w:rPr>
                <w:rFonts w:hint="eastAsia" w:asciiTheme="minorEastAsia" w:hAnsiTheme="minorEastAsia" w:eastAsiaTheme="minorEastAsia"/>
                <w:b/>
                <w:bCs/>
              </w:rPr>
              <w:t xml:space="preserve">具 </w:t>
            </w:r>
            <w:r>
              <w:rPr>
                <w:rFonts w:hint="default" w:asciiTheme="minorEastAsia" w:hAnsiTheme="minorEastAsia" w:eastAsiaTheme="minorEastAsia"/>
                <w:b/>
                <w:bCs/>
              </w:rPr>
              <w:t xml:space="preserve"> </w:t>
            </w:r>
            <w:r>
              <w:rPr>
                <w:rFonts w:hint="eastAsia" w:asciiTheme="minorEastAsia" w:hAnsiTheme="minorEastAsia" w:eastAsiaTheme="minorEastAsia"/>
                <w:b/>
                <w:bCs/>
              </w:rPr>
              <w:t xml:space="preserve">体 </w:t>
            </w:r>
            <w:r>
              <w:rPr>
                <w:rFonts w:hint="default" w:asciiTheme="minorEastAsia" w:hAnsiTheme="minorEastAsia" w:eastAsiaTheme="minorEastAsia"/>
                <w:b/>
                <w:bCs/>
              </w:rPr>
              <w:t xml:space="preserve"> </w:t>
            </w:r>
            <w:r>
              <w:rPr>
                <w:rFonts w:hint="eastAsia" w:asciiTheme="minorEastAsia" w:hAnsiTheme="minorEastAsia" w:eastAsiaTheme="minorEastAsia"/>
                <w:b/>
                <w:bCs/>
              </w:rPr>
              <w:t xml:space="preserve">补 </w:t>
            </w:r>
            <w:r>
              <w:rPr>
                <w:rFonts w:hint="default" w:asciiTheme="minorEastAsia" w:hAnsiTheme="minorEastAsia" w:eastAsiaTheme="minorEastAsia"/>
                <w:b/>
                <w:bCs/>
              </w:rPr>
              <w:t xml:space="preserve"> </w:t>
            </w:r>
            <w:r>
              <w:rPr>
                <w:rFonts w:hint="eastAsia" w:asciiTheme="minorEastAsia" w:hAnsiTheme="minorEastAsia" w:eastAsiaTheme="minorEastAsia"/>
                <w:b/>
                <w:bCs/>
              </w:rPr>
              <w:t xml:space="preserve">充 </w:t>
            </w:r>
            <w:r>
              <w:rPr>
                <w:rFonts w:hint="default" w:asciiTheme="minorEastAsia" w:hAnsiTheme="minorEastAsia" w:eastAsiaTheme="minorEastAsia"/>
                <w:b/>
                <w:bCs/>
              </w:rPr>
              <w:t xml:space="preserve"> </w:t>
            </w:r>
            <w:r>
              <w:rPr>
                <w:rFonts w:hint="eastAsia" w:asciiTheme="minorEastAsia" w:hAnsiTheme="minorEastAsia" w:eastAsiaTheme="minorEastAsia"/>
                <w:b/>
                <w:bCs/>
              </w:rPr>
              <w:t xml:space="preserve">内 </w:t>
            </w:r>
            <w:r>
              <w:rPr>
                <w:rFonts w:hint="default" w:asciiTheme="minorEastAsia" w:hAnsiTheme="minorEastAsia" w:eastAsiaTheme="minorEastAsia"/>
                <w:b/>
                <w:bCs/>
              </w:rPr>
              <w:t xml:space="preserve"> </w:t>
            </w:r>
            <w:r>
              <w:rPr>
                <w:rFonts w:hint="eastAsia" w:asciiTheme="minorEastAsia" w:hAnsiTheme="minorEastAsia" w:eastAsiaTheme="minorEastAsia"/>
                <w:b/>
                <w:bCs/>
              </w:rPr>
              <w:t>容</w:t>
            </w:r>
          </w:p>
        </w:tc>
      </w:tr>
      <w:tr w14:paraId="0CD6E2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97" w:type="dxa"/>
            <w:gridSpan w:val="3"/>
            <w:vAlign w:val="center"/>
          </w:tcPr>
          <w:p w14:paraId="45B6511F">
            <w:pPr>
              <w:keepNext w:val="0"/>
              <w:keepLines w:val="0"/>
              <w:suppressLineNumbers w:val="0"/>
              <w:spacing w:before="0" w:beforeAutospacing="0" w:after="0" w:afterAutospacing="0"/>
              <w:ind w:left="0" w:right="0"/>
              <w:jc w:val="center"/>
              <w:rPr>
                <w:rFonts w:hint="default" w:asciiTheme="minorEastAsia" w:hAnsiTheme="minorEastAsia" w:eastAsiaTheme="minorEastAsia"/>
                <w:b/>
                <w:bCs/>
              </w:rPr>
            </w:pPr>
            <w:r>
              <w:rPr>
                <w:rFonts w:hint="eastAsia" w:asciiTheme="minorEastAsia" w:hAnsiTheme="minorEastAsia" w:eastAsiaTheme="minorEastAsia"/>
              </w:rPr>
              <w:t>本项目为自行采购项目，相关事宜按照招标文件要求及采购单位内控制度执行。</w:t>
            </w:r>
          </w:p>
        </w:tc>
      </w:tr>
      <w:tr w14:paraId="724FFB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A0B82CB">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3</w:t>
            </w:r>
            <w:r>
              <w:rPr>
                <w:rFonts w:hint="default" w:asciiTheme="minorEastAsia" w:hAnsiTheme="minorEastAsia" w:eastAsiaTheme="minorEastAsia"/>
              </w:rPr>
              <w:t>.1</w:t>
            </w:r>
          </w:p>
        </w:tc>
        <w:tc>
          <w:tcPr>
            <w:tcW w:w="1946" w:type="dxa"/>
            <w:vAlign w:val="center"/>
          </w:tcPr>
          <w:p w14:paraId="3F3CEB82">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采购人</w:t>
            </w:r>
          </w:p>
        </w:tc>
        <w:tc>
          <w:tcPr>
            <w:tcW w:w="5881" w:type="dxa"/>
            <w:vAlign w:val="center"/>
          </w:tcPr>
          <w:p w14:paraId="1FEE1425">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default" w:asciiTheme="minorEastAsia" w:hAnsiTheme="minorEastAsia" w:eastAsiaTheme="minorEastAsia"/>
              </w:rPr>
              <w:t>深圳市第三人民医院</w:t>
            </w:r>
          </w:p>
        </w:tc>
      </w:tr>
      <w:tr w14:paraId="5EC58D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121872D">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3</w:t>
            </w:r>
            <w:r>
              <w:rPr>
                <w:rFonts w:hint="default" w:asciiTheme="minorEastAsia" w:hAnsiTheme="minorEastAsia" w:eastAsiaTheme="minorEastAsia"/>
              </w:rPr>
              <w:t>.2</w:t>
            </w:r>
          </w:p>
        </w:tc>
        <w:tc>
          <w:tcPr>
            <w:tcW w:w="1946" w:type="dxa"/>
            <w:vAlign w:val="center"/>
          </w:tcPr>
          <w:p w14:paraId="3B56DC60">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采购代理机构</w:t>
            </w:r>
          </w:p>
        </w:tc>
        <w:tc>
          <w:tcPr>
            <w:tcW w:w="5881" w:type="dxa"/>
            <w:vAlign w:val="center"/>
          </w:tcPr>
          <w:p w14:paraId="2A9E4D06">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深圳公共资源交易中心</w:t>
            </w:r>
          </w:p>
          <w:p w14:paraId="2075A061">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（深圳交易集团有限公司政府采购业务分公司）</w:t>
            </w:r>
          </w:p>
        </w:tc>
      </w:tr>
      <w:tr w14:paraId="00A28E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E000EE5">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9</w:t>
            </w:r>
          </w:p>
        </w:tc>
        <w:tc>
          <w:tcPr>
            <w:tcW w:w="1946" w:type="dxa"/>
            <w:vAlign w:val="center"/>
          </w:tcPr>
          <w:p w14:paraId="18B1697B">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踏勘现场</w:t>
            </w:r>
          </w:p>
        </w:tc>
        <w:tc>
          <w:tcPr>
            <w:tcW w:w="5881" w:type="dxa"/>
            <w:vAlign w:val="center"/>
          </w:tcPr>
          <w:p w14:paraId="67006370">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不组织</w:t>
            </w:r>
          </w:p>
        </w:tc>
      </w:tr>
      <w:tr w14:paraId="45DCC8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C145CB9">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1</w:t>
            </w:r>
            <w:r>
              <w:rPr>
                <w:rFonts w:hint="default" w:asciiTheme="minorEastAsia" w:hAnsiTheme="minorEastAsia" w:eastAsiaTheme="minorEastAsia"/>
              </w:rPr>
              <w:t>0</w:t>
            </w:r>
          </w:p>
        </w:tc>
        <w:tc>
          <w:tcPr>
            <w:tcW w:w="1946" w:type="dxa"/>
            <w:vAlign w:val="center"/>
          </w:tcPr>
          <w:p w14:paraId="2D0AF435">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标前会议</w:t>
            </w:r>
          </w:p>
        </w:tc>
        <w:tc>
          <w:tcPr>
            <w:tcW w:w="5881" w:type="dxa"/>
            <w:vAlign w:val="center"/>
          </w:tcPr>
          <w:p w14:paraId="1DFFB8D2">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不组织</w:t>
            </w:r>
          </w:p>
        </w:tc>
      </w:tr>
      <w:tr w14:paraId="33A34D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B252586">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1</w:t>
            </w:r>
            <w:r>
              <w:rPr>
                <w:rFonts w:hint="default" w:asciiTheme="minorEastAsia" w:hAnsiTheme="minorEastAsia" w:eastAsiaTheme="minorEastAsia"/>
              </w:rPr>
              <w:t>2</w:t>
            </w:r>
            <w:r>
              <w:rPr>
                <w:rFonts w:hint="eastAsia" w:asciiTheme="minorEastAsia" w:hAnsiTheme="minorEastAsia" w:eastAsiaTheme="minorEastAsia"/>
              </w:rPr>
              <w:t>/1</w:t>
            </w:r>
            <w:r>
              <w:rPr>
                <w:rFonts w:hint="default" w:asciiTheme="minorEastAsia" w:hAnsiTheme="minorEastAsia" w:eastAsiaTheme="minorEastAsia"/>
              </w:rPr>
              <w:t>3</w:t>
            </w:r>
          </w:p>
        </w:tc>
        <w:tc>
          <w:tcPr>
            <w:tcW w:w="1946" w:type="dxa"/>
            <w:vAlign w:val="center"/>
          </w:tcPr>
          <w:p w14:paraId="64851060">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招标文件的澄清和修改</w:t>
            </w:r>
          </w:p>
        </w:tc>
        <w:tc>
          <w:tcPr>
            <w:tcW w:w="5881" w:type="dxa"/>
            <w:vAlign w:val="center"/>
          </w:tcPr>
          <w:p w14:paraId="325AE533">
            <w:pPr>
              <w:keepNext w:val="0"/>
              <w:keepLines w:val="0"/>
              <w:suppressLineNumbers w:val="0"/>
              <w:spacing w:before="0" w:beforeAutospacing="0" w:after="0" w:afterAutospacing="0"/>
              <w:ind w:left="0" w:right="0"/>
              <w:jc w:val="left"/>
              <w:rPr>
                <w:rFonts w:hint="default" w:asciiTheme="minorEastAsia" w:hAnsiTheme="minorEastAsia" w:eastAsiaTheme="minorEastAsia"/>
                <w:highlight w:val="none"/>
              </w:rPr>
            </w:pPr>
            <w:r>
              <w:rPr>
                <w:rFonts w:hint="eastAsia" w:asciiTheme="minorEastAsia" w:hAnsiTheme="minorEastAsia" w:eastAsiaTheme="minorEastAsia"/>
                <w:highlight w:val="none"/>
              </w:rPr>
              <w:t>投标截止日三日前，投标人有义务在招标期间在深圳交易集团（深圳公共资源交易中心）网站浏览与本项目有关的澄清和修改信息</w:t>
            </w:r>
          </w:p>
        </w:tc>
      </w:tr>
      <w:tr w14:paraId="167DED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999EC03">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2</w:t>
            </w:r>
            <w:r>
              <w:rPr>
                <w:rFonts w:hint="default" w:asciiTheme="minorEastAsia" w:hAnsiTheme="minorEastAsia" w:eastAsiaTheme="minorEastAsia"/>
              </w:rPr>
              <w:t>0</w:t>
            </w:r>
          </w:p>
        </w:tc>
        <w:tc>
          <w:tcPr>
            <w:tcW w:w="1946" w:type="dxa"/>
            <w:vAlign w:val="center"/>
          </w:tcPr>
          <w:p w14:paraId="59279F28">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投标有效期</w:t>
            </w:r>
          </w:p>
        </w:tc>
        <w:tc>
          <w:tcPr>
            <w:tcW w:w="5881" w:type="dxa"/>
            <w:vAlign w:val="center"/>
          </w:tcPr>
          <w:p w14:paraId="3F9CD968">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120个日历日</w:t>
            </w:r>
          </w:p>
        </w:tc>
      </w:tr>
      <w:tr w14:paraId="34D68E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68B996BA">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2</w:t>
            </w:r>
            <w:r>
              <w:rPr>
                <w:rFonts w:hint="default" w:asciiTheme="minorEastAsia" w:hAnsiTheme="minorEastAsia" w:eastAsiaTheme="minorEastAsia"/>
              </w:rPr>
              <w:t>2</w:t>
            </w:r>
          </w:p>
        </w:tc>
        <w:tc>
          <w:tcPr>
            <w:tcW w:w="1946" w:type="dxa"/>
            <w:vAlign w:val="center"/>
          </w:tcPr>
          <w:p w14:paraId="1C5FDDC2">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投标人的替代方案</w:t>
            </w:r>
          </w:p>
        </w:tc>
        <w:tc>
          <w:tcPr>
            <w:tcW w:w="5881" w:type="dxa"/>
            <w:vAlign w:val="center"/>
          </w:tcPr>
          <w:p w14:paraId="7B4ED4EC">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不接受</w:t>
            </w:r>
          </w:p>
        </w:tc>
      </w:tr>
      <w:tr w14:paraId="630D01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AD11955">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2</w:t>
            </w:r>
            <w:r>
              <w:rPr>
                <w:rFonts w:hint="default" w:asciiTheme="minorEastAsia" w:hAnsiTheme="minorEastAsia" w:eastAsiaTheme="minorEastAsia"/>
              </w:rPr>
              <w:t>5</w:t>
            </w:r>
          </w:p>
        </w:tc>
        <w:tc>
          <w:tcPr>
            <w:tcW w:w="1946" w:type="dxa"/>
            <w:vAlign w:val="center"/>
          </w:tcPr>
          <w:p w14:paraId="0B1ED4BA">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投标文件的大小</w:t>
            </w:r>
          </w:p>
        </w:tc>
        <w:tc>
          <w:tcPr>
            <w:tcW w:w="5881" w:type="dxa"/>
            <w:vAlign w:val="center"/>
          </w:tcPr>
          <w:p w14:paraId="5D0E7F6D">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投标文件大小不得超过</w:t>
            </w:r>
            <w:r>
              <w:rPr>
                <w:rFonts w:hint="default" w:asciiTheme="minorEastAsia" w:hAnsiTheme="minorEastAsia" w:eastAsiaTheme="minorEastAsia"/>
              </w:rPr>
              <w:t>1</w:t>
            </w:r>
            <w:r>
              <w:rPr>
                <w:rFonts w:hint="eastAsia" w:asciiTheme="minorEastAsia" w:hAnsiTheme="minorEastAsia" w:eastAsiaTheme="minorEastAsia"/>
              </w:rPr>
              <w:t>00MB</w:t>
            </w:r>
          </w:p>
        </w:tc>
      </w:tr>
      <w:tr w14:paraId="314318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6D2A1690">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2</w:t>
            </w:r>
            <w:r>
              <w:rPr>
                <w:rFonts w:hint="default" w:asciiTheme="minorEastAsia" w:hAnsiTheme="minorEastAsia" w:eastAsiaTheme="minorEastAsia"/>
              </w:rPr>
              <w:t>6</w:t>
            </w:r>
          </w:p>
        </w:tc>
        <w:tc>
          <w:tcPr>
            <w:tcW w:w="1946" w:type="dxa"/>
            <w:vAlign w:val="center"/>
          </w:tcPr>
          <w:p w14:paraId="19FD1A46">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bookmarkStart w:id="28" w:name="_Hlk71664860"/>
            <w:r>
              <w:rPr>
                <w:rFonts w:hint="eastAsia" w:asciiTheme="minorEastAsia" w:hAnsiTheme="minorEastAsia" w:eastAsiaTheme="minorEastAsia"/>
              </w:rPr>
              <w:t>样品、演示、方案讲解</w:t>
            </w:r>
            <w:bookmarkEnd w:id="28"/>
          </w:p>
        </w:tc>
        <w:tc>
          <w:tcPr>
            <w:tcW w:w="5881" w:type="dxa"/>
            <w:vAlign w:val="center"/>
          </w:tcPr>
          <w:p w14:paraId="527B778B">
            <w:pPr>
              <w:keepNext w:val="0"/>
              <w:keepLines w:val="0"/>
              <w:suppressLineNumbers w:val="0"/>
              <w:spacing w:before="0" w:beforeAutospacing="0" w:after="0" w:afterAutospacing="0"/>
              <w:ind w:left="0" w:right="0"/>
              <w:rPr>
                <w:rFonts w:hint="default" w:asciiTheme="minorEastAsia" w:hAnsiTheme="minorEastAsia" w:eastAsiaTheme="minorEastAsia"/>
              </w:rPr>
            </w:pPr>
            <w:r>
              <w:rPr>
                <w:rFonts w:hint="eastAsia" w:asciiTheme="minorEastAsia" w:hAnsiTheme="minorEastAsia" w:eastAsiaTheme="minorEastAsia"/>
              </w:rPr>
              <w:t>如有样品、演示、方案讲解，具体安排见第三章 用户需求书相关要求</w:t>
            </w:r>
          </w:p>
        </w:tc>
      </w:tr>
      <w:tr w14:paraId="3256D3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B2B7B03">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3</w:t>
            </w:r>
            <w:r>
              <w:rPr>
                <w:rFonts w:hint="default" w:asciiTheme="minorEastAsia" w:hAnsiTheme="minorEastAsia" w:eastAsiaTheme="minorEastAsia"/>
              </w:rPr>
              <w:t>7</w:t>
            </w:r>
          </w:p>
        </w:tc>
        <w:tc>
          <w:tcPr>
            <w:tcW w:w="1946" w:type="dxa"/>
            <w:vAlign w:val="center"/>
          </w:tcPr>
          <w:p w14:paraId="7775A5BD">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评审方法</w:t>
            </w:r>
          </w:p>
        </w:tc>
        <w:tc>
          <w:tcPr>
            <w:tcW w:w="5881" w:type="dxa"/>
            <w:vAlign w:val="center"/>
          </w:tcPr>
          <w:p w14:paraId="71FA239C">
            <w:pPr>
              <w:keepNext w:val="0"/>
              <w:keepLines w:val="0"/>
              <w:suppressLineNumbers w:val="0"/>
              <w:spacing w:before="0" w:beforeAutospacing="0" w:after="0" w:afterAutospacing="0"/>
              <w:ind w:left="0" w:right="0"/>
              <w:jc w:val="left"/>
              <w:rPr>
                <w:rFonts w:hint="default" w:asciiTheme="minorEastAsia" w:hAnsiTheme="minorEastAsia" w:eastAsiaTheme="minorEastAsia"/>
              </w:rPr>
            </w:pPr>
            <w:r>
              <w:rPr>
                <w:rFonts w:hint="eastAsia" w:asciiTheme="minorEastAsia" w:hAnsiTheme="minorEastAsia" w:eastAsiaTheme="minorEastAsia"/>
              </w:rPr>
              <w:t>综合评分法</w:t>
            </w:r>
          </w:p>
        </w:tc>
      </w:tr>
      <w:tr w14:paraId="2F632A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9" w:hRule="atLeast"/>
          <w:jc w:val="center"/>
        </w:trPr>
        <w:tc>
          <w:tcPr>
            <w:tcW w:w="970" w:type="dxa"/>
            <w:vAlign w:val="center"/>
          </w:tcPr>
          <w:p w14:paraId="1F8ABE1F">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3</w:t>
            </w:r>
            <w:r>
              <w:rPr>
                <w:rFonts w:hint="default" w:asciiTheme="minorEastAsia" w:hAnsiTheme="minorEastAsia" w:eastAsiaTheme="minorEastAsia"/>
              </w:rPr>
              <w:t>8</w:t>
            </w:r>
          </w:p>
        </w:tc>
        <w:tc>
          <w:tcPr>
            <w:tcW w:w="1946" w:type="dxa"/>
            <w:vAlign w:val="center"/>
          </w:tcPr>
          <w:p w14:paraId="3328087F">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定标方法</w:t>
            </w:r>
          </w:p>
        </w:tc>
        <w:tc>
          <w:tcPr>
            <w:tcW w:w="5881" w:type="dxa"/>
            <w:vAlign w:val="center"/>
          </w:tcPr>
          <w:p w14:paraId="3F91B2CC">
            <w:pPr>
              <w:keepNext w:val="0"/>
              <w:keepLines w:val="0"/>
              <w:suppressLineNumbers w:val="0"/>
              <w:spacing w:before="0" w:beforeAutospacing="0" w:after="0" w:afterAutospacing="0"/>
              <w:ind w:left="0" w:right="0"/>
              <w:jc w:val="left"/>
              <w:rPr>
                <w:rFonts w:hint="default" w:asciiTheme="minorEastAsia" w:hAnsiTheme="minorEastAsia" w:eastAsiaTheme="minorEastAsia"/>
              </w:rPr>
            </w:pPr>
            <w:r>
              <w:rPr>
                <w:rFonts w:hint="eastAsia" w:asciiTheme="minorEastAsia" w:hAnsiTheme="minorEastAsia" w:eastAsiaTheme="minorEastAsia"/>
              </w:rPr>
              <w:t>非评定分离</w:t>
            </w:r>
          </w:p>
        </w:tc>
      </w:tr>
      <w:tr w14:paraId="7A8092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ins w:id="0" w:author="政府采购业务部吴工" w:date="2024-05-29T21:21:00Z"/>
        </w:trPr>
        <w:tc>
          <w:tcPr>
            <w:tcW w:w="970" w:type="dxa"/>
            <w:vAlign w:val="center"/>
          </w:tcPr>
          <w:p w14:paraId="219A25DF">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42</w:t>
            </w:r>
          </w:p>
        </w:tc>
        <w:tc>
          <w:tcPr>
            <w:tcW w:w="1946" w:type="dxa"/>
            <w:vAlign w:val="center"/>
          </w:tcPr>
          <w:p w14:paraId="212C7FA5">
            <w:pPr>
              <w:keepNext w:val="0"/>
              <w:keepLines w:val="0"/>
              <w:suppressLineNumbers w:val="0"/>
              <w:spacing w:before="0" w:beforeAutospacing="0" w:after="0" w:afterAutospacing="0"/>
              <w:ind w:left="0" w:right="0"/>
              <w:rPr>
                <w:rFonts w:hint="default" w:asciiTheme="minorEastAsia" w:hAnsiTheme="minorEastAsia" w:eastAsiaTheme="minorEastAsia"/>
              </w:rPr>
            </w:pPr>
            <w:r>
              <w:rPr>
                <w:rFonts w:hint="eastAsia" w:asciiTheme="minorEastAsia" w:hAnsiTheme="minorEastAsia" w:eastAsiaTheme="minorEastAsia"/>
              </w:rPr>
              <w:t>公开招标失败的处理</w:t>
            </w:r>
          </w:p>
        </w:tc>
        <w:tc>
          <w:tcPr>
            <w:tcW w:w="5881" w:type="dxa"/>
            <w:vAlign w:val="center"/>
          </w:tcPr>
          <w:p w14:paraId="3362341D">
            <w:pPr>
              <w:keepNext w:val="0"/>
              <w:keepLines w:val="0"/>
              <w:suppressLineNumbers w:val="0"/>
              <w:spacing w:before="0" w:beforeAutospacing="0" w:after="0" w:afterAutospacing="0"/>
              <w:ind w:left="0" w:right="0"/>
              <w:jc w:val="left"/>
              <w:rPr>
                <w:rFonts w:hint="default" w:asciiTheme="minorEastAsia" w:hAnsiTheme="minorEastAsia" w:eastAsiaTheme="minorEastAsia"/>
                <w:b/>
              </w:rPr>
            </w:pPr>
            <w:r>
              <w:rPr>
                <w:rFonts w:hint="eastAsia" w:asciiTheme="minorEastAsia" w:hAnsiTheme="minorEastAsia" w:eastAsiaTheme="minorEastAsia"/>
              </w:rPr>
              <w:t>公开招标有效供应商不足三家的，项目公开招标失败，重新采购。</w:t>
            </w:r>
          </w:p>
        </w:tc>
      </w:tr>
      <w:tr w14:paraId="41A798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16298C4">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4</w:t>
            </w:r>
            <w:r>
              <w:rPr>
                <w:rFonts w:hint="default" w:asciiTheme="minorEastAsia" w:hAnsiTheme="minorEastAsia" w:eastAsiaTheme="minorEastAsia"/>
              </w:rPr>
              <w:t>6</w:t>
            </w:r>
          </w:p>
        </w:tc>
        <w:tc>
          <w:tcPr>
            <w:tcW w:w="1946" w:type="dxa"/>
            <w:vAlign w:val="center"/>
          </w:tcPr>
          <w:p w14:paraId="2B8A086F">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履约担保</w:t>
            </w:r>
          </w:p>
        </w:tc>
        <w:tc>
          <w:tcPr>
            <w:tcW w:w="5881" w:type="dxa"/>
            <w:vAlign w:val="center"/>
          </w:tcPr>
          <w:p w14:paraId="54067675">
            <w:pPr>
              <w:keepNext w:val="0"/>
              <w:keepLines w:val="0"/>
              <w:suppressLineNumbers w:val="0"/>
              <w:spacing w:before="0" w:beforeAutospacing="0" w:after="0" w:afterAutospacing="0"/>
              <w:ind w:left="0" w:right="0"/>
              <w:jc w:val="left"/>
              <w:rPr>
                <w:rFonts w:hint="default" w:asciiTheme="minorEastAsia" w:hAnsiTheme="minorEastAsia" w:eastAsiaTheme="minorEastAsia"/>
              </w:rPr>
            </w:pPr>
            <w:r>
              <w:rPr>
                <w:rFonts w:hint="default" w:asciiTheme="minorEastAsia" w:hAnsiTheme="minorEastAsia" w:eastAsiaTheme="minorEastAsia"/>
              </w:rPr>
              <w:t>1.提交说明</w:t>
            </w:r>
          </w:p>
          <w:p w14:paraId="5CA0624B">
            <w:pPr>
              <w:keepNext w:val="0"/>
              <w:keepLines w:val="0"/>
              <w:suppressLineNumbers w:val="0"/>
              <w:spacing w:before="0" w:beforeAutospacing="0" w:after="0" w:afterAutospacing="0"/>
              <w:ind w:left="0" w:right="0"/>
              <w:jc w:val="left"/>
              <w:rPr>
                <w:rFonts w:hint="default" w:asciiTheme="minorEastAsia" w:hAnsiTheme="minorEastAsia" w:eastAsiaTheme="minorEastAsia"/>
              </w:rPr>
            </w:pPr>
            <w:r>
              <w:rPr>
                <w:rFonts w:hint="default" w:asciiTheme="minorEastAsia" w:hAnsiTheme="minorEastAsia" w:eastAsiaTheme="minorEastAsia"/>
              </w:rPr>
              <w:t>1)时间：收到中标通知书后五个工作日内提交；</w:t>
            </w:r>
          </w:p>
          <w:p w14:paraId="424FCB7D">
            <w:pPr>
              <w:keepNext w:val="0"/>
              <w:keepLines w:val="0"/>
              <w:suppressLineNumbers w:val="0"/>
              <w:spacing w:before="0" w:beforeAutospacing="0" w:after="0" w:afterAutospacing="0"/>
              <w:ind w:left="0" w:right="0"/>
              <w:jc w:val="left"/>
              <w:rPr>
                <w:rFonts w:hint="default" w:asciiTheme="minorEastAsia" w:hAnsiTheme="minorEastAsia" w:eastAsiaTheme="minorEastAsia"/>
              </w:rPr>
            </w:pPr>
            <w:r>
              <w:rPr>
                <w:rFonts w:hint="default" w:asciiTheme="minorEastAsia" w:hAnsiTheme="minorEastAsia" w:eastAsiaTheme="minorEastAsia"/>
              </w:rPr>
              <w:t>2)金额：合同（成交）金额的   5   %；</w:t>
            </w:r>
          </w:p>
          <w:p w14:paraId="08758885">
            <w:pPr>
              <w:keepNext w:val="0"/>
              <w:keepLines w:val="0"/>
              <w:suppressLineNumbers w:val="0"/>
              <w:spacing w:before="0" w:beforeAutospacing="0" w:after="0" w:afterAutospacing="0"/>
              <w:ind w:left="0" w:right="0"/>
              <w:jc w:val="left"/>
              <w:rPr>
                <w:rFonts w:hint="default" w:asciiTheme="minorEastAsia" w:hAnsiTheme="minorEastAsia" w:eastAsiaTheme="minorEastAsia"/>
              </w:rPr>
            </w:pPr>
            <w:r>
              <w:rPr>
                <w:rFonts w:hint="default" w:asciiTheme="minorEastAsia" w:hAnsiTheme="minorEastAsia" w:eastAsiaTheme="minorEastAsia"/>
              </w:rPr>
              <w:t>3)方式：中标人自主选择；</w:t>
            </w:r>
          </w:p>
          <w:p w14:paraId="56678486">
            <w:pPr>
              <w:keepNext w:val="0"/>
              <w:keepLines w:val="0"/>
              <w:suppressLineNumbers w:val="0"/>
              <w:spacing w:before="0" w:beforeAutospacing="0" w:after="0" w:afterAutospacing="0"/>
              <w:ind w:left="0" w:right="0"/>
              <w:jc w:val="left"/>
              <w:rPr>
                <w:rFonts w:hint="default" w:asciiTheme="minorEastAsia" w:hAnsiTheme="minorEastAsia" w:eastAsiaTheme="minorEastAsia"/>
              </w:rPr>
            </w:pPr>
            <w:r>
              <w:rPr>
                <w:rFonts w:hint="default" w:asciiTheme="minorEastAsia" w:hAnsiTheme="minorEastAsia" w:eastAsiaTheme="minorEastAsia"/>
              </w:rPr>
              <w:t>2.退还说明：</w:t>
            </w:r>
          </w:p>
          <w:p w14:paraId="31A03CCF">
            <w:pPr>
              <w:keepNext w:val="0"/>
              <w:keepLines w:val="0"/>
              <w:suppressLineNumbers w:val="0"/>
              <w:spacing w:before="0" w:beforeAutospacing="0" w:after="0" w:afterAutospacing="0"/>
              <w:ind w:left="0" w:right="0"/>
              <w:jc w:val="left"/>
              <w:rPr>
                <w:rFonts w:hint="default" w:asciiTheme="minorEastAsia" w:hAnsiTheme="minorEastAsia" w:eastAsiaTheme="minorEastAsia"/>
              </w:rPr>
            </w:pPr>
            <w:r>
              <w:rPr>
                <w:rFonts w:hint="default" w:asciiTheme="minorEastAsia" w:hAnsiTheme="minorEastAsia" w:eastAsiaTheme="minorEastAsia"/>
              </w:rPr>
              <w:t>1)时间、方式和条件：中标人供货完成调试、验收、培训且提供了厂家（或厂家授权）的售后服务承诺书后向甲方申请退回该履约保证金，甲方收到申请审核同意后，无息返还乙方的履约保证金。因乙方原因而未能达到本项目验收标准或验收不通过的，履约保证金不予退还。</w:t>
            </w:r>
          </w:p>
          <w:p w14:paraId="410FF18D">
            <w:pPr>
              <w:keepNext w:val="0"/>
              <w:keepLines w:val="0"/>
              <w:suppressLineNumbers w:val="0"/>
              <w:spacing w:before="0" w:beforeAutospacing="0" w:after="0" w:afterAutospacing="0"/>
              <w:ind w:left="0" w:right="0"/>
              <w:jc w:val="left"/>
              <w:rPr>
                <w:rFonts w:hint="default" w:asciiTheme="minorEastAsia" w:hAnsiTheme="minorEastAsia" w:eastAsiaTheme="minorEastAsia"/>
              </w:rPr>
            </w:pPr>
            <w:r>
              <w:rPr>
                <w:rFonts w:hint="default" w:asciiTheme="minorEastAsia" w:hAnsiTheme="minorEastAsia" w:eastAsiaTheme="minorEastAsia"/>
              </w:rPr>
              <w:t>2)违约责任：采购人逾期退还履约保证金的，除应当退还履约保证金本金外，还应当每日按合同总价的1‰向中标人偿付违约金，但因投标人自身原因导致无法及时退还的除外。</w:t>
            </w:r>
          </w:p>
          <w:p w14:paraId="1A91B491">
            <w:pPr>
              <w:keepNext w:val="0"/>
              <w:keepLines w:val="0"/>
              <w:suppressLineNumbers w:val="0"/>
              <w:spacing w:before="0" w:beforeAutospacing="0" w:after="0" w:afterAutospacing="0"/>
              <w:ind w:left="0" w:right="0"/>
              <w:jc w:val="left"/>
              <w:rPr>
                <w:rFonts w:hint="default" w:asciiTheme="minorEastAsia" w:hAnsiTheme="minorEastAsia" w:eastAsiaTheme="minorEastAsia"/>
              </w:rPr>
            </w:pPr>
            <w:r>
              <w:rPr>
                <w:rFonts w:hint="default" w:asciiTheme="minorEastAsia" w:hAnsiTheme="minorEastAsia" w:eastAsiaTheme="minorEastAsia"/>
              </w:rPr>
              <w:t>中标人违反合同及其附件约定的任何义务，采购人有权在履约保证金中直接扣除投标人应向采购人支付的违约金或损失赔偿额，如有不足的，中标人应对超过的部分予以赔偿。</w:t>
            </w:r>
          </w:p>
        </w:tc>
      </w:tr>
      <w:tr w14:paraId="19E9B0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07121759">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52.8</w:t>
            </w:r>
          </w:p>
        </w:tc>
        <w:tc>
          <w:tcPr>
            <w:tcW w:w="1946" w:type="dxa"/>
            <w:vAlign w:val="center"/>
          </w:tcPr>
          <w:p w14:paraId="18ADD7F1">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投诉</w:t>
            </w:r>
          </w:p>
        </w:tc>
        <w:tc>
          <w:tcPr>
            <w:tcW w:w="5881" w:type="dxa"/>
            <w:vAlign w:val="center"/>
          </w:tcPr>
          <w:p w14:paraId="1003C2A5">
            <w:pPr>
              <w:keepNext w:val="0"/>
              <w:keepLines w:val="0"/>
              <w:suppressLineNumbers w:val="0"/>
              <w:spacing w:before="0" w:beforeAutospacing="0" w:after="0" w:afterAutospacing="0"/>
              <w:ind w:left="0" w:right="0"/>
              <w:jc w:val="left"/>
              <w:rPr>
                <w:rFonts w:hint="default" w:asciiTheme="minorEastAsia" w:hAnsiTheme="minorEastAsia" w:eastAsiaTheme="minorEastAsia"/>
                <w:b/>
              </w:rPr>
            </w:pPr>
            <w:r>
              <w:rPr>
                <w:rFonts w:hint="eastAsia" w:asciiTheme="minorEastAsia" w:hAnsiTheme="minorEastAsia" w:eastAsiaTheme="minorEastAsia"/>
              </w:rPr>
              <w:t>对被质疑人的答复不满意或者被质疑人未在规定时间内答复的，提出质疑的供应商可以在答复期满后十五个工作日内向本项目</w:t>
            </w:r>
            <w:r>
              <w:rPr>
                <w:rFonts w:hint="eastAsia" w:asciiTheme="minorEastAsia" w:hAnsiTheme="minorEastAsia" w:eastAsiaTheme="minorEastAsia"/>
                <w:lang w:val="en-US" w:eastAsia="zh-CN"/>
              </w:rPr>
              <w:t>采购人主管部门</w:t>
            </w:r>
            <w:r>
              <w:rPr>
                <w:rFonts w:hint="eastAsia" w:asciiTheme="minorEastAsia" w:hAnsiTheme="minorEastAsia" w:eastAsiaTheme="minorEastAsia"/>
              </w:rPr>
              <w:t>投诉。供应商投诉的事项应当是经过质疑的事项。</w:t>
            </w:r>
          </w:p>
        </w:tc>
      </w:tr>
    </w:tbl>
    <w:p w14:paraId="6600EFE8">
      <w:pPr>
        <w:rPr>
          <w:b/>
        </w:rPr>
      </w:pPr>
      <w:r>
        <w:rPr>
          <w:rFonts w:hint="eastAsia"/>
          <w:szCs w:val="21"/>
        </w:rPr>
        <w:t>备注：本表是通用条款相关条款的补充和明确，如与通用条款内容相冲突的，以本表为准。</w:t>
      </w:r>
    </w:p>
    <w:p w14:paraId="3851E8F2">
      <w:pPr>
        <w:rPr>
          <w:b/>
        </w:rPr>
      </w:pPr>
    </w:p>
    <w:p w14:paraId="45194F1A">
      <w:pPr>
        <w:pStyle w:val="7"/>
        <w:spacing w:before="156" w:beforeLines="50" w:after="156" w:afterLines="50"/>
        <w:rPr>
          <w:szCs w:val="24"/>
        </w:rPr>
      </w:pPr>
      <w:r>
        <w:rPr>
          <w:rFonts w:hint="eastAsia"/>
          <w:szCs w:val="24"/>
        </w:rPr>
        <w:t>二、其他关键信息</w:t>
      </w:r>
    </w:p>
    <w:p w14:paraId="4D76662A">
      <w:pPr>
        <w:ind w:firstLine="422" w:firstLineChars="200"/>
        <w:rPr>
          <w:b/>
          <w:bCs/>
        </w:rPr>
      </w:pPr>
      <w:r>
        <w:rPr>
          <w:rFonts w:hint="eastAsia"/>
          <w:b/>
          <w:bCs/>
        </w:rPr>
        <w:t>（一）与“对通用条款的补充内容”章节相关的事项</w:t>
      </w:r>
    </w:p>
    <w:p w14:paraId="47CB8E03">
      <w:pPr>
        <w:spacing w:line="276" w:lineRule="auto"/>
        <w:ind w:firstLine="422" w:firstLineChars="200"/>
        <w:jc w:val="left"/>
        <w:rPr>
          <w:rFonts w:asciiTheme="minorEastAsia" w:hAnsiTheme="minorEastAsia" w:eastAsiaTheme="minorEastAsia"/>
          <w:b/>
          <w:kern w:val="0"/>
          <w:szCs w:val="20"/>
        </w:rPr>
      </w:pPr>
      <w:bookmarkStart w:id="29" w:name="_Hlk72579465"/>
      <w:r>
        <w:rPr>
          <w:rFonts w:hint="eastAsia" w:asciiTheme="minorEastAsia" w:hAnsiTheme="minorEastAsia" w:eastAsiaTheme="minorEastAsia"/>
          <w:b/>
          <w:kern w:val="0"/>
          <w:szCs w:val="20"/>
        </w:rPr>
        <w:t>1、评标定标信息</w:t>
      </w:r>
    </w:p>
    <w:p w14:paraId="1AEC7592">
      <w:pPr>
        <w:jc w:val="center"/>
      </w:pPr>
      <w:r>
        <w:rPr>
          <w:rFonts w:hint="eastAsia"/>
          <w:b/>
        </w:rPr>
        <w:t>非评定分离项目</w:t>
      </w:r>
    </w:p>
    <w:tbl>
      <w:tblPr>
        <w:tblStyle w:val="44"/>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73"/>
        <w:gridCol w:w="5000"/>
      </w:tblGrid>
      <w:tr w14:paraId="40974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3" w:type="dxa"/>
          </w:tcPr>
          <w:p w14:paraId="71AAADF0">
            <w:pPr>
              <w:keepNext w:val="0"/>
              <w:keepLines w:val="0"/>
              <w:suppressLineNumbers w:val="0"/>
              <w:spacing w:before="0" w:beforeAutospacing="0" w:after="0" w:afterAutospacing="0"/>
              <w:ind w:left="0" w:right="0"/>
              <w:jc w:val="center"/>
              <w:rPr>
                <w:rFonts w:hint="default"/>
              </w:rPr>
            </w:pPr>
            <w:r>
              <w:rPr>
                <w:rFonts w:hint="eastAsia"/>
              </w:rPr>
              <w:t>评标方法</w:t>
            </w:r>
          </w:p>
        </w:tc>
        <w:tc>
          <w:tcPr>
            <w:tcW w:w="5000" w:type="dxa"/>
          </w:tcPr>
          <w:p w14:paraId="7E73900B">
            <w:pPr>
              <w:keepNext w:val="0"/>
              <w:keepLines w:val="0"/>
              <w:suppressLineNumbers w:val="0"/>
              <w:spacing w:before="0" w:beforeAutospacing="0" w:after="0" w:afterAutospacing="0"/>
              <w:ind w:left="0" w:right="0"/>
              <w:jc w:val="center"/>
              <w:rPr>
                <w:rFonts w:hint="default"/>
              </w:rPr>
            </w:pPr>
            <w:r>
              <w:rPr>
                <w:rFonts w:hint="eastAsia"/>
              </w:rPr>
              <w:t>综合评分法</w:t>
            </w:r>
          </w:p>
        </w:tc>
      </w:tr>
      <w:tr w14:paraId="1EC6D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3" w:type="dxa"/>
          </w:tcPr>
          <w:p w14:paraId="3A4C67F3">
            <w:pPr>
              <w:keepNext w:val="0"/>
              <w:keepLines w:val="0"/>
              <w:suppressLineNumbers w:val="0"/>
              <w:spacing w:before="0" w:beforeAutospacing="0" w:after="0" w:afterAutospacing="0"/>
              <w:ind w:left="0" w:right="0"/>
              <w:jc w:val="center"/>
              <w:rPr>
                <w:rFonts w:hint="default"/>
              </w:rPr>
            </w:pPr>
            <w:r>
              <w:rPr>
                <w:rFonts w:hint="eastAsia"/>
              </w:rPr>
              <w:t>候选中标供应商家数</w:t>
            </w:r>
          </w:p>
        </w:tc>
        <w:tc>
          <w:tcPr>
            <w:tcW w:w="5000" w:type="dxa"/>
          </w:tcPr>
          <w:p w14:paraId="0C8D6974">
            <w:pPr>
              <w:keepNext w:val="0"/>
              <w:keepLines w:val="0"/>
              <w:suppressLineNumbers w:val="0"/>
              <w:spacing w:before="0" w:beforeAutospacing="0" w:after="0" w:afterAutospacing="0"/>
              <w:ind w:left="0" w:right="0"/>
              <w:jc w:val="center"/>
              <w:rPr>
                <w:rFonts w:hint="default"/>
              </w:rPr>
            </w:pPr>
            <w:r>
              <w:rPr>
                <w:rFonts w:hint="eastAsia"/>
              </w:rPr>
              <w:t>3</w:t>
            </w:r>
          </w:p>
        </w:tc>
      </w:tr>
      <w:tr w14:paraId="0B5C2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3" w:type="dxa"/>
          </w:tcPr>
          <w:p w14:paraId="37B88F5D">
            <w:pPr>
              <w:keepNext w:val="0"/>
              <w:keepLines w:val="0"/>
              <w:suppressLineNumbers w:val="0"/>
              <w:spacing w:before="0" w:beforeAutospacing="0" w:after="0" w:afterAutospacing="0"/>
              <w:ind w:left="0" w:right="0"/>
              <w:jc w:val="center"/>
              <w:rPr>
                <w:rFonts w:hint="default"/>
              </w:rPr>
            </w:pPr>
            <w:r>
              <w:rPr>
                <w:rFonts w:hint="eastAsia"/>
              </w:rPr>
              <w:t>中标供应商家数</w:t>
            </w:r>
          </w:p>
        </w:tc>
        <w:tc>
          <w:tcPr>
            <w:tcW w:w="5000" w:type="dxa"/>
          </w:tcPr>
          <w:p w14:paraId="1C4B7174">
            <w:pPr>
              <w:keepNext w:val="0"/>
              <w:keepLines w:val="0"/>
              <w:suppressLineNumbers w:val="0"/>
              <w:spacing w:before="0" w:beforeAutospacing="0" w:after="0" w:afterAutospacing="0"/>
              <w:ind w:left="0" w:right="0"/>
              <w:jc w:val="center"/>
              <w:rPr>
                <w:rFonts w:hint="default"/>
              </w:rPr>
            </w:pPr>
            <w:r>
              <w:rPr>
                <w:rFonts w:hint="eastAsia"/>
              </w:rPr>
              <w:t>1</w:t>
            </w:r>
          </w:p>
        </w:tc>
      </w:tr>
    </w:tbl>
    <w:p w14:paraId="396C19CB">
      <w:pPr>
        <w:pStyle w:val="3"/>
      </w:pPr>
    </w:p>
    <w:p w14:paraId="011176BB">
      <w:pPr>
        <w:ind w:firstLine="422" w:firstLineChars="200"/>
        <w:rPr>
          <w:rFonts w:ascii="宋体" w:hAnsi="宋体"/>
          <w:b/>
        </w:rPr>
      </w:pPr>
    </w:p>
    <w:bookmarkEnd w:id="29"/>
    <w:p w14:paraId="1AC9E4E1">
      <w:pPr>
        <w:ind w:firstLine="422" w:firstLineChars="200"/>
        <w:rPr>
          <w:b/>
        </w:rPr>
      </w:pPr>
      <w:r>
        <w:rPr>
          <w:rFonts w:hint="eastAsia"/>
          <w:b/>
        </w:rPr>
        <w:t>（二）其他事项</w:t>
      </w:r>
    </w:p>
    <w:p w14:paraId="370DB56A">
      <w:pPr>
        <w:ind w:firstLine="422" w:firstLineChars="200"/>
        <w:rPr>
          <w:b/>
          <w:bCs/>
        </w:rPr>
      </w:pPr>
      <w:r>
        <w:rPr>
          <w:b/>
          <w:bCs/>
        </w:rPr>
        <w:t>1</w:t>
      </w:r>
      <w:r>
        <w:rPr>
          <w:rFonts w:hint="eastAsia"/>
          <w:b/>
          <w:bCs/>
        </w:rPr>
        <w:t>、关于享受优惠政策的主体及价格扣除比例及采购标的所属行业的说明</w:t>
      </w:r>
    </w:p>
    <w:p w14:paraId="7B4EB8E3">
      <w:pPr>
        <w:ind w:firstLine="420" w:firstLineChars="200"/>
        <w:rPr>
          <w:rFonts w:hint="default" w:eastAsia="宋体"/>
          <w:lang w:val="en-US" w:eastAsia="zh-CN"/>
        </w:rPr>
      </w:pPr>
      <w:r>
        <w:rPr>
          <w:rFonts w:hint="eastAsia"/>
        </w:rPr>
        <w:t>（1）</w:t>
      </w:r>
      <w:r>
        <w:rPr>
          <w:rFonts w:hint="eastAsia"/>
          <w:lang w:val="en-US" w:eastAsia="zh-CN"/>
        </w:rPr>
        <w:t>专门面向中小企业采购的项目，不再执行价格扣除比例。</w:t>
      </w:r>
    </w:p>
    <w:p w14:paraId="740F0060">
      <w:pPr>
        <w:ind w:firstLine="420" w:firstLineChars="200"/>
      </w:pPr>
      <w:r>
        <w:rPr>
          <w:rFonts w:hint="eastAsia"/>
          <w:lang w:eastAsia="zh-CN"/>
        </w:rPr>
        <w:t>（</w:t>
      </w:r>
      <w:r>
        <w:rPr>
          <w:rFonts w:hint="eastAsia"/>
          <w:lang w:val="en-US" w:eastAsia="zh-CN"/>
        </w:rPr>
        <w:t>2</w:t>
      </w:r>
      <w:r>
        <w:rPr>
          <w:rFonts w:hint="eastAsia"/>
          <w:lang w:eastAsia="zh-CN"/>
        </w:rPr>
        <w:t>）</w:t>
      </w:r>
      <w:r>
        <w:rPr>
          <w:rFonts w:hint="eastAsia"/>
          <w:lang w:val="en-US" w:eastAsia="zh-CN"/>
        </w:rPr>
        <w:t>非</w:t>
      </w:r>
      <w:r>
        <w:rPr>
          <w:rFonts w:hint="eastAsia" w:ascii="Times New Roman" w:eastAsia="宋体"/>
          <w:lang w:val="en-US" w:eastAsia="zh-CN"/>
        </w:rPr>
        <w:t>专门面向中小企业采购的项目，</w:t>
      </w:r>
      <w:r>
        <w:rPr>
          <w:rFonts w:hint="eastAsia"/>
          <w:lang w:val="en-US" w:eastAsia="zh-CN"/>
        </w:rPr>
        <w:t>应</w:t>
      </w:r>
      <w:r>
        <w:rPr>
          <w:rFonts w:hint="eastAsia" w:ascii="Times New Roman" w:eastAsia="宋体"/>
          <w:lang w:val="en-US" w:eastAsia="zh-CN"/>
        </w:rPr>
        <w:t>执行价格扣除比例</w:t>
      </w:r>
      <w:r>
        <w:rPr>
          <w:rFonts w:hint="eastAsia"/>
          <w:lang w:val="en-US" w:eastAsia="zh-CN"/>
        </w:rPr>
        <w:t>：</w:t>
      </w:r>
      <w:r>
        <w:rPr>
          <w:rFonts w:hint="eastAsia"/>
        </w:rPr>
        <w:t>投标人提供的货物（以招标文件用户需求书“货物清单明细”的“货物名称”一栏为准）全部均由优惠主体制造，则对其投标总价给予</w:t>
      </w:r>
      <w:r>
        <w:rPr>
          <w:color w:val="FF0000"/>
          <w:u w:val="single"/>
        </w:rPr>
        <w:t xml:space="preserve">  </w:t>
      </w:r>
      <w:r>
        <w:rPr>
          <w:rFonts w:hint="eastAsia"/>
          <w:color w:val="FF0000"/>
          <w:u w:val="single"/>
          <w:lang w:val="en-US" w:eastAsia="zh-CN"/>
        </w:rPr>
        <w:t xml:space="preserve">    10   </w:t>
      </w:r>
      <w:r>
        <w:rPr>
          <w:color w:val="FF0000"/>
          <w:u w:val="single"/>
        </w:rPr>
        <w:t xml:space="preserve">  </w:t>
      </w:r>
      <w:r>
        <w:rPr>
          <w:rFonts w:hint="eastAsia"/>
          <w:color w:val="FF0000"/>
          <w:u w:val="single"/>
          <w:lang w:val="en-US" w:eastAsia="zh-CN"/>
        </w:rPr>
        <w:t xml:space="preserve"> </w:t>
      </w:r>
      <w:r>
        <w:rPr>
          <w:rFonts w:hint="eastAsia"/>
          <w:color w:val="FF0000"/>
          <w:u w:val="none"/>
          <w:lang w:val="en-US" w:eastAsia="zh-CN"/>
        </w:rPr>
        <w:t xml:space="preserve"> </w:t>
      </w:r>
      <w:r>
        <w:rPr>
          <w:color w:val="FF0000"/>
          <w:u w:val="none"/>
        </w:rPr>
        <w:t>%</w:t>
      </w:r>
      <w:r>
        <w:rPr>
          <w:rFonts w:hint="eastAsia"/>
          <w:color w:val="000000" w:themeColor="text1"/>
          <w:u w:val="none"/>
          <w:lang w:eastAsia="zh-CN"/>
          <w14:textFill>
            <w14:solidFill>
              <w14:schemeClr w14:val="tx1"/>
            </w14:solidFill>
          </w14:textFill>
        </w:rPr>
        <w:t>（</w:t>
      </w:r>
      <w:r>
        <w:rPr>
          <w:rFonts w:hint="eastAsia"/>
          <w:color w:val="000000" w:themeColor="text1"/>
          <w:u w:val="none"/>
          <w:lang w:val="en-US" w:eastAsia="zh-CN"/>
          <w14:textFill>
            <w14:solidFill>
              <w14:schemeClr w14:val="tx1"/>
            </w14:solidFill>
          </w14:textFill>
        </w:rPr>
        <w:t>10%~20%</w:t>
      </w:r>
      <w:r>
        <w:rPr>
          <w:rFonts w:hint="eastAsia"/>
          <w:color w:val="000000" w:themeColor="text1"/>
          <w:u w:val="none"/>
          <w:lang w:eastAsia="zh-CN"/>
          <w14:textFill>
            <w14:solidFill>
              <w14:schemeClr w14:val="tx1"/>
            </w14:solidFill>
          </w14:textFill>
        </w:rPr>
        <w:t>）</w:t>
      </w:r>
      <w:r>
        <w:rPr>
          <w:rFonts w:hint="eastAsia"/>
        </w:rPr>
        <w:t>的扣除，用扣除后的价格参与评审。满足多项优惠政策的</w:t>
      </w:r>
      <w:r>
        <w:rPr>
          <w:rFonts w:hint="eastAsia"/>
          <w:lang w:val="en-US" w:eastAsia="zh-CN"/>
        </w:rPr>
        <w:t>供应商</w:t>
      </w:r>
      <w:r>
        <w:rPr>
          <w:rFonts w:hint="eastAsia"/>
        </w:rPr>
        <w:t>，不重复享受多项价格扣除政策。</w:t>
      </w:r>
    </w:p>
    <w:p w14:paraId="1CA9D720">
      <w:pPr>
        <w:ind w:firstLine="420" w:firstLineChars="200"/>
      </w:pPr>
      <w:r>
        <w:rPr>
          <w:rFonts w:hint="eastAsia"/>
        </w:rPr>
        <w:t>备注：（a）</w:t>
      </w:r>
      <w:r>
        <w:rPr>
          <w:rFonts w:hint="eastAsia"/>
          <w:lang w:val="en-US" w:eastAsia="zh-CN"/>
        </w:rPr>
        <w:t>享受价格扣除</w:t>
      </w:r>
      <w:r>
        <w:rPr>
          <w:rFonts w:hint="eastAsia"/>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采购活动中视同中小企业；(</w:t>
      </w:r>
      <w:r>
        <w:t>b)</w:t>
      </w:r>
      <w:r>
        <w:rPr>
          <w:rFonts w:hint="eastAsia"/>
        </w:rPr>
        <w:t>优惠主体制造是指货物由优惠主体生产且使用该优惠主体商号或者注册商标；投标人提供的货物既有优惠主体制造货物，又有非优惠主体制造货物的，不给予价格扣除。</w:t>
      </w:r>
    </w:p>
    <w:p w14:paraId="32BBBE9C">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w:t>
      </w:r>
      <w:bookmarkStart w:id="30" w:name="_Hlk71970739"/>
      <w:r>
        <w:rPr>
          <w:rFonts w:hint="eastAsia" w:asciiTheme="minorEastAsia" w:hAnsiTheme="minorEastAsia" w:eastAsiaTheme="minorEastAsia" w:cstheme="minorEastAsia"/>
          <w:sz w:val="21"/>
          <w:szCs w:val="21"/>
        </w:rPr>
        <w:t>中小企业参加采购活动，应当按照国务院批准的《中小企业划型标准规定》（工信部联企业〔2011〕300号）、《金融业企业划型标准规定》（银发〔2015〕309号）和《财政部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hint="eastAsia" w:asciiTheme="minorEastAsia" w:hAnsiTheme="minorEastAsia" w:eastAsiaTheme="minorEastAsia" w:cstheme="minorEastAsia"/>
          <w:b/>
          <w:bCs/>
          <w:color w:val="FF0000"/>
          <w:sz w:val="21"/>
          <w:szCs w:val="21"/>
        </w:rPr>
        <w:t>《中小企业声明函》中相关企业</w:t>
      </w:r>
      <w:r>
        <w:rPr>
          <w:rFonts w:hint="eastAsia" w:asciiTheme="minorEastAsia" w:hAnsiTheme="minorEastAsia" w:eastAsiaTheme="minorEastAsia" w:cstheme="minorEastAsia"/>
          <w:b/>
          <w:bCs/>
          <w:color w:val="FF0000"/>
          <w:sz w:val="21"/>
          <w:szCs w:val="21"/>
          <w:lang w:eastAsia="zh-CN"/>
        </w:rPr>
        <w:t>（</w:t>
      </w:r>
      <w:r>
        <w:rPr>
          <w:rFonts w:hint="eastAsia" w:asciiTheme="minorEastAsia" w:hAnsiTheme="minorEastAsia" w:eastAsiaTheme="minorEastAsia" w:cstheme="minorEastAsia"/>
          <w:b/>
          <w:bCs/>
          <w:color w:val="FF0000"/>
          <w:sz w:val="21"/>
          <w:szCs w:val="21"/>
          <w:lang w:val="en-US" w:eastAsia="zh-CN"/>
        </w:rPr>
        <w:t>货物制造商</w:t>
      </w:r>
      <w:r>
        <w:rPr>
          <w:rFonts w:hint="eastAsia" w:asciiTheme="minorEastAsia" w:hAnsiTheme="minorEastAsia" w:eastAsiaTheme="minorEastAsia" w:cstheme="minorEastAsia"/>
          <w:b/>
          <w:bCs/>
          <w:color w:val="FF0000"/>
          <w:sz w:val="21"/>
          <w:szCs w:val="21"/>
          <w:lang w:eastAsia="zh-CN"/>
        </w:rPr>
        <w:t>）</w:t>
      </w:r>
      <w:r>
        <w:rPr>
          <w:rFonts w:hint="eastAsia" w:asciiTheme="minorEastAsia" w:hAnsiTheme="minorEastAsia" w:eastAsiaTheme="minorEastAsia" w:cstheme="minorEastAsia"/>
          <w:b/>
          <w:bCs/>
          <w:color w:val="FF0000"/>
          <w:sz w:val="21"/>
          <w:szCs w:val="21"/>
        </w:rPr>
        <w:t>所属行业应当与采购标的所属行业相一致</w:t>
      </w:r>
      <w:r>
        <w:rPr>
          <w:rFonts w:hint="eastAsia" w:asciiTheme="minorEastAsia" w:hAnsiTheme="minorEastAsia" w:eastAsiaTheme="minorEastAsia" w:cstheme="minorEastAsia"/>
          <w:b/>
          <w:bCs/>
          <w:color w:val="FF0000"/>
          <w:sz w:val="21"/>
          <w:szCs w:val="21"/>
          <w:lang w:eastAsia="zh-CN"/>
        </w:rPr>
        <w:t>，</w:t>
      </w:r>
      <w:r>
        <w:rPr>
          <w:rFonts w:hint="eastAsia"/>
          <w:b/>
          <w:bCs/>
          <w:color w:val="FF0000"/>
        </w:rPr>
        <w:t>标的所属行业</w:t>
      </w:r>
      <w:r>
        <w:rPr>
          <w:rFonts w:hint="eastAsia" w:ascii="Times New Roman" w:eastAsia="宋体"/>
          <w:b/>
          <w:bCs/>
          <w:color w:val="FF0000"/>
          <w:lang w:val="en-US" w:eastAsia="zh-CN"/>
        </w:rPr>
        <w:t>以招标文件第一册第三章用户需求书“货物清单明细”的“标的所属行业”一栏为准</w:t>
      </w:r>
      <w:r>
        <w:rPr>
          <w:rFonts w:hint="eastAsia" w:asciiTheme="minorEastAsia" w:hAnsiTheme="minorEastAsia" w:eastAsiaTheme="minorEastAsia" w:cstheme="minorEastAsia"/>
          <w:b/>
          <w:bCs/>
          <w:color w:val="FF0000"/>
          <w:sz w:val="21"/>
          <w:szCs w:val="21"/>
        </w:rPr>
        <w:t>。</w:t>
      </w:r>
      <w:bookmarkEnd w:id="30"/>
    </w:p>
    <w:p w14:paraId="65B7732C">
      <w:pPr>
        <w:ind w:firstLine="420" w:firstLineChars="200"/>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）小型企业、微型企业、残疾人福利性单位作为优惠主体的认定资料为《中小企业声明函》、《残疾人福利性单</w:t>
      </w:r>
      <w:r>
        <w:rPr>
          <w:rFonts w:hint="eastAsia"/>
        </w:rPr>
        <w:t>位声明函》；监狱企业作为优惠主体的认定资料为省级以上监狱管理局、戒毒管理局出具的监狱企业证明文件。声明函样式见本招标文件第一册专用条款第</w:t>
      </w:r>
      <w:r>
        <w:rPr>
          <w:rFonts w:hint="eastAsia"/>
          <w:lang w:val="en-US" w:eastAsia="zh-CN"/>
        </w:rPr>
        <w:t>四</w:t>
      </w:r>
      <w:r>
        <w:rPr>
          <w:rFonts w:hint="eastAsia"/>
        </w:rPr>
        <w:t>章“投标文件组成要求及格式”中“</w:t>
      </w:r>
      <w:r>
        <w:rPr>
          <w:rFonts w:hint="eastAsia"/>
          <w:lang w:val="en-US" w:eastAsia="zh-CN"/>
        </w:rPr>
        <w:t>三</w:t>
      </w:r>
      <w:r>
        <w:rPr>
          <w:rFonts w:hint="eastAsia"/>
        </w:rPr>
        <w:t>、投标人情况及资格证明文件”章节提供的格式）。</w:t>
      </w:r>
    </w:p>
    <w:p w14:paraId="6304BF71">
      <w:pPr>
        <w:ind w:firstLine="420" w:firstLineChars="200"/>
        <w:rPr>
          <w:color w:val="FF0000"/>
        </w:rPr>
      </w:pPr>
      <w:r>
        <w:rPr>
          <w:rFonts w:hint="eastAsia"/>
        </w:rPr>
        <w:t>（</w:t>
      </w:r>
      <w:r>
        <w:rPr>
          <w:rFonts w:hint="eastAsia"/>
          <w:lang w:val="en-US" w:eastAsia="zh-CN"/>
        </w:rPr>
        <w:t>5</w:t>
      </w:r>
      <w:r>
        <w:rPr>
          <w:rFonts w:hint="eastAsia"/>
        </w:rPr>
        <w:t>）享受价格扣除获得采购合同的，小微企业不得将合同分包给大中型企业。</w:t>
      </w:r>
    </w:p>
    <w:p w14:paraId="0240EB85">
      <w:pPr>
        <w:ind w:firstLine="422" w:firstLineChars="200"/>
        <w:rPr>
          <w:rFonts w:hint="eastAsia"/>
          <w:b/>
        </w:rPr>
      </w:pPr>
      <w:r>
        <w:rPr>
          <w:rFonts w:hint="eastAsia"/>
          <w:b/>
          <w:lang w:val="en-US" w:eastAsia="zh-CN"/>
        </w:rPr>
        <w:t>2</w:t>
      </w:r>
      <w:bookmarkStart w:id="31" w:name="_Hlk72594729"/>
      <w:bookmarkStart w:id="32" w:name="_Hlk76855768"/>
      <w:r>
        <w:rPr>
          <w:rFonts w:hint="eastAsia"/>
          <w:b/>
          <w:lang w:val="en-US" w:eastAsia="zh-CN"/>
        </w:rPr>
        <w:t>.</w:t>
      </w:r>
      <w:r>
        <w:rPr>
          <w:rFonts w:hint="eastAsia"/>
          <w:b/>
        </w:rPr>
        <w:t>本项目为代理服务项目，将向中标</w:t>
      </w:r>
      <w:r>
        <w:rPr>
          <w:rFonts w:hint="eastAsia" w:eastAsia="宋体"/>
          <w:b/>
          <w:lang w:eastAsia="zh-CN"/>
        </w:rPr>
        <w:t>（</w:t>
      </w:r>
      <w:r>
        <w:rPr>
          <w:rFonts w:hint="eastAsia" w:ascii="Times New Roman" w:eastAsia="宋体"/>
          <w:b/>
          <w:lang w:val="en-US" w:eastAsia="zh-CN"/>
        </w:rPr>
        <w:t>成交</w:t>
      </w:r>
      <w:r>
        <w:rPr>
          <w:rFonts w:hint="eastAsia" w:eastAsia="宋体"/>
          <w:b/>
          <w:lang w:eastAsia="zh-CN"/>
        </w:rPr>
        <w:t>）</w:t>
      </w:r>
      <w:r>
        <w:rPr>
          <w:rFonts w:hint="eastAsia"/>
          <w:b/>
        </w:rPr>
        <w:t>供应商收取代理服务费。</w:t>
      </w:r>
    </w:p>
    <w:bookmarkEnd w:id="31"/>
    <w:bookmarkEnd w:id="32"/>
    <w:p w14:paraId="4ABFE7C1">
      <w:pPr>
        <w:ind w:firstLine="420" w:firstLineChars="200"/>
      </w:pPr>
      <w:r>
        <w:rPr>
          <w:rFonts w:hint="eastAsia"/>
        </w:rPr>
        <w:t>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供应商在领取《中标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通知书》之前须向深圳公共资源交易中心（深圳交易集团有限公司</w:t>
      </w:r>
      <w:r>
        <w:rPr>
          <w:rFonts w:hint="eastAsia"/>
          <w:lang w:eastAsia="zh-CN"/>
        </w:rPr>
        <w:t>政府采购业务分公司</w:t>
      </w:r>
      <w:r>
        <w:rPr>
          <w:rFonts w:hint="eastAsia"/>
        </w:rPr>
        <w:t>）交纳代理服务费。若因中标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供应商交纳代理服务费所产生的时间影响到合同签订的，由中标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供应商自行承担责任。代理服务费标准参照</w:t>
      </w:r>
      <w:r>
        <w:rPr>
          <w:rFonts w:hint="eastAsia" w:ascii="Times New Roman" w:eastAsia="宋体"/>
          <w:lang w:val="en-US" w:eastAsia="zh-CN"/>
        </w:rPr>
        <w:t>下列</w:t>
      </w:r>
      <w:r>
        <w:rPr>
          <w:rFonts w:hint="eastAsia"/>
        </w:rPr>
        <w:t>标准</w:t>
      </w:r>
      <w:r>
        <w:rPr>
          <w:rFonts w:hint="eastAsia" w:ascii="宋体" w:hAnsi="宋体" w:cs="宋体"/>
          <w:color w:val="0000FF"/>
          <w:szCs w:val="21"/>
        </w:rPr>
        <w:t>下浮20%执行</w:t>
      </w:r>
      <w:r>
        <w:rPr>
          <w:rFonts w:hint="eastAsia"/>
        </w:rPr>
        <w:t>收取。</w:t>
      </w:r>
      <w:r>
        <w:rPr>
          <w:rFonts w:hint="eastAsia"/>
          <w:b/>
          <w:color w:val="FF0000"/>
        </w:rPr>
        <w:t>本项目类型为</w:t>
      </w:r>
      <w:r>
        <w:rPr>
          <w:rFonts w:hint="eastAsia"/>
          <w:b/>
          <w:color w:val="FF0000"/>
          <w:lang w:val="en-US" w:eastAsia="zh-CN"/>
        </w:rPr>
        <w:t>货物</w:t>
      </w:r>
      <w:r>
        <w:rPr>
          <w:rFonts w:hint="eastAsia"/>
          <w:b/>
          <w:color w:val="FF0000"/>
        </w:rPr>
        <w:t>采购：</w:t>
      </w:r>
    </w:p>
    <w:p w14:paraId="48F4CA22">
      <w:pPr>
        <w:ind w:firstLine="420" w:firstLineChars="200"/>
      </w:pPr>
      <w:r>
        <w:rPr>
          <w:rFonts w:hint="eastAsia"/>
        </w:rPr>
        <w:t>（</w:t>
      </w:r>
      <w:r>
        <w:rPr>
          <w:rFonts w:hint="eastAsia" w:ascii="Times New Roman" w:eastAsia="宋体"/>
          <w:lang w:val="en-US" w:eastAsia="zh-CN"/>
        </w:rPr>
        <w:t>1</w:t>
      </w:r>
      <w:r>
        <w:rPr>
          <w:rFonts w:hint="eastAsia"/>
        </w:rPr>
        <w:t>）代理服务费以《中标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通知书》确定的</w:t>
      </w:r>
      <w:r>
        <w:rPr>
          <w:rFonts w:hint="eastAsia" w:ascii="Times New Roman" w:eastAsia="宋体"/>
          <w:lang w:val="en-US" w:eastAsia="zh-CN"/>
        </w:rPr>
        <w:t>中标（</w:t>
      </w:r>
      <w:r>
        <w:rPr>
          <w:rFonts w:hint="eastAsia"/>
        </w:rPr>
        <w:t>成交</w:t>
      </w:r>
      <w:r>
        <w:rPr>
          <w:rFonts w:hint="eastAsia" w:eastAsia="宋体"/>
          <w:lang w:eastAsia="zh-CN"/>
        </w:rPr>
        <w:t>）</w:t>
      </w:r>
      <w:r>
        <w:rPr>
          <w:rFonts w:hint="eastAsia"/>
        </w:rPr>
        <w:t>金额作为计算基数，按差额定率累进法计算。</w:t>
      </w:r>
    </w:p>
    <w:p w14:paraId="200B91C2">
      <w:pPr>
        <w:ind w:firstLine="420" w:firstLineChars="200"/>
      </w:pPr>
      <w:r>
        <w:rPr>
          <w:rFonts w:hint="eastAsia"/>
        </w:rPr>
        <w:t>（</w:t>
      </w:r>
      <w:r>
        <w:rPr>
          <w:rFonts w:hint="eastAsia" w:ascii="Times New Roman" w:eastAsia="宋体"/>
          <w:lang w:val="en-US" w:eastAsia="zh-CN"/>
        </w:rPr>
        <w:t>2</w:t>
      </w:r>
      <w:r>
        <w:rPr>
          <w:rFonts w:hint="eastAsia"/>
        </w:rPr>
        <w:t>）中标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金额的各部分费率如下表：</w:t>
      </w:r>
    </w:p>
    <w:tbl>
      <w:tblPr>
        <w:tblStyle w:val="4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48DF0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7D5A51A0">
            <w:pPr>
              <w:keepNext w:val="0"/>
              <w:keepLines w:val="0"/>
              <w:widowControl/>
              <w:suppressLineNumbers w:val="0"/>
              <w:spacing w:before="0" w:beforeAutospacing="0" w:after="0" w:afterAutospacing="0" w:line="360" w:lineRule="auto"/>
              <w:ind w:left="0" w:right="0"/>
              <w:jc w:val="center"/>
              <w:rPr>
                <w:rFonts w:hint="default"/>
              </w:rPr>
            </w:pPr>
            <w:r>
              <w:rPr>
                <w:rFonts w:hint="eastAsia" w:ascii="Times New Roman" w:eastAsia="宋体"/>
                <w:lang w:val="en-US" w:eastAsia="zh-CN"/>
              </w:rPr>
              <w:t>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金额</w:t>
            </w:r>
          </w:p>
        </w:tc>
        <w:tc>
          <w:tcPr>
            <w:tcW w:w="1799" w:type="dxa"/>
            <w:vAlign w:val="center"/>
          </w:tcPr>
          <w:p w14:paraId="22CFB92E">
            <w:pPr>
              <w:keepNext w:val="0"/>
              <w:keepLines w:val="0"/>
              <w:widowControl/>
              <w:suppressLineNumbers w:val="0"/>
              <w:spacing w:before="0" w:beforeAutospacing="0" w:after="0" w:afterAutospacing="0" w:line="360" w:lineRule="auto"/>
              <w:ind w:left="0" w:right="0"/>
              <w:jc w:val="center"/>
              <w:rPr>
                <w:rFonts w:hint="default"/>
              </w:rPr>
            </w:pPr>
            <w:r>
              <w:rPr>
                <w:rFonts w:hint="eastAsia"/>
              </w:rPr>
              <w:t>货物采购</w:t>
            </w:r>
          </w:p>
        </w:tc>
        <w:tc>
          <w:tcPr>
            <w:tcW w:w="1799" w:type="dxa"/>
            <w:vAlign w:val="center"/>
          </w:tcPr>
          <w:p w14:paraId="32539BB0">
            <w:pPr>
              <w:keepNext w:val="0"/>
              <w:keepLines w:val="0"/>
              <w:widowControl/>
              <w:suppressLineNumbers w:val="0"/>
              <w:spacing w:before="0" w:beforeAutospacing="0" w:after="0" w:afterAutospacing="0" w:line="360" w:lineRule="auto"/>
              <w:ind w:left="0" w:right="0"/>
              <w:jc w:val="center"/>
              <w:rPr>
                <w:rFonts w:hint="default"/>
              </w:rPr>
            </w:pPr>
            <w:r>
              <w:rPr>
                <w:rFonts w:hint="eastAsia"/>
              </w:rPr>
              <w:t>服务采购</w:t>
            </w:r>
          </w:p>
        </w:tc>
        <w:tc>
          <w:tcPr>
            <w:tcW w:w="1799" w:type="dxa"/>
            <w:vAlign w:val="center"/>
          </w:tcPr>
          <w:p w14:paraId="09F4E08A">
            <w:pPr>
              <w:keepNext w:val="0"/>
              <w:keepLines w:val="0"/>
              <w:widowControl/>
              <w:suppressLineNumbers w:val="0"/>
              <w:spacing w:before="0" w:beforeAutospacing="0" w:after="0" w:afterAutospacing="0" w:line="360" w:lineRule="auto"/>
              <w:ind w:left="0" w:right="0"/>
              <w:jc w:val="center"/>
              <w:rPr>
                <w:rFonts w:hint="default"/>
              </w:rPr>
            </w:pPr>
            <w:r>
              <w:rPr>
                <w:rFonts w:hint="eastAsia"/>
              </w:rPr>
              <w:t>工程采购</w:t>
            </w:r>
          </w:p>
        </w:tc>
      </w:tr>
      <w:tr w14:paraId="37F00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D288019">
            <w:pPr>
              <w:keepNext w:val="0"/>
              <w:keepLines w:val="0"/>
              <w:widowControl/>
              <w:suppressLineNumbers w:val="0"/>
              <w:spacing w:before="0" w:beforeAutospacing="0" w:after="0" w:afterAutospacing="0" w:line="360" w:lineRule="auto"/>
              <w:ind w:left="0" w:right="0"/>
              <w:jc w:val="center"/>
              <w:rPr>
                <w:rFonts w:hint="default"/>
              </w:rPr>
            </w:pPr>
            <w:r>
              <w:rPr>
                <w:rFonts w:hint="eastAsia"/>
              </w:rPr>
              <w:t>100万元以下</w:t>
            </w:r>
          </w:p>
        </w:tc>
        <w:tc>
          <w:tcPr>
            <w:tcW w:w="1799" w:type="dxa"/>
            <w:vAlign w:val="center"/>
          </w:tcPr>
          <w:p w14:paraId="0D836427">
            <w:pPr>
              <w:keepNext w:val="0"/>
              <w:keepLines w:val="0"/>
              <w:widowControl/>
              <w:suppressLineNumbers w:val="0"/>
              <w:spacing w:before="0" w:beforeAutospacing="0" w:after="0" w:afterAutospacing="0" w:line="360" w:lineRule="auto"/>
              <w:ind w:left="0" w:right="0"/>
              <w:jc w:val="center"/>
              <w:rPr>
                <w:rFonts w:hint="default"/>
              </w:rPr>
            </w:pPr>
            <w:r>
              <w:rPr>
                <w:rFonts w:hint="eastAsia"/>
              </w:rPr>
              <w:t>1.5%</w:t>
            </w:r>
          </w:p>
        </w:tc>
        <w:tc>
          <w:tcPr>
            <w:tcW w:w="1799" w:type="dxa"/>
            <w:vAlign w:val="center"/>
          </w:tcPr>
          <w:p w14:paraId="1AC4ACB2">
            <w:pPr>
              <w:keepNext w:val="0"/>
              <w:keepLines w:val="0"/>
              <w:widowControl/>
              <w:suppressLineNumbers w:val="0"/>
              <w:spacing w:before="0" w:beforeAutospacing="0" w:after="0" w:afterAutospacing="0" w:line="360" w:lineRule="auto"/>
              <w:ind w:left="0" w:right="0"/>
              <w:jc w:val="center"/>
              <w:rPr>
                <w:rFonts w:hint="default"/>
              </w:rPr>
            </w:pPr>
            <w:r>
              <w:rPr>
                <w:rFonts w:hint="eastAsia"/>
              </w:rPr>
              <w:t>1.5%</w:t>
            </w:r>
          </w:p>
        </w:tc>
        <w:tc>
          <w:tcPr>
            <w:tcW w:w="1799" w:type="dxa"/>
            <w:vAlign w:val="center"/>
          </w:tcPr>
          <w:p w14:paraId="346CAB93">
            <w:pPr>
              <w:keepNext w:val="0"/>
              <w:keepLines w:val="0"/>
              <w:widowControl/>
              <w:suppressLineNumbers w:val="0"/>
              <w:spacing w:before="0" w:beforeAutospacing="0" w:after="0" w:afterAutospacing="0" w:line="360" w:lineRule="auto"/>
              <w:ind w:left="0" w:right="0"/>
              <w:jc w:val="center"/>
              <w:rPr>
                <w:rFonts w:hint="default"/>
              </w:rPr>
            </w:pPr>
            <w:r>
              <w:rPr>
                <w:rFonts w:hint="eastAsia"/>
              </w:rPr>
              <w:t>1.0%</w:t>
            </w:r>
          </w:p>
        </w:tc>
      </w:tr>
      <w:tr w14:paraId="6D8BF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F99DA3D">
            <w:pPr>
              <w:keepNext w:val="0"/>
              <w:keepLines w:val="0"/>
              <w:widowControl/>
              <w:suppressLineNumbers w:val="0"/>
              <w:spacing w:before="0" w:beforeAutospacing="0" w:after="0" w:afterAutospacing="0" w:line="360" w:lineRule="auto"/>
              <w:ind w:left="0" w:right="0"/>
              <w:jc w:val="center"/>
              <w:rPr>
                <w:rFonts w:hint="default"/>
              </w:rPr>
            </w:pPr>
            <w:r>
              <w:rPr>
                <w:rFonts w:hint="eastAsia"/>
              </w:rPr>
              <w:t>100万元（含）-500万元</w:t>
            </w:r>
          </w:p>
        </w:tc>
        <w:tc>
          <w:tcPr>
            <w:tcW w:w="1799" w:type="dxa"/>
            <w:vAlign w:val="center"/>
          </w:tcPr>
          <w:p w14:paraId="3062A817">
            <w:pPr>
              <w:keepNext w:val="0"/>
              <w:keepLines w:val="0"/>
              <w:widowControl/>
              <w:suppressLineNumbers w:val="0"/>
              <w:spacing w:before="0" w:beforeAutospacing="0" w:after="0" w:afterAutospacing="0" w:line="360" w:lineRule="auto"/>
              <w:ind w:left="0" w:right="0"/>
              <w:jc w:val="center"/>
              <w:rPr>
                <w:rFonts w:hint="default"/>
              </w:rPr>
            </w:pPr>
            <w:r>
              <w:rPr>
                <w:rFonts w:hint="eastAsia"/>
              </w:rPr>
              <w:t>1.1%</w:t>
            </w:r>
          </w:p>
        </w:tc>
        <w:tc>
          <w:tcPr>
            <w:tcW w:w="1799" w:type="dxa"/>
            <w:vAlign w:val="center"/>
          </w:tcPr>
          <w:p w14:paraId="24768006">
            <w:pPr>
              <w:keepNext w:val="0"/>
              <w:keepLines w:val="0"/>
              <w:widowControl/>
              <w:suppressLineNumbers w:val="0"/>
              <w:spacing w:before="0" w:beforeAutospacing="0" w:after="0" w:afterAutospacing="0" w:line="360" w:lineRule="auto"/>
              <w:ind w:left="0" w:right="0"/>
              <w:jc w:val="center"/>
              <w:rPr>
                <w:rFonts w:hint="default"/>
              </w:rPr>
            </w:pPr>
            <w:r>
              <w:rPr>
                <w:rFonts w:hint="eastAsia"/>
              </w:rPr>
              <w:t>0.8%</w:t>
            </w:r>
          </w:p>
        </w:tc>
        <w:tc>
          <w:tcPr>
            <w:tcW w:w="1799" w:type="dxa"/>
            <w:vAlign w:val="center"/>
          </w:tcPr>
          <w:p w14:paraId="6A3DB797">
            <w:pPr>
              <w:keepNext w:val="0"/>
              <w:keepLines w:val="0"/>
              <w:widowControl/>
              <w:suppressLineNumbers w:val="0"/>
              <w:spacing w:before="0" w:beforeAutospacing="0" w:after="0" w:afterAutospacing="0" w:line="360" w:lineRule="auto"/>
              <w:ind w:left="0" w:right="0"/>
              <w:jc w:val="center"/>
              <w:rPr>
                <w:rFonts w:hint="default"/>
              </w:rPr>
            </w:pPr>
            <w:r>
              <w:rPr>
                <w:rFonts w:hint="eastAsia"/>
              </w:rPr>
              <w:t>0.7%</w:t>
            </w:r>
          </w:p>
        </w:tc>
      </w:tr>
      <w:tr w14:paraId="757FE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6668847">
            <w:pPr>
              <w:keepNext w:val="0"/>
              <w:keepLines w:val="0"/>
              <w:widowControl/>
              <w:suppressLineNumbers w:val="0"/>
              <w:spacing w:before="0" w:beforeAutospacing="0" w:after="0" w:afterAutospacing="0" w:line="360" w:lineRule="auto"/>
              <w:ind w:left="0" w:right="0"/>
              <w:jc w:val="center"/>
              <w:rPr>
                <w:rFonts w:hint="default"/>
              </w:rPr>
            </w:pPr>
            <w:r>
              <w:rPr>
                <w:rFonts w:hint="eastAsia"/>
              </w:rPr>
              <w:t>500万元（含）-1000万元</w:t>
            </w:r>
          </w:p>
        </w:tc>
        <w:tc>
          <w:tcPr>
            <w:tcW w:w="1799" w:type="dxa"/>
            <w:vAlign w:val="center"/>
          </w:tcPr>
          <w:p w14:paraId="04BCD8CD">
            <w:pPr>
              <w:keepNext w:val="0"/>
              <w:keepLines w:val="0"/>
              <w:widowControl/>
              <w:suppressLineNumbers w:val="0"/>
              <w:spacing w:before="0" w:beforeAutospacing="0" w:after="0" w:afterAutospacing="0" w:line="360" w:lineRule="auto"/>
              <w:ind w:left="0" w:right="0"/>
              <w:jc w:val="center"/>
              <w:rPr>
                <w:rFonts w:hint="default"/>
              </w:rPr>
            </w:pPr>
            <w:r>
              <w:rPr>
                <w:rFonts w:hint="eastAsia"/>
              </w:rPr>
              <w:t>0.8%</w:t>
            </w:r>
          </w:p>
        </w:tc>
        <w:tc>
          <w:tcPr>
            <w:tcW w:w="1799" w:type="dxa"/>
            <w:vAlign w:val="center"/>
          </w:tcPr>
          <w:p w14:paraId="6E2D66C6">
            <w:pPr>
              <w:keepNext w:val="0"/>
              <w:keepLines w:val="0"/>
              <w:widowControl/>
              <w:suppressLineNumbers w:val="0"/>
              <w:spacing w:before="0" w:beforeAutospacing="0" w:after="0" w:afterAutospacing="0" w:line="360" w:lineRule="auto"/>
              <w:ind w:left="0" w:right="0"/>
              <w:jc w:val="center"/>
              <w:rPr>
                <w:rFonts w:hint="default"/>
              </w:rPr>
            </w:pPr>
            <w:r>
              <w:rPr>
                <w:rFonts w:hint="eastAsia"/>
              </w:rPr>
              <w:t>0.45%</w:t>
            </w:r>
          </w:p>
        </w:tc>
        <w:tc>
          <w:tcPr>
            <w:tcW w:w="1799" w:type="dxa"/>
            <w:vAlign w:val="center"/>
          </w:tcPr>
          <w:p w14:paraId="257B9B78">
            <w:pPr>
              <w:keepNext w:val="0"/>
              <w:keepLines w:val="0"/>
              <w:widowControl/>
              <w:suppressLineNumbers w:val="0"/>
              <w:spacing w:before="0" w:beforeAutospacing="0" w:after="0" w:afterAutospacing="0" w:line="360" w:lineRule="auto"/>
              <w:ind w:left="0" w:right="0"/>
              <w:jc w:val="center"/>
              <w:rPr>
                <w:rFonts w:hint="default"/>
              </w:rPr>
            </w:pPr>
            <w:r>
              <w:rPr>
                <w:rFonts w:hint="eastAsia"/>
              </w:rPr>
              <w:t>0.55%</w:t>
            </w:r>
          </w:p>
        </w:tc>
      </w:tr>
      <w:tr w14:paraId="12648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C0CA3BD">
            <w:pPr>
              <w:keepNext w:val="0"/>
              <w:keepLines w:val="0"/>
              <w:widowControl/>
              <w:suppressLineNumbers w:val="0"/>
              <w:spacing w:before="0" w:beforeAutospacing="0" w:after="0" w:afterAutospacing="0" w:line="360" w:lineRule="auto"/>
              <w:ind w:left="0" w:right="0"/>
              <w:jc w:val="center"/>
              <w:rPr>
                <w:rFonts w:hint="default"/>
              </w:rPr>
            </w:pPr>
            <w:r>
              <w:rPr>
                <w:rFonts w:hint="eastAsia"/>
              </w:rPr>
              <w:t>1000万元（含）-5000万元</w:t>
            </w:r>
          </w:p>
        </w:tc>
        <w:tc>
          <w:tcPr>
            <w:tcW w:w="1799" w:type="dxa"/>
            <w:vAlign w:val="center"/>
          </w:tcPr>
          <w:p w14:paraId="03E8F7E1">
            <w:pPr>
              <w:keepNext w:val="0"/>
              <w:keepLines w:val="0"/>
              <w:widowControl/>
              <w:suppressLineNumbers w:val="0"/>
              <w:spacing w:before="0" w:beforeAutospacing="0" w:after="0" w:afterAutospacing="0" w:line="360" w:lineRule="auto"/>
              <w:ind w:left="0" w:right="0"/>
              <w:jc w:val="center"/>
              <w:rPr>
                <w:rFonts w:hint="default"/>
              </w:rPr>
            </w:pPr>
            <w:r>
              <w:rPr>
                <w:rFonts w:hint="eastAsia"/>
              </w:rPr>
              <w:t>0.5%</w:t>
            </w:r>
          </w:p>
        </w:tc>
        <w:tc>
          <w:tcPr>
            <w:tcW w:w="1799" w:type="dxa"/>
            <w:vAlign w:val="center"/>
          </w:tcPr>
          <w:p w14:paraId="2CBDF39C">
            <w:pPr>
              <w:keepNext w:val="0"/>
              <w:keepLines w:val="0"/>
              <w:widowControl/>
              <w:suppressLineNumbers w:val="0"/>
              <w:spacing w:before="0" w:beforeAutospacing="0" w:after="0" w:afterAutospacing="0" w:line="360" w:lineRule="auto"/>
              <w:ind w:left="0" w:right="0"/>
              <w:jc w:val="center"/>
              <w:rPr>
                <w:rFonts w:hint="default"/>
              </w:rPr>
            </w:pPr>
            <w:r>
              <w:rPr>
                <w:rFonts w:hint="eastAsia"/>
              </w:rPr>
              <w:t>0.25%</w:t>
            </w:r>
          </w:p>
        </w:tc>
        <w:tc>
          <w:tcPr>
            <w:tcW w:w="1799" w:type="dxa"/>
            <w:vAlign w:val="center"/>
          </w:tcPr>
          <w:p w14:paraId="6CAC60CF">
            <w:pPr>
              <w:keepNext w:val="0"/>
              <w:keepLines w:val="0"/>
              <w:widowControl/>
              <w:suppressLineNumbers w:val="0"/>
              <w:spacing w:before="0" w:beforeAutospacing="0" w:after="0" w:afterAutospacing="0" w:line="360" w:lineRule="auto"/>
              <w:ind w:left="0" w:right="0"/>
              <w:jc w:val="center"/>
              <w:rPr>
                <w:rFonts w:hint="default"/>
              </w:rPr>
            </w:pPr>
            <w:r>
              <w:rPr>
                <w:rFonts w:hint="eastAsia"/>
              </w:rPr>
              <w:t>0.35%</w:t>
            </w:r>
          </w:p>
        </w:tc>
      </w:tr>
      <w:tr w14:paraId="3D6C7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DDB1C77">
            <w:pPr>
              <w:keepNext w:val="0"/>
              <w:keepLines w:val="0"/>
              <w:widowControl/>
              <w:suppressLineNumbers w:val="0"/>
              <w:spacing w:before="0" w:beforeAutospacing="0" w:after="0" w:afterAutospacing="0" w:line="360" w:lineRule="auto"/>
              <w:ind w:left="0" w:right="0"/>
              <w:jc w:val="center"/>
              <w:rPr>
                <w:rFonts w:hint="default"/>
              </w:rPr>
            </w:pPr>
            <w:r>
              <w:rPr>
                <w:rFonts w:hint="eastAsia"/>
              </w:rPr>
              <w:t>5000万元（含）-1亿元</w:t>
            </w:r>
          </w:p>
        </w:tc>
        <w:tc>
          <w:tcPr>
            <w:tcW w:w="1799" w:type="dxa"/>
            <w:vAlign w:val="center"/>
          </w:tcPr>
          <w:p w14:paraId="055EAED6">
            <w:pPr>
              <w:keepNext w:val="0"/>
              <w:keepLines w:val="0"/>
              <w:widowControl/>
              <w:suppressLineNumbers w:val="0"/>
              <w:spacing w:before="0" w:beforeAutospacing="0" w:after="0" w:afterAutospacing="0" w:line="360" w:lineRule="auto"/>
              <w:ind w:left="0" w:right="0"/>
              <w:jc w:val="center"/>
              <w:rPr>
                <w:rFonts w:hint="default"/>
              </w:rPr>
            </w:pPr>
            <w:r>
              <w:rPr>
                <w:rFonts w:hint="eastAsia"/>
              </w:rPr>
              <w:t>0.25%</w:t>
            </w:r>
          </w:p>
        </w:tc>
        <w:tc>
          <w:tcPr>
            <w:tcW w:w="1799" w:type="dxa"/>
            <w:vAlign w:val="center"/>
          </w:tcPr>
          <w:p w14:paraId="0422894F">
            <w:pPr>
              <w:keepNext w:val="0"/>
              <w:keepLines w:val="0"/>
              <w:widowControl/>
              <w:suppressLineNumbers w:val="0"/>
              <w:spacing w:before="0" w:beforeAutospacing="0" w:after="0" w:afterAutospacing="0" w:line="360" w:lineRule="auto"/>
              <w:ind w:left="0" w:right="0"/>
              <w:jc w:val="center"/>
              <w:rPr>
                <w:rFonts w:hint="default"/>
              </w:rPr>
            </w:pPr>
            <w:r>
              <w:rPr>
                <w:rFonts w:hint="eastAsia"/>
              </w:rPr>
              <w:t>0.1%</w:t>
            </w:r>
          </w:p>
        </w:tc>
        <w:tc>
          <w:tcPr>
            <w:tcW w:w="1799" w:type="dxa"/>
            <w:vAlign w:val="center"/>
          </w:tcPr>
          <w:p w14:paraId="6A4D7034">
            <w:pPr>
              <w:keepNext w:val="0"/>
              <w:keepLines w:val="0"/>
              <w:widowControl/>
              <w:suppressLineNumbers w:val="0"/>
              <w:spacing w:before="0" w:beforeAutospacing="0" w:after="0" w:afterAutospacing="0" w:line="360" w:lineRule="auto"/>
              <w:ind w:left="0" w:right="0"/>
              <w:jc w:val="center"/>
              <w:rPr>
                <w:rFonts w:hint="default"/>
              </w:rPr>
            </w:pPr>
            <w:r>
              <w:rPr>
                <w:rFonts w:hint="eastAsia"/>
              </w:rPr>
              <w:t>0.2%</w:t>
            </w:r>
          </w:p>
        </w:tc>
      </w:tr>
      <w:tr w14:paraId="0CECE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A1FD691">
            <w:pPr>
              <w:keepNext w:val="0"/>
              <w:keepLines w:val="0"/>
              <w:widowControl/>
              <w:suppressLineNumbers w:val="0"/>
              <w:spacing w:before="0" w:beforeAutospacing="0" w:after="0" w:afterAutospacing="0" w:line="360" w:lineRule="auto"/>
              <w:ind w:left="0" w:right="0"/>
              <w:jc w:val="center"/>
              <w:rPr>
                <w:rFonts w:hint="default"/>
              </w:rPr>
            </w:pPr>
            <w:r>
              <w:rPr>
                <w:rFonts w:hint="eastAsia"/>
              </w:rPr>
              <w:t>1亿元（含）-5亿元</w:t>
            </w:r>
          </w:p>
        </w:tc>
        <w:tc>
          <w:tcPr>
            <w:tcW w:w="1799" w:type="dxa"/>
            <w:vAlign w:val="center"/>
          </w:tcPr>
          <w:p w14:paraId="55858C4D">
            <w:pPr>
              <w:keepNext w:val="0"/>
              <w:keepLines w:val="0"/>
              <w:widowControl/>
              <w:suppressLineNumbers w:val="0"/>
              <w:spacing w:before="0" w:beforeAutospacing="0" w:after="0" w:afterAutospacing="0" w:line="360" w:lineRule="auto"/>
              <w:ind w:left="0" w:right="0"/>
              <w:jc w:val="center"/>
              <w:rPr>
                <w:rFonts w:hint="default"/>
              </w:rPr>
            </w:pPr>
            <w:r>
              <w:rPr>
                <w:rFonts w:hint="eastAsia"/>
              </w:rPr>
              <w:t>0.05%</w:t>
            </w:r>
          </w:p>
        </w:tc>
        <w:tc>
          <w:tcPr>
            <w:tcW w:w="1799" w:type="dxa"/>
            <w:vAlign w:val="center"/>
          </w:tcPr>
          <w:p w14:paraId="2DA89F15">
            <w:pPr>
              <w:keepNext w:val="0"/>
              <w:keepLines w:val="0"/>
              <w:widowControl/>
              <w:suppressLineNumbers w:val="0"/>
              <w:spacing w:before="0" w:beforeAutospacing="0" w:after="0" w:afterAutospacing="0" w:line="360" w:lineRule="auto"/>
              <w:ind w:left="0" w:right="0"/>
              <w:jc w:val="center"/>
              <w:rPr>
                <w:rFonts w:hint="default"/>
              </w:rPr>
            </w:pPr>
            <w:r>
              <w:rPr>
                <w:rFonts w:hint="eastAsia"/>
              </w:rPr>
              <w:t>0.05%</w:t>
            </w:r>
          </w:p>
        </w:tc>
        <w:tc>
          <w:tcPr>
            <w:tcW w:w="1799" w:type="dxa"/>
            <w:vAlign w:val="center"/>
          </w:tcPr>
          <w:p w14:paraId="30C2394F">
            <w:pPr>
              <w:keepNext w:val="0"/>
              <w:keepLines w:val="0"/>
              <w:widowControl/>
              <w:suppressLineNumbers w:val="0"/>
              <w:spacing w:before="0" w:beforeAutospacing="0" w:after="0" w:afterAutospacing="0" w:line="360" w:lineRule="auto"/>
              <w:ind w:left="0" w:right="0"/>
              <w:jc w:val="center"/>
              <w:rPr>
                <w:rFonts w:hint="default"/>
              </w:rPr>
            </w:pPr>
            <w:r>
              <w:rPr>
                <w:rFonts w:hint="eastAsia"/>
              </w:rPr>
              <w:t>0.05%</w:t>
            </w:r>
          </w:p>
        </w:tc>
      </w:tr>
      <w:tr w14:paraId="0BF04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3BD81A9">
            <w:pPr>
              <w:keepNext w:val="0"/>
              <w:keepLines w:val="0"/>
              <w:widowControl/>
              <w:suppressLineNumbers w:val="0"/>
              <w:spacing w:before="0" w:beforeAutospacing="0" w:after="0" w:afterAutospacing="0" w:line="360" w:lineRule="auto"/>
              <w:ind w:left="0" w:right="0"/>
              <w:jc w:val="center"/>
              <w:rPr>
                <w:rFonts w:hint="default"/>
              </w:rPr>
            </w:pPr>
            <w:r>
              <w:rPr>
                <w:rFonts w:hint="eastAsia"/>
              </w:rPr>
              <w:t>5亿元（含）-10亿元</w:t>
            </w:r>
          </w:p>
        </w:tc>
        <w:tc>
          <w:tcPr>
            <w:tcW w:w="1799" w:type="dxa"/>
            <w:vAlign w:val="center"/>
          </w:tcPr>
          <w:p w14:paraId="78F3B328">
            <w:pPr>
              <w:keepNext w:val="0"/>
              <w:keepLines w:val="0"/>
              <w:widowControl/>
              <w:suppressLineNumbers w:val="0"/>
              <w:spacing w:before="0" w:beforeAutospacing="0" w:after="0" w:afterAutospacing="0" w:line="360" w:lineRule="auto"/>
              <w:ind w:left="0" w:right="0"/>
              <w:jc w:val="center"/>
              <w:rPr>
                <w:rFonts w:hint="default"/>
              </w:rPr>
            </w:pPr>
            <w:r>
              <w:rPr>
                <w:rFonts w:hint="eastAsia"/>
              </w:rPr>
              <w:t>0.035%</w:t>
            </w:r>
          </w:p>
        </w:tc>
        <w:tc>
          <w:tcPr>
            <w:tcW w:w="1799" w:type="dxa"/>
            <w:vAlign w:val="center"/>
          </w:tcPr>
          <w:p w14:paraId="0A254853">
            <w:pPr>
              <w:keepNext w:val="0"/>
              <w:keepLines w:val="0"/>
              <w:widowControl/>
              <w:suppressLineNumbers w:val="0"/>
              <w:spacing w:before="0" w:beforeAutospacing="0" w:after="0" w:afterAutospacing="0" w:line="360" w:lineRule="auto"/>
              <w:ind w:left="0" w:right="0"/>
              <w:jc w:val="center"/>
              <w:rPr>
                <w:rFonts w:hint="default"/>
              </w:rPr>
            </w:pPr>
            <w:r>
              <w:rPr>
                <w:rFonts w:hint="eastAsia"/>
              </w:rPr>
              <w:t>0.035%</w:t>
            </w:r>
          </w:p>
        </w:tc>
        <w:tc>
          <w:tcPr>
            <w:tcW w:w="1799" w:type="dxa"/>
            <w:vAlign w:val="center"/>
          </w:tcPr>
          <w:p w14:paraId="7E84FF98">
            <w:pPr>
              <w:keepNext w:val="0"/>
              <w:keepLines w:val="0"/>
              <w:widowControl/>
              <w:suppressLineNumbers w:val="0"/>
              <w:spacing w:before="0" w:beforeAutospacing="0" w:after="0" w:afterAutospacing="0" w:line="360" w:lineRule="auto"/>
              <w:ind w:left="0" w:right="0"/>
              <w:jc w:val="center"/>
              <w:rPr>
                <w:rFonts w:hint="default"/>
              </w:rPr>
            </w:pPr>
            <w:r>
              <w:rPr>
                <w:rFonts w:hint="eastAsia"/>
              </w:rPr>
              <w:t>0.035%</w:t>
            </w:r>
          </w:p>
        </w:tc>
      </w:tr>
      <w:tr w14:paraId="57980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3BA2142F">
            <w:pPr>
              <w:keepNext w:val="0"/>
              <w:keepLines w:val="0"/>
              <w:widowControl/>
              <w:suppressLineNumbers w:val="0"/>
              <w:spacing w:before="0" w:beforeAutospacing="0" w:after="0" w:afterAutospacing="0" w:line="360" w:lineRule="auto"/>
              <w:ind w:left="0" w:right="0"/>
              <w:jc w:val="center"/>
              <w:rPr>
                <w:rFonts w:hint="default"/>
              </w:rPr>
            </w:pPr>
            <w:r>
              <w:rPr>
                <w:rFonts w:hint="eastAsia"/>
              </w:rPr>
              <w:t>10亿元（含）-50亿元</w:t>
            </w:r>
          </w:p>
        </w:tc>
        <w:tc>
          <w:tcPr>
            <w:tcW w:w="1799" w:type="dxa"/>
            <w:vAlign w:val="center"/>
          </w:tcPr>
          <w:p w14:paraId="4F610EE5">
            <w:pPr>
              <w:keepNext w:val="0"/>
              <w:keepLines w:val="0"/>
              <w:widowControl/>
              <w:suppressLineNumbers w:val="0"/>
              <w:spacing w:before="0" w:beforeAutospacing="0" w:after="0" w:afterAutospacing="0" w:line="360" w:lineRule="auto"/>
              <w:ind w:left="0" w:right="0"/>
              <w:jc w:val="center"/>
              <w:rPr>
                <w:rFonts w:hint="default"/>
              </w:rPr>
            </w:pPr>
            <w:r>
              <w:rPr>
                <w:rFonts w:hint="eastAsia"/>
              </w:rPr>
              <w:t>0.008%</w:t>
            </w:r>
          </w:p>
        </w:tc>
        <w:tc>
          <w:tcPr>
            <w:tcW w:w="1799" w:type="dxa"/>
            <w:vAlign w:val="center"/>
          </w:tcPr>
          <w:p w14:paraId="3C500B59">
            <w:pPr>
              <w:keepNext w:val="0"/>
              <w:keepLines w:val="0"/>
              <w:widowControl/>
              <w:suppressLineNumbers w:val="0"/>
              <w:spacing w:before="0" w:beforeAutospacing="0" w:after="0" w:afterAutospacing="0" w:line="360" w:lineRule="auto"/>
              <w:ind w:left="0" w:right="0"/>
              <w:jc w:val="center"/>
              <w:rPr>
                <w:rFonts w:hint="default"/>
              </w:rPr>
            </w:pPr>
            <w:r>
              <w:rPr>
                <w:rFonts w:hint="eastAsia"/>
              </w:rPr>
              <w:t>0.008%</w:t>
            </w:r>
          </w:p>
        </w:tc>
        <w:tc>
          <w:tcPr>
            <w:tcW w:w="1799" w:type="dxa"/>
            <w:vAlign w:val="center"/>
          </w:tcPr>
          <w:p w14:paraId="2C3358A5">
            <w:pPr>
              <w:keepNext w:val="0"/>
              <w:keepLines w:val="0"/>
              <w:widowControl/>
              <w:suppressLineNumbers w:val="0"/>
              <w:spacing w:before="0" w:beforeAutospacing="0" w:after="0" w:afterAutospacing="0" w:line="360" w:lineRule="auto"/>
              <w:ind w:left="0" w:right="0"/>
              <w:jc w:val="center"/>
              <w:rPr>
                <w:rFonts w:hint="default"/>
              </w:rPr>
            </w:pPr>
            <w:r>
              <w:rPr>
                <w:rFonts w:hint="eastAsia"/>
              </w:rPr>
              <w:t>0.008%</w:t>
            </w:r>
          </w:p>
        </w:tc>
      </w:tr>
      <w:tr w14:paraId="7943C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2D93DC1">
            <w:pPr>
              <w:keepNext w:val="0"/>
              <w:keepLines w:val="0"/>
              <w:widowControl/>
              <w:suppressLineNumbers w:val="0"/>
              <w:spacing w:before="0" w:beforeAutospacing="0" w:after="0" w:afterAutospacing="0" w:line="360" w:lineRule="auto"/>
              <w:ind w:left="0" w:right="0"/>
              <w:jc w:val="center"/>
              <w:rPr>
                <w:rFonts w:hint="default"/>
              </w:rPr>
            </w:pPr>
            <w:r>
              <w:rPr>
                <w:rFonts w:hint="eastAsia"/>
              </w:rPr>
              <w:t>50亿元（含）-100亿元</w:t>
            </w:r>
          </w:p>
        </w:tc>
        <w:tc>
          <w:tcPr>
            <w:tcW w:w="1799" w:type="dxa"/>
            <w:vAlign w:val="center"/>
          </w:tcPr>
          <w:p w14:paraId="4D677061">
            <w:pPr>
              <w:keepNext w:val="0"/>
              <w:keepLines w:val="0"/>
              <w:widowControl/>
              <w:suppressLineNumbers w:val="0"/>
              <w:spacing w:before="0" w:beforeAutospacing="0" w:after="0" w:afterAutospacing="0" w:line="360" w:lineRule="auto"/>
              <w:ind w:left="0" w:right="0"/>
              <w:jc w:val="center"/>
              <w:rPr>
                <w:rFonts w:hint="default"/>
              </w:rPr>
            </w:pPr>
            <w:r>
              <w:rPr>
                <w:rFonts w:hint="eastAsia"/>
              </w:rPr>
              <w:t>0.006%</w:t>
            </w:r>
          </w:p>
        </w:tc>
        <w:tc>
          <w:tcPr>
            <w:tcW w:w="1799" w:type="dxa"/>
            <w:vAlign w:val="center"/>
          </w:tcPr>
          <w:p w14:paraId="04076A0D">
            <w:pPr>
              <w:keepNext w:val="0"/>
              <w:keepLines w:val="0"/>
              <w:widowControl/>
              <w:suppressLineNumbers w:val="0"/>
              <w:spacing w:before="0" w:beforeAutospacing="0" w:after="0" w:afterAutospacing="0" w:line="360" w:lineRule="auto"/>
              <w:ind w:left="0" w:right="0"/>
              <w:jc w:val="center"/>
              <w:rPr>
                <w:rFonts w:hint="default"/>
              </w:rPr>
            </w:pPr>
            <w:r>
              <w:rPr>
                <w:rFonts w:hint="eastAsia"/>
              </w:rPr>
              <w:t>0.006%</w:t>
            </w:r>
          </w:p>
        </w:tc>
        <w:tc>
          <w:tcPr>
            <w:tcW w:w="1799" w:type="dxa"/>
            <w:vAlign w:val="center"/>
          </w:tcPr>
          <w:p w14:paraId="5A3ECB3F">
            <w:pPr>
              <w:keepNext w:val="0"/>
              <w:keepLines w:val="0"/>
              <w:widowControl/>
              <w:suppressLineNumbers w:val="0"/>
              <w:spacing w:before="0" w:beforeAutospacing="0" w:after="0" w:afterAutospacing="0" w:line="360" w:lineRule="auto"/>
              <w:ind w:left="0" w:right="0"/>
              <w:jc w:val="center"/>
              <w:rPr>
                <w:rFonts w:hint="default"/>
              </w:rPr>
            </w:pPr>
            <w:r>
              <w:rPr>
                <w:rFonts w:hint="eastAsia"/>
              </w:rPr>
              <w:t>0.006%</w:t>
            </w:r>
          </w:p>
        </w:tc>
      </w:tr>
      <w:tr w14:paraId="276C3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FE5D0B3">
            <w:pPr>
              <w:keepNext w:val="0"/>
              <w:keepLines w:val="0"/>
              <w:widowControl/>
              <w:suppressLineNumbers w:val="0"/>
              <w:spacing w:before="0" w:beforeAutospacing="0" w:after="0" w:afterAutospacing="0" w:line="360" w:lineRule="auto"/>
              <w:ind w:left="0" w:right="0"/>
              <w:jc w:val="center"/>
              <w:rPr>
                <w:rFonts w:hint="default"/>
              </w:rPr>
            </w:pPr>
            <w:r>
              <w:rPr>
                <w:rFonts w:hint="eastAsia"/>
              </w:rPr>
              <w:t>100亿元（含）以上</w:t>
            </w:r>
          </w:p>
        </w:tc>
        <w:tc>
          <w:tcPr>
            <w:tcW w:w="1799" w:type="dxa"/>
            <w:vAlign w:val="center"/>
          </w:tcPr>
          <w:p w14:paraId="26D47991">
            <w:pPr>
              <w:keepNext w:val="0"/>
              <w:keepLines w:val="0"/>
              <w:widowControl/>
              <w:suppressLineNumbers w:val="0"/>
              <w:spacing w:before="0" w:beforeAutospacing="0" w:after="0" w:afterAutospacing="0" w:line="360" w:lineRule="auto"/>
              <w:ind w:left="0" w:right="0"/>
              <w:jc w:val="center"/>
              <w:rPr>
                <w:rFonts w:hint="default"/>
              </w:rPr>
            </w:pPr>
            <w:r>
              <w:rPr>
                <w:rFonts w:hint="eastAsia"/>
              </w:rPr>
              <w:t>0.004%</w:t>
            </w:r>
          </w:p>
        </w:tc>
        <w:tc>
          <w:tcPr>
            <w:tcW w:w="1799" w:type="dxa"/>
            <w:vAlign w:val="center"/>
          </w:tcPr>
          <w:p w14:paraId="0F988231">
            <w:pPr>
              <w:keepNext w:val="0"/>
              <w:keepLines w:val="0"/>
              <w:widowControl/>
              <w:suppressLineNumbers w:val="0"/>
              <w:spacing w:before="0" w:beforeAutospacing="0" w:after="0" w:afterAutospacing="0" w:line="360" w:lineRule="auto"/>
              <w:ind w:left="0" w:right="0"/>
              <w:jc w:val="center"/>
              <w:rPr>
                <w:rFonts w:hint="default"/>
              </w:rPr>
            </w:pPr>
            <w:r>
              <w:rPr>
                <w:rFonts w:hint="eastAsia"/>
              </w:rPr>
              <w:t>0.004%</w:t>
            </w:r>
          </w:p>
        </w:tc>
        <w:tc>
          <w:tcPr>
            <w:tcW w:w="1799" w:type="dxa"/>
            <w:vAlign w:val="center"/>
          </w:tcPr>
          <w:p w14:paraId="0E694053">
            <w:pPr>
              <w:keepNext w:val="0"/>
              <w:keepLines w:val="0"/>
              <w:widowControl/>
              <w:suppressLineNumbers w:val="0"/>
              <w:spacing w:before="0" w:beforeAutospacing="0" w:after="0" w:afterAutospacing="0" w:line="360" w:lineRule="auto"/>
              <w:ind w:left="0" w:right="0"/>
              <w:jc w:val="center"/>
              <w:rPr>
                <w:rFonts w:hint="default"/>
              </w:rPr>
            </w:pPr>
            <w:r>
              <w:rPr>
                <w:rFonts w:hint="eastAsia"/>
              </w:rPr>
              <w:t>0.004%</w:t>
            </w:r>
          </w:p>
        </w:tc>
      </w:tr>
    </w:tbl>
    <w:p w14:paraId="74565AC8">
      <w:pPr>
        <w:ind w:firstLine="420" w:firstLineChars="200"/>
      </w:pPr>
      <w:r>
        <w:rPr>
          <w:rFonts w:hint="eastAsia"/>
        </w:rPr>
        <w:t>备注：1.</w:t>
      </w:r>
      <w:r>
        <w:rPr>
          <w:rFonts w:hint="eastAsia" w:ascii="宋体" w:hAnsi="宋体" w:cs="宋体"/>
          <w:color w:val="0000FF"/>
          <w:szCs w:val="21"/>
        </w:rPr>
        <w:t>当</w:t>
      </w:r>
      <w:r>
        <w:rPr>
          <w:rFonts w:hint="eastAsia" w:ascii="宋体" w:hAnsi="宋体" w:cs="宋体"/>
          <w:color w:val="0000FF"/>
          <w:szCs w:val="21"/>
          <w:lang w:eastAsia="zh-CN"/>
        </w:rPr>
        <w:t>代理服务费计算后小于</w:t>
      </w:r>
      <w:r>
        <w:rPr>
          <w:rFonts w:hint="eastAsia" w:ascii="宋体" w:hAnsi="宋体" w:cs="宋体"/>
          <w:color w:val="0000FF"/>
          <w:szCs w:val="21"/>
          <w:lang w:val="en-US" w:eastAsia="zh-CN"/>
        </w:rPr>
        <w:t>5000元，按5000元收取</w:t>
      </w:r>
      <w:r>
        <w:rPr>
          <w:rFonts w:hint="eastAsia"/>
        </w:rPr>
        <w:t>；</w:t>
      </w:r>
    </w:p>
    <w:p w14:paraId="39A4B93C">
      <w:pPr>
        <w:ind w:firstLine="420" w:firstLineChars="200"/>
        <w:rPr>
          <w:rFonts w:hint="eastAsia" w:eastAsia="宋体"/>
          <w:lang w:eastAsia="zh-CN"/>
        </w:rPr>
      </w:pPr>
      <w:r>
        <w:rPr>
          <w:rFonts w:hint="eastAsia"/>
        </w:rPr>
        <w:t>2.对于报总价的采购类项目，中标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价为中标（成交）金额；对于报单价、折扣或费率的采购类项目，中标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价为预算上限金额或经委托方与代理方确定的支付上限金额；</w:t>
      </w:r>
    </w:p>
    <w:p w14:paraId="563B8F18">
      <w:pPr>
        <w:ind w:firstLine="420" w:firstLineChars="200"/>
      </w:pPr>
      <w:r>
        <w:rPr>
          <w:rFonts w:hint="eastAsia"/>
        </w:rPr>
        <w:t>如某货物采购项目，中标（成交）金额为600万元，总共交纳的代理服务费的具体计算过程如下：</w:t>
      </w:r>
    </w:p>
    <w:p w14:paraId="7A4FDFCA">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14:paraId="6470CBBB">
      <w:pPr>
        <w:ind w:firstLine="420" w:firstLineChars="200"/>
        <w:rPr>
          <w:rFonts w:hint="eastAsia" w:eastAsia="宋体"/>
          <w:lang w:eastAsia="zh-CN"/>
        </w:rPr>
      </w:pPr>
      <w:r>
        <w:rPr>
          <w:rFonts w:hint="eastAsia"/>
        </w:rPr>
        <w:t>（</w:t>
      </w:r>
      <w:r>
        <w:rPr>
          <w:rFonts w:hint="eastAsia" w:ascii="Times New Roman" w:eastAsia="宋体"/>
          <w:lang w:val="en-US" w:eastAsia="zh-CN"/>
        </w:rPr>
        <w:t>3</w:t>
      </w:r>
      <w:r>
        <w:rPr>
          <w:rFonts w:hint="eastAsia"/>
        </w:rPr>
        <w:t>）中标（成交）供应商中标（成交）后，必须按规定采用银行对公转账方式向深圳交易集团有限公司直接交纳代理服务费，交纳信息及要求按照缴款（付款）通知书执行</w:t>
      </w:r>
      <w:r>
        <w:rPr>
          <w:rFonts w:hint="eastAsia" w:eastAsia="宋体"/>
          <w:lang w:eastAsia="zh-CN"/>
        </w:rPr>
        <w:t>：</w:t>
      </w:r>
    </w:p>
    <w:p w14:paraId="3A634083">
      <w:pPr>
        <w:ind w:firstLine="422" w:firstLineChars="200"/>
        <w:rPr>
          <w:rFonts w:ascii="宋体" w:hAnsi="宋体" w:eastAsia="宋体" w:cs="宋体"/>
          <w:bCs/>
          <w:color w:val="FF0000"/>
          <w:szCs w:val="21"/>
          <w:highlight w:val="yellow"/>
        </w:rPr>
      </w:pPr>
      <w:r>
        <w:rPr>
          <w:rFonts w:hint="eastAsia" w:ascii="宋体" w:hAnsi="宋体" w:eastAsia="宋体" w:cs="宋体"/>
          <w:b/>
          <w:bCs/>
          <w:color w:val="FF0000"/>
          <w:szCs w:val="21"/>
          <w:highlight w:val="yellow"/>
        </w:rPr>
        <w:t>基本户信息：</w:t>
      </w:r>
    </w:p>
    <w:p w14:paraId="335C954F">
      <w:pPr>
        <w:ind w:firstLine="420" w:firstLineChars="200"/>
        <w:rPr>
          <w:rFonts w:ascii="宋体" w:hAnsi="宋体" w:eastAsia="宋体" w:cs="宋体"/>
          <w:color w:val="FF0000"/>
          <w:szCs w:val="21"/>
          <w:highlight w:val="yellow"/>
        </w:rPr>
      </w:pPr>
      <w:r>
        <w:rPr>
          <w:rFonts w:hint="eastAsia" w:ascii="宋体" w:hAnsi="宋体" w:eastAsia="宋体" w:cs="宋体"/>
          <w:color w:val="FF0000"/>
          <w:szCs w:val="21"/>
          <w:highlight w:val="yellow"/>
        </w:rPr>
        <w:t>账户名：深圳交易集团有限公司</w:t>
      </w:r>
    </w:p>
    <w:p w14:paraId="6CE01FA7">
      <w:pPr>
        <w:ind w:firstLine="420" w:firstLineChars="200"/>
        <w:rPr>
          <w:rFonts w:ascii="宋体" w:hAnsi="宋体" w:eastAsia="宋体" w:cs="宋体"/>
          <w:color w:val="FF0000"/>
          <w:szCs w:val="21"/>
          <w:highlight w:val="yellow"/>
        </w:rPr>
      </w:pPr>
      <w:r>
        <w:rPr>
          <w:rFonts w:hint="eastAsia" w:ascii="宋体" w:hAnsi="宋体" w:eastAsia="宋体" w:cs="宋体"/>
          <w:color w:val="FF0000"/>
          <w:szCs w:val="21"/>
          <w:highlight w:val="yellow"/>
        </w:rPr>
        <w:t>账号：632765883</w:t>
      </w:r>
    </w:p>
    <w:p w14:paraId="1A9499F0">
      <w:pPr>
        <w:ind w:firstLine="420" w:firstLineChars="200"/>
        <w:rPr>
          <w:rFonts w:ascii="宋体" w:hAnsi="宋体" w:eastAsia="宋体" w:cs="宋体"/>
          <w:color w:val="FF0000"/>
          <w:szCs w:val="21"/>
          <w:highlight w:val="yellow"/>
        </w:rPr>
      </w:pPr>
      <w:r>
        <w:rPr>
          <w:rFonts w:hint="eastAsia" w:ascii="宋体" w:hAnsi="宋体" w:eastAsia="宋体" w:cs="宋体"/>
          <w:color w:val="FF0000"/>
          <w:szCs w:val="21"/>
          <w:highlight w:val="yellow"/>
        </w:rPr>
        <w:t>开户行：民生银行深圳五洲支行</w:t>
      </w:r>
    </w:p>
    <w:p w14:paraId="708CDDEC">
      <w:pPr>
        <w:ind w:firstLine="422" w:firstLineChars="200"/>
        <w:rPr>
          <w:rFonts w:ascii="宋体" w:hAnsi="宋体" w:eastAsia="宋体" w:cs="宋体"/>
          <w:bCs/>
          <w:color w:val="FF0000"/>
          <w:szCs w:val="21"/>
          <w:highlight w:val="yellow"/>
        </w:rPr>
      </w:pPr>
      <w:r>
        <w:rPr>
          <w:rFonts w:hint="eastAsia" w:ascii="宋体" w:hAnsi="宋体" w:eastAsia="宋体" w:cs="宋体"/>
          <w:b/>
          <w:bCs/>
          <w:color w:val="FF0000"/>
          <w:szCs w:val="21"/>
          <w:highlight w:val="yellow"/>
        </w:rPr>
        <w:t>转账备注：</w:t>
      </w:r>
    </w:p>
    <w:p w14:paraId="13DF44EB">
      <w:pPr>
        <w:ind w:firstLine="420" w:firstLineChars="200"/>
        <w:rPr>
          <w:rFonts w:hint="eastAsia" w:ascii="宋体" w:hAnsi="宋体" w:eastAsia="宋体" w:cs="宋体"/>
          <w:bCs/>
          <w:color w:val="FF0000"/>
          <w:szCs w:val="21"/>
          <w:highlight w:val="yellow"/>
        </w:rPr>
      </w:pPr>
      <w:r>
        <w:rPr>
          <w:rFonts w:hint="eastAsia" w:ascii="宋体" w:hAnsi="宋体" w:eastAsia="宋体" w:cs="宋体"/>
          <w:bCs/>
          <w:color w:val="FF0000"/>
          <w:szCs w:val="21"/>
          <w:highlight w:val="yellow"/>
        </w:rPr>
        <w:t>项目编号+项目名称</w:t>
      </w:r>
    </w:p>
    <w:p w14:paraId="099F1A30">
      <w:pPr>
        <w:ind w:firstLine="420" w:firstLineChars="200"/>
        <w:jc w:val="left"/>
      </w:pPr>
    </w:p>
    <w:p w14:paraId="53D45526">
      <w:pPr>
        <w:rPr>
          <w:rFonts w:hint="eastAsia"/>
          <w:sz w:val="28"/>
          <w:szCs w:val="28"/>
        </w:rPr>
      </w:pPr>
      <w:bookmarkStart w:id="33" w:name="_Toc128884461"/>
      <w:r>
        <w:rPr>
          <w:rFonts w:hint="eastAsia"/>
          <w:sz w:val="28"/>
          <w:szCs w:val="28"/>
        </w:rPr>
        <w:br w:type="page"/>
      </w:r>
    </w:p>
    <w:p w14:paraId="35162155">
      <w:pPr>
        <w:pStyle w:val="7"/>
        <w:rPr>
          <w:sz w:val="28"/>
          <w:szCs w:val="28"/>
        </w:rPr>
      </w:pPr>
      <w:r>
        <w:rPr>
          <w:rFonts w:hint="eastAsia"/>
          <w:sz w:val="28"/>
          <w:szCs w:val="28"/>
        </w:rPr>
        <w:t>第三章 用户需求书</w:t>
      </w:r>
    </w:p>
    <w:p w14:paraId="1984CB1D">
      <w:pPr>
        <w:pStyle w:val="7"/>
        <w:spacing w:before="156" w:beforeLines="50" w:after="156" w:afterLines="50"/>
        <w:rPr>
          <w:szCs w:val="24"/>
        </w:rPr>
      </w:pPr>
      <w:r>
        <w:rPr>
          <w:rFonts w:hint="eastAsia"/>
          <w:szCs w:val="24"/>
        </w:rPr>
        <w:t>一、项目基本信息</w:t>
      </w:r>
    </w:p>
    <w:tbl>
      <w:tblPr>
        <w:tblStyle w:val="43"/>
        <w:tblW w:w="90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4914"/>
        <w:gridCol w:w="1580"/>
        <w:gridCol w:w="1740"/>
      </w:tblGrid>
      <w:tr w14:paraId="07C08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814" w:type="dxa"/>
            <w:vAlign w:val="center"/>
          </w:tcPr>
          <w:p w14:paraId="5F159951">
            <w:pPr>
              <w:keepNext w:val="0"/>
              <w:keepLines w:val="0"/>
              <w:suppressLineNumbers w:val="0"/>
              <w:spacing w:before="0" w:beforeAutospacing="0" w:after="0" w:afterAutospacing="0"/>
              <w:ind w:left="0" w:right="0"/>
              <w:jc w:val="center"/>
              <w:rPr>
                <w:rFonts w:hint="default"/>
                <w:bCs/>
                <w:szCs w:val="21"/>
              </w:rPr>
            </w:pPr>
            <w:r>
              <w:rPr>
                <w:rFonts w:hint="eastAsia"/>
                <w:bCs/>
                <w:szCs w:val="21"/>
              </w:rPr>
              <w:t>序号</w:t>
            </w:r>
          </w:p>
        </w:tc>
        <w:tc>
          <w:tcPr>
            <w:tcW w:w="4914" w:type="dxa"/>
            <w:vAlign w:val="center"/>
          </w:tcPr>
          <w:p w14:paraId="0A5B9AE6">
            <w:pPr>
              <w:keepNext w:val="0"/>
              <w:keepLines w:val="0"/>
              <w:suppressLineNumbers w:val="0"/>
              <w:spacing w:before="0" w:beforeAutospacing="0" w:after="0" w:afterAutospacing="0"/>
              <w:ind w:left="0" w:right="0"/>
              <w:jc w:val="center"/>
              <w:rPr>
                <w:rFonts w:hint="default"/>
                <w:bCs/>
                <w:szCs w:val="21"/>
              </w:rPr>
            </w:pPr>
            <w:r>
              <w:rPr>
                <w:rFonts w:hint="eastAsia"/>
                <w:bCs/>
                <w:szCs w:val="21"/>
              </w:rPr>
              <w:t>采购项目名称</w:t>
            </w:r>
          </w:p>
        </w:tc>
        <w:tc>
          <w:tcPr>
            <w:tcW w:w="1580" w:type="dxa"/>
            <w:vAlign w:val="center"/>
          </w:tcPr>
          <w:p w14:paraId="020E8EEF">
            <w:pPr>
              <w:keepNext w:val="0"/>
              <w:keepLines w:val="0"/>
              <w:suppressLineNumbers w:val="0"/>
              <w:spacing w:before="0" w:beforeAutospacing="0" w:after="0" w:afterAutospacing="0"/>
              <w:ind w:left="0" w:right="0"/>
              <w:jc w:val="center"/>
              <w:rPr>
                <w:rFonts w:hint="default"/>
                <w:b/>
                <w:bCs/>
                <w:color w:val="FF0000"/>
                <w:szCs w:val="21"/>
              </w:rPr>
            </w:pPr>
            <w:r>
              <w:rPr>
                <w:rFonts w:hint="eastAsia"/>
                <w:b/>
                <w:bCs/>
                <w:color w:val="FF0000"/>
                <w:szCs w:val="21"/>
              </w:rPr>
              <w:t>预算金额（元）</w:t>
            </w:r>
          </w:p>
        </w:tc>
        <w:tc>
          <w:tcPr>
            <w:tcW w:w="1740" w:type="dxa"/>
            <w:vAlign w:val="center"/>
          </w:tcPr>
          <w:p w14:paraId="5F7CFEC3">
            <w:pPr>
              <w:keepNext w:val="0"/>
              <w:keepLines w:val="0"/>
              <w:suppressLineNumbers w:val="0"/>
              <w:spacing w:before="0" w:beforeAutospacing="0" w:after="0" w:afterAutospacing="0"/>
              <w:ind w:left="0" w:right="0"/>
              <w:jc w:val="center"/>
              <w:rPr>
                <w:rFonts w:hint="default"/>
                <w:b/>
                <w:bCs/>
                <w:color w:val="FF0000"/>
                <w:szCs w:val="21"/>
              </w:rPr>
            </w:pPr>
            <w:r>
              <w:rPr>
                <w:rFonts w:hint="eastAsia"/>
                <w:b/>
                <w:bCs/>
                <w:color w:val="FF0000"/>
                <w:szCs w:val="21"/>
                <w:lang w:bidi="ar"/>
              </w:rPr>
              <w:t>最高限价（元）</w:t>
            </w:r>
          </w:p>
        </w:tc>
      </w:tr>
      <w:tr w14:paraId="7D731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14" w:type="dxa"/>
            <w:vAlign w:val="center"/>
          </w:tcPr>
          <w:p w14:paraId="72F80D9E">
            <w:pPr>
              <w:keepNext w:val="0"/>
              <w:keepLines w:val="0"/>
              <w:suppressLineNumbers w:val="0"/>
              <w:spacing w:before="0" w:beforeAutospacing="0" w:after="0" w:afterAutospacing="0"/>
              <w:ind w:left="0" w:right="0"/>
              <w:jc w:val="center"/>
              <w:rPr>
                <w:rFonts w:hint="default"/>
                <w:bCs/>
                <w:szCs w:val="21"/>
              </w:rPr>
            </w:pPr>
            <w:r>
              <w:rPr>
                <w:rFonts w:hint="eastAsia"/>
                <w:bCs/>
                <w:szCs w:val="21"/>
              </w:rPr>
              <w:t>1</w:t>
            </w:r>
          </w:p>
        </w:tc>
        <w:tc>
          <w:tcPr>
            <w:tcW w:w="4914" w:type="dxa"/>
            <w:vAlign w:val="center"/>
          </w:tcPr>
          <w:p w14:paraId="5C9F6EBE">
            <w:pPr>
              <w:keepNext w:val="0"/>
              <w:keepLines w:val="0"/>
              <w:suppressLineNumbers w:val="0"/>
              <w:spacing w:before="0" w:beforeAutospacing="0" w:after="0" w:afterAutospacing="0"/>
              <w:ind w:left="0" w:right="0"/>
              <w:jc w:val="center"/>
              <w:rPr>
                <w:rFonts w:hint="default"/>
                <w:bCs/>
                <w:szCs w:val="21"/>
              </w:rPr>
            </w:pPr>
            <w:r>
              <w:rPr>
                <w:rFonts w:hint="default"/>
                <w:bCs/>
                <w:szCs w:val="21"/>
              </w:rPr>
              <w:t>深圳市第三人民医院生物安全柜采购</w:t>
            </w:r>
          </w:p>
        </w:tc>
        <w:tc>
          <w:tcPr>
            <w:tcW w:w="1580" w:type="dxa"/>
            <w:vAlign w:val="center"/>
          </w:tcPr>
          <w:p w14:paraId="470817FE">
            <w:pPr>
              <w:keepNext w:val="0"/>
              <w:keepLines w:val="0"/>
              <w:suppressLineNumbers w:val="0"/>
              <w:spacing w:before="0" w:beforeAutospacing="0" w:after="0" w:afterAutospacing="0"/>
              <w:ind w:left="0" w:right="0"/>
              <w:jc w:val="center"/>
              <w:rPr>
                <w:rFonts w:hint="default" w:eastAsia="宋体"/>
                <w:bCs/>
                <w:color w:val="FF0000"/>
                <w:szCs w:val="21"/>
                <w:lang w:val="en-US" w:eastAsia="zh-CN"/>
              </w:rPr>
            </w:pPr>
            <w:r>
              <w:rPr>
                <w:rFonts w:hint="default"/>
                <w:bCs/>
                <w:color w:val="FF0000"/>
                <w:szCs w:val="21"/>
              </w:rPr>
              <w:t>60</w:t>
            </w:r>
            <w:r>
              <w:rPr>
                <w:rFonts w:hint="eastAsia"/>
                <w:bCs/>
                <w:color w:val="FF0000"/>
                <w:szCs w:val="21"/>
                <w:lang w:val="en-US" w:eastAsia="zh-CN"/>
              </w:rPr>
              <w:t>0000</w:t>
            </w:r>
          </w:p>
        </w:tc>
        <w:tc>
          <w:tcPr>
            <w:tcW w:w="1740" w:type="dxa"/>
            <w:vAlign w:val="center"/>
          </w:tcPr>
          <w:p w14:paraId="48F93B54">
            <w:pPr>
              <w:keepNext w:val="0"/>
              <w:keepLines w:val="0"/>
              <w:suppressLineNumbers w:val="0"/>
              <w:spacing w:before="0" w:beforeAutospacing="0" w:after="0" w:afterAutospacing="0"/>
              <w:ind w:left="0" w:right="0"/>
              <w:jc w:val="center"/>
              <w:rPr>
                <w:rFonts w:hint="default"/>
                <w:bCs/>
                <w:color w:val="FF0000"/>
                <w:szCs w:val="21"/>
              </w:rPr>
            </w:pPr>
            <w:r>
              <w:rPr>
                <w:rFonts w:hint="default"/>
                <w:bCs/>
                <w:color w:val="FF0000"/>
                <w:szCs w:val="21"/>
              </w:rPr>
              <w:t>60</w:t>
            </w:r>
            <w:r>
              <w:rPr>
                <w:rFonts w:hint="eastAsia"/>
                <w:bCs/>
                <w:color w:val="FF0000"/>
                <w:szCs w:val="21"/>
                <w:lang w:val="en-US" w:eastAsia="zh-CN"/>
              </w:rPr>
              <w:t>0000</w:t>
            </w:r>
          </w:p>
        </w:tc>
      </w:tr>
    </w:tbl>
    <w:p w14:paraId="758D30BF">
      <w:pPr>
        <w:pStyle w:val="7"/>
        <w:spacing w:before="120" w:beforeLines="50" w:after="120" w:afterLines="50"/>
        <w:rPr>
          <w:rFonts w:hint="eastAsia" w:eastAsia="宋体"/>
          <w:szCs w:val="24"/>
          <w:lang w:eastAsia="zh-CN"/>
        </w:rPr>
      </w:pPr>
      <w:bookmarkStart w:id="34" w:name="_Hlk72258617"/>
      <w:r>
        <w:rPr>
          <w:rFonts w:hint="eastAsia"/>
          <w:szCs w:val="24"/>
        </w:rPr>
        <w:t>二、</w:t>
      </w:r>
      <w:r>
        <w:rPr>
          <w:rFonts w:hint="eastAsia"/>
          <w:szCs w:val="24"/>
          <w:lang w:eastAsia="zh-CN"/>
        </w:rPr>
        <w:t>货物清单明细</w:t>
      </w:r>
    </w:p>
    <w:tbl>
      <w:tblPr>
        <w:tblStyle w:val="4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
        <w:gridCol w:w="1419"/>
        <w:gridCol w:w="571"/>
        <w:gridCol w:w="684"/>
        <w:gridCol w:w="895"/>
        <w:gridCol w:w="2069"/>
        <w:gridCol w:w="1293"/>
        <w:gridCol w:w="1468"/>
      </w:tblGrid>
      <w:tr w14:paraId="2D5D4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3" w:type="pct"/>
            <w:vAlign w:val="center"/>
          </w:tcPr>
          <w:p w14:paraId="30411941">
            <w:pPr>
              <w:keepNext w:val="0"/>
              <w:keepLines w:val="0"/>
              <w:suppressLineNumbers w:val="0"/>
              <w:spacing w:before="0" w:beforeAutospacing="0" w:after="0" w:afterAutospacing="0"/>
              <w:ind w:left="0" w:right="0"/>
              <w:jc w:val="center"/>
              <w:rPr>
                <w:rFonts w:hint="default"/>
                <w:bCs/>
                <w:szCs w:val="21"/>
              </w:rPr>
            </w:pPr>
            <w:r>
              <w:rPr>
                <w:rFonts w:hint="eastAsia"/>
                <w:bCs/>
                <w:szCs w:val="21"/>
              </w:rPr>
              <w:t>序号</w:t>
            </w:r>
          </w:p>
        </w:tc>
        <w:tc>
          <w:tcPr>
            <w:tcW w:w="788" w:type="pct"/>
            <w:vAlign w:val="center"/>
          </w:tcPr>
          <w:p w14:paraId="0A573339">
            <w:pPr>
              <w:keepNext w:val="0"/>
              <w:keepLines w:val="0"/>
              <w:suppressLineNumbers w:val="0"/>
              <w:spacing w:before="0" w:beforeAutospacing="0" w:after="0" w:afterAutospacing="0"/>
              <w:ind w:left="0" w:right="0"/>
              <w:jc w:val="center"/>
              <w:rPr>
                <w:rFonts w:hint="default"/>
                <w:bCs/>
                <w:szCs w:val="21"/>
              </w:rPr>
            </w:pPr>
            <w:r>
              <w:rPr>
                <w:rFonts w:hint="eastAsia"/>
                <w:bCs/>
                <w:szCs w:val="21"/>
              </w:rPr>
              <w:t>货物名称（标的名称）</w:t>
            </w:r>
          </w:p>
        </w:tc>
        <w:tc>
          <w:tcPr>
            <w:tcW w:w="317" w:type="pct"/>
            <w:vAlign w:val="center"/>
          </w:tcPr>
          <w:p w14:paraId="771CDA6C">
            <w:pPr>
              <w:keepNext w:val="0"/>
              <w:keepLines w:val="0"/>
              <w:suppressLineNumbers w:val="0"/>
              <w:spacing w:before="0" w:beforeAutospacing="0" w:after="0" w:afterAutospacing="0"/>
              <w:ind w:left="0" w:right="0"/>
              <w:jc w:val="center"/>
              <w:rPr>
                <w:rFonts w:hint="default"/>
                <w:bCs/>
                <w:szCs w:val="21"/>
              </w:rPr>
            </w:pPr>
            <w:r>
              <w:rPr>
                <w:rFonts w:hint="eastAsia"/>
                <w:bCs/>
                <w:szCs w:val="21"/>
              </w:rPr>
              <w:t>数量</w:t>
            </w:r>
          </w:p>
        </w:tc>
        <w:tc>
          <w:tcPr>
            <w:tcW w:w="380" w:type="pct"/>
            <w:vAlign w:val="center"/>
          </w:tcPr>
          <w:p w14:paraId="080596E2">
            <w:pPr>
              <w:keepNext w:val="0"/>
              <w:keepLines w:val="0"/>
              <w:suppressLineNumbers w:val="0"/>
              <w:spacing w:before="0" w:beforeAutospacing="0" w:after="0" w:afterAutospacing="0"/>
              <w:ind w:left="0" w:right="0"/>
              <w:jc w:val="center"/>
              <w:rPr>
                <w:rFonts w:hint="default"/>
                <w:bCs/>
                <w:szCs w:val="21"/>
              </w:rPr>
            </w:pPr>
            <w:r>
              <w:rPr>
                <w:rFonts w:hint="eastAsia"/>
                <w:bCs/>
                <w:szCs w:val="21"/>
              </w:rPr>
              <w:t>单位</w:t>
            </w:r>
          </w:p>
        </w:tc>
        <w:tc>
          <w:tcPr>
            <w:tcW w:w="497" w:type="pct"/>
            <w:vAlign w:val="center"/>
          </w:tcPr>
          <w:p w14:paraId="05B974C5">
            <w:pPr>
              <w:keepNext w:val="0"/>
              <w:keepLines w:val="0"/>
              <w:suppressLineNumbers w:val="0"/>
              <w:spacing w:before="0" w:beforeAutospacing="0" w:after="0" w:afterAutospacing="0"/>
              <w:ind w:left="0" w:leftChars="0" w:right="0" w:rightChars="0"/>
              <w:jc w:val="center"/>
              <w:rPr>
                <w:rFonts w:hint="eastAsia"/>
                <w:b/>
                <w:bCs/>
                <w:color w:val="FF0000"/>
                <w:szCs w:val="21"/>
                <w:lang w:val="en-US" w:eastAsia="zh-CN"/>
              </w:rPr>
            </w:pPr>
            <w:r>
              <w:rPr>
                <w:rFonts w:hint="eastAsia"/>
                <w:b/>
                <w:bCs/>
                <w:color w:val="FF0000"/>
                <w:szCs w:val="21"/>
                <w:lang w:bidi="ar"/>
              </w:rPr>
              <w:t>最高限价（元）</w:t>
            </w:r>
          </w:p>
        </w:tc>
        <w:tc>
          <w:tcPr>
            <w:tcW w:w="1149" w:type="pct"/>
            <w:vAlign w:val="center"/>
          </w:tcPr>
          <w:p w14:paraId="2191B52E">
            <w:pPr>
              <w:keepNext w:val="0"/>
              <w:keepLines w:val="0"/>
              <w:suppressLineNumbers w:val="0"/>
              <w:spacing w:before="0" w:beforeAutospacing="0" w:after="0" w:afterAutospacing="0"/>
              <w:ind w:left="0" w:leftChars="0" w:right="0" w:rightChars="0"/>
              <w:jc w:val="center"/>
              <w:rPr>
                <w:rFonts w:hint="eastAsia"/>
                <w:bCs/>
                <w:szCs w:val="21"/>
              </w:rPr>
            </w:pPr>
            <w:r>
              <w:rPr>
                <w:rFonts w:hint="eastAsia"/>
                <w:b/>
                <w:bCs/>
                <w:color w:val="FF0000"/>
                <w:szCs w:val="21"/>
                <w:lang w:val="en-US" w:eastAsia="zh-CN"/>
              </w:rPr>
              <w:t>是否专门面向中小企业</w:t>
            </w:r>
          </w:p>
        </w:tc>
        <w:tc>
          <w:tcPr>
            <w:tcW w:w="718" w:type="pct"/>
            <w:vAlign w:val="center"/>
          </w:tcPr>
          <w:p w14:paraId="36DF2F3D">
            <w:pPr>
              <w:keepNext w:val="0"/>
              <w:keepLines w:val="0"/>
              <w:suppressLineNumbers w:val="0"/>
              <w:spacing w:before="0" w:beforeAutospacing="0" w:after="0" w:afterAutospacing="0"/>
              <w:ind w:left="0" w:right="0"/>
              <w:jc w:val="center"/>
              <w:rPr>
                <w:rFonts w:hint="default" w:eastAsia="宋体"/>
                <w:b/>
                <w:bCs/>
                <w:color w:val="FF0000"/>
                <w:szCs w:val="21"/>
                <w:lang w:val="en-US" w:eastAsia="zh-CN"/>
              </w:rPr>
            </w:pPr>
            <w:r>
              <w:rPr>
                <w:rFonts w:hint="eastAsia"/>
                <w:b/>
                <w:bCs/>
                <w:color w:val="FF0000"/>
                <w:szCs w:val="21"/>
                <w:lang w:val="en-US" w:eastAsia="zh-CN"/>
              </w:rPr>
              <w:t>是否接受进口</w:t>
            </w:r>
          </w:p>
        </w:tc>
        <w:tc>
          <w:tcPr>
            <w:tcW w:w="815" w:type="pct"/>
            <w:vAlign w:val="center"/>
          </w:tcPr>
          <w:p w14:paraId="7B6273C0">
            <w:pPr>
              <w:keepNext w:val="0"/>
              <w:keepLines w:val="0"/>
              <w:suppressLineNumbers w:val="0"/>
              <w:spacing w:before="0" w:beforeAutospacing="0" w:after="0" w:afterAutospacing="0"/>
              <w:ind w:left="0" w:right="0"/>
              <w:jc w:val="center"/>
              <w:rPr>
                <w:rFonts w:hint="default"/>
                <w:b/>
                <w:bCs/>
                <w:color w:val="FF0000"/>
                <w:szCs w:val="21"/>
                <w:lang w:val="en-US" w:eastAsia="zh-CN"/>
              </w:rPr>
            </w:pPr>
            <w:r>
              <w:rPr>
                <w:rFonts w:hint="eastAsia"/>
                <w:b/>
                <w:bCs/>
                <w:color w:val="FF0000"/>
                <w:szCs w:val="21"/>
                <w:lang w:val="en-US" w:eastAsia="zh-CN"/>
              </w:rPr>
              <w:t>标的所属行业</w:t>
            </w:r>
          </w:p>
        </w:tc>
      </w:tr>
      <w:tr w14:paraId="0120F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3" w:type="pct"/>
            <w:vAlign w:val="center"/>
          </w:tcPr>
          <w:p w14:paraId="4823249A">
            <w:pPr>
              <w:keepNext w:val="0"/>
              <w:keepLines w:val="0"/>
              <w:suppressLineNumbers w:val="0"/>
              <w:spacing w:before="0" w:beforeAutospacing="0" w:after="0" w:afterAutospacing="0"/>
              <w:ind w:left="0" w:right="0"/>
              <w:jc w:val="center"/>
              <w:rPr>
                <w:rFonts w:hint="default" w:ascii="Times New Roman" w:hAnsi="Times New Roman" w:eastAsia="宋体" w:cs="Times New Roman"/>
                <w:bCs/>
                <w:szCs w:val="21"/>
              </w:rPr>
            </w:pPr>
            <w:r>
              <w:rPr>
                <w:rFonts w:hint="eastAsia" w:ascii="Times New Roman" w:hAnsi="Times New Roman" w:eastAsia="宋体" w:cs="Times New Roman"/>
                <w:bCs/>
                <w:szCs w:val="21"/>
              </w:rPr>
              <w:t>1</w:t>
            </w:r>
          </w:p>
        </w:tc>
        <w:tc>
          <w:tcPr>
            <w:tcW w:w="788" w:type="pct"/>
            <w:vAlign w:val="center"/>
          </w:tcPr>
          <w:p w14:paraId="6659EC73">
            <w:pPr>
              <w:keepNext w:val="0"/>
              <w:keepLines w:val="0"/>
              <w:suppressLineNumbers w:val="0"/>
              <w:spacing w:before="0" w:beforeAutospacing="0" w:after="0" w:afterAutospacing="0"/>
              <w:ind w:left="0" w:right="0"/>
              <w:jc w:val="center"/>
              <w:rPr>
                <w:rFonts w:hint="default" w:ascii="Times New Roman" w:hAnsi="Times New Roman" w:eastAsia="宋体" w:cs="Times New Roman"/>
                <w:bCs/>
                <w:szCs w:val="21"/>
              </w:rPr>
            </w:pPr>
            <w:r>
              <w:rPr>
                <w:rFonts w:hint="eastAsia" w:ascii="Times New Roman" w:hAnsi="Times New Roman" w:eastAsia="宋体" w:cs="Times New Roman"/>
                <w:bCs/>
                <w:szCs w:val="21"/>
              </w:rPr>
              <w:t>生物安全柜（A2单人）</w:t>
            </w:r>
          </w:p>
        </w:tc>
        <w:tc>
          <w:tcPr>
            <w:tcW w:w="317" w:type="pct"/>
            <w:vAlign w:val="center"/>
          </w:tcPr>
          <w:p w14:paraId="1E32A25C">
            <w:pPr>
              <w:keepNext w:val="0"/>
              <w:keepLines w:val="0"/>
              <w:suppressLineNumbers w:val="0"/>
              <w:spacing w:before="0" w:beforeAutospacing="0" w:after="0" w:afterAutospacing="0"/>
              <w:ind w:left="0" w:right="0"/>
              <w:jc w:val="center"/>
              <w:rPr>
                <w:rFonts w:hint="default" w:ascii="Times New Roman" w:hAnsi="Times New Roman" w:eastAsia="宋体" w:cs="Times New Roman"/>
                <w:bCs/>
                <w:szCs w:val="21"/>
              </w:rPr>
            </w:pPr>
            <w:r>
              <w:rPr>
                <w:rFonts w:hint="eastAsia" w:ascii="Times New Roman" w:hAnsi="Times New Roman" w:eastAsia="宋体" w:cs="Times New Roman"/>
                <w:bCs/>
                <w:szCs w:val="21"/>
                <w:lang w:val="en-US" w:eastAsia="zh-CN"/>
              </w:rPr>
              <w:t>6</w:t>
            </w:r>
          </w:p>
        </w:tc>
        <w:tc>
          <w:tcPr>
            <w:tcW w:w="380" w:type="pct"/>
            <w:vAlign w:val="center"/>
          </w:tcPr>
          <w:p w14:paraId="617F9D19">
            <w:pPr>
              <w:keepNext w:val="0"/>
              <w:keepLines w:val="0"/>
              <w:suppressLineNumbers w:val="0"/>
              <w:spacing w:before="0" w:beforeAutospacing="0" w:after="0" w:afterAutospacing="0"/>
              <w:ind w:left="0" w:right="0"/>
              <w:jc w:val="center"/>
              <w:rPr>
                <w:rFonts w:hint="default" w:ascii="Times New Roman" w:hAnsi="Times New Roman" w:eastAsia="宋体" w:cs="Times New Roman"/>
                <w:bCs/>
                <w:szCs w:val="21"/>
              </w:rPr>
            </w:pPr>
            <w:r>
              <w:rPr>
                <w:rFonts w:hint="eastAsia" w:ascii="Times New Roman" w:hAnsi="Times New Roman" w:eastAsia="宋体" w:cs="Times New Roman"/>
                <w:bCs/>
                <w:szCs w:val="21"/>
                <w:lang w:eastAsia="zh-CN"/>
              </w:rPr>
              <w:t>台</w:t>
            </w:r>
          </w:p>
        </w:tc>
        <w:tc>
          <w:tcPr>
            <w:tcW w:w="497" w:type="pct"/>
            <w:vAlign w:val="center"/>
          </w:tcPr>
          <w:p w14:paraId="109F06AE">
            <w:pPr>
              <w:keepNext w:val="0"/>
              <w:keepLines w:val="0"/>
              <w:suppressLineNumbers w:val="0"/>
              <w:spacing w:before="0" w:beforeAutospacing="0" w:after="0" w:afterAutospacing="0"/>
              <w:ind w:left="0" w:right="0"/>
              <w:jc w:val="center"/>
              <w:rPr>
                <w:rFonts w:hint="default"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240000</w:t>
            </w:r>
          </w:p>
        </w:tc>
        <w:tc>
          <w:tcPr>
            <w:tcW w:w="1149" w:type="pct"/>
            <w:vAlign w:val="center"/>
          </w:tcPr>
          <w:p w14:paraId="0E547461">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bCs/>
                <w:szCs w:val="21"/>
                <w:lang w:eastAsia="zh-CN"/>
              </w:rPr>
            </w:pPr>
            <w:r>
              <w:rPr>
                <w:rFonts w:hint="eastAsia"/>
                <w:bCs/>
                <w:szCs w:val="21"/>
                <w:lang w:val="en-US" w:eastAsia="zh-CN"/>
              </w:rPr>
              <w:t>否</w:t>
            </w:r>
          </w:p>
        </w:tc>
        <w:tc>
          <w:tcPr>
            <w:tcW w:w="718" w:type="pct"/>
            <w:vAlign w:val="center"/>
          </w:tcPr>
          <w:p w14:paraId="61E44712">
            <w:pPr>
              <w:keepNext w:val="0"/>
              <w:keepLines w:val="0"/>
              <w:suppressLineNumbers w:val="0"/>
              <w:spacing w:before="0" w:beforeAutospacing="0" w:after="0" w:afterAutospacing="0"/>
              <w:ind w:left="0" w:right="0"/>
              <w:jc w:val="center"/>
              <w:rPr>
                <w:rFonts w:hint="default"/>
                <w:b/>
                <w:bCs/>
                <w:color w:val="FF0000"/>
                <w:szCs w:val="21"/>
              </w:rPr>
            </w:pPr>
            <w:r>
              <w:rPr>
                <w:rFonts w:hint="eastAsia"/>
                <w:b/>
                <w:bCs/>
                <w:color w:val="FF0000"/>
                <w:szCs w:val="21"/>
                <w:lang w:val="en-US" w:eastAsia="zh-CN"/>
              </w:rPr>
              <w:t>拒绝</w:t>
            </w:r>
            <w:r>
              <w:rPr>
                <w:rFonts w:hint="eastAsia"/>
                <w:b/>
                <w:bCs/>
                <w:color w:val="FF0000"/>
                <w:szCs w:val="21"/>
              </w:rPr>
              <w:t>进口</w:t>
            </w:r>
          </w:p>
        </w:tc>
        <w:tc>
          <w:tcPr>
            <w:tcW w:w="815" w:type="pct"/>
            <w:vAlign w:val="center"/>
          </w:tcPr>
          <w:p w14:paraId="5DB6A2EF">
            <w:pPr>
              <w:keepNext w:val="0"/>
              <w:keepLines w:val="0"/>
              <w:suppressLineNumbers w:val="0"/>
              <w:spacing w:before="0" w:beforeAutospacing="0" w:after="0" w:afterAutospacing="0"/>
              <w:ind w:left="0" w:right="0"/>
              <w:jc w:val="center"/>
              <w:rPr>
                <w:rFonts w:hint="eastAsia" w:eastAsia="宋体"/>
                <w:b/>
                <w:bCs/>
                <w:color w:val="FF0000"/>
                <w:szCs w:val="21"/>
                <w:lang w:val="en-US" w:eastAsia="zh-CN"/>
              </w:rPr>
            </w:pPr>
            <w:r>
              <w:rPr>
                <w:rFonts w:hint="eastAsia"/>
                <w:b/>
                <w:bCs/>
                <w:color w:val="FF0000"/>
                <w:szCs w:val="21"/>
                <w:lang w:val="en-US" w:eastAsia="zh-CN"/>
              </w:rPr>
              <w:t>工业</w:t>
            </w:r>
          </w:p>
        </w:tc>
      </w:tr>
      <w:tr w14:paraId="3FF90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3" w:type="pct"/>
            <w:vAlign w:val="center"/>
          </w:tcPr>
          <w:p w14:paraId="019F508C">
            <w:pPr>
              <w:keepNext w:val="0"/>
              <w:keepLines w:val="0"/>
              <w:suppressLineNumbers w:val="0"/>
              <w:spacing w:before="0" w:beforeAutospacing="0" w:after="0" w:afterAutospacing="0"/>
              <w:ind w:left="0" w:right="0"/>
              <w:jc w:val="center"/>
              <w:rPr>
                <w:rFonts w:hint="default" w:ascii="Times New Roman" w:hAnsi="Times New Roman" w:eastAsia="宋体" w:cs="Times New Roman"/>
                <w:bCs/>
                <w:szCs w:val="21"/>
              </w:rPr>
            </w:pPr>
            <w:r>
              <w:rPr>
                <w:rFonts w:hint="eastAsia" w:ascii="Times New Roman" w:hAnsi="Times New Roman" w:eastAsia="宋体" w:cs="Times New Roman"/>
                <w:bCs/>
                <w:szCs w:val="21"/>
              </w:rPr>
              <w:t>2</w:t>
            </w:r>
          </w:p>
        </w:tc>
        <w:tc>
          <w:tcPr>
            <w:tcW w:w="788" w:type="pct"/>
            <w:vAlign w:val="center"/>
          </w:tcPr>
          <w:p w14:paraId="15641BD4">
            <w:pPr>
              <w:keepNext w:val="0"/>
              <w:keepLines w:val="0"/>
              <w:suppressLineNumbers w:val="0"/>
              <w:spacing w:before="0" w:beforeAutospacing="0" w:after="0" w:afterAutospacing="0"/>
              <w:ind w:left="0" w:right="0"/>
              <w:jc w:val="center"/>
              <w:rPr>
                <w:rFonts w:hint="default" w:ascii="Times New Roman" w:hAnsi="Times New Roman" w:eastAsia="宋体" w:cs="Times New Roman"/>
                <w:bCs/>
                <w:szCs w:val="21"/>
              </w:rPr>
            </w:pPr>
            <w:r>
              <w:rPr>
                <w:rFonts w:hint="eastAsia" w:ascii="Times New Roman" w:hAnsi="Times New Roman" w:eastAsia="宋体" w:cs="Times New Roman"/>
                <w:bCs/>
                <w:szCs w:val="21"/>
              </w:rPr>
              <w:t>生物安全柜（A2双人）</w:t>
            </w:r>
          </w:p>
        </w:tc>
        <w:tc>
          <w:tcPr>
            <w:tcW w:w="317" w:type="pct"/>
            <w:vAlign w:val="center"/>
          </w:tcPr>
          <w:p w14:paraId="4DC62C0B">
            <w:pPr>
              <w:keepNext w:val="0"/>
              <w:keepLines w:val="0"/>
              <w:suppressLineNumbers w:val="0"/>
              <w:spacing w:before="0" w:beforeAutospacing="0" w:after="0" w:afterAutospacing="0"/>
              <w:ind w:left="0" w:right="0"/>
              <w:jc w:val="center"/>
              <w:rPr>
                <w:rFonts w:hint="default" w:ascii="Times New Roman" w:hAnsi="Times New Roman" w:eastAsia="宋体" w:cs="Times New Roman"/>
                <w:bCs/>
                <w:szCs w:val="21"/>
              </w:rPr>
            </w:pPr>
            <w:r>
              <w:rPr>
                <w:rFonts w:hint="eastAsia" w:ascii="Times New Roman" w:hAnsi="Times New Roman" w:eastAsia="宋体" w:cs="Times New Roman"/>
                <w:bCs/>
                <w:szCs w:val="21"/>
                <w:lang w:val="en-US" w:eastAsia="zh-CN"/>
              </w:rPr>
              <w:t>6</w:t>
            </w:r>
          </w:p>
        </w:tc>
        <w:tc>
          <w:tcPr>
            <w:tcW w:w="380" w:type="pct"/>
            <w:vAlign w:val="center"/>
          </w:tcPr>
          <w:p w14:paraId="69EF17DD">
            <w:pPr>
              <w:keepNext w:val="0"/>
              <w:keepLines w:val="0"/>
              <w:suppressLineNumbers w:val="0"/>
              <w:spacing w:before="0" w:beforeAutospacing="0" w:after="0" w:afterAutospacing="0"/>
              <w:ind w:left="0" w:right="0"/>
              <w:jc w:val="center"/>
              <w:rPr>
                <w:rFonts w:hint="default" w:ascii="Times New Roman" w:hAnsi="Times New Roman" w:eastAsia="宋体" w:cs="Times New Roman"/>
                <w:bCs/>
                <w:szCs w:val="21"/>
              </w:rPr>
            </w:pPr>
            <w:r>
              <w:rPr>
                <w:rFonts w:hint="eastAsia" w:ascii="Times New Roman" w:hAnsi="Times New Roman" w:eastAsia="宋体" w:cs="Times New Roman"/>
                <w:bCs/>
                <w:szCs w:val="21"/>
                <w:lang w:eastAsia="zh-CN"/>
              </w:rPr>
              <w:t>台</w:t>
            </w:r>
          </w:p>
        </w:tc>
        <w:tc>
          <w:tcPr>
            <w:tcW w:w="497" w:type="pct"/>
            <w:vAlign w:val="center"/>
          </w:tcPr>
          <w:p w14:paraId="5EC6C55C">
            <w:pPr>
              <w:keepNext w:val="0"/>
              <w:keepLines w:val="0"/>
              <w:suppressLineNumbers w:val="0"/>
              <w:spacing w:before="0" w:beforeAutospacing="0" w:after="0" w:afterAutospacing="0"/>
              <w:ind w:left="0" w:right="0"/>
              <w:jc w:val="center"/>
              <w:rPr>
                <w:rFonts w:hint="default"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360000</w:t>
            </w:r>
          </w:p>
        </w:tc>
        <w:tc>
          <w:tcPr>
            <w:tcW w:w="1149" w:type="pct"/>
            <w:vAlign w:val="center"/>
          </w:tcPr>
          <w:p w14:paraId="50D608C3">
            <w:pPr>
              <w:keepNext w:val="0"/>
              <w:keepLines w:val="0"/>
              <w:suppressLineNumbers w:val="0"/>
              <w:spacing w:before="0" w:beforeAutospacing="0" w:after="0" w:afterAutospacing="0"/>
              <w:ind w:left="0" w:right="0"/>
              <w:jc w:val="center"/>
              <w:rPr>
                <w:rFonts w:hint="eastAsia" w:ascii="Times New Roman" w:hAnsi="Times New Roman" w:eastAsia="宋体" w:cs="Times New Roman"/>
                <w:bCs/>
                <w:szCs w:val="21"/>
                <w:lang w:eastAsia="zh-CN"/>
              </w:rPr>
            </w:pPr>
            <w:r>
              <w:rPr>
                <w:rFonts w:hint="eastAsia"/>
                <w:bCs/>
                <w:szCs w:val="21"/>
                <w:lang w:val="en-US" w:eastAsia="zh-CN"/>
              </w:rPr>
              <w:t>否</w:t>
            </w:r>
          </w:p>
        </w:tc>
        <w:tc>
          <w:tcPr>
            <w:tcW w:w="718" w:type="pct"/>
            <w:vAlign w:val="center"/>
          </w:tcPr>
          <w:p w14:paraId="7CACB4DC">
            <w:pPr>
              <w:keepNext w:val="0"/>
              <w:keepLines w:val="0"/>
              <w:suppressLineNumbers w:val="0"/>
              <w:spacing w:before="0" w:beforeAutospacing="0" w:after="0" w:afterAutospacing="0"/>
              <w:ind w:left="0" w:right="0"/>
              <w:jc w:val="center"/>
              <w:rPr>
                <w:rFonts w:hint="default"/>
                <w:b/>
                <w:bCs/>
                <w:color w:val="FF0000"/>
                <w:szCs w:val="21"/>
              </w:rPr>
            </w:pPr>
            <w:r>
              <w:rPr>
                <w:rFonts w:hint="eastAsia"/>
                <w:b/>
                <w:bCs/>
                <w:color w:val="FF0000"/>
                <w:szCs w:val="21"/>
                <w:lang w:val="en-US" w:eastAsia="zh-CN"/>
              </w:rPr>
              <w:t>拒绝</w:t>
            </w:r>
            <w:r>
              <w:rPr>
                <w:rFonts w:hint="eastAsia"/>
                <w:b/>
                <w:bCs/>
                <w:color w:val="FF0000"/>
                <w:szCs w:val="21"/>
              </w:rPr>
              <w:t>进口</w:t>
            </w:r>
          </w:p>
        </w:tc>
        <w:tc>
          <w:tcPr>
            <w:tcW w:w="815" w:type="pct"/>
            <w:vAlign w:val="center"/>
          </w:tcPr>
          <w:p w14:paraId="4403B52E">
            <w:pPr>
              <w:keepNext w:val="0"/>
              <w:keepLines w:val="0"/>
              <w:suppressLineNumbers w:val="0"/>
              <w:spacing w:before="0" w:beforeAutospacing="0" w:after="0" w:afterAutospacing="0"/>
              <w:ind w:left="0" w:right="0"/>
              <w:jc w:val="center"/>
              <w:rPr>
                <w:rFonts w:hint="eastAsia"/>
                <w:b/>
                <w:bCs/>
                <w:color w:val="FF0000"/>
                <w:szCs w:val="21"/>
              </w:rPr>
            </w:pPr>
            <w:r>
              <w:rPr>
                <w:rFonts w:hint="eastAsia"/>
                <w:b/>
                <w:bCs/>
                <w:color w:val="FF0000"/>
                <w:szCs w:val="21"/>
                <w:lang w:val="en-US" w:eastAsia="zh-CN"/>
              </w:rPr>
              <w:t>工业</w:t>
            </w:r>
          </w:p>
        </w:tc>
      </w:tr>
    </w:tbl>
    <w:p w14:paraId="278CE215">
      <w:pPr>
        <w:rPr>
          <w:rFonts w:ascii="宋体" w:hAnsi="宋体"/>
          <w:b/>
          <w:color w:val="FF0000"/>
          <w:szCs w:val="21"/>
        </w:rPr>
      </w:pPr>
      <w:r>
        <w:rPr>
          <w:rFonts w:hint="eastAsia" w:ascii="宋体" w:hAnsi="宋体"/>
          <w:b/>
          <w:color w:val="FF0000"/>
          <w:szCs w:val="21"/>
        </w:rPr>
        <w:t>备注：1</w:t>
      </w:r>
      <w:r>
        <w:rPr>
          <w:rFonts w:hint="eastAsia" w:ascii="宋体" w:hAnsi="宋体"/>
          <w:b/>
          <w:color w:val="FF0000"/>
          <w:szCs w:val="21"/>
          <w:lang w:eastAsia="zh-CN"/>
        </w:rPr>
        <w:t>、“是否接受进口”</w:t>
      </w:r>
      <w:r>
        <w:rPr>
          <w:rFonts w:hint="eastAsia" w:ascii="宋体" w:hAnsi="宋体"/>
          <w:b/>
          <w:color w:val="FF0000"/>
          <w:szCs w:val="21"/>
        </w:rPr>
        <w:t>栏注明“拒绝进口”的产品不接受投标人选用进口产品参与投标；注明“接受进口”的产品允许投标人选用进口产品参与投标，但不排斥国内产品。</w:t>
      </w:r>
    </w:p>
    <w:p w14:paraId="63367F03">
      <w:pPr>
        <w:ind w:firstLine="422" w:firstLineChars="200"/>
        <w:rPr>
          <w:rFonts w:ascii="宋体" w:hAnsi="宋体"/>
          <w:b/>
          <w:color w:val="FF0000"/>
          <w:szCs w:val="21"/>
        </w:rPr>
      </w:pPr>
      <w:r>
        <w:rPr>
          <w:rFonts w:hint="eastAsia" w:ascii="宋体" w:hAnsi="宋体"/>
          <w:b/>
          <w:color w:val="FF0000"/>
          <w:szCs w:val="21"/>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14:paraId="5822440A">
      <w:pPr>
        <w:ind w:firstLine="422" w:firstLineChars="200"/>
      </w:pPr>
      <w:r>
        <w:rPr>
          <w:rFonts w:hint="eastAsia" w:ascii="宋体" w:hAnsi="宋体"/>
          <w:b/>
          <w:color w:val="FF0000"/>
          <w:szCs w:val="21"/>
        </w:rPr>
        <w:t>3、本项目核心产品为：</w:t>
      </w:r>
      <w:r>
        <w:rPr>
          <w:rFonts w:hint="eastAsia" w:ascii="宋体" w:hAnsi="宋体"/>
          <w:b/>
          <w:color w:val="FF0000"/>
          <w:szCs w:val="21"/>
          <w:u w:val="single"/>
        </w:rPr>
        <w:t xml:space="preserve">  生物安全柜（A2双人）</w:t>
      </w:r>
      <w:bookmarkStart w:id="103" w:name="_GoBack"/>
      <w:bookmarkEnd w:id="103"/>
      <w:r>
        <w:rPr>
          <w:rFonts w:hint="eastAsia"/>
          <w:bCs/>
          <w:color w:val="FF0000"/>
          <w:szCs w:val="21"/>
          <w:highlight w:val="yellow"/>
          <w:u w:val="single"/>
        </w:rPr>
        <w:t>（序号</w:t>
      </w:r>
      <w:r>
        <w:rPr>
          <w:rFonts w:hint="eastAsia"/>
          <w:bCs/>
          <w:color w:val="FF0000"/>
          <w:szCs w:val="21"/>
          <w:highlight w:val="yellow"/>
          <w:u w:val="single"/>
          <w:lang w:val="en-US" w:eastAsia="zh-CN"/>
        </w:rPr>
        <w:t>2</w:t>
      </w:r>
      <w:r>
        <w:rPr>
          <w:rFonts w:hint="eastAsia"/>
          <w:bCs/>
          <w:color w:val="FF0000"/>
          <w:szCs w:val="21"/>
          <w:highlight w:val="yellow"/>
          <w:u w:val="single"/>
        </w:rPr>
        <w:t>）</w:t>
      </w:r>
      <w:r>
        <w:rPr>
          <w:rFonts w:hint="eastAsia" w:ascii="宋体" w:hAnsi="宋体"/>
          <w:b/>
          <w:color w:val="FF0000"/>
          <w:szCs w:val="21"/>
        </w:rPr>
        <w:t>。</w:t>
      </w:r>
      <w:bookmarkEnd w:id="34"/>
    </w:p>
    <w:p w14:paraId="58FFE2FE">
      <w:pPr>
        <w:pStyle w:val="7"/>
        <w:spacing w:before="156" w:beforeLines="50" w:after="156" w:afterLines="50"/>
        <w:rPr>
          <w:szCs w:val="24"/>
        </w:rPr>
      </w:pPr>
      <w:r>
        <w:rPr>
          <w:rFonts w:hint="eastAsia"/>
          <w:szCs w:val="24"/>
          <w:lang w:val="en-US" w:eastAsia="zh-CN"/>
        </w:rPr>
        <w:t>三</w:t>
      </w:r>
      <w:r>
        <w:rPr>
          <w:rFonts w:hint="eastAsia"/>
          <w:szCs w:val="24"/>
        </w:rPr>
        <w:t>、实质性条款</w:t>
      </w:r>
    </w:p>
    <w:tbl>
      <w:tblPr>
        <w:tblStyle w:val="43"/>
        <w:tblW w:w="8888"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8074"/>
      </w:tblGrid>
      <w:tr w14:paraId="24BF3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1E4D84F2">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kern w:val="0"/>
                <w:szCs w:val="21"/>
              </w:rPr>
            </w:pPr>
            <w:r>
              <w:rPr>
                <w:rFonts w:hint="eastAsia" w:ascii="宋体" w:hAnsi="宋体"/>
                <w:kern w:val="0"/>
                <w:szCs w:val="21"/>
              </w:rPr>
              <w:t>序号</w:t>
            </w:r>
          </w:p>
        </w:tc>
        <w:tc>
          <w:tcPr>
            <w:tcW w:w="8074" w:type="dxa"/>
            <w:vAlign w:val="center"/>
          </w:tcPr>
          <w:p w14:paraId="7B26E745">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kern w:val="0"/>
                <w:szCs w:val="21"/>
              </w:rPr>
            </w:pPr>
            <w:r>
              <w:rPr>
                <w:rFonts w:hint="eastAsia" w:ascii="宋体" w:hAnsi="宋体"/>
                <w:szCs w:val="21"/>
                <w:lang w:bidi="ar"/>
              </w:rPr>
              <w:t>实质性条款具体内容</w:t>
            </w:r>
          </w:p>
        </w:tc>
      </w:tr>
      <w:tr w14:paraId="2567E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2B1583FE">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kern w:val="0"/>
                <w:szCs w:val="21"/>
              </w:rPr>
            </w:pPr>
            <w:r>
              <w:rPr>
                <w:rFonts w:hint="eastAsia" w:ascii="宋体" w:hAnsi="宋体"/>
                <w:kern w:val="0"/>
                <w:szCs w:val="21"/>
              </w:rPr>
              <w:t>1</w:t>
            </w:r>
          </w:p>
        </w:tc>
        <w:tc>
          <w:tcPr>
            <w:tcW w:w="8074" w:type="dxa"/>
          </w:tcPr>
          <w:p w14:paraId="157CDA47">
            <w:pPr>
              <w:keepNext w:val="0"/>
              <w:keepLines w:val="0"/>
              <w:suppressLineNumbers w:val="0"/>
              <w:spacing w:before="0" w:beforeAutospacing="0" w:after="0" w:afterAutospacing="0"/>
              <w:ind w:left="0" w:right="0"/>
              <w:rPr>
                <w:rFonts w:hint="default" w:hAnsi="宋体" w:eastAsiaTheme="minorEastAsia"/>
                <w:kern w:val="0"/>
                <w:szCs w:val="21"/>
              </w:rPr>
            </w:pPr>
            <w:r>
              <w:rPr>
                <w:rFonts w:hint="eastAsia" w:hAnsi="宋体"/>
                <w:kern w:val="0"/>
                <w:szCs w:val="21"/>
              </w:rPr>
              <w:t>满足本项目标★的条款要求。</w:t>
            </w:r>
          </w:p>
        </w:tc>
      </w:tr>
      <w:tr w14:paraId="2800A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7A0FA20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kern w:val="0"/>
                <w:szCs w:val="21"/>
                <w:lang w:val="en-US" w:eastAsia="zh-CN"/>
              </w:rPr>
            </w:pPr>
            <w:r>
              <w:rPr>
                <w:rFonts w:hint="eastAsia" w:ascii="宋体" w:hAnsi="宋体"/>
                <w:kern w:val="0"/>
                <w:szCs w:val="21"/>
                <w:lang w:val="en-US" w:eastAsia="zh-CN"/>
              </w:rPr>
              <w:t>2</w:t>
            </w:r>
          </w:p>
        </w:tc>
        <w:tc>
          <w:tcPr>
            <w:tcW w:w="8074" w:type="dxa"/>
          </w:tcPr>
          <w:p w14:paraId="51B78510">
            <w:pPr>
              <w:keepNext w:val="0"/>
              <w:keepLines w:val="0"/>
              <w:suppressLineNumbers w:val="0"/>
              <w:spacing w:before="0" w:beforeAutospacing="0" w:after="0" w:afterAutospacing="0"/>
              <w:ind w:left="0" w:right="0"/>
              <w:rPr>
                <w:rFonts w:hint="eastAsia" w:hAnsi="宋体" w:eastAsiaTheme="minorEastAsia"/>
                <w:b/>
                <w:bCs/>
                <w:color w:val="FF0000"/>
                <w:kern w:val="0"/>
                <w:szCs w:val="21"/>
              </w:rPr>
            </w:pPr>
            <w:r>
              <w:rPr>
                <w:rFonts w:hint="eastAsia" w:hAnsi="宋体" w:eastAsiaTheme="minorEastAsia"/>
                <w:b/>
                <w:bCs/>
                <w:color w:val="FF0000"/>
                <w:kern w:val="0"/>
                <w:szCs w:val="21"/>
              </w:rPr>
              <w:t>★投标时提供法定代表人、主要经营负责人、项目投标授权代表人、项目负责人、主要技术人员近三个月（含开标当月）中的任意一个月的社会保险证明。其中项目负责人和主要技术人员的社会保险须由投标人缴纳。若因为社保部门原因无法提供的，需提供劳动合同及社保部门官方通知证明（或官网公告截图）。</w:t>
            </w:r>
          </w:p>
          <w:p w14:paraId="19ECD787">
            <w:pPr>
              <w:keepNext w:val="0"/>
              <w:keepLines w:val="0"/>
              <w:suppressLineNumbers w:val="0"/>
              <w:spacing w:before="0" w:beforeAutospacing="0" w:after="0" w:afterAutospacing="0"/>
              <w:ind w:left="0" w:right="0"/>
              <w:rPr>
                <w:rFonts w:hint="eastAsia" w:hAnsi="宋体" w:eastAsiaTheme="minorEastAsia"/>
                <w:b/>
                <w:bCs/>
                <w:color w:val="FF0000"/>
                <w:kern w:val="0"/>
                <w:szCs w:val="21"/>
              </w:rPr>
            </w:pPr>
            <w:r>
              <w:rPr>
                <w:rFonts w:hint="eastAsia" w:hAnsi="宋体" w:eastAsiaTheme="minorEastAsia"/>
                <w:b/>
                <w:bCs/>
                <w:color w:val="FF0000"/>
                <w:kern w:val="0"/>
                <w:szCs w:val="21"/>
              </w:rPr>
              <w:t>以下特殊情形无需提供社会保险证明亦视为符合要求，具体为：①投标人为新成立企业且成立时间不足一个月的（需提供劳动合同）；②相关人员为退休人员（需提供退休证明及劳动合同）；③依法不需要缴纳社会保险的（需提供不需要缴纳社会保险的法定证明文件及劳动合同）。</w:t>
            </w:r>
          </w:p>
          <w:p w14:paraId="4D3A2F5D">
            <w:pPr>
              <w:keepNext w:val="0"/>
              <w:keepLines w:val="0"/>
              <w:suppressLineNumbers w:val="0"/>
              <w:spacing w:before="0" w:beforeAutospacing="0" w:after="0" w:afterAutospacing="0"/>
              <w:ind w:left="0" w:right="0"/>
              <w:rPr>
                <w:rFonts w:hint="eastAsia" w:hAnsi="宋体" w:eastAsiaTheme="minorEastAsia"/>
                <w:b/>
                <w:bCs/>
                <w:color w:val="FF0000"/>
                <w:kern w:val="0"/>
                <w:szCs w:val="21"/>
              </w:rPr>
            </w:pPr>
            <w:r>
              <w:rPr>
                <w:rFonts w:hint="eastAsia" w:hAnsi="宋体" w:eastAsiaTheme="minorEastAsia"/>
                <w:b/>
                <w:bCs/>
                <w:color w:val="FF0000"/>
                <w:kern w:val="0"/>
                <w:szCs w:val="21"/>
              </w:rPr>
              <w:t>如本项目采购需求（包括“用户需求书”及“评标信息”）未涉及项目负责人、主要技术人员的，无需提供项目负责人、主要技术人员的上述证明材料。</w:t>
            </w:r>
          </w:p>
          <w:p w14:paraId="2B504D11">
            <w:pPr>
              <w:keepNext w:val="0"/>
              <w:keepLines w:val="0"/>
              <w:suppressLineNumbers w:val="0"/>
              <w:spacing w:before="0" w:beforeAutospacing="0" w:after="0" w:afterAutospacing="0"/>
              <w:ind w:left="0" w:right="0"/>
              <w:rPr>
                <w:rFonts w:hint="eastAsia" w:hAnsi="宋体"/>
                <w:kern w:val="0"/>
                <w:szCs w:val="21"/>
              </w:rPr>
            </w:pPr>
            <w:r>
              <w:rPr>
                <w:rFonts w:hint="eastAsia" w:hAnsi="宋体" w:eastAsiaTheme="minorEastAsia"/>
                <w:b/>
                <w:bCs/>
                <w:color w:val="FF0000"/>
                <w:kern w:val="0"/>
                <w:szCs w:val="21"/>
              </w:rPr>
              <w:t>不同投标供应商的法定代表人、主要经营负责人、项目投标授权代表人、项目负责人、主要技术人员为同一人、属同一单位或者在同一单位缴纳社会保险的按投标无效处理，且相关情况将被上报财政主管部门依法处理。</w:t>
            </w:r>
          </w:p>
        </w:tc>
      </w:tr>
      <w:bookmarkEnd w:id="33"/>
    </w:tbl>
    <w:p w14:paraId="3349EE76">
      <w:pPr>
        <w:rPr>
          <w:rFonts w:ascii="宋体"/>
          <w:b/>
          <w:kern w:val="0"/>
          <w:sz w:val="24"/>
          <w:szCs w:val="20"/>
        </w:rPr>
      </w:pPr>
      <w:r>
        <w:rPr>
          <w:rFonts w:ascii="宋体"/>
          <w:b/>
          <w:kern w:val="0"/>
          <w:sz w:val="24"/>
          <w:szCs w:val="20"/>
        </w:rPr>
        <w:t>注：上表所列内容为不可负偏离条款，负偏离将视为未实质性满足</w:t>
      </w:r>
      <w:r>
        <w:rPr>
          <w:rFonts w:hint="eastAsia" w:ascii="宋体"/>
          <w:b/>
          <w:kern w:val="0"/>
          <w:sz w:val="24"/>
          <w:szCs w:val="20"/>
        </w:rPr>
        <w:t>招标</w:t>
      </w:r>
      <w:r>
        <w:rPr>
          <w:rFonts w:ascii="宋体"/>
          <w:b/>
          <w:kern w:val="0"/>
          <w:sz w:val="24"/>
          <w:szCs w:val="20"/>
        </w:rPr>
        <w:t>文件要求和条件作投标无效处理。</w:t>
      </w:r>
    </w:p>
    <w:p w14:paraId="75067357">
      <w:pPr>
        <w:pStyle w:val="3"/>
      </w:pPr>
    </w:p>
    <w:p w14:paraId="3C7A4CD0">
      <w:pPr>
        <w:pStyle w:val="7"/>
        <w:spacing w:before="120" w:beforeLines="50" w:after="120" w:afterLines="50"/>
        <w:rPr>
          <w:sz w:val="28"/>
          <w:szCs w:val="28"/>
        </w:rPr>
      </w:pPr>
      <w:r>
        <w:rPr>
          <w:rFonts w:hint="eastAsia"/>
          <w:sz w:val="28"/>
          <w:szCs w:val="28"/>
        </w:rPr>
        <w:t>四、技术要求</w:t>
      </w:r>
    </w:p>
    <w:p w14:paraId="7669CA25">
      <w:pPr>
        <w:ind w:firstLine="422" w:firstLineChars="200"/>
        <w:rPr>
          <w:b/>
        </w:rPr>
      </w:pPr>
      <w:r>
        <w:rPr>
          <w:rFonts w:hint="eastAsia"/>
          <w:b/>
          <w:szCs w:val="21"/>
        </w:rPr>
        <w:t>说明：</w:t>
      </w:r>
      <w:r>
        <w:rPr>
          <w:b/>
        </w:rPr>
        <w:t>1</w:t>
      </w:r>
      <w:r>
        <w:rPr>
          <w:rFonts w:hint="eastAsia"/>
          <w:b/>
        </w:rPr>
        <w:t>、评分时，如对一项招标技术要求（以划分框为准）中的内容存在两处（或以上）负偏离的，在评分时只作一项负偏离扣分。</w:t>
      </w:r>
    </w:p>
    <w:p w14:paraId="7912BC71">
      <w:pPr>
        <w:ind w:firstLine="422" w:firstLineChars="200"/>
        <w:rPr>
          <w:b/>
          <w:szCs w:val="21"/>
        </w:rPr>
      </w:pPr>
      <w:r>
        <w:rPr>
          <w:b/>
          <w:szCs w:val="21"/>
        </w:rPr>
        <w:t>2</w:t>
      </w:r>
      <w:r>
        <w:rPr>
          <w:rFonts w:hint="eastAsia"/>
          <w:b/>
          <w:szCs w:val="21"/>
        </w:rPr>
        <w:t>、带★号条款为不可</w:t>
      </w:r>
      <w:r>
        <w:rPr>
          <w:rFonts w:hint="eastAsia"/>
          <w:b/>
          <w:szCs w:val="21"/>
          <w:lang w:val="en-US" w:eastAsia="zh-CN"/>
        </w:rPr>
        <w:t>负</w:t>
      </w:r>
      <w:r>
        <w:rPr>
          <w:rFonts w:hint="eastAsia"/>
          <w:b/>
          <w:szCs w:val="21"/>
        </w:rPr>
        <w:t>偏离条款，不作为评分准则中的评分内容</w:t>
      </w:r>
      <w:r>
        <w:rPr>
          <w:rFonts w:hint="eastAsia"/>
          <w:b/>
          <w:szCs w:val="21"/>
          <w:lang w:eastAsia="zh-CN"/>
        </w:rPr>
        <w:t>，</w:t>
      </w:r>
      <w:r>
        <w:rPr>
          <w:rFonts w:hint="eastAsia"/>
          <w:b/>
          <w:szCs w:val="21"/>
        </w:rPr>
        <w:t>如未响应或出现负偏离的，将作投标无效处理；带“</w:t>
      </w:r>
      <w:r>
        <w:t>▲</w:t>
      </w:r>
      <w:r>
        <w:rPr>
          <w:rFonts w:hint="eastAsia"/>
          <w:b/>
          <w:szCs w:val="21"/>
        </w:rPr>
        <w:t>”指标项为重要参数条款，负偏离时依相关评分准则内容作重点扣分处理。</w:t>
      </w:r>
    </w:p>
    <w:p w14:paraId="6C701C4F">
      <w:pPr>
        <w:ind w:firstLine="422" w:firstLineChars="200"/>
        <w:rPr>
          <w:rFonts w:hint="eastAsia"/>
          <w:b/>
          <w:szCs w:val="21"/>
        </w:rPr>
      </w:pPr>
      <w:r>
        <w:rPr>
          <w:b/>
          <w:szCs w:val="21"/>
        </w:rPr>
        <w:t>3</w:t>
      </w:r>
      <w:r>
        <w:rPr>
          <w:rFonts w:hint="eastAsia"/>
          <w:b/>
          <w:szCs w:val="21"/>
        </w:rPr>
        <w:t>、</w:t>
      </w:r>
      <w:bookmarkStart w:id="35" w:name="_Hlk72585069"/>
      <w:r>
        <w:rPr>
          <w:rFonts w:hint="eastAsia"/>
          <w:b/>
          <w:szCs w:val="21"/>
        </w:rPr>
        <w:t>招标技术要求中，用</w:t>
      </w:r>
      <w:r>
        <w:rPr>
          <w:rFonts w:hint="eastAsia"/>
          <w:b/>
          <w:color w:val="FF0000"/>
          <w:szCs w:val="21"/>
        </w:rPr>
        <w:t>红色加粗字体标注</w:t>
      </w:r>
      <w:r>
        <w:rPr>
          <w:rFonts w:hint="eastAsia"/>
          <w:b/>
          <w:szCs w:val="21"/>
        </w:rPr>
        <w:t>的指标项均要求提供证明资料；其余指标项未要求提供证明资料，无需提供相关证明资料。</w:t>
      </w:r>
    </w:p>
    <w:p w14:paraId="6497F7A0">
      <w:pPr>
        <w:ind w:firstLine="422" w:firstLineChars="200"/>
        <w:rPr>
          <w:rFonts w:hint="eastAsia" w:ascii="Times New Roman" w:hAnsi="Times New Roman" w:eastAsia="宋体" w:cs="Times New Roman"/>
          <w:b/>
          <w:szCs w:val="21"/>
        </w:rPr>
      </w:pPr>
      <w:r>
        <w:rPr>
          <w:rFonts w:hint="eastAsia" w:ascii="Times New Roman" w:hAnsi="Times New Roman" w:eastAsia="宋体" w:cs="Times New Roman"/>
          <w:b/>
          <w:color w:val="FF0000"/>
          <w:szCs w:val="21"/>
        </w:rPr>
        <w:t>4、涉及区间的参数，除特别注明以外，</w:t>
      </w:r>
      <w:bookmarkStart w:id="36" w:name="_Hlk75447406"/>
      <w:r>
        <w:rPr>
          <w:rFonts w:hint="eastAsia" w:ascii="Times New Roman" w:hAnsi="Times New Roman" w:eastAsia="宋体" w:cs="Times New Roman"/>
          <w:b/>
          <w:color w:val="FF0000"/>
          <w:szCs w:val="21"/>
        </w:rPr>
        <w:t>产品参数区间与招标要求不一致的均视为负偏离。</w:t>
      </w:r>
      <w:bookmarkEnd w:id="36"/>
      <w:r>
        <w:rPr>
          <w:rFonts w:hint="eastAsia" w:ascii="Times New Roman" w:hAnsi="Times New Roman" w:eastAsia="宋体" w:cs="Times New Roman"/>
          <w:b/>
          <w:color w:val="FF0000"/>
          <w:szCs w:val="21"/>
        </w:rPr>
        <w:t>例：区间要求为0-20ML,只要响应的不是“0-20ML”，如投标文件响应为 0-15ML 、0-21ML 、1-12ML 、 9-20ML 、6-21ML 、9ML等情形均视为负偏离。</w:t>
      </w:r>
    </w:p>
    <w:bookmarkEnd w:id="35"/>
    <w:tbl>
      <w:tblPr>
        <w:tblStyle w:val="43"/>
        <w:tblW w:w="8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3"/>
        <w:gridCol w:w="6674"/>
      </w:tblGrid>
      <w:tr w14:paraId="6A76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83" w:type="dxa"/>
            <w:tcBorders>
              <w:top w:val="single" w:color="auto" w:sz="4" w:space="0"/>
              <w:left w:val="single" w:color="auto" w:sz="4" w:space="0"/>
              <w:bottom w:val="single" w:color="auto" w:sz="4" w:space="0"/>
              <w:right w:val="single" w:color="auto" w:sz="4" w:space="0"/>
            </w:tcBorders>
            <w:vAlign w:val="center"/>
          </w:tcPr>
          <w:p w14:paraId="0B137529">
            <w:pPr>
              <w:keepNext w:val="0"/>
              <w:keepLines w:val="0"/>
              <w:widowControl/>
              <w:suppressLineNumbers w:val="0"/>
              <w:spacing w:before="100" w:beforeAutospacing="1" w:after="100" w:afterAutospacing="1"/>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000000" w:themeColor="text1"/>
                <w:sz w:val="21"/>
                <w:szCs w:val="21"/>
                <w14:textFill>
                  <w14:solidFill>
                    <w14:schemeClr w14:val="tx1"/>
                  </w14:solidFill>
                </w14:textFill>
              </w:rPr>
              <w:t>货物名称</w:t>
            </w:r>
          </w:p>
        </w:tc>
        <w:tc>
          <w:tcPr>
            <w:tcW w:w="6674" w:type="dxa"/>
            <w:tcBorders>
              <w:top w:val="single" w:color="auto" w:sz="4" w:space="0"/>
              <w:left w:val="single" w:color="auto" w:sz="4" w:space="0"/>
              <w:bottom w:val="single" w:color="auto" w:sz="4" w:space="0"/>
              <w:right w:val="single" w:color="auto" w:sz="4" w:space="0"/>
            </w:tcBorders>
            <w:vAlign w:val="center"/>
          </w:tcPr>
          <w:p w14:paraId="01924E48">
            <w:pPr>
              <w:keepNext w:val="0"/>
              <w:keepLines w:val="0"/>
              <w:widowControl/>
              <w:suppressLineNumbers w:val="0"/>
              <w:spacing w:before="100" w:beforeAutospacing="1" w:after="100" w:afterAutospacing="1"/>
              <w:ind w:left="0" w:right="0"/>
              <w:jc w:val="center"/>
              <w:rPr>
                <w:rFonts w:hint="eastAsia" w:ascii="宋体" w:hAnsi="宋体" w:eastAsia="宋体" w:cs="宋体"/>
                <w:color w:val="auto"/>
                <w:kern w:val="0"/>
                <w:sz w:val="21"/>
                <w:szCs w:val="21"/>
                <w:highlight w:val="yellow"/>
              </w:rPr>
            </w:pPr>
            <w:r>
              <w:rPr>
                <w:rFonts w:hint="eastAsia" w:ascii="宋体" w:hAnsi="宋体" w:eastAsia="宋体" w:cs="宋体"/>
                <w:color w:val="auto"/>
                <w:kern w:val="0"/>
                <w:sz w:val="21"/>
                <w:szCs w:val="21"/>
                <w:highlight w:val="none"/>
              </w:rPr>
              <w:t>招标技术要求</w:t>
            </w:r>
          </w:p>
        </w:tc>
      </w:tr>
      <w:tr w14:paraId="23645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783" w:type="dxa"/>
            <w:vMerge w:val="restart"/>
            <w:tcBorders>
              <w:left w:val="single" w:color="auto" w:sz="4" w:space="0"/>
              <w:right w:val="single" w:color="auto" w:sz="4" w:space="0"/>
            </w:tcBorders>
            <w:vAlign w:val="center"/>
          </w:tcPr>
          <w:p w14:paraId="75EBF2AF">
            <w:pPr>
              <w:keepNext w:val="0"/>
              <w:keepLines w:val="0"/>
              <w:suppressLineNumbers w:val="0"/>
              <w:spacing w:before="0" w:beforeAutospacing="0" w:after="0" w:afterAutospacing="0"/>
              <w:ind w:left="0" w:right="0"/>
              <w:jc w:val="left"/>
              <w:rPr>
                <w:rFonts w:hint="eastAsia" w:ascii="宋体" w:hAnsi="宋体" w:eastAsia="宋体" w:cs="宋体"/>
                <w:bCs/>
                <w:sz w:val="21"/>
                <w:szCs w:val="21"/>
              </w:rPr>
            </w:pPr>
            <w:r>
              <w:rPr>
                <w:rFonts w:hint="eastAsia" w:ascii="宋体" w:hAnsi="宋体" w:eastAsia="宋体" w:cs="宋体"/>
                <w:bCs/>
                <w:sz w:val="21"/>
                <w:szCs w:val="21"/>
              </w:rPr>
              <w:t>生物安全柜（A2单人）</w:t>
            </w:r>
          </w:p>
          <w:p w14:paraId="77DAF265">
            <w:pPr>
              <w:keepNext w:val="0"/>
              <w:keepLines w:val="0"/>
              <w:suppressLineNumbers w:val="0"/>
              <w:spacing w:before="0" w:beforeAutospacing="0" w:after="0" w:afterAutospacing="0"/>
              <w:ind w:left="0" w:right="0"/>
              <w:jc w:val="left"/>
              <w:rPr>
                <w:rFonts w:hint="eastAsia" w:ascii="宋体" w:hAnsi="宋体" w:eastAsia="宋体" w:cs="宋体"/>
                <w:sz w:val="21"/>
                <w:szCs w:val="21"/>
                <w:lang w:eastAsia="zh-CN"/>
              </w:rPr>
            </w:pPr>
            <w:r>
              <w:rPr>
                <w:rFonts w:hint="eastAsia" w:ascii="宋体" w:hAnsi="宋体" w:eastAsia="宋体" w:cs="宋体"/>
                <w:bCs/>
                <w:sz w:val="21"/>
                <w:szCs w:val="21"/>
              </w:rPr>
              <w:t>生物安全柜（A2双人）</w:t>
            </w:r>
          </w:p>
        </w:tc>
        <w:tc>
          <w:tcPr>
            <w:tcW w:w="6674" w:type="dxa"/>
            <w:tcBorders>
              <w:top w:val="single" w:color="auto" w:sz="4" w:space="0"/>
              <w:left w:val="single" w:color="auto" w:sz="4" w:space="0"/>
              <w:bottom w:val="single" w:color="auto" w:sz="4" w:space="0"/>
              <w:right w:val="single" w:color="auto" w:sz="4" w:space="0"/>
            </w:tcBorders>
            <w:vAlign w:val="top"/>
          </w:tcPr>
          <w:p w14:paraId="058D4B4D">
            <w:pPr>
              <w:keepNext w:val="0"/>
              <w:keepLines w:val="0"/>
              <w:numPr>
                <w:ilvl w:val="0"/>
                <w:numId w:val="0"/>
              </w:numPr>
              <w:suppressLineNumbers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1、气流模式：30%外排，70%循环：流入气流平均风速0.53±0.025m/s，下降气流平均风速0.35±0.025m/s</w:t>
            </w:r>
          </w:p>
        </w:tc>
      </w:tr>
      <w:tr w14:paraId="5D152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trPr>
        <w:tc>
          <w:tcPr>
            <w:tcW w:w="1783" w:type="dxa"/>
            <w:vMerge w:val="continue"/>
            <w:tcBorders>
              <w:left w:val="single" w:color="auto" w:sz="4" w:space="0"/>
              <w:right w:val="single" w:color="auto" w:sz="4" w:space="0"/>
            </w:tcBorders>
            <w:vAlign w:val="center"/>
          </w:tcPr>
          <w:p w14:paraId="3138BF6A">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rPr>
            </w:pPr>
          </w:p>
        </w:tc>
        <w:tc>
          <w:tcPr>
            <w:tcW w:w="6674" w:type="dxa"/>
            <w:tcBorders>
              <w:top w:val="single" w:color="auto" w:sz="4" w:space="0"/>
              <w:left w:val="single" w:color="auto" w:sz="4" w:space="0"/>
              <w:bottom w:val="single" w:color="auto" w:sz="4" w:space="0"/>
              <w:right w:val="single" w:color="auto" w:sz="4" w:space="0"/>
            </w:tcBorders>
            <w:vAlign w:val="top"/>
          </w:tcPr>
          <w:p w14:paraId="3282890D">
            <w:pPr>
              <w:keepNext w:val="0"/>
              <w:keepLines w:val="0"/>
              <w:numPr>
                <w:ilvl w:val="0"/>
                <w:numId w:val="0"/>
              </w:numPr>
              <w:suppressLineNumbers w:val="0"/>
              <w:spacing w:before="0" w:beforeAutospacing="0" w:after="0" w:afterAutospacing="0"/>
              <w:ind w:left="0" w:right="0"/>
              <w:rPr>
                <w:rFonts w:hint="eastAsia" w:ascii="宋体" w:hAnsi="宋体" w:eastAsia="宋体" w:cs="宋体"/>
                <w:b/>
                <w:bCs/>
                <w:color w:val="FF0000"/>
                <w:sz w:val="21"/>
                <w:szCs w:val="21"/>
                <w:lang w:val="en-US" w:eastAsia="zh-CN"/>
              </w:rPr>
            </w:pPr>
            <w:r>
              <w:rPr>
                <w:rFonts w:hint="eastAsia" w:ascii="宋体" w:hAnsi="宋体" w:eastAsia="宋体" w:cs="宋体"/>
                <w:b/>
                <w:bCs/>
                <w:color w:val="FF0000"/>
                <w:sz w:val="21"/>
                <w:szCs w:val="21"/>
                <w:lang w:val="en-US" w:eastAsia="zh-CN"/>
              </w:rPr>
              <w:t>▲2、风速可自动调节，与风速传感器联动，具有风机监测装置：超高效空气过滤器，针对颗粒直径≥0.12um，过滤效率≥99.999%，在线实时监测并条形码显示过滤器的使用寿命，具有过滤器失效声光报警功</w:t>
            </w:r>
            <w:r>
              <w:rPr>
                <w:rFonts w:hint="eastAsia" w:ascii="宋体" w:hAnsi="宋体" w:eastAsia="宋体" w:cs="宋体"/>
                <w:b/>
                <w:bCs/>
                <w:color w:val="FF0000"/>
                <w:sz w:val="21"/>
                <w:szCs w:val="21"/>
                <w:highlight w:val="none"/>
                <w:lang w:val="en-US" w:eastAsia="zh-CN"/>
              </w:rPr>
              <w:t>能</w:t>
            </w:r>
            <w:r>
              <w:rPr>
                <w:rFonts w:hint="eastAsia" w:ascii="宋体" w:hAnsi="宋体" w:eastAsia="宋体" w:cs="宋体"/>
                <w:b/>
                <w:bCs/>
                <w:color w:val="FF0000"/>
                <w:sz w:val="21"/>
                <w:szCs w:val="21"/>
                <w:lang w:val="en-US" w:eastAsia="zh-CN"/>
              </w:rPr>
              <w:t>。（提供产品技术白皮书或产品彩页或厂家参数确认函扫描件，证明材料能体现满足前述技术要求）</w:t>
            </w:r>
          </w:p>
          <w:p w14:paraId="53B3892E">
            <w:pPr>
              <w:keepNext w:val="0"/>
              <w:keepLines w:val="0"/>
              <w:numPr>
                <w:ilvl w:val="0"/>
                <w:numId w:val="0"/>
              </w:numPr>
              <w:suppressLineNumbers w:val="0"/>
              <w:spacing w:before="0" w:beforeAutospacing="0" w:after="0" w:afterAutospacing="0"/>
              <w:ind w:left="0" w:right="0"/>
              <w:rPr>
                <w:rFonts w:hint="eastAsia" w:ascii="宋体" w:hAnsi="宋体" w:eastAsia="宋体" w:cs="宋体"/>
                <w:b/>
                <w:bCs/>
                <w:sz w:val="21"/>
                <w:szCs w:val="21"/>
                <w:lang w:val="en-US" w:eastAsia="zh-CN"/>
              </w:rPr>
            </w:pPr>
            <w:r>
              <w:rPr>
                <w:rFonts w:hint="eastAsia" w:ascii="宋体" w:hAnsi="宋体" w:eastAsia="宋体" w:cs="宋体"/>
                <w:b/>
                <w:bCs/>
                <w:color w:val="FF0000"/>
                <w:sz w:val="21"/>
                <w:szCs w:val="21"/>
                <w:lang w:val="en-US" w:eastAsia="zh-CN"/>
              </w:rPr>
              <w:t>工作区和外排出风口各配一个可见的热式微风速传感器，</w:t>
            </w:r>
            <w:r>
              <w:rPr>
                <w:rFonts w:hint="eastAsia" w:ascii="宋体" w:hAnsi="宋体" w:eastAsia="宋体" w:cs="宋体"/>
                <w:b/>
                <w:bCs/>
                <w:color w:val="FF0000"/>
                <w:sz w:val="21"/>
                <w:szCs w:val="21"/>
                <w:highlight w:val="none"/>
                <w:lang w:val="en-US" w:eastAsia="zh-CN"/>
              </w:rPr>
              <w:t>实时</w:t>
            </w:r>
            <w:r>
              <w:rPr>
                <w:rFonts w:hint="eastAsia" w:ascii="宋体" w:hAnsi="宋体" w:eastAsia="宋体" w:cs="宋体"/>
                <w:b/>
                <w:bCs/>
                <w:color w:val="FF0000"/>
                <w:sz w:val="21"/>
                <w:szCs w:val="21"/>
                <w:lang w:val="en-US" w:eastAsia="zh-CN"/>
              </w:rPr>
              <w:t>检测风速的安全性；（提供产品技术白皮书或产品彩页或厂家参数确认函扫描件，证明材料能体现满足前述技术要求）</w:t>
            </w:r>
          </w:p>
        </w:tc>
      </w:tr>
      <w:tr w14:paraId="07184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783" w:type="dxa"/>
            <w:vMerge w:val="continue"/>
            <w:tcBorders>
              <w:left w:val="single" w:color="auto" w:sz="4" w:space="0"/>
              <w:right w:val="single" w:color="auto" w:sz="4" w:space="0"/>
            </w:tcBorders>
            <w:vAlign w:val="center"/>
          </w:tcPr>
          <w:p w14:paraId="5865AB0F">
            <w:pPr>
              <w:keepNext w:val="0"/>
              <w:keepLines w:val="0"/>
              <w:suppressLineNumbers w:val="0"/>
              <w:spacing w:before="0" w:beforeAutospacing="0" w:after="0" w:afterAutospacing="0"/>
              <w:ind w:left="0" w:right="0"/>
              <w:jc w:val="left"/>
              <w:rPr>
                <w:rFonts w:hint="eastAsia" w:ascii="宋体" w:hAnsi="宋体" w:eastAsia="宋体" w:cs="宋体"/>
                <w:sz w:val="21"/>
                <w:szCs w:val="21"/>
              </w:rPr>
            </w:pPr>
          </w:p>
        </w:tc>
        <w:tc>
          <w:tcPr>
            <w:tcW w:w="6674" w:type="dxa"/>
            <w:tcBorders>
              <w:top w:val="single" w:color="auto" w:sz="4" w:space="0"/>
              <w:left w:val="single" w:color="auto" w:sz="4" w:space="0"/>
              <w:bottom w:val="single" w:color="auto" w:sz="4" w:space="0"/>
              <w:right w:val="single" w:color="auto" w:sz="4" w:space="0"/>
            </w:tcBorders>
            <w:vAlign w:val="top"/>
          </w:tcPr>
          <w:p w14:paraId="52521ABD">
            <w:pPr>
              <w:keepNext w:val="0"/>
              <w:keepLines w:val="0"/>
              <w:numPr>
                <w:ilvl w:val="0"/>
                <w:numId w:val="0"/>
              </w:numPr>
              <w:suppressLineNumbers w:val="0"/>
              <w:spacing w:before="0" w:beforeAutospacing="0" w:after="0" w:afterAutospacing="0"/>
              <w:ind w:left="0" w:right="0"/>
              <w:rPr>
                <w:rFonts w:hint="eastAsia" w:ascii="宋体" w:hAnsi="宋体" w:eastAsia="宋体" w:cs="宋体"/>
                <w:b/>
                <w:bCs/>
                <w:sz w:val="21"/>
                <w:szCs w:val="21"/>
                <w:lang w:val="en-US" w:eastAsia="zh-CN"/>
              </w:rPr>
            </w:pPr>
            <w:r>
              <w:rPr>
                <w:rFonts w:hint="eastAsia" w:ascii="宋体" w:hAnsi="宋体" w:eastAsia="宋体" w:cs="宋体"/>
                <w:b/>
                <w:bCs/>
                <w:color w:val="FF0000"/>
                <w:sz w:val="21"/>
                <w:szCs w:val="21"/>
                <w:lang w:val="en-US" w:eastAsia="zh-CN"/>
              </w:rPr>
              <w:t>▲3、前窗采用电动升降方式，安全位置±5mm上、下限位声光报警装置。（提供产品技术白皮书或产品彩页或厂家参数确认函扫描件，证明材料能体现满足前述技术要求）</w:t>
            </w:r>
          </w:p>
        </w:tc>
      </w:tr>
      <w:tr w14:paraId="0AC65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83" w:type="dxa"/>
            <w:vMerge w:val="continue"/>
            <w:tcBorders>
              <w:left w:val="single" w:color="auto" w:sz="4" w:space="0"/>
              <w:right w:val="single" w:color="auto" w:sz="4" w:space="0"/>
            </w:tcBorders>
            <w:vAlign w:val="center"/>
          </w:tcPr>
          <w:p w14:paraId="12CD5122">
            <w:pPr>
              <w:keepNext w:val="0"/>
              <w:keepLines w:val="0"/>
              <w:suppressLineNumbers w:val="0"/>
              <w:spacing w:before="0" w:beforeAutospacing="0" w:after="0" w:afterAutospacing="0"/>
              <w:ind w:left="0" w:right="0"/>
              <w:jc w:val="left"/>
              <w:rPr>
                <w:rFonts w:hint="eastAsia" w:ascii="宋体" w:hAnsi="宋体" w:eastAsia="宋体" w:cs="宋体"/>
                <w:sz w:val="21"/>
                <w:szCs w:val="21"/>
              </w:rPr>
            </w:pPr>
          </w:p>
        </w:tc>
        <w:tc>
          <w:tcPr>
            <w:tcW w:w="6674" w:type="dxa"/>
            <w:tcBorders>
              <w:top w:val="single" w:color="auto" w:sz="4" w:space="0"/>
              <w:left w:val="single" w:color="auto" w:sz="4" w:space="0"/>
              <w:bottom w:val="single" w:color="auto" w:sz="4" w:space="0"/>
              <w:right w:val="single" w:color="auto" w:sz="4" w:space="0"/>
            </w:tcBorders>
            <w:vAlign w:val="top"/>
          </w:tcPr>
          <w:p w14:paraId="1B9030BC">
            <w:pPr>
              <w:keepNext w:val="0"/>
              <w:keepLines w:val="0"/>
              <w:numPr>
                <w:ilvl w:val="0"/>
                <w:numId w:val="0"/>
              </w:numPr>
              <w:suppressLineNumbers w:val="0"/>
              <w:spacing w:before="0" w:beforeAutospacing="0" w:after="0" w:afterAutospacing="0"/>
              <w:ind w:left="0" w:right="0"/>
              <w:rPr>
                <w:rFonts w:hint="eastAsia" w:ascii="宋体" w:hAnsi="宋体" w:eastAsia="宋体" w:cs="宋体"/>
                <w:b/>
                <w:bCs/>
                <w:sz w:val="21"/>
                <w:szCs w:val="21"/>
                <w:lang w:val="en-US" w:eastAsia="zh-CN"/>
              </w:rPr>
            </w:pPr>
            <w:r>
              <w:rPr>
                <w:rFonts w:hint="eastAsia" w:ascii="宋体" w:hAnsi="宋体" w:eastAsia="宋体" w:cs="宋体"/>
                <w:b/>
                <w:bCs/>
                <w:color w:val="FF0000"/>
                <w:sz w:val="21"/>
                <w:szCs w:val="21"/>
                <w:lang w:val="en-US" w:eastAsia="zh-CN"/>
              </w:rPr>
              <w:t>4、在线实时监测并条形码显示高效过滤器的使用寿命，具有过滤器失效声光报警功能。安全柜出厂前使用泄露扫描仪进行过滤器完整性测试</w:t>
            </w:r>
            <w:r>
              <w:rPr>
                <w:rFonts w:hint="eastAsia" w:ascii="宋体" w:hAnsi="宋体" w:eastAsia="宋体" w:cs="宋体"/>
                <w:b/>
                <w:bCs/>
                <w:color w:val="FF0000"/>
                <w:sz w:val="21"/>
                <w:szCs w:val="21"/>
                <w:lang w:eastAsia="zh-CN"/>
              </w:rPr>
              <w:t>（</w:t>
            </w:r>
            <w:r>
              <w:rPr>
                <w:rFonts w:hint="eastAsia" w:ascii="宋体" w:hAnsi="宋体" w:eastAsia="宋体" w:cs="宋体"/>
                <w:b/>
                <w:bCs/>
                <w:color w:val="FF0000"/>
                <w:sz w:val="21"/>
                <w:szCs w:val="21"/>
                <w:lang w:val="en-US" w:eastAsia="zh-CN"/>
              </w:rPr>
              <w:t>提供产品技术白皮书或产品彩页或厂家参数确认函扫描件，证明材料能体现满足前述技术要求）</w:t>
            </w:r>
          </w:p>
        </w:tc>
      </w:tr>
      <w:tr w14:paraId="619C5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83" w:type="dxa"/>
            <w:vMerge w:val="continue"/>
            <w:tcBorders>
              <w:left w:val="single" w:color="auto" w:sz="4" w:space="0"/>
              <w:right w:val="single" w:color="auto" w:sz="4" w:space="0"/>
            </w:tcBorders>
            <w:vAlign w:val="center"/>
          </w:tcPr>
          <w:p w14:paraId="19996BEC">
            <w:pPr>
              <w:keepNext w:val="0"/>
              <w:keepLines w:val="0"/>
              <w:suppressLineNumbers w:val="0"/>
              <w:spacing w:before="0" w:beforeAutospacing="0" w:after="0" w:afterAutospacing="0"/>
              <w:ind w:left="0" w:right="0"/>
              <w:jc w:val="left"/>
              <w:rPr>
                <w:rFonts w:hint="eastAsia" w:ascii="宋体" w:hAnsi="宋体" w:eastAsia="宋体" w:cs="宋体"/>
                <w:sz w:val="21"/>
                <w:szCs w:val="21"/>
              </w:rPr>
            </w:pPr>
          </w:p>
        </w:tc>
        <w:tc>
          <w:tcPr>
            <w:tcW w:w="6674" w:type="dxa"/>
            <w:tcBorders>
              <w:top w:val="single" w:color="auto" w:sz="4" w:space="0"/>
              <w:left w:val="single" w:color="auto" w:sz="4" w:space="0"/>
              <w:bottom w:val="single" w:color="auto" w:sz="4" w:space="0"/>
              <w:right w:val="single" w:color="auto" w:sz="4" w:space="0"/>
            </w:tcBorders>
            <w:vAlign w:val="top"/>
          </w:tcPr>
          <w:p w14:paraId="73D3AD49">
            <w:pPr>
              <w:keepNext w:val="0"/>
              <w:keepLines w:val="0"/>
              <w:numPr>
                <w:ilvl w:val="0"/>
                <w:numId w:val="0"/>
              </w:numPr>
              <w:suppressLineNumbers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5、工作区三侧壁板为一体化成型，304不锈钢材质，双层侧壁形成负压保护。</w:t>
            </w:r>
          </w:p>
          <w:p w14:paraId="2508C64B">
            <w:pPr>
              <w:keepNext w:val="0"/>
              <w:keepLines w:val="0"/>
              <w:numPr>
                <w:ilvl w:val="0"/>
                <w:numId w:val="0"/>
              </w:numPr>
              <w:suppressLineNumbers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操作台面前侧凹槽设计。</w:t>
            </w:r>
          </w:p>
        </w:tc>
      </w:tr>
      <w:tr w14:paraId="68C6B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783" w:type="dxa"/>
            <w:vMerge w:val="continue"/>
            <w:tcBorders>
              <w:left w:val="single" w:color="auto" w:sz="4" w:space="0"/>
              <w:right w:val="single" w:color="auto" w:sz="4" w:space="0"/>
            </w:tcBorders>
            <w:vAlign w:val="center"/>
          </w:tcPr>
          <w:p w14:paraId="655E0A17">
            <w:pPr>
              <w:keepNext w:val="0"/>
              <w:keepLines w:val="0"/>
              <w:suppressLineNumbers w:val="0"/>
              <w:spacing w:before="0" w:beforeAutospacing="0" w:after="0" w:afterAutospacing="0"/>
              <w:ind w:left="0" w:right="0"/>
              <w:jc w:val="left"/>
              <w:rPr>
                <w:rFonts w:hint="eastAsia" w:ascii="宋体" w:hAnsi="宋体" w:eastAsia="宋体" w:cs="宋体"/>
                <w:sz w:val="21"/>
                <w:szCs w:val="21"/>
              </w:rPr>
            </w:pPr>
          </w:p>
        </w:tc>
        <w:tc>
          <w:tcPr>
            <w:tcW w:w="6674" w:type="dxa"/>
            <w:tcBorders>
              <w:top w:val="single" w:color="auto" w:sz="4" w:space="0"/>
              <w:left w:val="single" w:color="auto" w:sz="4" w:space="0"/>
              <w:bottom w:val="single" w:color="auto" w:sz="4" w:space="0"/>
              <w:right w:val="single" w:color="auto" w:sz="4" w:space="0"/>
            </w:tcBorders>
            <w:vAlign w:val="top"/>
          </w:tcPr>
          <w:p w14:paraId="348EE00F">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、显示面板可实时显示工作区温度、气流流速/流量、过滤膜寿命、累计运行时间</w:t>
            </w:r>
          </w:p>
        </w:tc>
      </w:tr>
      <w:tr w14:paraId="73054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783" w:type="dxa"/>
            <w:vMerge w:val="continue"/>
            <w:tcBorders>
              <w:left w:val="single" w:color="auto" w:sz="4" w:space="0"/>
              <w:right w:val="single" w:color="auto" w:sz="4" w:space="0"/>
            </w:tcBorders>
            <w:vAlign w:val="center"/>
          </w:tcPr>
          <w:p w14:paraId="73AD6F2A">
            <w:pPr>
              <w:keepNext w:val="0"/>
              <w:keepLines w:val="0"/>
              <w:suppressLineNumbers w:val="0"/>
              <w:spacing w:before="0" w:beforeAutospacing="0" w:after="0" w:afterAutospacing="0"/>
              <w:ind w:left="0" w:right="0"/>
              <w:jc w:val="left"/>
              <w:rPr>
                <w:rFonts w:hint="eastAsia" w:ascii="宋体" w:hAnsi="宋体" w:eastAsia="宋体" w:cs="宋体"/>
                <w:sz w:val="21"/>
                <w:szCs w:val="21"/>
              </w:rPr>
            </w:pPr>
          </w:p>
        </w:tc>
        <w:tc>
          <w:tcPr>
            <w:tcW w:w="6674" w:type="dxa"/>
            <w:tcBorders>
              <w:top w:val="single" w:color="auto" w:sz="4" w:space="0"/>
              <w:left w:val="single" w:color="auto" w:sz="4" w:space="0"/>
              <w:bottom w:val="single" w:color="auto" w:sz="4" w:space="0"/>
              <w:right w:val="single" w:color="auto" w:sz="4" w:space="0"/>
            </w:tcBorders>
            <w:vAlign w:val="top"/>
          </w:tcPr>
          <w:p w14:paraId="43A583C5">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内置</w:t>
            </w:r>
            <w:r>
              <w:rPr>
                <w:rFonts w:hint="eastAsia" w:ascii="宋体" w:hAnsi="宋体" w:eastAsia="宋体" w:cs="宋体"/>
                <w:sz w:val="21"/>
                <w:szCs w:val="21"/>
                <w:highlight w:val="none"/>
              </w:rPr>
              <w:t>温度传感器：可实时检测并显示工作区的温度，监测风机运行及操作区安全状态</w:t>
            </w:r>
          </w:p>
        </w:tc>
      </w:tr>
      <w:tr w14:paraId="79390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783" w:type="dxa"/>
            <w:vMerge w:val="continue"/>
            <w:tcBorders>
              <w:left w:val="single" w:color="auto" w:sz="4" w:space="0"/>
              <w:right w:val="single" w:color="auto" w:sz="4" w:space="0"/>
            </w:tcBorders>
            <w:vAlign w:val="center"/>
          </w:tcPr>
          <w:p w14:paraId="0BD6EA3A">
            <w:pPr>
              <w:keepNext w:val="0"/>
              <w:keepLines w:val="0"/>
              <w:suppressLineNumbers w:val="0"/>
              <w:spacing w:before="0" w:beforeAutospacing="0" w:after="0" w:afterAutospacing="0"/>
              <w:ind w:left="0" w:right="0"/>
              <w:jc w:val="left"/>
              <w:rPr>
                <w:rFonts w:hint="eastAsia" w:ascii="宋体" w:hAnsi="宋体" w:eastAsia="宋体" w:cs="宋体"/>
                <w:sz w:val="21"/>
                <w:szCs w:val="21"/>
              </w:rPr>
            </w:pPr>
          </w:p>
        </w:tc>
        <w:tc>
          <w:tcPr>
            <w:tcW w:w="6674" w:type="dxa"/>
            <w:tcBorders>
              <w:top w:val="single" w:color="auto" w:sz="4" w:space="0"/>
              <w:left w:val="single" w:color="auto" w:sz="4" w:space="0"/>
              <w:bottom w:val="single" w:color="auto" w:sz="4" w:space="0"/>
              <w:right w:val="single" w:color="auto" w:sz="4" w:space="0"/>
            </w:tcBorders>
            <w:vAlign w:val="top"/>
          </w:tcPr>
          <w:p w14:paraId="5EAF09B5">
            <w:pPr>
              <w:keepNext w:val="0"/>
              <w:keepLines w:val="0"/>
              <w:suppressLineNumbers w:val="0"/>
              <w:spacing w:before="0" w:beforeAutospacing="0" w:after="0" w:afterAutospacing="0"/>
              <w:ind w:left="0" w:right="0"/>
              <w:rPr>
                <w:rFonts w:hint="eastAsia" w:ascii="宋体" w:hAnsi="宋体" w:eastAsia="宋体" w:cs="宋体"/>
                <w:sz w:val="21"/>
                <w:szCs w:val="21"/>
                <w:lang w:eastAsia="zh-CN"/>
              </w:rPr>
            </w:pPr>
            <w:r>
              <w:rPr>
                <w:rFonts w:hint="eastAsia" w:ascii="宋体" w:hAnsi="宋体" w:eastAsia="宋体" w:cs="宋体"/>
                <w:sz w:val="21"/>
                <w:szCs w:val="21"/>
                <w:lang w:val="en-US" w:eastAsia="zh-CN"/>
              </w:rPr>
              <w:t>8、</w:t>
            </w:r>
            <w:r>
              <w:rPr>
                <w:rFonts w:hint="eastAsia" w:ascii="宋体" w:hAnsi="宋体" w:eastAsia="宋体" w:cs="宋体"/>
                <w:sz w:val="21"/>
                <w:szCs w:val="21"/>
              </w:rPr>
              <w:t>集液槽面积不小于工作台面积，集液槽与工作台面之间无任何支撑架，材质为304不锈钢，有排污阀</w:t>
            </w:r>
            <w:r>
              <w:rPr>
                <w:rFonts w:hint="eastAsia" w:ascii="宋体" w:hAnsi="宋体" w:eastAsia="宋体" w:cs="宋体"/>
                <w:sz w:val="21"/>
                <w:szCs w:val="21"/>
                <w:lang w:eastAsia="zh-CN"/>
              </w:rPr>
              <w:t>。</w:t>
            </w:r>
          </w:p>
        </w:tc>
      </w:tr>
      <w:tr w14:paraId="2D47D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783" w:type="dxa"/>
            <w:vMerge w:val="continue"/>
            <w:tcBorders>
              <w:left w:val="single" w:color="auto" w:sz="4" w:space="0"/>
              <w:right w:val="single" w:color="auto" w:sz="4" w:space="0"/>
            </w:tcBorders>
            <w:vAlign w:val="center"/>
          </w:tcPr>
          <w:p w14:paraId="7FAC3230">
            <w:pPr>
              <w:keepNext w:val="0"/>
              <w:keepLines w:val="0"/>
              <w:suppressLineNumbers w:val="0"/>
              <w:spacing w:before="0" w:beforeAutospacing="0" w:after="0" w:afterAutospacing="0"/>
              <w:ind w:left="0" w:right="0"/>
              <w:jc w:val="left"/>
              <w:rPr>
                <w:rFonts w:hint="eastAsia" w:ascii="宋体" w:hAnsi="宋体" w:eastAsia="宋体" w:cs="宋体"/>
                <w:sz w:val="21"/>
                <w:szCs w:val="21"/>
              </w:rPr>
            </w:pPr>
          </w:p>
        </w:tc>
        <w:tc>
          <w:tcPr>
            <w:tcW w:w="6674" w:type="dxa"/>
            <w:tcBorders>
              <w:top w:val="single" w:color="auto" w:sz="4" w:space="0"/>
              <w:left w:val="single" w:color="auto" w:sz="4" w:space="0"/>
              <w:bottom w:val="single" w:color="auto" w:sz="4" w:space="0"/>
              <w:right w:val="single" w:color="auto" w:sz="4" w:space="0"/>
            </w:tcBorders>
            <w:vAlign w:val="top"/>
          </w:tcPr>
          <w:p w14:paraId="5B072B70">
            <w:pPr>
              <w:keepNext w:val="0"/>
              <w:keepLines w:val="0"/>
              <w:suppressLineNumbers w:val="0"/>
              <w:spacing w:before="0" w:beforeAutospacing="0" w:after="0" w:afterAutospacing="0"/>
              <w:ind w:left="0" w:right="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倾角人性化设计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前窗</w:t>
            </w:r>
            <w:r>
              <w:rPr>
                <w:rFonts w:hint="eastAsia" w:ascii="宋体" w:hAnsi="宋体" w:eastAsia="宋体" w:cs="宋体"/>
                <w:color w:val="auto"/>
                <w:sz w:val="21"/>
                <w:szCs w:val="21"/>
                <w:lang w:val="en-US" w:eastAsia="zh-CN"/>
              </w:rPr>
              <w:t>玻璃门采用≥6mm安全钢化玻璃，具有防爆、防碎及防紫外的功能</w:t>
            </w:r>
          </w:p>
        </w:tc>
      </w:tr>
      <w:tr w14:paraId="45580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783" w:type="dxa"/>
            <w:vMerge w:val="continue"/>
            <w:tcBorders>
              <w:left w:val="single" w:color="auto" w:sz="4" w:space="0"/>
              <w:right w:val="single" w:color="auto" w:sz="4" w:space="0"/>
            </w:tcBorders>
            <w:vAlign w:val="center"/>
          </w:tcPr>
          <w:p w14:paraId="2D2A942E">
            <w:pPr>
              <w:keepNext w:val="0"/>
              <w:keepLines w:val="0"/>
              <w:suppressLineNumbers w:val="0"/>
              <w:spacing w:before="0" w:beforeAutospacing="0" w:after="0" w:afterAutospacing="0"/>
              <w:ind w:left="0" w:right="0"/>
              <w:jc w:val="left"/>
              <w:rPr>
                <w:rFonts w:hint="eastAsia" w:ascii="宋体" w:hAnsi="宋体" w:eastAsia="宋体" w:cs="宋体"/>
                <w:sz w:val="21"/>
                <w:szCs w:val="21"/>
              </w:rPr>
            </w:pPr>
          </w:p>
        </w:tc>
        <w:tc>
          <w:tcPr>
            <w:tcW w:w="6674" w:type="dxa"/>
            <w:tcBorders>
              <w:top w:val="single" w:color="auto" w:sz="4" w:space="0"/>
              <w:left w:val="single" w:color="auto" w:sz="4" w:space="0"/>
              <w:bottom w:val="single" w:color="auto" w:sz="4" w:space="0"/>
              <w:right w:val="single" w:color="auto" w:sz="4" w:space="0"/>
            </w:tcBorders>
            <w:vAlign w:val="top"/>
          </w:tcPr>
          <w:p w14:paraId="55E7C532">
            <w:pPr>
              <w:keepNext w:val="0"/>
              <w:keepLines w:val="0"/>
              <w:numPr>
                <w:ilvl w:val="0"/>
                <w:numId w:val="0"/>
              </w:numPr>
              <w:suppressLineNumbers w:val="0"/>
              <w:tabs>
                <w:tab w:val="left" w:pos="420"/>
              </w:tabs>
              <w:spacing w:before="0" w:beforeAutospacing="0" w:after="0" w:afterAutospacing="0"/>
              <w:ind w:left="0" w:right="0"/>
              <w:rPr>
                <w:rFonts w:hint="eastAsia" w:ascii="宋体" w:hAnsi="宋体" w:eastAsia="宋体" w:cs="宋体"/>
                <w:b/>
                <w:bCs/>
                <w:color w:val="auto"/>
                <w:sz w:val="21"/>
                <w:szCs w:val="21"/>
                <w:highlight w:val="none"/>
                <w:vertAlign w:val="superscript"/>
                <w:lang w:val="en-US" w:eastAsia="zh-CN"/>
              </w:rPr>
            </w:pPr>
            <w:r>
              <w:rPr>
                <w:rFonts w:hint="eastAsia" w:ascii="宋体" w:hAnsi="宋体" w:eastAsia="宋体" w:cs="宋体"/>
                <w:b/>
                <w:bCs/>
                <w:color w:val="FF0000"/>
                <w:sz w:val="21"/>
                <w:szCs w:val="21"/>
                <w:highlight w:val="none"/>
              </w:rPr>
              <w:t>▲</w:t>
            </w:r>
            <w:r>
              <w:rPr>
                <w:rFonts w:hint="eastAsia" w:ascii="宋体" w:hAnsi="宋体" w:eastAsia="宋体" w:cs="宋体"/>
                <w:b/>
                <w:bCs/>
                <w:color w:val="FF0000"/>
                <w:sz w:val="21"/>
                <w:szCs w:val="21"/>
                <w:highlight w:val="none"/>
                <w:lang w:val="en-US" w:eastAsia="zh-CN"/>
              </w:rPr>
              <w:t>10、</w:t>
            </w:r>
            <w:r>
              <w:rPr>
                <w:rFonts w:hint="eastAsia" w:ascii="宋体" w:hAnsi="宋体" w:eastAsia="宋体" w:cs="宋体"/>
                <w:b/>
                <w:bCs/>
                <w:color w:val="FF0000"/>
                <w:sz w:val="21"/>
                <w:szCs w:val="21"/>
                <w:highlight w:val="none"/>
              </w:rPr>
              <w:t>通过严格的KI-Discus 碘化钾法人员保护测试，前窗操作口的保护因子不小于1×10</w:t>
            </w:r>
            <w:r>
              <w:rPr>
                <w:rFonts w:hint="eastAsia" w:ascii="宋体" w:hAnsi="宋体" w:eastAsia="宋体" w:cs="宋体"/>
                <w:b/>
                <w:bCs/>
                <w:color w:val="FF0000"/>
                <w:sz w:val="21"/>
                <w:szCs w:val="21"/>
                <w:highlight w:val="none"/>
                <w:vertAlign w:val="superscript"/>
              </w:rPr>
              <w:t>5</w:t>
            </w:r>
            <w:r>
              <w:rPr>
                <w:rFonts w:hint="eastAsia" w:ascii="宋体" w:hAnsi="宋体" w:eastAsia="宋体" w:cs="宋体"/>
                <w:b/>
                <w:bCs/>
                <w:color w:val="FF0000"/>
                <w:sz w:val="21"/>
                <w:szCs w:val="21"/>
                <w:highlight w:val="none"/>
                <w:vertAlign w:val="superscript"/>
                <w:lang w:val="en-US" w:eastAsia="zh-CN"/>
              </w:rPr>
              <w:t xml:space="preserve"> </w:t>
            </w:r>
            <w:r>
              <w:rPr>
                <w:rFonts w:hint="eastAsia" w:ascii="宋体" w:hAnsi="宋体" w:eastAsia="宋体" w:cs="宋体"/>
                <w:b/>
                <w:bCs/>
                <w:color w:val="FF0000"/>
                <w:sz w:val="21"/>
                <w:szCs w:val="21"/>
                <w:highlight w:val="none"/>
                <w:vertAlign w:val="baseline"/>
                <w:lang w:val="en-US" w:eastAsia="zh-CN"/>
              </w:rPr>
              <w:t>倍，检测标准:YY0569-2011（投标人投标时需提供由通过CMA认证的第三方检测机构出具的加盖CMA 章的检测报告扫描件）</w:t>
            </w:r>
            <w:r>
              <w:rPr>
                <w:rFonts w:hint="eastAsia" w:ascii="宋体" w:hAnsi="宋体" w:eastAsia="宋体" w:cs="宋体"/>
                <w:b/>
                <w:bCs/>
                <w:color w:val="FF0000"/>
                <w:sz w:val="21"/>
                <w:szCs w:val="21"/>
                <w:highlight w:val="none"/>
                <w:vertAlign w:val="superscript"/>
                <w:lang w:val="en-US" w:eastAsia="zh-CN"/>
              </w:rPr>
              <w:t xml:space="preserve"> </w:t>
            </w:r>
          </w:p>
        </w:tc>
      </w:tr>
      <w:tr w14:paraId="43DEB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783" w:type="dxa"/>
            <w:vMerge w:val="continue"/>
            <w:tcBorders>
              <w:left w:val="single" w:color="auto" w:sz="4" w:space="0"/>
              <w:right w:val="single" w:color="auto" w:sz="4" w:space="0"/>
            </w:tcBorders>
            <w:vAlign w:val="center"/>
          </w:tcPr>
          <w:p w14:paraId="17801FB7">
            <w:pPr>
              <w:keepNext w:val="0"/>
              <w:keepLines w:val="0"/>
              <w:suppressLineNumbers w:val="0"/>
              <w:spacing w:before="0" w:beforeAutospacing="0" w:after="0" w:afterAutospacing="0"/>
              <w:ind w:left="0" w:right="0"/>
              <w:jc w:val="left"/>
              <w:rPr>
                <w:rFonts w:hint="eastAsia" w:ascii="宋体" w:hAnsi="宋体" w:eastAsia="宋体" w:cs="宋体"/>
                <w:sz w:val="21"/>
                <w:szCs w:val="21"/>
                <w:lang w:eastAsia="zh-CN"/>
              </w:rPr>
            </w:pPr>
          </w:p>
        </w:tc>
        <w:tc>
          <w:tcPr>
            <w:tcW w:w="6674" w:type="dxa"/>
            <w:tcBorders>
              <w:top w:val="single" w:color="auto" w:sz="4" w:space="0"/>
              <w:left w:val="single" w:color="auto" w:sz="4" w:space="0"/>
              <w:bottom w:val="single" w:color="auto" w:sz="4" w:space="0"/>
              <w:right w:val="single" w:color="auto" w:sz="4" w:space="0"/>
            </w:tcBorders>
            <w:vAlign w:val="top"/>
          </w:tcPr>
          <w:p w14:paraId="5350FA3F">
            <w:pPr>
              <w:keepNext w:val="0"/>
              <w:keepLines w:val="0"/>
              <w:numPr>
                <w:ilvl w:val="0"/>
                <w:numId w:val="0"/>
              </w:numPr>
              <w:suppressLineNumbers w:val="0"/>
              <w:spacing w:before="0" w:beforeAutospacing="0" w:after="0" w:afterAutospacing="0"/>
              <w:ind w:left="0" w:right="0"/>
              <w:rPr>
                <w:rFonts w:hint="eastAsia" w:ascii="宋体" w:hAnsi="宋体" w:eastAsia="宋体" w:cs="宋体"/>
                <w:b/>
                <w:bCs/>
                <w:color w:val="auto"/>
                <w:sz w:val="21"/>
                <w:szCs w:val="21"/>
                <w:highlight w:val="none"/>
              </w:rPr>
            </w:pPr>
            <w:r>
              <w:rPr>
                <w:rFonts w:hint="eastAsia" w:ascii="宋体" w:hAnsi="宋体" w:eastAsia="宋体" w:cs="宋体"/>
                <w:b/>
                <w:bCs/>
                <w:color w:val="FF0000"/>
                <w:sz w:val="21"/>
                <w:szCs w:val="21"/>
                <w:highlight w:val="none"/>
                <w:lang w:val="en-US" w:eastAsia="zh-CN"/>
              </w:rPr>
              <w:t>11、</w:t>
            </w:r>
            <w:r>
              <w:rPr>
                <w:rFonts w:hint="eastAsia" w:ascii="宋体" w:hAnsi="宋体" w:eastAsia="宋体" w:cs="宋体"/>
                <w:b/>
                <w:bCs/>
                <w:color w:val="FF0000"/>
                <w:sz w:val="21"/>
                <w:szCs w:val="21"/>
                <w:highlight w:val="none"/>
              </w:rPr>
              <w:t>出厂前通过严格的压力衰减法检测：加压到500Pa，保持30min后气压</w:t>
            </w:r>
            <w:r>
              <w:rPr>
                <w:rFonts w:hint="eastAsia" w:ascii="宋体" w:hAnsi="宋体" w:eastAsia="宋体" w:cs="宋体"/>
                <w:b/>
                <w:bCs/>
                <w:color w:val="FF0000"/>
                <w:sz w:val="21"/>
                <w:szCs w:val="21"/>
                <w:highlight w:val="none"/>
                <w:lang w:val="en-US" w:eastAsia="zh-CN"/>
              </w:rPr>
              <w:t>≥</w:t>
            </w:r>
            <w:r>
              <w:rPr>
                <w:rFonts w:hint="eastAsia" w:ascii="宋体" w:hAnsi="宋体" w:eastAsia="宋体" w:cs="宋体"/>
                <w:b/>
                <w:bCs/>
                <w:color w:val="FF0000"/>
                <w:sz w:val="21"/>
                <w:szCs w:val="21"/>
                <w:highlight w:val="none"/>
              </w:rPr>
              <w:t>450Pa</w:t>
            </w:r>
            <w:r>
              <w:rPr>
                <w:rFonts w:hint="eastAsia" w:ascii="宋体" w:hAnsi="宋体" w:eastAsia="宋体" w:cs="宋体"/>
                <w:b/>
                <w:bCs/>
                <w:color w:val="FF0000"/>
                <w:sz w:val="21"/>
                <w:szCs w:val="21"/>
                <w:highlight w:val="none"/>
                <w:lang w:eastAsia="zh-CN"/>
              </w:rPr>
              <w:t>（</w:t>
            </w:r>
            <w:r>
              <w:rPr>
                <w:rFonts w:hint="eastAsia" w:ascii="宋体" w:hAnsi="宋体" w:eastAsia="宋体" w:cs="宋体"/>
                <w:b/>
                <w:bCs/>
                <w:color w:val="FF0000"/>
                <w:sz w:val="21"/>
                <w:szCs w:val="21"/>
                <w:highlight w:val="none"/>
                <w:vertAlign w:val="baseline"/>
                <w:lang w:val="en-US" w:eastAsia="zh-CN"/>
              </w:rPr>
              <w:t>提供产品技术白皮书或产品彩页或厂家参数确认函扫描件，证明材料能体现满足前述技术要求)</w:t>
            </w:r>
          </w:p>
        </w:tc>
      </w:tr>
      <w:tr w14:paraId="226FC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783" w:type="dxa"/>
            <w:vMerge w:val="continue"/>
            <w:tcBorders>
              <w:left w:val="single" w:color="auto" w:sz="4" w:space="0"/>
              <w:right w:val="single" w:color="auto" w:sz="4" w:space="0"/>
            </w:tcBorders>
            <w:vAlign w:val="center"/>
          </w:tcPr>
          <w:p w14:paraId="2C00A4DB">
            <w:pPr>
              <w:keepNext w:val="0"/>
              <w:keepLines w:val="0"/>
              <w:suppressLineNumbers w:val="0"/>
              <w:spacing w:before="0" w:beforeAutospacing="0" w:after="0" w:afterAutospacing="0"/>
              <w:ind w:left="0" w:right="0"/>
              <w:jc w:val="left"/>
              <w:rPr>
                <w:rFonts w:hint="eastAsia" w:ascii="宋体" w:hAnsi="宋体" w:eastAsia="宋体" w:cs="宋体"/>
                <w:sz w:val="21"/>
                <w:szCs w:val="21"/>
              </w:rPr>
            </w:pPr>
          </w:p>
        </w:tc>
        <w:tc>
          <w:tcPr>
            <w:tcW w:w="6674" w:type="dxa"/>
            <w:tcBorders>
              <w:top w:val="single" w:color="auto" w:sz="4" w:space="0"/>
              <w:left w:val="single" w:color="auto" w:sz="4" w:space="0"/>
              <w:bottom w:val="single" w:color="auto" w:sz="4" w:space="0"/>
              <w:right w:val="single" w:color="auto" w:sz="4" w:space="0"/>
            </w:tcBorders>
            <w:vAlign w:val="top"/>
          </w:tcPr>
          <w:p w14:paraId="54BBE242">
            <w:pPr>
              <w:keepNext w:val="0"/>
              <w:keepLines w:val="0"/>
              <w:numPr>
                <w:ilvl w:val="0"/>
                <w:numId w:val="0"/>
              </w:numPr>
              <w:suppressLineNumbers w:val="0"/>
              <w:spacing w:before="0" w:beforeAutospacing="0" w:after="0" w:afterAutospacing="0"/>
              <w:ind w:left="0" w:right="0"/>
              <w:rPr>
                <w:rFonts w:hint="eastAsia" w:ascii="宋体" w:hAnsi="宋体" w:eastAsia="宋体" w:cs="宋体"/>
                <w:b/>
                <w:sz w:val="21"/>
                <w:szCs w:val="21"/>
                <w:highlight w:val="none"/>
                <w:lang w:val="en-US" w:eastAsia="zh-CN"/>
              </w:rPr>
            </w:pPr>
            <w:r>
              <w:rPr>
                <w:rFonts w:hint="eastAsia" w:ascii="宋体" w:hAnsi="宋体" w:eastAsia="宋体" w:cs="宋体"/>
                <w:sz w:val="21"/>
                <w:szCs w:val="21"/>
                <w:highlight w:val="none"/>
                <w:lang w:val="en-US" w:eastAsia="zh-CN"/>
              </w:rPr>
              <w:t>12</w:t>
            </w:r>
            <w:r>
              <w:rPr>
                <w:rFonts w:hint="eastAsia" w:ascii="宋体" w:hAnsi="宋体" w:eastAsia="宋体" w:cs="宋体"/>
                <w:sz w:val="21"/>
                <w:szCs w:val="21"/>
                <w:lang w:val="en-US" w:eastAsia="zh-CN"/>
              </w:rPr>
              <w:t>、</w:t>
            </w:r>
            <w:r>
              <w:rPr>
                <w:rFonts w:hint="eastAsia" w:ascii="宋体" w:hAnsi="宋体" w:eastAsia="宋体" w:cs="宋体"/>
                <w:sz w:val="21"/>
                <w:szCs w:val="21"/>
                <w:highlight w:val="none"/>
              </w:rPr>
              <w:t>安全性能保障：具备紫外系统、荧光灯、前窗的连锁系统；具备低风速报警功能；具备前窗位置异位报警功能；具备前窗侧壁抗扰流系统，可避免泄漏</w:t>
            </w:r>
            <w:r>
              <w:rPr>
                <w:rFonts w:hint="eastAsia" w:ascii="宋体" w:hAnsi="宋体" w:eastAsia="宋体" w:cs="宋体"/>
                <w:sz w:val="21"/>
                <w:szCs w:val="21"/>
                <w:highlight w:val="none"/>
                <w:lang w:eastAsia="zh-CN"/>
              </w:rPr>
              <w:t>。</w:t>
            </w:r>
          </w:p>
        </w:tc>
      </w:tr>
      <w:tr w14:paraId="5FE95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83" w:type="dxa"/>
            <w:vMerge w:val="continue"/>
            <w:tcBorders>
              <w:left w:val="single" w:color="auto" w:sz="4" w:space="0"/>
              <w:right w:val="single" w:color="auto" w:sz="4" w:space="0"/>
            </w:tcBorders>
            <w:vAlign w:val="center"/>
          </w:tcPr>
          <w:p w14:paraId="60C97AAF">
            <w:pPr>
              <w:keepNext w:val="0"/>
              <w:keepLines w:val="0"/>
              <w:suppressLineNumbers w:val="0"/>
              <w:spacing w:before="0" w:beforeAutospacing="0" w:after="0" w:afterAutospacing="0"/>
              <w:ind w:left="0" w:right="0"/>
              <w:jc w:val="left"/>
              <w:rPr>
                <w:rFonts w:hint="eastAsia" w:ascii="宋体" w:hAnsi="宋体" w:eastAsia="宋体" w:cs="宋体"/>
                <w:sz w:val="21"/>
                <w:szCs w:val="21"/>
              </w:rPr>
            </w:pPr>
          </w:p>
        </w:tc>
        <w:tc>
          <w:tcPr>
            <w:tcW w:w="6674" w:type="dxa"/>
            <w:tcBorders>
              <w:top w:val="single" w:color="auto" w:sz="4" w:space="0"/>
              <w:left w:val="single" w:color="auto" w:sz="4" w:space="0"/>
              <w:bottom w:val="single" w:color="auto" w:sz="4" w:space="0"/>
              <w:right w:val="single" w:color="auto" w:sz="4" w:space="0"/>
            </w:tcBorders>
            <w:vAlign w:val="top"/>
          </w:tcPr>
          <w:p w14:paraId="042625CD">
            <w:pPr>
              <w:keepNext w:val="0"/>
              <w:keepLines w:val="0"/>
              <w:suppressLineNumbers w:val="0"/>
              <w:spacing w:before="0" w:beforeAutospacing="0" w:after="0" w:afterAutospacing="0"/>
              <w:ind w:left="0" w:right="0"/>
              <w:rPr>
                <w:rFonts w:hint="eastAsia" w:ascii="宋体" w:hAnsi="宋体" w:eastAsia="宋体" w:cs="宋体"/>
                <w:b/>
                <w:sz w:val="21"/>
                <w:szCs w:val="21"/>
                <w:highlight w:val="none"/>
                <w:lang w:val="en-US" w:eastAsia="zh-CN"/>
              </w:rPr>
            </w:pPr>
            <w:r>
              <w:rPr>
                <w:rFonts w:hint="eastAsia" w:ascii="宋体" w:hAnsi="宋体" w:eastAsia="宋体" w:cs="宋体"/>
                <w:sz w:val="21"/>
                <w:szCs w:val="21"/>
                <w:highlight w:val="none"/>
                <w:lang w:val="en-US" w:eastAsia="zh-CN"/>
              </w:rPr>
              <w:t>13</w:t>
            </w:r>
            <w:r>
              <w:rPr>
                <w:rFonts w:hint="eastAsia" w:ascii="宋体" w:hAnsi="宋体" w:eastAsia="宋体" w:cs="宋体"/>
                <w:sz w:val="21"/>
                <w:szCs w:val="21"/>
                <w:lang w:val="en-US" w:eastAsia="zh-CN"/>
              </w:rPr>
              <w:t>、</w:t>
            </w:r>
            <w:r>
              <w:rPr>
                <w:rFonts w:hint="eastAsia" w:ascii="宋体" w:hAnsi="宋体" w:eastAsia="宋体" w:cs="宋体"/>
                <w:sz w:val="21"/>
                <w:szCs w:val="21"/>
                <w:highlight w:val="none"/>
              </w:rPr>
              <w:t>通过专业的联动控制芯片，与净化工程的排风系统联动，并自动控制</w:t>
            </w:r>
          </w:p>
        </w:tc>
      </w:tr>
      <w:tr w14:paraId="73B36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83" w:type="dxa"/>
            <w:vMerge w:val="continue"/>
            <w:tcBorders>
              <w:left w:val="single" w:color="auto" w:sz="4" w:space="0"/>
              <w:right w:val="single" w:color="auto" w:sz="4" w:space="0"/>
            </w:tcBorders>
            <w:vAlign w:val="center"/>
          </w:tcPr>
          <w:p w14:paraId="312DAD77">
            <w:pPr>
              <w:keepNext w:val="0"/>
              <w:keepLines w:val="0"/>
              <w:suppressLineNumbers w:val="0"/>
              <w:spacing w:before="0" w:beforeAutospacing="0" w:after="0" w:afterAutospacing="0"/>
              <w:ind w:left="0" w:right="0"/>
              <w:jc w:val="left"/>
              <w:rPr>
                <w:rFonts w:hint="eastAsia" w:ascii="宋体" w:hAnsi="宋体" w:eastAsia="宋体" w:cs="宋体"/>
                <w:sz w:val="21"/>
                <w:szCs w:val="21"/>
              </w:rPr>
            </w:pPr>
          </w:p>
        </w:tc>
        <w:tc>
          <w:tcPr>
            <w:tcW w:w="6674" w:type="dxa"/>
            <w:tcBorders>
              <w:top w:val="single" w:color="auto" w:sz="4" w:space="0"/>
              <w:left w:val="single" w:color="auto" w:sz="4" w:space="0"/>
              <w:bottom w:val="single" w:color="auto" w:sz="4" w:space="0"/>
              <w:right w:val="single" w:color="auto" w:sz="4" w:space="0"/>
            </w:tcBorders>
            <w:vAlign w:val="top"/>
          </w:tcPr>
          <w:p w14:paraId="6C55D1EA">
            <w:pPr>
              <w:keepNext w:val="0"/>
              <w:keepLines w:val="0"/>
              <w:suppressLineNumbers w:val="0"/>
              <w:spacing w:before="0" w:beforeAutospacing="0" w:after="0" w:afterAutospacing="0"/>
              <w:ind w:left="0" w:right="0"/>
              <w:rPr>
                <w:rFonts w:hint="eastAsia" w:ascii="宋体" w:hAnsi="宋体" w:eastAsia="宋体" w:cs="宋体"/>
                <w:b/>
                <w:sz w:val="21"/>
                <w:szCs w:val="21"/>
                <w:lang w:val="en-US" w:eastAsia="zh-CN"/>
              </w:rPr>
            </w:pPr>
            <w:r>
              <w:rPr>
                <w:rFonts w:hint="eastAsia" w:ascii="宋体" w:hAnsi="宋体" w:eastAsia="宋体" w:cs="宋体"/>
                <w:sz w:val="21"/>
                <w:szCs w:val="21"/>
                <w:lang w:val="en-US" w:eastAsia="zh-CN"/>
              </w:rPr>
              <w:t>14、风机维护和高效过滤器的拆装、更换可以从安全柜前部进行</w:t>
            </w:r>
          </w:p>
        </w:tc>
      </w:tr>
      <w:tr w14:paraId="71868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783" w:type="dxa"/>
            <w:vMerge w:val="continue"/>
            <w:tcBorders>
              <w:left w:val="single" w:color="auto" w:sz="4" w:space="0"/>
              <w:right w:val="single" w:color="auto" w:sz="4" w:space="0"/>
            </w:tcBorders>
            <w:vAlign w:val="center"/>
          </w:tcPr>
          <w:p w14:paraId="3D831C06">
            <w:pPr>
              <w:keepNext w:val="0"/>
              <w:keepLines w:val="0"/>
              <w:suppressLineNumbers w:val="0"/>
              <w:spacing w:before="0" w:beforeAutospacing="0" w:after="0" w:afterAutospacing="0"/>
              <w:ind w:left="0" w:right="0"/>
              <w:jc w:val="left"/>
              <w:rPr>
                <w:rFonts w:hint="eastAsia" w:ascii="宋体" w:hAnsi="宋体" w:eastAsia="宋体" w:cs="宋体"/>
                <w:sz w:val="21"/>
                <w:szCs w:val="21"/>
              </w:rPr>
            </w:pPr>
          </w:p>
        </w:tc>
        <w:tc>
          <w:tcPr>
            <w:tcW w:w="6674" w:type="dxa"/>
            <w:tcBorders>
              <w:top w:val="single" w:color="auto" w:sz="4" w:space="0"/>
              <w:left w:val="single" w:color="auto" w:sz="4" w:space="0"/>
              <w:bottom w:val="single" w:color="auto" w:sz="4" w:space="0"/>
              <w:right w:val="single" w:color="auto" w:sz="4" w:space="0"/>
            </w:tcBorders>
            <w:vAlign w:val="top"/>
          </w:tcPr>
          <w:p w14:paraId="3A7B3737">
            <w:pPr>
              <w:keepNext w:val="0"/>
              <w:keepLines w:val="0"/>
              <w:suppressLineNumbers w:val="0"/>
              <w:spacing w:before="0" w:beforeAutospacing="0" w:after="0" w:afterAutospacing="0"/>
              <w:ind w:left="0" w:right="0"/>
              <w:rPr>
                <w:rFonts w:hint="eastAsia" w:ascii="宋体" w:hAnsi="宋体" w:eastAsia="宋体" w:cs="宋体"/>
                <w:b/>
                <w:sz w:val="21"/>
                <w:szCs w:val="21"/>
                <w:lang w:val="en-US" w:eastAsia="zh-CN"/>
              </w:rPr>
            </w:pPr>
            <w:r>
              <w:rPr>
                <w:rFonts w:hint="eastAsia" w:ascii="宋体" w:hAnsi="宋体" w:eastAsia="宋体" w:cs="宋体"/>
                <w:sz w:val="21"/>
                <w:szCs w:val="21"/>
                <w:lang w:val="en-US" w:eastAsia="zh-CN"/>
              </w:rPr>
              <w:t>15、</w:t>
            </w:r>
            <w:r>
              <w:rPr>
                <w:rFonts w:hint="eastAsia" w:ascii="宋体" w:hAnsi="宋体" w:eastAsia="宋体" w:cs="宋体"/>
                <w:sz w:val="21"/>
                <w:szCs w:val="21"/>
              </w:rPr>
              <w:t>柜内电源：双防水插座设计，整机具有断电保护功能</w:t>
            </w:r>
          </w:p>
        </w:tc>
      </w:tr>
      <w:tr w14:paraId="4C2D3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783" w:type="dxa"/>
            <w:vMerge w:val="continue"/>
            <w:tcBorders>
              <w:left w:val="single" w:color="auto" w:sz="4" w:space="0"/>
              <w:right w:val="single" w:color="auto" w:sz="4" w:space="0"/>
            </w:tcBorders>
            <w:vAlign w:val="center"/>
          </w:tcPr>
          <w:p w14:paraId="5418D516">
            <w:pPr>
              <w:keepNext w:val="0"/>
              <w:keepLines w:val="0"/>
              <w:suppressLineNumbers w:val="0"/>
              <w:spacing w:before="0" w:beforeAutospacing="0" w:after="0" w:afterAutospacing="0"/>
              <w:ind w:left="0" w:right="0"/>
              <w:jc w:val="left"/>
              <w:rPr>
                <w:rFonts w:hint="eastAsia" w:ascii="宋体" w:hAnsi="宋体" w:eastAsia="宋体" w:cs="宋体"/>
                <w:sz w:val="21"/>
                <w:szCs w:val="21"/>
              </w:rPr>
            </w:pPr>
          </w:p>
        </w:tc>
        <w:tc>
          <w:tcPr>
            <w:tcW w:w="6674" w:type="dxa"/>
            <w:tcBorders>
              <w:top w:val="single" w:color="auto" w:sz="4" w:space="0"/>
              <w:left w:val="single" w:color="auto" w:sz="4" w:space="0"/>
              <w:bottom w:val="single" w:color="auto" w:sz="4" w:space="0"/>
              <w:right w:val="single" w:color="auto" w:sz="4" w:space="0"/>
            </w:tcBorders>
            <w:vAlign w:val="top"/>
          </w:tcPr>
          <w:p w14:paraId="5727A322">
            <w:pPr>
              <w:keepNext w:val="0"/>
              <w:keepLines w:val="0"/>
              <w:suppressLineNumbers w:val="0"/>
              <w:spacing w:before="0" w:beforeAutospacing="0" w:after="0" w:afterAutospacing="0"/>
              <w:ind w:left="0" w:right="0"/>
              <w:rPr>
                <w:rFonts w:hint="eastAsia" w:ascii="宋体" w:hAnsi="宋体" w:eastAsia="宋体" w:cs="宋体"/>
                <w:b/>
                <w:sz w:val="21"/>
                <w:szCs w:val="21"/>
                <w:lang w:val="en-US" w:eastAsia="zh-CN"/>
              </w:rPr>
            </w:pPr>
            <w:r>
              <w:rPr>
                <w:rFonts w:hint="eastAsia" w:ascii="宋体" w:hAnsi="宋体" w:eastAsia="宋体" w:cs="宋体"/>
                <w:sz w:val="21"/>
                <w:szCs w:val="21"/>
                <w:lang w:val="en-US" w:eastAsia="zh-CN"/>
              </w:rPr>
              <w:t>16、</w:t>
            </w:r>
            <w:r>
              <w:rPr>
                <w:rFonts w:hint="eastAsia" w:ascii="宋体" w:hAnsi="宋体" w:eastAsia="宋体" w:cs="宋体"/>
                <w:sz w:val="21"/>
                <w:szCs w:val="21"/>
              </w:rPr>
              <w:t>噪音</w:t>
            </w:r>
            <w:r>
              <w:rPr>
                <w:rFonts w:hint="eastAsia" w:ascii="宋体" w:hAnsi="宋体" w:eastAsia="宋体" w:cs="宋体"/>
                <w:sz w:val="21"/>
                <w:szCs w:val="21"/>
                <w:lang w:val="en-US" w:eastAsia="zh-CN"/>
              </w:rPr>
              <w:t>≤</w:t>
            </w:r>
            <w:r>
              <w:rPr>
                <w:rFonts w:hint="eastAsia" w:ascii="宋体" w:hAnsi="宋体" w:eastAsia="宋体" w:cs="宋体"/>
                <w:sz w:val="21"/>
                <w:szCs w:val="21"/>
              </w:rPr>
              <w:t>6</w:t>
            </w:r>
            <w:r>
              <w:rPr>
                <w:rFonts w:hint="eastAsia" w:ascii="宋体" w:hAnsi="宋体" w:eastAsia="宋体" w:cs="宋体"/>
                <w:sz w:val="21"/>
                <w:szCs w:val="21"/>
                <w:lang w:val="en-US" w:eastAsia="zh-CN"/>
              </w:rPr>
              <w:t>5</w:t>
            </w:r>
            <w:r>
              <w:rPr>
                <w:rFonts w:hint="eastAsia" w:ascii="宋体" w:hAnsi="宋体" w:eastAsia="宋体" w:cs="宋体"/>
                <w:sz w:val="21"/>
                <w:szCs w:val="21"/>
              </w:rPr>
              <w:t>分贝</w:t>
            </w:r>
          </w:p>
        </w:tc>
      </w:tr>
      <w:tr w14:paraId="6F09E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783" w:type="dxa"/>
            <w:vMerge w:val="continue"/>
            <w:tcBorders>
              <w:left w:val="single" w:color="auto" w:sz="4" w:space="0"/>
              <w:right w:val="single" w:color="auto" w:sz="4" w:space="0"/>
            </w:tcBorders>
            <w:vAlign w:val="center"/>
          </w:tcPr>
          <w:p w14:paraId="4A1AAA7B">
            <w:pPr>
              <w:keepNext w:val="0"/>
              <w:keepLines w:val="0"/>
              <w:suppressLineNumbers w:val="0"/>
              <w:spacing w:before="0" w:beforeAutospacing="0" w:after="0" w:afterAutospacing="0"/>
              <w:ind w:left="0" w:right="0"/>
              <w:jc w:val="left"/>
              <w:rPr>
                <w:rFonts w:hint="eastAsia" w:ascii="宋体" w:hAnsi="宋体" w:eastAsia="宋体" w:cs="宋体"/>
                <w:sz w:val="21"/>
                <w:szCs w:val="21"/>
                <w:highlight w:val="none"/>
              </w:rPr>
            </w:pPr>
          </w:p>
        </w:tc>
        <w:tc>
          <w:tcPr>
            <w:tcW w:w="6674" w:type="dxa"/>
            <w:tcBorders>
              <w:top w:val="single" w:color="auto" w:sz="4" w:space="0"/>
              <w:left w:val="single" w:color="auto" w:sz="4" w:space="0"/>
              <w:bottom w:val="single" w:color="auto" w:sz="4" w:space="0"/>
              <w:right w:val="single" w:color="auto" w:sz="4" w:space="0"/>
            </w:tcBorders>
            <w:vAlign w:val="top"/>
          </w:tcPr>
          <w:p w14:paraId="2377B391">
            <w:pPr>
              <w:keepNext w:val="0"/>
              <w:keepLines w:val="0"/>
              <w:suppressLineNumbers w:val="0"/>
              <w:spacing w:before="0" w:beforeAutospacing="0" w:after="0" w:afterAutospacing="0"/>
              <w:ind w:left="0" w:right="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17.</w:t>
            </w:r>
            <w:r>
              <w:rPr>
                <w:rFonts w:hint="eastAsia" w:ascii="宋体" w:hAnsi="宋体" w:eastAsia="宋体" w:cs="宋体"/>
                <w:color w:val="auto"/>
                <w:sz w:val="21"/>
                <w:szCs w:val="21"/>
                <w:highlight w:val="none"/>
                <w:lang w:val="en-US" w:eastAsia="zh-CN"/>
              </w:rPr>
              <w:t>（A2单人）尺寸要求-</w:t>
            </w:r>
            <w:r>
              <w:rPr>
                <w:rFonts w:hint="eastAsia" w:ascii="宋体" w:hAnsi="宋体" w:eastAsia="宋体" w:cs="宋体"/>
                <w:color w:val="auto"/>
                <w:sz w:val="21"/>
                <w:szCs w:val="21"/>
                <w:lang w:val="en-US" w:eastAsia="zh-CN"/>
              </w:rPr>
              <w:t>外形尺寸(宽×深×高)：1300×800×2250mm（±60mm）（不含脚轮高度）</w:t>
            </w:r>
          </w:p>
          <w:p w14:paraId="39381CE9">
            <w:pPr>
              <w:keepNext w:val="0"/>
              <w:keepLines w:val="0"/>
              <w:suppressLineNumbers w:val="0"/>
              <w:spacing w:before="0" w:beforeAutospacing="0" w:after="0" w:afterAutospacing="0"/>
              <w:ind w:left="0" w:right="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工作区内部尺寸(宽×深×高)：1200×600×650mm（±50mm）</w:t>
            </w:r>
          </w:p>
        </w:tc>
      </w:tr>
      <w:tr w14:paraId="514FC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783" w:type="dxa"/>
            <w:vMerge w:val="continue"/>
            <w:tcBorders>
              <w:left w:val="single" w:color="auto" w:sz="4" w:space="0"/>
              <w:right w:val="single" w:color="auto" w:sz="4" w:space="0"/>
            </w:tcBorders>
            <w:vAlign w:val="center"/>
          </w:tcPr>
          <w:p w14:paraId="4CACE2ED">
            <w:pPr>
              <w:keepNext w:val="0"/>
              <w:keepLines w:val="0"/>
              <w:suppressLineNumbers w:val="0"/>
              <w:spacing w:before="0" w:beforeAutospacing="0" w:after="0" w:afterAutospacing="0"/>
              <w:ind w:left="0" w:right="0"/>
              <w:jc w:val="left"/>
              <w:rPr>
                <w:rFonts w:hint="eastAsia" w:ascii="宋体" w:hAnsi="宋体" w:eastAsia="宋体" w:cs="宋体"/>
                <w:sz w:val="21"/>
                <w:szCs w:val="21"/>
                <w:highlight w:val="none"/>
              </w:rPr>
            </w:pPr>
          </w:p>
        </w:tc>
        <w:tc>
          <w:tcPr>
            <w:tcW w:w="6674" w:type="dxa"/>
            <w:tcBorders>
              <w:top w:val="single" w:color="auto" w:sz="4" w:space="0"/>
              <w:left w:val="single" w:color="auto" w:sz="4" w:space="0"/>
              <w:bottom w:val="single" w:color="auto" w:sz="4" w:space="0"/>
              <w:right w:val="single" w:color="auto" w:sz="4" w:space="0"/>
            </w:tcBorders>
            <w:vAlign w:val="top"/>
          </w:tcPr>
          <w:p w14:paraId="70B8DEBC">
            <w:pPr>
              <w:keepNext w:val="0"/>
              <w:keepLines w:val="0"/>
              <w:suppressLineNumbers w:val="0"/>
              <w:spacing w:before="0" w:beforeAutospacing="0" w:after="0" w:afterAutospacing="0"/>
              <w:ind w:left="0" w:right="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18.</w:t>
            </w:r>
            <w:r>
              <w:rPr>
                <w:rFonts w:hint="eastAsia" w:ascii="宋体" w:hAnsi="宋体" w:eastAsia="宋体" w:cs="宋体"/>
                <w:color w:val="auto"/>
                <w:sz w:val="21"/>
                <w:szCs w:val="21"/>
                <w:highlight w:val="none"/>
                <w:lang w:val="en-US" w:eastAsia="zh-CN"/>
              </w:rPr>
              <w:t>（A2双人）尺寸要求-</w:t>
            </w:r>
            <w:r>
              <w:rPr>
                <w:rFonts w:hint="eastAsia" w:ascii="宋体" w:hAnsi="宋体" w:eastAsia="宋体" w:cs="宋体"/>
                <w:color w:val="auto"/>
                <w:sz w:val="21"/>
                <w:szCs w:val="21"/>
                <w:lang w:val="en-US" w:eastAsia="zh-CN"/>
              </w:rPr>
              <w:t>外形尺寸(宽×深×高)：1600×800×2250mm（±100mm）（不含脚轮高度）</w:t>
            </w:r>
          </w:p>
          <w:p w14:paraId="59AFDFF1">
            <w:pPr>
              <w:keepNext w:val="0"/>
              <w:keepLines w:val="0"/>
              <w:suppressLineNumbers w:val="0"/>
              <w:spacing w:before="0" w:beforeAutospacing="0" w:after="0" w:afterAutospacing="0"/>
              <w:ind w:left="0" w:right="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工作区内部尺寸(宽×深×高)：1450×600×650mm（±50mm）</w:t>
            </w:r>
          </w:p>
        </w:tc>
      </w:tr>
    </w:tbl>
    <w:p w14:paraId="388F0725">
      <w:pPr>
        <w:rPr>
          <w:b/>
          <w:szCs w:val="21"/>
        </w:rPr>
      </w:pPr>
    </w:p>
    <w:p w14:paraId="50C03752">
      <w:pPr>
        <w:pStyle w:val="7"/>
        <w:spacing w:before="120" w:beforeLines="50" w:after="120" w:afterLines="50"/>
        <w:rPr>
          <w:sz w:val="28"/>
          <w:szCs w:val="28"/>
        </w:rPr>
      </w:pPr>
      <w:r>
        <w:rPr>
          <w:rFonts w:hint="eastAsia"/>
          <w:sz w:val="28"/>
          <w:szCs w:val="28"/>
        </w:rPr>
        <w:t>五、商务要求</w:t>
      </w:r>
    </w:p>
    <w:p w14:paraId="0A6B0F89">
      <w:pPr>
        <w:ind w:firstLine="422" w:firstLineChars="200"/>
        <w:rPr>
          <w:b/>
        </w:rPr>
      </w:pPr>
      <w:r>
        <w:rPr>
          <w:rFonts w:hint="eastAsia"/>
          <w:b/>
          <w:szCs w:val="21"/>
        </w:rPr>
        <w:t>说明：</w:t>
      </w:r>
      <w:r>
        <w:rPr>
          <w:b/>
        </w:rPr>
        <w:t>1</w:t>
      </w:r>
      <w:r>
        <w:rPr>
          <w:rFonts w:hint="eastAsia"/>
          <w:b/>
        </w:rPr>
        <w:t>、评分时，如对一项招标商务要求（以划分框为准）中的内容存在两处（或以上）负偏离的，在评分时只作一项负偏离扣分。</w:t>
      </w:r>
    </w:p>
    <w:p w14:paraId="34342D27">
      <w:pPr>
        <w:ind w:firstLine="422" w:firstLineChars="200"/>
        <w:rPr>
          <w:b/>
          <w:szCs w:val="21"/>
        </w:rPr>
      </w:pPr>
      <w:r>
        <w:rPr>
          <w:b/>
          <w:szCs w:val="21"/>
        </w:rPr>
        <w:t>2</w:t>
      </w:r>
      <w:r>
        <w:rPr>
          <w:rFonts w:hint="eastAsia"/>
          <w:b/>
          <w:szCs w:val="21"/>
        </w:rPr>
        <w:t>、带★号条款为不可偏离条款，不作为评分准则中的评分内容</w:t>
      </w:r>
      <w:r>
        <w:rPr>
          <w:rFonts w:hint="eastAsia"/>
          <w:b/>
          <w:szCs w:val="21"/>
          <w:lang w:eastAsia="zh-CN"/>
        </w:rPr>
        <w:t>，</w:t>
      </w:r>
      <w:r>
        <w:rPr>
          <w:rFonts w:hint="eastAsia"/>
          <w:b/>
          <w:szCs w:val="21"/>
        </w:rPr>
        <w:t>如未响应或出现负偏离的，将作投标无效处理；带“</w:t>
      </w:r>
      <w:r>
        <w:t>▲</w:t>
      </w:r>
      <w:r>
        <w:rPr>
          <w:rFonts w:hint="eastAsia"/>
          <w:b/>
          <w:szCs w:val="21"/>
        </w:rPr>
        <w:t>”指标项为重要参数，负偏离时依相关评分准则内容作重点扣分处理。</w:t>
      </w:r>
    </w:p>
    <w:tbl>
      <w:tblPr>
        <w:tblStyle w:val="43"/>
        <w:tblW w:w="467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5"/>
        <w:gridCol w:w="1649"/>
        <w:gridCol w:w="5507"/>
      </w:tblGrid>
      <w:tr w14:paraId="7EDBA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1" w:type="pct"/>
            <w:vAlign w:val="center"/>
          </w:tcPr>
          <w:p w14:paraId="56E7D9AB">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979" w:type="pct"/>
            <w:vAlign w:val="center"/>
          </w:tcPr>
          <w:p w14:paraId="245E8B8B">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目录</w:t>
            </w:r>
          </w:p>
        </w:tc>
        <w:tc>
          <w:tcPr>
            <w:tcW w:w="3269" w:type="pct"/>
            <w:vAlign w:val="center"/>
          </w:tcPr>
          <w:p w14:paraId="4293FC7E">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招标商务需求</w:t>
            </w:r>
          </w:p>
        </w:tc>
      </w:tr>
      <w:tr w14:paraId="55EC8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0" w:type="pct"/>
            <w:gridSpan w:val="3"/>
          </w:tcPr>
          <w:p w14:paraId="17E85102">
            <w:pPr>
              <w:keepNext w:val="0"/>
              <w:keepLines w:val="0"/>
              <w:suppressLineNumbers w:val="0"/>
              <w:spacing w:before="0" w:beforeAutospacing="0" w:after="0" w:afterAutospacing="0"/>
              <w:ind w:left="0" w:right="0"/>
              <w:rPr>
                <w:rFonts w:hint="eastAsia" w:ascii="宋体" w:hAnsi="宋体" w:eastAsia="宋体" w:cs="宋体"/>
                <w:b/>
                <w:color w:val="auto"/>
                <w:sz w:val="21"/>
                <w:szCs w:val="21"/>
              </w:rPr>
            </w:pPr>
            <w:r>
              <w:rPr>
                <w:rFonts w:hint="eastAsia" w:ascii="宋体" w:hAnsi="宋体" w:eastAsia="宋体" w:cs="宋体"/>
                <w:b/>
                <w:color w:val="auto"/>
                <w:sz w:val="21"/>
                <w:szCs w:val="21"/>
              </w:rPr>
              <w:t>（一）免费保修期内售后服务要求</w:t>
            </w:r>
          </w:p>
        </w:tc>
      </w:tr>
      <w:tr w14:paraId="1924F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51" w:type="pct"/>
            <w:vAlign w:val="center"/>
          </w:tcPr>
          <w:p w14:paraId="29A68A69">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1</w:t>
            </w:r>
          </w:p>
        </w:tc>
        <w:tc>
          <w:tcPr>
            <w:tcW w:w="979" w:type="pct"/>
          </w:tcPr>
          <w:p w14:paraId="6EC44E47">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维修响应及故障解决时间</w:t>
            </w:r>
          </w:p>
        </w:tc>
        <w:tc>
          <w:tcPr>
            <w:tcW w:w="3269" w:type="pct"/>
          </w:tcPr>
          <w:p w14:paraId="72227FB3">
            <w:pPr>
              <w:keepNext w:val="0"/>
              <w:keepLines w:val="0"/>
              <w:suppressLineNumbers w:val="0"/>
              <w:spacing w:before="0" w:beforeAutospacing="0" w:after="0" w:afterAutospacing="0"/>
              <w:ind w:left="0" w:right="0"/>
              <w:rPr>
                <w:rFonts w:hint="eastAsia" w:ascii="宋体" w:hAnsi="宋体" w:eastAsia="宋体" w:cs="宋体"/>
                <w:b/>
                <w:color w:val="auto"/>
                <w:sz w:val="21"/>
                <w:szCs w:val="21"/>
              </w:rPr>
            </w:pPr>
            <w:r>
              <w:rPr>
                <w:rFonts w:hint="eastAsia" w:ascii="宋体" w:hAnsi="宋体" w:eastAsia="宋体" w:cs="宋体"/>
                <w:color w:val="auto"/>
                <w:sz w:val="21"/>
                <w:szCs w:val="21"/>
                <w:highlight w:val="none"/>
              </w:rPr>
              <w:t>由设备制造商</w:t>
            </w:r>
            <w:r>
              <w:rPr>
                <w:rFonts w:hint="eastAsia" w:ascii="宋体" w:hAnsi="宋体" w:eastAsia="宋体" w:cs="宋体"/>
                <w:color w:val="auto"/>
                <w:sz w:val="21"/>
                <w:szCs w:val="21"/>
                <w:highlight w:val="none"/>
                <w:lang w:eastAsia="zh-CN"/>
              </w:rPr>
              <w:t>或制造商授权认可的代理商</w:t>
            </w:r>
            <w:r>
              <w:rPr>
                <w:rFonts w:hint="eastAsia" w:ascii="宋体" w:hAnsi="宋体" w:eastAsia="宋体" w:cs="宋体"/>
                <w:color w:val="auto"/>
                <w:sz w:val="21"/>
                <w:szCs w:val="21"/>
                <w:highlight w:val="none"/>
              </w:rPr>
              <w:t>提供售后服务</w:t>
            </w:r>
            <w:r>
              <w:rPr>
                <w:rFonts w:hint="eastAsia" w:ascii="宋体" w:hAnsi="宋体" w:eastAsia="宋体" w:cs="宋体"/>
                <w:color w:val="auto"/>
                <w:sz w:val="21"/>
                <w:szCs w:val="21"/>
                <w:highlight w:val="none"/>
                <w:lang w:eastAsia="zh-CN"/>
              </w:rPr>
              <w:t>，</w:t>
            </w:r>
            <w:r>
              <w:rPr>
                <w:rFonts w:hint="eastAsia" w:ascii="宋体" w:hAnsi="宋体" w:eastAsia="宋体" w:cs="宋体"/>
                <w:bCs/>
                <w:color w:val="auto"/>
                <w:sz w:val="21"/>
                <w:szCs w:val="21"/>
              </w:rPr>
              <w:t>在保修期内，一旦发生质量问题，投标人保证在接到通知</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rPr>
              <w:t xml:space="preserve"> 小时内响应， 24 小时维修到位（不可抗力情况除外）。消耗品和零配件供应及时。</w:t>
            </w:r>
          </w:p>
        </w:tc>
      </w:tr>
      <w:tr w14:paraId="1993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51" w:type="pct"/>
            <w:vAlign w:val="center"/>
          </w:tcPr>
          <w:p w14:paraId="277FE24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979" w:type="pct"/>
          </w:tcPr>
          <w:p w14:paraId="62619A39">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关于保修期</w:t>
            </w:r>
          </w:p>
        </w:tc>
        <w:tc>
          <w:tcPr>
            <w:tcW w:w="3269" w:type="pct"/>
          </w:tcPr>
          <w:p w14:paraId="0F9F179B">
            <w:pPr>
              <w:keepNext w:val="0"/>
              <w:keepLines w:val="0"/>
              <w:suppressLineNumbers w:val="0"/>
              <w:spacing w:before="0" w:beforeAutospacing="0" w:after="0" w:afterAutospacing="0"/>
              <w:ind w:left="0" w:right="0"/>
              <w:rPr>
                <w:rFonts w:hint="eastAsia" w:ascii="宋体" w:hAnsi="宋体" w:eastAsia="宋体" w:cs="宋体"/>
                <w:b/>
                <w:color w:val="auto"/>
                <w:sz w:val="21"/>
                <w:szCs w:val="21"/>
              </w:rPr>
            </w:pPr>
            <w:r>
              <w:rPr>
                <w:rFonts w:hint="eastAsia" w:ascii="宋体" w:hAnsi="宋体" w:eastAsia="宋体" w:cs="宋体"/>
                <w:b/>
                <w:color w:val="auto"/>
                <w:sz w:val="21"/>
                <w:szCs w:val="21"/>
              </w:rPr>
              <w:t>★</w:t>
            </w:r>
            <w:r>
              <w:rPr>
                <w:rFonts w:hint="eastAsia" w:ascii="宋体" w:hAnsi="宋体" w:eastAsia="宋体" w:cs="宋体"/>
                <w:bCs/>
                <w:color w:val="auto"/>
                <w:sz w:val="21"/>
                <w:szCs w:val="21"/>
              </w:rPr>
              <w:t>货物免费保修期</w:t>
            </w:r>
            <w:r>
              <w:rPr>
                <w:rFonts w:hint="eastAsia" w:ascii="宋体" w:hAnsi="宋体" w:eastAsia="宋体" w:cs="宋体"/>
                <w:bCs/>
                <w:color w:val="auto"/>
                <w:sz w:val="21"/>
                <w:szCs w:val="21"/>
                <w:highlight w:val="yellow"/>
                <w:u w:val="single"/>
              </w:rPr>
              <w:t xml:space="preserve">  </w:t>
            </w:r>
            <w:r>
              <w:rPr>
                <w:rFonts w:hint="eastAsia" w:ascii="宋体" w:hAnsi="宋体" w:eastAsia="宋体" w:cs="宋体"/>
                <w:bCs/>
                <w:color w:val="auto"/>
                <w:sz w:val="21"/>
                <w:szCs w:val="21"/>
                <w:highlight w:val="yellow"/>
                <w:u w:val="single"/>
                <w:lang w:val="en-US" w:eastAsia="zh-CN"/>
              </w:rPr>
              <w:t>3</w:t>
            </w:r>
            <w:r>
              <w:rPr>
                <w:rFonts w:hint="eastAsia" w:ascii="宋体" w:hAnsi="宋体" w:eastAsia="宋体" w:cs="宋体"/>
                <w:bCs/>
                <w:color w:val="auto"/>
                <w:sz w:val="21"/>
                <w:szCs w:val="21"/>
                <w:highlight w:val="yellow"/>
                <w:u w:val="single"/>
              </w:rPr>
              <w:t xml:space="preserve">  </w:t>
            </w:r>
            <w:r>
              <w:rPr>
                <w:rFonts w:hint="eastAsia" w:ascii="宋体" w:hAnsi="宋体" w:eastAsia="宋体" w:cs="宋体"/>
                <w:bCs/>
                <w:color w:val="auto"/>
                <w:sz w:val="21"/>
                <w:szCs w:val="21"/>
              </w:rPr>
              <w:t>年，时间自最终验收合格并交付使用之日起计算。</w:t>
            </w:r>
          </w:p>
        </w:tc>
      </w:tr>
      <w:tr w14:paraId="1DC5D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51" w:type="pct"/>
            <w:vAlign w:val="center"/>
          </w:tcPr>
          <w:p w14:paraId="2D4CA87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979" w:type="pct"/>
          </w:tcPr>
          <w:p w14:paraId="03FD1337">
            <w:pPr>
              <w:keepNext w:val="0"/>
              <w:keepLines w:val="0"/>
              <w:suppressLineNumbers w:val="0"/>
              <w:spacing w:before="0" w:beforeAutospacing="0" w:after="0" w:afterAutospacing="0"/>
              <w:ind w:left="0" w:right="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关于保修期</w:t>
            </w:r>
            <w:r>
              <w:rPr>
                <w:rFonts w:hint="eastAsia" w:ascii="宋体" w:hAnsi="宋体" w:eastAsia="宋体" w:cs="宋体"/>
                <w:color w:val="auto"/>
                <w:sz w:val="21"/>
                <w:szCs w:val="21"/>
                <w:lang w:eastAsia="zh-CN"/>
              </w:rPr>
              <w:t>内服务</w:t>
            </w:r>
          </w:p>
        </w:tc>
        <w:tc>
          <w:tcPr>
            <w:tcW w:w="3269" w:type="pct"/>
          </w:tcPr>
          <w:p w14:paraId="6C5CDE9F">
            <w:pPr>
              <w:keepNext w:val="0"/>
              <w:keepLines w:val="0"/>
              <w:suppressLineNumbers w:val="0"/>
              <w:spacing w:before="0" w:beforeAutospacing="0" w:after="0" w:afterAutospacing="0"/>
              <w:ind w:left="0" w:right="0"/>
              <w:rPr>
                <w:rFonts w:hint="eastAsia" w:ascii="宋体" w:hAnsi="宋体" w:eastAsia="宋体" w:cs="宋体"/>
                <w:bCs/>
                <w:color w:val="auto"/>
                <w:sz w:val="21"/>
                <w:szCs w:val="21"/>
              </w:rPr>
            </w:pPr>
            <w:r>
              <w:rPr>
                <w:rFonts w:hint="eastAsia" w:ascii="宋体" w:hAnsi="宋体" w:eastAsia="宋体" w:cs="宋体"/>
                <w:color w:val="auto"/>
                <w:sz w:val="21"/>
                <w:szCs w:val="21"/>
              </w:rPr>
              <w:t xml:space="preserve">保修期内,年度定期预防性维护保养次数应不少于 </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 xml:space="preserve"> 次。保修期内免费更换零配件、免工时费。</w:t>
            </w:r>
          </w:p>
        </w:tc>
      </w:tr>
      <w:tr w14:paraId="21860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51" w:type="pct"/>
            <w:vAlign w:val="center"/>
          </w:tcPr>
          <w:p w14:paraId="1482B9A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979" w:type="pct"/>
          </w:tcPr>
          <w:p w14:paraId="5D263E7A">
            <w:pPr>
              <w:keepNext w:val="0"/>
              <w:keepLines w:val="0"/>
              <w:suppressLineNumbers w:val="0"/>
              <w:spacing w:before="0" w:beforeAutospacing="0" w:after="0" w:afterAutospacing="0"/>
              <w:ind w:left="0" w:right="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关于维修配件及软件升级</w:t>
            </w:r>
          </w:p>
        </w:tc>
        <w:tc>
          <w:tcPr>
            <w:tcW w:w="3269" w:type="pct"/>
          </w:tcPr>
          <w:p w14:paraId="1AE02000">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 xml:space="preserve">投标人负责货物的终身维修，保证 </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 xml:space="preserve"> 年以上供应维修配件， 5 年内免费提供软件升级服务。</w:t>
            </w:r>
          </w:p>
        </w:tc>
      </w:tr>
      <w:tr w14:paraId="757D8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51" w:type="pct"/>
            <w:vAlign w:val="center"/>
          </w:tcPr>
          <w:p w14:paraId="209D78F3">
            <w:pPr>
              <w:keepNext w:val="0"/>
              <w:keepLines w:val="0"/>
              <w:suppressLineNumbers w:val="0"/>
              <w:spacing w:before="0" w:beforeAutospacing="0" w:after="0" w:afterAutospacing="0"/>
              <w:ind w:left="0" w:right="0"/>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5</w:t>
            </w:r>
          </w:p>
        </w:tc>
        <w:tc>
          <w:tcPr>
            <w:tcW w:w="979" w:type="pct"/>
          </w:tcPr>
          <w:p w14:paraId="4D9D99A9">
            <w:pPr>
              <w:keepNext w:val="0"/>
              <w:keepLines w:val="0"/>
              <w:suppressLineNumbers w:val="0"/>
              <w:spacing w:before="0" w:beforeAutospacing="0" w:after="0" w:afterAutospacing="0"/>
              <w:ind w:left="0" w:right="0"/>
              <w:rPr>
                <w:rFonts w:hint="eastAsia" w:ascii="宋体" w:hAnsi="宋体" w:eastAsia="宋体" w:cs="宋体"/>
                <w:b/>
                <w:bCs/>
                <w:color w:val="FF0000"/>
                <w:sz w:val="21"/>
                <w:szCs w:val="21"/>
                <w:lang w:eastAsia="zh-CN"/>
              </w:rPr>
            </w:pPr>
            <w:r>
              <w:rPr>
                <w:rFonts w:hint="eastAsia" w:ascii="宋体" w:hAnsi="宋体" w:eastAsia="宋体" w:cs="宋体"/>
                <w:b/>
                <w:bCs/>
                <w:color w:val="FF0000"/>
                <w:sz w:val="21"/>
                <w:szCs w:val="21"/>
                <w:lang w:eastAsia="zh-CN"/>
              </w:rPr>
              <w:t>关于设备设计使用年限</w:t>
            </w:r>
          </w:p>
        </w:tc>
        <w:tc>
          <w:tcPr>
            <w:tcW w:w="3269" w:type="pct"/>
          </w:tcPr>
          <w:p w14:paraId="34FF686F">
            <w:pPr>
              <w:keepNext w:val="0"/>
              <w:keepLines w:val="0"/>
              <w:suppressLineNumbers w:val="0"/>
              <w:spacing w:before="0" w:beforeAutospacing="0" w:after="0" w:afterAutospacing="0"/>
              <w:ind w:left="0" w:right="0"/>
              <w:rPr>
                <w:rFonts w:hint="eastAsia" w:ascii="宋体" w:hAnsi="宋体" w:eastAsia="宋体" w:cs="宋体"/>
                <w:b/>
                <w:bCs/>
                <w:color w:val="FF0000"/>
                <w:sz w:val="21"/>
                <w:szCs w:val="21"/>
                <w:lang w:eastAsia="zh-CN"/>
              </w:rPr>
            </w:pPr>
            <w:r>
              <w:rPr>
                <w:rFonts w:hint="eastAsia" w:ascii="宋体" w:hAnsi="宋体" w:eastAsia="宋体" w:cs="宋体"/>
                <w:b/>
                <w:bCs/>
                <w:color w:val="FF0000"/>
                <w:sz w:val="21"/>
                <w:szCs w:val="21"/>
              </w:rPr>
              <w:t>★投标人提供的仪器设备</w:t>
            </w:r>
            <w:r>
              <w:rPr>
                <w:rFonts w:hint="eastAsia" w:ascii="宋体" w:hAnsi="宋体" w:eastAsia="宋体" w:cs="宋体"/>
                <w:b/>
                <w:bCs/>
                <w:color w:val="FF0000"/>
                <w:sz w:val="21"/>
                <w:szCs w:val="21"/>
                <w:lang w:eastAsia="zh-CN"/>
              </w:rPr>
              <w:t>属于医疗器械的，其</w:t>
            </w:r>
            <w:r>
              <w:rPr>
                <w:rFonts w:hint="eastAsia" w:ascii="宋体" w:hAnsi="宋体" w:eastAsia="宋体" w:cs="宋体"/>
                <w:b/>
                <w:bCs/>
                <w:color w:val="FF0000"/>
                <w:sz w:val="21"/>
                <w:szCs w:val="21"/>
              </w:rPr>
              <w:t>设计使用年限≥</w:t>
            </w:r>
            <w:r>
              <w:rPr>
                <w:rFonts w:hint="eastAsia" w:ascii="宋体" w:hAnsi="宋体" w:eastAsia="宋体" w:cs="宋体"/>
                <w:b/>
                <w:bCs/>
                <w:color w:val="FF0000"/>
                <w:sz w:val="21"/>
                <w:szCs w:val="21"/>
                <w:lang w:val="en-US" w:eastAsia="zh-CN"/>
              </w:rPr>
              <w:t>5</w:t>
            </w:r>
            <w:r>
              <w:rPr>
                <w:rFonts w:hint="eastAsia" w:ascii="宋体" w:hAnsi="宋体" w:eastAsia="宋体" w:cs="宋体"/>
                <w:b/>
                <w:bCs/>
                <w:color w:val="FF0000"/>
                <w:sz w:val="21"/>
                <w:szCs w:val="21"/>
              </w:rPr>
              <w:t>年。【设计年限需提供设备说明书或</w:t>
            </w:r>
            <w:r>
              <w:rPr>
                <w:rFonts w:hint="eastAsia" w:ascii="宋体" w:hAnsi="宋体" w:eastAsia="宋体" w:cs="宋体"/>
                <w:b/>
                <w:bCs/>
                <w:color w:val="FF0000"/>
                <w:sz w:val="21"/>
                <w:szCs w:val="21"/>
                <w:lang w:val="en-US" w:eastAsia="zh-CN"/>
              </w:rPr>
              <w:t>设备铭牌照片</w:t>
            </w:r>
            <w:r>
              <w:rPr>
                <w:rFonts w:hint="eastAsia" w:ascii="宋体" w:hAnsi="宋体" w:eastAsia="宋体" w:cs="宋体"/>
                <w:b/>
                <w:bCs/>
                <w:color w:val="FF0000"/>
                <w:sz w:val="21"/>
                <w:szCs w:val="21"/>
              </w:rPr>
              <w:t>进行佐证】</w:t>
            </w:r>
          </w:p>
        </w:tc>
      </w:tr>
      <w:tr w14:paraId="314C2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51" w:type="pct"/>
            <w:vAlign w:val="center"/>
          </w:tcPr>
          <w:p w14:paraId="7F664A37">
            <w:pPr>
              <w:keepNext w:val="0"/>
              <w:keepLines w:val="0"/>
              <w:suppressLineNumbers w:val="0"/>
              <w:spacing w:before="0" w:beforeAutospacing="0" w:after="0" w:afterAutospacing="0"/>
              <w:ind w:left="0" w:right="0"/>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6</w:t>
            </w:r>
          </w:p>
        </w:tc>
        <w:tc>
          <w:tcPr>
            <w:tcW w:w="979" w:type="pct"/>
          </w:tcPr>
          <w:p w14:paraId="47561368">
            <w:pPr>
              <w:keepNext w:val="0"/>
              <w:keepLines w:val="0"/>
              <w:suppressLineNumbers w:val="0"/>
              <w:spacing w:before="0" w:beforeAutospacing="0" w:after="0" w:afterAutospacing="0"/>
              <w:ind w:left="0" w:right="0"/>
              <w:rPr>
                <w:rFonts w:hint="eastAsia" w:ascii="宋体" w:hAnsi="宋体" w:eastAsia="宋体" w:cs="宋体"/>
                <w:b/>
                <w:bCs/>
                <w:color w:val="FF0000"/>
                <w:sz w:val="21"/>
                <w:szCs w:val="21"/>
                <w:lang w:eastAsia="zh-CN"/>
              </w:rPr>
            </w:pPr>
            <w:r>
              <w:rPr>
                <w:rFonts w:hint="eastAsia" w:ascii="宋体" w:hAnsi="宋体" w:eastAsia="宋体" w:cs="宋体"/>
                <w:b/>
                <w:bCs/>
                <w:color w:val="FF0000"/>
                <w:sz w:val="21"/>
                <w:szCs w:val="21"/>
                <w:lang w:eastAsia="zh-CN"/>
              </w:rPr>
              <w:t>关于设备生产日期</w:t>
            </w:r>
          </w:p>
        </w:tc>
        <w:tc>
          <w:tcPr>
            <w:tcW w:w="3269" w:type="pct"/>
          </w:tcPr>
          <w:p w14:paraId="77DFAC17">
            <w:pPr>
              <w:keepNext w:val="0"/>
              <w:keepLines w:val="0"/>
              <w:suppressLineNumbers w:val="0"/>
              <w:spacing w:before="0" w:beforeAutospacing="0" w:after="0" w:afterAutospacing="0"/>
              <w:ind w:left="0" w:right="0"/>
              <w:rPr>
                <w:rFonts w:hint="eastAsia" w:ascii="宋体" w:hAnsi="宋体" w:eastAsia="宋体" w:cs="宋体"/>
                <w:b/>
                <w:bCs/>
                <w:color w:val="FF0000"/>
                <w:sz w:val="21"/>
                <w:szCs w:val="21"/>
              </w:rPr>
            </w:pPr>
            <w:r>
              <w:rPr>
                <w:rFonts w:hint="eastAsia" w:ascii="宋体" w:hAnsi="宋体" w:eastAsia="宋体" w:cs="宋体"/>
                <w:b/>
                <w:bCs/>
                <w:color w:val="FF0000"/>
                <w:sz w:val="21"/>
                <w:szCs w:val="21"/>
              </w:rPr>
              <w:t>★投标人提供的仪器设备的生产日期必须在</w:t>
            </w:r>
            <w:r>
              <w:rPr>
                <w:rFonts w:hint="eastAsia" w:ascii="宋体" w:hAnsi="宋体" w:eastAsia="宋体" w:cs="宋体"/>
                <w:b/>
                <w:bCs/>
                <w:color w:val="FF0000"/>
                <w:sz w:val="21"/>
                <w:szCs w:val="21"/>
                <w:lang w:val="en-US" w:eastAsia="zh-CN"/>
              </w:rPr>
              <w:t>1</w:t>
            </w:r>
            <w:r>
              <w:rPr>
                <w:rFonts w:hint="eastAsia" w:ascii="宋体" w:hAnsi="宋体" w:eastAsia="宋体" w:cs="宋体"/>
                <w:b/>
                <w:bCs/>
                <w:color w:val="FF0000"/>
                <w:sz w:val="21"/>
                <w:szCs w:val="21"/>
              </w:rPr>
              <w:t>年内生产</w:t>
            </w:r>
            <w:r>
              <w:rPr>
                <w:rFonts w:hint="eastAsia" w:ascii="宋体" w:hAnsi="宋体" w:eastAsia="宋体" w:cs="宋体"/>
                <w:b/>
                <w:bCs/>
                <w:color w:val="FF0000"/>
                <w:sz w:val="21"/>
                <w:szCs w:val="21"/>
                <w:lang w:eastAsia="zh-CN"/>
              </w:rPr>
              <w:t>，</w:t>
            </w:r>
            <w:r>
              <w:rPr>
                <w:rFonts w:hint="eastAsia" w:ascii="宋体" w:hAnsi="宋体" w:eastAsia="宋体" w:cs="宋体"/>
                <w:b/>
                <w:bCs/>
                <w:color w:val="FF0000"/>
                <w:sz w:val="21"/>
                <w:szCs w:val="21"/>
              </w:rPr>
              <w:t>时间自</w:t>
            </w:r>
            <w:r>
              <w:rPr>
                <w:rFonts w:hint="eastAsia" w:ascii="宋体" w:hAnsi="宋体" w:eastAsia="宋体" w:cs="宋体"/>
                <w:b/>
                <w:bCs/>
                <w:color w:val="FF0000"/>
                <w:sz w:val="21"/>
                <w:szCs w:val="21"/>
                <w:lang w:eastAsia="zh-CN"/>
              </w:rPr>
              <w:t>设备到货日期起算</w:t>
            </w:r>
            <w:r>
              <w:rPr>
                <w:rFonts w:hint="eastAsia" w:ascii="宋体" w:hAnsi="宋体" w:eastAsia="宋体" w:cs="宋体"/>
                <w:b/>
                <w:bCs/>
                <w:color w:val="FF0000"/>
                <w:sz w:val="21"/>
                <w:szCs w:val="21"/>
              </w:rPr>
              <w:t>【生产日期需提供承诺书（格式自拟）】</w:t>
            </w:r>
          </w:p>
        </w:tc>
      </w:tr>
      <w:tr w14:paraId="1F341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751" w:type="pct"/>
            <w:vAlign w:val="center"/>
          </w:tcPr>
          <w:p w14:paraId="0305792D">
            <w:pPr>
              <w:keepNext w:val="0"/>
              <w:keepLines w:val="0"/>
              <w:suppressLineNumbers w:val="0"/>
              <w:spacing w:before="0" w:beforeAutospacing="0" w:after="0" w:afterAutospacing="0"/>
              <w:ind w:left="0" w:right="0"/>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7</w:t>
            </w:r>
          </w:p>
        </w:tc>
        <w:tc>
          <w:tcPr>
            <w:tcW w:w="979" w:type="pct"/>
          </w:tcPr>
          <w:p w14:paraId="20765B2D">
            <w:pPr>
              <w:keepNext w:val="0"/>
              <w:keepLines w:val="0"/>
              <w:suppressLineNumbers w:val="0"/>
              <w:spacing w:before="0" w:beforeAutospacing="0" w:after="0" w:afterAutospacing="0"/>
              <w:ind w:left="0" w:right="0"/>
              <w:rPr>
                <w:rFonts w:hint="eastAsia" w:ascii="宋体" w:hAnsi="宋体" w:eastAsia="宋体" w:cs="宋体"/>
                <w:b/>
                <w:bCs/>
                <w:color w:val="FF0000"/>
                <w:sz w:val="21"/>
                <w:szCs w:val="21"/>
                <w:lang w:eastAsia="zh-CN"/>
              </w:rPr>
            </w:pPr>
            <w:r>
              <w:rPr>
                <w:rFonts w:hint="eastAsia" w:ascii="宋体" w:hAnsi="宋体" w:eastAsia="宋体" w:cs="宋体"/>
                <w:b/>
                <w:bCs/>
                <w:color w:val="FF0000"/>
                <w:sz w:val="21"/>
                <w:szCs w:val="21"/>
                <w:lang w:eastAsia="zh-CN"/>
              </w:rPr>
              <w:t>关于配套试剂及耗材</w:t>
            </w:r>
          </w:p>
        </w:tc>
        <w:tc>
          <w:tcPr>
            <w:tcW w:w="3269" w:type="pct"/>
          </w:tcPr>
          <w:p w14:paraId="728EC7E2">
            <w:pPr>
              <w:keepNext w:val="0"/>
              <w:keepLines w:val="0"/>
              <w:suppressLineNumbers w:val="0"/>
              <w:spacing w:before="0" w:beforeAutospacing="0" w:after="0" w:afterAutospacing="0"/>
              <w:ind w:left="0" w:right="0"/>
              <w:rPr>
                <w:rFonts w:hint="eastAsia" w:ascii="宋体" w:hAnsi="宋体" w:eastAsia="宋体" w:cs="宋体"/>
                <w:b/>
                <w:bCs/>
                <w:color w:val="FF0000"/>
                <w:sz w:val="21"/>
                <w:szCs w:val="21"/>
                <w:lang w:val="en-US" w:eastAsia="zh-CN"/>
              </w:rPr>
            </w:pPr>
            <w:r>
              <w:rPr>
                <w:rFonts w:hint="eastAsia" w:ascii="宋体" w:hAnsi="宋体" w:eastAsia="宋体" w:cs="宋体"/>
                <w:b/>
                <w:bCs/>
                <w:color w:val="FF0000"/>
                <w:sz w:val="21"/>
                <w:szCs w:val="21"/>
                <w:highlight w:val="none"/>
              </w:rPr>
              <w:t>★承诺</w:t>
            </w:r>
            <w:r>
              <w:rPr>
                <w:rFonts w:hint="eastAsia" w:ascii="宋体" w:hAnsi="宋体" w:eastAsia="宋体" w:cs="宋体"/>
                <w:b/>
                <w:bCs/>
                <w:color w:val="FF0000"/>
                <w:sz w:val="21"/>
                <w:szCs w:val="21"/>
                <w:highlight w:val="none"/>
                <w:lang w:eastAsia="zh-CN"/>
              </w:rPr>
              <w:t>可</w:t>
            </w:r>
            <w:r>
              <w:rPr>
                <w:rFonts w:hint="eastAsia" w:ascii="宋体" w:hAnsi="宋体" w:eastAsia="宋体" w:cs="宋体"/>
                <w:b/>
                <w:bCs/>
                <w:color w:val="FF0000"/>
                <w:sz w:val="21"/>
                <w:szCs w:val="21"/>
                <w:highlight w:val="none"/>
              </w:rPr>
              <w:t>在深圳医用耗材阳光交易和监管平台上采购仪器配套封闭试剂及耗材，</w:t>
            </w:r>
            <w:r>
              <w:rPr>
                <w:rFonts w:hint="eastAsia" w:ascii="宋体" w:hAnsi="宋体" w:eastAsia="宋体" w:cs="宋体"/>
                <w:b/>
                <w:bCs/>
                <w:color w:val="FF0000"/>
                <w:sz w:val="21"/>
                <w:szCs w:val="21"/>
              </w:rPr>
              <w:t>阳光采购平台上注册为限价目录产品</w:t>
            </w:r>
            <w:r>
              <w:rPr>
                <w:rFonts w:hint="eastAsia" w:ascii="宋体" w:hAnsi="宋体" w:eastAsia="宋体" w:cs="宋体"/>
                <w:b/>
                <w:bCs/>
                <w:color w:val="FF0000"/>
                <w:sz w:val="21"/>
                <w:szCs w:val="21"/>
                <w:lang w:eastAsia="zh-CN"/>
              </w:rPr>
              <w:t>，</w:t>
            </w:r>
            <w:r>
              <w:rPr>
                <w:rFonts w:hint="eastAsia" w:ascii="宋体" w:hAnsi="宋体" w:eastAsia="宋体" w:cs="宋体"/>
                <w:b/>
                <w:bCs/>
                <w:color w:val="FF0000"/>
                <w:sz w:val="21"/>
                <w:szCs w:val="21"/>
                <w:highlight w:val="none"/>
              </w:rPr>
              <w:t>并承诺提供深圳市内最低供货价</w:t>
            </w:r>
            <w:r>
              <w:rPr>
                <w:rFonts w:hint="eastAsia" w:ascii="宋体" w:hAnsi="宋体" w:eastAsia="宋体" w:cs="宋体"/>
                <w:b/>
                <w:bCs/>
                <w:color w:val="FF0000"/>
                <w:sz w:val="21"/>
                <w:szCs w:val="21"/>
              </w:rPr>
              <w:t>【</w:t>
            </w:r>
            <w:r>
              <w:rPr>
                <w:rFonts w:hint="eastAsia" w:ascii="宋体" w:hAnsi="宋体" w:eastAsia="宋体" w:cs="宋体"/>
                <w:b/>
                <w:bCs/>
                <w:color w:val="FF0000"/>
                <w:sz w:val="21"/>
                <w:szCs w:val="21"/>
                <w:highlight w:val="none"/>
              </w:rPr>
              <w:t>提供承诺函，</w:t>
            </w:r>
            <w:r>
              <w:rPr>
                <w:rFonts w:hint="eastAsia" w:ascii="宋体" w:hAnsi="宋体" w:eastAsia="宋体" w:cs="宋体"/>
                <w:b/>
                <w:bCs/>
                <w:color w:val="FF0000"/>
                <w:sz w:val="21"/>
                <w:szCs w:val="21"/>
              </w:rPr>
              <w:t>（格式自拟）】</w:t>
            </w:r>
            <w:r>
              <w:rPr>
                <w:rFonts w:hint="eastAsia" w:ascii="宋体" w:hAnsi="宋体" w:eastAsia="宋体" w:cs="宋体"/>
                <w:b/>
                <w:bCs/>
                <w:color w:val="FF0000"/>
                <w:sz w:val="21"/>
                <w:szCs w:val="21"/>
                <w:highlight w:val="none"/>
              </w:rPr>
              <w:t>。</w:t>
            </w:r>
            <w:r>
              <w:rPr>
                <w:rFonts w:hint="eastAsia" w:ascii="宋体" w:hAnsi="宋体" w:eastAsia="宋体" w:cs="宋体"/>
                <w:b/>
                <w:bCs/>
                <w:sz w:val="21"/>
                <w:szCs w:val="21"/>
                <w:lang w:val="en-US" w:eastAsia="zh-CN"/>
              </w:rPr>
              <w:t>无配套试剂及耗材则无需提供</w:t>
            </w:r>
          </w:p>
        </w:tc>
      </w:tr>
      <w:tr w14:paraId="0B3A8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51" w:type="pct"/>
            <w:vAlign w:val="center"/>
          </w:tcPr>
          <w:p w14:paraId="6CE10008">
            <w:pPr>
              <w:keepNext w:val="0"/>
              <w:keepLines w:val="0"/>
              <w:suppressLineNumbers w:val="0"/>
              <w:spacing w:before="0" w:beforeAutospacing="0" w:after="0" w:afterAutospacing="0"/>
              <w:ind w:left="0" w:right="0"/>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8</w:t>
            </w:r>
          </w:p>
        </w:tc>
        <w:tc>
          <w:tcPr>
            <w:tcW w:w="979" w:type="pct"/>
          </w:tcPr>
          <w:p w14:paraId="7066CD82">
            <w:pPr>
              <w:keepNext w:val="0"/>
              <w:keepLines w:val="0"/>
              <w:suppressLineNumbers w:val="0"/>
              <w:spacing w:before="0" w:beforeAutospacing="0" w:after="0" w:afterAutospacing="0"/>
              <w:ind w:left="0" w:right="0"/>
              <w:rPr>
                <w:rFonts w:hint="eastAsia" w:ascii="宋体" w:hAnsi="宋体" w:eastAsia="宋体" w:cs="宋体"/>
                <w:b/>
                <w:bCs/>
                <w:color w:val="FF0000"/>
                <w:sz w:val="21"/>
                <w:szCs w:val="21"/>
                <w:lang w:eastAsia="zh-CN"/>
              </w:rPr>
            </w:pPr>
            <w:r>
              <w:rPr>
                <w:rFonts w:hint="eastAsia" w:ascii="宋体" w:hAnsi="宋体" w:eastAsia="宋体" w:cs="宋体"/>
                <w:b/>
                <w:bCs/>
                <w:color w:val="FF0000"/>
                <w:sz w:val="21"/>
                <w:szCs w:val="21"/>
                <w:lang w:eastAsia="zh-CN"/>
              </w:rPr>
              <w:t>关于</w:t>
            </w:r>
            <w:r>
              <w:rPr>
                <w:rFonts w:hint="eastAsia" w:ascii="宋体" w:hAnsi="宋体" w:eastAsia="宋体" w:cs="宋体"/>
                <w:b/>
                <w:bCs/>
                <w:color w:val="FF0000"/>
                <w:sz w:val="21"/>
                <w:szCs w:val="21"/>
                <w:highlight w:val="none"/>
              </w:rPr>
              <w:t>零配件、消耗品和延续保修</w:t>
            </w:r>
          </w:p>
        </w:tc>
        <w:tc>
          <w:tcPr>
            <w:tcW w:w="3269" w:type="pct"/>
          </w:tcPr>
          <w:p w14:paraId="230CF6EB">
            <w:pPr>
              <w:keepNext w:val="0"/>
              <w:keepLines w:val="0"/>
              <w:suppressLineNumbers w:val="0"/>
              <w:spacing w:before="0" w:beforeAutospacing="0" w:after="0" w:afterAutospacing="0"/>
              <w:ind w:left="0" w:right="0"/>
              <w:rPr>
                <w:rFonts w:hint="eastAsia" w:ascii="宋体" w:hAnsi="宋体" w:eastAsia="宋体" w:cs="宋体"/>
                <w:b/>
                <w:bCs/>
                <w:color w:val="FF0000"/>
                <w:sz w:val="21"/>
                <w:szCs w:val="21"/>
                <w:highlight w:val="none"/>
              </w:rPr>
            </w:pPr>
            <w:r>
              <w:rPr>
                <w:rFonts w:hint="eastAsia" w:ascii="宋体" w:hAnsi="宋体" w:eastAsia="宋体" w:cs="宋体"/>
                <w:b/>
                <w:bCs/>
                <w:color w:val="FF0000"/>
                <w:sz w:val="21"/>
                <w:szCs w:val="21"/>
                <w:highlight w:val="none"/>
              </w:rPr>
              <w:t>投标人应</w:t>
            </w:r>
            <w:r>
              <w:rPr>
                <w:rFonts w:hint="eastAsia" w:ascii="宋体" w:hAnsi="宋体" w:eastAsia="宋体" w:cs="宋体"/>
                <w:b/>
                <w:bCs/>
                <w:color w:val="FF0000"/>
                <w:sz w:val="21"/>
                <w:szCs w:val="21"/>
                <w:highlight w:val="none"/>
                <w:lang w:eastAsia="zh-CN"/>
              </w:rPr>
              <w:t>提供</w:t>
            </w:r>
            <w:r>
              <w:rPr>
                <w:rFonts w:hint="eastAsia" w:ascii="宋体" w:hAnsi="宋体" w:eastAsia="宋体" w:cs="宋体"/>
                <w:b/>
                <w:bCs/>
                <w:color w:val="FF0000"/>
                <w:sz w:val="21"/>
                <w:szCs w:val="21"/>
                <w:highlight w:val="none"/>
              </w:rPr>
              <w:t>维修零配件、消耗品和延续保修</w:t>
            </w:r>
            <w:r>
              <w:rPr>
                <w:rFonts w:hint="eastAsia" w:ascii="宋体" w:hAnsi="宋体" w:eastAsia="宋体" w:cs="宋体"/>
                <w:b/>
                <w:bCs/>
                <w:color w:val="FF0000"/>
                <w:sz w:val="21"/>
                <w:szCs w:val="21"/>
                <w:highlight w:val="none"/>
                <w:lang w:eastAsia="zh-CN"/>
              </w:rPr>
              <w:t>的报价单</w:t>
            </w:r>
            <w:r>
              <w:rPr>
                <w:rFonts w:hint="eastAsia" w:ascii="宋体" w:hAnsi="宋体" w:eastAsia="宋体" w:cs="宋体"/>
                <w:b/>
                <w:bCs/>
                <w:color w:val="FF0000"/>
                <w:sz w:val="21"/>
                <w:szCs w:val="21"/>
                <w:highlight w:val="none"/>
              </w:rPr>
              <w:t>。价格最高的前</w:t>
            </w:r>
            <w:r>
              <w:rPr>
                <w:rFonts w:hint="eastAsia" w:ascii="宋体" w:hAnsi="宋体" w:eastAsia="宋体" w:cs="宋体"/>
                <w:b/>
                <w:bCs/>
                <w:color w:val="FF0000"/>
                <w:sz w:val="21"/>
                <w:szCs w:val="21"/>
                <w:highlight w:val="none"/>
                <w:u w:val="single"/>
              </w:rPr>
              <w:t xml:space="preserve"> 5</w:t>
            </w:r>
            <w:r>
              <w:rPr>
                <w:rFonts w:hint="eastAsia" w:ascii="宋体" w:hAnsi="宋体" w:eastAsia="宋体" w:cs="宋体"/>
                <w:b/>
                <w:bCs/>
                <w:color w:val="FF0000"/>
                <w:sz w:val="21"/>
                <w:szCs w:val="21"/>
                <w:highlight w:val="none"/>
              </w:rPr>
              <w:t>项零配件、消耗品和延续保修的报价明细必须填写于《零配件、消耗品和延续保修报价明细清单》中</w:t>
            </w:r>
            <w:r>
              <w:rPr>
                <w:rFonts w:hint="eastAsia" w:ascii="宋体" w:hAnsi="宋体" w:eastAsia="宋体" w:cs="宋体"/>
                <w:b/>
                <w:bCs/>
                <w:color w:val="FF0000"/>
                <w:sz w:val="21"/>
                <w:szCs w:val="21"/>
                <w:highlight w:val="none"/>
                <w:lang w:eastAsia="zh-CN"/>
              </w:rPr>
              <w:t>（清单格式自拟）</w:t>
            </w:r>
            <w:r>
              <w:rPr>
                <w:rFonts w:hint="eastAsia" w:ascii="宋体" w:hAnsi="宋体" w:eastAsia="宋体" w:cs="宋体"/>
                <w:b/>
                <w:bCs/>
                <w:color w:val="FF0000"/>
                <w:sz w:val="21"/>
                <w:szCs w:val="21"/>
                <w:highlight w:val="none"/>
              </w:rPr>
              <w:t>。</w:t>
            </w:r>
          </w:p>
        </w:tc>
      </w:tr>
      <w:tr w14:paraId="52DFA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51" w:type="pct"/>
            <w:vAlign w:val="center"/>
          </w:tcPr>
          <w:p w14:paraId="0DA024D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w:t>
            </w:r>
          </w:p>
        </w:tc>
        <w:tc>
          <w:tcPr>
            <w:tcW w:w="979" w:type="pct"/>
          </w:tcPr>
          <w:p w14:paraId="65261C5F">
            <w:pPr>
              <w:keepNext w:val="0"/>
              <w:keepLines w:val="0"/>
              <w:suppressLineNumbers w:val="0"/>
              <w:spacing w:before="0" w:beforeAutospacing="0" w:after="0" w:afterAutospacing="0"/>
              <w:ind w:left="0" w:right="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关于设备开机率</w:t>
            </w:r>
          </w:p>
        </w:tc>
        <w:tc>
          <w:tcPr>
            <w:tcW w:w="3269" w:type="pct"/>
          </w:tcPr>
          <w:p w14:paraId="2D953BD5">
            <w:pPr>
              <w:keepNext w:val="0"/>
              <w:keepLines w:val="0"/>
              <w:suppressLineNumbers w:val="0"/>
              <w:spacing w:before="0" w:beforeAutospacing="0" w:after="0" w:afterAutospacing="0" w:line="360" w:lineRule="auto"/>
              <w:ind w:left="0" w:right="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在保修期内, 投标人应确保年开机率在95%</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含</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以上, 若不能达到此开机率，将作以下处理：</w:t>
            </w:r>
          </w:p>
          <w:p w14:paraId="441BF8A8">
            <w:pPr>
              <w:keepNext w:val="0"/>
              <w:keepLines w:val="0"/>
              <w:suppressLineNumbers w:val="0"/>
              <w:spacing w:before="0" w:beforeAutospacing="0" w:after="0" w:afterAutospacing="0" w:line="360" w:lineRule="auto"/>
              <w:ind w:left="420" w:leftChars="200" w:right="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A</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rPr>
              <w:t>年开机率在90（含）-95%（不含）之间按一赔</w:t>
            </w:r>
            <w:r>
              <w:rPr>
                <w:rFonts w:hint="eastAsia" w:ascii="宋体" w:hAnsi="宋体" w:eastAsia="宋体" w:cs="宋体"/>
                <w:bCs/>
                <w:color w:val="auto"/>
                <w:sz w:val="21"/>
                <w:szCs w:val="21"/>
                <w:highlight w:val="none"/>
                <w:u w:val="single"/>
              </w:rPr>
              <w:t xml:space="preserve"> 二 </w:t>
            </w:r>
            <w:r>
              <w:rPr>
                <w:rFonts w:hint="eastAsia" w:ascii="宋体" w:hAnsi="宋体" w:eastAsia="宋体" w:cs="宋体"/>
                <w:bCs/>
                <w:color w:val="auto"/>
                <w:sz w:val="21"/>
                <w:szCs w:val="21"/>
                <w:highlight w:val="none"/>
              </w:rPr>
              <w:t>延长保修期.</w:t>
            </w:r>
          </w:p>
          <w:p w14:paraId="0EA1A3EC">
            <w:pPr>
              <w:keepNext w:val="0"/>
              <w:keepLines w:val="0"/>
              <w:suppressLineNumbers w:val="0"/>
              <w:spacing w:before="0" w:beforeAutospacing="0" w:after="0" w:afterAutospacing="0" w:line="360" w:lineRule="auto"/>
              <w:ind w:left="420" w:leftChars="200" w:right="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B</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rPr>
              <w:t>年开机率在85（含）-90%（不含）之间按一赔</w:t>
            </w:r>
            <w:r>
              <w:rPr>
                <w:rFonts w:hint="eastAsia" w:ascii="宋体" w:hAnsi="宋体" w:eastAsia="宋体" w:cs="宋体"/>
                <w:bCs/>
                <w:color w:val="auto"/>
                <w:sz w:val="21"/>
                <w:szCs w:val="21"/>
                <w:highlight w:val="none"/>
                <w:u w:val="single"/>
              </w:rPr>
              <w:t xml:space="preserve"> 五 </w:t>
            </w:r>
            <w:r>
              <w:rPr>
                <w:rFonts w:hint="eastAsia" w:ascii="宋体" w:hAnsi="宋体" w:eastAsia="宋体" w:cs="宋体"/>
                <w:bCs/>
                <w:color w:val="auto"/>
                <w:sz w:val="21"/>
                <w:szCs w:val="21"/>
                <w:highlight w:val="none"/>
              </w:rPr>
              <w:t>延长保修期</w:t>
            </w:r>
          </w:p>
          <w:p w14:paraId="2223D81D">
            <w:pPr>
              <w:keepNext w:val="0"/>
              <w:keepLines w:val="0"/>
              <w:suppressLineNumbers w:val="0"/>
              <w:spacing w:before="0" w:beforeAutospacing="0" w:after="0" w:afterAutospacing="0" w:line="360" w:lineRule="auto"/>
              <w:ind w:left="735" w:leftChars="200" w:right="0" w:hanging="315" w:hangingChars="1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C</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rPr>
              <w:t>年开机率低于85%（</w:t>
            </w:r>
            <w:r>
              <w:rPr>
                <w:rFonts w:hint="eastAsia" w:ascii="宋体" w:hAnsi="宋体" w:eastAsia="宋体" w:cs="宋体"/>
                <w:bCs/>
                <w:color w:val="auto"/>
                <w:sz w:val="21"/>
                <w:szCs w:val="21"/>
                <w:highlight w:val="none"/>
                <w:lang w:val="en-US" w:eastAsia="zh-CN"/>
              </w:rPr>
              <w:t>不</w:t>
            </w:r>
            <w:r>
              <w:rPr>
                <w:rFonts w:hint="eastAsia" w:ascii="宋体" w:hAnsi="宋体" w:eastAsia="宋体" w:cs="宋体"/>
                <w:bCs/>
                <w:color w:val="auto"/>
                <w:sz w:val="21"/>
                <w:szCs w:val="21"/>
                <w:highlight w:val="none"/>
              </w:rPr>
              <w:t>含），投标人须无条件更换新机，并重新计算保修期，以及赔偿用户的直接经济损失和间接经济损失。</w:t>
            </w:r>
          </w:p>
          <w:p w14:paraId="1159FCBC">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b/>
                <w:bCs/>
                <w:color w:val="auto"/>
                <w:sz w:val="21"/>
                <w:szCs w:val="21"/>
                <w:highlight w:val="none"/>
              </w:rPr>
              <w:t>注：</w:t>
            </w:r>
            <w:r>
              <w:rPr>
                <w:rFonts w:hint="eastAsia" w:ascii="宋体" w:hAnsi="宋体" w:eastAsia="宋体" w:cs="宋体"/>
                <w:bCs/>
                <w:color w:val="auto"/>
                <w:sz w:val="21"/>
                <w:szCs w:val="21"/>
                <w:highlight w:val="none"/>
              </w:rPr>
              <w:t>年开机率</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rPr>
              <w:t>（实际开机天数/</w:t>
            </w:r>
            <w:r>
              <w:rPr>
                <w:rFonts w:hint="eastAsia" w:ascii="宋体" w:hAnsi="宋体" w:eastAsia="宋体" w:cs="宋体"/>
                <w:color w:val="auto"/>
                <w:sz w:val="21"/>
                <w:szCs w:val="21"/>
                <w:highlight w:val="none"/>
                <w:lang w:val="en-US" w:eastAsia="zh-CN"/>
              </w:rPr>
              <w:t>365天</w:t>
            </w:r>
            <w:r>
              <w:rPr>
                <w:rFonts w:hint="eastAsia" w:ascii="宋体" w:hAnsi="宋体" w:eastAsia="宋体" w:cs="宋体"/>
                <w:bCs/>
                <w:color w:val="auto"/>
                <w:sz w:val="21"/>
                <w:szCs w:val="21"/>
                <w:highlight w:val="none"/>
              </w:rPr>
              <w:t>*100%）</w:t>
            </w:r>
          </w:p>
        </w:tc>
      </w:tr>
      <w:tr w14:paraId="0D0DA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51" w:type="pct"/>
            <w:vAlign w:val="center"/>
          </w:tcPr>
          <w:p w14:paraId="36F51613">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10</w:t>
            </w:r>
          </w:p>
        </w:tc>
        <w:tc>
          <w:tcPr>
            <w:tcW w:w="979" w:type="pct"/>
            <w:vAlign w:val="center"/>
          </w:tcPr>
          <w:p w14:paraId="22905978">
            <w:pPr>
              <w:keepNext w:val="0"/>
              <w:keepLines w:val="0"/>
              <w:suppressLineNumbers w:val="0"/>
              <w:spacing w:before="0" w:beforeAutospacing="0" w:after="0" w:afterAutospacing="0"/>
              <w:ind w:left="0" w:right="0"/>
              <w:rPr>
                <w:rFonts w:hint="eastAsia" w:ascii="宋体" w:hAnsi="宋体" w:eastAsia="宋体" w:cs="宋体"/>
                <w:b/>
                <w:color w:val="auto"/>
                <w:sz w:val="21"/>
                <w:szCs w:val="21"/>
              </w:rPr>
            </w:pPr>
            <w:r>
              <w:rPr>
                <w:rFonts w:hint="eastAsia" w:ascii="宋体" w:hAnsi="宋体" w:eastAsia="宋体" w:cs="宋体"/>
                <w:color w:val="auto"/>
                <w:sz w:val="21"/>
                <w:szCs w:val="21"/>
              </w:rPr>
              <w:t>其他</w:t>
            </w:r>
          </w:p>
        </w:tc>
        <w:tc>
          <w:tcPr>
            <w:tcW w:w="3269" w:type="pct"/>
            <w:vAlign w:val="center"/>
          </w:tcPr>
          <w:p w14:paraId="222A2E9B">
            <w:pPr>
              <w:keepNext w:val="0"/>
              <w:keepLines w:val="0"/>
              <w:suppressLineNumbers w:val="0"/>
              <w:spacing w:before="0" w:beforeAutospacing="0" w:after="0" w:afterAutospacing="0"/>
              <w:ind w:left="0" w:right="0"/>
              <w:rPr>
                <w:rFonts w:hint="eastAsia" w:ascii="宋体" w:hAnsi="宋体" w:eastAsia="宋体" w:cs="宋体"/>
                <w:b/>
                <w:color w:val="auto"/>
                <w:sz w:val="21"/>
                <w:szCs w:val="21"/>
              </w:rPr>
            </w:pPr>
            <w:r>
              <w:rPr>
                <w:rFonts w:hint="eastAsia" w:ascii="宋体" w:hAnsi="宋体" w:eastAsia="宋体" w:cs="宋体"/>
                <w:bCs/>
                <w:color w:val="auto"/>
                <w:sz w:val="21"/>
                <w:szCs w:val="21"/>
              </w:rPr>
              <w:t>投标人应按其投标文件中的承诺，进行其他售后服务工作。</w:t>
            </w:r>
          </w:p>
        </w:tc>
      </w:tr>
      <w:tr w14:paraId="71C21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0" w:type="pct"/>
            <w:gridSpan w:val="3"/>
          </w:tcPr>
          <w:p w14:paraId="481B76E0">
            <w:pPr>
              <w:keepNext w:val="0"/>
              <w:keepLines w:val="0"/>
              <w:suppressLineNumbers w:val="0"/>
              <w:spacing w:before="0" w:beforeAutospacing="0" w:after="0" w:afterAutospacing="0"/>
              <w:ind w:left="0" w:right="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（二）免费保修期外售后服务要求</w:t>
            </w:r>
          </w:p>
        </w:tc>
      </w:tr>
      <w:tr w14:paraId="6AB24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51" w:type="pct"/>
            <w:vAlign w:val="center"/>
          </w:tcPr>
          <w:p w14:paraId="7E2A6170">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p>
        </w:tc>
        <w:tc>
          <w:tcPr>
            <w:tcW w:w="979" w:type="pct"/>
          </w:tcPr>
          <w:p w14:paraId="25042EEA">
            <w:pPr>
              <w:keepNext w:val="0"/>
              <w:keepLines w:val="0"/>
              <w:suppressLineNumbers w:val="0"/>
              <w:spacing w:before="0" w:beforeAutospacing="0" w:after="0" w:afterAutospacing="0"/>
              <w:ind w:left="0" w:right="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免费保修期外售后服务要求</w:t>
            </w:r>
          </w:p>
        </w:tc>
        <w:tc>
          <w:tcPr>
            <w:tcW w:w="3269" w:type="pct"/>
          </w:tcPr>
          <w:p w14:paraId="2603B32A">
            <w:pPr>
              <w:keepNext w:val="0"/>
              <w:keepLines w:val="0"/>
              <w:suppressLineNumbers w:val="0"/>
              <w:spacing w:before="0" w:beforeAutospacing="0" w:after="0" w:afterAutospacing="0"/>
              <w:ind w:left="0" w:right="0"/>
              <w:rPr>
                <w:rFonts w:hint="eastAsia" w:ascii="宋体" w:hAnsi="宋体" w:eastAsia="宋体" w:cs="宋体"/>
                <w:b/>
                <w:color w:val="auto"/>
                <w:sz w:val="21"/>
                <w:szCs w:val="21"/>
                <w:highlight w:val="none"/>
                <w:lang w:eastAsia="zh-CN"/>
              </w:rPr>
            </w:pPr>
            <w:r>
              <w:rPr>
                <w:rFonts w:hint="eastAsia" w:ascii="宋体" w:hAnsi="宋体" w:eastAsia="宋体" w:cs="宋体"/>
                <w:color w:val="auto"/>
                <w:sz w:val="21"/>
                <w:szCs w:val="21"/>
                <w:highlight w:val="none"/>
              </w:rPr>
              <w:t>由设备制造商</w:t>
            </w:r>
            <w:r>
              <w:rPr>
                <w:rFonts w:hint="eastAsia" w:ascii="宋体" w:hAnsi="宋体" w:eastAsia="宋体" w:cs="宋体"/>
                <w:color w:val="auto"/>
                <w:sz w:val="21"/>
                <w:szCs w:val="21"/>
                <w:highlight w:val="none"/>
                <w:lang w:eastAsia="zh-CN"/>
              </w:rPr>
              <w:t>或制造商授权认可的代理商</w:t>
            </w:r>
            <w:r>
              <w:rPr>
                <w:rFonts w:hint="eastAsia" w:ascii="宋体" w:hAnsi="宋体" w:eastAsia="宋体" w:cs="宋体"/>
                <w:color w:val="auto"/>
                <w:sz w:val="21"/>
                <w:szCs w:val="21"/>
                <w:highlight w:val="none"/>
              </w:rPr>
              <w:t>提供售后服务</w:t>
            </w:r>
            <w:r>
              <w:rPr>
                <w:rFonts w:hint="eastAsia" w:ascii="宋体" w:hAnsi="宋体" w:eastAsia="宋体" w:cs="宋体"/>
                <w:color w:val="auto"/>
                <w:sz w:val="21"/>
                <w:szCs w:val="21"/>
                <w:highlight w:val="none"/>
                <w:lang w:eastAsia="zh-CN"/>
              </w:rPr>
              <w:t>。</w:t>
            </w:r>
          </w:p>
        </w:tc>
      </w:tr>
      <w:tr w14:paraId="3A677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5000" w:type="pct"/>
            <w:gridSpan w:val="3"/>
          </w:tcPr>
          <w:p w14:paraId="74080334">
            <w:pPr>
              <w:keepNext w:val="0"/>
              <w:keepLines w:val="0"/>
              <w:suppressLineNumbers w:val="0"/>
              <w:spacing w:before="0" w:beforeAutospacing="0" w:after="0" w:afterAutospacing="0"/>
              <w:ind w:left="0" w:right="0"/>
              <w:rPr>
                <w:rFonts w:hint="eastAsia" w:ascii="宋体" w:hAnsi="宋体" w:eastAsia="宋体" w:cs="宋体"/>
                <w:b/>
                <w:color w:val="auto"/>
                <w:sz w:val="21"/>
                <w:szCs w:val="21"/>
              </w:rPr>
            </w:pPr>
            <w:r>
              <w:rPr>
                <w:rFonts w:hint="eastAsia" w:ascii="宋体" w:hAnsi="宋体" w:eastAsia="宋体" w:cs="宋体"/>
                <w:b/>
                <w:color w:val="auto"/>
                <w:sz w:val="21"/>
                <w:szCs w:val="21"/>
              </w:rPr>
              <w:t>（三）其他商务要求</w:t>
            </w:r>
          </w:p>
        </w:tc>
      </w:tr>
      <w:tr w14:paraId="63FD5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51" w:type="pct"/>
            <w:vMerge w:val="restart"/>
            <w:vAlign w:val="center"/>
          </w:tcPr>
          <w:p w14:paraId="7E63519C">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1</w:t>
            </w:r>
          </w:p>
        </w:tc>
        <w:tc>
          <w:tcPr>
            <w:tcW w:w="979" w:type="pct"/>
            <w:vMerge w:val="restart"/>
            <w:vAlign w:val="center"/>
          </w:tcPr>
          <w:p w14:paraId="71BA574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关于交货</w:t>
            </w:r>
          </w:p>
        </w:tc>
        <w:tc>
          <w:tcPr>
            <w:tcW w:w="3269" w:type="pct"/>
          </w:tcPr>
          <w:p w14:paraId="34FF80C8">
            <w:pPr>
              <w:keepNext w:val="0"/>
              <w:keepLines w:val="0"/>
              <w:suppressLineNumbers w:val="0"/>
              <w:spacing w:before="0" w:beforeAutospacing="0" w:after="0" w:afterAutospacing="0"/>
              <w:ind w:left="0" w:right="0"/>
              <w:rPr>
                <w:rFonts w:hint="eastAsia" w:ascii="宋体" w:hAnsi="宋体" w:eastAsia="宋体" w:cs="宋体"/>
                <w:bCs/>
                <w:color w:val="auto"/>
                <w:sz w:val="21"/>
                <w:szCs w:val="21"/>
              </w:rPr>
            </w:pPr>
            <w:r>
              <w:rPr>
                <w:rFonts w:hint="eastAsia" w:ascii="宋体" w:hAnsi="宋体" w:eastAsia="宋体" w:cs="宋体"/>
                <w:b/>
                <w:color w:val="auto"/>
                <w:sz w:val="21"/>
                <w:szCs w:val="21"/>
              </w:rPr>
              <w:t>★</w:t>
            </w:r>
            <w:r>
              <w:rPr>
                <w:rFonts w:hint="eastAsia" w:ascii="宋体" w:hAnsi="宋体" w:eastAsia="宋体" w:cs="宋体"/>
                <w:bCs/>
                <w:color w:val="auto"/>
                <w:sz w:val="21"/>
                <w:szCs w:val="21"/>
              </w:rPr>
              <w:t>1.1</w:t>
            </w:r>
            <w:r>
              <w:rPr>
                <w:rFonts w:hint="eastAsia" w:ascii="宋体" w:hAnsi="宋体" w:eastAsia="宋体" w:cs="宋体"/>
                <w:color w:val="auto"/>
                <w:sz w:val="21"/>
                <w:szCs w:val="21"/>
              </w:rPr>
              <w:t xml:space="preserve">签订合同后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highlight w:val="yellow"/>
                <w:u w:val="single"/>
                <w:lang w:val="en-US" w:eastAsia="zh-CN"/>
              </w:rPr>
              <w:t>30</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天（日历日）内交货。</w:t>
            </w:r>
          </w:p>
        </w:tc>
      </w:tr>
      <w:tr w14:paraId="72635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51" w:type="pct"/>
            <w:vMerge w:val="continue"/>
            <w:vAlign w:val="center"/>
          </w:tcPr>
          <w:p w14:paraId="3413EC21">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rPr>
            </w:pPr>
          </w:p>
        </w:tc>
        <w:tc>
          <w:tcPr>
            <w:tcW w:w="979" w:type="pct"/>
            <w:vMerge w:val="continue"/>
            <w:vAlign w:val="center"/>
          </w:tcPr>
          <w:p w14:paraId="5FFFA18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3269" w:type="pct"/>
          </w:tcPr>
          <w:p w14:paraId="24EB41A5">
            <w:pPr>
              <w:keepNext w:val="0"/>
              <w:keepLines w:val="0"/>
              <w:suppressLineNumbers w:val="0"/>
              <w:spacing w:before="0" w:beforeAutospacing="0" w:after="0" w:afterAutospacing="0"/>
              <w:ind w:left="0" w:right="0"/>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1.2</w:t>
            </w:r>
            <w:r>
              <w:rPr>
                <w:rFonts w:hint="eastAsia" w:ascii="宋体" w:hAnsi="宋体" w:eastAsia="宋体" w:cs="宋体"/>
                <w:bCs/>
                <w:color w:val="auto"/>
                <w:sz w:val="21"/>
                <w:szCs w:val="21"/>
              </w:rPr>
              <w:t>交货地点：</w:t>
            </w:r>
            <w:r>
              <w:rPr>
                <w:rFonts w:hint="eastAsia" w:ascii="宋体" w:hAnsi="宋体" w:eastAsia="宋体" w:cs="宋体"/>
                <w:color w:val="auto"/>
                <w:sz w:val="21"/>
                <w:szCs w:val="21"/>
              </w:rPr>
              <w:t>中标人</w:t>
            </w:r>
            <w:r>
              <w:rPr>
                <w:rFonts w:hint="eastAsia" w:ascii="宋体" w:hAnsi="宋体" w:eastAsia="宋体" w:cs="宋体"/>
                <w:bCs/>
                <w:color w:val="auto"/>
                <w:sz w:val="21"/>
                <w:szCs w:val="21"/>
                <w:highlight w:val="none"/>
              </w:rPr>
              <w:t>负责将</w:t>
            </w:r>
            <w:r>
              <w:rPr>
                <w:rFonts w:hint="eastAsia" w:ascii="宋体" w:hAnsi="宋体" w:eastAsia="宋体" w:cs="宋体"/>
                <w:color w:val="auto"/>
                <w:sz w:val="21"/>
                <w:szCs w:val="21"/>
                <w:highlight w:val="none"/>
              </w:rPr>
              <w:t>货物</w:t>
            </w:r>
            <w:r>
              <w:rPr>
                <w:rFonts w:hint="eastAsia" w:ascii="宋体" w:hAnsi="宋体" w:eastAsia="宋体" w:cs="宋体"/>
                <w:bCs/>
                <w:color w:val="auto"/>
                <w:sz w:val="21"/>
                <w:szCs w:val="21"/>
                <w:highlight w:val="none"/>
              </w:rPr>
              <w:t>安全无损运抵采购人指定地点,并承担设备的包装、运输、保险、装卸、安装调试、培训及计量检测、增值税等费用</w:t>
            </w:r>
            <w:r>
              <w:rPr>
                <w:rFonts w:hint="eastAsia" w:ascii="宋体" w:hAnsi="宋体" w:eastAsia="宋体" w:cs="宋体"/>
                <w:color w:val="auto"/>
                <w:sz w:val="21"/>
                <w:szCs w:val="21"/>
                <w:highlight w:val="none"/>
              </w:rPr>
              <w:t>。</w:t>
            </w:r>
          </w:p>
        </w:tc>
      </w:tr>
      <w:tr w14:paraId="4A70D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1" w:type="pct"/>
            <w:vMerge w:val="continue"/>
            <w:vAlign w:val="center"/>
          </w:tcPr>
          <w:p w14:paraId="37F96C3E">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rPr>
            </w:pPr>
          </w:p>
        </w:tc>
        <w:tc>
          <w:tcPr>
            <w:tcW w:w="979" w:type="pct"/>
            <w:vMerge w:val="continue"/>
            <w:vAlign w:val="center"/>
          </w:tcPr>
          <w:p w14:paraId="2A693C8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3269" w:type="pct"/>
          </w:tcPr>
          <w:p w14:paraId="043ED0B5">
            <w:pPr>
              <w:keepNext w:val="0"/>
              <w:keepLines w:val="0"/>
              <w:suppressLineNumbers w:val="0"/>
              <w:spacing w:before="0" w:beforeAutospacing="0" w:after="0" w:afterAutospacing="0"/>
              <w:ind w:left="0" w:right="0"/>
              <w:rPr>
                <w:rFonts w:hint="eastAsia" w:ascii="宋体" w:hAnsi="宋体" w:eastAsia="宋体" w:cs="宋体"/>
                <w:bCs/>
                <w:color w:val="auto"/>
                <w:sz w:val="21"/>
                <w:szCs w:val="21"/>
              </w:rPr>
            </w:pPr>
            <w:r>
              <w:rPr>
                <w:rFonts w:hint="eastAsia" w:ascii="宋体" w:hAnsi="宋体" w:eastAsia="宋体" w:cs="宋体"/>
                <w:bCs/>
                <w:color w:val="auto"/>
                <w:sz w:val="21"/>
                <w:szCs w:val="21"/>
              </w:rPr>
              <w:t>1.</w:t>
            </w:r>
            <w:r>
              <w:rPr>
                <w:rFonts w:hint="eastAsia" w:ascii="宋体" w:hAnsi="宋体" w:eastAsia="宋体" w:cs="宋体"/>
                <w:bCs/>
                <w:color w:val="auto"/>
                <w:sz w:val="21"/>
                <w:szCs w:val="21"/>
                <w:lang w:val="en-US" w:eastAsia="zh-CN"/>
              </w:rPr>
              <w:t>3</w:t>
            </w:r>
            <w:r>
              <w:rPr>
                <w:rFonts w:hint="eastAsia" w:ascii="宋体" w:hAnsi="宋体" w:eastAsia="宋体" w:cs="宋体"/>
                <w:color w:val="auto"/>
                <w:sz w:val="21"/>
                <w:szCs w:val="21"/>
              </w:rPr>
              <w:t>中标人</w:t>
            </w:r>
            <w:r>
              <w:rPr>
                <w:rFonts w:hint="eastAsia" w:ascii="宋体" w:hAnsi="宋体" w:eastAsia="宋体" w:cs="宋体"/>
                <w:bCs/>
                <w:color w:val="auto"/>
                <w:sz w:val="21"/>
                <w:szCs w:val="21"/>
                <w:highlight w:val="none"/>
              </w:rPr>
              <w:t>应提供货物的技术文件，包括但不限于设备配置清单、产品说明书、图纸、操作手册等，所有外文资料须提供中文译本。文件应随货物一并交付至采购人指定地点</w:t>
            </w:r>
            <w:r>
              <w:rPr>
                <w:rFonts w:hint="eastAsia" w:ascii="宋体" w:hAnsi="宋体" w:eastAsia="宋体" w:cs="宋体"/>
                <w:color w:val="auto"/>
                <w:sz w:val="21"/>
                <w:szCs w:val="21"/>
                <w:highlight w:val="none"/>
              </w:rPr>
              <w:t>。</w:t>
            </w:r>
          </w:p>
        </w:tc>
      </w:tr>
      <w:tr w14:paraId="2BCF0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751" w:type="pct"/>
            <w:vMerge w:val="continue"/>
            <w:vAlign w:val="center"/>
          </w:tcPr>
          <w:p w14:paraId="24EF845E">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rPr>
            </w:pPr>
          </w:p>
        </w:tc>
        <w:tc>
          <w:tcPr>
            <w:tcW w:w="979" w:type="pct"/>
            <w:vMerge w:val="continue"/>
            <w:vAlign w:val="center"/>
          </w:tcPr>
          <w:p w14:paraId="2C9D944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3269" w:type="pct"/>
          </w:tcPr>
          <w:p w14:paraId="2832174A">
            <w:pPr>
              <w:keepNext w:val="0"/>
              <w:keepLines w:val="0"/>
              <w:suppressLineNumbers w:val="0"/>
              <w:spacing w:before="0" w:beforeAutospacing="0" w:after="0" w:afterAutospacing="0"/>
              <w:ind w:left="0" w:right="0"/>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1.4</w:t>
            </w:r>
            <w:r>
              <w:rPr>
                <w:rFonts w:hint="eastAsia" w:ascii="宋体" w:hAnsi="宋体" w:eastAsia="宋体" w:cs="宋体"/>
                <w:color w:val="auto"/>
                <w:sz w:val="21"/>
                <w:szCs w:val="21"/>
              </w:rPr>
              <w:t>中标人</w:t>
            </w:r>
            <w:r>
              <w:rPr>
                <w:rFonts w:hint="eastAsia" w:ascii="宋体" w:hAnsi="宋体" w:eastAsia="宋体" w:cs="宋体"/>
                <w:bCs/>
                <w:color w:val="auto"/>
                <w:sz w:val="21"/>
                <w:szCs w:val="21"/>
              </w:rPr>
              <w:t>提供的货物必须为全新、经检验合格的产品。</w:t>
            </w:r>
            <w:r>
              <w:rPr>
                <w:rFonts w:hint="eastAsia" w:ascii="宋体" w:hAnsi="宋体" w:eastAsia="宋体" w:cs="宋体"/>
                <w:bCs/>
                <w:color w:val="auto"/>
                <w:sz w:val="21"/>
                <w:szCs w:val="21"/>
                <w:highlight w:val="none"/>
              </w:rPr>
              <w:t>产品如需要计量检定的</w:t>
            </w:r>
            <w:r>
              <w:rPr>
                <w:rFonts w:hint="eastAsia" w:ascii="宋体" w:hAnsi="宋体" w:eastAsia="宋体" w:cs="宋体"/>
                <w:bCs/>
                <w:color w:val="auto"/>
                <w:sz w:val="21"/>
                <w:szCs w:val="21"/>
                <w:highlight w:val="none"/>
                <w:lang w:val="en-US" w:eastAsia="zh-CN"/>
              </w:rPr>
              <w:t>中标后</w:t>
            </w:r>
            <w:r>
              <w:rPr>
                <w:rFonts w:hint="eastAsia" w:ascii="宋体" w:hAnsi="宋体" w:eastAsia="宋体" w:cs="宋体"/>
                <w:bCs/>
                <w:color w:val="auto"/>
                <w:sz w:val="21"/>
                <w:szCs w:val="21"/>
                <w:highlight w:val="none"/>
              </w:rPr>
              <w:t>应</w:t>
            </w:r>
            <w:r>
              <w:rPr>
                <w:rFonts w:hint="eastAsia" w:ascii="宋体" w:hAnsi="宋体" w:eastAsia="宋体" w:cs="宋体"/>
                <w:color w:val="auto"/>
                <w:sz w:val="21"/>
                <w:szCs w:val="21"/>
                <w:highlight w:val="none"/>
              </w:rPr>
              <w:t>提供</w:t>
            </w:r>
            <w:r>
              <w:rPr>
                <w:rFonts w:hint="eastAsia" w:ascii="宋体" w:hAnsi="宋体" w:eastAsia="宋体" w:cs="宋体"/>
                <w:bCs/>
                <w:color w:val="auto"/>
                <w:sz w:val="21"/>
                <w:szCs w:val="21"/>
                <w:highlight w:val="none"/>
              </w:rPr>
              <w:t>相关计量检定部门出具的合法检定报告。</w:t>
            </w:r>
          </w:p>
        </w:tc>
      </w:tr>
      <w:tr w14:paraId="6A29A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751" w:type="pct"/>
            <w:vMerge w:val="continue"/>
            <w:vAlign w:val="center"/>
          </w:tcPr>
          <w:p w14:paraId="053647AB">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rPr>
            </w:pPr>
          </w:p>
        </w:tc>
        <w:tc>
          <w:tcPr>
            <w:tcW w:w="979" w:type="pct"/>
            <w:vMerge w:val="continue"/>
            <w:vAlign w:val="center"/>
          </w:tcPr>
          <w:p w14:paraId="731E286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3269" w:type="pct"/>
          </w:tcPr>
          <w:p w14:paraId="6D3FAA37">
            <w:pPr>
              <w:keepNext w:val="0"/>
              <w:keepLines w:val="0"/>
              <w:suppressLineNumbers w:val="0"/>
              <w:spacing w:before="0" w:beforeAutospacing="0" w:after="0" w:afterAutospacing="0"/>
              <w:ind w:left="0" w:right="0"/>
              <w:rPr>
                <w:rFonts w:hint="eastAsia" w:ascii="宋体" w:hAnsi="宋体" w:eastAsia="宋体" w:cs="宋体"/>
                <w:color w:val="auto"/>
                <w:sz w:val="21"/>
                <w:szCs w:val="21"/>
                <w:lang w:eastAsia="zh-CN"/>
              </w:rPr>
            </w:pPr>
            <w:r>
              <w:rPr>
                <w:rFonts w:hint="eastAsia" w:ascii="宋体" w:hAnsi="宋体" w:eastAsia="宋体" w:cs="宋体"/>
                <w:bCs/>
                <w:color w:val="auto"/>
                <w:sz w:val="21"/>
                <w:szCs w:val="21"/>
                <w:highlight w:val="none"/>
                <w:lang w:val="en-US" w:eastAsia="zh-CN"/>
              </w:rPr>
              <w:t>1.5</w:t>
            </w:r>
            <w:r>
              <w:rPr>
                <w:rFonts w:hint="eastAsia" w:ascii="宋体" w:hAnsi="宋体" w:eastAsia="宋体" w:cs="宋体"/>
                <w:bCs/>
                <w:color w:val="auto"/>
                <w:sz w:val="21"/>
                <w:szCs w:val="21"/>
                <w:highlight w:val="none"/>
              </w:rPr>
              <w:t>采购人有权检验或测试货物，以确认货物是否符合合同规格的要求。如果发现所交货物与投标文件中所承诺的不符或存在质量、技术缺陷等,采购人可以拒绝接收该货物</w:t>
            </w:r>
            <w:r>
              <w:rPr>
                <w:rFonts w:hint="eastAsia" w:ascii="宋体" w:hAnsi="宋体" w:eastAsia="宋体" w:cs="宋体"/>
                <w:bCs/>
                <w:color w:val="auto"/>
                <w:sz w:val="21"/>
                <w:szCs w:val="21"/>
                <w:highlight w:val="none"/>
                <w:lang w:eastAsia="zh-CN"/>
              </w:rPr>
              <w:t>。</w:t>
            </w:r>
          </w:p>
        </w:tc>
      </w:tr>
      <w:tr w14:paraId="73AF0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1" w:type="pct"/>
            <w:vMerge w:val="continue"/>
            <w:vAlign w:val="center"/>
          </w:tcPr>
          <w:p w14:paraId="2C4FEAA1">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rPr>
            </w:pPr>
          </w:p>
        </w:tc>
        <w:tc>
          <w:tcPr>
            <w:tcW w:w="979" w:type="pct"/>
            <w:vMerge w:val="continue"/>
            <w:vAlign w:val="center"/>
          </w:tcPr>
          <w:p w14:paraId="0E8B493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3269" w:type="pct"/>
          </w:tcPr>
          <w:p w14:paraId="383E7CB9">
            <w:pPr>
              <w:keepNext w:val="0"/>
              <w:keepLines w:val="0"/>
              <w:suppressLineNumbers w:val="0"/>
              <w:spacing w:before="0" w:beforeAutospacing="0" w:after="0" w:afterAutospacing="0"/>
              <w:ind w:left="0" w:right="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rPr>
              <w:t>中标人</w:t>
            </w:r>
            <w:r>
              <w:rPr>
                <w:rFonts w:hint="eastAsia" w:ascii="宋体" w:hAnsi="宋体" w:eastAsia="宋体" w:cs="宋体"/>
                <w:color w:val="auto"/>
                <w:sz w:val="21"/>
                <w:szCs w:val="21"/>
                <w:highlight w:val="none"/>
              </w:rPr>
              <w:t>负责货物的现场安装和调试,提供货物安装、调试和维修所需的专用工具和辅助材料。</w:t>
            </w:r>
            <w:r>
              <w:rPr>
                <w:rFonts w:hint="eastAsia" w:ascii="宋体" w:hAnsi="宋体" w:eastAsia="宋体" w:cs="宋体"/>
                <w:color w:val="auto"/>
                <w:sz w:val="21"/>
                <w:szCs w:val="21"/>
              </w:rPr>
              <w:t>中标人</w:t>
            </w:r>
            <w:r>
              <w:rPr>
                <w:rFonts w:hint="eastAsia" w:ascii="宋体" w:hAnsi="宋体" w:eastAsia="宋体" w:cs="宋体"/>
                <w:color w:val="auto"/>
                <w:sz w:val="21"/>
                <w:szCs w:val="21"/>
                <w:highlight w:val="none"/>
              </w:rPr>
              <w:t>应在货物运至指定地点后</w:t>
            </w:r>
            <w:r>
              <w:rPr>
                <w:rFonts w:hint="eastAsia" w:ascii="宋体" w:hAnsi="宋体" w:eastAsia="宋体" w:cs="宋体"/>
                <w:color w:val="auto"/>
                <w:sz w:val="21"/>
                <w:szCs w:val="21"/>
                <w:highlight w:val="yellow"/>
                <w:u w:val="single"/>
                <w:lang w:val="en-US" w:eastAsia="zh-CN"/>
              </w:rPr>
              <w:t xml:space="preserve"> 5 </w:t>
            </w:r>
            <w:r>
              <w:rPr>
                <w:rFonts w:hint="eastAsia" w:ascii="宋体" w:hAnsi="宋体" w:eastAsia="宋体" w:cs="宋体"/>
                <w:color w:val="auto"/>
                <w:sz w:val="21"/>
                <w:szCs w:val="21"/>
                <w:highlight w:val="none"/>
                <w:lang w:val="en-US" w:eastAsia="zh-CN"/>
              </w:rPr>
              <w:t>天</w:t>
            </w:r>
            <w:r>
              <w:rPr>
                <w:rFonts w:hint="eastAsia" w:ascii="宋体" w:hAnsi="宋体" w:eastAsia="宋体" w:cs="宋体"/>
                <w:color w:val="auto"/>
                <w:sz w:val="21"/>
                <w:szCs w:val="21"/>
                <w:highlight w:val="none"/>
              </w:rPr>
              <w:t>内开始安装调试,并在</w:t>
            </w:r>
            <w:r>
              <w:rPr>
                <w:rFonts w:hint="eastAsia" w:ascii="宋体" w:hAnsi="宋体" w:eastAsia="宋体" w:cs="宋体"/>
                <w:bCs/>
                <w:color w:val="auto"/>
                <w:sz w:val="21"/>
                <w:szCs w:val="21"/>
                <w:highlight w:val="yellow"/>
                <w:u w:val="single"/>
              </w:rPr>
              <w:t xml:space="preserve"> 5 </w:t>
            </w:r>
            <w:r>
              <w:rPr>
                <w:rFonts w:hint="eastAsia" w:ascii="宋体" w:hAnsi="宋体" w:eastAsia="宋体" w:cs="宋体"/>
                <w:color w:val="auto"/>
                <w:sz w:val="21"/>
                <w:szCs w:val="21"/>
                <w:highlight w:val="none"/>
              </w:rPr>
              <w:t>天内安装调试完毕。</w:t>
            </w:r>
          </w:p>
        </w:tc>
      </w:tr>
      <w:tr w14:paraId="05782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51" w:type="pct"/>
            <w:vMerge w:val="restart"/>
            <w:vAlign w:val="center"/>
          </w:tcPr>
          <w:p w14:paraId="40764C52">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2</w:t>
            </w:r>
          </w:p>
        </w:tc>
        <w:tc>
          <w:tcPr>
            <w:tcW w:w="979" w:type="pct"/>
            <w:vMerge w:val="restart"/>
            <w:vAlign w:val="center"/>
          </w:tcPr>
          <w:p w14:paraId="7692AFE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关于验收</w:t>
            </w:r>
            <w:r>
              <w:rPr>
                <w:rFonts w:hint="eastAsia" w:ascii="宋体" w:hAnsi="宋体" w:eastAsia="宋体" w:cs="宋体"/>
                <w:b/>
                <w:color w:val="auto"/>
                <w:sz w:val="21"/>
                <w:szCs w:val="21"/>
              </w:rPr>
              <w:t>★</w:t>
            </w:r>
          </w:p>
        </w:tc>
        <w:tc>
          <w:tcPr>
            <w:tcW w:w="3269" w:type="pct"/>
          </w:tcPr>
          <w:p w14:paraId="1E918C66">
            <w:pPr>
              <w:keepNext w:val="0"/>
              <w:keepLines w:val="0"/>
              <w:suppressLineNumbers w:val="0"/>
              <w:spacing w:before="0" w:beforeAutospacing="0" w:after="0" w:afterAutospacing="0" w:line="340" w:lineRule="exact"/>
              <w:ind w:left="0" w:right="0"/>
              <w:rPr>
                <w:rFonts w:hint="eastAsia" w:ascii="宋体" w:hAnsi="宋体" w:eastAsia="宋体" w:cs="宋体"/>
                <w:bCs/>
                <w:color w:val="auto"/>
                <w:sz w:val="21"/>
                <w:szCs w:val="21"/>
              </w:rPr>
            </w:pPr>
            <w:r>
              <w:rPr>
                <w:rFonts w:hint="eastAsia" w:ascii="宋体" w:hAnsi="宋体" w:eastAsia="宋体" w:cs="宋体"/>
                <w:bCs/>
                <w:color w:val="auto"/>
                <w:sz w:val="21"/>
                <w:szCs w:val="21"/>
              </w:rPr>
              <w:t>2.1</w:t>
            </w:r>
            <w:r>
              <w:rPr>
                <w:rFonts w:hint="eastAsia" w:ascii="宋体" w:hAnsi="宋体" w:eastAsia="宋体" w:cs="宋体"/>
                <w:color w:val="auto"/>
                <w:sz w:val="21"/>
                <w:szCs w:val="21"/>
              </w:rPr>
              <w:t>中标人</w:t>
            </w:r>
            <w:r>
              <w:rPr>
                <w:rFonts w:hint="eastAsia" w:ascii="宋体" w:hAnsi="宋体" w:eastAsia="宋体" w:cs="宋体"/>
                <w:bCs/>
                <w:color w:val="auto"/>
                <w:sz w:val="21"/>
                <w:szCs w:val="21"/>
              </w:rPr>
              <w:t>货物经过双方检验认可后，签署验收报告，产品保修期自验收合格之日起算，由投标人提供产品保修文件。</w:t>
            </w:r>
          </w:p>
        </w:tc>
      </w:tr>
      <w:tr w14:paraId="556A4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51" w:type="pct"/>
            <w:vMerge w:val="continue"/>
            <w:vAlign w:val="center"/>
          </w:tcPr>
          <w:p w14:paraId="3168FB7D">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rPr>
            </w:pPr>
          </w:p>
        </w:tc>
        <w:tc>
          <w:tcPr>
            <w:tcW w:w="979" w:type="pct"/>
            <w:vMerge w:val="continue"/>
            <w:vAlign w:val="center"/>
          </w:tcPr>
          <w:p w14:paraId="5D8352B9">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rPr>
            </w:pPr>
          </w:p>
        </w:tc>
        <w:tc>
          <w:tcPr>
            <w:tcW w:w="3269" w:type="pct"/>
          </w:tcPr>
          <w:p w14:paraId="7B2B56F4">
            <w:pPr>
              <w:keepNext w:val="0"/>
              <w:keepLines w:val="0"/>
              <w:suppressLineNumbers w:val="0"/>
              <w:spacing w:before="0" w:beforeAutospacing="0" w:after="0" w:afterAutospacing="0" w:line="340" w:lineRule="exact"/>
              <w:ind w:left="0" w:right="0"/>
              <w:rPr>
                <w:rFonts w:hint="eastAsia" w:ascii="宋体" w:hAnsi="宋体" w:eastAsia="宋体" w:cs="宋体"/>
                <w:bCs/>
                <w:color w:val="auto"/>
                <w:sz w:val="21"/>
                <w:szCs w:val="21"/>
              </w:rPr>
            </w:pPr>
            <w:r>
              <w:rPr>
                <w:rFonts w:hint="eastAsia" w:ascii="宋体" w:hAnsi="宋体" w:eastAsia="宋体" w:cs="宋体"/>
                <w:bCs/>
                <w:color w:val="auto"/>
                <w:sz w:val="21"/>
                <w:szCs w:val="21"/>
              </w:rPr>
              <w:t>2.2当满足以下条件时，采购人才向中标人签发货物验收报告：</w:t>
            </w:r>
          </w:p>
          <w:p w14:paraId="35D8B072">
            <w:pPr>
              <w:keepNext w:val="0"/>
              <w:keepLines w:val="0"/>
              <w:suppressLineNumbers w:val="0"/>
              <w:tabs>
                <w:tab w:val="left" w:pos="1260"/>
              </w:tabs>
              <w:spacing w:before="0" w:beforeAutospacing="0" w:after="0" w:afterAutospacing="0" w:line="340" w:lineRule="exact"/>
              <w:ind w:left="0" w:right="0"/>
              <w:rPr>
                <w:rFonts w:hint="eastAsia" w:ascii="宋体" w:hAnsi="宋体" w:eastAsia="宋体" w:cs="宋体"/>
                <w:bCs/>
                <w:color w:val="auto"/>
                <w:sz w:val="21"/>
                <w:szCs w:val="21"/>
              </w:rPr>
            </w:pPr>
            <w:r>
              <w:rPr>
                <w:rFonts w:hint="eastAsia" w:ascii="宋体" w:hAnsi="宋体" w:eastAsia="宋体" w:cs="宋体"/>
                <w:bCs/>
                <w:color w:val="auto"/>
                <w:sz w:val="21"/>
                <w:szCs w:val="21"/>
              </w:rPr>
              <w:t>a、中标人已按照合同规定提供了全部产品及完整的技术资料。</w:t>
            </w:r>
          </w:p>
          <w:p w14:paraId="2992689B">
            <w:pPr>
              <w:keepNext w:val="0"/>
              <w:keepLines w:val="0"/>
              <w:suppressLineNumbers w:val="0"/>
              <w:tabs>
                <w:tab w:val="left" w:pos="1260"/>
              </w:tabs>
              <w:spacing w:before="0" w:beforeAutospacing="0" w:after="0" w:afterAutospacing="0" w:line="340" w:lineRule="exact"/>
              <w:ind w:left="0" w:right="0"/>
              <w:rPr>
                <w:rFonts w:hint="eastAsia" w:ascii="宋体" w:hAnsi="宋体" w:eastAsia="宋体" w:cs="宋体"/>
                <w:bCs/>
                <w:color w:val="auto"/>
                <w:sz w:val="21"/>
                <w:szCs w:val="21"/>
              </w:rPr>
            </w:pPr>
            <w:r>
              <w:rPr>
                <w:rFonts w:hint="eastAsia" w:ascii="宋体" w:hAnsi="宋体" w:eastAsia="宋体" w:cs="宋体"/>
                <w:bCs/>
                <w:color w:val="auto"/>
                <w:sz w:val="21"/>
                <w:szCs w:val="21"/>
              </w:rPr>
              <w:t>b、货物符合招标文件技术规格书的要求，性能满足要求。</w:t>
            </w:r>
          </w:p>
        </w:tc>
      </w:tr>
      <w:tr w14:paraId="6C5DC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51" w:type="pct"/>
            <w:vMerge w:val="continue"/>
            <w:vAlign w:val="center"/>
          </w:tcPr>
          <w:p w14:paraId="606FB313">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rPr>
            </w:pPr>
          </w:p>
        </w:tc>
        <w:tc>
          <w:tcPr>
            <w:tcW w:w="979" w:type="pct"/>
            <w:vMerge w:val="continue"/>
            <w:vAlign w:val="center"/>
          </w:tcPr>
          <w:p w14:paraId="056B2DF0">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rPr>
            </w:pPr>
          </w:p>
        </w:tc>
        <w:tc>
          <w:tcPr>
            <w:tcW w:w="3269" w:type="pct"/>
          </w:tcPr>
          <w:p w14:paraId="46744618">
            <w:pPr>
              <w:keepNext w:val="0"/>
              <w:keepLines w:val="0"/>
              <w:suppressLineNumbers w:val="0"/>
              <w:spacing w:before="0" w:beforeAutospacing="0" w:after="0" w:afterAutospacing="0"/>
              <w:ind w:left="0" w:right="0"/>
              <w:rPr>
                <w:rFonts w:hint="eastAsia" w:ascii="宋体" w:hAnsi="宋体" w:eastAsia="宋体" w:cs="宋体"/>
                <w:b/>
                <w:color w:val="auto"/>
                <w:sz w:val="21"/>
                <w:szCs w:val="21"/>
              </w:rPr>
            </w:pPr>
            <w:r>
              <w:rPr>
                <w:rFonts w:hint="eastAsia" w:ascii="宋体" w:hAnsi="宋体" w:eastAsia="宋体" w:cs="宋体"/>
                <w:bCs/>
                <w:color w:val="auto"/>
                <w:sz w:val="21"/>
                <w:szCs w:val="21"/>
                <w:highlight w:val="none"/>
              </w:rPr>
              <w:t>2.3</w:t>
            </w:r>
            <w:r>
              <w:rPr>
                <w:rFonts w:hint="eastAsia" w:ascii="宋体" w:hAnsi="宋体" w:eastAsia="宋体" w:cs="宋体"/>
                <w:color w:val="auto"/>
                <w:sz w:val="21"/>
                <w:szCs w:val="21"/>
                <w:highlight w:val="none"/>
              </w:rPr>
              <w:t>由中标人代表和采购人组成验收小组对产品进行验收</w:t>
            </w:r>
            <w:r>
              <w:rPr>
                <w:rFonts w:hint="eastAsia" w:ascii="宋体" w:hAnsi="宋体" w:eastAsia="宋体" w:cs="宋体"/>
                <w:color w:val="auto"/>
                <w:sz w:val="21"/>
                <w:szCs w:val="21"/>
                <w:highlight w:val="none"/>
                <w:lang w:eastAsia="zh-CN"/>
              </w:rPr>
              <w:t>，必要时采购人有权邀请第三方机构及办单位以外专家参与验收，相关验收意见作为验收参考资料</w:t>
            </w:r>
            <w:r>
              <w:rPr>
                <w:rFonts w:hint="eastAsia" w:ascii="宋体" w:hAnsi="宋体" w:eastAsia="宋体" w:cs="宋体"/>
                <w:color w:val="auto"/>
                <w:sz w:val="21"/>
                <w:szCs w:val="21"/>
                <w:highlight w:val="none"/>
              </w:rPr>
              <w:t>。验收标准按照国家规定标准执行。经检验设备正常运作后签署验收报告,产品保修期自验收合格之日起算。</w:t>
            </w:r>
          </w:p>
        </w:tc>
      </w:tr>
      <w:tr w14:paraId="7B621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51" w:type="pct"/>
            <w:vMerge w:val="restart"/>
            <w:vAlign w:val="center"/>
          </w:tcPr>
          <w:p w14:paraId="2E37E4E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b/>
                <w:color w:val="auto"/>
                <w:sz w:val="21"/>
                <w:szCs w:val="21"/>
              </w:rPr>
              <w:t>3</w:t>
            </w:r>
          </w:p>
        </w:tc>
        <w:tc>
          <w:tcPr>
            <w:tcW w:w="979" w:type="pct"/>
            <w:vMerge w:val="restart"/>
            <w:vAlign w:val="center"/>
          </w:tcPr>
          <w:p w14:paraId="0E46D3C3">
            <w:pPr>
              <w:pStyle w:val="18"/>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color w:val="auto"/>
                <w:sz w:val="21"/>
                <w:szCs w:val="21"/>
              </w:rPr>
              <w:t>关于违约</w:t>
            </w:r>
            <w:r>
              <w:rPr>
                <w:rFonts w:hint="eastAsia" w:ascii="宋体" w:hAnsi="宋体" w:eastAsia="宋体" w:cs="宋体"/>
                <w:b/>
                <w:color w:val="auto"/>
                <w:sz w:val="21"/>
                <w:szCs w:val="21"/>
              </w:rPr>
              <w:t>★</w:t>
            </w:r>
          </w:p>
          <w:p w14:paraId="5955BCEE">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rPr>
            </w:pPr>
          </w:p>
        </w:tc>
        <w:tc>
          <w:tcPr>
            <w:tcW w:w="3269" w:type="pct"/>
          </w:tcPr>
          <w:p w14:paraId="5DCFE608">
            <w:pPr>
              <w:keepNext w:val="0"/>
              <w:keepLines w:val="0"/>
              <w:suppressLineNumbers w:val="0"/>
              <w:spacing w:before="0" w:beforeAutospacing="0" w:after="0" w:afterAutospacing="0"/>
              <w:ind w:left="0" w:right="0"/>
              <w:rPr>
                <w:rFonts w:hint="eastAsia" w:ascii="宋体" w:hAnsi="宋体" w:eastAsia="宋体" w:cs="宋体"/>
                <w:b/>
                <w:color w:val="auto"/>
                <w:sz w:val="21"/>
                <w:szCs w:val="21"/>
              </w:rPr>
            </w:pPr>
            <w:r>
              <w:rPr>
                <w:rFonts w:hint="eastAsia" w:ascii="宋体" w:hAnsi="宋体" w:eastAsia="宋体" w:cs="宋体"/>
                <w:b w:val="0"/>
                <w:bCs/>
                <w:color w:val="auto"/>
                <w:sz w:val="21"/>
                <w:szCs w:val="21"/>
              </w:rPr>
              <w:t>3.1中标</w:t>
            </w:r>
            <w:r>
              <w:rPr>
                <w:rFonts w:hint="eastAsia" w:ascii="宋体" w:hAnsi="宋体" w:eastAsia="宋体" w:cs="宋体"/>
                <w:color w:val="auto"/>
                <w:sz w:val="21"/>
                <w:szCs w:val="21"/>
              </w:rPr>
              <w:t>人</w:t>
            </w:r>
            <w:r>
              <w:rPr>
                <w:rFonts w:hint="eastAsia" w:ascii="宋体" w:hAnsi="宋体" w:eastAsia="宋体" w:cs="宋体"/>
                <w:bCs/>
                <w:color w:val="auto"/>
                <w:sz w:val="21"/>
                <w:szCs w:val="21"/>
                <w:highlight w:val="none"/>
              </w:rPr>
              <w:t>未按照投标文件中承诺的时间交货或提供服务，投标人</w:t>
            </w:r>
            <w:r>
              <w:rPr>
                <w:rFonts w:hint="eastAsia" w:ascii="宋体" w:hAnsi="宋体" w:eastAsia="宋体" w:cs="宋体"/>
                <w:color w:val="auto"/>
                <w:sz w:val="21"/>
                <w:szCs w:val="21"/>
                <w:highlight w:val="none"/>
              </w:rPr>
              <w:t>应承担</w:t>
            </w:r>
            <w:r>
              <w:rPr>
                <w:rFonts w:hint="eastAsia" w:ascii="宋体" w:hAnsi="宋体" w:eastAsia="宋体" w:cs="宋体"/>
                <w:bCs/>
                <w:color w:val="auto"/>
                <w:sz w:val="21"/>
                <w:szCs w:val="21"/>
                <w:highlight w:val="none"/>
              </w:rPr>
              <w:t>延期交货和延期服务的违约责任，并赔偿采购人因此造成的实际经济损失。实际经济损失超出履约保证金额，采购人有权终止合同。</w:t>
            </w:r>
          </w:p>
        </w:tc>
      </w:tr>
      <w:tr w14:paraId="33BE0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51" w:type="pct"/>
            <w:vMerge w:val="continue"/>
            <w:vAlign w:val="center"/>
          </w:tcPr>
          <w:p w14:paraId="67B1D1C1">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rPr>
            </w:pPr>
          </w:p>
        </w:tc>
        <w:tc>
          <w:tcPr>
            <w:tcW w:w="979" w:type="pct"/>
            <w:vMerge w:val="continue"/>
            <w:vAlign w:val="center"/>
          </w:tcPr>
          <w:p w14:paraId="3039051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3269" w:type="pct"/>
          </w:tcPr>
          <w:p w14:paraId="7F3EF085">
            <w:pPr>
              <w:keepNext w:val="0"/>
              <w:keepLines w:val="0"/>
              <w:suppressLineNumbers w:val="0"/>
              <w:spacing w:before="0" w:beforeAutospacing="0" w:after="0" w:afterAutospacing="0"/>
              <w:ind w:left="0" w:right="0"/>
              <w:rPr>
                <w:rFonts w:hint="eastAsia" w:ascii="宋体" w:hAnsi="宋体" w:eastAsia="宋体" w:cs="宋体"/>
                <w:b/>
                <w:color w:val="auto"/>
                <w:sz w:val="21"/>
                <w:szCs w:val="21"/>
              </w:rPr>
            </w:pPr>
            <w:r>
              <w:rPr>
                <w:rFonts w:hint="eastAsia" w:ascii="宋体" w:hAnsi="宋体" w:eastAsia="宋体" w:cs="宋体"/>
                <w:bCs/>
                <w:color w:val="auto"/>
                <w:sz w:val="21"/>
                <w:szCs w:val="21"/>
                <w:highlight w:val="none"/>
                <w:lang w:val="en-US" w:eastAsia="zh-CN"/>
              </w:rPr>
              <w:t>3.2</w:t>
            </w:r>
            <w:r>
              <w:rPr>
                <w:rFonts w:hint="eastAsia" w:ascii="宋体" w:hAnsi="宋体" w:eastAsia="宋体" w:cs="宋体"/>
                <w:color w:val="auto"/>
                <w:sz w:val="21"/>
                <w:szCs w:val="21"/>
              </w:rPr>
              <w:t>中标人</w:t>
            </w:r>
            <w:r>
              <w:rPr>
                <w:rFonts w:hint="eastAsia" w:ascii="宋体" w:hAnsi="宋体" w:eastAsia="宋体" w:cs="宋体"/>
                <w:bCs/>
                <w:color w:val="auto"/>
                <w:sz w:val="21"/>
                <w:szCs w:val="21"/>
                <w:highlight w:val="none"/>
              </w:rPr>
              <w:t>所交设备的品种、型号、规格、质量、功能、技术参数等方面不能实质性满足招标文件</w:t>
            </w:r>
            <w:r>
              <w:rPr>
                <w:rFonts w:hint="eastAsia" w:ascii="宋体" w:hAnsi="宋体" w:eastAsia="宋体" w:cs="宋体"/>
                <w:bCs/>
                <w:color w:val="auto"/>
                <w:sz w:val="21"/>
                <w:szCs w:val="21"/>
                <w:highlight w:val="none"/>
                <w:lang w:eastAsia="zh-CN"/>
              </w:rPr>
              <w:t>要求</w:t>
            </w:r>
            <w:r>
              <w:rPr>
                <w:rFonts w:hint="eastAsia" w:ascii="宋体" w:hAnsi="宋体" w:eastAsia="宋体" w:cs="宋体"/>
                <w:bCs/>
                <w:color w:val="auto"/>
                <w:sz w:val="21"/>
                <w:szCs w:val="21"/>
                <w:highlight w:val="none"/>
              </w:rPr>
              <w:t>的，采购人有权拒绝收货，</w:t>
            </w:r>
            <w:r>
              <w:rPr>
                <w:rFonts w:hint="eastAsia" w:ascii="宋体" w:hAnsi="宋体" w:eastAsia="宋体" w:cs="宋体"/>
                <w:color w:val="auto"/>
                <w:sz w:val="21"/>
                <w:szCs w:val="21"/>
              </w:rPr>
              <w:t>中标人</w:t>
            </w:r>
            <w:r>
              <w:rPr>
                <w:rFonts w:hint="eastAsia" w:ascii="宋体" w:hAnsi="宋体" w:eastAsia="宋体" w:cs="宋体"/>
                <w:bCs/>
                <w:color w:val="auto"/>
                <w:sz w:val="21"/>
                <w:szCs w:val="21"/>
                <w:highlight w:val="none"/>
              </w:rPr>
              <w:t>向采购人偿付项目采购金额千分之</w:t>
            </w:r>
            <w:r>
              <w:rPr>
                <w:rFonts w:hint="eastAsia" w:ascii="宋体" w:hAnsi="宋体" w:eastAsia="宋体" w:cs="宋体"/>
                <w:bCs/>
                <w:color w:val="auto"/>
                <w:sz w:val="21"/>
                <w:szCs w:val="21"/>
                <w:highlight w:val="none"/>
                <w:u w:val="single"/>
              </w:rPr>
              <w:t xml:space="preserve"> 10 </w:t>
            </w:r>
            <w:r>
              <w:rPr>
                <w:rFonts w:hint="eastAsia" w:ascii="宋体" w:hAnsi="宋体" w:eastAsia="宋体" w:cs="宋体"/>
                <w:bCs/>
                <w:color w:val="auto"/>
                <w:sz w:val="21"/>
                <w:szCs w:val="21"/>
                <w:highlight w:val="none"/>
              </w:rPr>
              <w:t>的违约金；造成严重后果的，根据《深圳经济特区政府采购条例》第五十七条第（二）款规定，由主管部门对投标人进行处罚。</w:t>
            </w:r>
          </w:p>
        </w:tc>
      </w:tr>
      <w:tr w14:paraId="7187D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51" w:type="pct"/>
            <w:vMerge w:val="continue"/>
            <w:vAlign w:val="center"/>
          </w:tcPr>
          <w:p w14:paraId="325A9F7E">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rPr>
            </w:pPr>
          </w:p>
        </w:tc>
        <w:tc>
          <w:tcPr>
            <w:tcW w:w="979" w:type="pct"/>
            <w:vMerge w:val="continue"/>
            <w:vAlign w:val="center"/>
          </w:tcPr>
          <w:p w14:paraId="3282B33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3269" w:type="pct"/>
          </w:tcPr>
          <w:p w14:paraId="2CDA81DF">
            <w:pPr>
              <w:keepNext w:val="0"/>
              <w:keepLines w:val="0"/>
              <w:suppressLineNumbers w:val="0"/>
              <w:spacing w:before="0" w:beforeAutospacing="0" w:after="0" w:afterAutospacing="0"/>
              <w:ind w:left="0" w:right="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3.3</w:t>
            </w:r>
            <w:r>
              <w:rPr>
                <w:rFonts w:hint="eastAsia" w:ascii="宋体" w:hAnsi="宋体" w:eastAsia="宋体" w:cs="宋体"/>
                <w:color w:val="auto"/>
                <w:sz w:val="21"/>
                <w:szCs w:val="21"/>
                <w:highlight w:val="none"/>
              </w:rPr>
              <w:t>中标人</w:t>
            </w:r>
            <w:r>
              <w:rPr>
                <w:rFonts w:hint="eastAsia" w:ascii="宋体" w:hAnsi="宋体" w:eastAsia="宋体" w:cs="宋体"/>
                <w:bCs/>
                <w:color w:val="auto"/>
                <w:sz w:val="21"/>
                <w:szCs w:val="21"/>
                <w:highlight w:val="none"/>
              </w:rPr>
              <w:t>不能交付设备的，投标人向采购人偿付项目采购金额百分之</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5</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的违约金；造成严重后果的，根据《深圳经济特区政府采购条例》第五十七条第（二）款规定，由主管部门对投标人进行处罚。</w:t>
            </w:r>
          </w:p>
        </w:tc>
      </w:tr>
      <w:tr w14:paraId="29194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51" w:type="pct"/>
            <w:vMerge w:val="continue"/>
            <w:vAlign w:val="center"/>
          </w:tcPr>
          <w:p w14:paraId="769EA5D7">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rPr>
            </w:pPr>
          </w:p>
        </w:tc>
        <w:tc>
          <w:tcPr>
            <w:tcW w:w="979" w:type="pct"/>
            <w:vMerge w:val="continue"/>
            <w:vAlign w:val="center"/>
          </w:tcPr>
          <w:p w14:paraId="5618917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3269" w:type="pct"/>
          </w:tcPr>
          <w:p w14:paraId="26AF3F22">
            <w:pPr>
              <w:keepNext w:val="0"/>
              <w:keepLines w:val="0"/>
              <w:suppressLineNumbers w:val="0"/>
              <w:spacing w:before="0" w:beforeAutospacing="0" w:after="0" w:afterAutospacing="0"/>
              <w:ind w:left="0" w:right="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3.4</w:t>
            </w:r>
            <w:r>
              <w:rPr>
                <w:rFonts w:hint="eastAsia" w:ascii="宋体" w:hAnsi="宋体" w:eastAsia="宋体" w:cs="宋体"/>
                <w:color w:val="auto"/>
                <w:sz w:val="21"/>
                <w:szCs w:val="21"/>
                <w:highlight w:val="none"/>
              </w:rPr>
              <w:t>中标人</w:t>
            </w:r>
            <w:r>
              <w:rPr>
                <w:rFonts w:hint="eastAsia" w:ascii="宋体" w:hAnsi="宋体" w:eastAsia="宋体" w:cs="宋体"/>
                <w:bCs/>
                <w:color w:val="auto"/>
                <w:sz w:val="21"/>
                <w:szCs w:val="21"/>
                <w:highlight w:val="none"/>
              </w:rPr>
              <w:t>逾期未交设备的，</w:t>
            </w:r>
            <w:r>
              <w:rPr>
                <w:rFonts w:hint="eastAsia" w:ascii="宋体" w:hAnsi="宋体" w:eastAsia="宋体" w:cs="宋体"/>
                <w:color w:val="auto"/>
                <w:sz w:val="21"/>
                <w:szCs w:val="21"/>
                <w:highlight w:val="none"/>
              </w:rPr>
              <w:t>中标人</w:t>
            </w:r>
            <w:r>
              <w:rPr>
                <w:rFonts w:hint="eastAsia" w:ascii="宋体" w:hAnsi="宋体" w:eastAsia="宋体" w:cs="宋体"/>
                <w:bCs/>
                <w:color w:val="auto"/>
                <w:sz w:val="21"/>
                <w:szCs w:val="21"/>
                <w:highlight w:val="none"/>
              </w:rPr>
              <w:t>向采购人每日偿付设备款千分之</w:t>
            </w:r>
            <w:r>
              <w:rPr>
                <w:rFonts w:hint="eastAsia" w:ascii="宋体" w:hAnsi="宋体" w:eastAsia="宋体" w:cs="宋体"/>
                <w:bCs/>
                <w:color w:val="auto"/>
                <w:sz w:val="21"/>
                <w:szCs w:val="21"/>
                <w:highlight w:val="none"/>
                <w:u w:val="single"/>
              </w:rPr>
              <w:t xml:space="preserve"> 1</w:t>
            </w:r>
            <w:r>
              <w:rPr>
                <w:rFonts w:hint="eastAsia" w:ascii="宋体" w:hAnsi="宋体" w:eastAsia="宋体" w:cs="宋体"/>
                <w:bCs/>
                <w:color w:val="auto"/>
                <w:sz w:val="21"/>
                <w:szCs w:val="21"/>
                <w:highlight w:val="none"/>
              </w:rPr>
              <w:t>的违约金。中标人超过交货期限</w:t>
            </w:r>
            <w:r>
              <w:rPr>
                <w:rFonts w:hint="eastAsia" w:ascii="宋体" w:hAnsi="宋体" w:eastAsia="宋体" w:cs="宋体"/>
                <w:bCs/>
                <w:color w:val="auto"/>
                <w:sz w:val="21"/>
                <w:szCs w:val="21"/>
                <w:highlight w:val="none"/>
                <w:u w:val="single"/>
              </w:rPr>
              <w:t xml:space="preserve"> 10 </w:t>
            </w:r>
            <w:r>
              <w:rPr>
                <w:rFonts w:hint="eastAsia" w:ascii="宋体" w:hAnsi="宋体" w:eastAsia="宋体" w:cs="宋体"/>
                <w:bCs/>
                <w:color w:val="auto"/>
                <w:sz w:val="21"/>
                <w:szCs w:val="21"/>
                <w:highlight w:val="none"/>
              </w:rPr>
              <w:t>日仍未交货，采购人有权解除合同</w:t>
            </w:r>
          </w:p>
        </w:tc>
      </w:tr>
      <w:tr w14:paraId="3F623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751" w:type="pct"/>
            <w:vMerge w:val="continue"/>
            <w:vAlign w:val="center"/>
          </w:tcPr>
          <w:p w14:paraId="43449E08">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rPr>
            </w:pPr>
          </w:p>
        </w:tc>
        <w:tc>
          <w:tcPr>
            <w:tcW w:w="979" w:type="pct"/>
            <w:vMerge w:val="continue"/>
            <w:vAlign w:val="center"/>
          </w:tcPr>
          <w:p w14:paraId="2E8793C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3269" w:type="pct"/>
          </w:tcPr>
          <w:p w14:paraId="2C25DC90">
            <w:pPr>
              <w:keepNext w:val="0"/>
              <w:keepLines w:val="0"/>
              <w:suppressLineNumbers w:val="0"/>
              <w:spacing w:before="0" w:beforeAutospacing="0" w:after="0" w:afterAutospacing="0"/>
              <w:ind w:left="0" w:right="0"/>
              <w:rPr>
                <w:rFonts w:hint="eastAsia" w:ascii="宋体" w:hAnsi="宋体" w:eastAsia="宋体" w:cs="宋体"/>
                <w:bCs/>
                <w:color w:val="auto"/>
                <w:sz w:val="21"/>
                <w:szCs w:val="21"/>
                <w:highlight w:val="none"/>
              </w:rPr>
            </w:pPr>
            <w:r>
              <w:rPr>
                <w:rFonts w:hint="eastAsia" w:ascii="宋体" w:hAnsi="宋体" w:eastAsia="宋体" w:cs="宋体"/>
                <w:b w:val="0"/>
                <w:bCs/>
                <w:color w:val="auto"/>
                <w:sz w:val="21"/>
                <w:szCs w:val="21"/>
                <w:highlight w:val="none"/>
                <w:lang w:val="en-US" w:eastAsia="zh-CN"/>
              </w:rPr>
              <w:t>3.5</w:t>
            </w:r>
            <w:r>
              <w:rPr>
                <w:rFonts w:hint="eastAsia" w:ascii="宋体" w:hAnsi="宋体" w:eastAsia="宋体" w:cs="宋体"/>
                <w:b w:val="0"/>
                <w:bCs/>
                <w:color w:val="auto"/>
                <w:sz w:val="21"/>
                <w:szCs w:val="21"/>
              </w:rPr>
              <w:t>中标人逾期交货的，将被没收履约保证金并按主管部门相关规定处理</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highlight w:val="none"/>
              </w:rPr>
              <w:t>违约金先从由投标人履约保证金中扣除，若有不足部分则由</w:t>
            </w:r>
            <w:r>
              <w:rPr>
                <w:rFonts w:hint="eastAsia" w:ascii="宋体" w:hAnsi="宋体" w:eastAsia="宋体" w:cs="宋体"/>
                <w:b w:val="0"/>
                <w:bCs/>
                <w:color w:val="auto"/>
                <w:sz w:val="21"/>
                <w:szCs w:val="21"/>
              </w:rPr>
              <w:t>中标人</w:t>
            </w:r>
            <w:r>
              <w:rPr>
                <w:rFonts w:hint="eastAsia" w:ascii="宋体" w:hAnsi="宋体" w:eastAsia="宋体" w:cs="宋体"/>
                <w:b w:val="0"/>
                <w:bCs/>
                <w:color w:val="auto"/>
                <w:sz w:val="21"/>
                <w:szCs w:val="21"/>
                <w:highlight w:val="none"/>
              </w:rPr>
              <w:t>补齐。</w:t>
            </w:r>
          </w:p>
        </w:tc>
      </w:tr>
      <w:tr w14:paraId="44D9F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trPr>
        <w:tc>
          <w:tcPr>
            <w:tcW w:w="751" w:type="pct"/>
            <w:vMerge w:val="continue"/>
            <w:vAlign w:val="center"/>
          </w:tcPr>
          <w:p w14:paraId="40BBD79C">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rPr>
            </w:pPr>
          </w:p>
        </w:tc>
        <w:tc>
          <w:tcPr>
            <w:tcW w:w="979" w:type="pct"/>
            <w:vMerge w:val="continue"/>
            <w:vAlign w:val="center"/>
          </w:tcPr>
          <w:p w14:paraId="2F81387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3269" w:type="pct"/>
          </w:tcPr>
          <w:p w14:paraId="6E6A2140">
            <w:pPr>
              <w:keepNext w:val="0"/>
              <w:keepLines w:val="0"/>
              <w:suppressLineNumbers w:val="0"/>
              <w:spacing w:before="0" w:beforeAutospacing="0" w:after="0" w:afterAutospacing="0"/>
              <w:ind w:left="0" w:right="0"/>
              <w:rPr>
                <w:rFonts w:hint="eastAsia" w:ascii="宋体" w:hAnsi="宋体" w:eastAsia="宋体" w:cs="宋体"/>
                <w:b/>
                <w:color w:val="auto"/>
                <w:sz w:val="21"/>
                <w:szCs w:val="21"/>
              </w:rPr>
            </w:pPr>
            <w:r>
              <w:rPr>
                <w:rFonts w:hint="eastAsia" w:ascii="宋体" w:hAnsi="宋体" w:eastAsia="宋体" w:cs="宋体"/>
                <w:b w:val="0"/>
                <w:bCs/>
                <w:color w:val="auto"/>
                <w:sz w:val="21"/>
                <w:szCs w:val="21"/>
                <w:highlight w:val="none"/>
              </w:rPr>
              <w:t>3.</w:t>
            </w:r>
            <w:r>
              <w:rPr>
                <w:rFonts w:hint="eastAsia" w:ascii="宋体" w:hAnsi="宋体" w:eastAsia="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rPr>
              <w:t>中标人所交付产品、工程或服务不符合其投标承诺的，或在投标阶段为了中标而盲目虚假承诺、低价恶性竞争，在履约阶段则通过偷工减料、以次充好而获取利润的，将被没收履约保证金，并被履约评价工作实施机构评为履约等级“差”并按主管部门相关规定处理。</w:t>
            </w:r>
          </w:p>
        </w:tc>
      </w:tr>
      <w:tr w14:paraId="488BB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51" w:type="pct"/>
            <w:vAlign w:val="center"/>
          </w:tcPr>
          <w:p w14:paraId="7FA69039">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4</w:t>
            </w:r>
          </w:p>
        </w:tc>
        <w:tc>
          <w:tcPr>
            <w:tcW w:w="979" w:type="pct"/>
            <w:vAlign w:val="center"/>
          </w:tcPr>
          <w:p w14:paraId="14DCD480">
            <w:pPr>
              <w:pStyle w:val="18"/>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b/>
                <w:sz w:val="21"/>
                <w:szCs w:val="21"/>
              </w:rPr>
              <w:t>关于付款</w:t>
            </w:r>
            <w:r>
              <w:rPr>
                <w:rFonts w:hint="eastAsia" w:ascii="宋体" w:hAnsi="宋体" w:eastAsia="宋体" w:cs="宋体"/>
                <w:b/>
                <w:color w:val="auto"/>
                <w:sz w:val="21"/>
                <w:szCs w:val="21"/>
              </w:rPr>
              <w:t>★</w:t>
            </w:r>
          </w:p>
          <w:p w14:paraId="7CB0C89D">
            <w:pPr>
              <w:keepNext w:val="0"/>
              <w:keepLines w:val="0"/>
              <w:suppressLineNumbers w:val="0"/>
              <w:spacing w:before="0" w:beforeAutospacing="0" w:after="0" w:afterAutospacing="0"/>
              <w:ind w:left="0" w:right="0"/>
              <w:jc w:val="center"/>
              <w:rPr>
                <w:rFonts w:hint="eastAsia" w:ascii="宋体" w:hAnsi="宋体" w:eastAsia="宋体" w:cs="宋体"/>
                <w:b/>
                <w:sz w:val="21"/>
                <w:szCs w:val="21"/>
              </w:rPr>
            </w:pPr>
          </w:p>
        </w:tc>
        <w:tc>
          <w:tcPr>
            <w:tcW w:w="3269" w:type="pct"/>
          </w:tcPr>
          <w:p w14:paraId="197379D2">
            <w:pPr>
              <w:keepNext w:val="0"/>
              <w:keepLines w:val="0"/>
              <w:suppressLineNumbers w:val="0"/>
              <w:spacing w:before="0" w:beforeAutospacing="0" w:after="0" w:afterAutospacing="0"/>
              <w:ind w:left="0" w:right="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4.1</w:t>
            </w:r>
            <w:r>
              <w:rPr>
                <w:rFonts w:hint="eastAsia" w:ascii="宋体" w:hAnsi="宋体" w:eastAsia="宋体" w:cs="宋体"/>
                <w:b w:val="0"/>
                <w:bCs/>
                <w:color w:val="auto"/>
                <w:sz w:val="21"/>
                <w:szCs w:val="21"/>
              </w:rPr>
              <w:t>全部合同货物到达交货地点，并安装调试且验收合格后，</w:t>
            </w:r>
            <w:r>
              <w:rPr>
                <w:rFonts w:hint="eastAsia" w:ascii="宋体" w:hAnsi="宋体" w:eastAsia="宋体" w:cs="宋体"/>
                <w:b w:val="0"/>
                <w:bCs/>
                <w:color w:val="auto"/>
                <w:sz w:val="21"/>
                <w:szCs w:val="21"/>
                <w:lang w:eastAsia="zh-CN"/>
              </w:rPr>
              <w:t>提交验收资料</w:t>
            </w:r>
            <w:r>
              <w:rPr>
                <w:rFonts w:hint="eastAsia" w:ascii="宋体" w:hAnsi="宋体" w:eastAsia="宋体" w:cs="宋体"/>
                <w:b w:val="0"/>
                <w:bCs/>
                <w:color w:val="auto"/>
                <w:sz w:val="21"/>
                <w:szCs w:val="21"/>
              </w:rPr>
              <w:t>，采购人在收到</w:t>
            </w:r>
            <w:r>
              <w:rPr>
                <w:rFonts w:hint="eastAsia" w:ascii="宋体" w:hAnsi="宋体" w:eastAsia="宋体" w:cs="宋体"/>
                <w:b w:val="0"/>
                <w:bCs/>
                <w:color w:val="auto"/>
                <w:sz w:val="21"/>
                <w:szCs w:val="21"/>
                <w:lang w:eastAsia="zh-CN"/>
              </w:rPr>
              <w:t>验收资料和</w:t>
            </w:r>
            <w:r>
              <w:rPr>
                <w:rFonts w:hint="eastAsia" w:ascii="宋体" w:hAnsi="宋体" w:eastAsia="宋体" w:cs="宋体"/>
                <w:b w:val="0"/>
                <w:bCs/>
                <w:color w:val="auto"/>
                <w:sz w:val="21"/>
                <w:szCs w:val="21"/>
              </w:rPr>
              <w:t xml:space="preserve">发票后向中标人支付合同总价的 </w:t>
            </w:r>
            <w:r>
              <w:rPr>
                <w:rFonts w:hint="eastAsia" w:ascii="宋体" w:hAnsi="宋体" w:eastAsia="宋体" w:cs="宋体"/>
                <w:b w:val="0"/>
                <w:bCs/>
                <w:color w:val="auto"/>
                <w:sz w:val="21"/>
                <w:szCs w:val="21"/>
                <w:u w:val="single"/>
              </w:rPr>
              <w:t xml:space="preserve"> </w:t>
            </w:r>
            <w:r>
              <w:rPr>
                <w:rFonts w:hint="eastAsia" w:ascii="宋体" w:hAnsi="宋体" w:eastAsia="宋体" w:cs="宋体"/>
                <w:b w:val="0"/>
                <w:bCs/>
                <w:color w:val="auto"/>
                <w:sz w:val="21"/>
                <w:szCs w:val="21"/>
                <w:u w:val="single"/>
                <w:lang w:val="en-US" w:eastAsia="zh-CN"/>
              </w:rPr>
              <w:t>100</w:t>
            </w:r>
            <w:r>
              <w:rPr>
                <w:rFonts w:hint="eastAsia" w:ascii="宋体" w:hAnsi="宋体" w:eastAsia="宋体" w:cs="宋体"/>
                <w:b w:val="0"/>
                <w:bCs/>
                <w:color w:val="auto"/>
                <w:sz w:val="21"/>
                <w:szCs w:val="21"/>
                <w:u w:val="single"/>
              </w:rPr>
              <w:t xml:space="preserve"> </w:t>
            </w:r>
            <w:r>
              <w:rPr>
                <w:rFonts w:hint="eastAsia" w:ascii="宋体" w:hAnsi="宋体" w:eastAsia="宋体" w:cs="宋体"/>
                <w:b w:val="0"/>
                <w:bCs/>
                <w:color w:val="auto"/>
                <w:sz w:val="21"/>
                <w:szCs w:val="21"/>
              </w:rPr>
              <w:t xml:space="preserve">  %。</w:t>
            </w:r>
          </w:p>
          <w:p w14:paraId="20391068">
            <w:pPr>
              <w:keepNext w:val="0"/>
              <w:keepLines w:val="0"/>
              <w:suppressLineNumbers w:val="0"/>
              <w:spacing w:before="0" w:beforeAutospacing="0" w:after="0" w:afterAutospacing="0"/>
              <w:ind w:left="0" w:right="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4.2</w:t>
            </w:r>
            <w:r>
              <w:rPr>
                <w:rFonts w:hint="eastAsia" w:ascii="宋体" w:hAnsi="宋体" w:eastAsia="宋体" w:cs="宋体"/>
                <w:b w:val="0"/>
                <w:bCs/>
                <w:color w:val="auto"/>
                <w:sz w:val="21"/>
                <w:szCs w:val="21"/>
              </w:rPr>
              <w:t>每次</w:t>
            </w:r>
            <w:r>
              <w:rPr>
                <w:rFonts w:hint="eastAsia" w:ascii="宋体" w:hAnsi="宋体" w:eastAsia="宋体" w:cs="宋体"/>
                <w:b w:val="0"/>
                <w:bCs/>
                <w:color w:val="auto"/>
                <w:sz w:val="21"/>
                <w:szCs w:val="21"/>
                <w:lang w:eastAsia="zh-TW"/>
              </w:rPr>
              <w:t>按合同支付款项前，</w:t>
            </w:r>
            <w:r>
              <w:rPr>
                <w:rFonts w:hint="eastAsia" w:ascii="宋体" w:hAnsi="宋体" w:eastAsia="宋体" w:cs="宋体"/>
                <w:b w:val="0"/>
                <w:bCs/>
                <w:color w:val="auto"/>
                <w:sz w:val="21"/>
                <w:szCs w:val="21"/>
              </w:rPr>
              <w:t>中标人应</w:t>
            </w:r>
            <w:r>
              <w:rPr>
                <w:rFonts w:hint="eastAsia" w:ascii="宋体" w:hAnsi="宋体" w:eastAsia="宋体" w:cs="宋体"/>
                <w:b w:val="0"/>
                <w:bCs/>
                <w:color w:val="auto"/>
                <w:sz w:val="21"/>
                <w:szCs w:val="21"/>
                <w:lang w:eastAsia="zh-TW"/>
              </w:rPr>
              <w:t>向采购人提供与支付金额相符的有效发票，且收款方、出具发票方、合同乙方均必须与</w:t>
            </w:r>
            <w:r>
              <w:rPr>
                <w:rFonts w:hint="eastAsia" w:ascii="宋体" w:hAnsi="宋体" w:eastAsia="宋体" w:cs="宋体"/>
                <w:b w:val="0"/>
                <w:bCs/>
                <w:color w:val="auto"/>
                <w:sz w:val="21"/>
                <w:szCs w:val="21"/>
              </w:rPr>
              <w:t>中标人</w:t>
            </w:r>
            <w:r>
              <w:rPr>
                <w:rFonts w:hint="eastAsia" w:ascii="宋体" w:hAnsi="宋体" w:eastAsia="宋体" w:cs="宋体"/>
                <w:b w:val="0"/>
                <w:bCs/>
                <w:color w:val="auto"/>
                <w:sz w:val="21"/>
                <w:szCs w:val="21"/>
                <w:lang w:eastAsia="zh-TW"/>
              </w:rPr>
              <w:t>名称一致；</w:t>
            </w:r>
          </w:p>
          <w:p w14:paraId="0E877BC1">
            <w:pPr>
              <w:keepNext w:val="0"/>
              <w:keepLines w:val="0"/>
              <w:suppressLineNumbers w:val="0"/>
              <w:spacing w:before="0" w:beforeAutospacing="0" w:after="0" w:afterAutospacing="0"/>
              <w:ind w:left="0" w:right="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lang w:val="en-US" w:eastAsia="zh-CN"/>
              </w:rPr>
              <w:t>4.3</w:t>
            </w:r>
            <w:r>
              <w:rPr>
                <w:rFonts w:hint="eastAsia" w:ascii="宋体" w:hAnsi="宋体" w:eastAsia="宋体" w:cs="宋体"/>
                <w:b w:val="0"/>
                <w:bCs/>
                <w:color w:val="auto"/>
                <w:sz w:val="21"/>
                <w:szCs w:val="21"/>
              </w:rPr>
              <w:t>违约责任：</w:t>
            </w:r>
            <w:r>
              <w:rPr>
                <w:rFonts w:hint="eastAsia" w:ascii="宋体" w:hAnsi="宋体" w:eastAsia="宋体" w:cs="宋体"/>
                <w:b w:val="0"/>
                <w:bCs/>
                <w:color w:val="auto"/>
                <w:sz w:val="21"/>
                <w:szCs w:val="21"/>
                <w:lang w:eastAsia="zh-TW"/>
              </w:rPr>
              <w:t>采购人逾期</w:t>
            </w:r>
            <w:r>
              <w:rPr>
                <w:rFonts w:hint="eastAsia" w:ascii="宋体" w:hAnsi="宋体" w:eastAsia="宋体" w:cs="宋体"/>
                <w:b w:val="0"/>
                <w:bCs/>
                <w:color w:val="auto"/>
                <w:sz w:val="21"/>
                <w:szCs w:val="21"/>
              </w:rPr>
              <w:t>支付合同款项</w:t>
            </w:r>
            <w:r>
              <w:rPr>
                <w:rFonts w:hint="eastAsia" w:ascii="宋体" w:hAnsi="宋体" w:eastAsia="宋体" w:cs="宋体"/>
                <w:b w:val="0"/>
                <w:bCs/>
                <w:color w:val="auto"/>
                <w:sz w:val="21"/>
                <w:szCs w:val="21"/>
                <w:lang w:eastAsia="zh-TW"/>
              </w:rPr>
              <w:t>的，除应当</w:t>
            </w:r>
            <w:r>
              <w:rPr>
                <w:rFonts w:hint="eastAsia" w:ascii="宋体" w:hAnsi="宋体" w:eastAsia="宋体" w:cs="宋体"/>
                <w:b w:val="0"/>
                <w:bCs/>
                <w:color w:val="auto"/>
                <w:sz w:val="21"/>
                <w:szCs w:val="21"/>
              </w:rPr>
              <w:t>支付合同款项</w:t>
            </w:r>
            <w:r>
              <w:rPr>
                <w:rFonts w:hint="eastAsia" w:ascii="宋体" w:hAnsi="宋体" w:eastAsia="宋体" w:cs="宋体"/>
                <w:b w:val="0"/>
                <w:bCs/>
                <w:color w:val="auto"/>
                <w:sz w:val="21"/>
                <w:szCs w:val="21"/>
                <w:lang w:eastAsia="zh-TW"/>
              </w:rPr>
              <w:t>外，还应当每日按合同总价的</w:t>
            </w: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sz w:val="21"/>
                <w:szCs w:val="21"/>
                <w:lang w:eastAsia="zh-TW"/>
              </w:rPr>
              <w:t>‰向</w:t>
            </w:r>
            <w:r>
              <w:rPr>
                <w:rFonts w:hint="eastAsia" w:ascii="宋体" w:hAnsi="宋体" w:eastAsia="宋体" w:cs="宋体"/>
                <w:b w:val="0"/>
                <w:bCs/>
                <w:color w:val="auto"/>
                <w:sz w:val="21"/>
                <w:szCs w:val="21"/>
              </w:rPr>
              <w:t>中标人</w:t>
            </w:r>
            <w:r>
              <w:rPr>
                <w:rFonts w:hint="eastAsia" w:ascii="宋体" w:hAnsi="宋体" w:eastAsia="宋体" w:cs="宋体"/>
                <w:b w:val="0"/>
                <w:bCs/>
                <w:color w:val="auto"/>
                <w:sz w:val="21"/>
                <w:szCs w:val="21"/>
                <w:lang w:eastAsia="zh-TW"/>
              </w:rPr>
              <w:t>偿付违约金，但</w:t>
            </w:r>
            <w:r>
              <w:rPr>
                <w:rFonts w:hint="eastAsia" w:ascii="宋体" w:hAnsi="宋体" w:eastAsia="宋体" w:cs="宋体"/>
                <w:b w:val="0"/>
                <w:bCs/>
                <w:color w:val="auto"/>
                <w:sz w:val="21"/>
                <w:szCs w:val="21"/>
                <w:highlight w:val="none"/>
                <w:lang w:eastAsia="zh-TW"/>
              </w:rPr>
              <w:t>因</w:t>
            </w:r>
            <w:r>
              <w:rPr>
                <w:rFonts w:hint="eastAsia" w:ascii="宋体" w:hAnsi="宋体" w:eastAsia="宋体" w:cs="宋体"/>
                <w:b w:val="0"/>
                <w:bCs/>
                <w:color w:val="auto"/>
                <w:sz w:val="21"/>
                <w:szCs w:val="21"/>
                <w:highlight w:val="none"/>
              </w:rPr>
              <w:t>中标人</w:t>
            </w:r>
            <w:r>
              <w:rPr>
                <w:rFonts w:hint="eastAsia" w:ascii="宋体" w:hAnsi="宋体" w:eastAsia="宋体" w:cs="宋体"/>
                <w:b w:val="0"/>
                <w:bCs/>
                <w:color w:val="auto"/>
                <w:sz w:val="21"/>
                <w:szCs w:val="21"/>
                <w:highlight w:val="none"/>
                <w:lang w:eastAsia="zh-TW"/>
              </w:rPr>
              <w:t>自身原因导致无法及时</w:t>
            </w:r>
            <w:r>
              <w:rPr>
                <w:rFonts w:hint="eastAsia" w:ascii="宋体" w:hAnsi="宋体" w:eastAsia="宋体" w:cs="宋体"/>
                <w:b w:val="0"/>
                <w:bCs/>
                <w:color w:val="auto"/>
                <w:sz w:val="21"/>
                <w:szCs w:val="21"/>
                <w:highlight w:val="none"/>
              </w:rPr>
              <w:t>支付</w:t>
            </w:r>
            <w:r>
              <w:rPr>
                <w:rFonts w:hint="eastAsia" w:ascii="宋体" w:hAnsi="宋体" w:eastAsia="宋体" w:cs="宋体"/>
                <w:b w:val="0"/>
                <w:bCs/>
                <w:color w:val="auto"/>
                <w:sz w:val="21"/>
                <w:szCs w:val="21"/>
                <w:highlight w:val="none"/>
                <w:lang w:eastAsia="zh-TW"/>
              </w:rPr>
              <w:t>的除外</w:t>
            </w:r>
            <w:r>
              <w:rPr>
                <w:rFonts w:hint="eastAsia" w:ascii="宋体" w:hAnsi="宋体" w:eastAsia="宋体" w:cs="宋体"/>
                <w:b w:val="0"/>
                <w:bCs/>
                <w:color w:val="auto"/>
                <w:sz w:val="21"/>
                <w:szCs w:val="21"/>
                <w:highlight w:val="none"/>
              </w:rPr>
              <w:t>。</w:t>
            </w:r>
          </w:p>
          <w:p w14:paraId="008E936F">
            <w:pPr>
              <w:keepNext w:val="0"/>
              <w:keepLines w:val="0"/>
              <w:suppressLineNumbers w:val="0"/>
              <w:spacing w:before="0" w:beforeAutospacing="0" w:after="0" w:afterAutospacing="0"/>
              <w:ind w:left="0" w:right="0"/>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highlight w:val="none"/>
                <w:lang w:val="en-US" w:eastAsia="zh-CN"/>
              </w:rPr>
              <w:t>4.4涉及政府投资项目待资金下达后进行支付。</w:t>
            </w:r>
          </w:p>
        </w:tc>
      </w:tr>
      <w:tr w14:paraId="02819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51" w:type="pct"/>
            <w:vAlign w:val="center"/>
          </w:tcPr>
          <w:p w14:paraId="2FE3B20B">
            <w:pPr>
              <w:keepNext w:val="0"/>
              <w:keepLines w:val="0"/>
              <w:suppressLineNumbers w:val="0"/>
              <w:spacing w:before="0" w:beforeAutospacing="0" w:after="0" w:afterAutospacing="0"/>
              <w:ind w:left="0" w:right="0"/>
              <w:jc w:val="center"/>
              <w:rPr>
                <w:rFonts w:hint="eastAsia" w:ascii="宋体" w:hAnsi="宋体" w:eastAsia="宋体" w:cs="宋体"/>
                <w:b/>
                <w:sz w:val="21"/>
                <w:szCs w:val="21"/>
                <w:lang w:val="en-US" w:eastAsia="zh-CN"/>
              </w:rPr>
            </w:pPr>
            <w:r>
              <w:rPr>
                <w:rFonts w:hint="eastAsia" w:ascii="宋体" w:hAnsi="宋体" w:eastAsia="宋体" w:cs="宋体"/>
                <w:b/>
                <w:bCs/>
                <w:color w:val="auto"/>
                <w:sz w:val="21"/>
                <w:szCs w:val="21"/>
              </w:rPr>
              <w:t>★</w:t>
            </w:r>
            <w:r>
              <w:rPr>
                <w:rFonts w:hint="eastAsia" w:ascii="宋体" w:hAnsi="宋体" w:eastAsia="宋体" w:cs="宋体"/>
                <w:b/>
                <w:bCs/>
                <w:color w:val="auto"/>
                <w:sz w:val="21"/>
                <w:szCs w:val="21"/>
                <w:lang w:val="en-US" w:eastAsia="zh-CN"/>
              </w:rPr>
              <w:t>5</w:t>
            </w:r>
          </w:p>
        </w:tc>
        <w:tc>
          <w:tcPr>
            <w:tcW w:w="979" w:type="pct"/>
            <w:vAlign w:val="center"/>
          </w:tcPr>
          <w:p w14:paraId="781EC5DB">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宋体" w:hAnsi="宋体" w:eastAsia="宋体" w:cs="宋体"/>
                <w:b/>
                <w:sz w:val="21"/>
                <w:szCs w:val="21"/>
              </w:rPr>
            </w:pPr>
            <w:r>
              <w:rPr>
                <w:rFonts w:hint="eastAsia" w:ascii="宋体" w:hAnsi="宋体" w:eastAsia="宋体" w:cs="宋体"/>
                <w:b/>
                <w:bCs/>
                <w:color w:val="auto"/>
                <w:sz w:val="21"/>
                <w:szCs w:val="21"/>
              </w:rPr>
              <w:t>知识产权合规承诺</w:t>
            </w:r>
          </w:p>
        </w:tc>
        <w:tc>
          <w:tcPr>
            <w:tcW w:w="3269" w:type="pct"/>
          </w:tcPr>
          <w:p w14:paraId="50DDD17F">
            <w:pPr>
              <w:keepNext w:val="0"/>
              <w:keepLines w:val="0"/>
              <w:suppressLineNumbers w:val="0"/>
              <w:spacing w:before="0" w:beforeAutospacing="0" w:after="0" w:afterAutospacing="0"/>
              <w:ind w:left="0" w:right="0"/>
              <w:rPr>
                <w:rFonts w:hint="eastAsia" w:ascii="宋体" w:hAnsi="宋体" w:eastAsia="宋体" w:cs="宋体"/>
                <w:color w:val="auto"/>
                <w:kern w:val="0"/>
                <w:sz w:val="21"/>
                <w:szCs w:val="21"/>
                <w:lang w:val="en-US"/>
              </w:rPr>
            </w:pPr>
            <w:r>
              <w:rPr>
                <w:rFonts w:hint="eastAsia" w:ascii="宋体" w:hAnsi="宋体" w:eastAsia="宋体" w:cs="宋体"/>
                <w:color w:val="auto"/>
                <w:kern w:val="0"/>
                <w:sz w:val="21"/>
                <w:szCs w:val="21"/>
                <w:lang w:val="en-US" w:eastAsia="zh-CN" w:bidi="ar"/>
              </w:rPr>
              <w:t>6.1</w:t>
            </w:r>
            <w:r>
              <w:rPr>
                <w:rFonts w:hint="eastAsia" w:ascii="宋体" w:hAnsi="宋体" w:eastAsia="宋体" w:cs="宋体"/>
                <w:bCs/>
                <w:color w:val="000000"/>
                <w:sz w:val="21"/>
                <w:szCs w:val="21"/>
                <w:highlight w:val="none"/>
              </w:rPr>
              <w:t>投标人</w:t>
            </w:r>
            <w:r>
              <w:rPr>
                <w:rFonts w:hint="eastAsia" w:ascii="宋体" w:hAnsi="宋体" w:eastAsia="宋体" w:cs="宋体"/>
                <w:color w:val="auto"/>
                <w:kern w:val="0"/>
                <w:sz w:val="21"/>
                <w:szCs w:val="21"/>
                <w:lang w:val="en-US" w:eastAsia="zh-CN" w:bidi="ar"/>
              </w:rPr>
              <w:t>在履行合同的过程中不得侵犯他人知识产权，不得提供虚假知识产权申请材料或者违背知识产权合规性承诺，否则依法追究其违约等责任，并将其失信违法信息依法纳入公共信用信息系统。</w:t>
            </w:r>
          </w:p>
          <w:p w14:paraId="0EB06F22">
            <w:pPr>
              <w:keepNext w:val="0"/>
              <w:keepLines w:val="0"/>
              <w:suppressLineNumbers w:val="0"/>
              <w:spacing w:before="0" w:beforeAutospacing="0" w:after="0" w:afterAutospacing="0"/>
              <w:ind w:left="0" w:right="0"/>
              <w:rPr>
                <w:rFonts w:hint="eastAsia" w:ascii="宋体" w:hAnsi="宋体" w:eastAsia="宋体" w:cs="宋体"/>
                <w:color w:val="auto"/>
                <w:kern w:val="0"/>
                <w:sz w:val="21"/>
                <w:szCs w:val="21"/>
                <w:lang w:val="en-US"/>
              </w:rPr>
            </w:pPr>
            <w:r>
              <w:rPr>
                <w:rFonts w:hint="eastAsia" w:ascii="宋体" w:hAnsi="宋体" w:eastAsia="宋体" w:cs="宋体"/>
                <w:color w:val="auto"/>
                <w:kern w:val="0"/>
                <w:sz w:val="21"/>
                <w:szCs w:val="21"/>
                <w:lang w:val="en-US" w:eastAsia="zh-CN" w:bidi="ar"/>
              </w:rPr>
              <w:t>6.2</w:t>
            </w:r>
            <w:r>
              <w:rPr>
                <w:rFonts w:hint="eastAsia" w:ascii="宋体" w:hAnsi="宋体" w:eastAsia="宋体" w:cs="宋体"/>
                <w:bCs/>
                <w:color w:val="000000"/>
                <w:sz w:val="21"/>
                <w:szCs w:val="21"/>
                <w:highlight w:val="none"/>
              </w:rPr>
              <w:t>投标人</w:t>
            </w:r>
            <w:r>
              <w:rPr>
                <w:rFonts w:hint="eastAsia" w:ascii="宋体" w:hAnsi="宋体" w:eastAsia="宋体" w:cs="宋体"/>
                <w:color w:val="auto"/>
                <w:kern w:val="0"/>
                <w:sz w:val="21"/>
                <w:szCs w:val="21"/>
                <w:lang w:val="en-US" w:eastAsia="zh-CN" w:bidi="ar"/>
              </w:rPr>
              <w:t>应保证采购人在使用该货物或其任何一部分时免受第三方提出侵犯其专利、商标、版权等知识产权或商品名称及其他权利的起诉及索赔。若采购人因此被第三方起诉或以其它方式追究责任，</w:t>
            </w:r>
            <w:r>
              <w:rPr>
                <w:rFonts w:hint="eastAsia" w:ascii="宋体" w:hAnsi="宋体" w:eastAsia="宋体" w:cs="宋体"/>
                <w:bCs/>
                <w:color w:val="000000"/>
                <w:sz w:val="21"/>
                <w:szCs w:val="21"/>
                <w:highlight w:val="none"/>
              </w:rPr>
              <w:t>投标人</w:t>
            </w:r>
            <w:r>
              <w:rPr>
                <w:rFonts w:hint="eastAsia" w:ascii="宋体" w:hAnsi="宋体" w:eastAsia="宋体" w:cs="宋体"/>
                <w:color w:val="auto"/>
                <w:kern w:val="0"/>
                <w:sz w:val="21"/>
                <w:szCs w:val="21"/>
                <w:lang w:val="en-US" w:eastAsia="zh-CN" w:bidi="ar"/>
              </w:rPr>
              <w:t>应赔偿因采购人被第三方索赔所引起的一切损失，包括但不限于采购人所支付的侵权损害赔偿费、律师费、诉讼费、仲裁费、办案差旅费等因应诉、沟通协调所发的一切费用。</w:t>
            </w:r>
          </w:p>
          <w:p w14:paraId="0B1F2484">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rPr>
                <w:rFonts w:hint="eastAsia" w:ascii="宋体" w:hAnsi="宋体" w:eastAsia="宋体" w:cs="宋体"/>
                <w:b/>
                <w:sz w:val="21"/>
                <w:szCs w:val="21"/>
              </w:rPr>
            </w:pPr>
            <w:r>
              <w:rPr>
                <w:rFonts w:hint="eastAsia" w:ascii="宋体" w:hAnsi="宋体" w:eastAsia="宋体" w:cs="宋体"/>
                <w:bCs/>
                <w:color w:val="auto"/>
                <w:kern w:val="0"/>
                <w:sz w:val="21"/>
                <w:szCs w:val="21"/>
                <w:lang w:val="en-US" w:eastAsia="zh-CN" w:bidi="ar"/>
              </w:rPr>
              <w:t>6.3</w:t>
            </w:r>
            <w:r>
              <w:rPr>
                <w:rFonts w:hint="eastAsia" w:ascii="宋体" w:hAnsi="宋体" w:eastAsia="宋体" w:cs="宋体"/>
                <w:bCs/>
                <w:color w:val="000000"/>
                <w:sz w:val="21"/>
                <w:szCs w:val="21"/>
                <w:highlight w:val="none"/>
              </w:rPr>
              <w:t>投标人</w:t>
            </w:r>
            <w:r>
              <w:rPr>
                <w:rFonts w:hint="eastAsia" w:ascii="宋体" w:hAnsi="宋体" w:eastAsia="宋体" w:cs="宋体"/>
                <w:bCs/>
                <w:color w:val="auto"/>
                <w:kern w:val="0"/>
                <w:sz w:val="21"/>
                <w:szCs w:val="21"/>
                <w:lang w:val="en-US" w:eastAsia="zh-CN" w:bidi="ar"/>
              </w:rPr>
              <w:t>实施本项目所形成成果的知识产权归采购人所有，未经采购人许可，</w:t>
            </w:r>
            <w:r>
              <w:rPr>
                <w:rFonts w:hint="eastAsia" w:ascii="宋体" w:hAnsi="宋体" w:eastAsia="宋体" w:cs="宋体"/>
                <w:bCs/>
                <w:color w:val="000000"/>
                <w:sz w:val="21"/>
                <w:szCs w:val="21"/>
                <w:highlight w:val="none"/>
              </w:rPr>
              <w:t>投标人</w:t>
            </w:r>
            <w:r>
              <w:rPr>
                <w:rFonts w:hint="eastAsia" w:ascii="宋体" w:hAnsi="宋体" w:eastAsia="宋体" w:cs="宋体"/>
                <w:bCs/>
                <w:color w:val="auto"/>
                <w:kern w:val="0"/>
                <w:sz w:val="21"/>
                <w:szCs w:val="21"/>
                <w:lang w:val="en-US" w:eastAsia="zh-CN" w:bidi="ar"/>
              </w:rPr>
              <w:t>不得随意使用。</w:t>
            </w:r>
          </w:p>
        </w:tc>
      </w:tr>
      <w:tr w14:paraId="1F4D2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51" w:type="pct"/>
            <w:vAlign w:val="center"/>
          </w:tcPr>
          <w:p w14:paraId="768142D2">
            <w:pPr>
              <w:keepNext w:val="0"/>
              <w:keepLines w:val="0"/>
              <w:suppressLineNumbers w:val="0"/>
              <w:spacing w:before="0" w:beforeAutospacing="0" w:after="0" w:afterAutospacing="0"/>
              <w:ind w:left="0" w:right="0"/>
              <w:jc w:val="center"/>
              <w:rPr>
                <w:rFonts w:hint="eastAsia" w:ascii="宋体" w:hAnsi="宋体" w:eastAsia="宋体" w:cs="宋体"/>
                <w:b/>
                <w:bCs w:val="0"/>
                <w:kern w:val="2"/>
                <w:sz w:val="21"/>
                <w:szCs w:val="21"/>
                <w:lang w:val="en-US" w:eastAsia="zh-CN" w:bidi="ar-SA"/>
              </w:rPr>
            </w:pPr>
            <w:r>
              <w:rPr>
                <w:rFonts w:hint="eastAsia" w:ascii="宋体" w:hAnsi="宋体" w:eastAsia="宋体" w:cs="宋体"/>
                <w:b/>
                <w:bCs w:val="0"/>
                <w:sz w:val="21"/>
                <w:szCs w:val="21"/>
                <w:lang w:val="en-US" w:eastAsia="zh-CN"/>
              </w:rPr>
              <w:t>6</w:t>
            </w:r>
          </w:p>
        </w:tc>
        <w:tc>
          <w:tcPr>
            <w:tcW w:w="979" w:type="pct"/>
            <w:vAlign w:val="center"/>
          </w:tcPr>
          <w:p w14:paraId="6B785005">
            <w:pPr>
              <w:keepNext w:val="0"/>
              <w:keepLines w:val="0"/>
              <w:suppressLineNumbers w:val="0"/>
              <w:spacing w:before="0" w:beforeAutospacing="0" w:after="0" w:afterAutospacing="0"/>
              <w:ind w:left="0" w:right="0"/>
              <w:jc w:val="center"/>
              <w:rPr>
                <w:rFonts w:hint="eastAsia" w:ascii="宋体" w:hAnsi="宋体" w:eastAsia="宋体" w:cs="宋体"/>
                <w:b/>
                <w:bCs w:val="0"/>
                <w:kern w:val="2"/>
                <w:sz w:val="21"/>
                <w:szCs w:val="21"/>
                <w:lang w:val="en-US" w:eastAsia="zh-CN" w:bidi="ar-SA"/>
              </w:rPr>
            </w:pPr>
            <w:r>
              <w:rPr>
                <w:rFonts w:hint="eastAsia" w:ascii="宋体" w:hAnsi="宋体" w:eastAsia="宋体" w:cs="宋体"/>
                <w:b/>
                <w:bCs w:val="0"/>
                <w:kern w:val="2"/>
                <w:sz w:val="21"/>
                <w:szCs w:val="21"/>
                <w:lang w:val="en-US" w:eastAsia="zh-CN" w:bidi="ar-SA"/>
              </w:rPr>
              <w:t>认证资料</w:t>
            </w:r>
          </w:p>
        </w:tc>
        <w:tc>
          <w:tcPr>
            <w:tcW w:w="3269" w:type="pct"/>
            <w:vAlign w:val="center"/>
          </w:tcPr>
          <w:p w14:paraId="5F54E364">
            <w:pPr>
              <w:keepNext w:val="0"/>
              <w:keepLines w:val="0"/>
              <w:suppressLineNumbers w:val="0"/>
              <w:spacing w:before="0" w:beforeAutospacing="0" w:after="0" w:afterAutospacing="0" w:line="360" w:lineRule="auto"/>
              <w:ind w:left="0" w:right="0"/>
              <w:rPr>
                <w:rFonts w:hint="eastAsia" w:ascii="宋体" w:hAnsi="宋体" w:eastAsia="宋体" w:cs="宋体"/>
                <w:b/>
                <w:bCs w:val="0"/>
                <w:color w:val="000000"/>
                <w:kern w:val="2"/>
                <w:sz w:val="21"/>
                <w:szCs w:val="21"/>
                <w:highlight w:val="none"/>
                <w:lang w:val="en-US" w:eastAsia="zh-CN" w:bidi="ar-SA"/>
              </w:rPr>
            </w:pPr>
            <w:r>
              <w:rPr>
                <w:rFonts w:hint="eastAsia" w:ascii="宋体" w:hAnsi="宋体" w:eastAsia="宋体" w:cs="宋体"/>
                <w:b/>
                <w:bCs w:val="0"/>
                <w:color w:val="FF0000"/>
                <w:sz w:val="21"/>
                <w:szCs w:val="21"/>
              </w:rPr>
              <w:t>★</w:t>
            </w:r>
            <w:r>
              <w:rPr>
                <w:rFonts w:hint="eastAsia" w:ascii="宋体" w:hAnsi="宋体" w:cs="宋体"/>
                <w:b/>
                <w:bCs w:val="0"/>
                <w:color w:val="FF0000"/>
                <w:sz w:val="21"/>
                <w:szCs w:val="21"/>
                <w:highlight w:val="none"/>
                <w:lang w:val="en-US" w:eastAsia="zh-CN"/>
              </w:rPr>
              <w:t>6</w:t>
            </w:r>
            <w:r>
              <w:rPr>
                <w:rFonts w:hint="eastAsia" w:ascii="宋体" w:hAnsi="宋体" w:eastAsia="宋体" w:cs="宋体"/>
                <w:b/>
                <w:bCs w:val="0"/>
                <w:color w:val="FF0000"/>
                <w:sz w:val="21"/>
                <w:szCs w:val="21"/>
                <w:highlight w:val="none"/>
              </w:rPr>
              <w:t>.1投标人所投产品具备相关主管部门要求的认证资料：所投产品为第一类医疗器械的，提供监督管理部门签发的有效的《医疗器械备案凭证》扫描件；所投产品为第二、三类医疗器械的，提供监督管理部门签发的涵盖所投产品的《医疗器械注册证》(有效期内)扫描件。</w:t>
            </w:r>
          </w:p>
        </w:tc>
      </w:tr>
    </w:tbl>
    <w:p w14:paraId="2095C2B7">
      <w:pPr>
        <w:pStyle w:val="7"/>
        <w:spacing w:before="156" w:beforeLines="50" w:after="156" w:afterLines="50"/>
        <w:rPr>
          <w:szCs w:val="24"/>
        </w:rPr>
      </w:pPr>
      <w:r>
        <w:rPr>
          <w:rFonts w:hint="eastAsia"/>
          <w:szCs w:val="24"/>
          <w:lang w:val="en-US" w:eastAsia="zh-CN"/>
        </w:rPr>
        <w:t>六</w:t>
      </w:r>
      <w:r>
        <w:rPr>
          <w:rFonts w:hint="eastAsia"/>
          <w:szCs w:val="24"/>
        </w:rPr>
        <w:t>、其他重要条款</w:t>
      </w:r>
    </w:p>
    <w:p w14:paraId="0B34EEC4">
      <w:pPr>
        <w:ind w:firstLine="420" w:firstLineChars="200"/>
        <w:rPr>
          <w:bCs/>
          <w:szCs w:val="21"/>
        </w:rPr>
      </w:pPr>
      <w:r>
        <w:rPr>
          <w:bCs/>
          <w:szCs w:val="21"/>
          <w:lang w:bidi="ar"/>
        </w:rPr>
        <w:t>1</w:t>
      </w:r>
      <w:r>
        <w:rPr>
          <w:rFonts w:hint="eastAsia" w:cs="宋体"/>
          <w:bCs/>
          <w:szCs w:val="21"/>
          <w:lang w:bidi="ar"/>
        </w:rPr>
        <w:t>、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4A276258">
      <w:pPr>
        <w:pStyle w:val="38"/>
        <w:spacing w:before="78" w:beforeLines="25" w:after="78" w:afterLines="25"/>
        <w:ind w:firstLine="392" w:firstLineChars="187"/>
        <w:rPr>
          <w:rFonts w:ascii="宋体" w:hAnsi="宋体" w:cs="宋体"/>
          <w:szCs w:val="21"/>
        </w:rPr>
      </w:pPr>
      <w:r>
        <w:rPr>
          <w:bCs/>
          <w:sz w:val="21"/>
          <w:szCs w:val="21"/>
          <w:lang w:bidi="ar"/>
        </w:rPr>
        <w:t>2</w:t>
      </w:r>
      <w:r>
        <w:rPr>
          <w:rFonts w:hint="eastAsia" w:cs="宋体"/>
          <w:bCs/>
          <w:sz w:val="21"/>
          <w:szCs w:val="21"/>
          <w:lang w:bidi="ar"/>
        </w:rPr>
        <w:t>、投标人应充分了解项目的位置、情况、道路及任何其它足以影响投标报价的情况，任何因忽视或误解项目情况而导致的索赔或服务期限延长申请将不获批准。</w:t>
      </w:r>
    </w:p>
    <w:p w14:paraId="5CDBDDA3">
      <w:pPr>
        <w:ind w:firstLine="420" w:firstLineChars="200"/>
        <w:rPr>
          <w:bCs/>
          <w:szCs w:val="21"/>
        </w:rPr>
      </w:pPr>
      <w:r>
        <w:rPr>
          <w:bCs/>
          <w:szCs w:val="21"/>
          <w:lang w:bidi="ar"/>
        </w:rPr>
        <w:t>3</w:t>
      </w:r>
      <w:r>
        <w:rPr>
          <w:rFonts w:hint="eastAsia" w:cs="宋体"/>
          <w:bCs/>
          <w:szCs w:val="21"/>
          <w:lang w:bidi="ar"/>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0C96E653">
      <w:pPr>
        <w:ind w:firstLine="420" w:firstLineChars="200"/>
        <w:rPr>
          <w:bCs/>
          <w:szCs w:val="21"/>
        </w:rPr>
      </w:pPr>
      <w:r>
        <w:rPr>
          <w:bCs/>
          <w:szCs w:val="21"/>
          <w:lang w:bidi="ar"/>
        </w:rPr>
        <w:t>4</w:t>
      </w:r>
      <w:r>
        <w:rPr>
          <w:rFonts w:hint="eastAsia" w:cs="宋体"/>
          <w:bCs/>
          <w:szCs w:val="21"/>
          <w:lang w:bidi="ar"/>
        </w:rPr>
        <w:t>、除采购合同继续履行将损害国家利益和社会公共利益外，双方当事人不得擅自变更、中止或者终止合同。</w:t>
      </w:r>
    </w:p>
    <w:p w14:paraId="1298B8BC">
      <w:pPr>
        <w:ind w:firstLine="420" w:firstLineChars="200"/>
        <w:rPr>
          <w:bCs/>
          <w:szCs w:val="21"/>
        </w:rPr>
      </w:pPr>
      <w:r>
        <w:rPr>
          <w:bCs/>
          <w:szCs w:val="21"/>
          <w:lang w:bidi="ar"/>
        </w:rPr>
        <w:t>5</w:t>
      </w:r>
      <w:r>
        <w:rPr>
          <w:rFonts w:hint="eastAsia" w:cs="宋体"/>
          <w:bCs/>
          <w:szCs w:val="21"/>
          <w:lang w:bidi="ar"/>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14:paraId="7724FE86">
      <w:pPr>
        <w:rPr>
          <w:rFonts w:hint="eastAsia"/>
          <w:sz w:val="28"/>
          <w:szCs w:val="28"/>
        </w:rPr>
      </w:pPr>
      <w:r>
        <w:rPr>
          <w:rFonts w:hint="eastAsia"/>
          <w:sz w:val="28"/>
          <w:szCs w:val="28"/>
        </w:rPr>
        <w:br w:type="page"/>
      </w:r>
    </w:p>
    <w:p w14:paraId="54484D2C">
      <w:pPr>
        <w:pStyle w:val="7"/>
        <w:rPr>
          <w:sz w:val="28"/>
          <w:szCs w:val="28"/>
        </w:rPr>
      </w:pPr>
      <w:r>
        <w:rPr>
          <w:rFonts w:hint="eastAsia"/>
          <w:sz w:val="28"/>
          <w:szCs w:val="28"/>
        </w:rPr>
        <w:t>第四章 投标文件组成要求及格式</w:t>
      </w:r>
    </w:p>
    <w:p w14:paraId="5338D64C">
      <w:pPr>
        <w:rPr>
          <w:rStyle w:val="66"/>
          <w:sz w:val="24"/>
          <w:highlight w:val="none"/>
        </w:rPr>
      </w:pPr>
      <w:r>
        <w:rPr>
          <w:rStyle w:val="66"/>
          <w:rFonts w:hint="eastAsia"/>
          <w:sz w:val="24"/>
          <w:highlight w:val="none"/>
        </w:rPr>
        <w:t>特别提醒：</w:t>
      </w:r>
    </w:p>
    <w:p w14:paraId="580D22C1">
      <w:pPr>
        <w:tabs>
          <w:tab w:val="left" w:pos="1470"/>
        </w:tabs>
        <w:snapToGrid w:val="0"/>
        <w:spacing w:line="320" w:lineRule="atLeast"/>
        <w:ind w:firstLine="482" w:firstLineChars="200"/>
        <w:rPr>
          <w:rFonts w:ascii="宋体" w:hAnsi="宋体" w:cs="宋体"/>
          <w:b/>
          <w:color w:val="FF0000"/>
          <w:sz w:val="24"/>
          <w:highlight w:val="none"/>
        </w:rPr>
      </w:pPr>
      <w:r>
        <w:rPr>
          <w:rFonts w:hint="eastAsia" w:ascii="宋体" w:hAnsi="宋体" w:cs="宋体"/>
          <w:b/>
          <w:color w:val="FF0000"/>
          <w:sz w:val="24"/>
          <w:highlight w:val="none"/>
        </w:rPr>
        <w:t>1</w:t>
      </w:r>
      <w:r>
        <w:rPr>
          <w:rFonts w:hint="eastAsia" w:ascii="宋体" w:hAnsi="宋体" w:cs="宋体"/>
          <w:b/>
          <w:color w:val="FF0000"/>
          <w:sz w:val="24"/>
          <w:highlight w:val="none"/>
          <w:lang w:val="en-US" w:eastAsia="zh-CN"/>
        </w:rPr>
        <w:t>.</w:t>
      </w:r>
      <w:r>
        <w:rPr>
          <w:rFonts w:hint="eastAsia" w:ascii="宋体" w:hAnsi="宋体" w:cs="宋体"/>
          <w:b/>
          <w:color w:val="FF0000"/>
          <w:sz w:val="24"/>
          <w:highlight w:val="none"/>
        </w:rPr>
        <w:t>投标人在编辑投标文件时，在投标文件目录中属于本节点内容的</w:t>
      </w:r>
      <w:r>
        <w:rPr>
          <w:rFonts w:hint="eastAsia" w:ascii="宋体" w:hAnsi="宋体" w:cs="宋体"/>
          <w:b/>
          <w:color w:val="FF0000"/>
          <w:sz w:val="24"/>
          <w:highlight w:val="none"/>
          <w:lang w:val="en-US" w:eastAsia="zh-CN"/>
        </w:rPr>
        <w:t>需</w:t>
      </w:r>
      <w:r>
        <w:rPr>
          <w:rFonts w:hint="eastAsia" w:ascii="宋体" w:hAnsi="宋体" w:cs="宋体"/>
          <w:b/>
          <w:color w:val="FF0000"/>
          <w:sz w:val="24"/>
          <w:highlight w:val="none"/>
        </w:rPr>
        <w:t>在</w:t>
      </w:r>
      <w:r>
        <w:rPr>
          <w:rFonts w:hint="eastAsia" w:ascii="宋体" w:hAnsi="宋体" w:cs="宋体"/>
          <w:b/>
          <w:color w:val="FF0000"/>
          <w:sz w:val="24"/>
          <w:highlight w:val="none"/>
          <w:lang w:val="en-US" w:eastAsia="zh-CN"/>
        </w:rPr>
        <w:t>对应</w:t>
      </w:r>
      <w:r>
        <w:rPr>
          <w:rFonts w:hint="eastAsia" w:ascii="宋体" w:hAnsi="宋体" w:cs="宋体"/>
          <w:b/>
          <w:color w:val="FF0000"/>
          <w:sz w:val="24"/>
          <w:highlight w:val="none"/>
        </w:rPr>
        <w:t>节点中填写，填写到其他节点后果由供应商自行承担。</w:t>
      </w:r>
    </w:p>
    <w:p w14:paraId="4F5D28FA">
      <w:pPr>
        <w:tabs>
          <w:tab w:val="left" w:pos="1470"/>
        </w:tabs>
        <w:snapToGrid w:val="0"/>
        <w:spacing w:line="320" w:lineRule="atLeast"/>
        <w:ind w:firstLine="482" w:firstLineChars="200"/>
        <w:rPr>
          <w:rFonts w:hint="default" w:ascii="宋体" w:hAnsi="宋体" w:eastAsia="宋体" w:cs="宋体"/>
          <w:b/>
          <w:color w:val="FF0000"/>
          <w:sz w:val="24"/>
          <w:highlight w:val="none"/>
          <w:lang w:val="en-US" w:eastAsia="zh-CN"/>
        </w:rPr>
      </w:pPr>
      <w:r>
        <w:rPr>
          <w:rFonts w:hint="eastAsia" w:ascii="宋体" w:hAnsi="宋体" w:cs="宋体"/>
          <w:b/>
          <w:color w:val="FF0000"/>
          <w:sz w:val="24"/>
          <w:highlight w:val="none"/>
        </w:rPr>
        <w:t>2</w:t>
      </w:r>
      <w:r>
        <w:rPr>
          <w:rFonts w:hint="eastAsia" w:ascii="宋体" w:hAnsi="宋体" w:cs="宋体"/>
          <w:b/>
          <w:color w:val="FF0000"/>
          <w:sz w:val="24"/>
          <w:highlight w:val="none"/>
          <w:lang w:val="en-US" w:eastAsia="zh-CN"/>
        </w:rPr>
        <w:t>.投标文件均不对外公开。</w:t>
      </w:r>
    </w:p>
    <w:p w14:paraId="4488388D">
      <w:pPr>
        <w:tabs>
          <w:tab w:val="left" w:pos="1470"/>
        </w:tabs>
        <w:snapToGrid w:val="0"/>
        <w:spacing w:line="320" w:lineRule="atLeast"/>
        <w:ind w:firstLine="482" w:firstLineChars="200"/>
        <w:rPr>
          <w:rFonts w:hint="eastAsia" w:ascii="宋体" w:hAnsi="宋体" w:cs="宋体"/>
          <w:b/>
          <w:color w:val="FF0000"/>
          <w:sz w:val="24"/>
          <w:highlight w:val="none"/>
        </w:rPr>
      </w:pPr>
    </w:p>
    <w:p w14:paraId="15BF34F0">
      <w:pPr>
        <w:rPr>
          <w:rFonts w:ascii="宋体" w:hAnsi="宋体"/>
          <w:b/>
          <w:bCs/>
          <w:sz w:val="24"/>
          <w:highlight w:val="none"/>
        </w:rPr>
      </w:pPr>
      <w:r>
        <w:rPr>
          <w:rFonts w:hint="eastAsia" w:ascii="宋体" w:hAnsi="宋体"/>
          <w:b/>
          <w:bCs/>
          <w:sz w:val="24"/>
          <w:highlight w:val="none"/>
        </w:rPr>
        <w:t>投标文件组成：</w:t>
      </w:r>
    </w:p>
    <w:p w14:paraId="3A757679">
      <w:pPr>
        <w:ind w:firstLine="480" w:firstLineChars="200"/>
        <w:outlineLvl w:val="0"/>
        <w:rPr>
          <w:rFonts w:ascii="宋体" w:hAnsi="宋体"/>
          <w:sz w:val="24"/>
          <w:highlight w:val="none"/>
        </w:rPr>
      </w:pPr>
      <w:r>
        <w:rPr>
          <w:rFonts w:hint="eastAsia" w:ascii="宋体" w:hAnsi="宋体"/>
          <w:sz w:val="24"/>
          <w:highlight w:val="none"/>
        </w:rPr>
        <w:t>投标文件主要包括以下内容：</w:t>
      </w:r>
    </w:p>
    <w:p w14:paraId="73962B6E">
      <w:pPr>
        <w:ind w:firstLine="840" w:firstLineChars="400"/>
        <w:rPr>
          <w:rFonts w:hint="eastAsia"/>
          <w:szCs w:val="21"/>
          <w:highlight w:val="none"/>
        </w:rPr>
      </w:pPr>
      <w:r>
        <w:rPr>
          <w:rFonts w:hint="eastAsia"/>
          <w:szCs w:val="21"/>
          <w:highlight w:val="none"/>
        </w:rPr>
        <w:t>（1）投标函</w:t>
      </w:r>
    </w:p>
    <w:p w14:paraId="7AD3AD11">
      <w:pPr>
        <w:ind w:firstLine="840" w:firstLineChars="400"/>
        <w:rPr>
          <w:rFonts w:hint="eastAsia"/>
          <w:szCs w:val="21"/>
          <w:highlight w:val="none"/>
        </w:rPr>
      </w:pPr>
      <w:r>
        <w:rPr>
          <w:rFonts w:hint="eastAsia"/>
          <w:szCs w:val="21"/>
          <w:highlight w:val="none"/>
        </w:rPr>
        <w:t>（2）采购投标及履约承诺函</w:t>
      </w:r>
    </w:p>
    <w:p w14:paraId="292E857A">
      <w:pPr>
        <w:ind w:firstLine="840" w:firstLineChars="400"/>
        <w:rPr>
          <w:rFonts w:hint="eastAsia"/>
          <w:szCs w:val="21"/>
          <w:highlight w:val="none"/>
        </w:rPr>
      </w:pPr>
      <w:r>
        <w:rPr>
          <w:rFonts w:hint="eastAsia"/>
          <w:szCs w:val="21"/>
          <w:highlight w:val="none"/>
        </w:rPr>
        <w:t>（3）投标人情况及资格证明文件</w:t>
      </w:r>
    </w:p>
    <w:p w14:paraId="49500B2D">
      <w:pPr>
        <w:ind w:firstLine="840" w:firstLineChars="400"/>
        <w:rPr>
          <w:rFonts w:hint="eastAsia"/>
          <w:szCs w:val="21"/>
          <w:highlight w:val="none"/>
        </w:rPr>
      </w:pPr>
      <w:r>
        <w:rPr>
          <w:rFonts w:hint="eastAsia"/>
          <w:szCs w:val="21"/>
          <w:highlight w:val="none"/>
        </w:rPr>
        <w:t>（4）项目详细报价</w:t>
      </w:r>
    </w:p>
    <w:p w14:paraId="3BB6234E">
      <w:pPr>
        <w:ind w:firstLine="840" w:firstLineChars="400"/>
        <w:rPr>
          <w:rFonts w:hint="eastAsia"/>
          <w:szCs w:val="21"/>
          <w:highlight w:val="none"/>
        </w:rPr>
      </w:pPr>
      <w:r>
        <w:rPr>
          <w:rFonts w:hint="eastAsia"/>
          <w:szCs w:val="21"/>
          <w:highlight w:val="none"/>
          <w:lang w:eastAsia="zh-CN"/>
        </w:rPr>
        <w:t>（</w:t>
      </w:r>
      <w:r>
        <w:rPr>
          <w:rFonts w:hint="eastAsia"/>
          <w:szCs w:val="21"/>
          <w:highlight w:val="none"/>
          <w:lang w:val="en-US" w:eastAsia="zh-CN"/>
        </w:rPr>
        <w:t>5</w:t>
      </w:r>
      <w:r>
        <w:rPr>
          <w:rFonts w:hint="eastAsia"/>
          <w:szCs w:val="21"/>
          <w:highlight w:val="none"/>
          <w:lang w:eastAsia="zh-CN"/>
        </w:rPr>
        <w:t>）</w:t>
      </w:r>
      <w:r>
        <w:rPr>
          <w:rFonts w:hint="eastAsia"/>
          <w:szCs w:val="21"/>
          <w:highlight w:val="none"/>
        </w:rPr>
        <w:t>供应商基本情况表</w:t>
      </w:r>
    </w:p>
    <w:p w14:paraId="44DA7533">
      <w:pPr>
        <w:ind w:firstLine="840" w:firstLineChars="400"/>
        <w:rPr>
          <w:rFonts w:hint="eastAsia"/>
          <w:szCs w:val="21"/>
          <w:highlight w:val="none"/>
        </w:rPr>
      </w:pPr>
      <w:r>
        <w:rPr>
          <w:rFonts w:hint="eastAsia"/>
          <w:szCs w:val="21"/>
          <w:highlight w:val="none"/>
        </w:rPr>
        <w:t>（</w:t>
      </w:r>
      <w:r>
        <w:rPr>
          <w:rFonts w:hint="eastAsia"/>
          <w:szCs w:val="21"/>
          <w:highlight w:val="none"/>
          <w:lang w:val="en-US" w:eastAsia="zh-CN"/>
        </w:rPr>
        <w:t>6</w:t>
      </w:r>
      <w:r>
        <w:rPr>
          <w:rFonts w:hint="eastAsia"/>
          <w:szCs w:val="21"/>
          <w:highlight w:val="none"/>
        </w:rPr>
        <w:t>）法定代表人（负责人）证明书</w:t>
      </w:r>
    </w:p>
    <w:p w14:paraId="607A416A">
      <w:pPr>
        <w:ind w:firstLine="840" w:firstLineChars="400"/>
        <w:rPr>
          <w:rFonts w:hint="eastAsia"/>
          <w:szCs w:val="21"/>
          <w:highlight w:val="none"/>
        </w:rPr>
      </w:pPr>
      <w:r>
        <w:rPr>
          <w:rFonts w:hint="eastAsia"/>
          <w:szCs w:val="21"/>
          <w:highlight w:val="none"/>
        </w:rPr>
        <w:t>（</w:t>
      </w:r>
      <w:r>
        <w:rPr>
          <w:rFonts w:hint="eastAsia"/>
          <w:szCs w:val="21"/>
          <w:highlight w:val="none"/>
          <w:lang w:val="en-US" w:eastAsia="zh-CN"/>
        </w:rPr>
        <w:t>7</w:t>
      </w:r>
      <w:r>
        <w:rPr>
          <w:rFonts w:hint="eastAsia"/>
          <w:szCs w:val="21"/>
          <w:highlight w:val="none"/>
        </w:rPr>
        <w:t>）投标文件签署授权委托书</w:t>
      </w:r>
    </w:p>
    <w:p w14:paraId="4E02664F">
      <w:pPr>
        <w:ind w:firstLine="840" w:firstLineChars="400"/>
        <w:rPr>
          <w:rFonts w:hint="eastAsia"/>
          <w:szCs w:val="21"/>
          <w:highlight w:val="none"/>
        </w:rPr>
      </w:pPr>
      <w:r>
        <w:rPr>
          <w:rFonts w:hint="eastAsia"/>
          <w:szCs w:val="21"/>
          <w:highlight w:val="none"/>
        </w:rPr>
        <w:t>（</w:t>
      </w:r>
      <w:r>
        <w:rPr>
          <w:rFonts w:hint="eastAsia"/>
          <w:szCs w:val="21"/>
          <w:highlight w:val="none"/>
          <w:lang w:val="en-US" w:eastAsia="zh-CN"/>
        </w:rPr>
        <w:t>8</w:t>
      </w:r>
      <w:r>
        <w:rPr>
          <w:rFonts w:hint="eastAsia"/>
          <w:szCs w:val="21"/>
          <w:highlight w:val="none"/>
        </w:rPr>
        <w:t>）实质性条款响应情况表</w:t>
      </w:r>
    </w:p>
    <w:p w14:paraId="57D22098">
      <w:pPr>
        <w:ind w:firstLine="840" w:firstLineChars="400"/>
        <w:rPr>
          <w:rFonts w:hint="eastAsia"/>
          <w:szCs w:val="21"/>
          <w:highlight w:val="none"/>
        </w:rPr>
      </w:pPr>
      <w:r>
        <w:rPr>
          <w:rFonts w:hint="eastAsia"/>
          <w:szCs w:val="21"/>
          <w:highlight w:val="none"/>
        </w:rPr>
        <w:t>（</w:t>
      </w:r>
      <w:r>
        <w:rPr>
          <w:rFonts w:hint="eastAsia"/>
          <w:szCs w:val="21"/>
          <w:highlight w:val="none"/>
          <w:lang w:val="en-US" w:eastAsia="zh-CN"/>
        </w:rPr>
        <w:t>9</w:t>
      </w:r>
      <w:r>
        <w:rPr>
          <w:rFonts w:hint="eastAsia"/>
          <w:szCs w:val="21"/>
          <w:highlight w:val="none"/>
        </w:rPr>
        <w:t>）技术要求偏离表</w:t>
      </w:r>
    </w:p>
    <w:p w14:paraId="5DE8A037">
      <w:pPr>
        <w:ind w:firstLine="840" w:firstLineChars="400"/>
        <w:rPr>
          <w:rFonts w:hint="eastAsia"/>
          <w:szCs w:val="21"/>
          <w:highlight w:val="none"/>
        </w:rPr>
      </w:pPr>
      <w:r>
        <w:rPr>
          <w:rFonts w:hint="eastAsia"/>
          <w:szCs w:val="21"/>
          <w:highlight w:val="none"/>
        </w:rPr>
        <w:t>（</w:t>
      </w:r>
      <w:r>
        <w:rPr>
          <w:rFonts w:hint="eastAsia"/>
          <w:szCs w:val="21"/>
          <w:highlight w:val="none"/>
          <w:lang w:val="en-US" w:eastAsia="zh-CN"/>
        </w:rPr>
        <w:t>10</w:t>
      </w:r>
      <w:r>
        <w:rPr>
          <w:rFonts w:hint="eastAsia"/>
          <w:szCs w:val="21"/>
          <w:highlight w:val="none"/>
        </w:rPr>
        <w:t>）商务要求偏离表</w:t>
      </w:r>
    </w:p>
    <w:p w14:paraId="2453021E">
      <w:pPr>
        <w:ind w:firstLine="840" w:firstLineChars="400"/>
        <w:rPr>
          <w:rFonts w:hint="eastAsia"/>
          <w:szCs w:val="21"/>
          <w:highlight w:val="none"/>
        </w:rPr>
      </w:pPr>
      <w:r>
        <w:rPr>
          <w:rFonts w:hint="eastAsia"/>
          <w:szCs w:val="21"/>
          <w:highlight w:val="none"/>
        </w:rPr>
        <w:t>（</w:t>
      </w:r>
      <w:r>
        <w:rPr>
          <w:rFonts w:hint="eastAsia"/>
          <w:szCs w:val="21"/>
          <w:highlight w:val="none"/>
          <w:lang w:val="en-US" w:eastAsia="zh-CN"/>
        </w:rPr>
        <w:t>11</w:t>
      </w:r>
      <w:r>
        <w:rPr>
          <w:rFonts w:hint="eastAsia"/>
          <w:szCs w:val="21"/>
          <w:highlight w:val="none"/>
        </w:rPr>
        <w:t>）</w:t>
      </w:r>
      <w:r>
        <w:rPr>
          <w:rFonts w:hint="eastAsia" w:ascii="宋体" w:hAnsi="宋体" w:eastAsia="宋体" w:cs="宋体"/>
          <w:color w:val="auto"/>
          <w:sz w:val="21"/>
          <w:szCs w:val="21"/>
        </w:rPr>
        <w:t>同类业绩</w:t>
      </w:r>
      <w:r>
        <w:rPr>
          <w:rFonts w:hint="eastAsia"/>
          <w:szCs w:val="21"/>
          <w:highlight w:val="none"/>
        </w:rPr>
        <w:t>（格式自定）</w:t>
      </w:r>
    </w:p>
    <w:p w14:paraId="3ED00CC5">
      <w:pPr>
        <w:ind w:firstLine="840" w:firstLineChars="400"/>
        <w:rPr>
          <w:rFonts w:hint="eastAsia"/>
          <w:szCs w:val="21"/>
          <w:highlight w:val="none"/>
        </w:rPr>
      </w:pPr>
      <w:r>
        <w:rPr>
          <w:rFonts w:hint="eastAsia"/>
          <w:szCs w:val="21"/>
          <w:highlight w:val="none"/>
        </w:rPr>
        <w:t>（1</w:t>
      </w:r>
      <w:r>
        <w:rPr>
          <w:rFonts w:hint="eastAsia"/>
          <w:szCs w:val="21"/>
          <w:highlight w:val="none"/>
          <w:lang w:val="en-US" w:eastAsia="zh-CN"/>
        </w:rPr>
        <w:t>2</w:t>
      </w:r>
      <w:r>
        <w:rPr>
          <w:rFonts w:hint="eastAsia"/>
          <w:szCs w:val="21"/>
          <w:highlight w:val="none"/>
        </w:rPr>
        <w:t>）投标人认为需要加以说明的其他内容</w:t>
      </w:r>
    </w:p>
    <w:p w14:paraId="69501B04">
      <w:pPr>
        <w:ind w:firstLine="426" w:firstLineChars="202"/>
        <w:rPr>
          <w:rFonts w:hint="eastAsia" w:ascii="宋体" w:hAnsi="宋体"/>
          <w:b/>
          <w:szCs w:val="21"/>
        </w:rPr>
      </w:pPr>
    </w:p>
    <w:p w14:paraId="7EA51B8C">
      <w:pPr>
        <w:ind w:firstLine="426" w:firstLineChars="202"/>
        <w:rPr>
          <w:rFonts w:ascii="宋体" w:hAnsi="宋体"/>
          <w:b/>
          <w:szCs w:val="21"/>
        </w:rPr>
      </w:pPr>
      <w:r>
        <w:rPr>
          <w:rFonts w:hint="eastAsia" w:ascii="宋体" w:hAnsi="宋体"/>
          <w:b/>
          <w:szCs w:val="21"/>
        </w:rPr>
        <w:t>备注：1.本项目为网上电子投标项目，投标文件不需法人或授权委托人另行签字，无需加盖单位公章，招标文件专用条款另有规定的除外。</w:t>
      </w:r>
    </w:p>
    <w:p w14:paraId="10FDC47E">
      <w:pPr>
        <w:ind w:firstLine="426" w:firstLineChars="202"/>
        <w:rPr>
          <w:rFonts w:ascii="宋体" w:hAnsi="宋体"/>
          <w:b/>
          <w:szCs w:val="21"/>
        </w:rPr>
      </w:pPr>
      <w:r>
        <w:rPr>
          <w:rFonts w:hint="eastAsia" w:ascii="宋体" w:hAnsi="宋体"/>
          <w:b/>
          <w:szCs w:val="21"/>
        </w:rPr>
        <w:t>2.关于填写“开标一览表”的说明：“开标一览表”中除“投标报价”外，其他信息不作评审依据。</w:t>
      </w:r>
    </w:p>
    <w:p w14:paraId="2465464C">
      <w:pPr>
        <w:jc w:val="left"/>
        <w:rPr>
          <w:rFonts w:ascii="宋体" w:hAnsi="宋体"/>
          <w:b/>
          <w:color w:val="FF0000"/>
          <w:sz w:val="36"/>
          <w:szCs w:val="36"/>
        </w:rPr>
      </w:pPr>
      <w:r>
        <w:rPr>
          <w:rFonts w:hint="eastAsia" w:ascii="宋体" w:hAnsi="宋体"/>
          <w:b/>
          <w:color w:val="FF0000"/>
          <w:sz w:val="36"/>
          <w:szCs w:val="36"/>
        </w:rPr>
        <w:br w:type="page"/>
      </w:r>
    </w:p>
    <w:p w14:paraId="3C016FAF">
      <w:pPr>
        <w:outlineLvl w:val="1"/>
        <w:rPr>
          <w:rFonts w:ascii="宋体" w:hAnsi="宋体"/>
          <w:b/>
          <w:color w:val="FF0000"/>
          <w:sz w:val="28"/>
          <w:szCs w:val="28"/>
        </w:rPr>
      </w:pPr>
      <w:r>
        <w:rPr>
          <w:rFonts w:hint="eastAsia" w:ascii="宋体" w:hAnsi="宋体"/>
          <w:b/>
          <w:color w:val="FF0000"/>
          <w:sz w:val="28"/>
          <w:szCs w:val="28"/>
        </w:rPr>
        <w:t>投标文件</w:t>
      </w:r>
    </w:p>
    <w:p w14:paraId="1E085B11">
      <w:pPr>
        <w:pStyle w:val="5"/>
        <w:jc w:val="center"/>
        <w:rPr>
          <w:rFonts w:ascii="黑体" w:eastAsia="黑体"/>
          <w:b w:val="0"/>
          <w:kern w:val="0"/>
          <w:sz w:val="24"/>
        </w:rPr>
      </w:pPr>
      <w:r>
        <w:rPr>
          <w:rFonts w:hint="eastAsia" w:ascii="黑体" w:eastAsia="黑体"/>
          <w:b w:val="0"/>
          <w:kern w:val="0"/>
          <w:sz w:val="24"/>
        </w:rPr>
        <w:t>一、投标函</w:t>
      </w:r>
    </w:p>
    <w:p w14:paraId="030B99D3">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szCs w:val="21"/>
          <w:highlight w:val="none"/>
        </w:rPr>
        <w:t>致：</w:t>
      </w:r>
      <w:r>
        <w:rPr>
          <w:rFonts w:hint="eastAsia" w:ascii="宋体" w:hAnsi="宋体"/>
          <w:color w:val="000000" w:themeColor="text1"/>
          <w:szCs w:val="21"/>
          <w:highlight w:val="none"/>
          <w:u w:val="single"/>
          <w14:textFill>
            <w14:solidFill>
              <w14:schemeClr w14:val="tx1"/>
            </w14:solidFill>
          </w14:textFill>
        </w:rPr>
        <w:t>深圳公共资源交易中心（深圳交易集团有限公司政府采购业务分公司）</w:t>
      </w:r>
    </w:p>
    <w:p w14:paraId="75469F48">
      <w:pPr>
        <w:ind w:firstLine="420" w:firstLineChars="200"/>
        <w:rPr>
          <w:rFonts w:ascii="宋体" w:hAnsi="宋体"/>
          <w:szCs w:val="21"/>
          <w:highlight w:val="none"/>
        </w:rPr>
      </w:pPr>
      <w:bookmarkStart w:id="37" w:name="_Hlk73818812"/>
      <w:r>
        <w:rPr>
          <w:rFonts w:hint="eastAsia"/>
          <w:szCs w:val="21"/>
          <w:highlight w:val="none"/>
        </w:rPr>
        <w:t>1、根据已收到贵单位的项目编号为</w:t>
      </w:r>
      <w:r>
        <w:rPr>
          <w:szCs w:val="21"/>
          <w:highlight w:val="none"/>
          <w:u w:val="single"/>
        </w:rPr>
        <w:t xml:space="preserve">   </w:t>
      </w:r>
      <w:r>
        <w:rPr>
          <w:rFonts w:hint="eastAsia"/>
          <w:szCs w:val="21"/>
          <w:highlight w:val="none"/>
          <w:u w:val="single"/>
        </w:rPr>
        <w:t xml:space="preserve">      </w:t>
      </w:r>
      <w:r>
        <w:rPr>
          <w:rFonts w:hint="eastAsia"/>
          <w:szCs w:val="21"/>
          <w:highlight w:val="none"/>
        </w:rPr>
        <w:t>的</w:t>
      </w:r>
      <w:r>
        <w:rPr>
          <w:rFonts w:hint="eastAsia"/>
          <w:szCs w:val="21"/>
          <w:highlight w:val="none"/>
          <w:u w:val="single"/>
        </w:rPr>
        <w:t xml:space="preserve"> </w:t>
      </w:r>
      <w:r>
        <w:rPr>
          <w:rFonts w:hint="eastAsia"/>
          <w:szCs w:val="21"/>
          <w:highlight w:val="none"/>
          <w:u w:val="single"/>
          <w:lang w:bidi="ar"/>
        </w:rPr>
        <w:t xml:space="preserve">      （项目名称）</w:t>
      </w:r>
      <w:r>
        <w:rPr>
          <w:szCs w:val="21"/>
          <w:highlight w:val="none"/>
          <w:u w:val="single"/>
          <w:lang w:bidi="ar"/>
        </w:rPr>
        <w:t xml:space="preserve"> </w:t>
      </w:r>
      <w:r>
        <w:rPr>
          <w:rFonts w:hint="eastAsia"/>
          <w:szCs w:val="21"/>
          <w:highlight w:val="none"/>
          <w:u w:val="single"/>
          <w:lang w:bidi="ar"/>
        </w:rPr>
        <w:t xml:space="preserve">         </w:t>
      </w:r>
      <w:r>
        <w:rPr>
          <w:rFonts w:hint="eastAsia"/>
          <w:szCs w:val="21"/>
          <w:highlight w:val="none"/>
        </w:rPr>
        <w:t>项目的招标文件，遵照《深圳经济特区政府采购条例》和《深圳网上政府采购管理暂行办法》等有关规定，我单位经研究上述招标文件的专用条款及通用条款后，</w:t>
      </w:r>
      <w:bookmarkStart w:id="38" w:name="_Hlk72263588"/>
      <w:r>
        <w:rPr>
          <w:rFonts w:hint="eastAsia"/>
          <w:szCs w:val="21"/>
          <w:highlight w:val="none"/>
        </w:rPr>
        <w:t>愿意按照招标文件要求承包上述项目并修补其任何缺陷。</w:t>
      </w:r>
      <w:bookmarkEnd w:id="38"/>
    </w:p>
    <w:p w14:paraId="26524553">
      <w:pPr>
        <w:ind w:firstLine="420" w:firstLineChars="200"/>
        <w:rPr>
          <w:rFonts w:ascii="宋体" w:hAnsi="宋体"/>
          <w:szCs w:val="21"/>
        </w:rPr>
      </w:pPr>
      <w:r>
        <w:rPr>
          <w:rFonts w:ascii="宋体" w:hAnsi="宋体"/>
          <w:szCs w:val="21"/>
          <w:highlight w:val="none"/>
        </w:rPr>
        <w:t>2</w:t>
      </w:r>
      <w:r>
        <w:rPr>
          <w:rFonts w:hint="eastAsia" w:ascii="宋体" w:hAnsi="宋体"/>
          <w:szCs w:val="21"/>
          <w:highlight w:val="none"/>
        </w:rPr>
        <w:t>、投标价格见</w:t>
      </w:r>
      <w:r>
        <w:rPr>
          <w:rFonts w:hint="eastAsia"/>
          <w:szCs w:val="21"/>
          <w:highlight w:val="none"/>
        </w:rPr>
        <w:t>投标书编制软件中《开标一览表</w:t>
      </w:r>
      <w:r>
        <w:rPr>
          <w:rFonts w:hint="eastAsia"/>
          <w:szCs w:val="21"/>
        </w:rPr>
        <w:t>》中填写的投标报价。</w:t>
      </w:r>
    </w:p>
    <w:p w14:paraId="69159054">
      <w:pPr>
        <w:ind w:firstLine="420" w:firstLineChars="200"/>
        <w:rPr>
          <w:rFonts w:ascii="宋体" w:hAnsi="宋体"/>
          <w:szCs w:val="21"/>
        </w:rPr>
      </w:pPr>
      <w:r>
        <w:rPr>
          <w:rFonts w:hint="eastAsia" w:ascii="宋体" w:hAnsi="宋体"/>
          <w:szCs w:val="21"/>
        </w:rPr>
        <w:t>3、如果我单位中标，我单位将按照招标文件的要求提交履约担保。</w:t>
      </w:r>
    </w:p>
    <w:p w14:paraId="25750B6D">
      <w:pPr>
        <w:ind w:firstLine="420" w:firstLineChars="200"/>
        <w:rPr>
          <w:rFonts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27FABDB7">
      <w:pPr>
        <w:ind w:firstLine="420" w:firstLineChars="200"/>
        <w:rPr>
          <w:rFonts w:ascii="宋体" w:hAnsi="宋体"/>
          <w:szCs w:val="21"/>
        </w:rPr>
      </w:pPr>
      <w:r>
        <w:rPr>
          <w:rFonts w:hint="eastAsia" w:ascii="宋体" w:hAnsi="宋体"/>
          <w:szCs w:val="21"/>
        </w:rPr>
        <w:t>5、除非另外达成协议并生效，贵单位的中标通知书和本投标文件将构成合同的重要内容。</w:t>
      </w:r>
    </w:p>
    <w:p w14:paraId="0C688C16">
      <w:pPr>
        <w:ind w:left="525" w:leftChars="200" w:hanging="105" w:hangingChars="50"/>
        <w:rPr>
          <w:rFonts w:ascii="宋体" w:hAnsi="宋体"/>
          <w:szCs w:val="21"/>
        </w:rPr>
      </w:pPr>
      <w:r>
        <w:rPr>
          <w:rFonts w:hint="eastAsia" w:ascii="宋体" w:hAnsi="宋体"/>
          <w:szCs w:val="21"/>
        </w:rPr>
        <w:t>6、我单位理解贵单位将不受必须接受所收到的最低报价或其它任何投标文件的约束。</w:t>
      </w:r>
      <w:bookmarkEnd w:id="37"/>
    </w:p>
    <w:p w14:paraId="05539E83">
      <w:pPr>
        <w:ind w:firstLine="420" w:firstLineChars="200"/>
        <w:rPr>
          <w:rFonts w:ascii="宋体" w:hAnsi="宋体"/>
          <w:szCs w:val="21"/>
        </w:rPr>
      </w:pPr>
      <w:r>
        <w:rPr>
          <w:rFonts w:hint="eastAsia" w:ascii="宋体" w:hAnsi="宋体"/>
          <w:szCs w:val="21"/>
        </w:rPr>
        <w:t>7、如我单位按项目要求提供样品，且未在规定时间内取回样品的，视同放弃取回，同意深圳公共资源交易中心（深圳交易集团有限公司政府采购业务分公司）对样品进行清理。</w:t>
      </w:r>
    </w:p>
    <w:p w14:paraId="0447190E">
      <w:pPr>
        <w:pStyle w:val="2"/>
      </w:pPr>
    </w:p>
    <w:p w14:paraId="4514BF29">
      <w:pPr>
        <w:ind w:left="420" w:leftChars="200" w:firstLine="210" w:firstLineChars="100"/>
        <w:rPr>
          <w:szCs w:val="21"/>
        </w:rPr>
      </w:pPr>
      <w:r>
        <w:rPr>
          <w:rFonts w:hint="eastAsia" w:cs="宋体"/>
          <w:szCs w:val="21"/>
          <w:lang w:bidi="ar"/>
        </w:rPr>
        <w:t>投标人：</w:t>
      </w:r>
      <w:r>
        <w:rPr>
          <w:szCs w:val="21"/>
          <w:u w:val="single"/>
          <w:lang w:bidi="ar"/>
        </w:rPr>
        <w:t xml:space="preserve">    </w:t>
      </w:r>
      <w:r>
        <w:rPr>
          <w:rFonts w:hint="eastAsia"/>
          <w:szCs w:val="21"/>
          <w:u w:val="single"/>
          <w:lang w:bidi="ar"/>
        </w:rPr>
        <w:t xml:space="preserve">        </w:t>
      </w:r>
      <w:r>
        <w:rPr>
          <w:szCs w:val="21"/>
          <w:u w:val="single"/>
          <w:lang w:bidi="ar"/>
        </w:rPr>
        <w:t xml:space="preserve">   </w:t>
      </w:r>
      <w:r>
        <w:rPr>
          <w:rFonts w:hint="eastAsia" w:cs="宋体"/>
          <w:szCs w:val="21"/>
          <w:lang w:bidi="ar"/>
        </w:rPr>
        <w:t>；单位地址：</w:t>
      </w:r>
      <w:r>
        <w:rPr>
          <w:szCs w:val="21"/>
          <w:u w:val="single"/>
          <w:lang w:bidi="ar"/>
        </w:rPr>
        <w:t xml:space="preserve">                    </w:t>
      </w:r>
      <w:r>
        <w:rPr>
          <w:rFonts w:hint="eastAsia" w:cs="宋体"/>
          <w:szCs w:val="21"/>
          <w:lang w:bidi="ar"/>
        </w:rPr>
        <w:t>；</w:t>
      </w:r>
    </w:p>
    <w:p w14:paraId="5B02077D">
      <w:pPr>
        <w:ind w:left="420" w:leftChars="200" w:firstLine="210" w:firstLineChars="100"/>
        <w:rPr>
          <w:szCs w:val="21"/>
        </w:rPr>
      </w:pPr>
      <w:r>
        <w:rPr>
          <w:rFonts w:hint="eastAsia" w:cs="宋体"/>
          <w:szCs w:val="21"/>
          <w:lang w:bidi="ar"/>
        </w:rPr>
        <w:t>法定代表人（负责人）或其授权委托代理人：</w:t>
      </w:r>
      <w:r>
        <w:rPr>
          <w:szCs w:val="21"/>
          <w:u w:val="single"/>
          <w:lang w:bidi="ar"/>
        </w:rPr>
        <w:t xml:space="preserve">      </w:t>
      </w:r>
      <w:r>
        <w:rPr>
          <w:rFonts w:hint="eastAsia"/>
          <w:szCs w:val="21"/>
          <w:u w:val="single"/>
          <w:lang w:bidi="ar"/>
        </w:rPr>
        <w:t xml:space="preserve">      </w:t>
      </w:r>
      <w:r>
        <w:rPr>
          <w:szCs w:val="21"/>
          <w:u w:val="single"/>
          <w:lang w:bidi="ar"/>
        </w:rPr>
        <w:t xml:space="preserve">   </w:t>
      </w:r>
      <w:r>
        <w:rPr>
          <w:rFonts w:hint="eastAsia" w:cs="宋体"/>
          <w:szCs w:val="21"/>
          <w:lang w:bidi="ar"/>
        </w:rPr>
        <w:t>；</w:t>
      </w:r>
    </w:p>
    <w:p w14:paraId="1703B939">
      <w:pPr>
        <w:ind w:left="420" w:leftChars="200" w:firstLine="210" w:firstLineChars="100"/>
        <w:rPr>
          <w:szCs w:val="21"/>
        </w:rPr>
      </w:pPr>
      <w:r>
        <w:rPr>
          <w:rFonts w:hint="eastAsia" w:cs="宋体"/>
          <w:szCs w:val="21"/>
          <w:lang w:bidi="ar"/>
        </w:rPr>
        <w:t>电话：</w:t>
      </w:r>
      <w:r>
        <w:rPr>
          <w:szCs w:val="21"/>
          <w:u w:val="single"/>
          <w:lang w:bidi="ar"/>
        </w:rPr>
        <w:t xml:space="preserve">     </w:t>
      </w:r>
      <w:r>
        <w:rPr>
          <w:rFonts w:hint="eastAsia"/>
          <w:szCs w:val="21"/>
          <w:u w:val="single"/>
          <w:lang w:bidi="ar"/>
        </w:rPr>
        <w:t xml:space="preserve">    </w:t>
      </w:r>
      <w:r>
        <w:rPr>
          <w:szCs w:val="21"/>
          <w:u w:val="single"/>
          <w:lang w:bidi="ar"/>
        </w:rPr>
        <w:t xml:space="preserve"> </w:t>
      </w:r>
      <w:r>
        <w:rPr>
          <w:rFonts w:hint="eastAsia"/>
          <w:szCs w:val="21"/>
          <w:u w:val="single"/>
          <w:lang w:bidi="ar"/>
        </w:rPr>
        <w:t xml:space="preserve">      </w:t>
      </w:r>
      <w:r>
        <w:rPr>
          <w:szCs w:val="21"/>
          <w:u w:val="single"/>
          <w:lang w:bidi="ar"/>
        </w:rPr>
        <w:t xml:space="preserve">   </w:t>
      </w:r>
      <w:r>
        <w:rPr>
          <w:szCs w:val="21"/>
          <w:lang w:bidi="ar"/>
        </w:rPr>
        <w:t xml:space="preserve"> </w:t>
      </w:r>
    </w:p>
    <w:p w14:paraId="47C2C966">
      <w:pPr>
        <w:widowControl/>
        <w:ind w:firstLine="630" w:firstLineChars="300"/>
        <w:jc w:val="left"/>
      </w:pPr>
      <w:r>
        <w:rPr>
          <w:rFonts w:hint="eastAsia" w:ascii="宋体" w:hAnsi="宋体"/>
          <w:szCs w:val="21"/>
          <w:lang w:bidi="ar"/>
        </w:rPr>
        <w:t>日期：</w:t>
      </w:r>
      <w:r>
        <w:rPr>
          <w:rFonts w:hint="eastAsia" w:ascii="宋体" w:hAnsi="宋体"/>
          <w:szCs w:val="21"/>
          <w:u w:val="single"/>
          <w:lang w:bidi="ar"/>
        </w:rPr>
        <w:t xml:space="preserve">       </w:t>
      </w:r>
      <w:r>
        <w:rPr>
          <w:rFonts w:hint="eastAsia" w:ascii="宋体" w:hAnsi="宋体"/>
          <w:szCs w:val="21"/>
          <w:lang w:bidi="ar"/>
        </w:rPr>
        <w:t>年</w:t>
      </w:r>
      <w:r>
        <w:rPr>
          <w:rFonts w:hint="eastAsia" w:ascii="宋体" w:hAnsi="宋体"/>
          <w:szCs w:val="21"/>
          <w:u w:val="single"/>
          <w:lang w:bidi="ar"/>
        </w:rPr>
        <w:t xml:space="preserve">     </w:t>
      </w:r>
      <w:r>
        <w:rPr>
          <w:rFonts w:hint="eastAsia" w:ascii="宋体" w:hAnsi="宋体"/>
          <w:szCs w:val="21"/>
          <w:lang w:bidi="ar"/>
        </w:rPr>
        <w:t>月</w:t>
      </w:r>
      <w:r>
        <w:rPr>
          <w:rFonts w:hint="eastAsia" w:ascii="宋体" w:hAnsi="宋体"/>
          <w:szCs w:val="21"/>
          <w:u w:val="single"/>
          <w:lang w:bidi="ar"/>
        </w:rPr>
        <w:t xml:space="preserve">    </w:t>
      </w:r>
      <w:r>
        <w:rPr>
          <w:rFonts w:hint="eastAsia" w:ascii="宋体" w:hAnsi="宋体"/>
          <w:szCs w:val="21"/>
          <w:lang w:bidi="ar"/>
        </w:rPr>
        <w:t>日</w:t>
      </w:r>
    </w:p>
    <w:p w14:paraId="7DF28D54">
      <w:pPr>
        <w:rPr>
          <w:rFonts w:ascii="黑体" w:hAnsi="宋体" w:eastAsia="黑体"/>
        </w:rPr>
      </w:pPr>
    </w:p>
    <w:p w14:paraId="3531CA9D">
      <w:pPr>
        <w:rPr>
          <w:rFonts w:ascii="黑体" w:hAnsi="宋体" w:eastAsia="黑体"/>
        </w:rPr>
      </w:pPr>
    </w:p>
    <w:p w14:paraId="293B9F5C">
      <w:pPr>
        <w:widowControl/>
        <w:jc w:val="left"/>
        <w:rPr>
          <w:rFonts w:ascii="黑体" w:hAnsi="宋体" w:eastAsia="黑体"/>
          <w:bCs/>
          <w:kern w:val="0"/>
          <w:sz w:val="24"/>
          <w:szCs w:val="32"/>
        </w:rPr>
      </w:pPr>
      <w:r>
        <w:rPr>
          <w:rFonts w:ascii="黑体" w:eastAsia="黑体"/>
          <w:b/>
          <w:kern w:val="0"/>
          <w:sz w:val="24"/>
        </w:rPr>
        <w:br w:type="page"/>
      </w:r>
    </w:p>
    <w:p w14:paraId="60A5885F">
      <w:pPr>
        <w:pStyle w:val="5"/>
        <w:jc w:val="center"/>
        <w:rPr>
          <w:rFonts w:ascii="黑体" w:eastAsia="黑体"/>
          <w:b w:val="0"/>
          <w:kern w:val="0"/>
          <w:sz w:val="24"/>
        </w:rPr>
      </w:pPr>
      <w:r>
        <w:rPr>
          <w:rFonts w:hint="eastAsia" w:ascii="黑体" w:eastAsia="黑体"/>
          <w:b w:val="0"/>
          <w:kern w:val="0"/>
          <w:sz w:val="24"/>
        </w:rPr>
        <w:t>二、采购投标及履约承诺函</w:t>
      </w:r>
    </w:p>
    <w:p w14:paraId="5EA5809E">
      <w:pPr>
        <w:rPr>
          <w:rFonts w:ascii="宋体" w:hAnsi="宋体" w:cs="宋体"/>
          <w:color w:val="FF0000"/>
          <w:szCs w:val="21"/>
          <w:highlight w:val="none"/>
        </w:rPr>
      </w:pPr>
      <w:r>
        <w:rPr>
          <w:rFonts w:hint="eastAsia" w:ascii="宋体" w:hAnsi="宋体" w:cs="宋体"/>
          <w:color w:val="FF0000"/>
          <w:szCs w:val="21"/>
          <w:highlight w:val="none"/>
          <w:lang w:bidi="ar"/>
        </w:rPr>
        <w:t>致：深圳公共资源交易中心（深圳交易集团有限公司政府采购业务分公司）</w:t>
      </w:r>
    </w:p>
    <w:p w14:paraId="6F840A70">
      <w:pPr>
        <w:ind w:right="-815" w:firstLine="420" w:firstLineChars="200"/>
        <w:rPr>
          <w:rFonts w:ascii="宋体" w:hAnsi="宋体" w:cs="宋体"/>
          <w:szCs w:val="21"/>
          <w:highlight w:val="none"/>
        </w:rPr>
      </w:pPr>
      <w:r>
        <w:rPr>
          <w:rFonts w:hint="eastAsia" w:ascii="宋体" w:hAnsi="宋体" w:cs="宋体"/>
          <w:szCs w:val="21"/>
          <w:highlight w:val="none"/>
          <w:lang w:bidi="ar"/>
        </w:rPr>
        <w:t>我单位承诺：</w:t>
      </w:r>
    </w:p>
    <w:p w14:paraId="5C2773A7">
      <w:pPr>
        <w:ind w:firstLine="420" w:firstLineChars="200"/>
        <w:rPr>
          <w:rFonts w:ascii="宋体" w:hAnsi="宋体" w:cs="宋体"/>
          <w:szCs w:val="21"/>
          <w:highlight w:val="none"/>
        </w:rPr>
      </w:pPr>
      <w:r>
        <w:rPr>
          <w:rFonts w:hint="eastAsia" w:ascii="宋体" w:hAnsi="宋体" w:cs="宋体"/>
          <w:szCs w:val="21"/>
          <w:highlight w:val="none"/>
          <w:lang w:bidi="ar"/>
        </w:rPr>
        <w:t>1.我单位参与本项目</w:t>
      </w:r>
      <w:r>
        <w:rPr>
          <w:rFonts w:hint="eastAsia" w:ascii="宋体" w:hAnsi="宋体" w:cs="宋体"/>
          <w:highlight w:val="none"/>
          <w:lang w:bidi="ar"/>
        </w:rPr>
        <w:t>所投标（响应）的货物、工程或服务，不存在侵犯知识产权的情况。</w:t>
      </w:r>
    </w:p>
    <w:p w14:paraId="7FF623BE">
      <w:pPr>
        <w:ind w:firstLine="420" w:firstLineChars="200"/>
        <w:rPr>
          <w:rFonts w:ascii="宋体" w:hAnsi="宋体" w:cs="宋体"/>
          <w:szCs w:val="21"/>
          <w:highlight w:val="none"/>
        </w:rPr>
      </w:pPr>
      <w:r>
        <w:rPr>
          <w:rFonts w:hint="eastAsia" w:ascii="宋体" w:hAnsi="宋体" w:cs="宋体"/>
          <w:szCs w:val="21"/>
          <w:highlight w:val="none"/>
          <w:lang w:bidi="ar"/>
        </w:rPr>
        <w:t>2.我单位</w:t>
      </w:r>
      <w:r>
        <w:rPr>
          <w:rFonts w:hint="eastAsia" w:ascii="宋体" w:hAnsi="宋体" w:cs="宋体"/>
          <w:kern w:val="0"/>
          <w:szCs w:val="21"/>
          <w:highlight w:val="none"/>
        </w:rPr>
        <w:t>参与本项目采购活动时</w:t>
      </w:r>
      <w:r>
        <w:rPr>
          <w:rFonts w:hint="eastAsia" w:cs="宋体"/>
          <w:highlight w:val="none"/>
          <w:lang w:bidi="ar"/>
        </w:rPr>
        <w:t>不存在被有关部门禁止参与政府采购活动且在有效期内的情况。</w:t>
      </w:r>
      <w:r>
        <w:rPr>
          <w:rFonts w:hint="eastAsia"/>
          <w:highlight w:val="none"/>
        </w:rPr>
        <w:t>符合招标文件关于联合体及进口产品的相关资格要求。</w:t>
      </w:r>
    </w:p>
    <w:p w14:paraId="556D22B9">
      <w:pPr>
        <w:ind w:firstLine="420" w:firstLineChars="200"/>
        <w:rPr>
          <w:rFonts w:ascii="宋体" w:hAnsi="宋体" w:cs="宋体"/>
          <w:szCs w:val="21"/>
          <w:highlight w:val="none"/>
        </w:rPr>
      </w:pPr>
      <w:r>
        <w:rPr>
          <w:rFonts w:hint="eastAsia" w:ascii="宋体" w:hAnsi="宋体" w:cs="宋体"/>
          <w:szCs w:val="21"/>
          <w:highlight w:val="none"/>
          <w:lang w:bidi="ar"/>
        </w:rPr>
        <w:t>3.我单位具备《中华人民共和国政府采购法》第二十二条第一款规定的六项条件。</w:t>
      </w:r>
    </w:p>
    <w:p w14:paraId="51FA628E">
      <w:pPr>
        <w:ind w:firstLine="420" w:firstLineChars="200"/>
        <w:rPr>
          <w:highlight w:val="none"/>
        </w:rPr>
      </w:pPr>
      <w:r>
        <w:rPr>
          <w:rFonts w:hint="eastAsia" w:ascii="宋体" w:hAnsi="宋体" w:cs="宋体"/>
          <w:szCs w:val="21"/>
          <w:highlight w:val="none"/>
          <w:lang w:bidi="ar"/>
        </w:rPr>
        <w:t>4.我单位</w:t>
      </w:r>
      <w:r>
        <w:rPr>
          <w:rFonts w:hint="eastAsia" w:cs="宋体"/>
          <w:highlight w:val="none"/>
          <w:lang w:bidi="ar"/>
        </w:rPr>
        <w:t>未被列入失信被执行人、重大税收违法案件当事人名单、政府采购严重违法失信行为记录名单。</w:t>
      </w:r>
    </w:p>
    <w:p w14:paraId="4612342B">
      <w:pPr>
        <w:ind w:firstLine="420" w:firstLineChars="200"/>
        <w:rPr>
          <w:highlight w:val="none"/>
        </w:rPr>
      </w:pPr>
      <w:r>
        <w:rPr>
          <w:color w:val="FF0000"/>
          <w:highlight w:val="none"/>
          <w:lang w:bidi="ar"/>
        </w:rPr>
        <w:t>5.</w:t>
      </w:r>
      <w:r>
        <w:rPr>
          <w:rFonts w:hint="eastAsia" w:cs="宋体"/>
          <w:color w:val="FF0000"/>
          <w:highlight w:val="none"/>
          <w:lang w:bidi="ar"/>
        </w:rPr>
        <w:t>我单位不存在《深圳市财政局政府采购供应商信用信息管理办法》（深财规〔</w:t>
      </w:r>
      <w:r>
        <w:rPr>
          <w:color w:val="FF0000"/>
          <w:highlight w:val="none"/>
          <w:lang w:bidi="ar"/>
        </w:rPr>
        <w:t>2023</w:t>
      </w:r>
      <w:r>
        <w:rPr>
          <w:rFonts w:hint="eastAsia" w:cs="宋体"/>
          <w:color w:val="FF0000"/>
          <w:highlight w:val="none"/>
          <w:lang w:bidi="ar"/>
        </w:rPr>
        <w:t>〕</w:t>
      </w:r>
      <w:r>
        <w:rPr>
          <w:color w:val="FF0000"/>
          <w:highlight w:val="none"/>
          <w:lang w:bidi="ar"/>
        </w:rPr>
        <w:t>3</w:t>
      </w:r>
      <w:r>
        <w:rPr>
          <w:rFonts w:hint="eastAsia" w:cs="宋体"/>
          <w:color w:val="FF0000"/>
          <w:highlight w:val="none"/>
          <w:lang w:bidi="ar"/>
        </w:rPr>
        <w:t>号）列明的严重违法失信行为。</w:t>
      </w:r>
    </w:p>
    <w:p w14:paraId="412D65E5">
      <w:pPr>
        <w:ind w:firstLine="420" w:firstLineChars="200"/>
        <w:rPr>
          <w:rFonts w:ascii="宋体" w:hAnsi="宋体" w:cs="宋体"/>
          <w:szCs w:val="21"/>
        </w:rPr>
      </w:pPr>
      <w:r>
        <w:rPr>
          <w:rFonts w:hint="eastAsia" w:ascii="宋体" w:hAnsi="宋体" w:cs="宋体"/>
          <w:szCs w:val="21"/>
          <w:highlight w:val="none"/>
          <w:lang w:bidi="ar"/>
        </w:rPr>
        <w:t>6.我单位参与该项目投标，严格遵守政府采购相关法律，不造假，不围标、串标、陪标。我单位已清楚，如违反上述要求，投标将作无效处理，被列入不良记</w:t>
      </w:r>
      <w:r>
        <w:rPr>
          <w:rFonts w:hint="eastAsia" w:ascii="宋体" w:hAnsi="宋体" w:cs="宋体"/>
          <w:szCs w:val="21"/>
          <w:lang w:bidi="ar"/>
        </w:rPr>
        <w:t>录名单并在网上曝光，同时将被提请政府采购主管部门给予一定年限内禁止参与政府采购活动或其他处罚。</w:t>
      </w:r>
    </w:p>
    <w:p w14:paraId="5F5C121B">
      <w:pPr>
        <w:ind w:firstLine="420" w:firstLineChars="200"/>
        <w:rPr>
          <w:rFonts w:ascii="宋体" w:hAnsi="宋体" w:cs="宋体"/>
          <w:szCs w:val="21"/>
        </w:rPr>
      </w:pPr>
      <w:r>
        <w:rPr>
          <w:rFonts w:hint="eastAsia" w:ascii="宋体" w:hAnsi="宋体" w:cs="宋体"/>
          <w:szCs w:val="21"/>
          <w:lang w:bidi="ar"/>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2E64EB56">
      <w:pPr>
        <w:ind w:firstLine="420" w:firstLineChars="200"/>
        <w:rPr>
          <w:rFonts w:ascii="宋体" w:hAnsi="宋体" w:cs="宋体"/>
          <w:szCs w:val="21"/>
        </w:rPr>
      </w:pPr>
      <w:r>
        <w:rPr>
          <w:rFonts w:hint="eastAsia" w:ascii="宋体" w:hAnsi="宋体" w:cs="宋体"/>
          <w:szCs w:val="21"/>
          <w:lang w:bidi="ar"/>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481BB66E">
      <w:pPr>
        <w:ind w:firstLine="420" w:firstLineChars="200"/>
        <w:rPr>
          <w:rFonts w:ascii="宋体" w:hAnsi="宋体" w:cs="宋体"/>
          <w:szCs w:val="21"/>
        </w:rPr>
      </w:pPr>
      <w:r>
        <w:rPr>
          <w:rFonts w:hint="eastAsia" w:ascii="宋体" w:hAnsi="宋体" w:cs="宋体"/>
          <w:szCs w:val="21"/>
          <w:lang w:bidi="ar"/>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43E74BF">
      <w:pPr>
        <w:ind w:firstLine="420" w:firstLineChars="200"/>
        <w:rPr>
          <w:rFonts w:ascii="宋体" w:hAnsi="宋体" w:cs="宋体"/>
          <w:szCs w:val="21"/>
        </w:rPr>
      </w:pPr>
      <w:r>
        <w:rPr>
          <w:rFonts w:hint="eastAsia" w:ascii="宋体" w:hAnsi="宋体" w:cs="宋体"/>
          <w:szCs w:val="21"/>
          <w:lang w:bidi="ar"/>
        </w:rPr>
        <w:t>9.我单位承诺中标后项目不转包，未经采购人同意不进行分包。</w:t>
      </w:r>
    </w:p>
    <w:p w14:paraId="38739D4F">
      <w:pPr>
        <w:ind w:firstLine="420" w:firstLineChars="200"/>
        <w:rPr>
          <w:rFonts w:ascii="宋体" w:hAnsi="宋体" w:cs="宋体"/>
        </w:rPr>
      </w:pPr>
      <w:r>
        <w:rPr>
          <w:rFonts w:hint="eastAsia" w:ascii="宋体" w:hAnsi="宋体" w:cs="宋体"/>
          <w:szCs w:val="21"/>
          <w:lang w:bidi="ar"/>
        </w:rPr>
        <w:t>10.</w:t>
      </w:r>
      <w:r>
        <w:rPr>
          <w:rFonts w:hint="eastAsia" w:ascii="宋体" w:hAnsi="宋体" w:cs="宋体"/>
          <w:lang w:bidi="ar"/>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0CA52C3A">
      <w:pPr>
        <w:ind w:firstLine="420" w:firstLineChars="200"/>
        <w:rPr>
          <w:rFonts w:ascii="宋体" w:hAnsi="宋体" w:cs="宋体"/>
          <w:b/>
          <w:kern w:val="0"/>
          <w:szCs w:val="21"/>
        </w:rPr>
      </w:pPr>
      <w:r>
        <w:rPr>
          <w:rFonts w:hint="eastAsia" w:ascii="宋体" w:hAnsi="宋体" w:cs="宋体"/>
          <w:lang w:bidi="ar"/>
        </w:rPr>
        <w:t>11.我单位保证，若所投货物涉及《财政部生态环境部关于印发节能产品政府采购品目清单的通知》（财库〔2019〕19号）列明的政府采购强制产品，则所投该产品符合节能产品的认证要求。若所投产品包括数据中心相关设备的，应满足</w:t>
      </w:r>
      <w:r>
        <w:rPr>
          <w:rFonts w:hint="eastAsia" w:cs="宋体"/>
          <w:lang w:bidi="ar"/>
        </w:rPr>
        <w:t>《财政部</w:t>
      </w:r>
      <w:r>
        <w:rPr>
          <w:lang w:bidi="ar"/>
        </w:rPr>
        <w:t xml:space="preserve"> </w:t>
      </w:r>
      <w:r>
        <w:rPr>
          <w:rFonts w:hint="eastAsia" w:cs="宋体"/>
          <w:lang w:bidi="ar"/>
        </w:rPr>
        <w:t>生态环境部</w:t>
      </w:r>
      <w:r>
        <w:rPr>
          <w:lang w:bidi="ar"/>
        </w:rPr>
        <w:t xml:space="preserve"> </w:t>
      </w:r>
      <w:r>
        <w:rPr>
          <w:rFonts w:hint="eastAsia" w:cs="宋体"/>
          <w:lang w:bidi="ar"/>
        </w:rPr>
        <w:t>工业和信息化部关于印发</w:t>
      </w:r>
      <w:r>
        <w:rPr>
          <w:lang w:bidi="ar"/>
        </w:rPr>
        <w:t>&lt;</w:t>
      </w:r>
      <w:r>
        <w:rPr>
          <w:rFonts w:hint="eastAsia" w:cs="宋体"/>
          <w:lang w:bidi="ar"/>
        </w:rPr>
        <w:t>绿色数据中心政府采购需求标准（试行）</w:t>
      </w:r>
      <w:r>
        <w:rPr>
          <w:lang w:bidi="ar"/>
        </w:rPr>
        <w:t>&gt;</w:t>
      </w:r>
      <w:r>
        <w:rPr>
          <w:rFonts w:hint="eastAsia" w:cs="宋体"/>
          <w:lang w:bidi="ar"/>
        </w:rPr>
        <w:t>的通知》（财库〔</w:t>
      </w:r>
      <w:r>
        <w:rPr>
          <w:lang w:bidi="ar"/>
        </w:rPr>
        <w:t>2023</w:t>
      </w:r>
      <w:r>
        <w:rPr>
          <w:rFonts w:hint="eastAsia" w:cs="宋体"/>
          <w:lang w:bidi="ar"/>
        </w:rPr>
        <w:t>〕</w:t>
      </w:r>
      <w:r>
        <w:rPr>
          <w:lang w:bidi="ar"/>
        </w:rPr>
        <w:t>7</w:t>
      </w:r>
      <w:r>
        <w:rPr>
          <w:rFonts w:hint="eastAsia" w:cs="宋体"/>
          <w:lang w:bidi="ar"/>
        </w:rPr>
        <w:t>号）要求。若所投产品涉及国家强制性标准的，所投产品应符合国家强制性标准相关要求。</w:t>
      </w:r>
    </w:p>
    <w:p w14:paraId="3FF303F1">
      <w:pPr>
        <w:ind w:firstLine="420" w:firstLineChars="200"/>
        <w:rPr>
          <w:rFonts w:ascii="宋体" w:hAnsi="宋体" w:cs="宋体"/>
          <w:bCs/>
        </w:rPr>
      </w:pPr>
      <w:r>
        <w:rPr>
          <w:rFonts w:hint="eastAsia" w:ascii="宋体" w:hAnsi="宋体" w:cs="宋体"/>
          <w:bCs/>
          <w:kern w:val="0"/>
          <w:szCs w:val="21"/>
          <w:lang w:bidi="ar"/>
        </w:rPr>
        <w:t>12.</w:t>
      </w:r>
      <w:r>
        <w:rPr>
          <w:rFonts w:hint="eastAsia" w:ascii="宋体" w:hAnsi="宋体" w:cs="宋体"/>
          <w:bCs/>
          <w:lang w:bidi="ar"/>
        </w:rPr>
        <w:t>我单位已知悉并同意中标（成交）结果信息公示（公开）的内容。</w:t>
      </w:r>
    </w:p>
    <w:p w14:paraId="332D9FDD">
      <w:pPr>
        <w:ind w:firstLine="420" w:firstLineChars="200"/>
        <w:rPr>
          <w:rFonts w:ascii="宋体" w:hAnsi="宋体" w:cs="宋体"/>
          <w:bCs/>
        </w:rPr>
      </w:pPr>
      <w:r>
        <w:rPr>
          <w:rFonts w:hint="eastAsia" w:ascii="宋体" w:hAnsi="宋体" w:cs="宋体"/>
          <w:bCs/>
          <w:lang w:bidi="ar"/>
        </w:rPr>
        <w:t>13.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2EF32C03">
      <w:pPr>
        <w:ind w:firstLine="422" w:firstLineChars="200"/>
        <w:rPr>
          <w:rFonts w:ascii="宋体" w:hAnsi="宋体" w:cs="宋体"/>
          <w:b/>
        </w:rPr>
      </w:pPr>
      <w:r>
        <w:rPr>
          <w:rFonts w:hint="eastAsia" w:ascii="宋体" w:hAnsi="宋体" w:cs="宋体"/>
          <w:b/>
          <w:lang w:bidi="ar"/>
        </w:rPr>
        <w:t>14.我单位清楚，如存在违反投标承诺行为情节严重的，将根据《深圳市财政局关于印发&lt;深圳市财政局政府采购供应商信用信息管理办法&gt;的通知》，依法被列入失信信息。</w:t>
      </w:r>
    </w:p>
    <w:p w14:paraId="43D93721">
      <w:pPr>
        <w:ind w:firstLine="420" w:firstLineChars="200"/>
        <w:rPr>
          <w:rFonts w:ascii="宋体" w:hAnsi="宋体" w:cs="宋体"/>
          <w:bCs/>
        </w:rPr>
      </w:pPr>
      <w:r>
        <w:rPr>
          <w:rFonts w:hint="eastAsia" w:ascii="宋体" w:hAnsi="宋体" w:cs="宋体"/>
          <w:bCs/>
          <w:lang w:bidi="ar"/>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0F030DD1">
      <w:pPr>
        <w:ind w:firstLine="420" w:firstLineChars="200"/>
        <w:rPr>
          <w:rFonts w:ascii="宋体" w:hAnsi="宋体" w:cs="宋体"/>
          <w:szCs w:val="21"/>
        </w:rPr>
      </w:pPr>
      <w:r>
        <w:rPr>
          <w:rFonts w:hint="eastAsia" w:ascii="宋体" w:hAnsi="宋体" w:cs="宋体"/>
          <w:szCs w:val="21"/>
          <w:lang w:bidi="ar"/>
        </w:rPr>
        <w:t>以上承诺，如有违反，愿依照国家相关法律法规处理，并承担由此给采购人带来的损失。</w:t>
      </w:r>
    </w:p>
    <w:p w14:paraId="4F5AA768">
      <w:pPr>
        <w:spacing w:before="78" w:beforeLines="25" w:after="78" w:afterLines="25"/>
        <w:ind w:firstLine="5460" w:firstLineChars="2600"/>
        <w:rPr>
          <w:color w:val="FF0000"/>
          <w:szCs w:val="21"/>
          <w:u w:val="single"/>
          <w:lang w:bidi="ar"/>
        </w:rPr>
      </w:pPr>
      <w:r>
        <w:rPr>
          <w:rFonts w:hint="eastAsia" w:cs="宋体"/>
          <w:color w:val="FF0000"/>
          <w:szCs w:val="21"/>
          <w:lang w:bidi="ar"/>
        </w:rPr>
        <w:t>投标人：</w:t>
      </w:r>
      <w:r>
        <w:rPr>
          <w:color w:val="FF0000"/>
          <w:szCs w:val="21"/>
          <w:u w:val="single"/>
          <w:lang w:bidi="ar"/>
        </w:rPr>
        <w:t xml:space="preserve">              </w:t>
      </w:r>
    </w:p>
    <w:p w14:paraId="3EC5E7B1">
      <w:pPr>
        <w:spacing w:before="78" w:beforeLines="25" w:after="78" w:afterLines="25"/>
        <w:ind w:firstLine="5460" w:firstLineChars="2600"/>
        <w:rPr>
          <w:rFonts w:ascii="宋体" w:hAnsi="宋体" w:cs="宋体"/>
          <w:color w:val="FF0000"/>
          <w:szCs w:val="21"/>
        </w:rPr>
      </w:pPr>
      <w:r>
        <w:rPr>
          <w:rFonts w:hint="eastAsia" w:ascii="宋体" w:hAnsi="宋体" w:cs="宋体"/>
          <w:color w:val="FF0000"/>
          <w:szCs w:val="21"/>
          <w:lang w:bidi="ar"/>
        </w:rPr>
        <w:t>日期：</w:t>
      </w:r>
      <w:r>
        <w:rPr>
          <w:rFonts w:hint="eastAsia" w:ascii="宋体" w:hAnsi="宋体" w:cs="宋体"/>
          <w:color w:val="FF0000"/>
          <w:szCs w:val="21"/>
          <w:u w:val="single"/>
          <w:lang w:bidi="ar"/>
        </w:rPr>
        <w:t xml:space="preserve">    </w:t>
      </w:r>
      <w:r>
        <w:rPr>
          <w:rFonts w:hint="eastAsia" w:ascii="宋体" w:hAnsi="宋体" w:cs="宋体"/>
          <w:color w:val="FF0000"/>
          <w:szCs w:val="21"/>
          <w:lang w:bidi="ar"/>
        </w:rPr>
        <w:t>年</w:t>
      </w:r>
      <w:r>
        <w:rPr>
          <w:rFonts w:hint="eastAsia" w:ascii="宋体" w:hAnsi="宋体" w:cs="宋体"/>
          <w:color w:val="FF0000"/>
          <w:szCs w:val="21"/>
          <w:u w:val="single"/>
          <w:lang w:bidi="ar"/>
        </w:rPr>
        <w:t xml:space="preserve">   </w:t>
      </w:r>
      <w:r>
        <w:rPr>
          <w:rFonts w:hint="eastAsia" w:ascii="宋体" w:hAnsi="宋体" w:cs="宋体"/>
          <w:color w:val="FF0000"/>
          <w:szCs w:val="21"/>
          <w:lang w:bidi="ar"/>
        </w:rPr>
        <w:t>月</w:t>
      </w:r>
      <w:r>
        <w:rPr>
          <w:rFonts w:hint="eastAsia" w:ascii="宋体" w:hAnsi="宋体" w:cs="宋体"/>
          <w:color w:val="FF0000"/>
          <w:szCs w:val="21"/>
          <w:u w:val="single"/>
          <w:lang w:bidi="ar"/>
        </w:rPr>
        <w:t xml:space="preserve">   </w:t>
      </w:r>
      <w:r>
        <w:rPr>
          <w:rFonts w:hint="eastAsia" w:ascii="宋体" w:hAnsi="宋体" w:cs="宋体"/>
          <w:color w:val="FF0000"/>
          <w:szCs w:val="21"/>
          <w:lang w:bidi="ar"/>
        </w:rPr>
        <w:t>日</w:t>
      </w:r>
    </w:p>
    <w:p w14:paraId="401285D4"/>
    <w:p w14:paraId="780A5D7E">
      <w:pPr>
        <w:rPr>
          <w:rFonts w:hint="eastAsia" w:ascii="黑体" w:eastAsia="黑体"/>
          <w:b w:val="0"/>
          <w:kern w:val="0"/>
          <w:sz w:val="24"/>
        </w:rPr>
      </w:pPr>
      <w:r>
        <w:rPr>
          <w:rFonts w:hint="eastAsia" w:ascii="黑体" w:eastAsia="黑体"/>
          <w:b w:val="0"/>
          <w:kern w:val="0"/>
          <w:sz w:val="24"/>
        </w:rPr>
        <w:br w:type="page"/>
      </w:r>
    </w:p>
    <w:p w14:paraId="6C6B9F13">
      <w:pPr>
        <w:pStyle w:val="5"/>
        <w:spacing w:before="120" w:after="120"/>
        <w:jc w:val="center"/>
        <w:rPr>
          <w:rFonts w:ascii="黑体" w:eastAsia="黑体"/>
          <w:b w:val="0"/>
          <w:kern w:val="0"/>
          <w:sz w:val="24"/>
        </w:rPr>
      </w:pPr>
      <w:r>
        <w:rPr>
          <w:rFonts w:hint="eastAsia" w:ascii="黑体" w:eastAsia="黑体"/>
          <w:b w:val="0"/>
          <w:kern w:val="0"/>
          <w:sz w:val="24"/>
        </w:rPr>
        <w:t>三、投标人情况及资格证明文件</w:t>
      </w:r>
    </w:p>
    <w:p w14:paraId="204E4F1B">
      <w:pPr>
        <w:outlineLvl w:val="3"/>
        <w:rPr>
          <w:rFonts w:ascii="黑体" w:hAnsi="宋体" w:eastAsia="黑体"/>
          <w:bCs/>
          <w:kern w:val="0"/>
          <w:sz w:val="24"/>
          <w:szCs w:val="32"/>
        </w:rPr>
      </w:pPr>
      <w:r>
        <w:rPr>
          <w:rFonts w:hint="eastAsia" w:ascii="黑体" w:hAnsi="宋体" w:eastAsia="黑体"/>
          <w:bCs/>
          <w:kern w:val="0"/>
          <w:sz w:val="24"/>
          <w:szCs w:val="32"/>
        </w:rPr>
        <w:t>（一）投标人资格证明文件</w:t>
      </w:r>
    </w:p>
    <w:p w14:paraId="65E0F26B">
      <w:pPr>
        <w:spacing w:before="156" w:beforeLines="50"/>
        <w:ind w:firstLine="422" w:firstLineChars="200"/>
        <w:rPr>
          <w:b/>
          <w:bCs/>
          <w:color w:val="FF0000"/>
        </w:rPr>
      </w:pPr>
      <w:r>
        <w:rPr>
          <w:rFonts w:hint="eastAsia"/>
          <w:b/>
          <w:bCs/>
          <w:color w:val="FF0000"/>
        </w:rPr>
        <w:t>（特别提示：投标人须按本招标文件第一册第一章招标公告“投标人的资格要求”提供相关的资格证明资料，未提供或提供不完整、不符合要求的，将作投标无效处理，其中要求提供《采购投标及履约承诺函》《供应商基本情况表》且已在规定章节中提供的，此处不重复提供。）</w:t>
      </w:r>
    </w:p>
    <w:p w14:paraId="3A470E8E">
      <w:pPr>
        <w:widowControl/>
        <w:jc w:val="left"/>
      </w:pPr>
      <w:r>
        <w:br w:type="page"/>
      </w:r>
    </w:p>
    <w:p w14:paraId="4980E3A4">
      <w:pPr>
        <w:outlineLvl w:val="3"/>
        <w:rPr>
          <w:rFonts w:ascii="黑体" w:hAnsi="宋体" w:eastAsia="黑体"/>
          <w:bCs/>
          <w:kern w:val="0"/>
          <w:sz w:val="24"/>
          <w:szCs w:val="32"/>
        </w:rPr>
      </w:pPr>
      <w:r>
        <w:rPr>
          <w:rFonts w:hint="eastAsia" w:ascii="黑体" w:hAnsi="宋体" w:eastAsia="黑体"/>
          <w:bCs/>
          <w:kern w:val="0"/>
          <w:sz w:val="24"/>
          <w:szCs w:val="32"/>
        </w:rPr>
        <w:t>（二）中小企业声明函、残疾人福利性单位声明函及监狱企业声明函</w:t>
      </w:r>
    </w:p>
    <w:p w14:paraId="6F0C67D1">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填写指引：</w:t>
      </w:r>
    </w:p>
    <w:p w14:paraId="1C92B4C7">
      <w:pPr>
        <w:ind w:firstLine="420" w:firstLineChars="200"/>
        <w:outlineLvl w:val="3"/>
        <w:rPr>
          <w:rFonts w:ascii="黑体" w:hAnsi="黑体" w:eastAsia="黑体"/>
          <w:color w:val="FF000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投标人提供的声明函不属实的，属于提供虚假资料谋取中标，依照《中华人民共和国政府采购法》等国家有关规定追究相应责任。</w:t>
      </w:r>
    </w:p>
    <w:p w14:paraId="7375F43D">
      <w:pPr>
        <w:ind w:firstLine="420" w:firstLineChars="200"/>
        <w:outlineLvl w:val="3"/>
        <w:rPr>
          <w:rFonts w:ascii="黑体" w:hAnsi="黑体" w:eastAsia="黑体"/>
          <w:color w:val="FF0000"/>
          <w:szCs w:val="21"/>
        </w:rPr>
      </w:pPr>
      <w:r>
        <w:rPr>
          <w:rFonts w:hint="eastAsia" w:ascii="黑体" w:hAnsi="黑体" w:eastAsia="黑体"/>
          <w:color w:val="FF0000"/>
          <w:szCs w:val="21"/>
        </w:rPr>
        <w:t>2、该部分内容填写需要参考的相关文件：</w:t>
      </w:r>
    </w:p>
    <w:p w14:paraId="6FDA22F1">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14:paraId="191AF3C9">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)《工业和信息化部、国家统计局、国家发展和改革委员会、财政部关于印发中小企业划型标准规定的通知》（工信部联企业〔2011〕300号）</w:t>
      </w:r>
      <w:r>
        <w:rPr>
          <w:rFonts w:hint="eastAsia" w:ascii="黑体" w:hAnsi="黑体" w:eastAsia="黑体"/>
          <w:color w:val="FF0000"/>
          <w:szCs w:val="21"/>
          <w:lang w:eastAsia="zh-CN"/>
        </w:rPr>
        <w:t>；</w:t>
      </w:r>
    </w:p>
    <w:p w14:paraId="70642BE4">
      <w:pPr>
        <w:ind w:firstLine="420" w:firstLineChars="200"/>
        <w:outlineLvl w:val="3"/>
        <w:rPr>
          <w:rFonts w:hint="eastAsia" w:ascii="黑体" w:hAnsi="黑体" w:eastAsia="黑体"/>
          <w:color w:val="FF0000"/>
          <w:szCs w:val="21"/>
          <w:lang w:eastAsia="zh-CN"/>
        </w:rPr>
      </w:pPr>
      <w:r>
        <w:rPr>
          <w:rFonts w:hint="eastAsia" w:ascii="黑体" w:hAnsi="黑体" w:eastAsia="黑体"/>
          <w:color w:val="FF0000"/>
          <w:szCs w:val="21"/>
        </w:rPr>
        <w:t>(3)《统计上大中小微型企业划分办法(2017)》（国统字〔2017〕213号）</w:t>
      </w:r>
      <w:r>
        <w:rPr>
          <w:rFonts w:hint="eastAsia" w:ascii="黑体" w:hAnsi="黑体" w:eastAsia="黑体"/>
          <w:color w:val="FF0000"/>
          <w:szCs w:val="21"/>
          <w:lang w:eastAsia="zh-CN"/>
        </w:rPr>
        <w:t>；</w:t>
      </w:r>
    </w:p>
    <w:p w14:paraId="3832CCFB">
      <w:pPr>
        <w:ind w:firstLine="420" w:firstLineChars="200"/>
        <w:outlineLvl w:val="3"/>
        <w:rPr>
          <w:rFonts w:hint="eastAsia" w:ascii="黑体" w:hAnsi="黑体" w:eastAsia="黑体"/>
          <w:color w:val="FF0000"/>
          <w:szCs w:val="21"/>
          <w:lang w:eastAsia="zh-CN"/>
        </w:rPr>
      </w:pPr>
      <w:r>
        <w:rPr>
          <w:rFonts w:hint="eastAsia" w:ascii="黑体" w:hAnsi="黑体" w:eastAsia="黑体"/>
          <w:color w:val="FF0000"/>
          <w:szCs w:val="21"/>
        </w:rPr>
        <w:t>(4)《关于促进残疾人就业政府采购政策的通知》（财库〔2017〕141号）</w:t>
      </w:r>
      <w:r>
        <w:rPr>
          <w:rFonts w:hint="eastAsia" w:ascii="黑体" w:hAnsi="黑体" w:eastAsia="黑体"/>
          <w:color w:val="FF0000"/>
          <w:szCs w:val="21"/>
          <w:lang w:eastAsia="zh-CN"/>
        </w:rPr>
        <w:t>；</w:t>
      </w:r>
    </w:p>
    <w:p w14:paraId="1B24F099">
      <w:pPr>
        <w:ind w:firstLine="420" w:firstLineChars="200"/>
        <w:outlineLvl w:val="3"/>
        <w:rPr>
          <w:rFonts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14:paraId="47D45577">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14:paraId="43F399E3">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4、声明函具体填写要求：</w:t>
      </w:r>
    </w:p>
    <w:p w14:paraId="0C69920E">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14:paraId="271E57CE">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14:paraId="69DD4137">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w:t>
      </w:r>
      <w:r>
        <w:rPr>
          <w:rFonts w:hint="eastAsia" w:ascii="黑体" w:hAnsi="宋体" w:eastAsia="黑体"/>
          <w:bCs/>
          <w:color w:val="FF0000"/>
          <w:kern w:val="0"/>
          <w:szCs w:val="21"/>
          <w:lang w:val="en-US" w:eastAsia="zh-CN"/>
        </w:rPr>
        <w:t>文件中确定的</w:t>
      </w:r>
      <w:r>
        <w:rPr>
          <w:rFonts w:hint="eastAsia" w:ascii="黑体" w:hAnsi="宋体" w:eastAsia="黑体"/>
          <w:bCs/>
          <w:color w:val="FF0000"/>
          <w:kern w:val="0"/>
          <w:szCs w:val="21"/>
        </w:rPr>
        <w:t>项目名称</w:t>
      </w:r>
      <w:r>
        <w:rPr>
          <w:rFonts w:hint="eastAsia" w:ascii="黑体" w:hAnsi="宋体" w:eastAsia="黑体"/>
          <w:bCs/>
          <w:color w:val="FF0000"/>
          <w:kern w:val="0"/>
          <w:szCs w:val="21"/>
          <w:lang w:eastAsia="zh-CN"/>
        </w:rPr>
        <w:t>。对于分包方式面向中小企业采购的项目，应标明中小企业的具体分包内容；对于以联合体方式面向中小企业采购的项目，应标明联合体中中小企业所承担的具体内容</w:t>
      </w:r>
      <w:r>
        <w:rPr>
          <w:rFonts w:hint="eastAsia" w:ascii="黑体" w:hAnsi="宋体" w:eastAsia="黑体"/>
          <w:bCs/>
          <w:color w:val="FF0000"/>
          <w:kern w:val="0"/>
          <w:szCs w:val="21"/>
        </w:rPr>
        <w:t>；</w:t>
      </w:r>
    </w:p>
    <w:p w14:paraId="6938B8F1">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三处，在“标的名称”下划线处填写所采购货物（标的）的具体名称（以招标文件第一册第三章用户需求书“货物清单明细”的“货物名称”一栏为准）；如果涉及多项货物（标的）为同一企业制造，“标的名称”下划线处可以如实填写多项货物；对于分包方式面向中小企业采购的项目</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“标的名称”应填写采购文件中注明的分包给中小企业的采购标的名称；对于以联合体方式面向中小企业采购的项目“标的名称”应填写采购文件中注明的联合体中中小企业承担的采购标的名称。</w:t>
      </w:r>
    </w:p>
    <w:p w14:paraId="388FF726">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第四处，在“</w:t>
      </w:r>
      <w:r>
        <w:rPr>
          <w:rFonts w:hint="eastAsia" w:ascii="黑体" w:hAnsi="宋体" w:eastAsia="黑体"/>
          <w:bCs/>
          <w:color w:val="FF0000"/>
          <w:kern w:val="0"/>
          <w:szCs w:val="21"/>
          <w:lang w:val="en-US" w:eastAsia="zh-CN"/>
        </w:rPr>
        <w:t>采购</w:t>
      </w:r>
      <w:r>
        <w:rPr>
          <w:rFonts w:hint="eastAsia" w:ascii="黑体" w:hAnsi="宋体" w:eastAsia="黑体"/>
          <w:bCs/>
          <w:color w:val="FF0000"/>
          <w:kern w:val="0"/>
          <w:szCs w:val="21"/>
        </w:rPr>
        <w:t>文件中明确的所属行业”下划线处填写采购标的对应的中小企业划分标准所属行业（所属行业以招标文件第一册第三章用户需求书“货物清单明细”的“</w:t>
      </w:r>
      <w:r>
        <w:rPr>
          <w:rFonts w:hint="eastAsia" w:ascii="黑体" w:hAnsi="宋体" w:eastAsia="黑体"/>
          <w:bCs/>
          <w:color w:val="FF0000"/>
          <w:kern w:val="0"/>
          <w:szCs w:val="21"/>
          <w:lang w:val="en-US" w:eastAsia="zh-CN"/>
        </w:rPr>
        <w:t>标的所属行业</w:t>
      </w:r>
      <w:r>
        <w:rPr>
          <w:rFonts w:hint="eastAsia" w:ascii="黑体" w:hAnsi="宋体" w:eastAsia="黑体"/>
          <w:bCs/>
          <w:color w:val="FF0000"/>
          <w:kern w:val="0"/>
          <w:szCs w:val="21"/>
        </w:rPr>
        <w:t>”一栏为准）</w:t>
      </w:r>
      <w:r>
        <w:rPr>
          <w:rFonts w:hint="eastAsia" w:ascii="黑体" w:hAnsi="宋体" w:eastAsia="黑体"/>
          <w:bCs/>
          <w:color w:val="FF0000"/>
          <w:kern w:val="0"/>
          <w:szCs w:val="21"/>
          <w:lang w:eastAsia="zh-CN"/>
        </w:rPr>
        <w:t>，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联合体部分采购标的涉及的货物制造商本身的所属行业保持一致；</w:t>
      </w:r>
    </w:p>
    <w:p w14:paraId="6AFBA40D">
      <w:pPr>
        <w:ind w:firstLine="420" w:firstLineChars="200"/>
        <w:outlineLvl w:val="3"/>
        <w:rPr>
          <w:rFonts w:hint="eastAsia" w:ascii="黑体" w:hAnsi="宋体" w:eastAsia="黑体"/>
          <w:bCs/>
          <w:color w:val="FF0000"/>
          <w:kern w:val="0"/>
          <w:szCs w:val="21"/>
          <w:lang w:eastAsia="zh-CN"/>
        </w:rPr>
      </w:pPr>
      <w:r>
        <w:rPr>
          <w:rFonts w:hint="eastAsia" w:ascii="黑体" w:hAnsi="宋体" w:eastAsia="黑体"/>
          <w:bCs/>
          <w:color w:val="FF0000"/>
          <w:kern w:val="0"/>
          <w:szCs w:val="21"/>
        </w:rPr>
        <w:t>第五处，在“企业名称”下划线处如实填写</w:t>
      </w:r>
      <w:r>
        <w:rPr>
          <w:rFonts w:hint="eastAsia" w:ascii="黑体" w:hAnsi="宋体" w:eastAsia="黑体"/>
          <w:b/>
          <w:bCs w:val="0"/>
          <w:color w:val="FF0000"/>
          <w:kern w:val="0"/>
          <w:szCs w:val="21"/>
          <w:lang w:val="en-US" w:eastAsia="zh-CN"/>
        </w:rPr>
        <w:t>货物</w:t>
      </w:r>
      <w:r>
        <w:rPr>
          <w:rFonts w:hint="eastAsia" w:ascii="黑体" w:hAnsi="宋体" w:eastAsia="黑体"/>
          <w:b/>
          <w:bCs w:val="0"/>
          <w:color w:val="FF0000"/>
          <w:kern w:val="0"/>
          <w:szCs w:val="21"/>
        </w:rPr>
        <w:t>制造商名称</w:t>
      </w:r>
      <w:r>
        <w:rPr>
          <w:rFonts w:hint="eastAsia" w:ascii="黑体" w:hAnsi="宋体" w:eastAsia="黑体"/>
          <w:b/>
          <w:bCs w:val="0"/>
          <w:color w:val="FF0000"/>
          <w:kern w:val="0"/>
          <w:szCs w:val="21"/>
          <w:lang w:eastAsia="zh-CN"/>
        </w:rPr>
        <w:t>。</w:t>
      </w:r>
      <w:r>
        <w:rPr>
          <w:rFonts w:hint="eastAsia" w:ascii="黑体" w:hAnsi="宋体" w:eastAsia="黑体"/>
          <w:bCs/>
          <w:color w:val="FF0000"/>
          <w:kern w:val="0"/>
          <w:szCs w:val="21"/>
          <w:lang w:eastAsia="zh-CN"/>
        </w:rPr>
        <w:t>对于分包方式面向中小企业采购的项目，“企业名称”应填写分包部分采购标的对应的货物制造商；对于以联合体方式面向中小企业采购的项目，“企业名称”应填写联合体中中小企业承担采购标的对应的货物制造商；</w:t>
      </w:r>
    </w:p>
    <w:p w14:paraId="33AED2C2">
      <w:pPr>
        <w:numPr>
          <w:ilvl w:val="0"/>
          <w:numId w:val="0"/>
        </w:numPr>
        <w:ind w:firstLine="420" w:firstLineChars="200"/>
        <w:outlineLvl w:val="3"/>
        <w:rPr>
          <w:rFonts w:hint="eastAsia" w:ascii="黑体" w:hAnsi="宋体" w:eastAsia="黑体"/>
          <w:bCs/>
          <w:color w:val="FF0000"/>
          <w:kern w:val="0"/>
          <w:szCs w:val="21"/>
        </w:rPr>
      </w:pPr>
      <w:r>
        <w:rPr>
          <w:rFonts w:hint="eastAsia" w:ascii="黑体" w:hAnsi="宋体" w:eastAsia="黑体" w:cs="Times New Roman"/>
          <w:bCs/>
          <w:color w:val="FF0000"/>
          <w:kern w:val="0"/>
          <w:sz w:val="21"/>
          <w:szCs w:val="21"/>
          <w:lang w:val="en-US" w:eastAsia="zh-CN" w:bidi="ar-SA"/>
        </w:rPr>
        <w:t>第六、</w:t>
      </w:r>
      <w:r>
        <w:rPr>
          <w:rFonts w:hint="eastAsia" w:ascii="黑体" w:hAnsi="宋体" w:eastAsia="黑体"/>
          <w:bCs/>
          <w:color w:val="FF0000"/>
          <w:kern w:val="0"/>
          <w:szCs w:val="21"/>
          <w:lang w:val="en-US" w:eastAsia="zh-CN"/>
        </w:rPr>
        <w:t>七、八处，</w:t>
      </w:r>
      <w:r>
        <w:rPr>
          <w:rFonts w:hint="eastAsia" w:ascii="黑体" w:hAnsi="宋体" w:eastAsia="黑体"/>
          <w:bCs/>
          <w:color w:val="FF0000"/>
          <w:kern w:val="0"/>
          <w:szCs w:val="21"/>
        </w:rPr>
        <w:t>在“从业人员”、“营业收入”、“资产总额”下划线处如实填写从业人员、营业收入、资产总额</w:t>
      </w:r>
      <w:r>
        <w:rPr>
          <w:rFonts w:hint="eastAsia" w:ascii="黑体" w:hAnsi="宋体" w:eastAsia="黑体"/>
          <w:bCs/>
          <w:color w:val="FF0000"/>
          <w:kern w:val="0"/>
          <w:szCs w:val="21"/>
          <w:lang w:eastAsia="zh-CN"/>
        </w:rPr>
        <w:t>。从业人员、资产总额指标以上年度末数据为依据，营业收入指标以上年度累计数据为依据。无上年度数据的新成立企业可不填报。</w:t>
      </w:r>
    </w:p>
    <w:p w14:paraId="1F7876EB">
      <w:pPr>
        <w:numPr>
          <w:ilvl w:val="0"/>
          <w:numId w:val="0"/>
        </w:num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lang w:val="en-US" w:eastAsia="zh-CN"/>
        </w:rPr>
        <w:t>第九处，</w:t>
      </w:r>
      <w:r>
        <w:rPr>
          <w:rFonts w:hint="eastAsia" w:ascii="黑体" w:hAnsi="宋体" w:eastAsia="黑体"/>
          <w:bCs/>
          <w:color w:val="FF0000"/>
          <w:kern w:val="0"/>
          <w:szCs w:val="21"/>
        </w:rPr>
        <w:t>在“中型企业、小型企业、微型企业”下划线处应依据企业上年度从业人员、营业收入、资产总额等指标</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按照《中小企业划型标准规定》（工信部联企业〔2011〕300号）、《金融业企业划型标准规定》（银发〔2015〕309号）</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判断《中小企业声明函》载明的货物制造商是否属于采购文件所属行业的中型企业/小型企业/微型企业。</w:t>
      </w:r>
    </w:p>
    <w:p w14:paraId="3B48E83B">
      <w:pPr>
        <w:pStyle w:val="60"/>
        <w:ind w:firstLine="420" w:firstLineChars="200"/>
        <w:rPr>
          <w:rFonts w:hint="eastAsia" w:ascii="黑体" w:hAnsi="宋体" w:eastAsia="黑体"/>
          <w:bCs/>
          <w:color w:val="FF0000"/>
          <w:kern w:val="0"/>
          <w:szCs w:val="21"/>
          <w:lang w:eastAsia="zh-CN"/>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2</w:t>
      </w:r>
      <w:r>
        <w:rPr>
          <w:rFonts w:hint="eastAsia" w:ascii="黑体" w:hAnsi="宋体" w:eastAsia="黑体"/>
          <w:bCs/>
          <w:color w:val="FF0000"/>
          <w:kern w:val="0"/>
          <w:szCs w:val="21"/>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495CAB2B">
      <w:pPr>
        <w:numPr>
          <w:ilvl w:val="0"/>
          <w:numId w:val="0"/>
        </w:num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3</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事业单位、社会组织等非企业主体不享受中小企业扶持政策，但事业单位、社会组织等非企业主体提供全部由中小企业制造的货物参加货物采购项目的除外。</w:t>
      </w:r>
    </w:p>
    <w:p w14:paraId="6FCFA091">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4</w:t>
      </w:r>
      <w:r>
        <w:rPr>
          <w:rFonts w:hint="eastAsia" w:ascii="黑体" w:hAnsi="宋体" w:eastAsia="黑体"/>
          <w:bCs/>
          <w:color w:val="FF0000"/>
          <w:kern w:val="0"/>
          <w:szCs w:val="21"/>
        </w:rPr>
        <w:t>）声明是残疾人福利性单位须填写《残疾人福利性单位声明函》的相关内容，具体参照以上《中小企业声明函》填写要求执行。</w:t>
      </w:r>
    </w:p>
    <w:p w14:paraId="62713F1B">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5</w:t>
      </w:r>
      <w:r>
        <w:rPr>
          <w:rFonts w:hint="eastAsia" w:ascii="黑体" w:hAnsi="宋体" w:eastAsia="黑体"/>
          <w:bCs/>
          <w:color w:val="FF0000"/>
          <w:kern w:val="0"/>
          <w:szCs w:val="21"/>
        </w:rPr>
        <w:t>）声明是监狱企业须填写《监狱企业声明函》的三项内容（填写位置的字体已加粗），具体参照以上《中小企业声明函》填写要求执行。</w:t>
      </w:r>
    </w:p>
    <w:p w14:paraId="4CCCC52D">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3D0A5262">
      <w:pPr>
        <w:pStyle w:val="60"/>
        <w:ind w:firstLine="420" w:firstLineChars="200"/>
        <w:rPr>
          <w:rFonts w:hint="eastAsia" w:eastAsia="黑体"/>
          <w:lang w:val="en-US" w:eastAsia="zh-CN"/>
        </w:rPr>
      </w:pPr>
      <w:r>
        <w:rPr>
          <w:rFonts w:hint="eastAsia" w:ascii="黑体" w:hAnsi="宋体" w:eastAsia="黑体"/>
          <w:bCs/>
          <w:color w:val="FF0000"/>
          <w:kern w:val="0"/>
          <w:szCs w:val="21"/>
          <w:lang w:val="en-US" w:eastAsia="zh-CN"/>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4F9C925C">
      <w:pPr>
        <w:pStyle w:val="2"/>
      </w:pPr>
    </w:p>
    <w:p w14:paraId="4793BDCA">
      <w:pPr>
        <w:numPr>
          <w:ilvl w:val="0"/>
          <w:numId w:val="7"/>
        </w:numPr>
        <w:jc w:val="center"/>
        <w:outlineLvl w:val="3"/>
        <w:rPr>
          <w:b/>
          <w:sz w:val="24"/>
        </w:rPr>
      </w:pPr>
      <w:r>
        <w:rPr>
          <w:b/>
          <w:sz w:val="24"/>
        </w:rPr>
        <w:t>中小企业声明函（货物）</w:t>
      </w:r>
    </w:p>
    <w:p w14:paraId="5CF8F099">
      <w:pPr>
        <w:pStyle w:val="2"/>
        <w:widowControl w:val="0"/>
        <w:numPr>
          <w:ilvl w:val="0"/>
          <w:numId w:val="0"/>
        </w:numPr>
        <w:spacing w:line="360" w:lineRule="auto"/>
        <w:jc w:val="both"/>
      </w:pPr>
    </w:p>
    <w:p w14:paraId="2EBA25EF">
      <w:pPr>
        <w:pStyle w:val="3"/>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（单位名称）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的</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（项目名称）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采购活动，提供的货物全部由符合政策要求的中小企业制造。相关企业（含联合体中的中小企业、签订分包意向协议的中小企业）的具体情况如下：</w:t>
      </w:r>
    </w:p>
    <w:p w14:paraId="3E6E6936">
      <w:pPr>
        <w:pStyle w:val="3"/>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（标的名称）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（采购文件中明确的所属行业）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行业；制造商为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（企业名称</w:t>
      </w:r>
      <w:r>
        <w:rPr>
          <w:rFonts w:hint="eastAsia" w:asciiTheme="minorEastAsia" w:hAnsiTheme="minorEastAsia" w:eastAsiaTheme="minorEastAsia" w:cstheme="minorEastAsia"/>
          <w:b/>
          <w:bCs/>
          <w:i/>
          <w:iCs/>
          <w:sz w:val="21"/>
          <w:szCs w:val="21"/>
          <w:u w:val="single"/>
          <w:lang w:eastAsia="zh-CN"/>
        </w:rPr>
        <w:t>，要求制造商</w:t>
      </w:r>
      <w:r>
        <w:rPr>
          <w:rFonts w:hint="eastAsia" w:asciiTheme="minorEastAsia" w:hAnsiTheme="minorEastAsia" w:eastAsiaTheme="minorEastAsia" w:cstheme="minorEastAsia"/>
          <w:b/>
          <w:bCs/>
          <w:i/>
          <w:iCs/>
          <w:sz w:val="21"/>
          <w:szCs w:val="21"/>
          <w:u w:val="single"/>
          <w:lang w:val="en-US" w:eastAsia="zh-CN"/>
        </w:rPr>
        <w:t>本身</w:t>
      </w:r>
      <w:r>
        <w:rPr>
          <w:rFonts w:hint="eastAsia" w:asciiTheme="minorEastAsia" w:hAnsiTheme="minorEastAsia" w:eastAsiaTheme="minorEastAsia" w:cstheme="minorEastAsia"/>
          <w:b/>
          <w:bCs/>
          <w:i/>
          <w:iCs/>
          <w:sz w:val="21"/>
          <w:szCs w:val="21"/>
          <w:u w:val="single"/>
          <w:lang w:eastAsia="zh-CN"/>
        </w:rPr>
        <w:t>所属行业应当与招标文件要求的行业相一致</w:t>
      </w:r>
      <w:r>
        <w:rPr>
          <w:rFonts w:hint="eastAsia" w:asciiTheme="minorEastAsia" w:hAnsiTheme="minorEastAsia" w:eastAsiaTheme="minorEastAsia" w:cstheme="minorEastAsia"/>
          <w:b/>
          <w:bCs/>
          <w:i/>
          <w:iCs/>
          <w:sz w:val="21"/>
          <w:szCs w:val="21"/>
          <w:u w:val="single"/>
        </w:rPr>
        <w:t>）</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，从业人员</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人，营业收入为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万元，资产总额为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（中型企业、小型企业、微型企业）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i w:val="0"/>
          <w:iCs w:val="0"/>
          <w:sz w:val="21"/>
          <w:szCs w:val="21"/>
          <w:u w:val="none"/>
          <w:lang w:val="en-US" w:eastAsia="zh-CN"/>
        </w:rPr>
        <w:t>；</w:t>
      </w:r>
    </w:p>
    <w:p w14:paraId="54D3ACE9">
      <w:pPr>
        <w:pStyle w:val="3"/>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（标的名称）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（采购文件中明确的所属行业）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行业；制造商为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（企业名称</w:t>
      </w:r>
      <w:r>
        <w:rPr>
          <w:rFonts w:hint="eastAsia" w:asciiTheme="minorEastAsia" w:hAnsiTheme="minorEastAsia" w:eastAsiaTheme="minorEastAsia" w:cstheme="minorEastAsia"/>
          <w:b/>
          <w:bCs/>
          <w:i/>
          <w:iCs/>
          <w:sz w:val="21"/>
          <w:szCs w:val="21"/>
          <w:u w:val="single"/>
          <w:lang w:eastAsia="zh-CN"/>
        </w:rPr>
        <w:t>，要求制造商</w:t>
      </w:r>
      <w:r>
        <w:rPr>
          <w:rFonts w:hint="eastAsia" w:asciiTheme="minorEastAsia" w:hAnsiTheme="minorEastAsia" w:eastAsiaTheme="minorEastAsia" w:cstheme="minorEastAsia"/>
          <w:b/>
          <w:bCs/>
          <w:i/>
          <w:iCs/>
          <w:sz w:val="21"/>
          <w:szCs w:val="21"/>
          <w:u w:val="single"/>
          <w:lang w:val="en-US" w:eastAsia="zh-CN"/>
        </w:rPr>
        <w:t>本身</w:t>
      </w:r>
      <w:r>
        <w:rPr>
          <w:rFonts w:hint="eastAsia" w:asciiTheme="minorEastAsia" w:hAnsiTheme="minorEastAsia" w:eastAsiaTheme="minorEastAsia" w:cstheme="minorEastAsia"/>
          <w:b/>
          <w:bCs/>
          <w:i/>
          <w:iCs/>
          <w:sz w:val="21"/>
          <w:szCs w:val="21"/>
          <w:u w:val="single"/>
          <w:lang w:eastAsia="zh-CN"/>
        </w:rPr>
        <w:t>所属行业应当与招标文件要求的行业相一致</w:t>
      </w:r>
      <w:r>
        <w:rPr>
          <w:rFonts w:hint="eastAsia" w:asciiTheme="minorEastAsia" w:hAnsiTheme="minorEastAsia" w:eastAsiaTheme="minorEastAsia" w:cstheme="minorEastAsia"/>
          <w:b/>
          <w:bCs/>
          <w:i/>
          <w:iCs/>
          <w:sz w:val="21"/>
          <w:szCs w:val="21"/>
          <w:u w:val="single"/>
        </w:rPr>
        <w:t>）</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，从业人员</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人，营业收入为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万元，资产总额为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（中型企业、小型企业、微型企业）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i w:val="0"/>
          <w:iCs w:val="0"/>
          <w:sz w:val="21"/>
          <w:szCs w:val="21"/>
          <w:u w:val="none"/>
          <w:lang w:val="en-US" w:eastAsia="zh-CN"/>
        </w:rPr>
        <w:t>；</w:t>
      </w:r>
    </w:p>
    <w:p w14:paraId="16C2EEF2">
      <w:pPr>
        <w:pStyle w:val="3"/>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w:t>
      </w:r>
    </w:p>
    <w:p w14:paraId="0C3A6C5D">
      <w:pPr>
        <w:pStyle w:val="3"/>
        <w:ind w:firstLine="420" w:firstLineChars="200"/>
        <w:rPr>
          <w:rFonts w:hint="eastAsia" w:asciiTheme="minorEastAsia" w:hAnsiTheme="minorEastAsia" w:eastAsiaTheme="minorEastAsia" w:cstheme="minorEastAsia"/>
          <w:sz w:val="21"/>
          <w:szCs w:val="21"/>
          <w:lang w:val="en-US" w:eastAsia="zh-CN"/>
        </w:rPr>
      </w:pPr>
    </w:p>
    <w:p w14:paraId="7F9B38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以上企业，不属于大企业的分支机构，不存在控股股东为大企业的情形，也不存在与大企业的负责人为同一人的情形。</w:t>
      </w:r>
    </w:p>
    <w:p w14:paraId="4DB9F1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lang w:val="en-US" w:eastAsia="zh-CN" w:bidi="ar-SA"/>
        </w:rPr>
      </w:pPr>
      <w:bookmarkStart w:id="39" w:name="_Hlk73562203"/>
      <w:r>
        <w:rPr>
          <w:rFonts w:hint="eastAsia" w:asciiTheme="minorEastAsia" w:hAnsiTheme="minorEastAsia" w:eastAsiaTheme="minorEastAsia" w:cstheme="minorEastAsia"/>
          <w:kern w:val="2"/>
          <w:sz w:val="21"/>
          <w:szCs w:val="21"/>
          <w:lang w:val="en-US" w:eastAsia="zh-CN" w:bidi="ar-SA"/>
        </w:rPr>
        <w:t>本投标人对上述声明内容的真实性负责。如有虚假，将依法承担相应责任。</w:t>
      </w:r>
    </w:p>
    <w:p w14:paraId="6E19BB2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kern w:val="2"/>
          <w:sz w:val="24"/>
          <w:szCs w:val="24"/>
          <w:lang w:val="en-US" w:eastAsia="zh-CN" w:bidi="ar-SA"/>
        </w:rPr>
      </w:pPr>
      <w:r>
        <w:rPr>
          <w:rFonts w:hint="eastAsia" w:asciiTheme="minorEastAsia" w:hAnsiTheme="minorEastAsia" w:eastAsiaTheme="minorEastAsia" w:cstheme="minorEastAsia"/>
          <w:kern w:val="2"/>
          <w:sz w:val="21"/>
          <w:szCs w:val="21"/>
          <w:lang w:val="en-US" w:eastAsia="zh-CN" w:bidi="ar-SA"/>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39"/>
    </w:p>
    <w:p w14:paraId="6E19BD65"/>
    <w:p w14:paraId="7D0FB529">
      <w:pPr>
        <w:jc w:val="center"/>
        <w:outlineLvl w:val="3"/>
        <w:rPr>
          <w:b/>
          <w:sz w:val="24"/>
        </w:rPr>
      </w:pPr>
      <w:r>
        <w:rPr>
          <w:rFonts w:hint="eastAsia"/>
          <w:b/>
          <w:sz w:val="24"/>
        </w:rPr>
        <w:t>2、残疾人福利性单位声明函（货物类）</w:t>
      </w:r>
    </w:p>
    <w:p w14:paraId="59995540">
      <w:pPr>
        <w:rPr>
          <w:b/>
          <w:bCs/>
        </w:rPr>
      </w:pPr>
    </w:p>
    <w:p w14:paraId="20EF70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lang w:val="en-US" w:eastAsia="zh-CN" w:bidi="ar-SA"/>
        </w:rPr>
      </w:pPr>
      <w:bookmarkStart w:id="40" w:name="_Hlk73562331"/>
      <w:bookmarkStart w:id="41" w:name="_Hlk73562245"/>
      <w:r>
        <w:rPr>
          <w:rFonts w:hint="eastAsia" w:asciiTheme="minorEastAsia" w:hAnsiTheme="minorEastAsia" w:eastAsiaTheme="minorEastAsia" w:cstheme="minorEastAsia"/>
          <w:kern w:val="2"/>
          <w:sz w:val="21"/>
          <w:szCs w:val="21"/>
          <w:lang w:val="en-US" w:eastAsia="zh-CN" w:bidi="ar-SA"/>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（单位名称）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单位的</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（项目名称）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项目采购活动提供本单位制造的货物（由本单位承担工程/提供服务），或者提供其他残疾人福利性单位制造的货物（不包括使用非残疾人福利性单位注册商标的货物）。</w:t>
      </w:r>
    </w:p>
    <w:p w14:paraId="34CE57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本单位对上述声明的真实性负责。如有虚假，将依法承担相应责任。</w:t>
      </w:r>
    </w:p>
    <w:p w14:paraId="74D7B1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本投标人已知悉《财政部民政部中国残疾人联合会关于促进残疾人就业政府采购政策的通知》（财库〔2017〕141号）的规定，承诺提供的声明函内容是真实的，如提供声明函内容不实，则依法追究相关法律责任。</w:t>
      </w:r>
      <w:bookmarkEnd w:id="40"/>
    </w:p>
    <w:bookmarkEnd w:id="41"/>
    <w:p w14:paraId="5D9B6FF1">
      <w:pPr>
        <w:rPr>
          <w:rFonts w:ascii="宋体" w:hAnsi="宋体"/>
          <w:szCs w:val="21"/>
        </w:rPr>
      </w:pPr>
    </w:p>
    <w:p w14:paraId="03A588C4">
      <w:pPr>
        <w:jc w:val="center"/>
        <w:outlineLvl w:val="3"/>
        <w:rPr>
          <w:b/>
          <w:sz w:val="24"/>
        </w:rPr>
      </w:pPr>
      <w:r>
        <w:rPr>
          <w:rFonts w:hint="eastAsia"/>
          <w:b/>
          <w:sz w:val="24"/>
        </w:rPr>
        <w:t>3、监狱企业声明函【货物类，提供监狱企业货物的供应商如需享受优惠政策，还须另行提供省级以上监狱管理局、戒毒管理局（含新疆生产建设兵团）出具的监狱企业证明文件】</w:t>
      </w:r>
    </w:p>
    <w:p w14:paraId="35C76D6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z w:val="21"/>
          <w:szCs w:val="21"/>
        </w:rPr>
      </w:pPr>
      <w:r>
        <w:rPr>
          <w:rFonts w:hint="eastAsia" w:ascii="宋体" w:hAnsi="宋体"/>
          <w:sz w:val="21"/>
          <w:szCs w:val="21"/>
        </w:rPr>
        <w:t>本投标人郑重声明，根据《财政部司法部关于政府采购支持监狱企业发展有关问题的通知》（财库〔</w:t>
      </w:r>
      <w:r>
        <w:rPr>
          <w:rFonts w:ascii="宋体" w:hAnsi="宋体"/>
          <w:sz w:val="21"/>
          <w:szCs w:val="21"/>
        </w:rPr>
        <w:t>2014</w:t>
      </w:r>
      <w:r>
        <w:rPr>
          <w:rFonts w:hint="eastAsia" w:ascii="宋体" w:hAnsi="宋体"/>
          <w:sz w:val="21"/>
          <w:szCs w:val="21"/>
        </w:rPr>
        <w:t>〕</w:t>
      </w:r>
      <w:r>
        <w:rPr>
          <w:rFonts w:ascii="宋体" w:hAnsi="宋体"/>
          <w:sz w:val="21"/>
          <w:szCs w:val="21"/>
        </w:rPr>
        <w:t>68</w:t>
      </w:r>
      <w:r>
        <w:rPr>
          <w:rFonts w:hint="eastAsia" w:ascii="宋体" w:hAnsi="宋体"/>
          <w:sz w:val="21"/>
          <w:szCs w:val="21"/>
        </w:rPr>
        <w:t>号）的规定，本投标人</w:t>
      </w:r>
      <w:r>
        <w:rPr>
          <w:rFonts w:ascii="宋体" w:hAnsi="宋体" w:cstheme="minorBidi"/>
          <w:sz w:val="21"/>
          <w:szCs w:val="21"/>
        </w:rPr>
        <w:t>参加</w:t>
      </w:r>
      <w:r>
        <w:rPr>
          <w:rFonts w:ascii="宋体" w:hAnsi="宋体"/>
          <w:b/>
          <w:bCs/>
          <w:i/>
          <w:iCs/>
          <w:sz w:val="21"/>
          <w:szCs w:val="21"/>
          <w:u w:val="single"/>
        </w:rPr>
        <w:t>（</w:t>
      </w:r>
      <w:r>
        <w:rPr>
          <w:rFonts w:hint="eastAsia" w:ascii="宋体" w:hAnsi="宋体"/>
          <w:b/>
          <w:bCs/>
          <w:i/>
          <w:iCs/>
          <w:sz w:val="21"/>
          <w:szCs w:val="21"/>
          <w:u w:val="single"/>
        </w:rPr>
        <w:t>采购人</w:t>
      </w:r>
      <w:r>
        <w:rPr>
          <w:rFonts w:ascii="宋体" w:hAnsi="宋体"/>
          <w:b/>
          <w:bCs/>
          <w:i/>
          <w:iCs/>
          <w:sz w:val="21"/>
          <w:szCs w:val="21"/>
          <w:u w:val="single"/>
        </w:rPr>
        <w:t>名称）</w:t>
      </w:r>
      <w:r>
        <w:rPr>
          <w:rFonts w:ascii="宋体" w:hAnsi="宋体"/>
          <w:sz w:val="21"/>
          <w:szCs w:val="21"/>
        </w:rPr>
        <w:t>的</w:t>
      </w:r>
      <w:r>
        <w:rPr>
          <w:rFonts w:ascii="宋体" w:hAnsi="宋体"/>
          <w:b/>
          <w:bCs/>
          <w:i/>
          <w:iCs/>
          <w:sz w:val="21"/>
          <w:szCs w:val="21"/>
          <w:u w:val="single"/>
        </w:rPr>
        <w:t>（项目名称）</w:t>
      </w:r>
      <w:r>
        <w:rPr>
          <w:rFonts w:ascii="宋体" w:hAnsi="宋体"/>
          <w:sz w:val="21"/>
          <w:szCs w:val="21"/>
        </w:rPr>
        <w:t>采购活动，提供的货物全部由符合政策要求的</w:t>
      </w:r>
      <w:r>
        <w:rPr>
          <w:rFonts w:hint="eastAsia" w:ascii="宋体" w:hAnsi="宋体"/>
          <w:sz w:val="21"/>
          <w:szCs w:val="21"/>
        </w:rPr>
        <w:t>监狱企业</w:t>
      </w:r>
      <w:r>
        <w:rPr>
          <w:rFonts w:ascii="宋体" w:hAnsi="宋体"/>
          <w:sz w:val="21"/>
          <w:szCs w:val="21"/>
        </w:rPr>
        <w:t>制造。相关</w:t>
      </w:r>
      <w:r>
        <w:rPr>
          <w:rFonts w:hint="eastAsia" w:ascii="宋体" w:hAnsi="宋体"/>
          <w:sz w:val="21"/>
          <w:szCs w:val="21"/>
        </w:rPr>
        <w:t>监狱企业</w:t>
      </w:r>
      <w:r>
        <w:rPr>
          <w:rFonts w:ascii="宋体" w:hAnsi="宋体"/>
          <w:sz w:val="21"/>
          <w:szCs w:val="21"/>
        </w:rPr>
        <w:t>的具体情况如下：</w:t>
      </w:r>
    </w:p>
    <w:p w14:paraId="1313E05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z w:val="21"/>
          <w:szCs w:val="21"/>
        </w:rPr>
      </w:pPr>
      <w:r>
        <w:rPr>
          <w:rFonts w:ascii="宋体" w:hAnsi="宋体"/>
          <w:sz w:val="21"/>
          <w:szCs w:val="21"/>
        </w:rPr>
        <w:t>1.</w:t>
      </w:r>
      <w:r>
        <w:rPr>
          <w:rFonts w:ascii="宋体" w:hAnsi="宋体"/>
          <w:b/>
          <w:bCs/>
          <w:i/>
          <w:iCs/>
          <w:sz w:val="21"/>
          <w:szCs w:val="21"/>
          <w:u w:val="single"/>
        </w:rPr>
        <w:t xml:space="preserve"> </w:t>
      </w:r>
      <w:r>
        <w:rPr>
          <w:rFonts w:hint="eastAsia" w:ascii="宋体" w:hAnsi="宋体"/>
          <w:b/>
          <w:bCs/>
          <w:i/>
          <w:iCs/>
          <w:sz w:val="21"/>
          <w:szCs w:val="21"/>
          <w:u w:val="single"/>
          <w:lang w:val="en-US" w:eastAsia="zh-CN"/>
        </w:rPr>
        <w:t xml:space="preserve">   </w:t>
      </w:r>
      <w:r>
        <w:rPr>
          <w:rFonts w:ascii="宋体" w:hAnsi="宋体"/>
          <w:b/>
          <w:bCs/>
          <w:i/>
          <w:iCs/>
          <w:sz w:val="21"/>
          <w:szCs w:val="21"/>
          <w:u w:val="single"/>
        </w:rPr>
        <w:t>（标的名称）</w:t>
      </w:r>
      <w:r>
        <w:rPr>
          <w:rFonts w:hint="eastAsia" w:ascii="宋体" w:hAnsi="宋体"/>
          <w:b/>
          <w:bCs/>
          <w:i/>
          <w:iCs/>
          <w:sz w:val="21"/>
          <w:szCs w:val="21"/>
          <w:u w:val="single"/>
          <w:lang w:val="en-US" w:eastAsia="zh-CN"/>
        </w:rPr>
        <w:t xml:space="preserve">    </w:t>
      </w:r>
      <w:r>
        <w:rPr>
          <w:rFonts w:hint="eastAsia" w:ascii="宋体" w:hAnsi="宋体"/>
          <w:sz w:val="21"/>
          <w:szCs w:val="21"/>
        </w:rPr>
        <w:t>，</w:t>
      </w:r>
      <w:r>
        <w:rPr>
          <w:rFonts w:ascii="宋体" w:hAnsi="宋体"/>
          <w:sz w:val="21"/>
          <w:szCs w:val="21"/>
        </w:rPr>
        <w:t>制造商为</w:t>
      </w:r>
      <w:r>
        <w:rPr>
          <w:rFonts w:hint="eastAsia" w:ascii="宋体" w:hAnsi="宋体"/>
          <w:sz w:val="21"/>
          <w:szCs w:val="21"/>
          <w:u w:val="single"/>
          <w:lang w:val="en-US" w:eastAsia="zh-CN"/>
        </w:rPr>
        <w:t xml:space="preserve">    </w:t>
      </w:r>
      <w:r>
        <w:rPr>
          <w:rFonts w:ascii="宋体" w:hAnsi="宋体"/>
          <w:b/>
          <w:bCs/>
          <w:i/>
          <w:iCs/>
          <w:sz w:val="21"/>
          <w:szCs w:val="21"/>
          <w:u w:val="single"/>
        </w:rPr>
        <w:t>（</w:t>
      </w:r>
      <w:r>
        <w:rPr>
          <w:rFonts w:hint="eastAsia" w:ascii="宋体" w:hAnsi="宋体"/>
          <w:b/>
          <w:bCs/>
          <w:i/>
          <w:iCs/>
          <w:sz w:val="21"/>
          <w:szCs w:val="21"/>
          <w:u w:val="single"/>
        </w:rPr>
        <w:t>企业</w:t>
      </w:r>
      <w:r>
        <w:rPr>
          <w:rFonts w:ascii="宋体" w:hAnsi="宋体"/>
          <w:b/>
          <w:bCs/>
          <w:i/>
          <w:iCs/>
          <w:sz w:val="21"/>
          <w:szCs w:val="21"/>
          <w:u w:val="single"/>
        </w:rPr>
        <w:t>名称）</w:t>
      </w:r>
      <w:r>
        <w:rPr>
          <w:rFonts w:hint="eastAsia" w:ascii="宋体" w:hAnsi="宋体"/>
          <w:b/>
          <w:bCs/>
          <w:i/>
          <w:iCs/>
          <w:sz w:val="21"/>
          <w:szCs w:val="21"/>
          <w:u w:val="single"/>
          <w:lang w:val="en-US" w:eastAsia="zh-CN"/>
        </w:rPr>
        <w:t xml:space="preserve">    </w:t>
      </w:r>
      <w:r>
        <w:rPr>
          <w:rFonts w:ascii="宋体" w:hAnsi="宋体"/>
          <w:sz w:val="21"/>
          <w:szCs w:val="21"/>
        </w:rPr>
        <w:t>，属于</w:t>
      </w:r>
      <w:r>
        <w:rPr>
          <w:rFonts w:hint="eastAsia" w:ascii="宋体" w:hAnsi="宋体"/>
          <w:sz w:val="21"/>
          <w:szCs w:val="21"/>
          <w:u w:val="single"/>
          <w:lang w:val="en-US" w:eastAsia="zh-CN"/>
        </w:rPr>
        <w:t xml:space="preserve">  </w:t>
      </w:r>
      <w:r>
        <w:rPr>
          <w:rFonts w:hint="eastAsia" w:ascii="宋体" w:hAnsi="宋体"/>
          <w:b/>
          <w:bCs/>
          <w:sz w:val="21"/>
          <w:szCs w:val="21"/>
          <w:u w:val="single"/>
        </w:rPr>
        <w:t>监狱企业</w:t>
      </w:r>
      <w:r>
        <w:rPr>
          <w:rFonts w:hint="eastAsia" w:ascii="宋体" w:hAnsi="宋体"/>
          <w:b/>
          <w:bCs/>
          <w:sz w:val="21"/>
          <w:szCs w:val="21"/>
          <w:u w:val="single"/>
          <w:lang w:val="en-US" w:eastAsia="zh-CN"/>
        </w:rPr>
        <w:t xml:space="preserve">  </w:t>
      </w:r>
      <w:r>
        <w:rPr>
          <w:rFonts w:ascii="宋体" w:hAnsi="宋体"/>
          <w:sz w:val="21"/>
          <w:szCs w:val="21"/>
        </w:rPr>
        <w:t>；</w:t>
      </w:r>
    </w:p>
    <w:p w14:paraId="1A9E469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z w:val="21"/>
          <w:szCs w:val="21"/>
        </w:rPr>
      </w:pPr>
      <w:r>
        <w:rPr>
          <w:rFonts w:ascii="宋体" w:hAnsi="宋体"/>
          <w:sz w:val="21"/>
          <w:szCs w:val="21"/>
        </w:rPr>
        <w:t>2.</w:t>
      </w:r>
      <w:r>
        <w:rPr>
          <w:rFonts w:ascii="宋体" w:hAnsi="宋体"/>
          <w:b/>
          <w:bCs/>
          <w:i/>
          <w:iCs/>
          <w:sz w:val="21"/>
          <w:szCs w:val="21"/>
          <w:u w:val="single"/>
        </w:rPr>
        <w:t xml:space="preserve"> </w:t>
      </w:r>
      <w:r>
        <w:rPr>
          <w:rFonts w:hint="eastAsia" w:ascii="宋体" w:hAnsi="宋体"/>
          <w:b/>
          <w:bCs/>
          <w:i/>
          <w:iCs/>
          <w:sz w:val="21"/>
          <w:szCs w:val="21"/>
          <w:u w:val="single"/>
          <w:lang w:val="en-US" w:eastAsia="zh-CN"/>
        </w:rPr>
        <w:t xml:space="preserve">   </w:t>
      </w:r>
      <w:r>
        <w:rPr>
          <w:rFonts w:ascii="宋体" w:hAnsi="宋体"/>
          <w:b/>
          <w:bCs/>
          <w:i/>
          <w:iCs/>
          <w:sz w:val="21"/>
          <w:szCs w:val="21"/>
          <w:u w:val="single"/>
        </w:rPr>
        <w:t>（标的名称）</w:t>
      </w:r>
      <w:r>
        <w:rPr>
          <w:rFonts w:hint="eastAsia" w:ascii="宋体" w:hAnsi="宋体"/>
          <w:b/>
          <w:bCs/>
          <w:i/>
          <w:iCs/>
          <w:sz w:val="21"/>
          <w:szCs w:val="21"/>
          <w:u w:val="single"/>
          <w:lang w:val="en-US" w:eastAsia="zh-CN"/>
        </w:rPr>
        <w:t xml:space="preserve">    </w:t>
      </w:r>
      <w:r>
        <w:rPr>
          <w:rFonts w:hint="eastAsia" w:ascii="宋体" w:hAnsi="宋体"/>
          <w:sz w:val="21"/>
          <w:szCs w:val="21"/>
        </w:rPr>
        <w:t>，</w:t>
      </w:r>
      <w:r>
        <w:rPr>
          <w:rFonts w:ascii="宋体" w:hAnsi="宋体"/>
          <w:sz w:val="21"/>
          <w:szCs w:val="21"/>
        </w:rPr>
        <w:t>制造商为</w:t>
      </w:r>
      <w:r>
        <w:rPr>
          <w:rFonts w:hint="eastAsia" w:ascii="宋体" w:hAnsi="宋体"/>
          <w:sz w:val="21"/>
          <w:szCs w:val="21"/>
          <w:u w:val="single"/>
          <w:lang w:val="en-US" w:eastAsia="zh-CN"/>
        </w:rPr>
        <w:t xml:space="preserve">    </w:t>
      </w:r>
      <w:r>
        <w:rPr>
          <w:rFonts w:ascii="宋体" w:hAnsi="宋体"/>
          <w:b/>
          <w:bCs/>
          <w:i/>
          <w:iCs/>
          <w:sz w:val="21"/>
          <w:szCs w:val="21"/>
          <w:u w:val="single"/>
        </w:rPr>
        <w:t>（</w:t>
      </w:r>
      <w:r>
        <w:rPr>
          <w:rFonts w:hint="eastAsia" w:ascii="宋体" w:hAnsi="宋体"/>
          <w:b/>
          <w:bCs/>
          <w:i/>
          <w:iCs/>
          <w:sz w:val="21"/>
          <w:szCs w:val="21"/>
          <w:u w:val="single"/>
        </w:rPr>
        <w:t>企业</w:t>
      </w:r>
      <w:r>
        <w:rPr>
          <w:rFonts w:ascii="宋体" w:hAnsi="宋体"/>
          <w:b/>
          <w:bCs/>
          <w:i/>
          <w:iCs/>
          <w:sz w:val="21"/>
          <w:szCs w:val="21"/>
          <w:u w:val="single"/>
        </w:rPr>
        <w:t>名称）</w:t>
      </w:r>
      <w:r>
        <w:rPr>
          <w:rFonts w:hint="eastAsia" w:ascii="宋体" w:hAnsi="宋体"/>
          <w:b/>
          <w:bCs/>
          <w:i/>
          <w:iCs/>
          <w:sz w:val="21"/>
          <w:szCs w:val="21"/>
          <w:u w:val="single"/>
          <w:lang w:val="en-US" w:eastAsia="zh-CN"/>
        </w:rPr>
        <w:t xml:space="preserve">    </w:t>
      </w:r>
      <w:r>
        <w:rPr>
          <w:rFonts w:ascii="宋体" w:hAnsi="宋体"/>
          <w:sz w:val="21"/>
          <w:szCs w:val="21"/>
        </w:rPr>
        <w:t>，属于</w:t>
      </w:r>
      <w:r>
        <w:rPr>
          <w:rFonts w:hint="eastAsia" w:ascii="宋体" w:hAnsi="宋体"/>
          <w:sz w:val="21"/>
          <w:szCs w:val="21"/>
          <w:u w:val="single"/>
          <w:lang w:val="en-US" w:eastAsia="zh-CN"/>
        </w:rPr>
        <w:t xml:space="preserve">  </w:t>
      </w:r>
      <w:r>
        <w:rPr>
          <w:rFonts w:hint="eastAsia" w:ascii="宋体" w:hAnsi="宋体"/>
          <w:b/>
          <w:bCs/>
          <w:sz w:val="21"/>
          <w:szCs w:val="21"/>
          <w:u w:val="single"/>
        </w:rPr>
        <w:t>监狱企业</w:t>
      </w:r>
      <w:r>
        <w:rPr>
          <w:rFonts w:hint="eastAsia" w:ascii="宋体" w:hAnsi="宋体"/>
          <w:b/>
          <w:bCs/>
          <w:sz w:val="21"/>
          <w:szCs w:val="21"/>
          <w:u w:val="single"/>
          <w:lang w:val="en-US" w:eastAsia="zh-CN"/>
        </w:rPr>
        <w:t xml:space="preserve">  </w:t>
      </w:r>
      <w:r>
        <w:rPr>
          <w:rFonts w:hint="eastAsia" w:ascii="宋体" w:hAnsi="宋体"/>
          <w:sz w:val="21"/>
          <w:szCs w:val="21"/>
        </w:rPr>
        <w:t>。</w:t>
      </w:r>
    </w:p>
    <w:p w14:paraId="7A0F5D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ascii="宋体" w:hAnsi="宋体"/>
          <w:sz w:val="21"/>
          <w:szCs w:val="21"/>
        </w:rPr>
      </w:pPr>
      <w:r>
        <w:rPr>
          <w:rFonts w:ascii="宋体" w:hAnsi="宋体"/>
          <w:sz w:val="21"/>
          <w:szCs w:val="21"/>
        </w:rPr>
        <w:t xml:space="preserve">…… </w:t>
      </w:r>
    </w:p>
    <w:p w14:paraId="56C4ED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z w:val="21"/>
          <w:szCs w:val="21"/>
        </w:rPr>
      </w:pPr>
      <w:r>
        <w:rPr>
          <w:rFonts w:ascii="宋体" w:hAnsi="宋体" w:cstheme="minorBidi"/>
          <w:sz w:val="21"/>
          <w:szCs w:val="21"/>
        </w:rPr>
        <w:t>本</w:t>
      </w:r>
      <w:r>
        <w:rPr>
          <w:rFonts w:hint="eastAsia" w:ascii="宋体" w:hAnsi="宋体" w:cstheme="minorBidi"/>
          <w:sz w:val="21"/>
          <w:szCs w:val="21"/>
        </w:rPr>
        <w:t>投标人</w:t>
      </w:r>
      <w:r>
        <w:rPr>
          <w:rFonts w:ascii="宋体" w:hAnsi="宋体"/>
          <w:sz w:val="21"/>
          <w:szCs w:val="21"/>
        </w:rPr>
        <w:t>对上述声明内容的真实性负责。如有虚假，将依法承担相应责任。</w:t>
      </w:r>
    </w:p>
    <w:p w14:paraId="4585F3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b/>
          <w:bCs/>
          <w:color w:val="FF0000"/>
          <w:sz w:val="21"/>
          <w:szCs w:val="21"/>
        </w:rPr>
      </w:pPr>
      <w:r>
        <w:rPr>
          <w:rFonts w:hint="eastAsia" w:ascii="宋体" w:hAnsi="宋体"/>
          <w:sz w:val="21"/>
          <w:szCs w:val="21"/>
        </w:rPr>
        <w:t>附：省级以上监狱管理局、戒毒管理局（含新疆生产建设兵团）出具的监狱企业证明文件。</w:t>
      </w:r>
    </w:p>
    <w:p w14:paraId="121049CC">
      <w:pPr>
        <w:pStyle w:val="5"/>
        <w:jc w:val="center"/>
        <w:rPr>
          <w:rFonts w:ascii="黑体" w:eastAsia="黑体"/>
          <w:b w:val="0"/>
          <w:sz w:val="24"/>
          <w:szCs w:val="24"/>
        </w:rPr>
      </w:pPr>
      <w:r>
        <w:rPr>
          <w:rFonts w:hint="eastAsia" w:ascii="黑体" w:eastAsia="黑体"/>
          <w:b w:val="0"/>
          <w:sz w:val="24"/>
          <w:szCs w:val="24"/>
        </w:rPr>
        <w:t>四、项目详细报价</w:t>
      </w:r>
    </w:p>
    <w:p w14:paraId="497F0A0B">
      <w:pPr>
        <w:tabs>
          <w:tab w:val="left" w:pos="720"/>
        </w:tabs>
        <w:ind w:firstLine="3132" w:firstLineChars="1300"/>
        <w:rPr>
          <w:b/>
          <w:sz w:val="24"/>
        </w:rPr>
      </w:pPr>
      <w:r>
        <w:rPr>
          <w:rFonts w:hint="eastAsia"/>
          <w:b/>
          <w:sz w:val="24"/>
        </w:rPr>
        <w:t>（一）分项报价表</w:t>
      </w:r>
    </w:p>
    <w:tbl>
      <w:tblPr>
        <w:tblStyle w:val="43"/>
        <w:tblW w:w="8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1501"/>
        <w:gridCol w:w="703"/>
        <w:gridCol w:w="703"/>
        <w:gridCol w:w="612"/>
        <w:gridCol w:w="726"/>
        <w:gridCol w:w="462"/>
        <w:gridCol w:w="427"/>
        <w:gridCol w:w="571"/>
        <w:gridCol w:w="563"/>
        <w:gridCol w:w="1666"/>
      </w:tblGrid>
      <w:tr w14:paraId="5AADD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4" w:type="dxa"/>
            <w:vAlign w:val="center"/>
          </w:tcPr>
          <w:p w14:paraId="0A855E54">
            <w:pPr>
              <w:keepNext w:val="0"/>
              <w:keepLines w:val="0"/>
              <w:suppressLineNumbers w:val="0"/>
              <w:spacing w:before="0" w:beforeAutospacing="0" w:after="0" w:afterAutospacing="0"/>
              <w:ind w:left="0" w:right="0"/>
              <w:jc w:val="center"/>
              <w:rPr>
                <w:rFonts w:hint="default" w:ascii="Times New Roman" w:hAnsi="Times New Roman" w:eastAsia="宋体" w:cs="Times New Roman"/>
                <w:bCs/>
                <w:szCs w:val="21"/>
              </w:rPr>
            </w:pPr>
            <w:r>
              <w:rPr>
                <w:rFonts w:hint="eastAsia" w:ascii="Times New Roman" w:hAnsi="Times New Roman" w:eastAsia="宋体" w:cs="Times New Roman"/>
                <w:bCs/>
                <w:szCs w:val="21"/>
              </w:rPr>
              <w:t>序号</w:t>
            </w:r>
          </w:p>
        </w:tc>
        <w:tc>
          <w:tcPr>
            <w:tcW w:w="1501" w:type="dxa"/>
            <w:vAlign w:val="center"/>
          </w:tcPr>
          <w:p w14:paraId="34BBF99B">
            <w:pPr>
              <w:keepNext w:val="0"/>
              <w:keepLines w:val="0"/>
              <w:suppressLineNumbers w:val="0"/>
              <w:spacing w:before="0" w:beforeAutospacing="0" w:after="0" w:afterAutospacing="0"/>
              <w:ind w:left="0" w:right="0"/>
              <w:jc w:val="center"/>
              <w:rPr>
                <w:rFonts w:hint="default" w:ascii="Times New Roman" w:hAnsi="Times New Roman" w:eastAsia="宋体" w:cs="Times New Roman"/>
                <w:bCs/>
                <w:szCs w:val="21"/>
              </w:rPr>
            </w:pPr>
            <w:r>
              <w:rPr>
                <w:rFonts w:hint="eastAsia" w:ascii="Times New Roman" w:hAnsi="Times New Roman" w:eastAsia="宋体" w:cs="Times New Roman"/>
                <w:bCs/>
                <w:szCs w:val="21"/>
              </w:rPr>
              <w:t>货物名称</w:t>
            </w:r>
          </w:p>
        </w:tc>
        <w:tc>
          <w:tcPr>
            <w:tcW w:w="703" w:type="dxa"/>
            <w:vAlign w:val="center"/>
          </w:tcPr>
          <w:p w14:paraId="609708B2">
            <w:pPr>
              <w:keepNext w:val="0"/>
              <w:keepLines w:val="0"/>
              <w:suppressLineNumbers w:val="0"/>
              <w:spacing w:before="0" w:beforeAutospacing="0" w:after="0" w:afterAutospacing="0"/>
              <w:ind w:left="0" w:right="0"/>
              <w:jc w:val="center"/>
              <w:rPr>
                <w:rFonts w:hint="eastAsia" w:ascii="Times New Roman" w:hAnsi="Times New Roman" w:eastAsia="宋体" w:cs="Times New Roman"/>
                <w:bCs/>
                <w:szCs w:val="21"/>
              </w:rPr>
            </w:pPr>
            <w:r>
              <w:rPr>
                <w:rFonts w:hint="eastAsia" w:ascii="Times New Roman" w:hAnsi="Times New Roman" w:eastAsia="宋体" w:cs="Times New Roman"/>
                <w:szCs w:val="21"/>
              </w:rPr>
              <w:t>品牌</w:t>
            </w:r>
          </w:p>
        </w:tc>
        <w:tc>
          <w:tcPr>
            <w:tcW w:w="703" w:type="dxa"/>
            <w:vAlign w:val="center"/>
          </w:tcPr>
          <w:p w14:paraId="7A418E7F">
            <w:pPr>
              <w:keepNext w:val="0"/>
              <w:keepLines w:val="0"/>
              <w:suppressLineNumbers w:val="0"/>
              <w:spacing w:before="0" w:beforeAutospacing="0" w:after="0" w:afterAutospacing="0"/>
              <w:ind w:left="0" w:right="0"/>
              <w:jc w:val="center"/>
              <w:rPr>
                <w:rFonts w:hint="default" w:ascii="Times New Roman" w:hAnsi="Times New Roman" w:eastAsia="宋体" w:cs="Times New Roman"/>
                <w:bCs/>
                <w:szCs w:val="21"/>
              </w:rPr>
            </w:pPr>
            <w:r>
              <w:rPr>
                <w:rFonts w:hint="eastAsia" w:ascii="Times New Roman" w:hAnsi="Times New Roman" w:eastAsia="宋体" w:cs="Times New Roman"/>
                <w:szCs w:val="21"/>
              </w:rPr>
              <w:t>规格/型号</w:t>
            </w:r>
          </w:p>
        </w:tc>
        <w:tc>
          <w:tcPr>
            <w:tcW w:w="612" w:type="dxa"/>
            <w:vAlign w:val="center"/>
          </w:tcPr>
          <w:p w14:paraId="0E2E6249">
            <w:pPr>
              <w:keepNext w:val="0"/>
              <w:keepLines w:val="0"/>
              <w:suppressLineNumbers w:val="0"/>
              <w:spacing w:before="0" w:beforeAutospacing="0" w:after="0" w:afterAutospacing="0"/>
              <w:ind w:left="0" w:right="0"/>
              <w:jc w:val="center"/>
              <w:rPr>
                <w:rFonts w:hint="default" w:ascii="Times New Roman" w:hAnsi="Times New Roman" w:eastAsia="宋体" w:cs="Times New Roman"/>
                <w:bCs/>
                <w:szCs w:val="21"/>
              </w:rPr>
            </w:pPr>
            <w:r>
              <w:rPr>
                <w:rFonts w:hint="eastAsia" w:ascii="Times New Roman" w:hAnsi="Times New Roman" w:eastAsia="宋体" w:cs="Times New Roman"/>
                <w:b/>
                <w:color w:val="FF0000"/>
                <w:szCs w:val="21"/>
              </w:rPr>
              <w:t>原产地</w:t>
            </w:r>
          </w:p>
        </w:tc>
        <w:tc>
          <w:tcPr>
            <w:tcW w:w="726" w:type="dxa"/>
            <w:vAlign w:val="center"/>
          </w:tcPr>
          <w:p w14:paraId="042D7EE3">
            <w:pPr>
              <w:keepNext w:val="0"/>
              <w:keepLines w:val="0"/>
              <w:suppressLineNumbers w:val="0"/>
              <w:spacing w:before="0" w:beforeAutospacing="0" w:after="0" w:afterAutospacing="0"/>
              <w:ind w:left="0" w:right="0"/>
              <w:jc w:val="center"/>
              <w:rPr>
                <w:rFonts w:hint="default" w:ascii="Times New Roman" w:hAnsi="Times New Roman" w:eastAsia="宋体" w:cs="Times New Roman"/>
                <w:bCs/>
                <w:szCs w:val="21"/>
              </w:rPr>
            </w:pPr>
            <w:r>
              <w:rPr>
                <w:rFonts w:hint="eastAsia" w:ascii="Times New Roman" w:hAnsi="Times New Roman" w:eastAsia="宋体" w:cs="Times New Roman"/>
                <w:szCs w:val="21"/>
              </w:rPr>
              <w:t>制造商名称</w:t>
            </w:r>
          </w:p>
        </w:tc>
        <w:tc>
          <w:tcPr>
            <w:tcW w:w="462" w:type="dxa"/>
            <w:vAlign w:val="center"/>
          </w:tcPr>
          <w:p w14:paraId="7F501D32">
            <w:pPr>
              <w:keepNext w:val="0"/>
              <w:keepLines w:val="0"/>
              <w:suppressLineNumbers w:val="0"/>
              <w:spacing w:before="0" w:beforeAutospacing="0" w:after="0" w:afterAutospacing="0"/>
              <w:ind w:left="0" w:right="0"/>
              <w:jc w:val="center"/>
              <w:rPr>
                <w:rFonts w:hint="default" w:ascii="Times New Roman" w:hAnsi="Times New Roman" w:eastAsia="宋体" w:cs="Times New Roman"/>
                <w:bCs/>
                <w:szCs w:val="21"/>
              </w:rPr>
            </w:pPr>
            <w:r>
              <w:rPr>
                <w:rFonts w:hint="eastAsia" w:ascii="Times New Roman" w:hAnsi="Times New Roman" w:eastAsia="宋体" w:cs="Times New Roman"/>
                <w:bCs/>
                <w:szCs w:val="21"/>
              </w:rPr>
              <w:t>数量</w:t>
            </w:r>
          </w:p>
        </w:tc>
        <w:tc>
          <w:tcPr>
            <w:tcW w:w="427" w:type="dxa"/>
            <w:vAlign w:val="center"/>
          </w:tcPr>
          <w:p w14:paraId="23E5DAE1">
            <w:pPr>
              <w:keepNext w:val="0"/>
              <w:keepLines w:val="0"/>
              <w:suppressLineNumbers w:val="0"/>
              <w:spacing w:before="0" w:beforeAutospacing="0" w:after="0" w:afterAutospacing="0"/>
              <w:ind w:left="0" w:right="0"/>
              <w:jc w:val="center"/>
              <w:rPr>
                <w:rFonts w:hint="default" w:ascii="Times New Roman" w:hAnsi="Times New Roman" w:eastAsia="宋体" w:cs="Times New Roman"/>
                <w:bCs/>
                <w:szCs w:val="21"/>
              </w:rPr>
            </w:pPr>
            <w:r>
              <w:rPr>
                <w:rFonts w:hint="eastAsia" w:ascii="Times New Roman" w:hAnsi="Times New Roman" w:eastAsia="宋体" w:cs="Times New Roman"/>
                <w:bCs/>
                <w:szCs w:val="21"/>
              </w:rPr>
              <w:t>单位</w:t>
            </w:r>
          </w:p>
        </w:tc>
        <w:tc>
          <w:tcPr>
            <w:tcW w:w="571" w:type="dxa"/>
            <w:vAlign w:val="center"/>
          </w:tcPr>
          <w:p w14:paraId="4636ABE8">
            <w:pPr>
              <w:keepNext w:val="0"/>
              <w:keepLines w:val="0"/>
              <w:suppressLineNumbers w:val="0"/>
              <w:spacing w:before="0" w:beforeAutospacing="0" w:after="0" w:afterAutospacing="0"/>
              <w:ind w:left="0" w:right="0"/>
              <w:jc w:val="center"/>
              <w:rPr>
                <w:rFonts w:hint="default" w:ascii="Times New Roman" w:hAnsi="Times New Roman" w:eastAsia="宋体" w:cs="Times New Roman"/>
                <w:bCs/>
                <w:szCs w:val="21"/>
              </w:rPr>
            </w:pPr>
            <w:r>
              <w:rPr>
                <w:rFonts w:hint="eastAsia" w:ascii="Times New Roman" w:hAnsi="Times New Roman" w:eastAsia="宋体" w:cs="Times New Roman"/>
                <w:szCs w:val="21"/>
              </w:rPr>
              <w:t>单价(元)</w:t>
            </w:r>
          </w:p>
        </w:tc>
        <w:tc>
          <w:tcPr>
            <w:tcW w:w="563" w:type="dxa"/>
            <w:vAlign w:val="center"/>
          </w:tcPr>
          <w:p w14:paraId="58A64F8D">
            <w:pPr>
              <w:keepNext w:val="0"/>
              <w:keepLines w:val="0"/>
              <w:suppressLineNumbers w:val="0"/>
              <w:spacing w:before="0" w:beforeAutospacing="0" w:after="0" w:afterAutospacing="0"/>
              <w:ind w:left="0" w:right="0"/>
              <w:jc w:val="center"/>
              <w:rPr>
                <w:rFonts w:hint="default" w:ascii="Times New Roman" w:hAnsi="Times New Roman" w:eastAsia="宋体" w:cs="Times New Roman"/>
                <w:bCs/>
                <w:szCs w:val="21"/>
              </w:rPr>
            </w:pPr>
            <w:r>
              <w:rPr>
                <w:rFonts w:hint="eastAsia" w:ascii="Times New Roman" w:hAnsi="Times New Roman" w:eastAsia="宋体" w:cs="Times New Roman"/>
                <w:szCs w:val="21"/>
              </w:rPr>
              <w:t>合价(元)</w:t>
            </w:r>
          </w:p>
        </w:tc>
        <w:tc>
          <w:tcPr>
            <w:tcW w:w="1666" w:type="dxa"/>
            <w:vAlign w:val="center"/>
          </w:tcPr>
          <w:p w14:paraId="63B17DC1">
            <w:pPr>
              <w:keepNext w:val="0"/>
              <w:keepLines w:val="0"/>
              <w:suppressLineNumbers w:val="0"/>
              <w:spacing w:before="0" w:beforeAutospacing="0" w:after="0" w:afterAutospacing="0"/>
              <w:ind w:left="0" w:right="0"/>
              <w:jc w:val="center"/>
              <w:rPr>
                <w:rFonts w:hint="default" w:ascii="Times New Roman" w:hAnsi="Times New Roman" w:eastAsia="宋体" w:cs="Times New Roman"/>
                <w:szCs w:val="21"/>
              </w:rPr>
            </w:pPr>
            <w:r>
              <w:rPr>
                <w:rFonts w:hint="eastAsia" w:cs="Times New Roman"/>
                <w:szCs w:val="21"/>
                <w:lang w:val="en-US" w:eastAsia="zh-CN"/>
              </w:rPr>
              <w:t>最高限价</w:t>
            </w:r>
            <w:r>
              <w:rPr>
                <w:rFonts w:hint="eastAsia" w:ascii="Times New Roman" w:hAnsi="Times New Roman" w:eastAsia="宋体" w:cs="Times New Roman"/>
                <w:szCs w:val="21"/>
              </w:rPr>
              <w:t>（元）</w:t>
            </w:r>
          </w:p>
        </w:tc>
      </w:tr>
      <w:tr w14:paraId="500E0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4" w:type="dxa"/>
            <w:vAlign w:val="center"/>
          </w:tcPr>
          <w:p w14:paraId="48EE4130">
            <w:pPr>
              <w:keepNext w:val="0"/>
              <w:keepLines w:val="0"/>
              <w:suppressLineNumbers w:val="0"/>
              <w:spacing w:before="0" w:beforeAutospacing="0" w:after="0" w:afterAutospacing="0"/>
              <w:ind w:left="0" w:right="0"/>
              <w:jc w:val="center"/>
              <w:rPr>
                <w:rFonts w:hint="default" w:ascii="Times New Roman" w:hAnsi="Times New Roman" w:eastAsia="宋体" w:cs="Times New Roman"/>
                <w:bCs/>
                <w:szCs w:val="21"/>
              </w:rPr>
            </w:pPr>
            <w:r>
              <w:rPr>
                <w:rFonts w:hint="eastAsia" w:ascii="Times New Roman" w:hAnsi="Times New Roman" w:eastAsia="宋体" w:cs="Times New Roman"/>
                <w:bCs/>
                <w:szCs w:val="21"/>
              </w:rPr>
              <w:t>1</w:t>
            </w:r>
          </w:p>
        </w:tc>
        <w:tc>
          <w:tcPr>
            <w:tcW w:w="1501" w:type="dxa"/>
            <w:vAlign w:val="center"/>
          </w:tcPr>
          <w:p w14:paraId="07A65FA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Cs/>
                <w:szCs w:val="21"/>
              </w:rPr>
            </w:pPr>
            <w:r>
              <w:rPr>
                <w:rFonts w:hint="eastAsia" w:ascii="Times New Roman" w:hAnsi="Times New Roman" w:eastAsia="宋体" w:cs="Times New Roman"/>
                <w:bCs/>
                <w:szCs w:val="21"/>
              </w:rPr>
              <w:t>生物安全柜（A2单人）</w:t>
            </w:r>
          </w:p>
        </w:tc>
        <w:tc>
          <w:tcPr>
            <w:tcW w:w="703" w:type="dxa"/>
            <w:vAlign w:val="center"/>
          </w:tcPr>
          <w:p w14:paraId="38CAC5A0">
            <w:pPr>
              <w:keepNext w:val="0"/>
              <w:keepLines w:val="0"/>
              <w:suppressLineNumbers w:val="0"/>
              <w:spacing w:before="0" w:beforeAutospacing="0" w:after="0" w:afterAutospacing="0"/>
              <w:ind w:left="0" w:right="0"/>
              <w:jc w:val="center"/>
              <w:rPr>
                <w:rFonts w:hint="eastAsia" w:ascii="Times New Roman" w:hAnsi="Times New Roman" w:eastAsia="宋体" w:cs="Times New Roman"/>
                <w:bCs/>
                <w:szCs w:val="21"/>
              </w:rPr>
            </w:pPr>
          </w:p>
        </w:tc>
        <w:tc>
          <w:tcPr>
            <w:tcW w:w="703" w:type="dxa"/>
            <w:vAlign w:val="center"/>
          </w:tcPr>
          <w:p w14:paraId="39FF423F">
            <w:pPr>
              <w:keepNext w:val="0"/>
              <w:keepLines w:val="0"/>
              <w:suppressLineNumbers w:val="0"/>
              <w:spacing w:before="0" w:beforeAutospacing="0" w:after="0" w:afterAutospacing="0"/>
              <w:ind w:left="0" w:right="0"/>
              <w:jc w:val="center"/>
              <w:rPr>
                <w:rFonts w:hint="default" w:ascii="Times New Roman" w:hAnsi="Times New Roman" w:eastAsia="宋体" w:cs="Times New Roman"/>
                <w:bCs/>
                <w:szCs w:val="21"/>
              </w:rPr>
            </w:pPr>
          </w:p>
        </w:tc>
        <w:tc>
          <w:tcPr>
            <w:tcW w:w="612" w:type="dxa"/>
            <w:vAlign w:val="center"/>
          </w:tcPr>
          <w:p w14:paraId="59092BFF">
            <w:pPr>
              <w:keepNext w:val="0"/>
              <w:keepLines w:val="0"/>
              <w:suppressLineNumbers w:val="0"/>
              <w:spacing w:before="0" w:beforeAutospacing="0" w:after="0" w:afterAutospacing="0"/>
              <w:ind w:left="0" w:right="0"/>
              <w:jc w:val="center"/>
              <w:rPr>
                <w:rFonts w:hint="default" w:ascii="Times New Roman" w:hAnsi="Times New Roman" w:eastAsia="宋体" w:cs="Times New Roman"/>
                <w:bCs/>
                <w:szCs w:val="21"/>
              </w:rPr>
            </w:pPr>
          </w:p>
        </w:tc>
        <w:tc>
          <w:tcPr>
            <w:tcW w:w="726" w:type="dxa"/>
            <w:vAlign w:val="center"/>
          </w:tcPr>
          <w:p w14:paraId="18D8C33D">
            <w:pPr>
              <w:keepNext w:val="0"/>
              <w:keepLines w:val="0"/>
              <w:suppressLineNumbers w:val="0"/>
              <w:spacing w:before="0" w:beforeAutospacing="0" w:after="0" w:afterAutospacing="0"/>
              <w:ind w:left="0" w:right="0"/>
              <w:jc w:val="center"/>
              <w:rPr>
                <w:rFonts w:hint="default" w:ascii="Times New Roman" w:hAnsi="Times New Roman" w:eastAsia="宋体" w:cs="Times New Roman"/>
                <w:bCs/>
                <w:szCs w:val="21"/>
              </w:rPr>
            </w:pPr>
          </w:p>
        </w:tc>
        <w:tc>
          <w:tcPr>
            <w:tcW w:w="462" w:type="dxa"/>
            <w:vAlign w:val="center"/>
          </w:tcPr>
          <w:p w14:paraId="797B5F5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Cs/>
                <w:szCs w:val="21"/>
              </w:rPr>
            </w:pPr>
            <w:r>
              <w:rPr>
                <w:rFonts w:hint="eastAsia" w:ascii="Times New Roman" w:hAnsi="Times New Roman" w:eastAsia="宋体" w:cs="Times New Roman"/>
                <w:bCs/>
                <w:szCs w:val="21"/>
                <w:lang w:val="en-US" w:eastAsia="zh-CN"/>
              </w:rPr>
              <w:t>6</w:t>
            </w:r>
          </w:p>
        </w:tc>
        <w:tc>
          <w:tcPr>
            <w:tcW w:w="427" w:type="dxa"/>
            <w:vAlign w:val="center"/>
          </w:tcPr>
          <w:p w14:paraId="2998FB8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Cs/>
                <w:szCs w:val="21"/>
              </w:rPr>
            </w:pPr>
            <w:r>
              <w:rPr>
                <w:rFonts w:hint="eastAsia" w:ascii="Times New Roman" w:hAnsi="Times New Roman" w:eastAsia="宋体" w:cs="Times New Roman"/>
                <w:bCs/>
                <w:szCs w:val="21"/>
                <w:lang w:eastAsia="zh-CN"/>
              </w:rPr>
              <w:t>台</w:t>
            </w:r>
          </w:p>
        </w:tc>
        <w:tc>
          <w:tcPr>
            <w:tcW w:w="571" w:type="dxa"/>
            <w:vAlign w:val="center"/>
          </w:tcPr>
          <w:p w14:paraId="41CD934A">
            <w:pPr>
              <w:keepNext w:val="0"/>
              <w:keepLines w:val="0"/>
              <w:suppressLineNumbers w:val="0"/>
              <w:spacing w:before="0" w:beforeAutospacing="0" w:after="0" w:afterAutospacing="0"/>
              <w:ind w:left="0" w:right="0"/>
              <w:jc w:val="center"/>
              <w:rPr>
                <w:rFonts w:hint="default" w:ascii="Times New Roman" w:hAnsi="Times New Roman" w:eastAsia="宋体" w:cs="Times New Roman"/>
                <w:bCs/>
                <w:szCs w:val="21"/>
              </w:rPr>
            </w:pPr>
          </w:p>
        </w:tc>
        <w:tc>
          <w:tcPr>
            <w:tcW w:w="563" w:type="dxa"/>
            <w:vAlign w:val="center"/>
          </w:tcPr>
          <w:p w14:paraId="5B376D3D">
            <w:pPr>
              <w:keepNext w:val="0"/>
              <w:keepLines w:val="0"/>
              <w:suppressLineNumbers w:val="0"/>
              <w:spacing w:before="0" w:beforeAutospacing="0" w:after="0" w:afterAutospacing="0"/>
              <w:ind w:left="0" w:right="0"/>
              <w:jc w:val="center"/>
              <w:rPr>
                <w:rFonts w:hint="default" w:ascii="Times New Roman" w:hAnsi="Times New Roman" w:eastAsia="宋体" w:cs="Times New Roman"/>
                <w:bCs/>
                <w:szCs w:val="21"/>
              </w:rPr>
            </w:pPr>
          </w:p>
        </w:tc>
        <w:tc>
          <w:tcPr>
            <w:tcW w:w="1666" w:type="dxa"/>
            <w:vAlign w:val="center"/>
          </w:tcPr>
          <w:p w14:paraId="4B0392A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szCs w:val="21"/>
              </w:rPr>
            </w:pPr>
            <w:r>
              <w:rPr>
                <w:rFonts w:hint="eastAsia" w:ascii="Times New Roman" w:hAnsi="Times New Roman" w:eastAsia="宋体" w:cs="Times New Roman"/>
                <w:bCs/>
                <w:szCs w:val="21"/>
                <w:lang w:val="en-US" w:eastAsia="zh-CN"/>
              </w:rPr>
              <w:t>240000</w:t>
            </w:r>
          </w:p>
        </w:tc>
      </w:tr>
      <w:tr w14:paraId="52723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4" w:type="dxa"/>
            <w:vAlign w:val="center"/>
          </w:tcPr>
          <w:p w14:paraId="7FE995CB">
            <w:pPr>
              <w:keepNext w:val="0"/>
              <w:keepLines w:val="0"/>
              <w:suppressLineNumbers w:val="0"/>
              <w:spacing w:before="0" w:beforeAutospacing="0" w:after="0" w:afterAutospacing="0"/>
              <w:ind w:left="0" w:right="0"/>
              <w:jc w:val="center"/>
              <w:rPr>
                <w:rFonts w:hint="default" w:ascii="Times New Roman" w:hAnsi="Times New Roman" w:eastAsia="宋体" w:cs="Times New Roman"/>
                <w:bCs/>
                <w:szCs w:val="21"/>
              </w:rPr>
            </w:pPr>
            <w:r>
              <w:rPr>
                <w:rFonts w:hint="eastAsia" w:ascii="Times New Roman" w:hAnsi="Times New Roman" w:eastAsia="宋体" w:cs="Times New Roman"/>
                <w:bCs/>
                <w:szCs w:val="21"/>
              </w:rPr>
              <w:t>2</w:t>
            </w:r>
          </w:p>
        </w:tc>
        <w:tc>
          <w:tcPr>
            <w:tcW w:w="1501" w:type="dxa"/>
            <w:vAlign w:val="center"/>
          </w:tcPr>
          <w:p w14:paraId="72368A4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Cs/>
                <w:szCs w:val="21"/>
              </w:rPr>
            </w:pPr>
            <w:r>
              <w:rPr>
                <w:rFonts w:hint="eastAsia" w:ascii="Times New Roman" w:hAnsi="Times New Roman" w:eastAsia="宋体" w:cs="Times New Roman"/>
                <w:bCs/>
                <w:szCs w:val="21"/>
              </w:rPr>
              <w:t>生物安全柜（A2双人）</w:t>
            </w:r>
          </w:p>
        </w:tc>
        <w:tc>
          <w:tcPr>
            <w:tcW w:w="703" w:type="dxa"/>
            <w:vAlign w:val="center"/>
          </w:tcPr>
          <w:p w14:paraId="523686D8">
            <w:pPr>
              <w:keepNext w:val="0"/>
              <w:keepLines w:val="0"/>
              <w:suppressLineNumbers w:val="0"/>
              <w:spacing w:before="0" w:beforeAutospacing="0" w:after="0" w:afterAutospacing="0"/>
              <w:ind w:left="0" w:right="0"/>
              <w:jc w:val="center"/>
              <w:rPr>
                <w:rFonts w:hint="eastAsia" w:ascii="Times New Roman" w:hAnsi="Times New Roman" w:eastAsia="宋体" w:cs="Times New Roman"/>
                <w:bCs/>
                <w:szCs w:val="21"/>
              </w:rPr>
            </w:pPr>
          </w:p>
        </w:tc>
        <w:tc>
          <w:tcPr>
            <w:tcW w:w="703" w:type="dxa"/>
            <w:vAlign w:val="center"/>
          </w:tcPr>
          <w:p w14:paraId="2A31F568">
            <w:pPr>
              <w:keepNext w:val="0"/>
              <w:keepLines w:val="0"/>
              <w:suppressLineNumbers w:val="0"/>
              <w:spacing w:before="0" w:beforeAutospacing="0" w:after="0" w:afterAutospacing="0"/>
              <w:ind w:left="0" w:right="0"/>
              <w:jc w:val="center"/>
              <w:rPr>
                <w:rFonts w:hint="default" w:ascii="Times New Roman" w:hAnsi="Times New Roman" w:eastAsia="宋体" w:cs="Times New Roman"/>
                <w:bCs/>
                <w:szCs w:val="21"/>
              </w:rPr>
            </w:pPr>
          </w:p>
        </w:tc>
        <w:tc>
          <w:tcPr>
            <w:tcW w:w="612" w:type="dxa"/>
            <w:vAlign w:val="center"/>
          </w:tcPr>
          <w:p w14:paraId="363125F6">
            <w:pPr>
              <w:keepNext w:val="0"/>
              <w:keepLines w:val="0"/>
              <w:suppressLineNumbers w:val="0"/>
              <w:spacing w:before="0" w:beforeAutospacing="0" w:after="0" w:afterAutospacing="0"/>
              <w:ind w:left="0" w:right="0"/>
              <w:jc w:val="center"/>
              <w:rPr>
                <w:rFonts w:hint="default" w:ascii="Times New Roman" w:hAnsi="Times New Roman" w:eastAsia="宋体" w:cs="Times New Roman"/>
                <w:bCs/>
                <w:szCs w:val="21"/>
              </w:rPr>
            </w:pPr>
          </w:p>
        </w:tc>
        <w:tc>
          <w:tcPr>
            <w:tcW w:w="726" w:type="dxa"/>
            <w:vAlign w:val="center"/>
          </w:tcPr>
          <w:p w14:paraId="739A3075">
            <w:pPr>
              <w:keepNext w:val="0"/>
              <w:keepLines w:val="0"/>
              <w:suppressLineNumbers w:val="0"/>
              <w:spacing w:before="0" w:beforeAutospacing="0" w:after="0" w:afterAutospacing="0"/>
              <w:ind w:left="0" w:right="0"/>
              <w:jc w:val="center"/>
              <w:rPr>
                <w:rFonts w:hint="default" w:ascii="Times New Roman" w:hAnsi="Times New Roman" w:eastAsia="宋体" w:cs="Times New Roman"/>
                <w:bCs/>
                <w:szCs w:val="21"/>
              </w:rPr>
            </w:pPr>
          </w:p>
        </w:tc>
        <w:tc>
          <w:tcPr>
            <w:tcW w:w="462" w:type="dxa"/>
            <w:vAlign w:val="center"/>
          </w:tcPr>
          <w:p w14:paraId="33988A4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Cs/>
                <w:szCs w:val="21"/>
              </w:rPr>
            </w:pPr>
            <w:r>
              <w:rPr>
                <w:rFonts w:hint="eastAsia" w:ascii="Times New Roman" w:hAnsi="Times New Roman" w:eastAsia="宋体" w:cs="Times New Roman"/>
                <w:bCs/>
                <w:szCs w:val="21"/>
                <w:lang w:val="en-US" w:eastAsia="zh-CN"/>
              </w:rPr>
              <w:t>6</w:t>
            </w:r>
          </w:p>
        </w:tc>
        <w:tc>
          <w:tcPr>
            <w:tcW w:w="427" w:type="dxa"/>
            <w:vAlign w:val="center"/>
          </w:tcPr>
          <w:p w14:paraId="4994E9C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Cs/>
                <w:szCs w:val="21"/>
              </w:rPr>
            </w:pPr>
            <w:r>
              <w:rPr>
                <w:rFonts w:hint="eastAsia" w:ascii="Times New Roman" w:hAnsi="Times New Roman" w:eastAsia="宋体" w:cs="Times New Roman"/>
                <w:bCs/>
                <w:szCs w:val="21"/>
                <w:lang w:eastAsia="zh-CN"/>
              </w:rPr>
              <w:t>台</w:t>
            </w:r>
          </w:p>
        </w:tc>
        <w:tc>
          <w:tcPr>
            <w:tcW w:w="571" w:type="dxa"/>
            <w:vAlign w:val="center"/>
          </w:tcPr>
          <w:p w14:paraId="6B1928B4">
            <w:pPr>
              <w:keepNext w:val="0"/>
              <w:keepLines w:val="0"/>
              <w:suppressLineNumbers w:val="0"/>
              <w:spacing w:before="0" w:beforeAutospacing="0" w:after="0" w:afterAutospacing="0"/>
              <w:ind w:left="0" w:right="0"/>
              <w:jc w:val="center"/>
              <w:rPr>
                <w:rFonts w:hint="default" w:ascii="Times New Roman" w:hAnsi="Times New Roman" w:eastAsia="宋体" w:cs="Times New Roman"/>
                <w:bCs/>
                <w:szCs w:val="21"/>
              </w:rPr>
            </w:pPr>
          </w:p>
        </w:tc>
        <w:tc>
          <w:tcPr>
            <w:tcW w:w="563" w:type="dxa"/>
            <w:vAlign w:val="center"/>
          </w:tcPr>
          <w:p w14:paraId="4E39253A">
            <w:pPr>
              <w:keepNext w:val="0"/>
              <w:keepLines w:val="0"/>
              <w:suppressLineNumbers w:val="0"/>
              <w:spacing w:before="0" w:beforeAutospacing="0" w:after="0" w:afterAutospacing="0"/>
              <w:ind w:left="0" w:right="0"/>
              <w:jc w:val="center"/>
              <w:rPr>
                <w:rFonts w:hint="default" w:ascii="Times New Roman" w:hAnsi="Times New Roman" w:eastAsia="宋体" w:cs="Times New Roman"/>
                <w:bCs/>
                <w:szCs w:val="21"/>
              </w:rPr>
            </w:pPr>
          </w:p>
        </w:tc>
        <w:tc>
          <w:tcPr>
            <w:tcW w:w="1666" w:type="dxa"/>
            <w:vAlign w:val="center"/>
          </w:tcPr>
          <w:p w14:paraId="37BC383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color w:val="FF0000"/>
                <w:szCs w:val="21"/>
              </w:rPr>
            </w:pPr>
            <w:r>
              <w:rPr>
                <w:rFonts w:hint="eastAsia" w:ascii="Times New Roman" w:hAnsi="Times New Roman" w:eastAsia="宋体" w:cs="Times New Roman"/>
                <w:bCs/>
                <w:szCs w:val="21"/>
                <w:lang w:val="en-US" w:eastAsia="zh-CN"/>
              </w:rPr>
              <w:t>360000</w:t>
            </w:r>
          </w:p>
        </w:tc>
      </w:tr>
      <w:tr w14:paraId="4A152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18" w:type="dxa"/>
            <w:gridSpan w:val="11"/>
            <w:vAlign w:val="center"/>
          </w:tcPr>
          <w:p w14:paraId="03D1FF05">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FF0000"/>
                <w:szCs w:val="21"/>
              </w:rPr>
            </w:pPr>
            <w:r>
              <w:rPr>
                <w:rFonts w:hint="eastAsia" w:ascii="Times New Roman" w:hAnsi="Times New Roman" w:eastAsia="宋体" w:cs="Times New Roman"/>
                <w:b/>
                <w:bCs/>
                <w:color w:val="FF0000"/>
                <w:szCs w:val="21"/>
              </w:rPr>
              <w:t>合计（即投标总价；币种：人民币；单位：元） 小写：            大写：</w:t>
            </w:r>
          </w:p>
        </w:tc>
      </w:tr>
    </w:tbl>
    <w:p w14:paraId="07F29456">
      <w:pPr>
        <w:rPr>
          <w:rFonts w:ascii="宋体" w:hAnsi="宋体"/>
          <w:b/>
          <w:sz w:val="24"/>
        </w:rPr>
      </w:pPr>
      <w:r>
        <w:rPr>
          <w:rFonts w:hint="eastAsia" w:ascii="宋体" w:hAnsi="宋体"/>
          <w:b/>
          <w:sz w:val="24"/>
        </w:rPr>
        <w:t>注：1.本表可按同样格式扩展。</w:t>
      </w:r>
    </w:p>
    <w:p w14:paraId="4E176051">
      <w:pPr>
        <w:ind w:firstLine="472" w:firstLineChars="196"/>
        <w:rPr>
          <w:rFonts w:hint="default" w:ascii="宋体" w:hAnsi="宋体" w:eastAsia="宋体"/>
          <w:b/>
          <w:sz w:val="24"/>
          <w:lang w:val="en-US" w:eastAsia="zh-CN"/>
        </w:rPr>
      </w:pPr>
      <w:r>
        <w:rPr>
          <w:rFonts w:hint="eastAsia" w:ascii="宋体" w:hAnsi="宋体"/>
          <w:b/>
          <w:sz w:val="24"/>
        </w:rPr>
        <w:t>2</w:t>
      </w:r>
      <w:r>
        <w:rPr>
          <w:rFonts w:ascii="宋体" w:hAnsi="宋体"/>
          <w:b/>
          <w:sz w:val="24"/>
        </w:rPr>
        <w:t>.</w:t>
      </w:r>
      <w:r>
        <w:rPr>
          <w:rFonts w:hint="eastAsia" w:ascii="宋体" w:hAnsi="宋体"/>
          <w:b/>
          <w:sz w:val="24"/>
          <w:lang w:eastAsia="zh-CN"/>
        </w:rPr>
        <w:t>“</w:t>
      </w:r>
      <w:r>
        <w:rPr>
          <w:rFonts w:hint="eastAsia" w:ascii="宋体" w:hAnsi="宋体"/>
          <w:b/>
          <w:sz w:val="24"/>
          <w:lang w:val="en-US" w:eastAsia="zh-CN"/>
        </w:rPr>
        <w:t>品牌</w:t>
      </w:r>
      <w:r>
        <w:rPr>
          <w:rFonts w:hint="eastAsia" w:ascii="宋体" w:hAnsi="宋体"/>
          <w:b/>
          <w:sz w:val="24"/>
          <w:lang w:eastAsia="zh-CN"/>
        </w:rPr>
        <w:t>”</w:t>
      </w:r>
      <w:r>
        <w:rPr>
          <w:rFonts w:hint="eastAsia" w:ascii="宋体" w:hAnsi="宋体"/>
          <w:b/>
          <w:sz w:val="24"/>
          <w:lang w:val="en-US" w:eastAsia="zh-CN"/>
        </w:rPr>
        <w:t>可以与商标一致，也可以填写便于区分其他公司商品的制造商简称或者制造商认可的品牌名称</w:t>
      </w:r>
      <w:r>
        <w:rPr>
          <w:rFonts w:hint="eastAsia" w:ascii="宋体" w:hAnsi="宋体"/>
          <w:b/>
          <w:sz w:val="24"/>
        </w:rPr>
        <w:t>。此类填写错误或缺漏的不利后果由供应商承担。经评审委员会认定，在使用综合评分法的项目中一项此类填写错误或缺漏将按照一项普通招标技术要求（一般参数/普通参数）负偏离扣分处理。</w:t>
      </w:r>
    </w:p>
    <w:p w14:paraId="13AC09C9">
      <w:pPr>
        <w:ind w:firstLine="472" w:firstLineChars="196"/>
        <w:rPr>
          <w:rFonts w:hint="eastAsia"/>
          <w:b/>
          <w:sz w:val="24"/>
        </w:rPr>
      </w:pPr>
      <w:r>
        <w:rPr>
          <w:rFonts w:hint="eastAsia" w:ascii="宋体" w:hAnsi="宋体"/>
          <w:b/>
          <w:sz w:val="24"/>
          <w:lang w:val="en-US" w:eastAsia="zh-CN"/>
        </w:rPr>
        <w:t>3.</w:t>
      </w:r>
      <w:r>
        <w:rPr>
          <w:rFonts w:hint="eastAsia" w:ascii="宋体" w:hAnsi="宋体"/>
          <w:b/>
          <w:sz w:val="24"/>
        </w:rPr>
        <w:t>如所投货物属于定制类的非量产货物或无具体型号的货物，可以在“规格/型号”</w:t>
      </w:r>
      <w:r>
        <w:rPr>
          <w:rFonts w:hint="eastAsia" w:ascii="宋体" w:hAnsi="宋体"/>
          <w:b/>
          <w:sz w:val="24"/>
          <w:lang w:val="en-US" w:eastAsia="zh-CN"/>
        </w:rPr>
        <w:t>栏目</w:t>
      </w:r>
      <w:r>
        <w:rPr>
          <w:rFonts w:hint="eastAsia" w:ascii="宋体" w:hAnsi="宋体"/>
          <w:b/>
          <w:sz w:val="24"/>
        </w:rPr>
        <w:t>仅填写规格信息而不填型号信息（型号信息用“定制”描述即可）；</w:t>
      </w:r>
      <w:bookmarkStart w:id="42" w:name="_Hlk73646428"/>
      <w:r>
        <w:rPr>
          <w:rFonts w:hint="eastAsia" w:ascii="宋体" w:hAnsi="宋体"/>
          <w:b/>
          <w:sz w:val="24"/>
        </w:rPr>
        <w:t>此类填写错误</w:t>
      </w:r>
      <w:r>
        <w:rPr>
          <w:rFonts w:hint="eastAsia" w:ascii="宋体" w:hAnsi="宋体"/>
          <w:b/>
          <w:sz w:val="24"/>
          <w:lang w:val="en-US" w:eastAsia="zh-CN"/>
        </w:rPr>
        <w:t>或缺漏</w:t>
      </w:r>
      <w:r>
        <w:rPr>
          <w:rFonts w:hint="eastAsia" w:ascii="宋体" w:hAnsi="宋体"/>
          <w:b/>
          <w:sz w:val="24"/>
        </w:rPr>
        <w:t>（所投货物为定制类的非量产货物但供应商却错误填报了型号）的不利后果</w:t>
      </w:r>
      <w:r>
        <w:rPr>
          <w:rFonts w:hint="eastAsia"/>
          <w:b/>
          <w:sz w:val="24"/>
        </w:rPr>
        <w:t>由供应商承担</w:t>
      </w:r>
      <w:r>
        <w:rPr>
          <w:rFonts w:hint="eastAsia"/>
          <w:b/>
          <w:sz w:val="24"/>
          <w:lang w:eastAsia="zh-CN"/>
        </w:rPr>
        <w:t>。</w:t>
      </w:r>
      <w:r>
        <w:rPr>
          <w:rFonts w:hint="eastAsia"/>
          <w:b/>
          <w:sz w:val="24"/>
        </w:rPr>
        <w:t>经评审委员会认定，在使用综合评分法的项目中一项此类填写错误</w:t>
      </w:r>
      <w:r>
        <w:rPr>
          <w:rFonts w:hint="eastAsia"/>
          <w:b/>
          <w:sz w:val="24"/>
          <w:lang w:val="en-US" w:eastAsia="zh-CN"/>
        </w:rPr>
        <w:t>或缺漏</w:t>
      </w:r>
      <w:r>
        <w:rPr>
          <w:rFonts w:hint="eastAsia"/>
          <w:b/>
          <w:sz w:val="24"/>
        </w:rPr>
        <w:t>将按照一项</w:t>
      </w:r>
      <w:r>
        <w:rPr>
          <w:rFonts w:hint="eastAsia"/>
          <w:b/>
          <w:sz w:val="24"/>
          <w:lang w:val="en-US" w:eastAsia="zh-CN"/>
        </w:rPr>
        <w:t>普通招标技术要求（一般参数/普通参数）</w:t>
      </w:r>
      <w:r>
        <w:rPr>
          <w:rFonts w:hint="eastAsia"/>
          <w:b/>
          <w:sz w:val="24"/>
        </w:rPr>
        <w:t>负偏离扣分处理。</w:t>
      </w:r>
      <w:bookmarkEnd w:id="42"/>
    </w:p>
    <w:p w14:paraId="6B6B9D83">
      <w:pPr>
        <w:ind w:firstLine="472" w:firstLineChars="196"/>
        <w:rPr>
          <w:rFonts w:ascii="宋体" w:hAnsi="宋体"/>
          <w:b/>
          <w:sz w:val="21"/>
          <w:szCs w:val="21"/>
        </w:rPr>
      </w:pPr>
      <w:r>
        <w:rPr>
          <w:rFonts w:ascii="宋体" w:hAnsi="宋体"/>
          <w:b/>
          <w:sz w:val="24"/>
        </w:rPr>
        <w:t>3</w:t>
      </w:r>
      <w:r>
        <w:rPr>
          <w:rFonts w:hint="eastAsia" w:ascii="宋体" w:hAnsi="宋体"/>
          <w:b/>
          <w:sz w:val="24"/>
        </w:rPr>
        <w:t>.“原产地”是指货物的实际生产加工地，非品牌所在地</w:t>
      </w:r>
    </w:p>
    <w:p w14:paraId="1107D0A7">
      <w:pPr>
        <w:ind w:firstLine="413" w:firstLineChars="196"/>
        <w:rPr>
          <w:rFonts w:ascii="宋体" w:hAnsi="宋体"/>
          <w:b/>
          <w:sz w:val="24"/>
        </w:rPr>
      </w:pPr>
      <w:r>
        <w:rPr>
          <w:rFonts w:ascii="宋体" w:hAnsi="宋体"/>
          <w:b/>
          <w:sz w:val="21"/>
          <w:szCs w:val="21"/>
        </w:rPr>
        <w:t>4</w:t>
      </w:r>
      <w:r>
        <w:rPr>
          <w:rFonts w:hint="eastAsia" w:ascii="宋体" w:hAnsi="宋体"/>
          <w:b/>
          <w:sz w:val="21"/>
          <w:szCs w:val="21"/>
        </w:rPr>
        <w:t>.所投货物均应填写制造商名称</w:t>
      </w:r>
      <w:r>
        <w:rPr>
          <w:rFonts w:hint="eastAsia" w:ascii="宋体" w:hAnsi="宋体"/>
          <w:b/>
          <w:sz w:val="21"/>
          <w:szCs w:val="21"/>
          <w:lang w:eastAsia="zh-CN"/>
        </w:rPr>
        <w:t>，</w:t>
      </w:r>
      <w:r>
        <w:rPr>
          <w:rFonts w:hint="eastAsia" w:ascii="宋体" w:hAnsi="宋体"/>
          <w:b/>
          <w:sz w:val="21"/>
          <w:szCs w:val="21"/>
        </w:rPr>
        <w:t>“制造商”是指产品品牌厂商，产品代工制造</w:t>
      </w:r>
      <w:r>
        <w:rPr>
          <w:rFonts w:hint="eastAsia" w:ascii="宋体" w:hAnsi="宋体"/>
          <w:b/>
          <w:sz w:val="24"/>
        </w:rPr>
        <w:t>的，应填写接受委托生产制造的制造商。</w:t>
      </w:r>
    </w:p>
    <w:p w14:paraId="09542B3C">
      <w:pPr>
        <w:ind w:firstLine="482" w:firstLineChars="200"/>
        <w:rPr>
          <w:rFonts w:ascii="宋体" w:hAnsi="宋体"/>
          <w:b/>
          <w:sz w:val="24"/>
        </w:rPr>
      </w:pPr>
      <w:r>
        <w:rPr>
          <w:rFonts w:ascii="宋体" w:hAnsi="宋体"/>
          <w:b/>
          <w:sz w:val="24"/>
        </w:rPr>
        <w:t>5</w:t>
      </w:r>
      <w:r>
        <w:rPr>
          <w:rFonts w:hint="eastAsia" w:ascii="宋体" w:hAnsi="宋体"/>
          <w:b/>
          <w:sz w:val="24"/>
        </w:rPr>
        <w:t>.以上分项报价表的投标总价应当与开标一览表的投标总价一致。</w:t>
      </w:r>
    </w:p>
    <w:p w14:paraId="29808264">
      <w:pPr>
        <w:ind w:firstLine="482" w:firstLineChars="200"/>
        <w:rPr>
          <w:rFonts w:ascii="宋体" w:hAnsi="宋体"/>
          <w:b/>
          <w:sz w:val="24"/>
        </w:rPr>
      </w:pPr>
      <w:r>
        <w:rPr>
          <w:rFonts w:ascii="宋体" w:hAnsi="宋体"/>
          <w:b/>
          <w:sz w:val="24"/>
        </w:rPr>
        <w:t>6</w:t>
      </w:r>
      <w:r>
        <w:rPr>
          <w:rFonts w:hint="eastAsia" w:ascii="宋体" w:hAnsi="宋体"/>
          <w:b/>
          <w:sz w:val="24"/>
        </w:rPr>
        <w:t>.单价、合价和投标总价为包干价，即三者均应包含货物的价款、包装、运输、装卸、安装、调试、技术指导、培训、咨询、服务、保险、税费、检测、验收合格交付使用之前以及技术和售后服务等其他各项有关费用。</w:t>
      </w:r>
    </w:p>
    <w:p w14:paraId="692D4732">
      <w:pPr>
        <w:ind w:firstLine="482" w:firstLineChars="200"/>
        <w:rPr>
          <w:rFonts w:ascii="宋体" w:hAnsi="宋体"/>
          <w:b/>
          <w:sz w:val="24"/>
        </w:rPr>
      </w:pPr>
      <w:r>
        <w:rPr>
          <w:rFonts w:ascii="宋体" w:hAnsi="宋体"/>
          <w:b/>
          <w:sz w:val="24"/>
        </w:rPr>
        <w:t>7</w:t>
      </w:r>
      <w:r>
        <w:rPr>
          <w:rFonts w:hint="eastAsia" w:ascii="宋体" w:hAnsi="宋体"/>
          <w:b/>
          <w:sz w:val="24"/>
        </w:rPr>
        <w:t>.所有价格应按“招标文件”中规定的货币单位填写；投标总价应为以上各分项价格之和；投标总价和项目报价表中单个采购预算条目报价均不得超过对应的财政预算限额，否则将导致投标无效。</w:t>
      </w:r>
    </w:p>
    <w:p w14:paraId="5DF224C3">
      <w:pPr>
        <w:ind w:firstLine="482" w:firstLineChars="200"/>
        <w:rPr>
          <w:rFonts w:ascii="宋体" w:hAnsi="宋体"/>
          <w:b/>
          <w:color w:val="FF0000"/>
          <w:sz w:val="24"/>
        </w:rPr>
      </w:pPr>
    </w:p>
    <w:p w14:paraId="14FD30A0">
      <w:pPr>
        <w:ind w:firstLine="482" w:firstLineChars="200"/>
        <w:rPr>
          <w:rFonts w:ascii="宋体" w:hAnsi="宋体"/>
          <w:b/>
          <w:color w:val="FF0000"/>
          <w:sz w:val="24"/>
        </w:rPr>
      </w:pPr>
    </w:p>
    <w:p w14:paraId="38967ABE">
      <w:pPr>
        <w:tabs>
          <w:tab w:val="left" w:pos="720"/>
        </w:tabs>
        <w:jc w:val="center"/>
        <w:rPr>
          <w:b/>
          <w:sz w:val="24"/>
        </w:rPr>
      </w:pPr>
      <w:r>
        <w:rPr>
          <w:rFonts w:hint="eastAsia"/>
          <w:b/>
          <w:sz w:val="24"/>
        </w:rPr>
        <w:t>（二）核心产品品牌</w:t>
      </w:r>
    </w:p>
    <w:p w14:paraId="4034F482">
      <w:pPr>
        <w:ind w:firstLine="482" w:firstLineChars="200"/>
        <w:rPr>
          <w:rFonts w:ascii="宋体" w:hAnsi="宋体"/>
          <w:b/>
          <w:sz w:val="24"/>
        </w:rPr>
      </w:pPr>
      <w:r>
        <w:rPr>
          <w:rFonts w:hint="eastAsia"/>
          <w:b/>
          <w:sz w:val="24"/>
        </w:rPr>
        <w:t>我单位所投核心产品的品牌为：</w:t>
      </w:r>
      <w:r>
        <w:rPr>
          <w:rFonts w:hint="eastAsia"/>
          <w:b/>
          <w:sz w:val="24"/>
          <w:u w:val="single"/>
        </w:rPr>
        <w:t xml:space="preserve">               </w:t>
      </w:r>
      <w:r>
        <w:rPr>
          <w:rFonts w:hint="eastAsia"/>
          <w:b/>
          <w:sz w:val="24"/>
        </w:rPr>
        <w:t>。</w:t>
      </w:r>
    </w:p>
    <w:p w14:paraId="42B3BE2C">
      <w:pPr>
        <w:ind w:firstLine="480" w:firstLineChars="200"/>
        <w:rPr>
          <w:rFonts w:hint="default" w:ascii="宋体" w:hAnsi="宋体" w:eastAsia="宋体"/>
          <w:sz w:val="24"/>
          <w:lang w:val="en-US" w:eastAsia="zh-CN"/>
        </w:rPr>
      </w:pPr>
      <w:r>
        <w:rPr>
          <w:rFonts w:hint="eastAsia" w:ascii="宋体" w:hAnsi="宋体"/>
          <w:sz w:val="24"/>
        </w:rPr>
        <w:t>备注：</w:t>
      </w:r>
      <w:r>
        <w:rPr>
          <w:rFonts w:hint="eastAsia" w:ascii="宋体" w:hAnsi="宋体"/>
          <w:sz w:val="24"/>
          <w:lang w:val="en-US" w:eastAsia="zh-CN"/>
        </w:rPr>
        <w:t>单一产品采购项目，核心产品即为该单一产品。</w:t>
      </w:r>
    </w:p>
    <w:p w14:paraId="7A1D9DFF">
      <w:pPr>
        <w:rPr>
          <w:b/>
          <w:sz w:val="24"/>
        </w:rPr>
      </w:pPr>
    </w:p>
    <w:p w14:paraId="3792DD9B">
      <w:pPr>
        <w:ind w:firstLine="482" w:firstLineChars="200"/>
        <w:rPr>
          <w:rFonts w:hAnsi="宋体"/>
          <w:b/>
          <w:bCs/>
          <w:sz w:val="24"/>
        </w:rPr>
      </w:pPr>
    </w:p>
    <w:p w14:paraId="695E08C7">
      <w:pPr>
        <w:ind w:firstLine="482" w:firstLineChars="200"/>
        <w:rPr>
          <w:rFonts w:hAnsi="宋体"/>
          <w:b/>
          <w:bCs/>
        </w:rPr>
      </w:pPr>
      <w:r>
        <w:rPr>
          <w:rFonts w:hint="eastAsia" w:ascii="宋体" w:hAnsi="宋体"/>
          <w:b/>
          <w:bCs/>
          <w:sz w:val="24"/>
        </w:rPr>
        <w:t>（三）零配件、消耗品和延续保修报价明细清单（不包括在投标总价内）</w:t>
      </w:r>
    </w:p>
    <w:p w14:paraId="533B4B4C">
      <w:pPr>
        <w:ind w:firstLine="422" w:firstLineChars="200"/>
        <w:rPr>
          <w:rFonts w:hAnsi="宋体"/>
          <w:b/>
          <w:bCs/>
          <w:szCs w:val="21"/>
        </w:rPr>
      </w:pPr>
      <w:r>
        <w:rPr>
          <w:rFonts w:hint="eastAsia" w:ascii="宋体" w:hAnsi="宋体"/>
          <w:b/>
          <w:bCs/>
        </w:rPr>
        <w:t>注：价格最高的前</w:t>
      </w:r>
      <w:r>
        <w:rPr>
          <w:rFonts w:hint="eastAsia"/>
          <w:b/>
          <w:bCs/>
        </w:rPr>
        <w:t>5</w:t>
      </w:r>
      <w:r>
        <w:rPr>
          <w:rFonts w:hint="eastAsia" w:ascii="宋体" w:hAnsi="宋体"/>
          <w:b/>
          <w:bCs/>
        </w:rPr>
        <w:t>项零配件、消耗品和延续保修合同的报价明细必须填写于此清单中。</w:t>
      </w:r>
    </w:p>
    <w:tbl>
      <w:tblPr>
        <w:tblStyle w:val="43"/>
        <w:tblW w:w="7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28"/>
        <w:gridCol w:w="1694"/>
        <w:gridCol w:w="900"/>
        <w:gridCol w:w="1401"/>
        <w:gridCol w:w="709"/>
        <w:gridCol w:w="992"/>
      </w:tblGrid>
      <w:tr w14:paraId="469A1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Borders>
              <w:top w:val="single" w:color="auto" w:sz="4" w:space="0"/>
              <w:left w:val="single" w:color="auto" w:sz="4" w:space="0"/>
              <w:bottom w:val="single" w:color="auto" w:sz="4" w:space="0"/>
              <w:right w:val="single" w:color="auto" w:sz="4" w:space="0"/>
            </w:tcBorders>
          </w:tcPr>
          <w:p w14:paraId="11ECB15B">
            <w:pPr>
              <w:keepNext w:val="0"/>
              <w:keepLines w:val="0"/>
              <w:suppressLineNumbers w:val="0"/>
              <w:spacing w:before="0" w:beforeAutospacing="0" w:after="0" w:afterAutospacing="0"/>
              <w:ind w:left="0" w:right="-69" w:rightChars="-33"/>
              <w:jc w:val="center"/>
              <w:rPr>
                <w:rFonts w:hint="default"/>
              </w:rPr>
            </w:pPr>
            <w:r>
              <w:rPr>
                <w:rFonts w:hint="eastAsia"/>
              </w:rPr>
              <w:t>序号</w:t>
            </w:r>
          </w:p>
        </w:tc>
        <w:tc>
          <w:tcPr>
            <w:tcW w:w="1228" w:type="dxa"/>
            <w:tcBorders>
              <w:top w:val="single" w:color="auto" w:sz="4" w:space="0"/>
              <w:left w:val="nil"/>
              <w:bottom w:val="single" w:color="auto" w:sz="4" w:space="0"/>
              <w:right w:val="single" w:color="auto" w:sz="4" w:space="0"/>
            </w:tcBorders>
            <w:vAlign w:val="center"/>
          </w:tcPr>
          <w:p w14:paraId="42786A35">
            <w:pPr>
              <w:keepNext w:val="0"/>
              <w:keepLines w:val="0"/>
              <w:suppressLineNumbers w:val="0"/>
              <w:spacing w:before="0" w:beforeAutospacing="0" w:after="0" w:afterAutospacing="0"/>
              <w:ind w:left="0" w:right="0"/>
              <w:jc w:val="center"/>
              <w:rPr>
                <w:rFonts w:hint="default"/>
              </w:rPr>
            </w:pPr>
            <w:r>
              <w:rPr>
                <w:rFonts w:hint="eastAsia"/>
              </w:rPr>
              <w:t>货物名称</w:t>
            </w:r>
          </w:p>
        </w:tc>
        <w:tc>
          <w:tcPr>
            <w:tcW w:w="1694" w:type="dxa"/>
            <w:tcBorders>
              <w:top w:val="single" w:color="auto" w:sz="4" w:space="0"/>
              <w:left w:val="nil"/>
              <w:bottom w:val="single" w:color="auto" w:sz="4" w:space="0"/>
              <w:right w:val="single" w:color="auto" w:sz="4" w:space="0"/>
            </w:tcBorders>
            <w:vAlign w:val="center"/>
          </w:tcPr>
          <w:p w14:paraId="3A486D20">
            <w:pPr>
              <w:keepNext w:val="0"/>
              <w:keepLines w:val="0"/>
              <w:suppressLineNumbers w:val="0"/>
              <w:spacing w:before="0" w:beforeAutospacing="0" w:after="0" w:afterAutospacing="0"/>
              <w:ind w:left="0" w:right="0"/>
              <w:jc w:val="center"/>
              <w:rPr>
                <w:rFonts w:hint="default"/>
              </w:rPr>
            </w:pPr>
            <w:r>
              <w:rPr>
                <w:rFonts w:hint="eastAsia"/>
              </w:rPr>
              <w:t>规格/</w:t>
            </w:r>
            <w:r>
              <w:rPr>
                <w:rFonts w:hint="eastAsia" w:ascii="宋体" w:hAnsi="宋体"/>
              </w:rPr>
              <w:t>型号</w:t>
            </w:r>
          </w:p>
        </w:tc>
        <w:tc>
          <w:tcPr>
            <w:tcW w:w="900" w:type="dxa"/>
            <w:tcBorders>
              <w:top w:val="single" w:color="auto" w:sz="4" w:space="0"/>
              <w:left w:val="nil"/>
              <w:bottom w:val="single" w:color="auto" w:sz="4" w:space="0"/>
              <w:right w:val="single" w:color="auto" w:sz="4" w:space="0"/>
            </w:tcBorders>
            <w:vAlign w:val="center"/>
          </w:tcPr>
          <w:p w14:paraId="4D776FC8">
            <w:pPr>
              <w:keepNext w:val="0"/>
              <w:keepLines w:val="0"/>
              <w:suppressLineNumbers w:val="0"/>
              <w:spacing w:before="0" w:beforeAutospacing="0" w:after="0" w:afterAutospacing="0"/>
              <w:ind w:left="0" w:right="0"/>
              <w:jc w:val="center"/>
              <w:rPr>
                <w:rFonts w:hint="default"/>
              </w:rPr>
            </w:pPr>
            <w:r>
              <w:rPr>
                <w:rFonts w:hint="eastAsia"/>
              </w:rPr>
              <w:t>原产地</w:t>
            </w:r>
          </w:p>
        </w:tc>
        <w:tc>
          <w:tcPr>
            <w:tcW w:w="1401" w:type="dxa"/>
            <w:tcBorders>
              <w:top w:val="single" w:color="auto" w:sz="4" w:space="0"/>
              <w:left w:val="nil"/>
              <w:bottom w:val="single" w:color="auto" w:sz="4" w:space="0"/>
              <w:right w:val="single" w:color="auto" w:sz="4" w:space="0"/>
            </w:tcBorders>
            <w:vAlign w:val="center"/>
          </w:tcPr>
          <w:p w14:paraId="05C106FF">
            <w:pPr>
              <w:keepNext w:val="0"/>
              <w:keepLines w:val="0"/>
              <w:suppressLineNumbers w:val="0"/>
              <w:spacing w:before="0" w:beforeAutospacing="0" w:after="0" w:afterAutospacing="0"/>
              <w:ind w:left="0" w:right="0"/>
              <w:jc w:val="center"/>
              <w:rPr>
                <w:rFonts w:hint="default"/>
              </w:rPr>
            </w:pPr>
            <w:r>
              <w:rPr>
                <w:rFonts w:hint="eastAsia"/>
              </w:rPr>
              <w:t>制造商名称</w:t>
            </w:r>
          </w:p>
        </w:tc>
        <w:tc>
          <w:tcPr>
            <w:tcW w:w="709" w:type="dxa"/>
            <w:tcBorders>
              <w:top w:val="single" w:color="auto" w:sz="4" w:space="0"/>
              <w:left w:val="nil"/>
              <w:bottom w:val="single" w:color="auto" w:sz="4" w:space="0"/>
              <w:right w:val="single" w:color="auto" w:sz="4" w:space="0"/>
            </w:tcBorders>
            <w:vAlign w:val="center"/>
          </w:tcPr>
          <w:p w14:paraId="6A11D546">
            <w:pPr>
              <w:keepNext w:val="0"/>
              <w:keepLines w:val="0"/>
              <w:suppressLineNumbers w:val="0"/>
              <w:spacing w:before="0" w:beforeAutospacing="0" w:after="0" w:afterAutospacing="0"/>
              <w:ind w:left="0" w:right="0"/>
              <w:jc w:val="center"/>
              <w:rPr>
                <w:rFonts w:hint="default"/>
              </w:rPr>
            </w:pPr>
            <w:r>
              <w:rPr>
                <w:rFonts w:hint="eastAsia"/>
              </w:rPr>
              <w:t>数量</w:t>
            </w:r>
          </w:p>
        </w:tc>
        <w:tc>
          <w:tcPr>
            <w:tcW w:w="992" w:type="dxa"/>
            <w:tcBorders>
              <w:top w:val="single" w:color="auto" w:sz="4" w:space="0"/>
              <w:left w:val="nil"/>
              <w:bottom w:val="single" w:color="auto" w:sz="4" w:space="0"/>
              <w:right w:val="single" w:color="auto" w:sz="4" w:space="0"/>
            </w:tcBorders>
            <w:vAlign w:val="center"/>
          </w:tcPr>
          <w:p w14:paraId="523F8B4A">
            <w:pPr>
              <w:keepNext w:val="0"/>
              <w:keepLines w:val="0"/>
              <w:suppressLineNumbers w:val="0"/>
              <w:spacing w:before="0" w:beforeAutospacing="0" w:after="0" w:afterAutospacing="0"/>
              <w:ind w:left="0" w:right="0"/>
              <w:jc w:val="center"/>
              <w:rPr>
                <w:rFonts w:hint="default"/>
              </w:rPr>
            </w:pPr>
            <w:r>
              <w:rPr>
                <w:rFonts w:hint="eastAsia"/>
              </w:rPr>
              <w:t>单价(</w:t>
            </w:r>
            <w:r>
              <w:rPr>
                <w:rFonts w:hint="eastAsia" w:ascii="宋体" w:hAnsi="宋体"/>
              </w:rPr>
              <w:t>元</w:t>
            </w:r>
            <w:r>
              <w:rPr>
                <w:rFonts w:hint="eastAsia"/>
              </w:rPr>
              <w:t>)</w:t>
            </w:r>
          </w:p>
        </w:tc>
      </w:tr>
      <w:tr w14:paraId="4A153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Borders>
              <w:top w:val="single" w:color="auto" w:sz="4" w:space="0"/>
              <w:left w:val="single" w:color="auto" w:sz="4" w:space="0"/>
              <w:bottom w:val="single" w:color="auto" w:sz="4" w:space="0"/>
              <w:right w:val="single" w:color="auto" w:sz="4" w:space="0"/>
            </w:tcBorders>
          </w:tcPr>
          <w:p w14:paraId="1E77A00E">
            <w:pPr>
              <w:keepNext w:val="0"/>
              <w:keepLines w:val="0"/>
              <w:suppressLineNumbers w:val="0"/>
              <w:spacing w:before="0" w:beforeAutospacing="0" w:after="0" w:afterAutospacing="0"/>
              <w:ind w:left="0" w:right="-69" w:rightChars="-33"/>
              <w:jc w:val="center"/>
              <w:rPr>
                <w:rFonts w:hint="default"/>
              </w:rPr>
            </w:pPr>
            <w:r>
              <w:rPr>
                <w:rFonts w:hint="eastAsia"/>
              </w:rPr>
              <w:t>1</w:t>
            </w:r>
          </w:p>
        </w:tc>
        <w:tc>
          <w:tcPr>
            <w:tcW w:w="1228" w:type="dxa"/>
            <w:tcBorders>
              <w:top w:val="single" w:color="auto" w:sz="4" w:space="0"/>
              <w:left w:val="nil"/>
              <w:bottom w:val="single" w:color="auto" w:sz="4" w:space="0"/>
              <w:right w:val="single" w:color="auto" w:sz="4" w:space="0"/>
            </w:tcBorders>
          </w:tcPr>
          <w:p w14:paraId="0000257B">
            <w:pPr>
              <w:keepNext w:val="0"/>
              <w:keepLines w:val="0"/>
              <w:suppressLineNumbers w:val="0"/>
              <w:spacing w:before="0" w:beforeAutospacing="0" w:after="0" w:afterAutospacing="0"/>
              <w:ind w:left="0" w:right="0"/>
              <w:rPr>
                <w:rFonts w:hint="default"/>
              </w:rPr>
            </w:pPr>
          </w:p>
        </w:tc>
        <w:tc>
          <w:tcPr>
            <w:tcW w:w="1694" w:type="dxa"/>
            <w:tcBorders>
              <w:top w:val="single" w:color="auto" w:sz="4" w:space="0"/>
              <w:left w:val="nil"/>
              <w:bottom w:val="single" w:color="auto" w:sz="4" w:space="0"/>
              <w:right w:val="single" w:color="auto" w:sz="4" w:space="0"/>
            </w:tcBorders>
          </w:tcPr>
          <w:p w14:paraId="18B54D38">
            <w:pPr>
              <w:keepNext w:val="0"/>
              <w:keepLines w:val="0"/>
              <w:suppressLineNumbers w:val="0"/>
              <w:spacing w:before="0" w:beforeAutospacing="0" w:after="0" w:afterAutospacing="0"/>
              <w:ind w:left="0" w:right="0"/>
              <w:rPr>
                <w:rFonts w:hint="default"/>
              </w:rPr>
            </w:pPr>
          </w:p>
        </w:tc>
        <w:tc>
          <w:tcPr>
            <w:tcW w:w="900" w:type="dxa"/>
            <w:tcBorders>
              <w:top w:val="single" w:color="auto" w:sz="4" w:space="0"/>
              <w:left w:val="nil"/>
              <w:bottom w:val="single" w:color="auto" w:sz="4" w:space="0"/>
              <w:right w:val="single" w:color="auto" w:sz="4" w:space="0"/>
            </w:tcBorders>
          </w:tcPr>
          <w:p w14:paraId="3AF9DE63">
            <w:pPr>
              <w:keepNext w:val="0"/>
              <w:keepLines w:val="0"/>
              <w:suppressLineNumbers w:val="0"/>
              <w:spacing w:before="0" w:beforeAutospacing="0" w:after="0" w:afterAutospacing="0"/>
              <w:ind w:left="0" w:right="0"/>
              <w:rPr>
                <w:rFonts w:hint="default"/>
              </w:rPr>
            </w:pPr>
          </w:p>
        </w:tc>
        <w:tc>
          <w:tcPr>
            <w:tcW w:w="1401" w:type="dxa"/>
            <w:tcBorders>
              <w:top w:val="single" w:color="auto" w:sz="4" w:space="0"/>
              <w:left w:val="nil"/>
              <w:bottom w:val="single" w:color="auto" w:sz="4" w:space="0"/>
              <w:right w:val="single" w:color="auto" w:sz="4" w:space="0"/>
            </w:tcBorders>
          </w:tcPr>
          <w:p w14:paraId="35D5F40A">
            <w:pPr>
              <w:keepNext w:val="0"/>
              <w:keepLines w:val="0"/>
              <w:suppressLineNumbers w:val="0"/>
              <w:spacing w:before="0" w:beforeAutospacing="0" w:after="0" w:afterAutospacing="0"/>
              <w:ind w:left="0" w:right="0"/>
              <w:rPr>
                <w:rFonts w:hint="default"/>
              </w:rPr>
            </w:pPr>
          </w:p>
        </w:tc>
        <w:tc>
          <w:tcPr>
            <w:tcW w:w="709" w:type="dxa"/>
            <w:tcBorders>
              <w:top w:val="single" w:color="auto" w:sz="4" w:space="0"/>
              <w:left w:val="nil"/>
              <w:bottom w:val="single" w:color="auto" w:sz="4" w:space="0"/>
              <w:right w:val="single" w:color="auto" w:sz="4" w:space="0"/>
            </w:tcBorders>
          </w:tcPr>
          <w:p w14:paraId="60EF77FE">
            <w:pPr>
              <w:keepNext w:val="0"/>
              <w:keepLines w:val="0"/>
              <w:suppressLineNumbers w:val="0"/>
              <w:spacing w:before="0" w:beforeAutospacing="0" w:after="0" w:afterAutospacing="0"/>
              <w:ind w:left="0" w:right="0"/>
              <w:rPr>
                <w:rFonts w:hint="default"/>
              </w:rPr>
            </w:pPr>
          </w:p>
        </w:tc>
        <w:tc>
          <w:tcPr>
            <w:tcW w:w="992" w:type="dxa"/>
            <w:tcBorders>
              <w:top w:val="single" w:color="auto" w:sz="4" w:space="0"/>
              <w:left w:val="nil"/>
              <w:bottom w:val="single" w:color="auto" w:sz="4" w:space="0"/>
              <w:right w:val="single" w:color="auto" w:sz="4" w:space="0"/>
            </w:tcBorders>
          </w:tcPr>
          <w:p w14:paraId="66158406">
            <w:pPr>
              <w:keepNext w:val="0"/>
              <w:keepLines w:val="0"/>
              <w:suppressLineNumbers w:val="0"/>
              <w:spacing w:before="0" w:beforeAutospacing="0" w:after="0" w:afterAutospacing="0"/>
              <w:ind w:left="0" w:right="0"/>
              <w:rPr>
                <w:rFonts w:hint="default"/>
              </w:rPr>
            </w:pPr>
          </w:p>
        </w:tc>
      </w:tr>
      <w:tr w14:paraId="56FE4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Borders>
              <w:top w:val="single" w:color="auto" w:sz="4" w:space="0"/>
              <w:left w:val="single" w:color="auto" w:sz="4" w:space="0"/>
              <w:bottom w:val="single" w:color="auto" w:sz="4" w:space="0"/>
              <w:right w:val="single" w:color="auto" w:sz="4" w:space="0"/>
            </w:tcBorders>
          </w:tcPr>
          <w:p w14:paraId="4BAC06A4">
            <w:pPr>
              <w:keepNext w:val="0"/>
              <w:keepLines w:val="0"/>
              <w:suppressLineNumbers w:val="0"/>
              <w:spacing w:before="0" w:beforeAutospacing="0" w:after="0" w:afterAutospacing="0"/>
              <w:ind w:left="0" w:right="-69" w:rightChars="-33"/>
              <w:jc w:val="center"/>
              <w:rPr>
                <w:rFonts w:hint="default"/>
                <w:szCs w:val="21"/>
              </w:rPr>
            </w:pPr>
            <w:r>
              <w:rPr>
                <w:rFonts w:hint="eastAsia"/>
              </w:rPr>
              <w:t>2</w:t>
            </w:r>
          </w:p>
        </w:tc>
        <w:tc>
          <w:tcPr>
            <w:tcW w:w="1228" w:type="dxa"/>
            <w:tcBorders>
              <w:top w:val="single" w:color="auto" w:sz="4" w:space="0"/>
              <w:left w:val="nil"/>
              <w:bottom w:val="single" w:color="auto" w:sz="4" w:space="0"/>
              <w:right w:val="single" w:color="auto" w:sz="4" w:space="0"/>
            </w:tcBorders>
          </w:tcPr>
          <w:p w14:paraId="28256B4A">
            <w:pPr>
              <w:keepNext w:val="0"/>
              <w:keepLines w:val="0"/>
              <w:suppressLineNumbers w:val="0"/>
              <w:spacing w:before="0" w:beforeAutospacing="0" w:after="0" w:afterAutospacing="0"/>
              <w:ind w:left="0" w:right="0"/>
              <w:rPr>
                <w:rFonts w:hint="default"/>
              </w:rPr>
            </w:pPr>
          </w:p>
        </w:tc>
        <w:tc>
          <w:tcPr>
            <w:tcW w:w="1694" w:type="dxa"/>
            <w:tcBorders>
              <w:top w:val="single" w:color="auto" w:sz="4" w:space="0"/>
              <w:left w:val="nil"/>
              <w:bottom w:val="single" w:color="auto" w:sz="4" w:space="0"/>
              <w:right w:val="single" w:color="auto" w:sz="4" w:space="0"/>
            </w:tcBorders>
          </w:tcPr>
          <w:p w14:paraId="02444151">
            <w:pPr>
              <w:keepNext w:val="0"/>
              <w:keepLines w:val="0"/>
              <w:suppressLineNumbers w:val="0"/>
              <w:spacing w:before="0" w:beforeAutospacing="0" w:after="0" w:afterAutospacing="0"/>
              <w:ind w:left="0" w:right="0"/>
              <w:rPr>
                <w:rFonts w:hint="default"/>
              </w:rPr>
            </w:pPr>
          </w:p>
        </w:tc>
        <w:tc>
          <w:tcPr>
            <w:tcW w:w="900" w:type="dxa"/>
            <w:tcBorders>
              <w:top w:val="single" w:color="auto" w:sz="4" w:space="0"/>
              <w:left w:val="nil"/>
              <w:bottom w:val="single" w:color="auto" w:sz="4" w:space="0"/>
              <w:right w:val="single" w:color="auto" w:sz="4" w:space="0"/>
            </w:tcBorders>
          </w:tcPr>
          <w:p w14:paraId="7FA6CD6B">
            <w:pPr>
              <w:keepNext w:val="0"/>
              <w:keepLines w:val="0"/>
              <w:suppressLineNumbers w:val="0"/>
              <w:spacing w:before="0" w:beforeAutospacing="0" w:after="0" w:afterAutospacing="0"/>
              <w:ind w:left="0" w:right="0"/>
              <w:rPr>
                <w:rFonts w:hint="default"/>
              </w:rPr>
            </w:pPr>
          </w:p>
        </w:tc>
        <w:tc>
          <w:tcPr>
            <w:tcW w:w="1401" w:type="dxa"/>
            <w:tcBorders>
              <w:top w:val="single" w:color="auto" w:sz="4" w:space="0"/>
              <w:left w:val="nil"/>
              <w:bottom w:val="single" w:color="auto" w:sz="4" w:space="0"/>
              <w:right w:val="single" w:color="auto" w:sz="4" w:space="0"/>
            </w:tcBorders>
          </w:tcPr>
          <w:p w14:paraId="6FB041AC">
            <w:pPr>
              <w:keepNext w:val="0"/>
              <w:keepLines w:val="0"/>
              <w:suppressLineNumbers w:val="0"/>
              <w:spacing w:before="0" w:beforeAutospacing="0" w:after="0" w:afterAutospacing="0"/>
              <w:ind w:left="0" w:right="0"/>
              <w:rPr>
                <w:rFonts w:hint="default"/>
              </w:rPr>
            </w:pPr>
          </w:p>
        </w:tc>
        <w:tc>
          <w:tcPr>
            <w:tcW w:w="709" w:type="dxa"/>
            <w:tcBorders>
              <w:top w:val="single" w:color="auto" w:sz="4" w:space="0"/>
              <w:left w:val="nil"/>
              <w:bottom w:val="single" w:color="auto" w:sz="4" w:space="0"/>
              <w:right w:val="single" w:color="auto" w:sz="4" w:space="0"/>
            </w:tcBorders>
          </w:tcPr>
          <w:p w14:paraId="53BC3068">
            <w:pPr>
              <w:keepNext w:val="0"/>
              <w:keepLines w:val="0"/>
              <w:suppressLineNumbers w:val="0"/>
              <w:spacing w:before="0" w:beforeAutospacing="0" w:after="0" w:afterAutospacing="0"/>
              <w:ind w:left="0" w:right="0"/>
              <w:rPr>
                <w:rFonts w:hint="default"/>
              </w:rPr>
            </w:pPr>
          </w:p>
        </w:tc>
        <w:tc>
          <w:tcPr>
            <w:tcW w:w="992" w:type="dxa"/>
            <w:tcBorders>
              <w:top w:val="single" w:color="auto" w:sz="4" w:space="0"/>
              <w:left w:val="nil"/>
              <w:bottom w:val="single" w:color="auto" w:sz="4" w:space="0"/>
              <w:right w:val="single" w:color="auto" w:sz="4" w:space="0"/>
            </w:tcBorders>
          </w:tcPr>
          <w:p w14:paraId="5CCD2181">
            <w:pPr>
              <w:keepNext w:val="0"/>
              <w:keepLines w:val="0"/>
              <w:suppressLineNumbers w:val="0"/>
              <w:spacing w:before="0" w:beforeAutospacing="0" w:after="0" w:afterAutospacing="0"/>
              <w:ind w:left="0" w:right="0"/>
              <w:rPr>
                <w:rFonts w:hint="default"/>
              </w:rPr>
            </w:pPr>
          </w:p>
        </w:tc>
      </w:tr>
      <w:tr w14:paraId="1CC5F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Borders>
              <w:top w:val="single" w:color="auto" w:sz="4" w:space="0"/>
              <w:left w:val="single" w:color="auto" w:sz="4" w:space="0"/>
              <w:bottom w:val="single" w:color="auto" w:sz="4" w:space="0"/>
              <w:right w:val="single" w:color="auto" w:sz="4" w:space="0"/>
            </w:tcBorders>
          </w:tcPr>
          <w:p w14:paraId="6778B5F9">
            <w:pPr>
              <w:keepNext w:val="0"/>
              <w:keepLines w:val="0"/>
              <w:suppressLineNumbers w:val="0"/>
              <w:spacing w:before="0" w:beforeAutospacing="0" w:after="0" w:afterAutospacing="0"/>
              <w:ind w:left="0" w:right="-69" w:rightChars="-33"/>
              <w:jc w:val="center"/>
              <w:rPr>
                <w:rFonts w:hint="default"/>
                <w:szCs w:val="21"/>
              </w:rPr>
            </w:pPr>
          </w:p>
        </w:tc>
        <w:tc>
          <w:tcPr>
            <w:tcW w:w="1228" w:type="dxa"/>
            <w:tcBorders>
              <w:top w:val="single" w:color="auto" w:sz="4" w:space="0"/>
              <w:left w:val="nil"/>
              <w:bottom w:val="single" w:color="auto" w:sz="4" w:space="0"/>
              <w:right w:val="single" w:color="auto" w:sz="4" w:space="0"/>
            </w:tcBorders>
          </w:tcPr>
          <w:p w14:paraId="7E3D5CAE">
            <w:pPr>
              <w:keepNext w:val="0"/>
              <w:keepLines w:val="0"/>
              <w:suppressLineNumbers w:val="0"/>
              <w:spacing w:before="0" w:beforeAutospacing="0" w:after="0" w:afterAutospacing="0"/>
              <w:ind w:left="0" w:right="0"/>
              <w:rPr>
                <w:rFonts w:hint="default"/>
              </w:rPr>
            </w:pPr>
          </w:p>
        </w:tc>
        <w:tc>
          <w:tcPr>
            <w:tcW w:w="1694" w:type="dxa"/>
            <w:tcBorders>
              <w:top w:val="single" w:color="auto" w:sz="4" w:space="0"/>
              <w:left w:val="nil"/>
              <w:bottom w:val="single" w:color="auto" w:sz="4" w:space="0"/>
              <w:right w:val="single" w:color="auto" w:sz="4" w:space="0"/>
            </w:tcBorders>
          </w:tcPr>
          <w:p w14:paraId="49EF5093">
            <w:pPr>
              <w:keepNext w:val="0"/>
              <w:keepLines w:val="0"/>
              <w:suppressLineNumbers w:val="0"/>
              <w:spacing w:before="0" w:beforeAutospacing="0" w:after="0" w:afterAutospacing="0"/>
              <w:ind w:left="0" w:right="0"/>
              <w:rPr>
                <w:rFonts w:hint="default"/>
              </w:rPr>
            </w:pPr>
          </w:p>
        </w:tc>
        <w:tc>
          <w:tcPr>
            <w:tcW w:w="900" w:type="dxa"/>
            <w:tcBorders>
              <w:top w:val="single" w:color="auto" w:sz="4" w:space="0"/>
              <w:left w:val="nil"/>
              <w:bottom w:val="single" w:color="auto" w:sz="4" w:space="0"/>
              <w:right w:val="single" w:color="auto" w:sz="4" w:space="0"/>
            </w:tcBorders>
          </w:tcPr>
          <w:p w14:paraId="273E3F2D">
            <w:pPr>
              <w:keepNext w:val="0"/>
              <w:keepLines w:val="0"/>
              <w:suppressLineNumbers w:val="0"/>
              <w:spacing w:before="0" w:beforeAutospacing="0" w:after="0" w:afterAutospacing="0"/>
              <w:ind w:left="0" w:right="0"/>
              <w:rPr>
                <w:rFonts w:hint="default"/>
              </w:rPr>
            </w:pPr>
          </w:p>
        </w:tc>
        <w:tc>
          <w:tcPr>
            <w:tcW w:w="1401" w:type="dxa"/>
            <w:tcBorders>
              <w:top w:val="single" w:color="auto" w:sz="4" w:space="0"/>
              <w:left w:val="nil"/>
              <w:bottom w:val="single" w:color="auto" w:sz="4" w:space="0"/>
              <w:right w:val="single" w:color="auto" w:sz="4" w:space="0"/>
            </w:tcBorders>
          </w:tcPr>
          <w:p w14:paraId="1FE7B3DD">
            <w:pPr>
              <w:keepNext w:val="0"/>
              <w:keepLines w:val="0"/>
              <w:suppressLineNumbers w:val="0"/>
              <w:spacing w:before="0" w:beforeAutospacing="0" w:after="0" w:afterAutospacing="0"/>
              <w:ind w:left="0" w:right="0"/>
              <w:rPr>
                <w:rFonts w:hint="default"/>
              </w:rPr>
            </w:pPr>
          </w:p>
        </w:tc>
        <w:tc>
          <w:tcPr>
            <w:tcW w:w="709" w:type="dxa"/>
            <w:tcBorders>
              <w:top w:val="single" w:color="auto" w:sz="4" w:space="0"/>
              <w:left w:val="nil"/>
              <w:bottom w:val="single" w:color="auto" w:sz="4" w:space="0"/>
              <w:right w:val="single" w:color="auto" w:sz="4" w:space="0"/>
            </w:tcBorders>
          </w:tcPr>
          <w:p w14:paraId="26FA97E8">
            <w:pPr>
              <w:keepNext w:val="0"/>
              <w:keepLines w:val="0"/>
              <w:suppressLineNumbers w:val="0"/>
              <w:spacing w:before="0" w:beforeAutospacing="0" w:after="0" w:afterAutospacing="0"/>
              <w:ind w:left="0" w:right="0"/>
              <w:rPr>
                <w:rFonts w:hint="default"/>
              </w:rPr>
            </w:pPr>
          </w:p>
        </w:tc>
        <w:tc>
          <w:tcPr>
            <w:tcW w:w="992" w:type="dxa"/>
            <w:tcBorders>
              <w:top w:val="single" w:color="auto" w:sz="4" w:space="0"/>
              <w:left w:val="nil"/>
              <w:bottom w:val="single" w:color="auto" w:sz="4" w:space="0"/>
              <w:right w:val="single" w:color="auto" w:sz="4" w:space="0"/>
            </w:tcBorders>
          </w:tcPr>
          <w:p w14:paraId="5B947BFE">
            <w:pPr>
              <w:keepNext w:val="0"/>
              <w:keepLines w:val="0"/>
              <w:suppressLineNumbers w:val="0"/>
              <w:spacing w:before="0" w:beforeAutospacing="0" w:after="0" w:afterAutospacing="0"/>
              <w:ind w:left="0" w:right="0"/>
              <w:rPr>
                <w:rFonts w:hint="default"/>
              </w:rPr>
            </w:pPr>
          </w:p>
        </w:tc>
      </w:tr>
      <w:tr w14:paraId="6D017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Borders>
              <w:top w:val="single" w:color="auto" w:sz="4" w:space="0"/>
              <w:left w:val="single" w:color="auto" w:sz="4" w:space="0"/>
              <w:bottom w:val="single" w:color="auto" w:sz="4" w:space="0"/>
              <w:right w:val="single" w:color="auto" w:sz="4" w:space="0"/>
            </w:tcBorders>
          </w:tcPr>
          <w:p w14:paraId="2991C703">
            <w:pPr>
              <w:keepNext w:val="0"/>
              <w:keepLines w:val="0"/>
              <w:suppressLineNumbers w:val="0"/>
              <w:spacing w:before="0" w:beforeAutospacing="0" w:after="0" w:afterAutospacing="0"/>
              <w:ind w:left="0" w:right="-69" w:rightChars="-33"/>
              <w:jc w:val="center"/>
              <w:rPr>
                <w:rFonts w:hint="default"/>
                <w:szCs w:val="21"/>
              </w:rPr>
            </w:pPr>
          </w:p>
        </w:tc>
        <w:tc>
          <w:tcPr>
            <w:tcW w:w="1228" w:type="dxa"/>
            <w:tcBorders>
              <w:top w:val="single" w:color="auto" w:sz="4" w:space="0"/>
              <w:left w:val="nil"/>
              <w:bottom w:val="single" w:color="auto" w:sz="4" w:space="0"/>
              <w:right w:val="single" w:color="auto" w:sz="4" w:space="0"/>
            </w:tcBorders>
          </w:tcPr>
          <w:p w14:paraId="1E9F8450">
            <w:pPr>
              <w:keepNext w:val="0"/>
              <w:keepLines w:val="0"/>
              <w:suppressLineNumbers w:val="0"/>
              <w:spacing w:before="0" w:beforeAutospacing="0" w:after="0" w:afterAutospacing="0"/>
              <w:ind w:left="0" w:right="0"/>
              <w:rPr>
                <w:rFonts w:hint="default"/>
              </w:rPr>
            </w:pPr>
          </w:p>
        </w:tc>
        <w:tc>
          <w:tcPr>
            <w:tcW w:w="1694" w:type="dxa"/>
            <w:tcBorders>
              <w:top w:val="single" w:color="auto" w:sz="4" w:space="0"/>
              <w:left w:val="nil"/>
              <w:bottom w:val="single" w:color="auto" w:sz="4" w:space="0"/>
              <w:right w:val="single" w:color="auto" w:sz="4" w:space="0"/>
            </w:tcBorders>
          </w:tcPr>
          <w:p w14:paraId="65956C61">
            <w:pPr>
              <w:keepNext w:val="0"/>
              <w:keepLines w:val="0"/>
              <w:suppressLineNumbers w:val="0"/>
              <w:spacing w:before="0" w:beforeAutospacing="0" w:after="0" w:afterAutospacing="0"/>
              <w:ind w:left="0" w:right="0"/>
              <w:rPr>
                <w:rFonts w:hint="default"/>
              </w:rPr>
            </w:pPr>
          </w:p>
        </w:tc>
        <w:tc>
          <w:tcPr>
            <w:tcW w:w="900" w:type="dxa"/>
            <w:tcBorders>
              <w:top w:val="single" w:color="auto" w:sz="4" w:space="0"/>
              <w:left w:val="nil"/>
              <w:bottom w:val="single" w:color="auto" w:sz="4" w:space="0"/>
              <w:right w:val="single" w:color="auto" w:sz="4" w:space="0"/>
            </w:tcBorders>
          </w:tcPr>
          <w:p w14:paraId="2CA444D6">
            <w:pPr>
              <w:keepNext w:val="0"/>
              <w:keepLines w:val="0"/>
              <w:suppressLineNumbers w:val="0"/>
              <w:spacing w:before="0" w:beforeAutospacing="0" w:after="0" w:afterAutospacing="0"/>
              <w:ind w:left="0" w:right="0"/>
              <w:rPr>
                <w:rFonts w:hint="default"/>
              </w:rPr>
            </w:pPr>
          </w:p>
        </w:tc>
        <w:tc>
          <w:tcPr>
            <w:tcW w:w="1401" w:type="dxa"/>
            <w:tcBorders>
              <w:top w:val="single" w:color="auto" w:sz="4" w:space="0"/>
              <w:left w:val="nil"/>
              <w:bottom w:val="single" w:color="auto" w:sz="4" w:space="0"/>
              <w:right w:val="single" w:color="auto" w:sz="4" w:space="0"/>
            </w:tcBorders>
          </w:tcPr>
          <w:p w14:paraId="222C92A4">
            <w:pPr>
              <w:keepNext w:val="0"/>
              <w:keepLines w:val="0"/>
              <w:suppressLineNumbers w:val="0"/>
              <w:spacing w:before="0" w:beforeAutospacing="0" w:after="0" w:afterAutospacing="0"/>
              <w:ind w:left="0" w:right="0"/>
              <w:rPr>
                <w:rFonts w:hint="default"/>
              </w:rPr>
            </w:pPr>
          </w:p>
        </w:tc>
        <w:tc>
          <w:tcPr>
            <w:tcW w:w="709" w:type="dxa"/>
            <w:tcBorders>
              <w:top w:val="single" w:color="auto" w:sz="4" w:space="0"/>
              <w:left w:val="nil"/>
              <w:bottom w:val="single" w:color="auto" w:sz="4" w:space="0"/>
              <w:right w:val="single" w:color="auto" w:sz="4" w:space="0"/>
            </w:tcBorders>
          </w:tcPr>
          <w:p w14:paraId="3ADACAB5">
            <w:pPr>
              <w:keepNext w:val="0"/>
              <w:keepLines w:val="0"/>
              <w:suppressLineNumbers w:val="0"/>
              <w:spacing w:before="0" w:beforeAutospacing="0" w:after="0" w:afterAutospacing="0"/>
              <w:ind w:left="0" w:right="0"/>
              <w:rPr>
                <w:rFonts w:hint="default"/>
              </w:rPr>
            </w:pPr>
          </w:p>
        </w:tc>
        <w:tc>
          <w:tcPr>
            <w:tcW w:w="992" w:type="dxa"/>
            <w:tcBorders>
              <w:top w:val="single" w:color="auto" w:sz="4" w:space="0"/>
              <w:left w:val="nil"/>
              <w:bottom w:val="single" w:color="auto" w:sz="4" w:space="0"/>
              <w:right w:val="single" w:color="auto" w:sz="4" w:space="0"/>
            </w:tcBorders>
          </w:tcPr>
          <w:p w14:paraId="3A192FEB">
            <w:pPr>
              <w:keepNext w:val="0"/>
              <w:keepLines w:val="0"/>
              <w:suppressLineNumbers w:val="0"/>
              <w:spacing w:before="0" w:beforeAutospacing="0" w:after="0" w:afterAutospacing="0"/>
              <w:ind w:left="0" w:right="0"/>
              <w:rPr>
                <w:rFonts w:hint="default"/>
              </w:rPr>
            </w:pPr>
          </w:p>
        </w:tc>
      </w:tr>
      <w:tr w14:paraId="2FA60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Borders>
              <w:top w:val="single" w:color="auto" w:sz="4" w:space="0"/>
              <w:left w:val="single" w:color="auto" w:sz="4" w:space="0"/>
              <w:bottom w:val="single" w:color="auto" w:sz="4" w:space="0"/>
              <w:right w:val="single" w:color="auto" w:sz="4" w:space="0"/>
            </w:tcBorders>
          </w:tcPr>
          <w:p w14:paraId="2A91EA0F">
            <w:pPr>
              <w:keepNext w:val="0"/>
              <w:keepLines w:val="0"/>
              <w:suppressLineNumbers w:val="0"/>
              <w:spacing w:before="0" w:beforeAutospacing="0" w:after="0" w:afterAutospacing="0"/>
              <w:ind w:left="0" w:right="0"/>
              <w:rPr>
                <w:rFonts w:hint="default"/>
              </w:rPr>
            </w:pPr>
          </w:p>
        </w:tc>
        <w:tc>
          <w:tcPr>
            <w:tcW w:w="1228" w:type="dxa"/>
            <w:tcBorders>
              <w:top w:val="single" w:color="auto" w:sz="4" w:space="0"/>
              <w:left w:val="nil"/>
              <w:bottom w:val="single" w:color="auto" w:sz="4" w:space="0"/>
              <w:right w:val="single" w:color="auto" w:sz="4" w:space="0"/>
            </w:tcBorders>
          </w:tcPr>
          <w:p w14:paraId="155CC6F9">
            <w:pPr>
              <w:keepNext w:val="0"/>
              <w:keepLines w:val="0"/>
              <w:suppressLineNumbers w:val="0"/>
              <w:spacing w:before="0" w:beforeAutospacing="0" w:after="0" w:afterAutospacing="0"/>
              <w:ind w:left="0" w:right="0"/>
              <w:rPr>
                <w:rFonts w:hint="default"/>
              </w:rPr>
            </w:pPr>
          </w:p>
        </w:tc>
        <w:tc>
          <w:tcPr>
            <w:tcW w:w="1694" w:type="dxa"/>
            <w:tcBorders>
              <w:top w:val="single" w:color="auto" w:sz="4" w:space="0"/>
              <w:left w:val="nil"/>
              <w:bottom w:val="single" w:color="auto" w:sz="4" w:space="0"/>
              <w:right w:val="single" w:color="auto" w:sz="4" w:space="0"/>
            </w:tcBorders>
          </w:tcPr>
          <w:p w14:paraId="759D1833">
            <w:pPr>
              <w:keepNext w:val="0"/>
              <w:keepLines w:val="0"/>
              <w:suppressLineNumbers w:val="0"/>
              <w:spacing w:before="0" w:beforeAutospacing="0" w:after="0" w:afterAutospacing="0"/>
              <w:ind w:left="0" w:right="0"/>
              <w:rPr>
                <w:rFonts w:hint="default"/>
              </w:rPr>
            </w:pPr>
          </w:p>
        </w:tc>
        <w:tc>
          <w:tcPr>
            <w:tcW w:w="900" w:type="dxa"/>
            <w:tcBorders>
              <w:top w:val="single" w:color="auto" w:sz="4" w:space="0"/>
              <w:left w:val="nil"/>
              <w:bottom w:val="single" w:color="auto" w:sz="4" w:space="0"/>
              <w:right w:val="single" w:color="auto" w:sz="4" w:space="0"/>
            </w:tcBorders>
          </w:tcPr>
          <w:p w14:paraId="33C18368">
            <w:pPr>
              <w:keepNext w:val="0"/>
              <w:keepLines w:val="0"/>
              <w:suppressLineNumbers w:val="0"/>
              <w:spacing w:before="0" w:beforeAutospacing="0" w:after="0" w:afterAutospacing="0"/>
              <w:ind w:left="0" w:right="0"/>
              <w:rPr>
                <w:rFonts w:hint="default"/>
              </w:rPr>
            </w:pPr>
          </w:p>
        </w:tc>
        <w:tc>
          <w:tcPr>
            <w:tcW w:w="1401" w:type="dxa"/>
            <w:tcBorders>
              <w:top w:val="single" w:color="auto" w:sz="4" w:space="0"/>
              <w:left w:val="nil"/>
              <w:bottom w:val="single" w:color="auto" w:sz="4" w:space="0"/>
              <w:right w:val="single" w:color="auto" w:sz="4" w:space="0"/>
            </w:tcBorders>
          </w:tcPr>
          <w:p w14:paraId="596B51BD">
            <w:pPr>
              <w:keepNext w:val="0"/>
              <w:keepLines w:val="0"/>
              <w:suppressLineNumbers w:val="0"/>
              <w:spacing w:before="0" w:beforeAutospacing="0" w:after="0" w:afterAutospacing="0"/>
              <w:ind w:left="0" w:right="0"/>
              <w:rPr>
                <w:rFonts w:hint="default"/>
              </w:rPr>
            </w:pPr>
          </w:p>
        </w:tc>
        <w:tc>
          <w:tcPr>
            <w:tcW w:w="709" w:type="dxa"/>
            <w:tcBorders>
              <w:top w:val="single" w:color="auto" w:sz="4" w:space="0"/>
              <w:left w:val="nil"/>
              <w:bottom w:val="single" w:color="auto" w:sz="4" w:space="0"/>
              <w:right w:val="single" w:color="auto" w:sz="4" w:space="0"/>
            </w:tcBorders>
          </w:tcPr>
          <w:p w14:paraId="0FA6BD1E">
            <w:pPr>
              <w:keepNext w:val="0"/>
              <w:keepLines w:val="0"/>
              <w:suppressLineNumbers w:val="0"/>
              <w:spacing w:before="0" w:beforeAutospacing="0" w:after="0" w:afterAutospacing="0"/>
              <w:ind w:left="0" w:right="0"/>
              <w:rPr>
                <w:rFonts w:hint="default"/>
              </w:rPr>
            </w:pPr>
          </w:p>
        </w:tc>
        <w:tc>
          <w:tcPr>
            <w:tcW w:w="992" w:type="dxa"/>
            <w:tcBorders>
              <w:top w:val="single" w:color="auto" w:sz="4" w:space="0"/>
              <w:left w:val="nil"/>
              <w:bottom w:val="single" w:color="auto" w:sz="4" w:space="0"/>
              <w:right w:val="single" w:color="auto" w:sz="4" w:space="0"/>
            </w:tcBorders>
          </w:tcPr>
          <w:p w14:paraId="5CA50221">
            <w:pPr>
              <w:keepNext w:val="0"/>
              <w:keepLines w:val="0"/>
              <w:suppressLineNumbers w:val="0"/>
              <w:spacing w:before="0" w:beforeAutospacing="0" w:after="0" w:afterAutospacing="0"/>
              <w:ind w:left="0" w:right="0"/>
              <w:rPr>
                <w:rFonts w:hint="default"/>
              </w:rPr>
            </w:pPr>
          </w:p>
        </w:tc>
      </w:tr>
      <w:tr w14:paraId="400F4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Borders>
              <w:top w:val="single" w:color="auto" w:sz="4" w:space="0"/>
              <w:left w:val="single" w:color="auto" w:sz="4" w:space="0"/>
              <w:bottom w:val="single" w:color="auto" w:sz="4" w:space="0"/>
              <w:right w:val="single" w:color="auto" w:sz="4" w:space="0"/>
            </w:tcBorders>
          </w:tcPr>
          <w:p w14:paraId="3894E737">
            <w:pPr>
              <w:keepNext w:val="0"/>
              <w:keepLines w:val="0"/>
              <w:suppressLineNumbers w:val="0"/>
              <w:spacing w:before="0" w:beforeAutospacing="0" w:after="0" w:afterAutospacing="0"/>
              <w:ind w:left="0" w:right="0"/>
              <w:rPr>
                <w:rFonts w:hint="default"/>
              </w:rPr>
            </w:pPr>
          </w:p>
        </w:tc>
        <w:tc>
          <w:tcPr>
            <w:tcW w:w="1228" w:type="dxa"/>
            <w:tcBorders>
              <w:top w:val="single" w:color="auto" w:sz="4" w:space="0"/>
              <w:left w:val="nil"/>
              <w:bottom w:val="single" w:color="auto" w:sz="4" w:space="0"/>
              <w:right w:val="single" w:color="auto" w:sz="4" w:space="0"/>
            </w:tcBorders>
          </w:tcPr>
          <w:p w14:paraId="1A3BA4FB">
            <w:pPr>
              <w:keepNext w:val="0"/>
              <w:keepLines w:val="0"/>
              <w:suppressLineNumbers w:val="0"/>
              <w:spacing w:before="0" w:beforeAutospacing="0" w:after="0" w:afterAutospacing="0"/>
              <w:ind w:left="0" w:right="0"/>
              <w:rPr>
                <w:rFonts w:hint="default"/>
              </w:rPr>
            </w:pPr>
          </w:p>
        </w:tc>
        <w:tc>
          <w:tcPr>
            <w:tcW w:w="1694" w:type="dxa"/>
            <w:tcBorders>
              <w:top w:val="single" w:color="auto" w:sz="4" w:space="0"/>
              <w:left w:val="nil"/>
              <w:bottom w:val="single" w:color="auto" w:sz="4" w:space="0"/>
              <w:right w:val="single" w:color="auto" w:sz="4" w:space="0"/>
            </w:tcBorders>
          </w:tcPr>
          <w:p w14:paraId="7BBC9E0A">
            <w:pPr>
              <w:keepNext w:val="0"/>
              <w:keepLines w:val="0"/>
              <w:suppressLineNumbers w:val="0"/>
              <w:spacing w:before="0" w:beforeAutospacing="0" w:after="0" w:afterAutospacing="0"/>
              <w:ind w:left="0" w:right="0"/>
              <w:rPr>
                <w:rFonts w:hint="default"/>
              </w:rPr>
            </w:pPr>
          </w:p>
        </w:tc>
        <w:tc>
          <w:tcPr>
            <w:tcW w:w="900" w:type="dxa"/>
            <w:tcBorders>
              <w:top w:val="single" w:color="auto" w:sz="4" w:space="0"/>
              <w:left w:val="nil"/>
              <w:bottom w:val="single" w:color="auto" w:sz="4" w:space="0"/>
              <w:right w:val="single" w:color="auto" w:sz="4" w:space="0"/>
            </w:tcBorders>
          </w:tcPr>
          <w:p w14:paraId="38FAF82A">
            <w:pPr>
              <w:keepNext w:val="0"/>
              <w:keepLines w:val="0"/>
              <w:suppressLineNumbers w:val="0"/>
              <w:spacing w:before="0" w:beforeAutospacing="0" w:after="0" w:afterAutospacing="0"/>
              <w:ind w:left="0" w:right="0"/>
              <w:rPr>
                <w:rFonts w:hint="default"/>
              </w:rPr>
            </w:pPr>
          </w:p>
        </w:tc>
        <w:tc>
          <w:tcPr>
            <w:tcW w:w="1401" w:type="dxa"/>
            <w:tcBorders>
              <w:top w:val="single" w:color="auto" w:sz="4" w:space="0"/>
              <w:left w:val="nil"/>
              <w:bottom w:val="single" w:color="auto" w:sz="4" w:space="0"/>
              <w:right w:val="single" w:color="auto" w:sz="4" w:space="0"/>
            </w:tcBorders>
          </w:tcPr>
          <w:p w14:paraId="6B7FE0E2">
            <w:pPr>
              <w:keepNext w:val="0"/>
              <w:keepLines w:val="0"/>
              <w:suppressLineNumbers w:val="0"/>
              <w:spacing w:before="0" w:beforeAutospacing="0" w:after="0" w:afterAutospacing="0"/>
              <w:ind w:left="0" w:right="0"/>
              <w:rPr>
                <w:rFonts w:hint="default"/>
              </w:rPr>
            </w:pPr>
          </w:p>
        </w:tc>
        <w:tc>
          <w:tcPr>
            <w:tcW w:w="709" w:type="dxa"/>
            <w:tcBorders>
              <w:top w:val="single" w:color="auto" w:sz="4" w:space="0"/>
              <w:left w:val="nil"/>
              <w:bottom w:val="single" w:color="auto" w:sz="4" w:space="0"/>
              <w:right w:val="single" w:color="auto" w:sz="4" w:space="0"/>
            </w:tcBorders>
          </w:tcPr>
          <w:p w14:paraId="3F82AE3D">
            <w:pPr>
              <w:keepNext w:val="0"/>
              <w:keepLines w:val="0"/>
              <w:suppressLineNumbers w:val="0"/>
              <w:spacing w:before="0" w:beforeAutospacing="0" w:after="0" w:afterAutospacing="0"/>
              <w:ind w:left="0" w:right="0"/>
              <w:rPr>
                <w:rFonts w:hint="default"/>
              </w:rPr>
            </w:pPr>
          </w:p>
        </w:tc>
        <w:tc>
          <w:tcPr>
            <w:tcW w:w="992" w:type="dxa"/>
            <w:tcBorders>
              <w:top w:val="single" w:color="auto" w:sz="4" w:space="0"/>
              <w:left w:val="nil"/>
              <w:bottom w:val="single" w:color="auto" w:sz="4" w:space="0"/>
              <w:right w:val="single" w:color="auto" w:sz="4" w:space="0"/>
            </w:tcBorders>
          </w:tcPr>
          <w:p w14:paraId="77B2825A">
            <w:pPr>
              <w:keepNext w:val="0"/>
              <w:keepLines w:val="0"/>
              <w:suppressLineNumbers w:val="0"/>
              <w:spacing w:before="0" w:beforeAutospacing="0" w:after="0" w:afterAutospacing="0"/>
              <w:ind w:left="0" w:right="0"/>
              <w:rPr>
                <w:rFonts w:hint="default"/>
              </w:rPr>
            </w:pPr>
          </w:p>
        </w:tc>
      </w:tr>
    </w:tbl>
    <w:p w14:paraId="3350E282">
      <w:pPr>
        <w:ind w:firstLine="482" w:firstLineChars="200"/>
        <w:rPr>
          <w:rFonts w:hAnsi="宋体"/>
          <w:b/>
          <w:bCs/>
        </w:rPr>
      </w:pPr>
      <w:r>
        <w:rPr>
          <w:rFonts w:hAnsi="宋体"/>
          <w:b/>
          <w:bCs/>
          <w:sz w:val="24"/>
        </w:rPr>
        <w:t xml:space="preserve"> </w:t>
      </w:r>
    </w:p>
    <w:tbl>
      <w:tblPr>
        <w:tblStyle w:val="43"/>
        <w:tblW w:w="7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2262"/>
        <w:gridCol w:w="2604"/>
        <w:gridCol w:w="1705"/>
      </w:tblGrid>
      <w:tr w14:paraId="49D55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6D5545FA">
            <w:pPr>
              <w:keepNext w:val="0"/>
              <w:keepLines w:val="0"/>
              <w:suppressLineNumbers w:val="0"/>
              <w:spacing w:before="0" w:beforeAutospacing="0" w:after="0" w:afterAutospacing="0"/>
              <w:ind w:left="0" w:right="0"/>
              <w:jc w:val="center"/>
              <w:rPr>
                <w:rFonts w:hint="default"/>
                <w:szCs w:val="21"/>
              </w:rPr>
            </w:pPr>
            <w:r>
              <w:rPr>
                <w:rFonts w:hint="eastAsia"/>
              </w:rPr>
              <w:t>序号</w:t>
            </w:r>
          </w:p>
        </w:tc>
        <w:tc>
          <w:tcPr>
            <w:tcW w:w="2262" w:type="dxa"/>
            <w:tcBorders>
              <w:top w:val="single" w:color="auto" w:sz="4" w:space="0"/>
              <w:left w:val="nil"/>
              <w:bottom w:val="single" w:color="auto" w:sz="4" w:space="0"/>
              <w:right w:val="single" w:color="auto" w:sz="4" w:space="0"/>
            </w:tcBorders>
          </w:tcPr>
          <w:p w14:paraId="55CE7AD3">
            <w:pPr>
              <w:keepNext w:val="0"/>
              <w:keepLines w:val="0"/>
              <w:suppressLineNumbers w:val="0"/>
              <w:spacing w:before="0" w:beforeAutospacing="0" w:after="0" w:afterAutospacing="0"/>
              <w:ind w:left="0" w:right="0"/>
              <w:jc w:val="center"/>
              <w:rPr>
                <w:rFonts w:hint="default"/>
              </w:rPr>
            </w:pPr>
            <w:r>
              <w:rPr>
                <w:rFonts w:hint="eastAsia"/>
              </w:rPr>
              <w:t>服务名称</w:t>
            </w:r>
          </w:p>
        </w:tc>
        <w:tc>
          <w:tcPr>
            <w:tcW w:w="2604" w:type="dxa"/>
            <w:tcBorders>
              <w:top w:val="single" w:color="auto" w:sz="4" w:space="0"/>
              <w:left w:val="nil"/>
              <w:bottom w:val="single" w:color="auto" w:sz="4" w:space="0"/>
              <w:right w:val="single" w:color="auto" w:sz="4" w:space="0"/>
            </w:tcBorders>
          </w:tcPr>
          <w:p w14:paraId="473F630C">
            <w:pPr>
              <w:keepNext w:val="0"/>
              <w:keepLines w:val="0"/>
              <w:suppressLineNumbers w:val="0"/>
              <w:spacing w:before="0" w:beforeAutospacing="0" w:after="0" w:afterAutospacing="0"/>
              <w:ind w:left="0" w:right="0"/>
              <w:jc w:val="center"/>
              <w:rPr>
                <w:rFonts w:hint="default"/>
              </w:rPr>
            </w:pPr>
            <w:r>
              <w:rPr>
                <w:rFonts w:hint="eastAsia"/>
              </w:rPr>
              <w:t>服务内容</w:t>
            </w:r>
          </w:p>
        </w:tc>
        <w:tc>
          <w:tcPr>
            <w:tcW w:w="1705" w:type="dxa"/>
            <w:tcBorders>
              <w:top w:val="single" w:color="auto" w:sz="4" w:space="0"/>
              <w:left w:val="nil"/>
              <w:bottom w:val="single" w:color="auto" w:sz="4" w:space="0"/>
              <w:right w:val="single" w:color="auto" w:sz="4" w:space="0"/>
            </w:tcBorders>
          </w:tcPr>
          <w:p w14:paraId="5D14344D">
            <w:pPr>
              <w:keepNext w:val="0"/>
              <w:keepLines w:val="0"/>
              <w:suppressLineNumbers w:val="0"/>
              <w:spacing w:before="0" w:beforeAutospacing="0" w:after="0" w:afterAutospacing="0"/>
              <w:ind w:left="0" w:right="0"/>
              <w:jc w:val="center"/>
              <w:rPr>
                <w:rFonts w:hint="default"/>
              </w:rPr>
            </w:pPr>
            <w:r>
              <w:rPr>
                <w:rFonts w:hint="eastAsia"/>
              </w:rPr>
              <w:t>价格（元）</w:t>
            </w:r>
          </w:p>
        </w:tc>
      </w:tr>
      <w:tr w14:paraId="76CF3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67C91B3A">
            <w:pPr>
              <w:keepNext w:val="0"/>
              <w:keepLines w:val="0"/>
              <w:suppressLineNumbers w:val="0"/>
              <w:spacing w:before="0" w:beforeAutospacing="0" w:after="0" w:afterAutospacing="0"/>
              <w:ind w:left="0" w:right="-69" w:rightChars="-33"/>
              <w:jc w:val="center"/>
              <w:rPr>
                <w:rFonts w:hint="default"/>
              </w:rPr>
            </w:pPr>
            <w:r>
              <w:rPr>
                <w:rFonts w:hint="eastAsia"/>
              </w:rPr>
              <w:t>1</w:t>
            </w:r>
          </w:p>
        </w:tc>
        <w:tc>
          <w:tcPr>
            <w:tcW w:w="2262" w:type="dxa"/>
            <w:tcBorders>
              <w:top w:val="single" w:color="auto" w:sz="4" w:space="0"/>
              <w:left w:val="nil"/>
              <w:bottom w:val="single" w:color="auto" w:sz="4" w:space="0"/>
              <w:right w:val="single" w:color="auto" w:sz="4" w:space="0"/>
            </w:tcBorders>
          </w:tcPr>
          <w:p w14:paraId="24001C6B">
            <w:pPr>
              <w:keepNext w:val="0"/>
              <w:keepLines w:val="0"/>
              <w:suppressLineNumbers w:val="0"/>
              <w:spacing w:before="0" w:beforeAutospacing="0" w:after="0" w:afterAutospacing="0"/>
              <w:ind w:left="0" w:right="0"/>
              <w:jc w:val="center"/>
              <w:rPr>
                <w:rFonts w:hint="default"/>
              </w:rPr>
            </w:pPr>
            <w:r>
              <w:rPr>
                <w:rFonts w:hint="eastAsia"/>
              </w:rPr>
              <w:t>延续保修合同</w:t>
            </w:r>
          </w:p>
        </w:tc>
        <w:tc>
          <w:tcPr>
            <w:tcW w:w="2604" w:type="dxa"/>
            <w:tcBorders>
              <w:top w:val="single" w:color="auto" w:sz="4" w:space="0"/>
              <w:left w:val="nil"/>
              <w:bottom w:val="single" w:color="auto" w:sz="4" w:space="0"/>
              <w:right w:val="single" w:color="auto" w:sz="4" w:space="0"/>
            </w:tcBorders>
          </w:tcPr>
          <w:p w14:paraId="6A1B59DF">
            <w:pPr>
              <w:keepNext w:val="0"/>
              <w:keepLines w:val="0"/>
              <w:suppressLineNumbers w:val="0"/>
              <w:spacing w:before="0" w:beforeAutospacing="0" w:after="0" w:afterAutospacing="0"/>
              <w:ind w:left="0" w:right="0"/>
              <w:jc w:val="center"/>
              <w:rPr>
                <w:rFonts w:hint="default" w:hAnsi="宋体"/>
                <w:b/>
                <w:bCs/>
              </w:rPr>
            </w:pPr>
          </w:p>
        </w:tc>
        <w:tc>
          <w:tcPr>
            <w:tcW w:w="1705" w:type="dxa"/>
            <w:tcBorders>
              <w:top w:val="single" w:color="auto" w:sz="4" w:space="0"/>
              <w:left w:val="nil"/>
              <w:bottom w:val="single" w:color="auto" w:sz="4" w:space="0"/>
              <w:right w:val="single" w:color="auto" w:sz="4" w:space="0"/>
            </w:tcBorders>
          </w:tcPr>
          <w:p w14:paraId="5CA1850A">
            <w:pPr>
              <w:keepNext w:val="0"/>
              <w:keepLines w:val="0"/>
              <w:suppressLineNumbers w:val="0"/>
              <w:spacing w:before="0" w:beforeAutospacing="0" w:after="0" w:afterAutospacing="0"/>
              <w:ind w:left="0" w:right="0"/>
              <w:jc w:val="center"/>
              <w:rPr>
                <w:rFonts w:hint="default" w:hAnsi="宋体"/>
                <w:b/>
                <w:bCs/>
              </w:rPr>
            </w:pPr>
          </w:p>
        </w:tc>
      </w:tr>
      <w:tr w14:paraId="7CDE2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2E05D7A6">
            <w:pPr>
              <w:keepNext w:val="0"/>
              <w:keepLines w:val="0"/>
              <w:suppressLineNumbers w:val="0"/>
              <w:spacing w:before="0" w:beforeAutospacing="0" w:after="0" w:afterAutospacing="0"/>
              <w:ind w:left="0" w:right="-69" w:rightChars="-33"/>
              <w:jc w:val="center"/>
              <w:rPr>
                <w:rFonts w:hint="default"/>
                <w:szCs w:val="21"/>
              </w:rPr>
            </w:pPr>
          </w:p>
        </w:tc>
        <w:tc>
          <w:tcPr>
            <w:tcW w:w="2262" w:type="dxa"/>
            <w:tcBorders>
              <w:top w:val="single" w:color="auto" w:sz="4" w:space="0"/>
              <w:left w:val="nil"/>
              <w:bottom w:val="single" w:color="auto" w:sz="4" w:space="0"/>
              <w:right w:val="single" w:color="auto" w:sz="4" w:space="0"/>
            </w:tcBorders>
          </w:tcPr>
          <w:p w14:paraId="354AA9A9">
            <w:pPr>
              <w:keepNext w:val="0"/>
              <w:keepLines w:val="0"/>
              <w:suppressLineNumbers w:val="0"/>
              <w:spacing w:before="0" w:beforeAutospacing="0" w:after="0" w:afterAutospacing="0"/>
              <w:ind w:left="0" w:right="0"/>
              <w:jc w:val="center"/>
              <w:rPr>
                <w:rFonts w:hint="default"/>
              </w:rPr>
            </w:pPr>
          </w:p>
        </w:tc>
        <w:tc>
          <w:tcPr>
            <w:tcW w:w="2604" w:type="dxa"/>
            <w:tcBorders>
              <w:top w:val="single" w:color="auto" w:sz="4" w:space="0"/>
              <w:left w:val="nil"/>
              <w:bottom w:val="single" w:color="auto" w:sz="4" w:space="0"/>
              <w:right w:val="single" w:color="auto" w:sz="4" w:space="0"/>
            </w:tcBorders>
          </w:tcPr>
          <w:p w14:paraId="62606053">
            <w:pPr>
              <w:keepNext w:val="0"/>
              <w:keepLines w:val="0"/>
              <w:suppressLineNumbers w:val="0"/>
              <w:spacing w:before="0" w:beforeAutospacing="0" w:after="0" w:afterAutospacing="0"/>
              <w:ind w:left="0" w:right="0"/>
              <w:jc w:val="center"/>
              <w:rPr>
                <w:rFonts w:hint="default" w:hAnsi="宋体"/>
                <w:b/>
                <w:bCs/>
              </w:rPr>
            </w:pPr>
          </w:p>
        </w:tc>
        <w:tc>
          <w:tcPr>
            <w:tcW w:w="1705" w:type="dxa"/>
            <w:tcBorders>
              <w:top w:val="single" w:color="auto" w:sz="4" w:space="0"/>
              <w:left w:val="nil"/>
              <w:bottom w:val="single" w:color="auto" w:sz="4" w:space="0"/>
              <w:right w:val="single" w:color="auto" w:sz="4" w:space="0"/>
            </w:tcBorders>
          </w:tcPr>
          <w:p w14:paraId="2B06ED26">
            <w:pPr>
              <w:keepNext w:val="0"/>
              <w:keepLines w:val="0"/>
              <w:suppressLineNumbers w:val="0"/>
              <w:spacing w:before="0" w:beforeAutospacing="0" w:after="0" w:afterAutospacing="0"/>
              <w:ind w:left="0" w:right="0"/>
              <w:jc w:val="center"/>
              <w:rPr>
                <w:rFonts w:hint="default" w:hAnsi="宋体"/>
                <w:b/>
                <w:bCs/>
              </w:rPr>
            </w:pPr>
          </w:p>
        </w:tc>
      </w:tr>
    </w:tbl>
    <w:p w14:paraId="11447EAF">
      <w:pPr>
        <w:ind w:firstLine="482" w:firstLineChars="200"/>
        <w:rPr>
          <w:rFonts w:hAnsi="宋体"/>
          <w:b/>
          <w:bCs/>
        </w:rPr>
      </w:pPr>
      <w:r>
        <w:rPr>
          <w:rFonts w:hAnsi="宋体"/>
          <w:b/>
          <w:bCs/>
          <w:sz w:val="24"/>
        </w:rPr>
        <w:t xml:space="preserve"> </w:t>
      </w:r>
    </w:p>
    <w:p w14:paraId="0DAEC6BB">
      <w:pPr>
        <w:tabs>
          <w:tab w:val="left" w:pos="720"/>
        </w:tabs>
        <w:jc w:val="center"/>
        <w:rPr>
          <w:b/>
          <w:sz w:val="24"/>
        </w:rPr>
      </w:pPr>
    </w:p>
    <w:p w14:paraId="77BFDD33">
      <w:pPr>
        <w:tabs>
          <w:tab w:val="left" w:pos="720"/>
        </w:tabs>
        <w:jc w:val="center"/>
        <w:rPr>
          <w:b/>
          <w:sz w:val="24"/>
        </w:rPr>
      </w:pPr>
    </w:p>
    <w:p w14:paraId="09A0C7E0">
      <w:pPr>
        <w:tabs>
          <w:tab w:val="left" w:pos="720"/>
        </w:tabs>
        <w:jc w:val="center"/>
        <w:rPr>
          <w:b/>
          <w:sz w:val="24"/>
        </w:rPr>
      </w:pPr>
    </w:p>
    <w:p w14:paraId="146F0543">
      <w:pPr>
        <w:pStyle w:val="2"/>
        <w:rPr>
          <w:rFonts w:hAnsi="宋体"/>
          <w:b/>
          <w:bCs/>
          <w:sz w:val="24"/>
        </w:rPr>
      </w:pPr>
    </w:p>
    <w:p w14:paraId="513523A7">
      <w:pPr>
        <w:pStyle w:val="3"/>
        <w:rPr>
          <w:rFonts w:hAnsi="宋体"/>
          <w:b/>
          <w:bCs/>
          <w:sz w:val="24"/>
        </w:rPr>
      </w:pPr>
    </w:p>
    <w:p w14:paraId="360976F9">
      <w:pPr>
        <w:pStyle w:val="3"/>
        <w:rPr>
          <w:rFonts w:hAnsi="宋体"/>
          <w:b/>
          <w:bCs/>
          <w:sz w:val="24"/>
        </w:rPr>
      </w:pPr>
    </w:p>
    <w:p w14:paraId="13962C3C">
      <w:pPr>
        <w:tabs>
          <w:tab w:val="left" w:pos="720"/>
        </w:tabs>
        <w:jc w:val="center"/>
        <w:rPr>
          <w:b/>
          <w:sz w:val="24"/>
        </w:rPr>
      </w:pPr>
      <w:r>
        <w:rPr>
          <w:rFonts w:hint="eastAsia"/>
          <w:b/>
          <w:sz w:val="24"/>
        </w:rPr>
        <w:t>（四）</w:t>
      </w:r>
      <w:bookmarkStart w:id="43" w:name="_Hlk72073235"/>
      <w:r>
        <w:rPr>
          <w:rFonts w:hint="eastAsia"/>
          <w:b/>
          <w:sz w:val="24"/>
        </w:rPr>
        <w:t>投标人认为需要涉及的其他内容报价清单</w:t>
      </w:r>
      <w:bookmarkEnd w:id="43"/>
    </w:p>
    <w:p w14:paraId="74F4AA37">
      <w:pPr>
        <w:rPr>
          <w:b/>
          <w:bCs/>
        </w:rPr>
      </w:pPr>
    </w:p>
    <w:p w14:paraId="2C2CBA3D">
      <w:pPr>
        <w:rPr>
          <w:rFonts w:hint="eastAsia" w:ascii="黑体" w:hAnsi="黑体" w:eastAsia="黑体" w:cs="黑体"/>
          <w:b w:val="0"/>
          <w:bCs w:val="0"/>
          <w:sz w:val="24"/>
          <w:szCs w:val="28"/>
        </w:rPr>
      </w:pPr>
      <w:r>
        <w:rPr>
          <w:rFonts w:hint="eastAsia" w:ascii="黑体" w:hAnsi="黑体" w:eastAsia="黑体" w:cs="黑体"/>
          <w:b w:val="0"/>
          <w:bCs w:val="0"/>
          <w:sz w:val="24"/>
          <w:szCs w:val="28"/>
        </w:rPr>
        <w:br w:type="page"/>
      </w:r>
    </w:p>
    <w:p w14:paraId="7E513FFD">
      <w:pPr>
        <w:pStyle w:val="5"/>
        <w:spacing w:before="0" w:after="0"/>
        <w:jc w:val="center"/>
        <w:rPr>
          <w:rFonts w:ascii="黑体" w:hAnsi="黑体" w:eastAsia="黑体" w:cs="黑体"/>
          <w:b w:val="0"/>
          <w:bCs w:val="0"/>
          <w:sz w:val="24"/>
          <w:szCs w:val="28"/>
        </w:rPr>
      </w:pPr>
      <w:r>
        <w:rPr>
          <w:rFonts w:hint="eastAsia" w:ascii="黑体" w:hAnsi="黑体" w:eastAsia="黑体" w:cs="黑体"/>
          <w:b w:val="0"/>
          <w:bCs w:val="0"/>
          <w:sz w:val="24"/>
          <w:szCs w:val="28"/>
          <w:lang w:val="en-US" w:eastAsia="zh-CN"/>
        </w:rPr>
        <w:t>五</w:t>
      </w:r>
      <w:r>
        <w:rPr>
          <w:rFonts w:hint="eastAsia" w:ascii="黑体" w:hAnsi="黑体" w:eastAsia="黑体" w:cs="黑体"/>
          <w:b w:val="0"/>
          <w:bCs w:val="0"/>
          <w:sz w:val="24"/>
          <w:szCs w:val="28"/>
        </w:rPr>
        <w:t>、供应商基本情况表</w:t>
      </w:r>
    </w:p>
    <w:p w14:paraId="51FB1305"/>
    <w:p w14:paraId="63AA5225">
      <w:pPr>
        <w:rPr>
          <w:rFonts w:ascii="宋体" w:hAnsi="宋体" w:cs="宋体"/>
          <w:sz w:val="24"/>
        </w:rPr>
      </w:pPr>
      <w:r>
        <w:rPr>
          <w:rFonts w:hint="eastAsia" w:ascii="宋体" w:hAnsi="宋体" w:cs="宋体"/>
          <w:sz w:val="24"/>
        </w:rPr>
        <w:t>填表单位：</w:t>
      </w:r>
      <w:r>
        <w:rPr>
          <w:rFonts w:hint="eastAsia" w:ascii="宋体" w:hAnsi="宋体" w:cs="宋体"/>
          <w:sz w:val="24"/>
          <w:lang w:val="en-US" w:eastAsia="zh-CN"/>
        </w:rPr>
        <w:t xml:space="preserve">                    </w:t>
      </w:r>
      <w:r>
        <w:rPr>
          <w:rFonts w:hint="eastAsia" w:ascii="宋体" w:hAnsi="宋体" w:cs="宋体"/>
          <w:sz w:val="24"/>
        </w:rPr>
        <w:t xml:space="preserve">                  填表日期：    年   月   日</w:t>
      </w:r>
    </w:p>
    <w:tbl>
      <w:tblPr>
        <w:tblStyle w:val="44"/>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315"/>
        <w:gridCol w:w="1238"/>
        <w:gridCol w:w="791"/>
        <w:gridCol w:w="912"/>
        <w:gridCol w:w="1972"/>
        <w:gridCol w:w="1928"/>
      </w:tblGrid>
      <w:tr w14:paraId="44330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412" w:type="dxa"/>
            <w:gridSpan w:val="2"/>
            <w:tcBorders>
              <w:top w:val="single" w:color="auto" w:sz="4" w:space="0"/>
              <w:left w:val="single" w:color="auto" w:sz="4" w:space="0"/>
              <w:bottom w:val="single" w:color="auto" w:sz="4" w:space="0"/>
              <w:right w:val="single" w:color="auto" w:sz="4" w:space="0"/>
            </w:tcBorders>
            <w:vAlign w:val="center"/>
          </w:tcPr>
          <w:p w14:paraId="4AFB5CA8">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采购人</w:t>
            </w:r>
          </w:p>
        </w:tc>
        <w:tc>
          <w:tcPr>
            <w:tcW w:w="2553" w:type="dxa"/>
            <w:gridSpan w:val="2"/>
            <w:tcBorders>
              <w:top w:val="single" w:color="auto" w:sz="4" w:space="0"/>
              <w:left w:val="single" w:color="auto" w:sz="4" w:space="0"/>
              <w:bottom w:val="single" w:color="auto" w:sz="4" w:space="0"/>
              <w:right w:val="single" w:color="auto" w:sz="4" w:space="0"/>
            </w:tcBorders>
            <w:vAlign w:val="center"/>
          </w:tcPr>
          <w:p w14:paraId="06C7A87D">
            <w:pPr>
              <w:keepNext w:val="0"/>
              <w:keepLines w:val="0"/>
              <w:suppressLineNumbers w:val="0"/>
              <w:spacing w:before="0" w:beforeAutospacing="0" w:after="0" w:afterAutospacing="0" w:line="400" w:lineRule="exact"/>
              <w:ind w:left="0" w:right="0"/>
              <w:jc w:val="left"/>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7B785A53">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项目名称</w:t>
            </w:r>
          </w:p>
        </w:tc>
        <w:tc>
          <w:tcPr>
            <w:tcW w:w="3900" w:type="dxa"/>
            <w:gridSpan w:val="2"/>
            <w:tcBorders>
              <w:top w:val="single" w:color="auto" w:sz="4" w:space="0"/>
              <w:left w:val="single" w:color="auto" w:sz="4" w:space="0"/>
              <w:bottom w:val="single" w:color="auto" w:sz="4" w:space="0"/>
              <w:right w:val="single" w:color="auto" w:sz="4" w:space="0"/>
            </w:tcBorders>
            <w:vAlign w:val="center"/>
          </w:tcPr>
          <w:p w14:paraId="53BE91ED">
            <w:pPr>
              <w:keepNext w:val="0"/>
              <w:keepLines w:val="0"/>
              <w:suppressLineNumbers w:val="0"/>
              <w:spacing w:before="0" w:beforeAutospacing="0" w:after="0" w:afterAutospacing="0" w:line="400" w:lineRule="exact"/>
              <w:ind w:left="0" w:right="0"/>
              <w:rPr>
                <w:rFonts w:hint="default" w:ascii="宋体" w:hAnsi="宋体" w:cs="宋体"/>
                <w:sz w:val="22"/>
                <w:szCs w:val="22"/>
              </w:rPr>
            </w:pPr>
          </w:p>
        </w:tc>
      </w:tr>
      <w:tr w14:paraId="71D65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412" w:type="dxa"/>
            <w:gridSpan w:val="2"/>
            <w:tcBorders>
              <w:top w:val="single" w:color="auto" w:sz="4" w:space="0"/>
              <w:left w:val="single" w:color="auto" w:sz="4" w:space="0"/>
              <w:bottom w:val="single" w:color="auto" w:sz="4" w:space="0"/>
              <w:right w:val="single" w:color="auto" w:sz="4" w:space="0"/>
            </w:tcBorders>
            <w:vAlign w:val="center"/>
          </w:tcPr>
          <w:p w14:paraId="4D349EE7">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投标（响应）供应商</w:t>
            </w:r>
          </w:p>
        </w:tc>
        <w:tc>
          <w:tcPr>
            <w:tcW w:w="2553" w:type="dxa"/>
            <w:gridSpan w:val="2"/>
            <w:tcBorders>
              <w:top w:val="single" w:color="auto" w:sz="4" w:space="0"/>
              <w:left w:val="single" w:color="auto" w:sz="4" w:space="0"/>
              <w:bottom w:val="single" w:color="auto" w:sz="4" w:space="0"/>
              <w:right w:val="single" w:color="auto" w:sz="4" w:space="0"/>
            </w:tcBorders>
            <w:vAlign w:val="center"/>
          </w:tcPr>
          <w:p w14:paraId="5AFEB10A">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542252E2">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供应商统一社会信用代码</w:t>
            </w:r>
          </w:p>
        </w:tc>
        <w:tc>
          <w:tcPr>
            <w:tcW w:w="3900" w:type="dxa"/>
            <w:gridSpan w:val="2"/>
            <w:tcBorders>
              <w:top w:val="single" w:color="auto" w:sz="4" w:space="0"/>
              <w:left w:val="single" w:color="auto" w:sz="4" w:space="0"/>
              <w:bottom w:val="single" w:color="auto" w:sz="4" w:space="0"/>
              <w:right w:val="single" w:color="auto" w:sz="4" w:space="0"/>
            </w:tcBorders>
            <w:vAlign w:val="center"/>
          </w:tcPr>
          <w:p w14:paraId="4C46FFEB">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14:paraId="7A8E1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20DE98E3">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b/>
                <w:bCs/>
                <w:sz w:val="22"/>
                <w:szCs w:val="22"/>
              </w:rPr>
              <w:t>投标（响应）供应商相关人员情况</w:t>
            </w:r>
          </w:p>
        </w:tc>
      </w:tr>
      <w:tr w14:paraId="71DB1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5E21C7B7">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序号</w:t>
            </w: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01ED149B">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职务</w:t>
            </w:r>
          </w:p>
        </w:tc>
        <w:tc>
          <w:tcPr>
            <w:tcW w:w="1238" w:type="dxa"/>
            <w:tcBorders>
              <w:top w:val="single" w:color="auto" w:sz="4" w:space="0"/>
              <w:left w:val="single" w:color="auto" w:sz="4" w:space="0"/>
              <w:bottom w:val="single" w:color="auto" w:sz="4" w:space="0"/>
              <w:right w:val="single" w:color="auto" w:sz="4" w:space="0"/>
            </w:tcBorders>
            <w:vAlign w:val="center"/>
          </w:tcPr>
          <w:p w14:paraId="044CCB5E">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姓名</w:t>
            </w: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7F4D3478">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身份证号码</w:t>
            </w:r>
          </w:p>
        </w:tc>
        <w:tc>
          <w:tcPr>
            <w:tcW w:w="1972" w:type="dxa"/>
            <w:tcBorders>
              <w:top w:val="single" w:color="auto" w:sz="4" w:space="0"/>
              <w:left w:val="single" w:color="auto" w:sz="4" w:space="0"/>
              <w:bottom w:val="single" w:color="auto" w:sz="4" w:space="0"/>
              <w:right w:val="single" w:color="auto" w:sz="4" w:space="0"/>
            </w:tcBorders>
            <w:vAlign w:val="center"/>
          </w:tcPr>
          <w:p w14:paraId="1B6CB9EE">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劳动合同</w:t>
            </w:r>
          </w:p>
          <w:p w14:paraId="5B9D0370">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关系单位</w:t>
            </w:r>
          </w:p>
        </w:tc>
        <w:tc>
          <w:tcPr>
            <w:tcW w:w="1928" w:type="dxa"/>
            <w:tcBorders>
              <w:top w:val="single" w:color="auto" w:sz="4" w:space="0"/>
              <w:left w:val="single" w:color="auto" w:sz="4" w:space="0"/>
              <w:bottom w:val="single" w:color="auto" w:sz="4" w:space="0"/>
              <w:right w:val="single" w:color="auto" w:sz="4" w:space="0"/>
            </w:tcBorders>
            <w:vAlign w:val="center"/>
          </w:tcPr>
          <w:p w14:paraId="5D1ED972">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缴纳社会</w:t>
            </w:r>
          </w:p>
          <w:p w14:paraId="1C294169">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保险单位</w:t>
            </w:r>
          </w:p>
        </w:tc>
      </w:tr>
      <w:tr w14:paraId="3827F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6223D988">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1</w:t>
            </w: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36F4AE6E">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法定代表人/单位负责人/主要经营负责人</w:t>
            </w:r>
          </w:p>
        </w:tc>
        <w:tc>
          <w:tcPr>
            <w:tcW w:w="1238" w:type="dxa"/>
            <w:tcBorders>
              <w:top w:val="single" w:color="auto" w:sz="4" w:space="0"/>
              <w:left w:val="single" w:color="auto" w:sz="4" w:space="0"/>
              <w:bottom w:val="single" w:color="auto" w:sz="4" w:space="0"/>
              <w:right w:val="single" w:color="auto" w:sz="4" w:space="0"/>
            </w:tcBorders>
            <w:vAlign w:val="center"/>
          </w:tcPr>
          <w:p w14:paraId="531347EA">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3A4CD2C8">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14:paraId="4BA8EE4F">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14:paraId="6CDB0BA2">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14:paraId="18599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5C6B4483">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2</w:t>
            </w: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670BA2E8">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项目投标授权代表人</w:t>
            </w:r>
          </w:p>
        </w:tc>
        <w:tc>
          <w:tcPr>
            <w:tcW w:w="1238" w:type="dxa"/>
            <w:tcBorders>
              <w:top w:val="single" w:color="auto" w:sz="4" w:space="0"/>
              <w:left w:val="single" w:color="auto" w:sz="4" w:space="0"/>
              <w:bottom w:val="single" w:color="auto" w:sz="4" w:space="0"/>
              <w:right w:val="single" w:color="auto" w:sz="4" w:space="0"/>
            </w:tcBorders>
            <w:vAlign w:val="center"/>
          </w:tcPr>
          <w:p w14:paraId="0F0A2C24">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73369E3D">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14:paraId="6CD98ECE">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14:paraId="0806AD39">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14:paraId="0714E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773454E3">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lang w:bidi="ar"/>
              </w:rPr>
              <w:t>3</w:t>
            </w: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16721C45">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项目负责人</w:t>
            </w:r>
          </w:p>
        </w:tc>
        <w:tc>
          <w:tcPr>
            <w:tcW w:w="1238" w:type="dxa"/>
            <w:tcBorders>
              <w:top w:val="single" w:color="auto" w:sz="4" w:space="0"/>
              <w:left w:val="single" w:color="auto" w:sz="4" w:space="0"/>
              <w:bottom w:val="single" w:color="auto" w:sz="4" w:space="0"/>
              <w:right w:val="single" w:color="auto" w:sz="4" w:space="0"/>
            </w:tcBorders>
            <w:vAlign w:val="center"/>
          </w:tcPr>
          <w:p w14:paraId="704366D8">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285B7527">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14:paraId="2087D7E3">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14:paraId="07922074">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14:paraId="5002D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150D886C">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lang w:bidi="ar"/>
              </w:rPr>
              <w:t>4</w:t>
            </w: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32ED6401">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主要技术人员</w:t>
            </w:r>
          </w:p>
        </w:tc>
        <w:tc>
          <w:tcPr>
            <w:tcW w:w="1238" w:type="dxa"/>
            <w:tcBorders>
              <w:top w:val="single" w:color="auto" w:sz="4" w:space="0"/>
              <w:left w:val="single" w:color="auto" w:sz="4" w:space="0"/>
              <w:bottom w:val="single" w:color="auto" w:sz="4" w:space="0"/>
              <w:right w:val="single" w:color="auto" w:sz="4" w:space="0"/>
            </w:tcBorders>
            <w:vAlign w:val="center"/>
          </w:tcPr>
          <w:p w14:paraId="67F61CD5">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3481BB45">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14:paraId="410A1258">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14:paraId="7B85B6FE">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14:paraId="2B819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0DF9F306">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lang w:bidi="ar"/>
              </w:rPr>
              <w:t>5</w:t>
            </w: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50066245">
            <w:pPr>
              <w:pStyle w:val="9"/>
              <w:keepNext w:val="0"/>
              <w:keepLines w:val="0"/>
              <w:suppressLineNumbers w:val="0"/>
              <w:snapToGrid w:val="0"/>
              <w:spacing w:before="0" w:beforeAutospacing="0" w:after="0" w:afterAutospacing="0" w:line="400" w:lineRule="exact"/>
              <w:ind w:left="0" w:right="0" w:firstLine="0"/>
              <w:jc w:val="center"/>
              <w:rPr>
                <w:rFonts w:hint="default" w:ascii="宋体" w:hAnsi="宋体" w:cs="宋体"/>
                <w:sz w:val="22"/>
                <w:szCs w:val="22"/>
              </w:rPr>
            </w:pPr>
            <w:r>
              <w:rPr>
                <w:rFonts w:hint="eastAsia" w:ascii="宋体" w:hAnsi="宋体" w:cs="宋体"/>
                <w:sz w:val="22"/>
                <w:szCs w:val="22"/>
              </w:rPr>
              <w:t>投标文件编制人员</w:t>
            </w:r>
          </w:p>
        </w:tc>
        <w:tc>
          <w:tcPr>
            <w:tcW w:w="1238" w:type="dxa"/>
            <w:tcBorders>
              <w:top w:val="single" w:color="auto" w:sz="4" w:space="0"/>
              <w:left w:val="single" w:color="auto" w:sz="4" w:space="0"/>
              <w:bottom w:val="single" w:color="auto" w:sz="4" w:space="0"/>
              <w:right w:val="single" w:color="auto" w:sz="4" w:space="0"/>
            </w:tcBorders>
            <w:vAlign w:val="center"/>
          </w:tcPr>
          <w:p w14:paraId="3A6CB1FC">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3337B6BD">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14:paraId="78FE9E13">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14:paraId="4FFF4A2A">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14:paraId="49616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3E3E2DEC">
            <w:pPr>
              <w:keepNext w:val="0"/>
              <w:keepLines w:val="0"/>
              <w:suppressLineNumbers w:val="0"/>
              <w:spacing w:before="0" w:beforeAutospacing="0" w:after="0" w:afterAutospacing="0" w:line="400" w:lineRule="exact"/>
              <w:ind w:left="0" w:right="0"/>
              <w:jc w:val="left"/>
              <w:rPr>
                <w:rFonts w:hint="default" w:ascii="宋体" w:hAnsi="宋体" w:cs="宋体"/>
                <w:sz w:val="22"/>
                <w:szCs w:val="22"/>
              </w:rPr>
            </w:pPr>
            <w:r>
              <w:rPr>
                <w:rFonts w:hint="eastAsia" w:ascii="宋体" w:hAnsi="宋体" w:cs="宋体"/>
                <w:b/>
                <w:bCs/>
                <w:sz w:val="22"/>
                <w:szCs w:val="22"/>
              </w:rPr>
              <w:t>说明：同一职务有多人担任（如主要技术人员），应分行填写。</w:t>
            </w:r>
          </w:p>
        </w:tc>
      </w:tr>
      <w:tr w14:paraId="22982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58C7C2D6">
            <w:pPr>
              <w:keepNext w:val="0"/>
              <w:keepLines w:val="0"/>
              <w:suppressLineNumbers w:val="0"/>
              <w:spacing w:before="0" w:beforeAutospacing="0" w:after="0" w:afterAutospacing="0" w:line="400" w:lineRule="exact"/>
              <w:ind w:left="0" w:right="0"/>
              <w:jc w:val="center"/>
              <w:rPr>
                <w:rFonts w:hint="default" w:ascii="宋体" w:hAnsi="宋体" w:cs="宋体"/>
                <w:b/>
                <w:bCs/>
                <w:sz w:val="22"/>
                <w:szCs w:val="22"/>
              </w:rPr>
            </w:pPr>
            <w:r>
              <w:rPr>
                <w:rFonts w:hint="eastAsia" w:ascii="宋体" w:hAnsi="宋体" w:cs="宋体"/>
                <w:b/>
                <w:bCs/>
                <w:sz w:val="22"/>
                <w:szCs w:val="22"/>
              </w:rPr>
              <w:t>投标（响应）供应商关联关系情况</w:t>
            </w:r>
          </w:p>
        </w:tc>
      </w:tr>
      <w:tr w14:paraId="0471F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4B0803BC">
            <w:pPr>
              <w:keepNext w:val="0"/>
              <w:keepLines w:val="0"/>
              <w:suppressLineNumbers w:val="0"/>
              <w:spacing w:before="0" w:beforeAutospacing="0" w:after="0" w:afterAutospacing="0" w:line="400" w:lineRule="exact"/>
              <w:ind w:left="0" w:right="0"/>
              <w:jc w:val="center"/>
              <w:rPr>
                <w:rFonts w:hint="default" w:ascii="宋体" w:hAnsi="宋体" w:cs="宋体"/>
                <w:sz w:val="22"/>
                <w:szCs w:val="22"/>
                <w:lang w:bidi="ar"/>
              </w:rPr>
            </w:pPr>
            <w:r>
              <w:rPr>
                <w:rFonts w:hint="eastAsia" w:ascii="宋体" w:hAnsi="宋体" w:cs="宋体"/>
                <w:sz w:val="22"/>
                <w:szCs w:val="22"/>
                <w:lang w:bidi="ar"/>
              </w:rPr>
              <w:t>序号</w:t>
            </w: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5B4051FD">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关联关系类型</w:t>
            </w:r>
          </w:p>
        </w:tc>
        <w:tc>
          <w:tcPr>
            <w:tcW w:w="2029" w:type="dxa"/>
            <w:gridSpan w:val="2"/>
            <w:tcBorders>
              <w:top w:val="single" w:color="auto" w:sz="4" w:space="0"/>
              <w:left w:val="single" w:color="auto" w:sz="4" w:space="0"/>
              <w:bottom w:val="single" w:color="auto" w:sz="4" w:space="0"/>
              <w:right w:val="single" w:color="auto" w:sz="4" w:space="0"/>
            </w:tcBorders>
            <w:vAlign w:val="center"/>
          </w:tcPr>
          <w:p w14:paraId="7824EE7E">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关联主体名称</w:t>
            </w:r>
          </w:p>
        </w:tc>
        <w:tc>
          <w:tcPr>
            <w:tcW w:w="4812" w:type="dxa"/>
            <w:gridSpan w:val="3"/>
            <w:tcBorders>
              <w:top w:val="single" w:color="auto" w:sz="4" w:space="0"/>
              <w:left w:val="single" w:color="auto" w:sz="4" w:space="0"/>
              <w:bottom w:val="single" w:color="auto" w:sz="4" w:space="0"/>
              <w:right w:val="single" w:color="auto" w:sz="4" w:space="0"/>
            </w:tcBorders>
            <w:vAlign w:val="center"/>
          </w:tcPr>
          <w:p w14:paraId="374D62E9">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备注</w:t>
            </w:r>
          </w:p>
        </w:tc>
      </w:tr>
      <w:tr w14:paraId="305A6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2EBA9575">
            <w:pPr>
              <w:keepNext w:val="0"/>
              <w:keepLines w:val="0"/>
              <w:suppressLineNumbers w:val="0"/>
              <w:spacing w:before="0" w:beforeAutospacing="0" w:after="0" w:afterAutospacing="0" w:line="400" w:lineRule="exact"/>
              <w:ind w:left="0" w:right="0"/>
              <w:jc w:val="center"/>
              <w:rPr>
                <w:rFonts w:hint="default" w:ascii="宋体" w:hAnsi="宋体" w:cs="宋体"/>
                <w:sz w:val="22"/>
                <w:szCs w:val="22"/>
                <w:lang w:bidi="ar"/>
              </w:rPr>
            </w:pPr>
            <w:r>
              <w:rPr>
                <w:rFonts w:hint="eastAsia" w:ascii="宋体" w:hAnsi="宋体" w:cs="宋体"/>
                <w:sz w:val="22"/>
                <w:szCs w:val="22"/>
                <w:lang w:bidi="ar"/>
              </w:rPr>
              <w:t>1</w:t>
            </w: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65E3919A">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控股股东</w:t>
            </w:r>
          </w:p>
        </w:tc>
        <w:tc>
          <w:tcPr>
            <w:tcW w:w="2029" w:type="dxa"/>
            <w:gridSpan w:val="2"/>
            <w:tcBorders>
              <w:top w:val="single" w:color="auto" w:sz="4" w:space="0"/>
              <w:left w:val="single" w:color="auto" w:sz="4" w:space="0"/>
              <w:bottom w:val="single" w:color="auto" w:sz="4" w:space="0"/>
              <w:right w:val="single" w:color="auto" w:sz="4" w:space="0"/>
            </w:tcBorders>
            <w:vAlign w:val="center"/>
          </w:tcPr>
          <w:p w14:paraId="17C7EAC2">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4812" w:type="dxa"/>
            <w:gridSpan w:val="3"/>
            <w:tcBorders>
              <w:top w:val="single" w:color="auto" w:sz="4" w:space="0"/>
              <w:left w:val="single" w:color="auto" w:sz="4" w:space="0"/>
              <w:bottom w:val="single" w:color="auto" w:sz="4" w:space="0"/>
              <w:right w:val="single" w:color="auto" w:sz="4" w:space="0"/>
            </w:tcBorders>
            <w:vAlign w:val="center"/>
          </w:tcPr>
          <w:p w14:paraId="39AC8108">
            <w:pPr>
              <w:keepNext w:val="0"/>
              <w:keepLines w:val="0"/>
              <w:suppressLineNumbers w:val="0"/>
              <w:snapToGrid w:val="0"/>
              <w:spacing w:before="0" w:beforeAutospacing="0" w:after="0" w:afterAutospacing="0" w:line="400" w:lineRule="exact"/>
              <w:ind w:left="0" w:right="0"/>
              <w:jc w:val="left"/>
              <w:rPr>
                <w:rFonts w:hint="default" w:ascii="宋体" w:hAnsi="宋体" w:cs="宋体"/>
                <w:sz w:val="22"/>
                <w:szCs w:val="22"/>
              </w:rPr>
            </w:pPr>
            <w:r>
              <w:rPr>
                <w:rFonts w:hint="eastAsia" w:ascii="宋体" w:hAnsi="宋体" w:cs="宋体"/>
                <w:sz w:val="22"/>
                <w:szCs w:val="22"/>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20D54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50C8DFD5">
            <w:pPr>
              <w:keepNext w:val="0"/>
              <w:keepLines w:val="0"/>
              <w:suppressLineNumbers w:val="0"/>
              <w:spacing w:before="0" w:beforeAutospacing="0" w:after="0" w:afterAutospacing="0" w:line="400" w:lineRule="exact"/>
              <w:ind w:left="0" w:right="0"/>
              <w:jc w:val="center"/>
              <w:rPr>
                <w:rFonts w:hint="default" w:ascii="宋体" w:hAnsi="宋体" w:cs="宋体"/>
                <w:sz w:val="22"/>
                <w:szCs w:val="22"/>
                <w:lang w:bidi="ar"/>
              </w:rPr>
            </w:pPr>
            <w:r>
              <w:rPr>
                <w:rFonts w:hint="eastAsia" w:ascii="宋体" w:hAnsi="宋体" w:cs="宋体"/>
                <w:sz w:val="22"/>
                <w:szCs w:val="22"/>
                <w:lang w:bidi="ar"/>
              </w:rPr>
              <w:t>2</w:t>
            </w: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325E82C5">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管理关系</w:t>
            </w:r>
          </w:p>
        </w:tc>
        <w:tc>
          <w:tcPr>
            <w:tcW w:w="2029" w:type="dxa"/>
            <w:gridSpan w:val="2"/>
            <w:tcBorders>
              <w:top w:val="single" w:color="auto" w:sz="4" w:space="0"/>
              <w:left w:val="single" w:color="auto" w:sz="4" w:space="0"/>
              <w:bottom w:val="single" w:color="auto" w:sz="4" w:space="0"/>
              <w:right w:val="single" w:color="auto" w:sz="4" w:space="0"/>
            </w:tcBorders>
            <w:vAlign w:val="center"/>
          </w:tcPr>
          <w:p w14:paraId="333080B4">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4812" w:type="dxa"/>
            <w:gridSpan w:val="3"/>
            <w:tcBorders>
              <w:top w:val="single" w:color="auto" w:sz="4" w:space="0"/>
              <w:left w:val="single" w:color="auto" w:sz="4" w:space="0"/>
              <w:bottom w:val="single" w:color="auto" w:sz="4" w:space="0"/>
              <w:right w:val="single" w:color="auto" w:sz="4" w:space="0"/>
            </w:tcBorders>
            <w:vAlign w:val="center"/>
          </w:tcPr>
          <w:p w14:paraId="00022484">
            <w:pPr>
              <w:keepNext w:val="0"/>
              <w:keepLines w:val="0"/>
              <w:suppressLineNumbers w:val="0"/>
              <w:snapToGrid w:val="0"/>
              <w:spacing w:before="0" w:beforeAutospacing="0" w:after="0" w:afterAutospacing="0" w:line="400" w:lineRule="exact"/>
              <w:ind w:left="0" w:right="0"/>
              <w:jc w:val="left"/>
              <w:rPr>
                <w:rFonts w:hint="default" w:ascii="宋体" w:hAnsi="宋体" w:cs="宋体"/>
                <w:sz w:val="22"/>
                <w:szCs w:val="22"/>
              </w:rPr>
            </w:pPr>
            <w:r>
              <w:rPr>
                <w:rFonts w:hint="eastAsia" w:ascii="宋体" w:hAnsi="宋体" w:cs="宋体"/>
                <w:sz w:val="22"/>
                <w:szCs w:val="22"/>
              </w:rPr>
              <w:t>指对投标（响应）供应商不具有出资持股关系，但对其存在管理关系的主体。</w:t>
            </w:r>
          </w:p>
        </w:tc>
      </w:tr>
      <w:tr w14:paraId="6B3F4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6B7A5335">
            <w:pPr>
              <w:keepNext w:val="0"/>
              <w:keepLines w:val="0"/>
              <w:suppressLineNumbers w:val="0"/>
              <w:snapToGrid w:val="0"/>
              <w:spacing w:before="0" w:beforeAutospacing="0" w:after="0" w:afterAutospacing="0" w:line="400" w:lineRule="exact"/>
              <w:ind w:left="0" w:right="0"/>
              <w:jc w:val="left"/>
              <w:rPr>
                <w:rFonts w:hint="default" w:ascii="宋体" w:hAnsi="宋体" w:cs="宋体"/>
                <w:sz w:val="22"/>
                <w:szCs w:val="22"/>
              </w:rPr>
            </w:pPr>
            <w:r>
              <w:rPr>
                <w:rFonts w:hint="eastAsia" w:ascii="宋体" w:hAnsi="宋体" w:cs="宋体"/>
                <w:b/>
                <w:bCs/>
                <w:sz w:val="22"/>
                <w:szCs w:val="22"/>
              </w:rPr>
              <w:t>说明：同一关联关系类型有多个主体的，应分行填写。</w:t>
            </w:r>
          </w:p>
        </w:tc>
      </w:tr>
    </w:tbl>
    <w:p w14:paraId="025C5D50">
      <w:pPr>
        <w:widowControl/>
        <w:jc w:val="left"/>
        <w:rPr>
          <w:rFonts w:ascii="宋体" w:hAnsi="宋体" w:cs="宋体"/>
          <w:sz w:val="20"/>
          <w:szCs w:val="22"/>
        </w:rPr>
        <w:sectPr>
          <w:pgSz w:w="11906" w:h="16838"/>
          <w:pgMar w:top="1417" w:right="1417" w:bottom="1417" w:left="1701" w:header="851" w:footer="1588" w:gutter="0"/>
          <w:pgNumType w:fmt="numberInDash"/>
          <w:cols w:space="720" w:num="1"/>
          <w:docGrid w:type="lines" w:linePitch="312" w:charSpace="0"/>
        </w:sectPr>
      </w:pPr>
    </w:p>
    <w:p w14:paraId="6CBABBC3">
      <w:pPr>
        <w:pStyle w:val="5"/>
        <w:jc w:val="center"/>
        <w:rPr>
          <w:rFonts w:ascii="黑体" w:eastAsia="黑体"/>
          <w:b w:val="0"/>
          <w:sz w:val="24"/>
        </w:rPr>
      </w:pPr>
      <w:r>
        <w:rPr>
          <w:rFonts w:hint="eastAsia" w:ascii="黑体" w:eastAsia="黑体"/>
          <w:b w:val="0"/>
          <w:sz w:val="24"/>
          <w:lang w:val="en-US" w:eastAsia="zh-CN"/>
        </w:rPr>
        <w:t>六</w:t>
      </w:r>
      <w:r>
        <w:rPr>
          <w:rFonts w:hint="eastAsia" w:ascii="黑体" w:eastAsia="黑体"/>
          <w:b w:val="0"/>
          <w:sz w:val="24"/>
        </w:rPr>
        <w:t>、法定代表人（负责人）证明书</w:t>
      </w:r>
    </w:p>
    <w:p w14:paraId="0DC7F087">
      <w:pPr>
        <w:rPr>
          <w:sz w:val="24"/>
        </w:rPr>
      </w:pPr>
    </w:p>
    <w:p w14:paraId="7B9A3573">
      <w:pPr>
        <w:spacing w:line="360" w:lineRule="auto"/>
        <w:ind w:firstLine="420" w:firstLineChars="200"/>
        <w:rPr>
          <w:szCs w:val="21"/>
        </w:rPr>
      </w:pPr>
      <w:r>
        <w:rPr>
          <w:szCs w:val="21"/>
          <w:u w:val="single"/>
          <w:lang w:bidi="ar"/>
        </w:rPr>
        <w:t xml:space="preserve">                 </w:t>
      </w:r>
      <w:r>
        <w:rPr>
          <w:rFonts w:hint="eastAsia" w:cs="宋体"/>
          <w:szCs w:val="21"/>
          <w:lang w:bidi="ar"/>
        </w:rPr>
        <w:t>（姓名），现任我单位</w:t>
      </w:r>
      <w:r>
        <w:rPr>
          <w:szCs w:val="21"/>
          <w:u w:val="single"/>
          <w:lang w:bidi="ar"/>
        </w:rPr>
        <w:t xml:space="preserve">             </w:t>
      </w:r>
      <w:r>
        <w:rPr>
          <w:rFonts w:hint="eastAsia" w:cs="宋体"/>
          <w:szCs w:val="21"/>
          <w:lang w:bidi="ar"/>
        </w:rPr>
        <w:t>职务，为法定代表人（负责人），身份证件号为：</w:t>
      </w:r>
      <w:r>
        <w:rPr>
          <w:szCs w:val="21"/>
          <w:u w:val="single"/>
          <w:lang w:bidi="ar"/>
        </w:rPr>
        <w:t xml:space="preserve">                                     </w:t>
      </w:r>
      <w:r>
        <w:rPr>
          <w:rFonts w:hint="eastAsia" w:cs="宋体"/>
          <w:szCs w:val="21"/>
          <w:lang w:bidi="ar"/>
        </w:rPr>
        <w:t>，联系电话：</w:t>
      </w:r>
      <w:r>
        <w:rPr>
          <w:szCs w:val="21"/>
          <w:u w:val="single"/>
          <w:lang w:bidi="ar"/>
        </w:rPr>
        <w:t xml:space="preserve">                </w:t>
      </w:r>
      <w:r>
        <w:rPr>
          <w:rFonts w:hint="eastAsia" w:cs="宋体"/>
          <w:szCs w:val="21"/>
          <w:lang w:bidi="ar"/>
        </w:rPr>
        <w:t>。</w:t>
      </w:r>
    </w:p>
    <w:p w14:paraId="78E4B5E5">
      <w:pPr>
        <w:spacing w:line="360" w:lineRule="auto"/>
        <w:ind w:firstLine="422" w:firstLineChars="200"/>
        <w:rPr>
          <w:b/>
          <w:bCs/>
          <w:color w:val="FF0000"/>
          <w:szCs w:val="21"/>
        </w:rPr>
      </w:pPr>
      <w:r>
        <w:rPr>
          <w:rFonts w:hint="eastAsia" w:cs="宋体"/>
          <w:b/>
          <w:bCs/>
          <w:color w:val="FF0000"/>
          <w:szCs w:val="21"/>
          <w:lang w:bidi="ar"/>
        </w:rPr>
        <w:t>特此证明。</w:t>
      </w:r>
    </w:p>
    <w:p w14:paraId="4E945537">
      <w:pPr>
        <w:spacing w:line="360" w:lineRule="auto"/>
        <w:rPr>
          <w:b/>
          <w:bCs/>
          <w:color w:val="FF0000"/>
          <w:szCs w:val="21"/>
        </w:rPr>
      </w:pPr>
      <w:r>
        <w:rPr>
          <w:rFonts w:hint="eastAsia" w:cs="宋体"/>
          <w:b/>
          <w:bCs/>
          <w:color w:val="FF0000"/>
          <w:szCs w:val="21"/>
          <w:lang w:bidi="ar"/>
        </w:rPr>
        <w:t>说明：</w:t>
      </w:r>
      <w:r>
        <w:rPr>
          <w:b/>
          <w:bCs/>
          <w:color w:val="FF0000"/>
          <w:szCs w:val="21"/>
          <w:lang w:bidi="ar"/>
        </w:rPr>
        <w:t>1</w:t>
      </w:r>
      <w:r>
        <w:rPr>
          <w:rFonts w:hint="eastAsia" w:cs="宋体"/>
          <w:b/>
          <w:bCs/>
          <w:color w:val="FF0000"/>
          <w:szCs w:val="21"/>
          <w:lang w:bidi="ar"/>
        </w:rPr>
        <w:t>、法定代表人为投标人（企业事业单位、国家机关、社会团体）的主要行政负责人。</w:t>
      </w:r>
    </w:p>
    <w:p w14:paraId="29B44A20">
      <w:pPr>
        <w:numPr>
          <w:ilvl w:val="0"/>
          <w:numId w:val="8"/>
        </w:numPr>
        <w:spacing w:line="360" w:lineRule="auto"/>
        <w:ind w:firstLine="422" w:firstLineChars="200"/>
        <w:rPr>
          <w:b/>
          <w:bCs/>
          <w:color w:val="FF0000"/>
          <w:szCs w:val="21"/>
        </w:rPr>
      </w:pPr>
      <w:r>
        <w:rPr>
          <w:rFonts w:hint="eastAsia" w:cs="宋体"/>
          <w:b/>
          <w:bCs/>
          <w:color w:val="FF0000"/>
          <w:szCs w:val="21"/>
          <w:lang w:bidi="ar"/>
        </w:rPr>
        <w:t>本证明书要供法定代表人（负责人）相关身份证明文件：身份证扫描件（正反两面）；港澳台居民可提供来往通行证扫描件；非中国国籍管辖范围人员，可提供公安部门认可的身份证明材料扫描件。</w:t>
      </w:r>
    </w:p>
    <w:p w14:paraId="7F43CD1E">
      <w:pPr>
        <w:numPr>
          <w:ilvl w:val="0"/>
          <w:numId w:val="8"/>
        </w:numPr>
        <w:spacing w:line="360" w:lineRule="auto"/>
        <w:ind w:firstLine="422" w:firstLineChars="200"/>
        <w:rPr>
          <w:b/>
          <w:bCs/>
          <w:color w:val="FF0000"/>
          <w:szCs w:val="21"/>
        </w:rPr>
      </w:pPr>
      <w:r>
        <w:rPr>
          <w:rFonts w:hint="eastAsia" w:cs="宋体"/>
          <w:b/>
          <w:bCs/>
          <w:color w:val="FF0000"/>
          <w:szCs w:val="21"/>
          <w:lang w:bidi="ar"/>
        </w:rPr>
        <w:t>本项目投标授权代表为法定代表人（负责人）的，无需提供《投标文件签署授权委托书》。</w:t>
      </w:r>
    </w:p>
    <w:p w14:paraId="1F8B19C6">
      <w:pPr>
        <w:numPr>
          <w:ilvl w:val="0"/>
          <w:numId w:val="8"/>
        </w:numPr>
        <w:spacing w:line="360" w:lineRule="auto"/>
        <w:ind w:firstLine="422" w:firstLineChars="200"/>
        <w:rPr>
          <w:b/>
          <w:bCs/>
          <w:color w:val="FF0000"/>
          <w:szCs w:val="21"/>
        </w:rPr>
      </w:pPr>
      <w:r>
        <w:rPr>
          <w:rFonts w:hint="eastAsia" w:cs="宋体"/>
          <w:b/>
          <w:bCs/>
          <w:color w:val="FF0000"/>
          <w:szCs w:val="21"/>
          <w:lang w:bidi="ar"/>
        </w:rPr>
        <w:t>内容必须填写真实、清楚，涂改无效，不得转让、买卖。</w:t>
      </w:r>
    </w:p>
    <w:tbl>
      <w:tblPr>
        <w:tblStyle w:val="44"/>
        <w:tblW w:w="8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7"/>
        <w:gridCol w:w="4268"/>
      </w:tblGrid>
      <w:tr w14:paraId="3C408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tcBorders>
              <w:top w:val="single" w:color="auto" w:sz="4" w:space="0"/>
              <w:left w:val="single" w:color="auto" w:sz="4" w:space="0"/>
              <w:bottom w:val="single" w:color="auto" w:sz="4" w:space="0"/>
              <w:right w:val="single" w:color="auto" w:sz="4" w:space="0"/>
            </w:tcBorders>
            <w:shd w:val="clear" w:color="auto" w:fill="auto"/>
          </w:tcPr>
          <w:p w14:paraId="2463B554">
            <w:pPr>
              <w:keepNext w:val="0"/>
              <w:keepLines w:val="0"/>
              <w:suppressLineNumbers w:val="0"/>
              <w:spacing w:before="0" w:beforeAutospacing="0" w:after="0" w:afterAutospacing="0"/>
              <w:ind w:left="0" w:right="0"/>
              <w:jc w:val="center"/>
              <w:rPr>
                <w:rFonts w:hint="default"/>
              </w:rPr>
            </w:pPr>
            <w:r>
              <w:rPr>
                <w:rFonts w:hint="eastAsia" w:cs="宋体"/>
                <w:lang w:bidi="ar"/>
              </w:rPr>
              <w:t>证件扫描件正面</w:t>
            </w:r>
          </w:p>
          <w:p w14:paraId="04011B9C">
            <w:pPr>
              <w:pStyle w:val="38"/>
              <w:keepNext w:val="0"/>
              <w:keepLines w:val="0"/>
              <w:suppressLineNumbers w:val="0"/>
              <w:spacing w:before="0" w:beforeAutospacing="0" w:after="120" w:afterAutospacing="0"/>
              <w:ind w:left="0" w:right="0"/>
              <w:rPr>
                <w:rFonts w:hint="default"/>
              </w:rPr>
            </w:pPr>
          </w:p>
          <w:p w14:paraId="1AD0C4E9">
            <w:pPr>
              <w:pStyle w:val="38"/>
              <w:keepNext w:val="0"/>
              <w:keepLines w:val="0"/>
              <w:suppressLineNumbers w:val="0"/>
              <w:spacing w:before="0" w:beforeAutospacing="0" w:after="0" w:afterAutospacing="0" w:line="360" w:lineRule="auto"/>
              <w:ind w:left="0" w:right="0"/>
              <w:rPr>
                <w:rFonts w:hint="default"/>
              </w:rPr>
            </w:pPr>
          </w:p>
          <w:p w14:paraId="12B61507">
            <w:pPr>
              <w:pStyle w:val="38"/>
              <w:keepNext w:val="0"/>
              <w:keepLines w:val="0"/>
              <w:suppressLineNumbers w:val="0"/>
              <w:spacing w:before="0" w:beforeAutospacing="0" w:after="0" w:afterAutospacing="0" w:line="360" w:lineRule="auto"/>
              <w:ind w:left="0" w:right="0"/>
              <w:rPr>
                <w:rFonts w:hint="default"/>
              </w:rPr>
            </w:pPr>
          </w:p>
          <w:p w14:paraId="72C6E946">
            <w:pPr>
              <w:pStyle w:val="38"/>
              <w:keepNext w:val="0"/>
              <w:keepLines w:val="0"/>
              <w:suppressLineNumbers w:val="0"/>
              <w:spacing w:before="0" w:beforeAutospacing="0" w:after="0" w:afterAutospacing="0" w:line="360" w:lineRule="auto"/>
              <w:ind w:left="0" w:right="0"/>
              <w:rPr>
                <w:rFonts w:hint="default"/>
              </w:rPr>
            </w:pPr>
          </w:p>
        </w:tc>
        <w:tc>
          <w:tcPr>
            <w:tcW w:w="4265" w:type="dxa"/>
            <w:tcBorders>
              <w:top w:val="single" w:color="auto" w:sz="4" w:space="0"/>
              <w:left w:val="single" w:color="auto" w:sz="4" w:space="0"/>
              <w:bottom w:val="single" w:color="auto" w:sz="4" w:space="0"/>
              <w:right w:val="single" w:color="auto" w:sz="4" w:space="0"/>
            </w:tcBorders>
            <w:shd w:val="clear" w:color="auto" w:fill="auto"/>
          </w:tcPr>
          <w:p w14:paraId="7CF506FE">
            <w:pPr>
              <w:keepNext w:val="0"/>
              <w:keepLines w:val="0"/>
              <w:suppressLineNumbers w:val="0"/>
              <w:spacing w:before="0" w:beforeAutospacing="0" w:after="0" w:afterAutospacing="0"/>
              <w:ind w:left="0" w:right="0"/>
              <w:jc w:val="center"/>
              <w:rPr>
                <w:rFonts w:hint="default"/>
              </w:rPr>
            </w:pPr>
            <w:r>
              <w:rPr>
                <w:rFonts w:hint="eastAsia" w:cs="宋体"/>
                <w:lang w:bidi="ar"/>
              </w:rPr>
              <w:t>证件扫描件反面</w:t>
            </w:r>
          </w:p>
          <w:p w14:paraId="708ECB27">
            <w:pPr>
              <w:pStyle w:val="38"/>
              <w:keepNext w:val="0"/>
              <w:keepLines w:val="0"/>
              <w:suppressLineNumbers w:val="0"/>
              <w:spacing w:before="0" w:beforeAutospacing="0" w:after="120" w:afterAutospacing="0"/>
              <w:ind w:left="0" w:right="0"/>
              <w:jc w:val="center"/>
              <w:rPr>
                <w:rFonts w:hint="default"/>
              </w:rPr>
            </w:pPr>
          </w:p>
          <w:p w14:paraId="7123BFF2">
            <w:pPr>
              <w:pStyle w:val="38"/>
              <w:keepNext w:val="0"/>
              <w:keepLines w:val="0"/>
              <w:suppressLineNumbers w:val="0"/>
              <w:spacing w:before="0" w:beforeAutospacing="0" w:after="0" w:afterAutospacing="0" w:line="360" w:lineRule="auto"/>
              <w:ind w:left="0" w:right="0"/>
              <w:jc w:val="center"/>
              <w:rPr>
                <w:rFonts w:hint="default"/>
              </w:rPr>
            </w:pPr>
          </w:p>
        </w:tc>
      </w:tr>
    </w:tbl>
    <w:p w14:paraId="6108F00E">
      <w:pPr>
        <w:pStyle w:val="38"/>
        <w:rPr>
          <w:szCs w:val="22"/>
        </w:rPr>
      </w:pPr>
      <w:r>
        <w:rPr>
          <w:rFonts w:hint="eastAsia" w:ascii="黑体" w:hAnsi="宋体" w:eastAsia="黑体" w:cs="黑体"/>
          <w:b/>
          <w:bCs/>
          <w:lang w:bidi="ar"/>
        </w:rPr>
        <w:t>温馨提示</w:t>
      </w:r>
      <w:r>
        <w:rPr>
          <w:rFonts w:hint="eastAsia" w:ascii="黑体" w:hAnsi="宋体" w:eastAsia="黑体" w:cs="黑体"/>
          <w:lang w:bidi="ar"/>
        </w:rPr>
        <w:t>：</w:t>
      </w:r>
      <w:r>
        <w:rPr>
          <w:rFonts w:hint="eastAsia" w:cs="宋体"/>
          <w:sz w:val="21"/>
          <w:szCs w:val="21"/>
          <w:lang w:bidi="ar"/>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23C173B1">
      <w:pPr>
        <w:rPr>
          <w:sz w:val="24"/>
        </w:rPr>
      </w:pPr>
    </w:p>
    <w:p w14:paraId="1311D098">
      <w:pPr>
        <w:rPr>
          <w:rFonts w:ascii="黑体" w:hAnsi="宋体" w:eastAsia="黑体" w:cs="黑体"/>
          <w:bCs/>
          <w:sz w:val="24"/>
          <w:szCs w:val="32"/>
        </w:rPr>
      </w:pPr>
      <w:r>
        <w:rPr>
          <w:rFonts w:hint="eastAsia" w:ascii="黑体" w:hAnsi="宋体" w:eastAsia="黑体" w:cs="黑体"/>
          <w:bCs/>
          <w:sz w:val="24"/>
          <w:szCs w:val="32"/>
        </w:rPr>
        <w:br w:type="page"/>
      </w:r>
    </w:p>
    <w:p w14:paraId="61780375">
      <w:pPr>
        <w:pStyle w:val="5"/>
        <w:widowControl/>
        <w:spacing w:before="120" w:after="120"/>
        <w:jc w:val="center"/>
        <w:rPr>
          <w:rFonts w:ascii="黑体" w:eastAsia="黑体" w:cs="黑体"/>
          <w:b w:val="0"/>
          <w:sz w:val="24"/>
        </w:rPr>
      </w:pPr>
      <w:r>
        <w:rPr>
          <w:rFonts w:hint="eastAsia" w:ascii="黑体" w:eastAsia="黑体" w:cs="黑体"/>
          <w:b w:val="0"/>
          <w:sz w:val="24"/>
          <w:lang w:val="en-US" w:eastAsia="zh-CN"/>
        </w:rPr>
        <w:t>七</w:t>
      </w:r>
      <w:r>
        <w:rPr>
          <w:rFonts w:hint="eastAsia" w:ascii="黑体" w:eastAsia="黑体" w:cs="黑体"/>
          <w:b w:val="0"/>
          <w:sz w:val="24"/>
        </w:rPr>
        <w:t>、投标文件签署授权委托书</w:t>
      </w:r>
    </w:p>
    <w:p w14:paraId="0508BA07">
      <w:pPr>
        <w:spacing w:line="360" w:lineRule="auto"/>
        <w:ind w:firstLine="420" w:firstLineChars="200"/>
        <w:rPr>
          <w:szCs w:val="21"/>
        </w:rPr>
      </w:pPr>
      <w:r>
        <w:rPr>
          <w:rFonts w:hint="eastAsia" w:cs="宋体"/>
          <w:szCs w:val="21"/>
          <w:lang w:bidi="ar"/>
        </w:rPr>
        <w:t>本授权委托书声明：我</w:t>
      </w:r>
      <w:r>
        <w:rPr>
          <w:szCs w:val="21"/>
          <w:u w:val="single"/>
          <w:lang w:bidi="ar"/>
        </w:rPr>
        <w:t xml:space="preserve">           </w:t>
      </w:r>
      <w:r>
        <w:rPr>
          <w:rFonts w:hint="eastAsia" w:cs="宋体"/>
          <w:szCs w:val="21"/>
          <w:lang w:bidi="ar"/>
        </w:rPr>
        <w:t>（姓名）系</w:t>
      </w:r>
      <w:r>
        <w:rPr>
          <w:szCs w:val="21"/>
          <w:u w:val="single"/>
          <w:lang w:bidi="ar"/>
        </w:rPr>
        <w:t xml:space="preserve">             </w:t>
      </w:r>
      <w:r>
        <w:rPr>
          <w:rFonts w:hint="eastAsia" w:cs="宋体"/>
          <w:szCs w:val="21"/>
          <w:lang w:bidi="ar"/>
        </w:rPr>
        <w:t>（投标人名称）的法定代表人（负责人），现授权委托</w:t>
      </w:r>
      <w:r>
        <w:rPr>
          <w:szCs w:val="21"/>
          <w:u w:val="single"/>
          <w:lang w:bidi="ar"/>
        </w:rPr>
        <w:t xml:space="preserve">            </w:t>
      </w:r>
      <w:r>
        <w:rPr>
          <w:rFonts w:hint="eastAsia" w:cs="宋体"/>
          <w:szCs w:val="21"/>
          <w:lang w:bidi="ar"/>
        </w:rPr>
        <w:t>（姓名）为我单位签署本项目已递交的投标文件的法定代表人（负责人）的授权委托代理人，代理人全权代表我所签署的本项目已递交的投标文件内容我均承认。</w:t>
      </w:r>
    </w:p>
    <w:p w14:paraId="1B7C177D">
      <w:pPr>
        <w:spacing w:line="360" w:lineRule="auto"/>
        <w:ind w:firstLine="420" w:firstLineChars="200"/>
        <w:rPr>
          <w:szCs w:val="21"/>
        </w:rPr>
      </w:pPr>
      <w:r>
        <w:rPr>
          <w:rFonts w:hint="eastAsia" w:cs="宋体"/>
          <w:szCs w:val="21"/>
          <w:lang w:bidi="ar"/>
        </w:rPr>
        <w:t>代理人无转委托权，特此委托。</w:t>
      </w:r>
    </w:p>
    <w:p w14:paraId="6270186B">
      <w:pPr>
        <w:spacing w:line="360" w:lineRule="auto"/>
        <w:ind w:firstLine="420" w:firstLineChars="200"/>
        <w:rPr>
          <w:szCs w:val="21"/>
        </w:rPr>
      </w:pPr>
    </w:p>
    <w:p w14:paraId="7EA592EF">
      <w:pPr>
        <w:spacing w:line="360" w:lineRule="auto"/>
        <w:ind w:firstLine="420" w:firstLineChars="200"/>
        <w:rPr>
          <w:szCs w:val="21"/>
        </w:rPr>
      </w:pPr>
      <w:r>
        <w:rPr>
          <w:rFonts w:hint="eastAsia" w:cs="宋体"/>
          <w:szCs w:val="21"/>
          <w:lang w:bidi="ar"/>
        </w:rPr>
        <w:t>代理人：</w:t>
      </w:r>
      <w:r>
        <w:rPr>
          <w:szCs w:val="21"/>
          <w:u w:val="single"/>
          <w:lang w:bidi="ar"/>
        </w:rPr>
        <w:t xml:space="preserve">              </w:t>
      </w:r>
      <w:r>
        <w:rPr>
          <w:rFonts w:hint="eastAsia" w:cs="宋体"/>
          <w:szCs w:val="21"/>
          <w:lang w:bidi="ar"/>
        </w:rPr>
        <w:t>；</w:t>
      </w:r>
    </w:p>
    <w:p w14:paraId="1A8A4EF2">
      <w:pPr>
        <w:spacing w:line="360" w:lineRule="auto"/>
        <w:ind w:firstLine="420" w:firstLineChars="200"/>
        <w:rPr>
          <w:szCs w:val="21"/>
        </w:rPr>
      </w:pPr>
      <w:r>
        <w:rPr>
          <w:rFonts w:hint="eastAsia" w:cs="宋体"/>
          <w:szCs w:val="21"/>
          <w:lang w:bidi="ar"/>
        </w:rPr>
        <w:t>身份证件号：</w:t>
      </w:r>
      <w:r>
        <w:rPr>
          <w:szCs w:val="21"/>
          <w:u w:val="single"/>
          <w:lang w:bidi="ar"/>
        </w:rPr>
        <w:t xml:space="preserve">                        </w:t>
      </w:r>
      <w:r>
        <w:rPr>
          <w:rFonts w:hint="eastAsia" w:cs="宋体"/>
          <w:szCs w:val="21"/>
          <w:lang w:bidi="ar"/>
        </w:rPr>
        <w:t>，职务：</w:t>
      </w:r>
      <w:r>
        <w:rPr>
          <w:szCs w:val="21"/>
          <w:u w:val="single"/>
          <w:lang w:bidi="ar"/>
        </w:rPr>
        <w:t xml:space="preserve">                </w:t>
      </w:r>
      <w:r>
        <w:rPr>
          <w:rFonts w:hint="eastAsia" w:cs="宋体"/>
          <w:szCs w:val="21"/>
          <w:lang w:bidi="ar"/>
        </w:rPr>
        <w:t>；</w:t>
      </w:r>
    </w:p>
    <w:p w14:paraId="004CAE75">
      <w:pPr>
        <w:spacing w:line="360" w:lineRule="auto"/>
        <w:ind w:firstLine="420" w:firstLineChars="200"/>
        <w:rPr>
          <w:szCs w:val="21"/>
        </w:rPr>
      </w:pPr>
      <w:r>
        <w:rPr>
          <w:rFonts w:hint="eastAsia" w:cs="宋体"/>
          <w:szCs w:val="21"/>
          <w:lang w:bidi="ar"/>
        </w:rPr>
        <w:t>联系电话：</w:t>
      </w:r>
      <w:r>
        <w:rPr>
          <w:szCs w:val="21"/>
          <w:u w:val="single"/>
          <w:lang w:bidi="ar"/>
        </w:rPr>
        <w:t xml:space="preserve">         </w:t>
      </w:r>
      <w:r>
        <w:rPr>
          <w:rFonts w:hint="eastAsia" w:cs="宋体"/>
          <w:szCs w:val="21"/>
          <w:lang w:bidi="ar"/>
        </w:rPr>
        <w:t>，手机：</w:t>
      </w:r>
      <w:r>
        <w:rPr>
          <w:szCs w:val="21"/>
          <w:u w:val="single"/>
          <w:lang w:bidi="ar"/>
        </w:rPr>
        <w:t xml:space="preserve">                </w:t>
      </w:r>
      <w:r>
        <w:rPr>
          <w:rFonts w:hint="eastAsia" w:cs="宋体"/>
          <w:szCs w:val="21"/>
          <w:lang w:bidi="ar"/>
        </w:rPr>
        <w:t>，电子邮箱：</w:t>
      </w:r>
      <w:r>
        <w:rPr>
          <w:szCs w:val="21"/>
          <w:u w:val="single"/>
          <w:lang w:bidi="ar"/>
        </w:rPr>
        <w:t xml:space="preserve">                     </w:t>
      </w:r>
      <w:r>
        <w:rPr>
          <w:rFonts w:hint="eastAsia" w:cs="宋体"/>
          <w:szCs w:val="21"/>
          <w:lang w:bidi="ar"/>
        </w:rPr>
        <w:t>；</w:t>
      </w:r>
    </w:p>
    <w:p w14:paraId="1479DBC3">
      <w:pPr>
        <w:spacing w:line="360" w:lineRule="auto"/>
        <w:ind w:firstLine="420" w:firstLineChars="200"/>
        <w:rPr>
          <w:szCs w:val="21"/>
        </w:rPr>
      </w:pPr>
      <w:r>
        <w:rPr>
          <w:rFonts w:hint="eastAsia" w:cs="宋体"/>
          <w:szCs w:val="21"/>
          <w:lang w:bidi="ar"/>
        </w:rPr>
        <w:t>授权委托日期：</w:t>
      </w:r>
      <w:r>
        <w:rPr>
          <w:szCs w:val="21"/>
          <w:u w:val="single"/>
          <w:lang w:bidi="ar"/>
        </w:rPr>
        <w:t xml:space="preserve">         </w:t>
      </w:r>
      <w:r>
        <w:rPr>
          <w:rFonts w:hint="eastAsia" w:cs="宋体"/>
          <w:szCs w:val="21"/>
          <w:lang w:bidi="ar"/>
        </w:rPr>
        <w:t>年</w:t>
      </w:r>
      <w:r>
        <w:rPr>
          <w:szCs w:val="21"/>
          <w:u w:val="single"/>
          <w:lang w:bidi="ar"/>
        </w:rPr>
        <w:t xml:space="preserve">     </w:t>
      </w:r>
      <w:r>
        <w:rPr>
          <w:rFonts w:hint="eastAsia" w:cs="宋体"/>
          <w:szCs w:val="21"/>
          <w:lang w:bidi="ar"/>
        </w:rPr>
        <w:t>月</w:t>
      </w:r>
      <w:r>
        <w:rPr>
          <w:szCs w:val="21"/>
          <w:lang w:bidi="ar"/>
        </w:rPr>
        <w:t xml:space="preserve"> </w:t>
      </w:r>
      <w:r>
        <w:rPr>
          <w:szCs w:val="21"/>
          <w:u w:val="single"/>
          <w:lang w:bidi="ar"/>
        </w:rPr>
        <w:t xml:space="preserve">      </w:t>
      </w:r>
      <w:r>
        <w:rPr>
          <w:rFonts w:hint="eastAsia" w:cs="宋体"/>
          <w:szCs w:val="21"/>
          <w:lang w:bidi="ar"/>
        </w:rPr>
        <w:t>日。</w:t>
      </w:r>
    </w:p>
    <w:p w14:paraId="4BE9E8DD">
      <w:pPr>
        <w:spacing w:line="360" w:lineRule="auto"/>
        <w:rPr>
          <w:b/>
          <w:color w:val="FF0000"/>
          <w:szCs w:val="21"/>
        </w:rPr>
      </w:pPr>
      <w:r>
        <w:rPr>
          <w:rFonts w:hint="eastAsia" w:cs="宋体"/>
          <w:b/>
          <w:color w:val="FF0000"/>
          <w:szCs w:val="21"/>
          <w:lang w:bidi="ar"/>
        </w:rPr>
        <w:t>附：请提供代理人身份证扫描件（正反两面）；港澳台居民可提供来往通行证扫描件；非中国国籍管辖范围人员，可提供公安部门认可的身份证明材料扫描件。</w:t>
      </w:r>
    </w:p>
    <w:tbl>
      <w:tblPr>
        <w:tblStyle w:val="44"/>
        <w:tblW w:w="8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7"/>
        <w:gridCol w:w="4268"/>
      </w:tblGrid>
      <w:tr w14:paraId="1EA32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Borders>
              <w:top w:val="single" w:color="auto" w:sz="4" w:space="0"/>
              <w:left w:val="single" w:color="auto" w:sz="4" w:space="0"/>
              <w:bottom w:val="single" w:color="auto" w:sz="4" w:space="0"/>
              <w:right w:val="single" w:color="auto" w:sz="4" w:space="0"/>
            </w:tcBorders>
            <w:shd w:val="clear" w:color="auto" w:fill="auto"/>
          </w:tcPr>
          <w:p w14:paraId="70CF3B76">
            <w:pPr>
              <w:keepNext w:val="0"/>
              <w:keepLines w:val="0"/>
              <w:suppressLineNumbers w:val="0"/>
              <w:spacing w:before="0" w:beforeAutospacing="0" w:after="0" w:afterAutospacing="0"/>
              <w:ind w:left="0" w:right="0"/>
              <w:jc w:val="center"/>
              <w:rPr>
                <w:rFonts w:hint="default"/>
              </w:rPr>
            </w:pPr>
            <w:r>
              <w:rPr>
                <w:rFonts w:hint="eastAsia" w:cs="宋体"/>
                <w:lang w:bidi="ar"/>
              </w:rPr>
              <w:t>证件扫描件正面</w:t>
            </w:r>
          </w:p>
          <w:p w14:paraId="0D454275">
            <w:pPr>
              <w:pStyle w:val="38"/>
              <w:keepNext w:val="0"/>
              <w:keepLines w:val="0"/>
              <w:suppressLineNumbers w:val="0"/>
              <w:spacing w:before="0" w:beforeAutospacing="0" w:after="120" w:afterAutospacing="0"/>
              <w:ind w:left="0" w:right="0"/>
              <w:rPr>
                <w:rFonts w:hint="default"/>
              </w:rPr>
            </w:pPr>
          </w:p>
          <w:p w14:paraId="2175E06B">
            <w:pPr>
              <w:pStyle w:val="38"/>
              <w:keepNext w:val="0"/>
              <w:keepLines w:val="0"/>
              <w:suppressLineNumbers w:val="0"/>
              <w:spacing w:before="0" w:beforeAutospacing="0" w:after="0" w:afterAutospacing="0" w:line="360" w:lineRule="auto"/>
              <w:ind w:left="0" w:right="0"/>
              <w:rPr>
                <w:rFonts w:hint="default"/>
              </w:rPr>
            </w:pPr>
          </w:p>
          <w:p w14:paraId="3D543594">
            <w:pPr>
              <w:pStyle w:val="38"/>
              <w:keepNext w:val="0"/>
              <w:keepLines w:val="0"/>
              <w:suppressLineNumbers w:val="0"/>
              <w:spacing w:before="0" w:beforeAutospacing="0" w:after="0" w:afterAutospacing="0" w:line="360" w:lineRule="auto"/>
              <w:ind w:left="0" w:right="0"/>
              <w:rPr>
                <w:rFonts w:hint="default"/>
              </w:rPr>
            </w:pPr>
          </w:p>
          <w:p w14:paraId="6958EF15">
            <w:pPr>
              <w:pStyle w:val="38"/>
              <w:keepNext w:val="0"/>
              <w:keepLines w:val="0"/>
              <w:suppressLineNumbers w:val="0"/>
              <w:spacing w:before="0" w:beforeAutospacing="0" w:after="0" w:afterAutospacing="0" w:line="360" w:lineRule="auto"/>
              <w:ind w:left="0" w:right="0"/>
              <w:rPr>
                <w:rFonts w:hint="default"/>
              </w:rPr>
            </w:pPr>
          </w:p>
        </w:tc>
        <w:tc>
          <w:tcPr>
            <w:tcW w:w="4265" w:type="dxa"/>
            <w:tcBorders>
              <w:top w:val="single" w:color="auto" w:sz="4" w:space="0"/>
              <w:left w:val="single" w:color="auto" w:sz="4" w:space="0"/>
              <w:bottom w:val="single" w:color="auto" w:sz="4" w:space="0"/>
              <w:right w:val="single" w:color="auto" w:sz="4" w:space="0"/>
            </w:tcBorders>
            <w:shd w:val="clear" w:color="auto" w:fill="auto"/>
          </w:tcPr>
          <w:p w14:paraId="26961288">
            <w:pPr>
              <w:keepNext w:val="0"/>
              <w:keepLines w:val="0"/>
              <w:suppressLineNumbers w:val="0"/>
              <w:spacing w:before="0" w:beforeAutospacing="0" w:after="0" w:afterAutospacing="0"/>
              <w:ind w:left="0" w:right="0"/>
              <w:jc w:val="center"/>
              <w:rPr>
                <w:rFonts w:hint="default"/>
              </w:rPr>
            </w:pPr>
            <w:r>
              <w:rPr>
                <w:rFonts w:hint="eastAsia" w:cs="宋体"/>
                <w:lang w:bidi="ar"/>
              </w:rPr>
              <w:t>证件扫描件反面</w:t>
            </w:r>
          </w:p>
          <w:p w14:paraId="3D3F1466">
            <w:pPr>
              <w:pStyle w:val="38"/>
              <w:keepNext w:val="0"/>
              <w:keepLines w:val="0"/>
              <w:suppressLineNumbers w:val="0"/>
              <w:spacing w:before="0" w:beforeAutospacing="0" w:after="120" w:afterAutospacing="0"/>
              <w:ind w:left="0" w:right="0"/>
              <w:jc w:val="center"/>
              <w:rPr>
                <w:rFonts w:hint="default"/>
              </w:rPr>
            </w:pPr>
          </w:p>
          <w:p w14:paraId="5A7C8F3F">
            <w:pPr>
              <w:pStyle w:val="38"/>
              <w:keepNext w:val="0"/>
              <w:keepLines w:val="0"/>
              <w:suppressLineNumbers w:val="0"/>
              <w:spacing w:before="0" w:beforeAutospacing="0" w:after="0" w:afterAutospacing="0" w:line="360" w:lineRule="auto"/>
              <w:ind w:left="0" w:right="0"/>
              <w:jc w:val="center"/>
              <w:rPr>
                <w:rFonts w:hint="default"/>
              </w:rPr>
            </w:pPr>
          </w:p>
        </w:tc>
      </w:tr>
    </w:tbl>
    <w:p w14:paraId="163D8765">
      <w:pPr>
        <w:pStyle w:val="38"/>
        <w:rPr>
          <w:szCs w:val="22"/>
        </w:rPr>
      </w:pPr>
      <w:r>
        <w:rPr>
          <w:rFonts w:hint="eastAsia" w:ascii="黑体" w:hAnsi="宋体" w:eastAsia="黑体" w:cs="黑体"/>
          <w:b/>
          <w:bCs/>
          <w:lang w:bidi="ar"/>
        </w:rPr>
        <w:t>温馨提示</w:t>
      </w:r>
      <w:r>
        <w:rPr>
          <w:rFonts w:hint="eastAsia" w:ascii="黑体" w:hAnsi="宋体" w:eastAsia="黑体" w:cs="黑体"/>
          <w:lang w:bidi="ar"/>
        </w:rPr>
        <w:t>：</w:t>
      </w:r>
      <w:r>
        <w:rPr>
          <w:rFonts w:hint="eastAsia" w:cs="宋体"/>
          <w:sz w:val="21"/>
          <w:szCs w:val="21"/>
          <w:lang w:bidi="ar"/>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299DE79B"/>
    <w:p w14:paraId="5609BAF8">
      <w:pPr>
        <w:pStyle w:val="2"/>
        <w:rPr>
          <w:rFonts w:hAnsi="宋体"/>
        </w:rPr>
      </w:pPr>
      <w:r>
        <w:br w:type="page"/>
      </w:r>
    </w:p>
    <w:p w14:paraId="330AF8F6">
      <w:pPr>
        <w:pStyle w:val="5"/>
        <w:jc w:val="center"/>
        <w:rPr>
          <w:rFonts w:ascii="黑体" w:eastAsia="黑体"/>
          <w:b w:val="0"/>
          <w:kern w:val="0"/>
          <w:sz w:val="24"/>
          <w:szCs w:val="24"/>
        </w:rPr>
      </w:pPr>
      <w:r>
        <w:rPr>
          <w:rFonts w:hint="eastAsia" w:ascii="黑体" w:eastAsia="黑体"/>
          <w:b w:val="0"/>
          <w:kern w:val="0"/>
          <w:sz w:val="24"/>
          <w:szCs w:val="24"/>
          <w:lang w:val="en-US" w:eastAsia="zh-CN"/>
        </w:rPr>
        <w:t>八</w:t>
      </w:r>
      <w:r>
        <w:rPr>
          <w:rFonts w:hint="eastAsia" w:ascii="黑体" w:eastAsia="黑体"/>
          <w:b w:val="0"/>
          <w:kern w:val="0"/>
          <w:sz w:val="24"/>
          <w:szCs w:val="24"/>
        </w:rPr>
        <w:t>、实质性条款响应情况表</w:t>
      </w:r>
    </w:p>
    <w:tbl>
      <w:tblPr>
        <w:tblStyle w:val="43"/>
        <w:tblW w:w="8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120"/>
        <w:gridCol w:w="2700"/>
        <w:gridCol w:w="1256"/>
        <w:gridCol w:w="847"/>
      </w:tblGrid>
      <w:tr w14:paraId="3A878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33CE810B">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r>
              <w:rPr>
                <w:rFonts w:hint="eastAsia" w:ascii="宋体" w:hAnsi="宋体" w:cs="宋体"/>
                <w:kern w:val="0"/>
                <w:szCs w:val="21"/>
                <w:lang w:bidi="ar"/>
              </w:rPr>
              <w:t>序号</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14:paraId="3D640F17">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r>
              <w:rPr>
                <w:rFonts w:hint="eastAsia" w:ascii="宋体" w:hAnsi="宋体" w:cs="宋体"/>
                <w:kern w:val="0"/>
                <w:szCs w:val="21"/>
                <w:lang w:bidi="ar"/>
              </w:rPr>
              <w:t>实质性条款具体内容</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14:paraId="05E9F69F">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r>
              <w:rPr>
                <w:rFonts w:hint="eastAsia" w:cs="宋体"/>
                <w:lang w:bidi="ar"/>
              </w:rPr>
              <w:t>投标响应</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5F5825E8">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r>
              <w:rPr>
                <w:rFonts w:hint="eastAsia" w:cs="宋体"/>
                <w:lang w:bidi="ar"/>
              </w:rPr>
              <w:t>偏离情况</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1F4B470C">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r>
              <w:rPr>
                <w:rFonts w:hint="eastAsia" w:cs="宋体"/>
                <w:lang w:bidi="ar"/>
              </w:rPr>
              <w:t>说明</w:t>
            </w:r>
          </w:p>
        </w:tc>
      </w:tr>
      <w:tr w14:paraId="27C00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shd w:val="clear" w:color="auto" w:fill="auto"/>
          </w:tcPr>
          <w:p w14:paraId="2C0BB302">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r>
              <w:rPr>
                <w:rFonts w:hint="eastAsia" w:ascii="宋体" w:hAnsi="宋体" w:cs="宋体"/>
                <w:kern w:val="0"/>
                <w:szCs w:val="21"/>
                <w:lang w:bidi="ar"/>
              </w:rPr>
              <w:t>1</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top"/>
          </w:tcPr>
          <w:p w14:paraId="60DF9460">
            <w:pPr>
              <w:keepNext w:val="0"/>
              <w:keepLines w:val="0"/>
              <w:suppressLineNumbers w:val="0"/>
              <w:spacing w:before="0" w:beforeAutospacing="0" w:after="0" w:afterAutospacing="0"/>
              <w:ind w:left="0" w:leftChars="0" w:right="0" w:rightChars="0"/>
              <w:rPr>
                <w:rFonts w:hint="default" w:hAnsi="宋体"/>
                <w:kern w:val="0"/>
                <w:szCs w:val="21"/>
              </w:rPr>
            </w:pPr>
            <w:r>
              <w:rPr>
                <w:rFonts w:hint="eastAsia" w:hAnsi="宋体"/>
                <w:kern w:val="0"/>
                <w:szCs w:val="21"/>
              </w:rPr>
              <w:t>满足本项目标★的条款要求。</w:t>
            </w:r>
          </w:p>
        </w:tc>
        <w:tc>
          <w:tcPr>
            <w:tcW w:w="2700" w:type="dxa"/>
            <w:tcBorders>
              <w:top w:val="single" w:color="auto" w:sz="4" w:space="0"/>
              <w:left w:val="single" w:color="auto" w:sz="4" w:space="0"/>
              <w:bottom w:val="single" w:color="auto" w:sz="4" w:space="0"/>
              <w:right w:val="single" w:color="auto" w:sz="4" w:space="0"/>
            </w:tcBorders>
            <w:shd w:val="clear" w:color="auto" w:fill="auto"/>
          </w:tcPr>
          <w:p w14:paraId="7576DDC9">
            <w:pPr>
              <w:keepNext w:val="0"/>
              <w:keepLines w:val="0"/>
              <w:suppressLineNumbers w:val="0"/>
              <w:adjustRightInd w:val="0"/>
              <w:snapToGrid w:val="0"/>
              <w:spacing w:before="0" w:beforeAutospacing="0" w:after="0" w:afterAutospacing="0" w:line="360" w:lineRule="auto"/>
              <w:ind w:left="0" w:right="0"/>
              <w:rPr>
                <w:rFonts w:hint="default" w:ascii="宋体" w:hAnsi="宋体" w:cs="宋体"/>
                <w:kern w:val="0"/>
                <w:szCs w:val="21"/>
              </w:rPr>
            </w:pPr>
          </w:p>
        </w:tc>
        <w:tc>
          <w:tcPr>
            <w:tcW w:w="1256" w:type="dxa"/>
            <w:tcBorders>
              <w:top w:val="single" w:color="auto" w:sz="4" w:space="0"/>
              <w:left w:val="single" w:color="auto" w:sz="4" w:space="0"/>
              <w:bottom w:val="single" w:color="auto" w:sz="4" w:space="0"/>
              <w:right w:val="single" w:color="auto" w:sz="4" w:space="0"/>
            </w:tcBorders>
            <w:shd w:val="clear" w:color="auto" w:fill="auto"/>
          </w:tcPr>
          <w:p w14:paraId="08039DF1">
            <w:pPr>
              <w:keepNext w:val="0"/>
              <w:keepLines w:val="0"/>
              <w:suppressLineNumbers w:val="0"/>
              <w:adjustRightInd w:val="0"/>
              <w:snapToGrid w:val="0"/>
              <w:spacing w:before="0" w:beforeAutospacing="0" w:after="0" w:afterAutospacing="0" w:line="360" w:lineRule="auto"/>
              <w:ind w:left="0" w:right="0"/>
              <w:rPr>
                <w:rFonts w:hint="default" w:ascii="宋体" w:hAnsi="宋体" w:cs="宋体"/>
                <w:kern w:val="0"/>
                <w:szCs w:val="21"/>
              </w:rPr>
            </w:pPr>
          </w:p>
        </w:tc>
        <w:tc>
          <w:tcPr>
            <w:tcW w:w="847" w:type="dxa"/>
            <w:tcBorders>
              <w:top w:val="single" w:color="auto" w:sz="4" w:space="0"/>
              <w:left w:val="single" w:color="auto" w:sz="4" w:space="0"/>
              <w:bottom w:val="single" w:color="auto" w:sz="4" w:space="0"/>
              <w:right w:val="single" w:color="auto" w:sz="4" w:space="0"/>
            </w:tcBorders>
            <w:shd w:val="clear" w:color="auto" w:fill="auto"/>
          </w:tcPr>
          <w:p w14:paraId="274EC9FC">
            <w:pPr>
              <w:keepNext w:val="0"/>
              <w:keepLines w:val="0"/>
              <w:suppressLineNumbers w:val="0"/>
              <w:adjustRightInd w:val="0"/>
              <w:snapToGrid w:val="0"/>
              <w:spacing w:before="0" w:beforeAutospacing="0" w:after="0" w:afterAutospacing="0" w:line="360" w:lineRule="auto"/>
              <w:ind w:left="0" w:right="0"/>
              <w:rPr>
                <w:rFonts w:hint="default" w:ascii="宋体" w:hAnsi="宋体" w:cs="宋体"/>
                <w:kern w:val="0"/>
                <w:szCs w:val="21"/>
              </w:rPr>
            </w:pPr>
          </w:p>
        </w:tc>
      </w:tr>
      <w:tr w14:paraId="0614B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shd w:val="clear" w:color="auto" w:fill="auto"/>
          </w:tcPr>
          <w:p w14:paraId="3D509BBC">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r>
              <w:rPr>
                <w:rFonts w:hint="eastAsia" w:ascii="宋体" w:hAnsi="宋体" w:cs="宋体"/>
                <w:kern w:val="0"/>
                <w:szCs w:val="21"/>
                <w:lang w:bidi="ar"/>
              </w:rPr>
              <w:t>2</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top"/>
          </w:tcPr>
          <w:p w14:paraId="19137D9A">
            <w:pPr>
              <w:keepNext w:val="0"/>
              <w:keepLines w:val="0"/>
              <w:suppressLineNumbers w:val="0"/>
              <w:spacing w:before="0" w:beforeAutospacing="0" w:after="0" w:afterAutospacing="0"/>
              <w:ind w:left="0" w:right="0"/>
              <w:rPr>
                <w:rFonts w:hint="eastAsia" w:hAnsi="宋体" w:eastAsiaTheme="minorEastAsia"/>
                <w:b/>
                <w:bCs/>
                <w:color w:val="FF0000"/>
                <w:kern w:val="0"/>
                <w:szCs w:val="21"/>
              </w:rPr>
            </w:pPr>
            <w:r>
              <w:rPr>
                <w:rFonts w:hint="eastAsia" w:hAnsi="宋体" w:eastAsiaTheme="minorEastAsia"/>
                <w:b/>
                <w:bCs/>
                <w:color w:val="FF0000"/>
                <w:kern w:val="0"/>
                <w:szCs w:val="21"/>
              </w:rPr>
              <w:t>★投标时提供法定代表人、主要经营负责人、项目投标授权代表人、项目负责人、主要技术人员近三个月（含开标当月）中的任意一个月的社会保险证明。其中项目负责人和主要技术人员的社会保险须由投标人缴纳。若因为社保部门原因无法提供的，需提供劳动合同及社保部门官方通知证明（或官网公告截图）。</w:t>
            </w:r>
          </w:p>
          <w:p w14:paraId="480C53E2">
            <w:pPr>
              <w:keepNext w:val="0"/>
              <w:keepLines w:val="0"/>
              <w:suppressLineNumbers w:val="0"/>
              <w:spacing w:before="0" w:beforeAutospacing="0" w:after="0" w:afterAutospacing="0"/>
              <w:ind w:left="0" w:right="0"/>
              <w:rPr>
                <w:rFonts w:hint="eastAsia" w:hAnsi="宋体" w:eastAsiaTheme="minorEastAsia"/>
                <w:b/>
                <w:bCs/>
                <w:color w:val="FF0000"/>
                <w:kern w:val="0"/>
                <w:szCs w:val="21"/>
              </w:rPr>
            </w:pPr>
            <w:r>
              <w:rPr>
                <w:rFonts w:hint="eastAsia" w:hAnsi="宋体" w:eastAsiaTheme="minorEastAsia"/>
                <w:b/>
                <w:bCs/>
                <w:color w:val="FF0000"/>
                <w:kern w:val="0"/>
                <w:szCs w:val="21"/>
              </w:rPr>
              <w:t>以下特殊情形无需提供社会保险证明亦视为符合要求，具体为：①投标人为新成立企业且成立时间不足一个月的（需提供劳动合同）；②相关人员为退休人员（需提供退休证明及劳动合同）；③依法不需要缴纳社会保险的（需提供不需要缴纳社会保险的法定证明文件及劳动合同）。</w:t>
            </w:r>
          </w:p>
          <w:p w14:paraId="49DC28C6">
            <w:pPr>
              <w:keepNext w:val="0"/>
              <w:keepLines w:val="0"/>
              <w:suppressLineNumbers w:val="0"/>
              <w:spacing w:before="0" w:beforeAutospacing="0" w:after="0" w:afterAutospacing="0"/>
              <w:ind w:left="0" w:right="0"/>
              <w:rPr>
                <w:rFonts w:hint="eastAsia" w:hAnsi="宋体" w:eastAsiaTheme="minorEastAsia"/>
                <w:b/>
                <w:bCs/>
                <w:color w:val="FF0000"/>
                <w:kern w:val="0"/>
                <w:szCs w:val="21"/>
              </w:rPr>
            </w:pPr>
            <w:r>
              <w:rPr>
                <w:rFonts w:hint="eastAsia" w:hAnsi="宋体" w:eastAsiaTheme="minorEastAsia"/>
                <w:b/>
                <w:bCs/>
                <w:color w:val="FF0000"/>
                <w:kern w:val="0"/>
                <w:szCs w:val="21"/>
              </w:rPr>
              <w:t>如本项目采购需求（包括“用户需求书”及“评标信息”）未涉及项目负责人、主要技术人员的，无需提供项目负责人、主要技术人员的上述证明材料。</w:t>
            </w:r>
          </w:p>
          <w:p w14:paraId="62B4B57A">
            <w:pPr>
              <w:keepNext w:val="0"/>
              <w:keepLines w:val="0"/>
              <w:suppressLineNumbers w:val="0"/>
              <w:spacing w:before="0" w:beforeAutospacing="0" w:after="0" w:afterAutospacing="0"/>
              <w:ind w:left="0" w:leftChars="0" w:right="0" w:rightChars="0"/>
              <w:rPr>
                <w:rFonts w:hint="default" w:hAnsi="宋体"/>
                <w:kern w:val="0"/>
                <w:szCs w:val="21"/>
              </w:rPr>
            </w:pPr>
            <w:r>
              <w:rPr>
                <w:rFonts w:hint="eastAsia" w:hAnsi="宋体" w:eastAsiaTheme="minorEastAsia"/>
                <w:b/>
                <w:bCs/>
                <w:color w:val="FF0000"/>
                <w:kern w:val="0"/>
                <w:szCs w:val="21"/>
              </w:rPr>
              <w:t>不同投标供应商的法定代表人、主要经营负责人、项目投标授权代表人、项目负责人、主要技术人员为同一人、属同一单位或者在同一单位缴纳社会保险的按投标无效处理，且相关情况将被上报财政主管部门依法处理。</w:t>
            </w:r>
          </w:p>
        </w:tc>
        <w:tc>
          <w:tcPr>
            <w:tcW w:w="2700" w:type="dxa"/>
            <w:tcBorders>
              <w:top w:val="single" w:color="auto" w:sz="4" w:space="0"/>
              <w:left w:val="single" w:color="auto" w:sz="4" w:space="0"/>
              <w:bottom w:val="single" w:color="auto" w:sz="4" w:space="0"/>
              <w:right w:val="single" w:color="auto" w:sz="4" w:space="0"/>
            </w:tcBorders>
            <w:shd w:val="clear" w:color="auto" w:fill="auto"/>
          </w:tcPr>
          <w:p w14:paraId="0A37C9AC">
            <w:pPr>
              <w:keepNext w:val="0"/>
              <w:keepLines w:val="0"/>
              <w:suppressLineNumbers w:val="0"/>
              <w:adjustRightInd w:val="0"/>
              <w:snapToGrid w:val="0"/>
              <w:spacing w:before="0" w:beforeAutospacing="0" w:after="0" w:afterAutospacing="0" w:line="360" w:lineRule="auto"/>
              <w:ind w:left="0" w:right="0"/>
              <w:rPr>
                <w:rFonts w:hint="default" w:ascii="宋体" w:hAnsi="宋体" w:cs="宋体"/>
                <w:kern w:val="0"/>
                <w:szCs w:val="21"/>
              </w:rPr>
            </w:pPr>
          </w:p>
        </w:tc>
        <w:tc>
          <w:tcPr>
            <w:tcW w:w="1256" w:type="dxa"/>
            <w:tcBorders>
              <w:top w:val="single" w:color="auto" w:sz="4" w:space="0"/>
              <w:left w:val="single" w:color="auto" w:sz="4" w:space="0"/>
              <w:bottom w:val="single" w:color="auto" w:sz="4" w:space="0"/>
              <w:right w:val="single" w:color="auto" w:sz="4" w:space="0"/>
            </w:tcBorders>
            <w:shd w:val="clear" w:color="auto" w:fill="auto"/>
          </w:tcPr>
          <w:p w14:paraId="3D7FEB1D">
            <w:pPr>
              <w:keepNext w:val="0"/>
              <w:keepLines w:val="0"/>
              <w:suppressLineNumbers w:val="0"/>
              <w:adjustRightInd w:val="0"/>
              <w:snapToGrid w:val="0"/>
              <w:spacing w:before="0" w:beforeAutospacing="0" w:after="0" w:afterAutospacing="0" w:line="360" w:lineRule="auto"/>
              <w:ind w:left="0" w:right="0"/>
              <w:rPr>
                <w:rFonts w:hint="default" w:ascii="宋体" w:hAnsi="宋体" w:cs="宋体"/>
                <w:kern w:val="0"/>
                <w:szCs w:val="21"/>
              </w:rPr>
            </w:pPr>
          </w:p>
        </w:tc>
        <w:tc>
          <w:tcPr>
            <w:tcW w:w="847" w:type="dxa"/>
            <w:tcBorders>
              <w:top w:val="single" w:color="auto" w:sz="4" w:space="0"/>
              <w:left w:val="single" w:color="auto" w:sz="4" w:space="0"/>
              <w:bottom w:val="single" w:color="auto" w:sz="4" w:space="0"/>
              <w:right w:val="single" w:color="auto" w:sz="4" w:space="0"/>
            </w:tcBorders>
            <w:shd w:val="clear" w:color="auto" w:fill="auto"/>
          </w:tcPr>
          <w:p w14:paraId="054F6EB1">
            <w:pPr>
              <w:keepNext w:val="0"/>
              <w:keepLines w:val="0"/>
              <w:suppressLineNumbers w:val="0"/>
              <w:adjustRightInd w:val="0"/>
              <w:snapToGrid w:val="0"/>
              <w:spacing w:before="0" w:beforeAutospacing="0" w:after="0" w:afterAutospacing="0" w:line="360" w:lineRule="auto"/>
              <w:ind w:left="0" w:right="0"/>
              <w:rPr>
                <w:rFonts w:hint="default" w:ascii="宋体" w:hAnsi="宋体" w:cs="宋体"/>
                <w:kern w:val="0"/>
                <w:szCs w:val="21"/>
              </w:rPr>
            </w:pPr>
          </w:p>
        </w:tc>
      </w:tr>
    </w:tbl>
    <w:p w14:paraId="1E905158">
      <w:pPr>
        <w:keepNext w:val="0"/>
        <w:keepLines w:val="0"/>
        <w:suppressLineNumbers w:val="0"/>
        <w:spacing w:before="0" w:beforeAutospacing="0" w:after="0" w:afterAutospacing="0"/>
        <w:ind w:left="0" w:right="0"/>
        <w:rPr>
          <w:rFonts w:hint="eastAsia" w:hAnsi="宋体" w:eastAsiaTheme="minorEastAsia"/>
          <w:b/>
          <w:bCs/>
          <w:color w:val="FF0000"/>
          <w:kern w:val="0"/>
          <w:szCs w:val="21"/>
        </w:rPr>
      </w:pPr>
      <w:r>
        <w:rPr>
          <w:rFonts w:hint="eastAsia" w:hAnsi="宋体" w:eastAsiaTheme="minorEastAsia"/>
          <w:b/>
          <w:bCs/>
          <w:color w:val="FF0000"/>
          <w:kern w:val="0"/>
          <w:szCs w:val="21"/>
        </w:rPr>
        <w:t>★投标时提供法定代表人、主要经营负责人、项目投标授权代表人、项目负责人、主要技术人员近三个月（含开标当月）中的任意一个月的社会保险证明。其中项目负责人和主要技术人员的社会保险须由投标人缴纳。若因为社保部门原因无法提供的，需提供劳动合同及社保部门官方通知证明（或官网公告截图）。</w:t>
      </w:r>
    </w:p>
    <w:p w14:paraId="7DF76BA6">
      <w:pPr>
        <w:keepNext w:val="0"/>
        <w:keepLines w:val="0"/>
        <w:suppressLineNumbers w:val="0"/>
        <w:spacing w:before="0" w:beforeAutospacing="0" w:after="0" w:afterAutospacing="0"/>
        <w:ind w:left="0" w:right="0"/>
        <w:rPr>
          <w:rFonts w:hint="eastAsia" w:hAnsi="宋体" w:eastAsiaTheme="minorEastAsia"/>
          <w:b/>
          <w:bCs/>
          <w:color w:val="FF0000"/>
          <w:kern w:val="0"/>
          <w:szCs w:val="21"/>
        </w:rPr>
      </w:pPr>
      <w:r>
        <w:rPr>
          <w:rFonts w:hint="eastAsia" w:hAnsi="宋体" w:eastAsiaTheme="minorEastAsia"/>
          <w:b/>
          <w:bCs/>
          <w:color w:val="FF0000"/>
          <w:kern w:val="0"/>
          <w:szCs w:val="21"/>
        </w:rPr>
        <w:t>以下特殊情形无需提供社会保险证明亦视为符合要求，具体为：①投标人为新成立企业且成立时间不足一个月的（需提供劳动合同）；②相关人员为退休人员（需提供退休证明及劳动合同）；③依法不需要缴纳社会保险的（需提供不需要缴纳社会保险的法定证明文件及劳动合同）。</w:t>
      </w:r>
    </w:p>
    <w:p w14:paraId="0F4D1DFE">
      <w:pPr>
        <w:keepNext w:val="0"/>
        <w:keepLines w:val="0"/>
        <w:suppressLineNumbers w:val="0"/>
        <w:spacing w:before="0" w:beforeAutospacing="0" w:after="0" w:afterAutospacing="0"/>
        <w:ind w:left="0" w:right="0"/>
        <w:rPr>
          <w:rFonts w:hint="eastAsia" w:hAnsi="宋体" w:eastAsiaTheme="minorEastAsia"/>
          <w:b/>
          <w:bCs/>
          <w:color w:val="FF0000"/>
          <w:kern w:val="0"/>
          <w:szCs w:val="21"/>
        </w:rPr>
      </w:pPr>
      <w:r>
        <w:rPr>
          <w:rFonts w:hint="eastAsia" w:hAnsi="宋体" w:eastAsiaTheme="minorEastAsia"/>
          <w:b/>
          <w:bCs/>
          <w:color w:val="FF0000"/>
          <w:kern w:val="0"/>
          <w:szCs w:val="21"/>
        </w:rPr>
        <w:t>如本项目采购需求（包括“用户需求书”及“评标信息”）未涉及项目负责人、主要技术人员的，无需提供项目负责人、主要技术人员的上述证明材料。</w:t>
      </w:r>
    </w:p>
    <w:p w14:paraId="30BEC5BF">
      <w:pPr>
        <w:rPr>
          <w:rFonts w:hint="eastAsia" w:cs="宋体"/>
          <w:b/>
          <w:sz w:val="24"/>
          <w:szCs w:val="22"/>
          <w:lang w:bidi="ar"/>
        </w:rPr>
      </w:pPr>
      <w:r>
        <w:rPr>
          <w:rFonts w:hint="eastAsia" w:hAnsi="宋体" w:eastAsiaTheme="minorEastAsia"/>
          <w:b/>
          <w:bCs/>
          <w:color w:val="FF0000"/>
          <w:kern w:val="0"/>
          <w:szCs w:val="21"/>
        </w:rPr>
        <w:t>不同投标供应商的法定代表人、主要经营负责人、项目投标授权代表人、项目负责人、主要技术人员为同一人、属同一单位或者在同一单位缴纳社会保险的按投标无效处理，且相关情况将被上报财政主管部门依法处理。</w:t>
      </w:r>
    </w:p>
    <w:p w14:paraId="03486B0C">
      <w:pPr>
        <w:rPr>
          <w:rFonts w:hint="eastAsia" w:cs="宋体"/>
          <w:b/>
          <w:sz w:val="24"/>
          <w:szCs w:val="22"/>
          <w:lang w:bidi="ar"/>
        </w:rPr>
      </w:pPr>
    </w:p>
    <w:p w14:paraId="0E6FFD3F">
      <w:pPr>
        <w:rPr>
          <w:rFonts w:hint="eastAsia" w:cs="宋体"/>
          <w:b/>
          <w:sz w:val="24"/>
          <w:szCs w:val="22"/>
          <w:lang w:bidi="ar"/>
        </w:rPr>
      </w:pPr>
    </w:p>
    <w:p w14:paraId="74FC3AA4">
      <w:pPr>
        <w:rPr>
          <w:b/>
          <w:sz w:val="24"/>
          <w:szCs w:val="22"/>
        </w:rPr>
      </w:pPr>
      <w:r>
        <w:rPr>
          <w:rFonts w:hint="eastAsia" w:cs="宋体"/>
          <w:b/>
          <w:sz w:val="24"/>
          <w:szCs w:val="22"/>
          <w:lang w:bidi="ar"/>
        </w:rPr>
        <w:t>注：</w:t>
      </w:r>
      <w:r>
        <w:rPr>
          <w:b/>
          <w:sz w:val="24"/>
          <w:szCs w:val="22"/>
          <w:lang w:bidi="ar"/>
        </w:rPr>
        <w:t>1.</w:t>
      </w:r>
      <w:r>
        <w:rPr>
          <w:rFonts w:hint="eastAsia" w:cs="宋体"/>
          <w:b/>
          <w:sz w:val="24"/>
          <w:szCs w:val="22"/>
          <w:lang w:bidi="ar"/>
        </w:rPr>
        <w:t>上表所列各项均为不可负偏离条款。</w:t>
      </w:r>
    </w:p>
    <w:p w14:paraId="39748B18">
      <w:pPr>
        <w:ind w:firstLine="482" w:firstLineChars="200"/>
        <w:rPr>
          <w:b/>
          <w:sz w:val="24"/>
          <w:szCs w:val="22"/>
        </w:rPr>
      </w:pPr>
      <w:r>
        <w:rPr>
          <w:b/>
          <w:sz w:val="24"/>
          <w:szCs w:val="22"/>
          <w:lang w:bidi="ar"/>
        </w:rPr>
        <w:t>2.</w:t>
      </w:r>
      <w:r>
        <w:rPr>
          <w:rFonts w:hint="eastAsia" w:cs="宋体"/>
          <w:b/>
          <w:sz w:val="24"/>
          <w:szCs w:val="22"/>
          <w:lang w:bidi="ar"/>
        </w:rPr>
        <w:t>“投标响应”一栏应当详细填写投标人自身响应情况，而不能不合理照搬照抄招实质性条款具体内容。</w:t>
      </w:r>
    </w:p>
    <w:p w14:paraId="143AA747">
      <w:pPr>
        <w:ind w:firstLine="482" w:firstLineChars="200"/>
        <w:rPr>
          <w:b/>
          <w:sz w:val="24"/>
          <w:szCs w:val="22"/>
        </w:rPr>
      </w:pPr>
      <w:r>
        <w:rPr>
          <w:b/>
          <w:sz w:val="24"/>
          <w:szCs w:val="22"/>
          <w:lang w:bidi="ar"/>
        </w:rPr>
        <w:t>3.</w:t>
      </w:r>
      <w:r>
        <w:rPr>
          <w:rFonts w:hint="eastAsia" w:cs="宋体"/>
          <w:b/>
          <w:sz w:val="24"/>
          <w:szCs w:val="22"/>
          <w:lang w:bidi="ar"/>
        </w:rPr>
        <w:t>“偏离情况”一栏应填写“正偏离”、“负偏离”或“无偏离”，</w:t>
      </w:r>
      <w:r>
        <w:rPr>
          <w:rFonts w:hint="eastAsia" w:cs="宋体"/>
          <w:b/>
          <w:sz w:val="24"/>
          <w:lang w:bidi="ar"/>
        </w:rPr>
        <w:t>“正偏离”表示“投标响应优于实质性条款具体内容要求”，“负偏离”表示“投标响应不满足实质性条款具体内容要求”，“无偏离”表示“投标响应与实质性条款具体内容要求一致”。</w:t>
      </w:r>
    </w:p>
    <w:p w14:paraId="698B6981">
      <w:pPr>
        <w:ind w:firstLine="482" w:firstLineChars="200"/>
        <w:rPr>
          <w:b/>
          <w:sz w:val="24"/>
        </w:rPr>
      </w:pPr>
      <w:r>
        <w:rPr>
          <w:b/>
          <w:sz w:val="24"/>
          <w:lang w:bidi="ar"/>
        </w:rPr>
        <w:t>4.</w:t>
      </w:r>
      <w:r>
        <w:rPr>
          <w:rFonts w:hint="eastAsia" w:cs="宋体"/>
          <w:b/>
          <w:sz w:val="24"/>
          <w:lang w:bidi="ar"/>
        </w:rPr>
        <w:t>评审委员会有权对投标响应情况作出判断（作出评审结论）。</w:t>
      </w:r>
    </w:p>
    <w:p w14:paraId="3475FDEB">
      <w:pPr>
        <w:ind w:firstLine="482" w:firstLineChars="200"/>
        <w:rPr>
          <w:b/>
          <w:sz w:val="24"/>
          <w:szCs w:val="22"/>
        </w:rPr>
      </w:pPr>
      <w:r>
        <w:rPr>
          <w:b/>
          <w:sz w:val="24"/>
          <w:szCs w:val="22"/>
          <w:lang w:bidi="ar"/>
        </w:rPr>
        <w:t>5.</w:t>
      </w:r>
      <w:r>
        <w:rPr>
          <w:rFonts w:hint="eastAsia" w:cs="宋体"/>
          <w:b/>
          <w:sz w:val="24"/>
          <w:szCs w:val="22"/>
          <w:lang w:bidi="ar"/>
        </w:rPr>
        <w:t>实质性响应条款“投标响应情况”与投标文件其它内容冲突的，以实质性响应条款“投标响应情况”为准。</w:t>
      </w:r>
    </w:p>
    <w:p w14:paraId="3228ED19">
      <w:pPr>
        <w:ind w:firstLine="482" w:firstLineChars="200"/>
        <w:rPr>
          <w:b/>
          <w:sz w:val="24"/>
          <w:szCs w:val="22"/>
        </w:rPr>
      </w:pPr>
      <w:r>
        <w:rPr>
          <w:b/>
          <w:sz w:val="24"/>
          <w:szCs w:val="22"/>
          <w:lang w:bidi="ar"/>
        </w:rPr>
        <w:t>6.</w:t>
      </w:r>
      <w:r>
        <w:rPr>
          <w:rFonts w:hint="eastAsia" w:cs="宋体"/>
          <w:b/>
          <w:sz w:val="24"/>
          <w:szCs w:val="22"/>
          <w:lang w:bidi="ar"/>
        </w:rPr>
        <w:t>要求提供证明资料，在“说明”一栏中列明证明资料的位置</w:t>
      </w:r>
      <w:r>
        <w:rPr>
          <w:b/>
          <w:sz w:val="24"/>
          <w:szCs w:val="22"/>
          <w:lang w:bidi="ar"/>
        </w:rPr>
        <w:t>,</w:t>
      </w:r>
      <w:r>
        <w:rPr>
          <w:rFonts w:hint="eastAsia" w:cs="宋体"/>
          <w:b/>
          <w:sz w:val="24"/>
          <w:szCs w:val="22"/>
          <w:lang w:bidi="ar"/>
        </w:rPr>
        <w:t>以便评审；未要求提供证明材料的，投标人可以不提供。</w:t>
      </w:r>
    </w:p>
    <w:p w14:paraId="4668A936"/>
    <w:p w14:paraId="04FB38D4">
      <w:pPr>
        <w:rPr>
          <w:b/>
          <w:bCs/>
          <w:sz w:val="24"/>
        </w:rPr>
      </w:pPr>
    </w:p>
    <w:p w14:paraId="74CCF25B">
      <w:pPr>
        <w:widowControl/>
        <w:jc w:val="left"/>
        <w:rPr>
          <w:rFonts w:ascii="黑体" w:hAnsi="宋体" w:eastAsia="黑体"/>
          <w:sz w:val="24"/>
          <w:szCs w:val="20"/>
          <w:highlight w:val="yellow"/>
        </w:rPr>
      </w:pPr>
      <w:r>
        <w:rPr>
          <w:rFonts w:ascii="黑体" w:hAnsi="宋体" w:eastAsia="黑体"/>
          <w:sz w:val="24"/>
          <w:szCs w:val="20"/>
          <w:highlight w:val="yellow"/>
        </w:rPr>
        <w:br w:type="page"/>
      </w:r>
    </w:p>
    <w:p w14:paraId="1FA6BD5E">
      <w:pPr>
        <w:pStyle w:val="5"/>
        <w:jc w:val="center"/>
        <w:rPr>
          <w:rFonts w:ascii="黑体" w:hAnsi="黑体" w:eastAsia="黑体" w:cs="黑体"/>
          <w:b w:val="0"/>
          <w:bCs w:val="0"/>
          <w:sz w:val="24"/>
          <w:szCs w:val="28"/>
          <w:highlight w:val="none"/>
        </w:rPr>
      </w:pPr>
      <w:r>
        <w:rPr>
          <w:rFonts w:hint="eastAsia" w:ascii="黑体" w:hAnsi="黑体" w:eastAsia="黑体" w:cs="黑体"/>
          <w:b w:val="0"/>
          <w:bCs w:val="0"/>
          <w:sz w:val="24"/>
          <w:szCs w:val="28"/>
          <w:highlight w:val="none"/>
          <w:lang w:val="en-US" w:eastAsia="zh-CN"/>
        </w:rPr>
        <w:t>九</w:t>
      </w:r>
      <w:r>
        <w:rPr>
          <w:rFonts w:hint="eastAsia" w:ascii="黑体" w:hAnsi="黑体" w:eastAsia="黑体" w:cs="黑体"/>
          <w:b w:val="0"/>
          <w:bCs w:val="0"/>
          <w:sz w:val="24"/>
          <w:szCs w:val="28"/>
          <w:highlight w:val="none"/>
        </w:rPr>
        <w:t>、技术要求偏离表</w:t>
      </w:r>
    </w:p>
    <w:tbl>
      <w:tblPr>
        <w:tblStyle w:val="43"/>
        <w:tblW w:w="82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3"/>
        <w:gridCol w:w="2143"/>
        <w:gridCol w:w="2143"/>
        <w:gridCol w:w="1086"/>
        <w:gridCol w:w="1086"/>
      </w:tblGrid>
      <w:tr w14:paraId="0308E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83" w:type="dxa"/>
            <w:tcBorders>
              <w:top w:val="single" w:color="auto" w:sz="4" w:space="0"/>
              <w:left w:val="single" w:color="auto" w:sz="4" w:space="0"/>
              <w:bottom w:val="single" w:color="auto" w:sz="4" w:space="0"/>
              <w:right w:val="single" w:color="auto" w:sz="4" w:space="0"/>
            </w:tcBorders>
            <w:vAlign w:val="center"/>
          </w:tcPr>
          <w:p w14:paraId="409C73B6">
            <w:pPr>
              <w:keepNext w:val="0"/>
              <w:keepLines w:val="0"/>
              <w:widowControl/>
              <w:suppressLineNumbers w:val="0"/>
              <w:spacing w:before="100" w:beforeAutospacing="1" w:after="100" w:afterAutospacing="1"/>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000000" w:themeColor="text1"/>
                <w:sz w:val="21"/>
                <w:szCs w:val="21"/>
                <w14:textFill>
                  <w14:solidFill>
                    <w14:schemeClr w14:val="tx1"/>
                  </w14:solidFill>
                </w14:textFill>
              </w:rPr>
              <w:t>货物名称</w:t>
            </w:r>
          </w:p>
        </w:tc>
        <w:tc>
          <w:tcPr>
            <w:tcW w:w="2143" w:type="dxa"/>
            <w:tcBorders>
              <w:top w:val="single" w:color="auto" w:sz="4" w:space="0"/>
              <w:left w:val="single" w:color="auto" w:sz="4" w:space="0"/>
              <w:bottom w:val="single" w:color="auto" w:sz="4" w:space="0"/>
              <w:right w:val="single" w:color="auto" w:sz="4" w:space="0"/>
            </w:tcBorders>
            <w:vAlign w:val="center"/>
          </w:tcPr>
          <w:p w14:paraId="7037B548">
            <w:pPr>
              <w:keepNext w:val="0"/>
              <w:keepLines w:val="0"/>
              <w:widowControl/>
              <w:suppressLineNumbers w:val="0"/>
              <w:spacing w:before="100" w:beforeAutospacing="1" w:after="100" w:afterAutospacing="1"/>
              <w:ind w:left="0" w:right="0"/>
              <w:jc w:val="center"/>
              <w:rPr>
                <w:rFonts w:hint="eastAsia" w:ascii="宋体" w:hAnsi="宋体" w:eastAsia="宋体" w:cs="宋体"/>
                <w:color w:val="auto"/>
                <w:kern w:val="0"/>
                <w:sz w:val="21"/>
                <w:szCs w:val="21"/>
                <w:highlight w:val="yellow"/>
              </w:rPr>
            </w:pPr>
            <w:r>
              <w:rPr>
                <w:rFonts w:hint="eastAsia" w:ascii="宋体" w:hAnsi="宋体" w:eastAsia="宋体" w:cs="宋体"/>
                <w:color w:val="auto"/>
                <w:kern w:val="0"/>
                <w:sz w:val="21"/>
                <w:szCs w:val="21"/>
                <w:highlight w:val="none"/>
              </w:rPr>
              <w:t>招标技术要求</w:t>
            </w:r>
          </w:p>
        </w:tc>
        <w:tc>
          <w:tcPr>
            <w:tcW w:w="2143" w:type="dxa"/>
            <w:tcBorders>
              <w:top w:val="single" w:color="auto" w:sz="4" w:space="0"/>
              <w:left w:val="single" w:color="auto" w:sz="4" w:space="0"/>
              <w:bottom w:val="single" w:color="auto" w:sz="4" w:space="0"/>
              <w:right w:val="single" w:color="auto" w:sz="4" w:space="0"/>
            </w:tcBorders>
            <w:vAlign w:val="center"/>
          </w:tcPr>
          <w:p w14:paraId="3B4B673A">
            <w:pPr>
              <w:keepNext w:val="0"/>
              <w:keepLines w:val="0"/>
              <w:widowControl/>
              <w:suppressLineNumbers w:val="0"/>
              <w:spacing w:before="100" w:beforeAutospacing="1" w:after="100" w:afterAutospacing="1"/>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投标技术响应</w:t>
            </w:r>
          </w:p>
        </w:tc>
        <w:tc>
          <w:tcPr>
            <w:tcW w:w="1086" w:type="dxa"/>
            <w:tcBorders>
              <w:top w:val="single" w:color="auto" w:sz="4" w:space="0"/>
              <w:left w:val="single" w:color="auto" w:sz="4" w:space="0"/>
              <w:bottom w:val="single" w:color="auto" w:sz="4" w:space="0"/>
              <w:right w:val="single" w:color="auto" w:sz="4" w:space="0"/>
            </w:tcBorders>
            <w:vAlign w:val="center"/>
          </w:tcPr>
          <w:p w14:paraId="065F663E">
            <w:pPr>
              <w:keepNext w:val="0"/>
              <w:keepLines w:val="0"/>
              <w:widowControl/>
              <w:suppressLineNumbers w:val="0"/>
              <w:spacing w:before="100" w:beforeAutospacing="1" w:after="100" w:afterAutospacing="1"/>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偏离情况</w:t>
            </w:r>
          </w:p>
        </w:tc>
        <w:tc>
          <w:tcPr>
            <w:tcW w:w="1086" w:type="dxa"/>
            <w:tcBorders>
              <w:top w:val="single" w:color="auto" w:sz="4" w:space="0"/>
              <w:left w:val="single" w:color="auto" w:sz="4" w:space="0"/>
              <w:bottom w:val="single" w:color="auto" w:sz="4" w:space="0"/>
              <w:right w:val="single" w:color="auto" w:sz="4" w:space="0"/>
            </w:tcBorders>
            <w:vAlign w:val="center"/>
          </w:tcPr>
          <w:p w14:paraId="23C75F43">
            <w:pPr>
              <w:keepNext w:val="0"/>
              <w:keepLines w:val="0"/>
              <w:widowControl/>
              <w:suppressLineNumbers w:val="0"/>
              <w:spacing w:before="100" w:beforeAutospacing="1" w:after="100" w:afterAutospacing="1"/>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说明</w:t>
            </w:r>
          </w:p>
        </w:tc>
      </w:tr>
      <w:tr w14:paraId="540BF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783" w:type="dxa"/>
            <w:vMerge w:val="restart"/>
            <w:tcBorders>
              <w:left w:val="single" w:color="auto" w:sz="4" w:space="0"/>
              <w:right w:val="single" w:color="auto" w:sz="4" w:space="0"/>
            </w:tcBorders>
            <w:vAlign w:val="center"/>
          </w:tcPr>
          <w:p w14:paraId="641EBD6A">
            <w:pPr>
              <w:keepNext w:val="0"/>
              <w:keepLines w:val="0"/>
              <w:suppressLineNumbers w:val="0"/>
              <w:spacing w:before="0" w:beforeAutospacing="0" w:after="0" w:afterAutospacing="0"/>
              <w:ind w:left="0" w:right="0"/>
              <w:jc w:val="left"/>
              <w:rPr>
                <w:rFonts w:hint="eastAsia" w:ascii="宋体" w:hAnsi="宋体" w:eastAsia="宋体" w:cs="宋体"/>
                <w:bCs/>
                <w:sz w:val="21"/>
                <w:szCs w:val="21"/>
              </w:rPr>
            </w:pPr>
            <w:r>
              <w:rPr>
                <w:rFonts w:hint="eastAsia" w:ascii="宋体" w:hAnsi="宋体" w:eastAsia="宋体" w:cs="宋体"/>
                <w:bCs/>
                <w:sz w:val="21"/>
                <w:szCs w:val="21"/>
              </w:rPr>
              <w:t>生物安全柜（A2单人）</w:t>
            </w:r>
          </w:p>
          <w:p w14:paraId="4E9F969F">
            <w:pPr>
              <w:keepNext w:val="0"/>
              <w:keepLines w:val="0"/>
              <w:suppressLineNumbers w:val="0"/>
              <w:spacing w:before="0" w:beforeAutospacing="0" w:after="0" w:afterAutospacing="0"/>
              <w:ind w:left="0" w:right="0"/>
              <w:jc w:val="left"/>
              <w:rPr>
                <w:rFonts w:hint="eastAsia" w:ascii="宋体" w:hAnsi="宋体" w:eastAsia="宋体" w:cs="宋体"/>
                <w:sz w:val="21"/>
                <w:szCs w:val="21"/>
                <w:lang w:eastAsia="zh-CN"/>
              </w:rPr>
            </w:pPr>
            <w:r>
              <w:rPr>
                <w:rFonts w:hint="eastAsia" w:ascii="宋体" w:hAnsi="宋体" w:eastAsia="宋体" w:cs="宋体"/>
                <w:bCs/>
                <w:sz w:val="21"/>
                <w:szCs w:val="21"/>
              </w:rPr>
              <w:t>生物安全柜（A2双人）</w:t>
            </w:r>
          </w:p>
        </w:tc>
        <w:tc>
          <w:tcPr>
            <w:tcW w:w="2143" w:type="dxa"/>
            <w:tcBorders>
              <w:top w:val="single" w:color="auto" w:sz="4" w:space="0"/>
              <w:left w:val="single" w:color="auto" w:sz="4" w:space="0"/>
              <w:bottom w:val="single" w:color="auto" w:sz="4" w:space="0"/>
              <w:right w:val="single" w:color="auto" w:sz="4" w:space="0"/>
            </w:tcBorders>
            <w:vAlign w:val="top"/>
          </w:tcPr>
          <w:p w14:paraId="5B203C62">
            <w:pPr>
              <w:keepNext w:val="0"/>
              <w:keepLines w:val="0"/>
              <w:numPr>
                <w:ilvl w:val="0"/>
                <w:numId w:val="0"/>
              </w:numPr>
              <w:suppressLineNumbers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1、气流模式：30%外排，70%循环：流入气流平均风速0.53±0.025m/s，下降气流平均风速0.35±0.025m/s</w:t>
            </w:r>
          </w:p>
        </w:tc>
        <w:tc>
          <w:tcPr>
            <w:tcW w:w="2143" w:type="dxa"/>
            <w:tcBorders>
              <w:top w:val="single" w:color="auto" w:sz="4" w:space="0"/>
              <w:left w:val="single" w:color="auto" w:sz="4" w:space="0"/>
              <w:bottom w:val="single" w:color="auto" w:sz="4" w:space="0"/>
              <w:right w:val="single" w:color="auto" w:sz="4" w:space="0"/>
            </w:tcBorders>
            <w:vAlign w:val="top"/>
          </w:tcPr>
          <w:p w14:paraId="7F68D3EE">
            <w:pPr>
              <w:keepNext w:val="0"/>
              <w:keepLines w:val="0"/>
              <w:numPr>
                <w:ilvl w:val="0"/>
                <w:numId w:val="0"/>
              </w:numPr>
              <w:suppressLineNumbers w:val="0"/>
              <w:spacing w:before="0" w:beforeAutospacing="0" w:after="0" w:afterAutospacing="0"/>
              <w:ind w:left="0" w:right="0"/>
              <w:rPr>
                <w:rFonts w:hint="eastAsia" w:ascii="宋体" w:hAnsi="宋体" w:eastAsia="宋体" w:cs="宋体"/>
                <w:sz w:val="21"/>
                <w:szCs w:val="21"/>
                <w:lang w:val="en-US" w:eastAsia="zh-CN"/>
              </w:rPr>
            </w:pPr>
          </w:p>
        </w:tc>
        <w:tc>
          <w:tcPr>
            <w:tcW w:w="1086" w:type="dxa"/>
            <w:tcBorders>
              <w:top w:val="single" w:color="auto" w:sz="4" w:space="0"/>
              <w:left w:val="single" w:color="auto" w:sz="4" w:space="0"/>
              <w:bottom w:val="single" w:color="auto" w:sz="4" w:space="0"/>
              <w:right w:val="single" w:color="auto" w:sz="4" w:space="0"/>
            </w:tcBorders>
            <w:vAlign w:val="top"/>
          </w:tcPr>
          <w:p w14:paraId="755D1D3E">
            <w:pPr>
              <w:keepNext w:val="0"/>
              <w:keepLines w:val="0"/>
              <w:numPr>
                <w:ilvl w:val="0"/>
                <w:numId w:val="0"/>
              </w:numPr>
              <w:suppressLineNumbers w:val="0"/>
              <w:spacing w:before="0" w:beforeAutospacing="0" w:after="0" w:afterAutospacing="0"/>
              <w:ind w:left="0" w:right="0"/>
              <w:rPr>
                <w:rFonts w:hint="eastAsia" w:ascii="宋体" w:hAnsi="宋体" w:eastAsia="宋体" w:cs="宋体"/>
                <w:sz w:val="21"/>
                <w:szCs w:val="21"/>
                <w:lang w:val="en-US" w:eastAsia="zh-CN"/>
              </w:rPr>
            </w:pPr>
          </w:p>
        </w:tc>
        <w:tc>
          <w:tcPr>
            <w:tcW w:w="1086" w:type="dxa"/>
            <w:tcBorders>
              <w:top w:val="single" w:color="auto" w:sz="4" w:space="0"/>
              <w:left w:val="single" w:color="auto" w:sz="4" w:space="0"/>
              <w:bottom w:val="single" w:color="auto" w:sz="4" w:space="0"/>
              <w:right w:val="single" w:color="auto" w:sz="4" w:space="0"/>
            </w:tcBorders>
            <w:vAlign w:val="top"/>
          </w:tcPr>
          <w:p w14:paraId="5D891392">
            <w:pPr>
              <w:keepNext w:val="0"/>
              <w:keepLines w:val="0"/>
              <w:numPr>
                <w:ilvl w:val="0"/>
                <w:numId w:val="0"/>
              </w:numPr>
              <w:suppressLineNumbers w:val="0"/>
              <w:spacing w:before="0" w:beforeAutospacing="0" w:after="0" w:afterAutospacing="0"/>
              <w:ind w:left="0" w:right="0"/>
              <w:rPr>
                <w:rFonts w:hint="eastAsia" w:ascii="宋体" w:hAnsi="宋体" w:eastAsia="宋体" w:cs="宋体"/>
                <w:sz w:val="21"/>
                <w:szCs w:val="21"/>
                <w:lang w:val="en-US" w:eastAsia="zh-CN"/>
              </w:rPr>
            </w:pPr>
          </w:p>
        </w:tc>
      </w:tr>
      <w:tr w14:paraId="1B2E7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trPr>
        <w:tc>
          <w:tcPr>
            <w:tcW w:w="1783" w:type="dxa"/>
            <w:vMerge w:val="continue"/>
            <w:tcBorders>
              <w:left w:val="single" w:color="auto" w:sz="4" w:space="0"/>
              <w:right w:val="single" w:color="auto" w:sz="4" w:space="0"/>
            </w:tcBorders>
            <w:vAlign w:val="center"/>
          </w:tcPr>
          <w:p w14:paraId="7E8A190D">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rPr>
            </w:pPr>
          </w:p>
        </w:tc>
        <w:tc>
          <w:tcPr>
            <w:tcW w:w="2143" w:type="dxa"/>
            <w:tcBorders>
              <w:top w:val="single" w:color="auto" w:sz="4" w:space="0"/>
              <w:left w:val="single" w:color="auto" w:sz="4" w:space="0"/>
              <w:bottom w:val="single" w:color="auto" w:sz="4" w:space="0"/>
              <w:right w:val="single" w:color="auto" w:sz="4" w:space="0"/>
            </w:tcBorders>
            <w:vAlign w:val="top"/>
          </w:tcPr>
          <w:p w14:paraId="7AAE1C66">
            <w:pPr>
              <w:keepNext w:val="0"/>
              <w:keepLines w:val="0"/>
              <w:numPr>
                <w:ilvl w:val="0"/>
                <w:numId w:val="0"/>
              </w:numPr>
              <w:suppressLineNumbers w:val="0"/>
              <w:spacing w:before="0" w:beforeAutospacing="0" w:after="0" w:afterAutospacing="0"/>
              <w:ind w:left="0" w:right="0"/>
              <w:rPr>
                <w:rFonts w:hint="eastAsia" w:ascii="宋体" w:hAnsi="宋体" w:eastAsia="宋体" w:cs="宋体"/>
                <w:b/>
                <w:bCs/>
                <w:color w:val="FF0000"/>
                <w:sz w:val="21"/>
                <w:szCs w:val="21"/>
                <w:lang w:val="en-US" w:eastAsia="zh-CN"/>
              </w:rPr>
            </w:pPr>
            <w:r>
              <w:rPr>
                <w:rFonts w:hint="eastAsia" w:ascii="宋体" w:hAnsi="宋体" w:eastAsia="宋体" w:cs="宋体"/>
                <w:b/>
                <w:bCs/>
                <w:color w:val="FF0000"/>
                <w:sz w:val="21"/>
                <w:szCs w:val="21"/>
                <w:lang w:val="en-US" w:eastAsia="zh-CN"/>
              </w:rPr>
              <w:t>▲2、风速可自动调节，与风速传感器联动，具有风机监测装置：超高效空气过滤器，针对颗粒直径≥0.12um，过滤效率≥99.999%，在线实时监测并条形码显示过滤器的使用寿命，具有过滤器失效声光报警功</w:t>
            </w:r>
            <w:r>
              <w:rPr>
                <w:rFonts w:hint="eastAsia" w:ascii="宋体" w:hAnsi="宋体" w:eastAsia="宋体" w:cs="宋体"/>
                <w:b/>
                <w:bCs/>
                <w:color w:val="FF0000"/>
                <w:sz w:val="21"/>
                <w:szCs w:val="21"/>
                <w:highlight w:val="none"/>
                <w:lang w:val="en-US" w:eastAsia="zh-CN"/>
              </w:rPr>
              <w:t>能</w:t>
            </w:r>
            <w:r>
              <w:rPr>
                <w:rFonts w:hint="eastAsia" w:ascii="宋体" w:hAnsi="宋体" w:eastAsia="宋体" w:cs="宋体"/>
                <w:b/>
                <w:bCs/>
                <w:color w:val="FF0000"/>
                <w:sz w:val="21"/>
                <w:szCs w:val="21"/>
                <w:lang w:val="en-US" w:eastAsia="zh-CN"/>
              </w:rPr>
              <w:t>。（提供产品技术白皮书或产品彩页或厂家参数确认函扫描件，证明材料能体现满足前述技术要求）</w:t>
            </w:r>
          </w:p>
          <w:p w14:paraId="4B7648EF">
            <w:pPr>
              <w:keepNext w:val="0"/>
              <w:keepLines w:val="0"/>
              <w:numPr>
                <w:ilvl w:val="0"/>
                <w:numId w:val="0"/>
              </w:numPr>
              <w:suppressLineNumbers w:val="0"/>
              <w:spacing w:before="0" w:beforeAutospacing="0" w:after="0" w:afterAutospacing="0"/>
              <w:ind w:left="0" w:right="0"/>
              <w:rPr>
                <w:rFonts w:hint="eastAsia" w:ascii="宋体" w:hAnsi="宋体" w:eastAsia="宋体" w:cs="宋体"/>
                <w:b/>
                <w:bCs/>
                <w:sz w:val="21"/>
                <w:szCs w:val="21"/>
                <w:lang w:val="en-US" w:eastAsia="zh-CN"/>
              </w:rPr>
            </w:pPr>
            <w:r>
              <w:rPr>
                <w:rFonts w:hint="eastAsia" w:ascii="宋体" w:hAnsi="宋体" w:eastAsia="宋体" w:cs="宋体"/>
                <w:b/>
                <w:bCs/>
                <w:color w:val="FF0000"/>
                <w:sz w:val="21"/>
                <w:szCs w:val="21"/>
                <w:lang w:val="en-US" w:eastAsia="zh-CN"/>
              </w:rPr>
              <w:t>工作区和外排出风口各配一个可见的热式微风速传感器，</w:t>
            </w:r>
            <w:r>
              <w:rPr>
                <w:rFonts w:hint="eastAsia" w:ascii="宋体" w:hAnsi="宋体" w:eastAsia="宋体" w:cs="宋体"/>
                <w:b/>
                <w:bCs/>
                <w:color w:val="FF0000"/>
                <w:sz w:val="21"/>
                <w:szCs w:val="21"/>
                <w:highlight w:val="none"/>
                <w:lang w:val="en-US" w:eastAsia="zh-CN"/>
              </w:rPr>
              <w:t>实时</w:t>
            </w:r>
            <w:r>
              <w:rPr>
                <w:rFonts w:hint="eastAsia" w:ascii="宋体" w:hAnsi="宋体" w:eastAsia="宋体" w:cs="宋体"/>
                <w:b/>
                <w:bCs/>
                <w:color w:val="FF0000"/>
                <w:sz w:val="21"/>
                <w:szCs w:val="21"/>
                <w:lang w:val="en-US" w:eastAsia="zh-CN"/>
              </w:rPr>
              <w:t>检测风速的安全性；（提供产品技术白皮书或产品彩页或厂家参数确认函扫描件，证明材料能体现满足前述技术要求）</w:t>
            </w:r>
          </w:p>
        </w:tc>
        <w:tc>
          <w:tcPr>
            <w:tcW w:w="2143" w:type="dxa"/>
            <w:tcBorders>
              <w:top w:val="single" w:color="auto" w:sz="4" w:space="0"/>
              <w:left w:val="single" w:color="auto" w:sz="4" w:space="0"/>
              <w:bottom w:val="single" w:color="auto" w:sz="4" w:space="0"/>
              <w:right w:val="single" w:color="auto" w:sz="4" w:space="0"/>
            </w:tcBorders>
            <w:vAlign w:val="top"/>
          </w:tcPr>
          <w:p w14:paraId="3779AA9E">
            <w:pPr>
              <w:keepNext w:val="0"/>
              <w:keepLines w:val="0"/>
              <w:numPr>
                <w:ilvl w:val="0"/>
                <w:numId w:val="0"/>
              </w:numPr>
              <w:suppressLineNumbers w:val="0"/>
              <w:spacing w:before="0" w:beforeAutospacing="0" w:after="0" w:afterAutospacing="0"/>
              <w:ind w:left="0" w:right="0"/>
              <w:rPr>
                <w:rFonts w:hint="eastAsia" w:ascii="宋体" w:hAnsi="宋体" w:eastAsia="宋体" w:cs="宋体"/>
                <w:b/>
                <w:bCs/>
                <w:color w:val="FF0000"/>
                <w:sz w:val="21"/>
                <w:szCs w:val="21"/>
                <w:lang w:val="en-US" w:eastAsia="zh-CN"/>
              </w:rPr>
            </w:pPr>
          </w:p>
        </w:tc>
        <w:tc>
          <w:tcPr>
            <w:tcW w:w="1086" w:type="dxa"/>
            <w:tcBorders>
              <w:top w:val="single" w:color="auto" w:sz="4" w:space="0"/>
              <w:left w:val="single" w:color="auto" w:sz="4" w:space="0"/>
              <w:bottom w:val="single" w:color="auto" w:sz="4" w:space="0"/>
              <w:right w:val="single" w:color="auto" w:sz="4" w:space="0"/>
            </w:tcBorders>
            <w:vAlign w:val="top"/>
          </w:tcPr>
          <w:p w14:paraId="5B33F8E6">
            <w:pPr>
              <w:keepNext w:val="0"/>
              <w:keepLines w:val="0"/>
              <w:numPr>
                <w:ilvl w:val="0"/>
                <w:numId w:val="0"/>
              </w:numPr>
              <w:suppressLineNumbers w:val="0"/>
              <w:spacing w:before="0" w:beforeAutospacing="0" w:after="0" w:afterAutospacing="0"/>
              <w:ind w:left="0" w:right="0"/>
              <w:rPr>
                <w:rFonts w:hint="eastAsia" w:ascii="宋体" w:hAnsi="宋体" w:eastAsia="宋体" w:cs="宋体"/>
                <w:b/>
                <w:bCs/>
                <w:color w:val="FF0000"/>
                <w:sz w:val="21"/>
                <w:szCs w:val="21"/>
                <w:lang w:val="en-US" w:eastAsia="zh-CN"/>
              </w:rPr>
            </w:pPr>
          </w:p>
        </w:tc>
        <w:tc>
          <w:tcPr>
            <w:tcW w:w="1086" w:type="dxa"/>
            <w:tcBorders>
              <w:top w:val="single" w:color="auto" w:sz="4" w:space="0"/>
              <w:left w:val="single" w:color="auto" w:sz="4" w:space="0"/>
              <w:bottom w:val="single" w:color="auto" w:sz="4" w:space="0"/>
              <w:right w:val="single" w:color="auto" w:sz="4" w:space="0"/>
            </w:tcBorders>
            <w:vAlign w:val="top"/>
          </w:tcPr>
          <w:p w14:paraId="50421C9A">
            <w:pPr>
              <w:keepNext w:val="0"/>
              <w:keepLines w:val="0"/>
              <w:numPr>
                <w:ilvl w:val="0"/>
                <w:numId w:val="0"/>
              </w:numPr>
              <w:suppressLineNumbers w:val="0"/>
              <w:spacing w:before="0" w:beforeAutospacing="0" w:after="0" w:afterAutospacing="0"/>
              <w:ind w:left="0" w:right="0"/>
              <w:rPr>
                <w:rFonts w:hint="eastAsia" w:ascii="宋体" w:hAnsi="宋体" w:eastAsia="宋体" w:cs="宋体"/>
                <w:b/>
                <w:bCs/>
                <w:color w:val="FF0000"/>
                <w:sz w:val="21"/>
                <w:szCs w:val="21"/>
                <w:lang w:val="en-US" w:eastAsia="zh-CN"/>
              </w:rPr>
            </w:pPr>
          </w:p>
        </w:tc>
      </w:tr>
      <w:tr w14:paraId="176B8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783" w:type="dxa"/>
            <w:vMerge w:val="continue"/>
            <w:tcBorders>
              <w:left w:val="single" w:color="auto" w:sz="4" w:space="0"/>
              <w:right w:val="single" w:color="auto" w:sz="4" w:space="0"/>
            </w:tcBorders>
            <w:vAlign w:val="center"/>
          </w:tcPr>
          <w:p w14:paraId="72F2A999">
            <w:pPr>
              <w:keepNext w:val="0"/>
              <w:keepLines w:val="0"/>
              <w:suppressLineNumbers w:val="0"/>
              <w:spacing w:before="0" w:beforeAutospacing="0" w:after="0" w:afterAutospacing="0"/>
              <w:ind w:left="0" w:right="0"/>
              <w:jc w:val="left"/>
              <w:rPr>
                <w:rFonts w:hint="eastAsia" w:ascii="宋体" w:hAnsi="宋体" w:eastAsia="宋体" w:cs="宋体"/>
                <w:sz w:val="21"/>
                <w:szCs w:val="21"/>
              </w:rPr>
            </w:pPr>
          </w:p>
        </w:tc>
        <w:tc>
          <w:tcPr>
            <w:tcW w:w="2143" w:type="dxa"/>
            <w:tcBorders>
              <w:top w:val="single" w:color="auto" w:sz="4" w:space="0"/>
              <w:left w:val="single" w:color="auto" w:sz="4" w:space="0"/>
              <w:bottom w:val="single" w:color="auto" w:sz="4" w:space="0"/>
              <w:right w:val="single" w:color="auto" w:sz="4" w:space="0"/>
            </w:tcBorders>
            <w:vAlign w:val="top"/>
          </w:tcPr>
          <w:p w14:paraId="3892E35E">
            <w:pPr>
              <w:keepNext w:val="0"/>
              <w:keepLines w:val="0"/>
              <w:numPr>
                <w:ilvl w:val="0"/>
                <w:numId w:val="0"/>
              </w:numPr>
              <w:suppressLineNumbers w:val="0"/>
              <w:spacing w:before="0" w:beforeAutospacing="0" w:after="0" w:afterAutospacing="0"/>
              <w:ind w:left="0" w:right="0"/>
              <w:rPr>
                <w:rFonts w:hint="eastAsia" w:ascii="宋体" w:hAnsi="宋体" w:eastAsia="宋体" w:cs="宋体"/>
                <w:b/>
                <w:bCs/>
                <w:sz w:val="21"/>
                <w:szCs w:val="21"/>
                <w:lang w:val="en-US" w:eastAsia="zh-CN"/>
              </w:rPr>
            </w:pPr>
            <w:r>
              <w:rPr>
                <w:rFonts w:hint="eastAsia" w:ascii="宋体" w:hAnsi="宋体" w:eastAsia="宋体" w:cs="宋体"/>
                <w:b/>
                <w:bCs/>
                <w:color w:val="FF0000"/>
                <w:sz w:val="21"/>
                <w:szCs w:val="21"/>
                <w:lang w:val="en-US" w:eastAsia="zh-CN"/>
              </w:rPr>
              <w:t>▲3、前窗采用电动升降方式，安全位置±5mm上、下限位声光报警装置。（提供产品技术白皮书或产品彩页或厂家参数确认函扫描件，证明材料能体现满足前述技术要求）</w:t>
            </w:r>
          </w:p>
        </w:tc>
        <w:tc>
          <w:tcPr>
            <w:tcW w:w="2143" w:type="dxa"/>
            <w:tcBorders>
              <w:top w:val="single" w:color="auto" w:sz="4" w:space="0"/>
              <w:left w:val="single" w:color="auto" w:sz="4" w:space="0"/>
              <w:bottom w:val="single" w:color="auto" w:sz="4" w:space="0"/>
              <w:right w:val="single" w:color="auto" w:sz="4" w:space="0"/>
            </w:tcBorders>
            <w:vAlign w:val="top"/>
          </w:tcPr>
          <w:p w14:paraId="3720E278">
            <w:pPr>
              <w:keepNext w:val="0"/>
              <w:keepLines w:val="0"/>
              <w:numPr>
                <w:ilvl w:val="0"/>
                <w:numId w:val="0"/>
              </w:numPr>
              <w:suppressLineNumbers w:val="0"/>
              <w:spacing w:before="0" w:beforeAutospacing="0" w:after="0" w:afterAutospacing="0"/>
              <w:ind w:left="0" w:right="0"/>
              <w:rPr>
                <w:rFonts w:hint="eastAsia" w:ascii="宋体" w:hAnsi="宋体" w:eastAsia="宋体" w:cs="宋体"/>
                <w:b/>
                <w:bCs/>
                <w:color w:val="FF0000"/>
                <w:sz w:val="21"/>
                <w:szCs w:val="21"/>
                <w:lang w:val="en-US" w:eastAsia="zh-CN"/>
              </w:rPr>
            </w:pPr>
          </w:p>
        </w:tc>
        <w:tc>
          <w:tcPr>
            <w:tcW w:w="1086" w:type="dxa"/>
            <w:tcBorders>
              <w:top w:val="single" w:color="auto" w:sz="4" w:space="0"/>
              <w:left w:val="single" w:color="auto" w:sz="4" w:space="0"/>
              <w:bottom w:val="single" w:color="auto" w:sz="4" w:space="0"/>
              <w:right w:val="single" w:color="auto" w:sz="4" w:space="0"/>
            </w:tcBorders>
            <w:vAlign w:val="top"/>
          </w:tcPr>
          <w:p w14:paraId="71DE629C">
            <w:pPr>
              <w:keepNext w:val="0"/>
              <w:keepLines w:val="0"/>
              <w:numPr>
                <w:ilvl w:val="0"/>
                <w:numId w:val="0"/>
              </w:numPr>
              <w:suppressLineNumbers w:val="0"/>
              <w:spacing w:before="0" w:beforeAutospacing="0" w:after="0" w:afterAutospacing="0"/>
              <w:ind w:left="0" w:right="0"/>
              <w:rPr>
                <w:rFonts w:hint="eastAsia" w:ascii="宋体" w:hAnsi="宋体" w:eastAsia="宋体" w:cs="宋体"/>
                <w:b/>
                <w:bCs/>
                <w:color w:val="FF0000"/>
                <w:sz w:val="21"/>
                <w:szCs w:val="21"/>
                <w:lang w:val="en-US" w:eastAsia="zh-CN"/>
              </w:rPr>
            </w:pPr>
          </w:p>
        </w:tc>
        <w:tc>
          <w:tcPr>
            <w:tcW w:w="1086" w:type="dxa"/>
            <w:tcBorders>
              <w:top w:val="single" w:color="auto" w:sz="4" w:space="0"/>
              <w:left w:val="single" w:color="auto" w:sz="4" w:space="0"/>
              <w:bottom w:val="single" w:color="auto" w:sz="4" w:space="0"/>
              <w:right w:val="single" w:color="auto" w:sz="4" w:space="0"/>
            </w:tcBorders>
            <w:vAlign w:val="top"/>
          </w:tcPr>
          <w:p w14:paraId="5113AD8D">
            <w:pPr>
              <w:keepNext w:val="0"/>
              <w:keepLines w:val="0"/>
              <w:numPr>
                <w:ilvl w:val="0"/>
                <w:numId w:val="0"/>
              </w:numPr>
              <w:suppressLineNumbers w:val="0"/>
              <w:spacing w:before="0" w:beforeAutospacing="0" w:after="0" w:afterAutospacing="0"/>
              <w:ind w:left="0" w:right="0"/>
              <w:rPr>
                <w:rFonts w:hint="eastAsia" w:ascii="宋体" w:hAnsi="宋体" w:eastAsia="宋体" w:cs="宋体"/>
                <w:b/>
                <w:bCs/>
                <w:color w:val="FF0000"/>
                <w:sz w:val="21"/>
                <w:szCs w:val="21"/>
                <w:lang w:val="en-US" w:eastAsia="zh-CN"/>
              </w:rPr>
            </w:pPr>
          </w:p>
        </w:tc>
      </w:tr>
      <w:tr w14:paraId="36699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83" w:type="dxa"/>
            <w:vMerge w:val="continue"/>
            <w:tcBorders>
              <w:left w:val="single" w:color="auto" w:sz="4" w:space="0"/>
              <w:right w:val="single" w:color="auto" w:sz="4" w:space="0"/>
            </w:tcBorders>
            <w:vAlign w:val="center"/>
          </w:tcPr>
          <w:p w14:paraId="0FCA7154">
            <w:pPr>
              <w:keepNext w:val="0"/>
              <w:keepLines w:val="0"/>
              <w:suppressLineNumbers w:val="0"/>
              <w:spacing w:before="0" w:beforeAutospacing="0" w:after="0" w:afterAutospacing="0"/>
              <w:ind w:left="0" w:right="0"/>
              <w:jc w:val="left"/>
              <w:rPr>
                <w:rFonts w:hint="eastAsia" w:ascii="宋体" w:hAnsi="宋体" w:eastAsia="宋体" w:cs="宋体"/>
                <w:sz w:val="21"/>
                <w:szCs w:val="21"/>
              </w:rPr>
            </w:pPr>
          </w:p>
        </w:tc>
        <w:tc>
          <w:tcPr>
            <w:tcW w:w="2143" w:type="dxa"/>
            <w:tcBorders>
              <w:top w:val="single" w:color="auto" w:sz="4" w:space="0"/>
              <w:left w:val="single" w:color="auto" w:sz="4" w:space="0"/>
              <w:bottom w:val="single" w:color="auto" w:sz="4" w:space="0"/>
              <w:right w:val="single" w:color="auto" w:sz="4" w:space="0"/>
            </w:tcBorders>
            <w:vAlign w:val="top"/>
          </w:tcPr>
          <w:p w14:paraId="484EA634">
            <w:pPr>
              <w:keepNext w:val="0"/>
              <w:keepLines w:val="0"/>
              <w:numPr>
                <w:ilvl w:val="0"/>
                <w:numId w:val="0"/>
              </w:numPr>
              <w:suppressLineNumbers w:val="0"/>
              <w:spacing w:before="0" w:beforeAutospacing="0" w:after="0" w:afterAutospacing="0"/>
              <w:ind w:left="0" w:right="0"/>
              <w:rPr>
                <w:rFonts w:hint="eastAsia" w:ascii="宋体" w:hAnsi="宋体" w:eastAsia="宋体" w:cs="宋体"/>
                <w:b/>
                <w:bCs/>
                <w:sz w:val="21"/>
                <w:szCs w:val="21"/>
                <w:lang w:val="en-US" w:eastAsia="zh-CN"/>
              </w:rPr>
            </w:pPr>
            <w:r>
              <w:rPr>
                <w:rFonts w:hint="eastAsia" w:ascii="宋体" w:hAnsi="宋体" w:eastAsia="宋体" w:cs="宋体"/>
                <w:b/>
                <w:bCs/>
                <w:color w:val="FF0000"/>
                <w:sz w:val="21"/>
                <w:szCs w:val="21"/>
                <w:lang w:val="en-US" w:eastAsia="zh-CN"/>
              </w:rPr>
              <w:t>4、在线实时监测并条形码显示高效过滤器的使用寿命，具有过滤器失效声光报警功能。安全柜出厂前使用泄露扫描仪进行过滤器完整性测试</w:t>
            </w:r>
            <w:r>
              <w:rPr>
                <w:rFonts w:hint="eastAsia" w:ascii="宋体" w:hAnsi="宋体" w:eastAsia="宋体" w:cs="宋体"/>
                <w:b/>
                <w:bCs/>
                <w:color w:val="FF0000"/>
                <w:sz w:val="21"/>
                <w:szCs w:val="21"/>
                <w:lang w:eastAsia="zh-CN"/>
              </w:rPr>
              <w:t>（</w:t>
            </w:r>
            <w:r>
              <w:rPr>
                <w:rFonts w:hint="eastAsia" w:ascii="宋体" w:hAnsi="宋体" w:eastAsia="宋体" w:cs="宋体"/>
                <w:b/>
                <w:bCs/>
                <w:color w:val="FF0000"/>
                <w:sz w:val="21"/>
                <w:szCs w:val="21"/>
                <w:lang w:val="en-US" w:eastAsia="zh-CN"/>
              </w:rPr>
              <w:t>提供产品技术白皮书或产品彩页或厂家参数确认函扫描件，证明材料能体现满足前述技术要求）</w:t>
            </w:r>
          </w:p>
        </w:tc>
        <w:tc>
          <w:tcPr>
            <w:tcW w:w="2143" w:type="dxa"/>
            <w:tcBorders>
              <w:top w:val="single" w:color="auto" w:sz="4" w:space="0"/>
              <w:left w:val="single" w:color="auto" w:sz="4" w:space="0"/>
              <w:bottom w:val="single" w:color="auto" w:sz="4" w:space="0"/>
              <w:right w:val="single" w:color="auto" w:sz="4" w:space="0"/>
            </w:tcBorders>
            <w:vAlign w:val="top"/>
          </w:tcPr>
          <w:p w14:paraId="2B979EB0">
            <w:pPr>
              <w:keepNext w:val="0"/>
              <w:keepLines w:val="0"/>
              <w:numPr>
                <w:ilvl w:val="0"/>
                <w:numId w:val="0"/>
              </w:numPr>
              <w:suppressLineNumbers w:val="0"/>
              <w:spacing w:before="0" w:beforeAutospacing="0" w:after="0" w:afterAutospacing="0"/>
              <w:ind w:left="0" w:right="0"/>
              <w:rPr>
                <w:rFonts w:hint="eastAsia" w:ascii="宋体" w:hAnsi="宋体" w:eastAsia="宋体" w:cs="宋体"/>
                <w:b/>
                <w:bCs/>
                <w:color w:val="FF0000"/>
                <w:sz w:val="21"/>
                <w:szCs w:val="21"/>
                <w:lang w:val="en-US" w:eastAsia="zh-CN"/>
              </w:rPr>
            </w:pPr>
          </w:p>
        </w:tc>
        <w:tc>
          <w:tcPr>
            <w:tcW w:w="1086" w:type="dxa"/>
            <w:tcBorders>
              <w:top w:val="single" w:color="auto" w:sz="4" w:space="0"/>
              <w:left w:val="single" w:color="auto" w:sz="4" w:space="0"/>
              <w:bottom w:val="single" w:color="auto" w:sz="4" w:space="0"/>
              <w:right w:val="single" w:color="auto" w:sz="4" w:space="0"/>
            </w:tcBorders>
            <w:vAlign w:val="top"/>
          </w:tcPr>
          <w:p w14:paraId="3348EC93">
            <w:pPr>
              <w:keepNext w:val="0"/>
              <w:keepLines w:val="0"/>
              <w:numPr>
                <w:ilvl w:val="0"/>
                <w:numId w:val="0"/>
              </w:numPr>
              <w:suppressLineNumbers w:val="0"/>
              <w:spacing w:before="0" w:beforeAutospacing="0" w:after="0" w:afterAutospacing="0"/>
              <w:ind w:left="0" w:right="0"/>
              <w:rPr>
                <w:rFonts w:hint="eastAsia" w:ascii="宋体" w:hAnsi="宋体" w:eastAsia="宋体" w:cs="宋体"/>
                <w:b/>
                <w:bCs/>
                <w:color w:val="FF0000"/>
                <w:sz w:val="21"/>
                <w:szCs w:val="21"/>
                <w:lang w:val="en-US" w:eastAsia="zh-CN"/>
              </w:rPr>
            </w:pPr>
          </w:p>
        </w:tc>
        <w:tc>
          <w:tcPr>
            <w:tcW w:w="1086" w:type="dxa"/>
            <w:tcBorders>
              <w:top w:val="single" w:color="auto" w:sz="4" w:space="0"/>
              <w:left w:val="single" w:color="auto" w:sz="4" w:space="0"/>
              <w:bottom w:val="single" w:color="auto" w:sz="4" w:space="0"/>
              <w:right w:val="single" w:color="auto" w:sz="4" w:space="0"/>
            </w:tcBorders>
            <w:vAlign w:val="top"/>
          </w:tcPr>
          <w:p w14:paraId="7248DBD7">
            <w:pPr>
              <w:keepNext w:val="0"/>
              <w:keepLines w:val="0"/>
              <w:numPr>
                <w:ilvl w:val="0"/>
                <w:numId w:val="0"/>
              </w:numPr>
              <w:suppressLineNumbers w:val="0"/>
              <w:spacing w:before="0" w:beforeAutospacing="0" w:after="0" w:afterAutospacing="0"/>
              <w:ind w:left="0" w:right="0"/>
              <w:rPr>
                <w:rFonts w:hint="eastAsia" w:ascii="宋体" w:hAnsi="宋体" w:eastAsia="宋体" w:cs="宋体"/>
                <w:b/>
                <w:bCs/>
                <w:color w:val="FF0000"/>
                <w:sz w:val="21"/>
                <w:szCs w:val="21"/>
                <w:lang w:val="en-US" w:eastAsia="zh-CN"/>
              </w:rPr>
            </w:pPr>
          </w:p>
        </w:tc>
      </w:tr>
      <w:tr w14:paraId="1A3A6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83" w:type="dxa"/>
            <w:vMerge w:val="continue"/>
            <w:tcBorders>
              <w:left w:val="single" w:color="auto" w:sz="4" w:space="0"/>
              <w:right w:val="single" w:color="auto" w:sz="4" w:space="0"/>
            </w:tcBorders>
            <w:vAlign w:val="center"/>
          </w:tcPr>
          <w:p w14:paraId="136A89DA">
            <w:pPr>
              <w:keepNext w:val="0"/>
              <w:keepLines w:val="0"/>
              <w:suppressLineNumbers w:val="0"/>
              <w:spacing w:before="0" w:beforeAutospacing="0" w:after="0" w:afterAutospacing="0"/>
              <w:ind w:left="0" w:right="0"/>
              <w:jc w:val="left"/>
              <w:rPr>
                <w:rFonts w:hint="eastAsia" w:ascii="宋体" w:hAnsi="宋体" w:eastAsia="宋体" w:cs="宋体"/>
                <w:sz w:val="21"/>
                <w:szCs w:val="21"/>
              </w:rPr>
            </w:pPr>
          </w:p>
        </w:tc>
        <w:tc>
          <w:tcPr>
            <w:tcW w:w="2143" w:type="dxa"/>
            <w:tcBorders>
              <w:top w:val="single" w:color="auto" w:sz="4" w:space="0"/>
              <w:left w:val="single" w:color="auto" w:sz="4" w:space="0"/>
              <w:bottom w:val="single" w:color="auto" w:sz="4" w:space="0"/>
              <w:right w:val="single" w:color="auto" w:sz="4" w:space="0"/>
            </w:tcBorders>
            <w:vAlign w:val="top"/>
          </w:tcPr>
          <w:p w14:paraId="21BE401D">
            <w:pPr>
              <w:keepNext w:val="0"/>
              <w:keepLines w:val="0"/>
              <w:numPr>
                <w:ilvl w:val="0"/>
                <w:numId w:val="0"/>
              </w:numPr>
              <w:suppressLineNumbers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5、工作区三侧壁板为一体化成型，304不锈钢材质，双层侧壁形成负压保护。</w:t>
            </w:r>
          </w:p>
          <w:p w14:paraId="51CA376E">
            <w:pPr>
              <w:keepNext w:val="0"/>
              <w:keepLines w:val="0"/>
              <w:numPr>
                <w:ilvl w:val="0"/>
                <w:numId w:val="0"/>
              </w:numPr>
              <w:suppressLineNumbers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操作台面前侧凹槽设计。</w:t>
            </w:r>
          </w:p>
        </w:tc>
        <w:tc>
          <w:tcPr>
            <w:tcW w:w="2143" w:type="dxa"/>
            <w:tcBorders>
              <w:top w:val="single" w:color="auto" w:sz="4" w:space="0"/>
              <w:left w:val="single" w:color="auto" w:sz="4" w:space="0"/>
              <w:bottom w:val="single" w:color="auto" w:sz="4" w:space="0"/>
              <w:right w:val="single" w:color="auto" w:sz="4" w:space="0"/>
            </w:tcBorders>
            <w:vAlign w:val="top"/>
          </w:tcPr>
          <w:p w14:paraId="2184CA81">
            <w:pPr>
              <w:keepNext w:val="0"/>
              <w:keepLines w:val="0"/>
              <w:numPr>
                <w:ilvl w:val="0"/>
                <w:numId w:val="0"/>
              </w:numPr>
              <w:suppressLineNumbers w:val="0"/>
              <w:spacing w:before="0" w:beforeAutospacing="0" w:after="0" w:afterAutospacing="0"/>
              <w:ind w:left="0" w:right="0"/>
              <w:rPr>
                <w:rFonts w:hint="eastAsia" w:ascii="宋体" w:hAnsi="宋体" w:eastAsia="宋体" w:cs="宋体"/>
                <w:sz w:val="21"/>
                <w:szCs w:val="21"/>
                <w:lang w:val="en-US" w:eastAsia="zh-CN"/>
              </w:rPr>
            </w:pPr>
          </w:p>
        </w:tc>
        <w:tc>
          <w:tcPr>
            <w:tcW w:w="1086" w:type="dxa"/>
            <w:tcBorders>
              <w:top w:val="single" w:color="auto" w:sz="4" w:space="0"/>
              <w:left w:val="single" w:color="auto" w:sz="4" w:space="0"/>
              <w:bottom w:val="single" w:color="auto" w:sz="4" w:space="0"/>
              <w:right w:val="single" w:color="auto" w:sz="4" w:space="0"/>
            </w:tcBorders>
            <w:vAlign w:val="top"/>
          </w:tcPr>
          <w:p w14:paraId="33C9552E">
            <w:pPr>
              <w:keepNext w:val="0"/>
              <w:keepLines w:val="0"/>
              <w:numPr>
                <w:ilvl w:val="0"/>
                <w:numId w:val="0"/>
              </w:numPr>
              <w:suppressLineNumbers w:val="0"/>
              <w:spacing w:before="0" w:beforeAutospacing="0" w:after="0" w:afterAutospacing="0"/>
              <w:ind w:left="0" w:right="0"/>
              <w:rPr>
                <w:rFonts w:hint="eastAsia" w:ascii="宋体" w:hAnsi="宋体" w:eastAsia="宋体" w:cs="宋体"/>
                <w:sz w:val="21"/>
                <w:szCs w:val="21"/>
                <w:lang w:val="en-US" w:eastAsia="zh-CN"/>
              </w:rPr>
            </w:pPr>
          </w:p>
        </w:tc>
        <w:tc>
          <w:tcPr>
            <w:tcW w:w="1086" w:type="dxa"/>
            <w:tcBorders>
              <w:top w:val="single" w:color="auto" w:sz="4" w:space="0"/>
              <w:left w:val="single" w:color="auto" w:sz="4" w:space="0"/>
              <w:bottom w:val="single" w:color="auto" w:sz="4" w:space="0"/>
              <w:right w:val="single" w:color="auto" w:sz="4" w:space="0"/>
            </w:tcBorders>
            <w:vAlign w:val="top"/>
          </w:tcPr>
          <w:p w14:paraId="4EB7A384">
            <w:pPr>
              <w:keepNext w:val="0"/>
              <w:keepLines w:val="0"/>
              <w:numPr>
                <w:ilvl w:val="0"/>
                <w:numId w:val="0"/>
              </w:numPr>
              <w:suppressLineNumbers w:val="0"/>
              <w:spacing w:before="0" w:beforeAutospacing="0" w:after="0" w:afterAutospacing="0"/>
              <w:ind w:left="0" w:right="0"/>
              <w:rPr>
                <w:rFonts w:hint="eastAsia" w:ascii="宋体" w:hAnsi="宋体" w:eastAsia="宋体" w:cs="宋体"/>
                <w:sz w:val="21"/>
                <w:szCs w:val="21"/>
                <w:lang w:val="en-US" w:eastAsia="zh-CN"/>
              </w:rPr>
            </w:pPr>
          </w:p>
        </w:tc>
      </w:tr>
      <w:tr w14:paraId="3A484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783" w:type="dxa"/>
            <w:vMerge w:val="continue"/>
            <w:tcBorders>
              <w:left w:val="single" w:color="auto" w:sz="4" w:space="0"/>
              <w:right w:val="single" w:color="auto" w:sz="4" w:space="0"/>
            </w:tcBorders>
            <w:vAlign w:val="center"/>
          </w:tcPr>
          <w:p w14:paraId="39E9702B">
            <w:pPr>
              <w:keepNext w:val="0"/>
              <w:keepLines w:val="0"/>
              <w:suppressLineNumbers w:val="0"/>
              <w:spacing w:before="0" w:beforeAutospacing="0" w:after="0" w:afterAutospacing="0"/>
              <w:ind w:left="0" w:right="0"/>
              <w:jc w:val="left"/>
              <w:rPr>
                <w:rFonts w:hint="eastAsia" w:ascii="宋体" w:hAnsi="宋体" w:eastAsia="宋体" w:cs="宋体"/>
                <w:sz w:val="21"/>
                <w:szCs w:val="21"/>
              </w:rPr>
            </w:pPr>
          </w:p>
        </w:tc>
        <w:tc>
          <w:tcPr>
            <w:tcW w:w="2143" w:type="dxa"/>
            <w:tcBorders>
              <w:top w:val="single" w:color="auto" w:sz="4" w:space="0"/>
              <w:left w:val="single" w:color="auto" w:sz="4" w:space="0"/>
              <w:bottom w:val="single" w:color="auto" w:sz="4" w:space="0"/>
              <w:right w:val="single" w:color="auto" w:sz="4" w:space="0"/>
            </w:tcBorders>
            <w:vAlign w:val="top"/>
          </w:tcPr>
          <w:p w14:paraId="68328D7C">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、显示面板可实时显示工作区温度、气流流速/流量、过滤膜寿命、累计运行时间</w:t>
            </w:r>
          </w:p>
        </w:tc>
        <w:tc>
          <w:tcPr>
            <w:tcW w:w="2143" w:type="dxa"/>
            <w:tcBorders>
              <w:top w:val="single" w:color="auto" w:sz="4" w:space="0"/>
              <w:left w:val="single" w:color="auto" w:sz="4" w:space="0"/>
              <w:bottom w:val="single" w:color="auto" w:sz="4" w:space="0"/>
              <w:right w:val="single" w:color="auto" w:sz="4" w:space="0"/>
            </w:tcBorders>
            <w:vAlign w:val="top"/>
          </w:tcPr>
          <w:p w14:paraId="6B8E2166">
            <w:pPr>
              <w:keepNext w:val="0"/>
              <w:keepLines w:val="0"/>
              <w:suppressLineNumbers w:val="0"/>
              <w:spacing w:before="0" w:beforeAutospacing="0" w:after="0" w:afterAutospacing="0"/>
              <w:ind w:left="0" w:right="0"/>
              <w:rPr>
                <w:rFonts w:hint="eastAsia" w:ascii="宋体" w:hAnsi="宋体" w:eastAsia="宋体" w:cs="宋体"/>
                <w:sz w:val="21"/>
                <w:szCs w:val="21"/>
                <w:lang w:val="en-US" w:eastAsia="zh-CN"/>
              </w:rPr>
            </w:pPr>
          </w:p>
        </w:tc>
        <w:tc>
          <w:tcPr>
            <w:tcW w:w="1086" w:type="dxa"/>
            <w:tcBorders>
              <w:top w:val="single" w:color="auto" w:sz="4" w:space="0"/>
              <w:left w:val="single" w:color="auto" w:sz="4" w:space="0"/>
              <w:bottom w:val="single" w:color="auto" w:sz="4" w:space="0"/>
              <w:right w:val="single" w:color="auto" w:sz="4" w:space="0"/>
            </w:tcBorders>
            <w:vAlign w:val="top"/>
          </w:tcPr>
          <w:p w14:paraId="3635E144">
            <w:pPr>
              <w:keepNext w:val="0"/>
              <w:keepLines w:val="0"/>
              <w:suppressLineNumbers w:val="0"/>
              <w:spacing w:before="0" w:beforeAutospacing="0" w:after="0" w:afterAutospacing="0"/>
              <w:ind w:left="0" w:right="0"/>
              <w:rPr>
                <w:rFonts w:hint="eastAsia" w:ascii="宋体" w:hAnsi="宋体" w:eastAsia="宋体" w:cs="宋体"/>
                <w:sz w:val="21"/>
                <w:szCs w:val="21"/>
                <w:lang w:val="en-US" w:eastAsia="zh-CN"/>
              </w:rPr>
            </w:pPr>
          </w:p>
        </w:tc>
        <w:tc>
          <w:tcPr>
            <w:tcW w:w="1086" w:type="dxa"/>
            <w:tcBorders>
              <w:top w:val="single" w:color="auto" w:sz="4" w:space="0"/>
              <w:left w:val="single" w:color="auto" w:sz="4" w:space="0"/>
              <w:bottom w:val="single" w:color="auto" w:sz="4" w:space="0"/>
              <w:right w:val="single" w:color="auto" w:sz="4" w:space="0"/>
            </w:tcBorders>
            <w:vAlign w:val="top"/>
          </w:tcPr>
          <w:p w14:paraId="04B5BE9E">
            <w:pPr>
              <w:keepNext w:val="0"/>
              <w:keepLines w:val="0"/>
              <w:suppressLineNumbers w:val="0"/>
              <w:spacing w:before="0" w:beforeAutospacing="0" w:after="0" w:afterAutospacing="0"/>
              <w:ind w:left="0" w:right="0"/>
              <w:rPr>
                <w:rFonts w:hint="eastAsia" w:ascii="宋体" w:hAnsi="宋体" w:eastAsia="宋体" w:cs="宋体"/>
                <w:sz w:val="21"/>
                <w:szCs w:val="21"/>
                <w:lang w:val="en-US" w:eastAsia="zh-CN"/>
              </w:rPr>
            </w:pPr>
          </w:p>
        </w:tc>
      </w:tr>
      <w:tr w14:paraId="0FE0C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783" w:type="dxa"/>
            <w:vMerge w:val="continue"/>
            <w:tcBorders>
              <w:left w:val="single" w:color="auto" w:sz="4" w:space="0"/>
              <w:right w:val="single" w:color="auto" w:sz="4" w:space="0"/>
            </w:tcBorders>
            <w:vAlign w:val="center"/>
          </w:tcPr>
          <w:p w14:paraId="3C03167B">
            <w:pPr>
              <w:keepNext w:val="0"/>
              <w:keepLines w:val="0"/>
              <w:suppressLineNumbers w:val="0"/>
              <w:spacing w:before="0" w:beforeAutospacing="0" w:after="0" w:afterAutospacing="0"/>
              <w:ind w:left="0" w:right="0"/>
              <w:jc w:val="left"/>
              <w:rPr>
                <w:rFonts w:hint="eastAsia" w:ascii="宋体" w:hAnsi="宋体" w:eastAsia="宋体" w:cs="宋体"/>
                <w:sz w:val="21"/>
                <w:szCs w:val="21"/>
              </w:rPr>
            </w:pPr>
          </w:p>
        </w:tc>
        <w:tc>
          <w:tcPr>
            <w:tcW w:w="2143" w:type="dxa"/>
            <w:tcBorders>
              <w:top w:val="single" w:color="auto" w:sz="4" w:space="0"/>
              <w:left w:val="single" w:color="auto" w:sz="4" w:space="0"/>
              <w:bottom w:val="single" w:color="auto" w:sz="4" w:space="0"/>
              <w:right w:val="single" w:color="auto" w:sz="4" w:space="0"/>
            </w:tcBorders>
            <w:vAlign w:val="top"/>
          </w:tcPr>
          <w:p w14:paraId="3F964528">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内置</w:t>
            </w:r>
            <w:r>
              <w:rPr>
                <w:rFonts w:hint="eastAsia" w:ascii="宋体" w:hAnsi="宋体" w:eastAsia="宋体" w:cs="宋体"/>
                <w:sz w:val="21"/>
                <w:szCs w:val="21"/>
                <w:highlight w:val="none"/>
              </w:rPr>
              <w:t>温度传感器：可实时检测并显示工作区的温度，监测风机运行及操作区安全状态</w:t>
            </w:r>
          </w:p>
        </w:tc>
        <w:tc>
          <w:tcPr>
            <w:tcW w:w="2143" w:type="dxa"/>
            <w:tcBorders>
              <w:top w:val="single" w:color="auto" w:sz="4" w:space="0"/>
              <w:left w:val="single" w:color="auto" w:sz="4" w:space="0"/>
              <w:bottom w:val="single" w:color="auto" w:sz="4" w:space="0"/>
              <w:right w:val="single" w:color="auto" w:sz="4" w:space="0"/>
            </w:tcBorders>
            <w:vAlign w:val="top"/>
          </w:tcPr>
          <w:p w14:paraId="0FE6B978">
            <w:pPr>
              <w:keepNext w:val="0"/>
              <w:keepLines w:val="0"/>
              <w:suppressLineNumbers w:val="0"/>
              <w:spacing w:before="0" w:beforeAutospacing="0" w:after="0" w:afterAutospacing="0"/>
              <w:ind w:left="0" w:right="0"/>
              <w:rPr>
                <w:rFonts w:hint="eastAsia" w:ascii="宋体" w:hAnsi="宋体" w:eastAsia="宋体" w:cs="宋体"/>
                <w:sz w:val="21"/>
                <w:szCs w:val="21"/>
                <w:highlight w:val="none"/>
                <w:lang w:val="en-US" w:eastAsia="zh-CN"/>
              </w:rPr>
            </w:pPr>
          </w:p>
        </w:tc>
        <w:tc>
          <w:tcPr>
            <w:tcW w:w="1086" w:type="dxa"/>
            <w:tcBorders>
              <w:top w:val="single" w:color="auto" w:sz="4" w:space="0"/>
              <w:left w:val="single" w:color="auto" w:sz="4" w:space="0"/>
              <w:bottom w:val="single" w:color="auto" w:sz="4" w:space="0"/>
              <w:right w:val="single" w:color="auto" w:sz="4" w:space="0"/>
            </w:tcBorders>
            <w:vAlign w:val="top"/>
          </w:tcPr>
          <w:p w14:paraId="1790A386">
            <w:pPr>
              <w:keepNext w:val="0"/>
              <w:keepLines w:val="0"/>
              <w:suppressLineNumbers w:val="0"/>
              <w:spacing w:before="0" w:beforeAutospacing="0" w:after="0" w:afterAutospacing="0"/>
              <w:ind w:left="0" w:right="0"/>
              <w:rPr>
                <w:rFonts w:hint="eastAsia" w:ascii="宋体" w:hAnsi="宋体" w:eastAsia="宋体" w:cs="宋体"/>
                <w:sz w:val="21"/>
                <w:szCs w:val="21"/>
                <w:highlight w:val="none"/>
                <w:lang w:val="en-US" w:eastAsia="zh-CN"/>
              </w:rPr>
            </w:pPr>
          </w:p>
        </w:tc>
        <w:tc>
          <w:tcPr>
            <w:tcW w:w="1086" w:type="dxa"/>
            <w:tcBorders>
              <w:top w:val="single" w:color="auto" w:sz="4" w:space="0"/>
              <w:left w:val="single" w:color="auto" w:sz="4" w:space="0"/>
              <w:bottom w:val="single" w:color="auto" w:sz="4" w:space="0"/>
              <w:right w:val="single" w:color="auto" w:sz="4" w:space="0"/>
            </w:tcBorders>
            <w:vAlign w:val="top"/>
          </w:tcPr>
          <w:p w14:paraId="24EE4F95">
            <w:pPr>
              <w:keepNext w:val="0"/>
              <w:keepLines w:val="0"/>
              <w:suppressLineNumbers w:val="0"/>
              <w:spacing w:before="0" w:beforeAutospacing="0" w:after="0" w:afterAutospacing="0"/>
              <w:ind w:left="0" w:right="0"/>
              <w:rPr>
                <w:rFonts w:hint="eastAsia" w:ascii="宋体" w:hAnsi="宋体" w:eastAsia="宋体" w:cs="宋体"/>
                <w:sz w:val="21"/>
                <w:szCs w:val="21"/>
                <w:highlight w:val="none"/>
                <w:lang w:val="en-US" w:eastAsia="zh-CN"/>
              </w:rPr>
            </w:pPr>
          </w:p>
        </w:tc>
      </w:tr>
      <w:tr w14:paraId="23397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783" w:type="dxa"/>
            <w:vMerge w:val="continue"/>
            <w:tcBorders>
              <w:left w:val="single" w:color="auto" w:sz="4" w:space="0"/>
              <w:right w:val="single" w:color="auto" w:sz="4" w:space="0"/>
            </w:tcBorders>
            <w:vAlign w:val="center"/>
          </w:tcPr>
          <w:p w14:paraId="47EDFAD8">
            <w:pPr>
              <w:keepNext w:val="0"/>
              <w:keepLines w:val="0"/>
              <w:suppressLineNumbers w:val="0"/>
              <w:spacing w:before="0" w:beforeAutospacing="0" w:after="0" w:afterAutospacing="0"/>
              <w:ind w:left="0" w:right="0"/>
              <w:jc w:val="left"/>
              <w:rPr>
                <w:rFonts w:hint="eastAsia" w:ascii="宋体" w:hAnsi="宋体" w:eastAsia="宋体" w:cs="宋体"/>
                <w:sz w:val="21"/>
                <w:szCs w:val="21"/>
              </w:rPr>
            </w:pPr>
          </w:p>
        </w:tc>
        <w:tc>
          <w:tcPr>
            <w:tcW w:w="2143" w:type="dxa"/>
            <w:tcBorders>
              <w:top w:val="single" w:color="auto" w:sz="4" w:space="0"/>
              <w:left w:val="single" w:color="auto" w:sz="4" w:space="0"/>
              <w:bottom w:val="single" w:color="auto" w:sz="4" w:space="0"/>
              <w:right w:val="single" w:color="auto" w:sz="4" w:space="0"/>
            </w:tcBorders>
            <w:vAlign w:val="top"/>
          </w:tcPr>
          <w:p w14:paraId="34EF5393">
            <w:pPr>
              <w:keepNext w:val="0"/>
              <w:keepLines w:val="0"/>
              <w:suppressLineNumbers w:val="0"/>
              <w:spacing w:before="0" w:beforeAutospacing="0" w:after="0" w:afterAutospacing="0"/>
              <w:ind w:left="0" w:right="0"/>
              <w:rPr>
                <w:rFonts w:hint="eastAsia" w:ascii="宋体" w:hAnsi="宋体" w:eastAsia="宋体" w:cs="宋体"/>
                <w:sz w:val="21"/>
                <w:szCs w:val="21"/>
                <w:lang w:eastAsia="zh-CN"/>
              </w:rPr>
            </w:pPr>
            <w:r>
              <w:rPr>
                <w:rFonts w:hint="eastAsia" w:ascii="宋体" w:hAnsi="宋体" w:eastAsia="宋体" w:cs="宋体"/>
                <w:sz w:val="21"/>
                <w:szCs w:val="21"/>
                <w:lang w:val="en-US" w:eastAsia="zh-CN"/>
              </w:rPr>
              <w:t>8、</w:t>
            </w:r>
            <w:r>
              <w:rPr>
                <w:rFonts w:hint="eastAsia" w:ascii="宋体" w:hAnsi="宋体" w:eastAsia="宋体" w:cs="宋体"/>
                <w:sz w:val="21"/>
                <w:szCs w:val="21"/>
              </w:rPr>
              <w:t>集液槽面积不小于工作台面积，集液槽与工作台面之间无任何支撑架，材质为304不锈钢，有排污阀</w:t>
            </w:r>
            <w:r>
              <w:rPr>
                <w:rFonts w:hint="eastAsia" w:ascii="宋体" w:hAnsi="宋体" w:eastAsia="宋体" w:cs="宋体"/>
                <w:sz w:val="21"/>
                <w:szCs w:val="21"/>
                <w:lang w:eastAsia="zh-CN"/>
              </w:rPr>
              <w:t>。</w:t>
            </w:r>
          </w:p>
        </w:tc>
        <w:tc>
          <w:tcPr>
            <w:tcW w:w="2143" w:type="dxa"/>
            <w:tcBorders>
              <w:top w:val="single" w:color="auto" w:sz="4" w:space="0"/>
              <w:left w:val="single" w:color="auto" w:sz="4" w:space="0"/>
              <w:bottom w:val="single" w:color="auto" w:sz="4" w:space="0"/>
              <w:right w:val="single" w:color="auto" w:sz="4" w:space="0"/>
            </w:tcBorders>
            <w:vAlign w:val="top"/>
          </w:tcPr>
          <w:p w14:paraId="72713917">
            <w:pPr>
              <w:keepNext w:val="0"/>
              <w:keepLines w:val="0"/>
              <w:suppressLineNumbers w:val="0"/>
              <w:spacing w:before="0" w:beforeAutospacing="0" w:after="0" w:afterAutospacing="0"/>
              <w:ind w:left="0" w:right="0"/>
              <w:rPr>
                <w:rFonts w:hint="eastAsia" w:ascii="宋体" w:hAnsi="宋体" w:eastAsia="宋体" w:cs="宋体"/>
                <w:sz w:val="21"/>
                <w:szCs w:val="21"/>
                <w:lang w:val="en-US" w:eastAsia="zh-CN"/>
              </w:rPr>
            </w:pPr>
          </w:p>
        </w:tc>
        <w:tc>
          <w:tcPr>
            <w:tcW w:w="1086" w:type="dxa"/>
            <w:tcBorders>
              <w:top w:val="single" w:color="auto" w:sz="4" w:space="0"/>
              <w:left w:val="single" w:color="auto" w:sz="4" w:space="0"/>
              <w:bottom w:val="single" w:color="auto" w:sz="4" w:space="0"/>
              <w:right w:val="single" w:color="auto" w:sz="4" w:space="0"/>
            </w:tcBorders>
            <w:vAlign w:val="top"/>
          </w:tcPr>
          <w:p w14:paraId="5631C329">
            <w:pPr>
              <w:keepNext w:val="0"/>
              <w:keepLines w:val="0"/>
              <w:suppressLineNumbers w:val="0"/>
              <w:spacing w:before="0" w:beforeAutospacing="0" w:after="0" w:afterAutospacing="0"/>
              <w:ind w:left="0" w:right="0"/>
              <w:rPr>
                <w:rFonts w:hint="eastAsia" w:ascii="宋体" w:hAnsi="宋体" w:eastAsia="宋体" w:cs="宋体"/>
                <w:sz w:val="21"/>
                <w:szCs w:val="21"/>
                <w:lang w:val="en-US" w:eastAsia="zh-CN"/>
              </w:rPr>
            </w:pPr>
          </w:p>
        </w:tc>
        <w:tc>
          <w:tcPr>
            <w:tcW w:w="1086" w:type="dxa"/>
            <w:tcBorders>
              <w:top w:val="single" w:color="auto" w:sz="4" w:space="0"/>
              <w:left w:val="single" w:color="auto" w:sz="4" w:space="0"/>
              <w:bottom w:val="single" w:color="auto" w:sz="4" w:space="0"/>
              <w:right w:val="single" w:color="auto" w:sz="4" w:space="0"/>
            </w:tcBorders>
            <w:vAlign w:val="top"/>
          </w:tcPr>
          <w:p w14:paraId="6FA0D811">
            <w:pPr>
              <w:keepNext w:val="0"/>
              <w:keepLines w:val="0"/>
              <w:suppressLineNumbers w:val="0"/>
              <w:spacing w:before="0" w:beforeAutospacing="0" w:after="0" w:afterAutospacing="0"/>
              <w:ind w:left="0" w:right="0"/>
              <w:rPr>
                <w:rFonts w:hint="eastAsia" w:ascii="宋体" w:hAnsi="宋体" w:eastAsia="宋体" w:cs="宋体"/>
                <w:sz w:val="21"/>
                <w:szCs w:val="21"/>
                <w:lang w:val="en-US" w:eastAsia="zh-CN"/>
              </w:rPr>
            </w:pPr>
          </w:p>
        </w:tc>
      </w:tr>
      <w:tr w14:paraId="627B4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783" w:type="dxa"/>
            <w:vMerge w:val="continue"/>
            <w:tcBorders>
              <w:left w:val="single" w:color="auto" w:sz="4" w:space="0"/>
              <w:right w:val="single" w:color="auto" w:sz="4" w:space="0"/>
            </w:tcBorders>
            <w:vAlign w:val="center"/>
          </w:tcPr>
          <w:p w14:paraId="68B8C5B3">
            <w:pPr>
              <w:keepNext w:val="0"/>
              <w:keepLines w:val="0"/>
              <w:suppressLineNumbers w:val="0"/>
              <w:spacing w:before="0" w:beforeAutospacing="0" w:after="0" w:afterAutospacing="0"/>
              <w:ind w:left="0" w:right="0"/>
              <w:jc w:val="left"/>
              <w:rPr>
                <w:rFonts w:hint="eastAsia" w:ascii="宋体" w:hAnsi="宋体" w:eastAsia="宋体" w:cs="宋体"/>
                <w:sz w:val="21"/>
                <w:szCs w:val="21"/>
              </w:rPr>
            </w:pPr>
          </w:p>
        </w:tc>
        <w:tc>
          <w:tcPr>
            <w:tcW w:w="2143" w:type="dxa"/>
            <w:tcBorders>
              <w:top w:val="single" w:color="auto" w:sz="4" w:space="0"/>
              <w:left w:val="single" w:color="auto" w:sz="4" w:space="0"/>
              <w:bottom w:val="single" w:color="auto" w:sz="4" w:space="0"/>
              <w:right w:val="single" w:color="auto" w:sz="4" w:space="0"/>
            </w:tcBorders>
            <w:vAlign w:val="top"/>
          </w:tcPr>
          <w:p w14:paraId="6608A33B">
            <w:pPr>
              <w:keepNext w:val="0"/>
              <w:keepLines w:val="0"/>
              <w:suppressLineNumbers w:val="0"/>
              <w:spacing w:before="0" w:beforeAutospacing="0" w:after="0" w:afterAutospacing="0"/>
              <w:ind w:left="0" w:right="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倾角人性化设计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前窗</w:t>
            </w:r>
            <w:r>
              <w:rPr>
                <w:rFonts w:hint="eastAsia" w:ascii="宋体" w:hAnsi="宋体" w:eastAsia="宋体" w:cs="宋体"/>
                <w:color w:val="auto"/>
                <w:sz w:val="21"/>
                <w:szCs w:val="21"/>
                <w:lang w:val="en-US" w:eastAsia="zh-CN"/>
              </w:rPr>
              <w:t>玻璃门采用≥6mm安全钢化玻璃，具有防爆、防碎及防紫外的功能</w:t>
            </w:r>
          </w:p>
        </w:tc>
        <w:tc>
          <w:tcPr>
            <w:tcW w:w="2143" w:type="dxa"/>
            <w:tcBorders>
              <w:top w:val="single" w:color="auto" w:sz="4" w:space="0"/>
              <w:left w:val="single" w:color="auto" w:sz="4" w:space="0"/>
              <w:bottom w:val="single" w:color="auto" w:sz="4" w:space="0"/>
              <w:right w:val="single" w:color="auto" w:sz="4" w:space="0"/>
            </w:tcBorders>
            <w:vAlign w:val="top"/>
          </w:tcPr>
          <w:p w14:paraId="57630B5D">
            <w:pPr>
              <w:keepNext w:val="0"/>
              <w:keepLines w:val="0"/>
              <w:suppressLineNumbers w:val="0"/>
              <w:spacing w:before="0" w:beforeAutospacing="0" w:after="0" w:afterAutospacing="0"/>
              <w:ind w:left="0" w:right="0"/>
              <w:rPr>
                <w:rFonts w:hint="eastAsia" w:ascii="宋体" w:hAnsi="宋体" w:eastAsia="宋体" w:cs="宋体"/>
                <w:color w:val="auto"/>
                <w:sz w:val="21"/>
                <w:szCs w:val="21"/>
                <w:lang w:val="en-US" w:eastAsia="zh-CN"/>
              </w:rPr>
            </w:pPr>
          </w:p>
        </w:tc>
        <w:tc>
          <w:tcPr>
            <w:tcW w:w="1086" w:type="dxa"/>
            <w:tcBorders>
              <w:top w:val="single" w:color="auto" w:sz="4" w:space="0"/>
              <w:left w:val="single" w:color="auto" w:sz="4" w:space="0"/>
              <w:bottom w:val="single" w:color="auto" w:sz="4" w:space="0"/>
              <w:right w:val="single" w:color="auto" w:sz="4" w:space="0"/>
            </w:tcBorders>
            <w:vAlign w:val="top"/>
          </w:tcPr>
          <w:p w14:paraId="6FED234B">
            <w:pPr>
              <w:keepNext w:val="0"/>
              <w:keepLines w:val="0"/>
              <w:suppressLineNumbers w:val="0"/>
              <w:spacing w:before="0" w:beforeAutospacing="0" w:after="0" w:afterAutospacing="0"/>
              <w:ind w:left="0" w:right="0"/>
              <w:rPr>
                <w:rFonts w:hint="eastAsia" w:ascii="宋体" w:hAnsi="宋体" w:eastAsia="宋体" w:cs="宋体"/>
                <w:color w:val="auto"/>
                <w:sz w:val="21"/>
                <w:szCs w:val="21"/>
                <w:lang w:val="en-US" w:eastAsia="zh-CN"/>
              </w:rPr>
            </w:pPr>
          </w:p>
        </w:tc>
        <w:tc>
          <w:tcPr>
            <w:tcW w:w="1086" w:type="dxa"/>
            <w:tcBorders>
              <w:top w:val="single" w:color="auto" w:sz="4" w:space="0"/>
              <w:left w:val="single" w:color="auto" w:sz="4" w:space="0"/>
              <w:bottom w:val="single" w:color="auto" w:sz="4" w:space="0"/>
              <w:right w:val="single" w:color="auto" w:sz="4" w:space="0"/>
            </w:tcBorders>
            <w:vAlign w:val="top"/>
          </w:tcPr>
          <w:p w14:paraId="3B147EDF">
            <w:pPr>
              <w:keepNext w:val="0"/>
              <w:keepLines w:val="0"/>
              <w:suppressLineNumbers w:val="0"/>
              <w:spacing w:before="0" w:beforeAutospacing="0" w:after="0" w:afterAutospacing="0"/>
              <w:ind w:left="0" w:right="0"/>
              <w:rPr>
                <w:rFonts w:hint="eastAsia" w:ascii="宋体" w:hAnsi="宋体" w:eastAsia="宋体" w:cs="宋体"/>
                <w:color w:val="auto"/>
                <w:sz w:val="21"/>
                <w:szCs w:val="21"/>
                <w:lang w:val="en-US" w:eastAsia="zh-CN"/>
              </w:rPr>
            </w:pPr>
          </w:p>
        </w:tc>
      </w:tr>
      <w:tr w14:paraId="33B3A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783" w:type="dxa"/>
            <w:vMerge w:val="continue"/>
            <w:tcBorders>
              <w:left w:val="single" w:color="auto" w:sz="4" w:space="0"/>
              <w:right w:val="single" w:color="auto" w:sz="4" w:space="0"/>
            </w:tcBorders>
            <w:vAlign w:val="center"/>
          </w:tcPr>
          <w:p w14:paraId="12122B67">
            <w:pPr>
              <w:keepNext w:val="0"/>
              <w:keepLines w:val="0"/>
              <w:suppressLineNumbers w:val="0"/>
              <w:spacing w:before="0" w:beforeAutospacing="0" w:after="0" w:afterAutospacing="0"/>
              <w:ind w:left="0" w:right="0"/>
              <w:jc w:val="left"/>
              <w:rPr>
                <w:rFonts w:hint="eastAsia" w:ascii="宋体" w:hAnsi="宋体" w:eastAsia="宋体" w:cs="宋体"/>
                <w:sz w:val="21"/>
                <w:szCs w:val="21"/>
              </w:rPr>
            </w:pPr>
          </w:p>
        </w:tc>
        <w:tc>
          <w:tcPr>
            <w:tcW w:w="2143" w:type="dxa"/>
            <w:tcBorders>
              <w:top w:val="single" w:color="auto" w:sz="4" w:space="0"/>
              <w:left w:val="single" w:color="auto" w:sz="4" w:space="0"/>
              <w:bottom w:val="single" w:color="auto" w:sz="4" w:space="0"/>
              <w:right w:val="single" w:color="auto" w:sz="4" w:space="0"/>
            </w:tcBorders>
            <w:vAlign w:val="top"/>
          </w:tcPr>
          <w:p w14:paraId="7045FC14">
            <w:pPr>
              <w:keepNext w:val="0"/>
              <w:keepLines w:val="0"/>
              <w:numPr>
                <w:ilvl w:val="0"/>
                <w:numId w:val="0"/>
              </w:numPr>
              <w:suppressLineNumbers w:val="0"/>
              <w:tabs>
                <w:tab w:val="left" w:pos="420"/>
              </w:tabs>
              <w:spacing w:before="0" w:beforeAutospacing="0" w:after="0" w:afterAutospacing="0"/>
              <w:ind w:left="0" w:right="0"/>
              <w:rPr>
                <w:rFonts w:hint="eastAsia" w:ascii="宋体" w:hAnsi="宋体" w:eastAsia="宋体" w:cs="宋体"/>
                <w:b/>
                <w:bCs/>
                <w:color w:val="auto"/>
                <w:sz w:val="21"/>
                <w:szCs w:val="21"/>
                <w:highlight w:val="none"/>
                <w:vertAlign w:val="superscript"/>
                <w:lang w:val="en-US" w:eastAsia="zh-CN"/>
              </w:rPr>
            </w:pPr>
            <w:r>
              <w:rPr>
                <w:rFonts w:hint="eastAsia" w:ascii="宋体" w:hAnsi="宋体" w:eastAsia="宋体" w:cs="宋体"/>
                <w:b/>
                <w:bCs/>
                <w:color w:val="FF0000"/>
                <w:sz w:val="21"/>
                <w:szCs w:val="21"/>
                <w:highlight w:val="none"/>
              </w:rPr>
              <w:t>▲</w:t>
            </w:r>
            <w:r>
              <w:rPr>
                <w:rFonts w:hint="eastAsia" w:ascii="宋体" w:hAnsi="宋体" w:eastAsia="宋体" w:cs="宋体"/>
                <w:b/>
                <w:bCs/>
                <w:color w:val="FF0000"/>
                <w:sz w:val="21"/>
                <w:szCs w:val="21"/>
                <w:highlight w:val="none"/>
                <w:lang w:val="en-US" w:eastAsia="zh-CN"/>
              </w:rPr>
              <w:t>10、</w:t>
            </w:r>
            <w:r>
              <w:rPr>
                <w:rFonts w:hint="eastAsia" w:ascii="宋体" w:hAnsi="宋体" w:eastAsia="宋体" w:cs="宋体"/>
                <w:b/>
                <w:bCs/>
                <w:color w:val="FF0000"/>
                <w:sz w:val="21"/>
                <w:szCs w:val="21"/>
                <w:highlight w:val="none"/>
              </w:rPr>
              <w:t>通过严格的KI-Discus 碘化钾法人员保护测试，前窗操作口的保护因子不小于1×10</w:t>
            </w:r>
            <w:r>
              <w:rPr>
                <w:rFonts w:hint="eastAsia" w:ascii="宋体" w:hAnsi="宋体" w:eastAsia="宋体" w:cs="宋体"/>
                <w:b/>
                <w:bCs/>
                <w:color w:val="FF0000"/>
                <w:sz w:val="21"/>
                <w:szCs w:val="21"/>
                <w:highlight w:val="none"/>
                <w:vertAlign w:val="superscript"/>
              </w:rPr>
              <w:t>5</w:t>
            </w:r>
            <w:r>
              <w:rPr>
                <w:rFonts w:hint="eastAsia" w:ascii="宋体" w:hAnsi="宋体" w:eastAsia="宋体" w:cs="宋体"/>
                <w:b/>
                <w:bCs/>
                <w:color w:val="FF0000"/>
                <w:sz w:val="21"/>
                <w:szCs w:val="21"/>
                <w:highlight w:val="none"/>
                <w:vertAlign w:val="superscript"/>
                <w:lang w:val="en-US" w:eastAsia="zh-CN"/>
              </w:rPr>
              <w:t xml:space="preserve"> </w:t>
            </w:r>
            <w:r>
              <w:rPr>
                <w:rFonts w:hint="eastAsia" w:ascii="宋体" w:hAnsi="宋体" w:eastAsia="宋体" w:cs="宋体"/>
                <w:b/>
                <w:bCs/>
                <w:color w:val="FF0000"/>
                <w:sz w:val="21"/>
                <w:szCs w:val="21"/>
                <w:highlight w:val="none"/>
                <w:vertAlign w:val="baseline"/>
                <w:lang w:val="en-US" w:eastAsia="zh-CN"/>
              </w:rPr>
              <w:t>倍，检测标准:YY0569-2011（投标人投标时需提供由通过CMA认证的第三方检测机构出具的加盖CMA 章的检测报告扫描件）</w:t>
            </w:r>
            <w:r>
              <w:rPr>
                <w:rFonts w:hint="eastAsia" w:ascii="宋体" w:hAnsi="宋体" w:eastAsia="宋体" w:cs="宋体"/>
                <w:b/>
                <w:bCs/>
                <w:color w:val="FF0000"/>
                <w:sz w:val="21"/>
                <w:szCs w:val="21"/>
                <w:highlight w:val="none"/>
                <w:vertAlign w:val="superscript"/>
                <w:lang w:val="en-US" w:eastAsia="zh-CN"/>
              </w:rPr>
              <w:t xml:space="preserve"> </w:t>
            </w:r>
          </w:p>
        </w:tc>
        <w:tc>
          <w:tcPr>
            <w:tcW w:w="2143" w:type="dxa"/>
            <w:tcBorders>
              <w:top w:val="single" w:color="auto" w:sz="4" w:space="0"/>
              <w:left w:val="single" w:color="auto" w:sz="4" w:space="0"/>
              <w:bottom w:val="single" w:color="auto" w:sz="4" w:space="0"/>
              <w:right w:val="single" w:color="auto" w:sz="4" w:space="0"/>
            </w:tcBorders>
            <w:vAlign w:val="top"/>
          </w:tcPr>
          <w:p w14:paraId="6F0017D2">
            <w:pPr>
              <w:keepNext w:val="0"/>
              <w:keepLines w:val="0"/>
              <w:numPr>
                <w:ilvl w:val="0"/>
                <w:numId w:val="0"/>
              </w:numPr>
              <w:suppressLineNumbers w:val="0"/>
              <w:tabs>
                <w:tab w:val="left" w:pos="420"/>
              </w:tabs>
              <w:spacing w:before="0" w:beforeAutospacing="0" w:after="0" w:afterAutospacing="0"/>
              <w:ind w:left="0" w:right="0"/>
              <w:rPr>
                <w:rFonts w:hint="eastAsia" w:ascii="宋体" w:hAnsi="宋体" w:eastAsia="宋体" w:cs="宋体"/>
                <w:b/>
                <w:bCs/>
                <w:color w:val="FF0000"/>
                <w:sz w:val="21"/>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top"/>
          </w:tcPr>
          <w:p w14:paraId="59FE3D9D">
            <w:pPr>
              <w:keepNext w:val="0"/>
              <w:keepLines w:val="0"/>
              <w:numPr>
                <w:ilvl w:val="0"/>
                <w:numId w:val="0"/>
              </w:numPr>
              <w:suppressLineNumbers w:val="0"/>
              <w:tabs>
                <w:tab w:val="left" w:pos="420"/>
              </w:tabs>
              <w:spacing w:before="0" w:beforeAutospacing="0" w:after="0" w:afterAutospacing="0"/>
              <w:ind w:left="0" w:right="0"/>
              <w:rPr>
                <w:rFonts w:hint="eastAsia" w:ascii="宋体" w:hAnsi="宋体" w:eastAsia="宋体" w:cs="宋体"/>
                <w:b/>
                <w:bCs/>
                <w:color w:val="FF0000"/>
                <w:sz w:val="21"/>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top"/>
          </w:tcPr>
          <w:p w14:paraId="66B90E96">
            <w:pPr>
              <w:keepNext w:val="0"/>
              <w:keepLines w:val="0"/>
              <w:numPr>
                <w:ilvl w:val="0"/>
                <w:numId w:val="0"/>
              </w:numPr>
              <w:suppressLineNumbers w:val="0"/>
              <w:tabs>
                <w:tab w:val="left" w:pos="420"/>
              </w:tabs>
              <w:spacing w:before="0" w:beforeAutospacing="0" w:after="0" w:afterAutospacing="0"/>
              <w:ind w:left="0" w:right="0"/>
              <w:rPr>
                <w:rFonts w:hint="eastAsia" w:ascii="宋体" w:hAnsi="宋体" w:eastAsia="宋体" w:cs="宋体"/>
                <w:b/>
                <w:bCs/>
                <w:color w:val="FF0000"/>
                <w:sz w:val="21"/>
                <w:szCs w:val="21"/>
                <w:highlight w:val="none"/>
              </w:rPr>
            </w:pPr>
          </w:p>
        </w:tc>
      </w:tr>
      <w:tr w14:paraId="37402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783" w:type="dxa"/>
            <w:vMerge w:val="continue"/>
            <w:tcBorders>
              <w:left w:val="single" w:color="auto" w:sz="4" w:space="0"/>
              <w:right w:val="single" w:color="auto" w:sz="4" w:space="0"/>
            </w:tcBorders>
            <w:vAlign w:val="center"/>
          </w:tcPr>
          <w:p w14:paraId="7C1A8E7C">
            <w:pPr>
              <w:keepNext w:val="0"/>
              <w:keepLines w:val="0"/>
              <w:suppressLineNumbers w:val="0"/>
              <w:spacing w:before="0" w:beforeAutospacing="0" w:after="0" w:afterAutospacing="0"/>
              <w:ind w:left="0" w:right="0"/>
              <w:jc w:val="left"/>
              <w:rPr>
                <w:rFonts w:hint="eastAsia" w:ascii="宋体" w:hAnsi="宋体" w:eastAsia="宋体" w:cs="宋体"/>
                <w:sz w:val="21"/>
                <w:szCs w:val="21"/>
                <w:lang w:eastAsia="zh-CN"/>
              </w:rPr>
            </w:pPr>
          </w:p>
        </w:tc>
        <w:tc>
          <w:tcPr>
            <w:tcW w:w="2143" w:type="dxa"/>
            <w:tcBorders>
              <w:top w:val="single" w:color="auto" w:sz="4" w:space="0"/>
              <w:left w:val="single" w:color="auto" w:sz="4" w:space="0"/>
              <w:bottom w:val="single" w:color="auto" w:sz="4" w:space="0"/>
              <w:right w:val="single" w:color="auto" w:sz="4" w:space="0"/>
            </w:tcBorders>
            <w:vAlign w:val="top"/>
          </w:tcPr>
          <w:p w14:paraId="5221C40F">
            <w:pPr>
              <w:keepNext w:val="0"/>
              <w:keepLines w:val="0"/>
              <w:numPr>
                <w:ilvl w:val="0"/>
                <w:numId w:val="0"/>
              </w:numPr>
              <w:suppressLineNumbers w:val="0"/>
              <w:spacing w:before="0" w:beforeAutospacing="0" w:after="0" w:afterAutospacing="0"/>
              <w:ind w:left="0" w:right="0"/>
              <w:rPr>
                <w:rFonts w:hint="eastAsia" w:ascii="宋体" w:hAnsi="宋体" w:eastAsia="宋体" w:cs="宋体"/>
                <w:b/>
                <w:bCs/>
                <w:color w:val="auto"/>
                <w:sz w:val="21"/>
                <w:szCs w:val="21"/>
                <w:highlight w:val="none"/>
              </w:rPr>
            </w:pPr>
            <w:r>
              <w:rPr>
                <w:rFonts w:hint="eastAsia" w:ascii="宋体" w:hAnsi="宋体" w:eastAsia="宋体" w:cs="宋体"/>
                <w:b/>
                <w:bCs/>
                <w:color w:val="FF0000"/>
                <w:sz w:val="21"/>
                <w:szCs w:val="21"/>
                <w:highlight w:val="none"/>
                <w:lang w:val="en-US" w:eastAsia="zh-CN"/>
              </w:rPr>
              <w:t>11、</w:t>
            </w:r>
            <w:r>
              <w:rPr>
                <w:rFonts w:hint="eastAsia" w:ascii="宋体" w:hAnsi="宋体" w:eastAsia="宋体" w:cs="宋体"/>
                <w:b/>
                <w:bCs/>
                <w:color w:val="FF0000"/>
                <w:sz w:val="21"/>
                <w:szCs w:val="21"/>
                <w:highlight w:val="none"/>
              </w:rPr>
              <w:t>出厂前通过严格的压力衰减法检测：加压到500Pa，保持30min后气压</w:t>
            </w:r>
            <w:r>
              <w:rPr>
                <w:rFonts w:hint="eastAsia" w:ascii="宋体" w:hAnsi="宋体" w:eastAsia="宋体" w:cs="宋体"/>
                <w:b/>
                <w:bCs/>
                <w:color w:val="FF0000"/>
                <w:sz w:val="21"/>
                <w:szCs w:val="21"/>
                <w:highlight w:val="none"/>
                <w:lang w:val="en-US" w:eastAsia="zh-CN"/>
              </w:rPr>
              <w:t>≥</w:t>
            </w:r>
            <w:r>
              <w:rPr>
                <w:rFonts w:hint="eastAsia" w:ascii="宋体" w:hAnsi="宋体" w:eastAsia="宋体" w:cs="宋体"/>
                <w:b/>
                <w:bCs/>
                <w:color w:val="FF0000"/>
                <w:sz w:val="21"/>
                <w:szCs w:val="21"/>
                <w:highlight w:val="none"/>
              </w:rPr>
              <w:t>450Pa</w:t>
            </w:r>
            <w:r>
              <w:rPr>
                <w:rFonts w:hint="eastAsia" w:ascii="宋体" w:hAnsi="宋体" w:eastAsia="宋体" w:cs="宋体"/>
                <w:b/>
                <w:bCs/>
                <w:color w:val="FF0000"/>
                <w:sz w:val="21"/>
                <w:szCs w:val="21"/>
                <w:highlight w:val="none"/>
                <w:lang w:eastAsia="zh-CN"/>
              </w:rPr>
              <w:t>（</w:t>
            </w:r>
            <w:r>
              <w:rPr>
                <w:rFonts w:hint="eastAsia" w:ascii="宋体" w:hAnsi="宋体" w:eastAsia="宋体" w:cs="宋体"/>
                <w:b/>
                <w:bCs/>
                <w:color w:val="FF0000"/>
                <w:sz w:val="21"/>
                <w:szCs w:val="21"/>
                <w:highlight w:val="none"/>
                <w:vertAlign w:val="baseline"/>
                <w:lang w:val="en-US" w:eastAsia="zh-CN"/>
              </w:rPr>
              <w:t>提供产品技术白皮书或产品彩页或厂家参数确认函扫描件，证明材料能体现满足前述技术要求)</w:t>
            </w:r>
          </w:p>
        </w:tc>
        <w:tc>
          <w:tcPr>
            <w:tcW w:w="2143" w:type="dxa"/>
            <w:tcBorders>
              <w:top w:val="single" w:color="auto" w:sz="4" w:space="0"/>
              <w:left w:val="single" w:color="auto" w:sz="4" w:space="0"/>
              <w:bottom w:val="single" w:color="auto" w:sz="4" w:space="0"/>
              <w:right w:val="single" w:color="auto" w:sz="4" w:space="0"/>
            </w:tcBorders>
            <w:vAlign w:val="top"/>
          </w:tcPr>
          <w:p w14:paraId="3C9C6C37">
            <w:pPr>
              <w:keepNext w:val="0"/>
              <w:keepLines w:val="0"/>
              <w:numPr>
                <w:ilvl w:val="0"/>
                <w:numId w:val="0"/>
              </w:numPr>
              <w:suppressLineNumbers w:val="0"/>
              <w:spacing w:before="0" w:beforeAutospacing="0" w:after="0" w:afterAutospacing="0"/>
              <w:ind w:left="0" w:right="0"/>
              <w:rPr>
                <w:rFonts w:hint="eastAsia" w:ascii="宋体" w:hAnsi="宋体" w:eastAsia="宋体" w:cs="宋体"/>
                <w:b/>
                <w:bCs/>
                <w:color w:val="FF0000"/>
                <w:sz w:val="21"/>
                <w:szCs w:val="21"/>
                <w:highlight w:val="none"/>
                <w:lang w:val="en-US" w:eastAsia="zh-CN"/>
              </w:rPr>
            </w:pPr>
          </w:p>
        </w:tc>
        <w:tc>
          <w:tcPr>
            <w:tcW w:w="1086" w:type="dxa"/>
            <w:tcBorders>
              <w:top w:val="single" w:color="auto" w:sz="4" w:space="0"/>
              <w:left w:val="single" w:color="auto" w:sz="4" w:space="0"/>
              <w:bottom w:val="single" w:color="auto" w:sz="4" w:space="0"/>
              <w:right w:val="single" w:color="auto" w:sz="4" w:space="0"/>
            </w:tcBorders>
            <w:vAlign w:val="top"/>
          </w:tcPr>
          <w:p w14:paraId="184C0D25">
            <w:pPr>
              <w:keepNext w:val="0"/>
              <w:keepLines w:val="0"/>
              <w:numPr>
                <w:ilvl w:val="0"/>
                <w:numId w:val="0"/>
              </w:numPr>
              <w:suppressLineNumbers w:val="0"/>
              <w:spacing w:before="0" w:beforeAutospacing="0" w:after="0" w:afterAutospacing="0"/>
              <w:ind w:left="0" w:right="0"/>
              <w:rPr>
                <w:rFonts w:hint="eastAsia" w:ascii="宋体" w:hAnsi="宋体" w:eastAsia="宋体" w:cs="宋体"/>
                <w:b/>
                <w:bCs/>
                <w:color w:val="FF0000"/>
                <w:sz w:val="21"/>
                <w:szCs w:val="21"/>
                <w:highlight w:val="none"/>
                <w:lang w:val="en-US" w:eastAsia="zh-CN"/>
              </w:rPr>
            </w:pPr>
          </w:p>
        </w:tc>
        <w:tc>
          <w:tcPr>
            <w:tcW w:w="1086" w:type="dxa"/>
            <w:tcBorders>
              <w:top w:val="single" w:color="auto" w:sz="4" w:space="0"/>
              <w:left w:val="single" w:color="auto" w:sz="4" w:space="0"/>
              <w:bottom w:val="single" w:color="auto" w:sz="4" w:space="0"/>
              <w:right w:val="single" w:color="auto" w:sz="4" w:space="0"/>
            </w:tcBorders>
            <w:vAlign w:val="top"/>
          </w:tcPr>
          <w:p w14:paraId="4AA22CFC">
            <w:pPr>
              <w:keepNext w:val="0"/>
              <w:keepLines w:val="0"/>
              <w:numPr>
                <w:ilvl w:val="0"/>
                <w:numId w:val="0"/>
              </w:numPr>
              <w:suppressLineNumbers w:val="0"/>
              <w:spacing w:before="0" w:beforeAutospacing="0" w:after="0" w:afterAutospacing="0"/>
              <w:ind w:left="0" w:right="0"/>
              <w:rPr>
                <w:rFonts w:hint="eastAsia" w:ascii="宋体" w:hAnsi="宋体" w:eastAsia="宋体" w:cs="宋体"/>
                <w:b/>
                <w:bCs/>
                <w:color w:val="FF0000"/>
                <w:sz w:val="21"/>
                <w:szCs w:val="21"/>
                <w:highlight w:val="none"/>
                <w:lang w:val="en-US" w:eastAsia="zh-CN"/>
              </w:rPr>
            </w:pPr>
          </w:p>
        </w:tc>
      </w:tr>
      <w:tr w14:paraId="4FD4D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783" w:type="dxa"/>
            <w:vMerge w:val="continue"/>
            <w:tcBorders>
              <w:left w:val="single" w:color="auto" w:sz="4" w:space="0"/>
              <w:right w:val="single" w:color="auto" w:sz="4" w:space="0"/>
            </w:tcBorders>
            <w:vAlign w:val="center"/>
          </w:tcPr>
          <w:p w14:paraId="2FB84715">
            <w:pPr>
              <w:keepNext w:val="0"/>
              <w:keepLines w:val="0"/>
              <w:suppressLineNumbers w:val="0"/>
              <w:spacing w:before="0" w:beforeAutospacing="0" w:after="0" w:afterAutospacing="0"/>
              <w:ind w:left="0" w:right="0"/>
              <w:jc w:val="left"/>
              <w:rPr>
                <w:rFonts w:hint="eastAsia" w:ascii="宋体" w:hAnsi="宋体" w:eastAsia="宋体" w:cs="宋体"/>
                <w:sz w:val="21"/>
                <w:szCs w:val="21"/>
              </w:rPr>
            </w:pPr>
          </w:p>
        </w:tc>
        <w:tc>
          <w:tcPr>
            <w:tcW w:w="2143" w:type="dxa"/>
            <w:tcBorders>
              <w:top w:val="single" w:color="auto" w:sz="4" w:space="0"/>
              <w:left w:val="single" w:color="auto" w:sz="4" w:space="0"/>
              <w:bottom w:val="single" w:color="auto" w:sz="4" w:space="0"/>
              <w:right w:val="single" w:color="auto" w:sz="4" w:space="0"/>
            </w:tcBorders>
            <w:vAlign w:val="top"/>
          </w:tcPr>
          <w:p w14:paraId="61CE1BC5">
            <w:pPr>
              <w:keepNext w:val="0"/>
              <w:keepLines w:val="0"/>
              <w:numPr>
                <w:ilvl w:val="0"/>
                <w:numId w:val="0"/>
              </w:numPr>
              <w:suppressLineNumbers w:val="0"/>
              <w:spacing w:before="0" w:beforeAutospacing="0" w:after="0" w:afterAutospacing="0"/>
              <w:ind w:left="0" w:right="0"/>
              <w:rPr>
                <w:rFonts w:hint="eastAsia" w:ascii="宋体" w:hAnsi="宋体" w:eastAsia="宋体" w:cs="宋体"/>
                <w:b/>
                <w:sz w:val="21"/>
                <w:szCs w:val="21"/>
                <w:highlight w:val="none"/>
                <w:lang w:val="en-US" w:eastAsia="zh-CN"/>
              </w:rPr>
            </w:pPr>
            <w:r>
              <w:rPr>
                <w:rFonts w:hint="eastAsia" w:ascii="宋体" w:hAnsi="宋体" w:eastAsia="宋体" w:cs="宋体"/>
                <w:sz w:val="21"/>
                <w:szCs w:val="21"/>
                <w:highlight w:val="none"/>
                <w:lang w:val="en-US" w:eastAsia="zh-CN"/>
              </w:rPr>
              <w:t>12</w:t>
            </w:r>
            <w:r>
              <w:rPr>
                <w:rFonts w:hint="eastAsia" w:ascii="宋体" w:hAnsi="宋体" w:eastAsia="宋体" w:cs="宋体"/>
                <w:sz w:val="21"/>
                <w:szCs w:val="21"/>
                <w:lang w:val="en-US" w:eastAsia="zh-CN"/>
              </w:rPr>
              <w:t>、</w:t>
            </w:r>
            <w:r>
              <w:rPr>
                <w:rFonts w:hint="eastAsia" w:ascii="宋体" w:hAnsi="宋体" w:eastAsia="宋体" w:cs="宋体"/>
                <w:sz w:val="21"/>
                <w:szCs w:val="21"/>
                <w:highlight w:val="none"/>
              </w:rPr>
              <w:t>安全性能保障：具备紫外系统、荧光灯、前窗的连锁系统；具备低风速报警功能；具备前窗位置异位报警功能；具备前窗侧壁抗扰流系统，可避免泄漏</w:t>
            </w:r>
            <w:r>
              <w:rPr>
                <w:rFonts w:hint="eastAsia" w:ascii="宋体" w:hAnsi="宋体" w:eastAsia="宋体" w:cs="宋体"/>
                <w:sz w:val="21"/>
                <w:szCs w:val="21"/>
                <w:highlight w:val="none"/>
                <w:lang w:eastAsia="zh-CN"/>
              </w:rPr>
              <w:t>。</w:t>
            </w:r>
          </w:p>
        </w:tc>
        <w:tc>
          <w:tcPr>
            <w:tcW w:w="2143" w:type="dxa"/>
            <w:tcBorders>
              <w:top w:val="single" w:color="auto" w:sz="4" w:space="0"/>
              <w:left w:val="single" w:color="auto" w:sz="4" w:space="0"/>
              <w:bottom w:val="single" w:color="auto" w:sz="4" w:space="0"/>
              <w:right w:val="single" w:color="auto" w:sz="4" w:space="0"/>
            </w:tcBorders>
            <w:vAlign w:val="top"/>
          </w:tcPr>
          <w:p w14:paraId="3FD1A2E0">
            <w:pPr>
              <w:keepNext w:val="0"/>
              <w:keepLines w:val="0"/>
              <w:numPr>
                <w:ilvl w:val="0"/>
                <w:numId w:val="0"/>
              </w:numPr>
              <w:suppressLineNumbers w:val="0"/>
              <w:spacing w:before="0" w:beforeAutospacing="0" w:after="0" w:afterAutospacing="0"/>
              <w:ind w:left="0" w:right="0"/>
              <w:rPr>
                <w:rFonts w:hint="eastAsia" w:ascii="宋体" w:hAnsi="宋体" w:eastAsia="宋体" w:cs="宋体"/>
                <w:sz w:val="21"/>
                <w:szCs w:val="21"/>
                <w:highlight w:val="none"/>
                <w:lang w:val="en-US" w:eastAsia="zh-CN"/>
              </w:rPr>
            </w:pPr>
          </w:p>
        </w:tc>
        <w:tc>
          <w:tcPr>
            <w:tcW w:w="1086" w:type="dxa"/>
            <w:tcBorders>
              <w:top w:val="single" w:color="auto" w:sz="4" w:space="0"/>
              <w:left w:val="single" w:color="auto" w:sz="4" w:space="0"/>
              <w:bottom w:val="single" w:color="auto" w:sz="4" w:space="0"/>
              <w:right w:val="single" w:color="auto" w:sz="4" w:space="0"/>
            </w:tcBorders>
            <w:vAlign w:val="top"/>
          </w:tcPr>
          <w:p w14:paraId="3F38D563">
            <w:pPr>
              <w:keepNext w:val="0"/>
              <w:keepLines w:val="0"/>
              <w:numPr>
                <w:ilvl w:val="0"/>
                <w:numId w:val="0"/>
              </w:numPr>
              <w:suppressLineNumbers w:val="0"/>
              <w:spacing w:before="0" w:beforeAutospacing="0" w:after="0" w:afterAutospacing="0"/>
              <w:ind w:left="0" w:right="0"/>
              <w:rPr>
                <w:rFonts w:hint="eastAsia" w:ascii="宋体" w:hAnsi="宋体" w:eastAsia="宋体" w:cs="宋体"/>
                <w:sz w:val="21"/>
                <w:szCs w:val="21"/>
                <w:highlight w:val="none"/>
                <w:lang w:val="en-US" w:eastAsia="zh-CN"/>
              </w:rPr>
            </w:pPr>
          </w:p>
        </w:tc>
        <w:tc>
          <w:tcPr>
            <w:tcW w:w="1086" w:type="dxa"/>
            <w:tcBorders>
              <w:top w:val="single" w:color="auto" w:sz="4" w:space="0"/>
              <w:left w:val="single" w:color="auto" w:sz="4" w:space="0"/>
              <w:bottom w:val="single" w:color="auto" w:sz="4" w:space="0"/>
              <w:right w:val="single" w:color="auto" w:sz="4" w:space="0"/>
            </w:tcBorders>
            <w:vAlign w:val="top"/>
          </w:tcPr>
          <w:p w14:paraId="7C805135">
            <w:pPr>
              <w:keepNext w:val="0"/>
              <w:keepLines w:val="0"/>
              <w:numPr>
                <w:ilvl w:val="0"/>
                <w:numId w:val="0"/>
              </w:numPr>
              <w:suppressLineNumbers w:val="0"/>
              <w:spacing w:before="0" w:beforeAutospacing="0" w:after="0" w:afterAutospacing="0"/>
              <w:ind w:left="0" w:right="0"/>
              <w:rPr>
                <w:rFonts w:hint="eastAsia" w:ascii="宋体" w:hAnsi="宋体" w:eastAsia="宋体" w:cs="宋体"/>
                <w:sz w:val="21"/>
                <w:szCs w:val="21"/>
                <w:highlight w:val="none"/>
                <w:lang w:val="en-US" w:eastAsia="zh-CN"/>
              </w:rPr>
            </w:pPr>
          </w:p>
        </w:tc>
      </w:tr>
      <w:tr w14:paraId="1AEAF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83" w:type="dxa"/>
            <w:vMerge w:val="continue"/>
            <w:tcBorders>
              <w:left w:val="single" w:color="auto" w:sz="4" w:space="0"/>
              <w:right w:val="single" w:color="auto" w:sz="4" w:space="0"/>
            </w:tcBorders>
            <w:vAlign w:val="center"/>
          </w:tcPr>
          <w:p w14:paraId="7D7BFD8E">
            <w:pPr>
              <w:keepNext w:val="0"/>
              <w:keepLines w:val="0"/>
              <w:suppressLineNumbers w:val="0"/>
              <w:spacing w:before="0" w:beforeAutospacing="0" w:after="0" w:afterAutospacing="0"/>
              <w:ind w:left="0" w:right="0"/>
              <w:jc w:val="left"/>
              <w:rPr>
                <w:rFonts w:hint="eastAsia" w:ascii="宋体" w:hAnsi="宋体" w:eastAsia="宋体" w:cs="宋体"/>
                <w:sz w:val="21"/>
                <w:szCs w:val="21"/>
              </w:rPr>
            </w:pPr>
          </w:p>
        </w:tc>
        <w:tc>
          <w:tcPr>
            <w:tcW w:w="2143" w:type="dxa"/>
            <w:tcBorders>
              <w:top w:val="single" w:color="auto" w:sz="4" w:space="0"/>
              <w:left w:val="single" w:color="auto" w:sz="4" w:space="0"/>
              <w:bottom w:val="single" w:color="auto" w:sz="4" w:space="0"/>
              <w:right w:val="single" w:color="auto" w:sz="4" w:space="0"/>
            </w:tcBorders>
            <w:vAlign w:val="top"/>
          </w:tcPr>
          <w:p w14:paraId="2E332761">
            <w:pPr>
              <w:keepNext w:val="0"/>
              <w:keepLines w:val="0"/>
              <w:suppressLineNumbers w:val="0"/>
              <w:spacing w:before="0" w:beforeAutospacing="0" w:after="0" w:afterAutospacing="0"/>
              <w:ind w:left="0" w:right="0"/>
              <w:rPr>
                <w:rFonts w:hint="eastAsia" w:ascii="宋体" w:hAnsi="宋体" w:eastAsia="宋体" w:cs="宋体"/>
                <w:b/>
                <w:sz w:val="21"/>
                <w:szCs w:val="21"/>
                <w:highlight w:val="none"/>
                <w:lang w:val="en-US" w:eastAsia="zh-CN"/>
              </w:rPr>
            </w:pPr>
            <w:r>
              <w:rPr>
                <w:rFonts w:hint="eastAsia" w:ascii="宋体" w:hAnsi="宋体" w:eastAsia="宋体" w:cs="宋体"/>
                <w:sz w:val="21"/>
                <w:szCs w:val="21"/>
                <w:highlight w:val="none"/>
                <w:lang w:val="en-US" w:eastAsia="zh-CN"/>
              </w:rPr>
              <w:t>13</w:t>
            </w:r>
            <w:r>
              <w:rPr>
                <w:rFonts w:hint="eastAsia" w:ascii="宋体" w:hAnsi="宋体" w:eastAsia="宋体" w:cs="宋体"/>
                <w:sz w:val="21"/>
                <w:szCs w:val="21"/>
                <w:lang w:val="en-US" w:eastAsia="zh-CN"/>
              </w:rPr>
              <w:t>、</w:t>
            </w:r>
            <w:r>
              <w:rPr>
                <w:rFonts w:hint="eastAsia" w:ascii="宋体" w:hAnsi="宋体" w:eastAsia="宋体" w:cs="宋体"/>
                <w:sz w:val="21"/>
                <w:szCs w:val="21"/>
                <w:highlight w:val="none"/>
              </w:rPr>
              <w:t>通过专业的联动控制芯片，与净化工程的排风系统联动，并自动控制</w:t>
            </w:r>
          </w:p>
        </w:tc>
        <w:tc>
          <w:tcPr>
            <w:tcW w:w="2143" w:type="dxa"/>
            <w:tcBorders>
              <w:top w:val="single" w:color="auto" w:sz="4" w:space="0"/>
              <w:left w:val="single" w:color="auto" w:sz="4" w:space="0"/>
              <w:bottom w:val="single" w:color="auto" w:sz="4" w:space="0"/>
              <w:right w:val="single" w:color="auto" w:sz="4" w:space="0"/>
            </w:tcBorders>
            <w:vAlign w:val="top"/>
          </w:tcPr>
          <w:p w14:paraId="3E63779D">
            <w:pPr>
              <w:keepNext w:val="0"/>
              <w:keepLines w:val="0"/>
              <w:suppressLineNumbers w:val="0"/>
              <w:spacing w:before="0" w:beforeAutospacing="0" w:after="0" w:afterAutospacing="0"/>
              <w:ind w:left="0" w:right="0"/>
              <w:rPr>
                <w:rFonts w:hint="eastAsia" w:ascii="宋体" w:hAnsi="宋体" w:eastAsia="宋体" w:cs="宋体"/>
                <w:sz w:val="21"/>
                <w:szCs w:val="21"/>
                <w:highlight w:val="none"/>
                <w:lang w:val="en-US" w:eastAsia="zh-CN"/>
              </w:rPr>
            </w:pPr>
          </w:p>
        </w:tc>
        <w:tc>
          <w:tcPr>
            <w:tcW w:w="1086" w:type="dxa"/>
            <w:tcBorders>
              <w:top w:val="single" w:color="auto" w:sz="4" w:space="0"/>
              <w:left w:val="single" w:color="auto" w:sz="4" w:space="0"/>
              <w:bottom w:val="single" w:color="auto" w:sz="4" w:space="0"/>
              <w:right w:val="single" w:color="auto" w:sz="4" w:space="0"/>
            </w:tcBorders>
            <w:vAlign w:val="top"/>
          </w:tcPr>
          <w:p w14:paraId="454E3518">
            <w:pPr>
              <w:keepNext w:val="0"/>
              <w:keepLines w:val="0"/>
              <w:suppressLineNumbers w:val="0"/>
              <w:spacing w:before="0" w:beforeAutospacing="0" w:after="0" w:afterAutospacing="0"/>
              <w:ind w:left="0" w:right="0"/>
              <w:rPr>
                <w:rFonts w:hint="eastAsia" w:ascii="宋体" w:hAnsi="宋体" w:eastAsia="宋体" w:cs="宋体"/>
                <w:sz w:val="21"/>
                <w:szCs w:val="21"/>
                <w:highlight w:val="none"/>
                <w:lang w:val="en-US" w:eastAsia="zh-CN"/>
              </w:rPr>
            </w:pPr>
          </w:p>
        </w:tc>
        <w:tc>
          <w:tcPr>
            <w:tcW w:w="1086" w:type="dxa"/>
            <w:tcBorders>
              <w:top w:val="single" w:color="auto" w:sz="4" w:space="0"/>
              <w:left w:val="single" w:color="auto" w:sz="4" w:space="0"/>
              <w:bottom w:val="single" w:color="auto" w:sz="4" w:space="0"/>
              <w:right w:val="single" w:color="auto" w:sz="4" w:space="0"/>
            </w:tcBorders>
            <w:vAlign w:val="top"/>
          </w:tcPr>
          <w:p w14:paraId="4BF108F0">
            <w:pPr>
              <w:keepNext w:val="0"/>
              <w:keepLines w:val="0"/>
              <w:suppressLineNumbers w:val="0"/>
              <w:spacing w:before="0" w:beforeAutospacing="0" w:after="0" w:afterAutospacing="0"/>
              <w:ind w:left="0" w:right="0"/>
              <w:rPr>
                <w:rFonts w:hint="eastAsia" w:ascii="宋体" w:hAnsi="宋体" w:eastAsia="宋体" w:cs="宋体"/>
                <w:sz w:val="21"/>
                <w:szCs w:val="21"/>
                <w:highlight w:val="none"/>
                <w:lang w:val="en-US" w:eastAsia="zh-CN"/>
              </w:rPr>
            </w:pPr>
          </w:p>
        </w:tc>
      </w:tr>
      <w:tr w14:paraId="39B76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83" w:type="dxa"/>
            <w:vMerge w:val="continue"/>
            <w:tcBorders>
              <w:left w:val="single" w:color="auto" w:sz="4" w:space="0"/>
              <w:right w:val="single" w:color="auto" w:sz="4" w:space="0"/>
            </w:tcBorders>
            <w:vAlign w:val="center"/>
          </w:tcPr>
          <w:p w14:paraId="5661018F">
            <w:pPr>
              <w:keepNext w:val="0"/>
              <w:keepLines w:val="0"/>
              <w:suppressLineNumbers w:val="0"/>
              <w:spacing w:before="0" w:beforeAutospacing="0" w:after="0" w:afterAutospacing="0"/>
              <w:ind w:left="0" w:right="0"/>
              <w:jc w:val="left"/>
              <w:rPr>
                <w:rFonts w:hint="eastAsia" w:ascii="宋体" w:hAnsi="宋体" w:eastAsia="宋体" w:cs="宋体"/>
                <w:sz w:val="21"/>
                <w:szCs w:val="21"/>
              </w:rPr>
            </w:pPr>
          </w:p>
        </w:tc>
        <w:tc>
          <w:tcPr>
            <w:tcW w:w="2143" w:type="dxa"/>
            <w:tcBorders>
              <w:top w:val="single" w:color="auto" w:sz="4" w:space="0"/>
              <w:left w:val="single" w:color="auto" w:sz="4" w:space="0"/>
              <w:bottom w:val="single" w:color="auto" w:sz="4" w:space="0"/>
              <w:right w:val="single" w:color="auto" w:sz="4" w:space="0"/>
            </w:tcBorders>
            <w:vAlign w:val="top"/>
          </w:tcPr>
          <w:p w14:paraId="7A696C31">
            <w:pPr>
              <w:keepNext w:val="0"/>
              <w:keepLines w:val="0"/>
              <w:suppressLineNumbers w:val="0"/>
              <w:spacing w:before="0" w:beforeAutospacing="0" w:after="0" w:afterAutospacing="0"/>
              <w:ind w:left="0" w:right="0"/>
              <w:rPr>
                <w:rFonts w:hint="eastAsia" w:ascii="宋体" w:hAnsi="宋体" w:eastAsia="宋体" w:cs="宋体"/>
                <w:b/>
                <w:sz w:val="21"/>
                <w:szCs w:val="21"/>
                <w:lang w:val="en-US" w:eastAsia="zh-CN"/>
              </w:rPr>
            </w:pPr>
            <w:r>
              <w:rPr>
                <w:rFonts w:hint="eastAsia" w:ascii="宋体" w:hAnsi="宋体" w:eastAsia="宋体" w:cs="宋体"/>
                <w:sz w:val="21"/>
                <w:szCs w:val="21"/>
                <w:lang w:val="en-US" w:eastAsia="zh-CN"/>
              </w:rPr>
              <w:t>14、风机维护和高效过滤器的拆装、更换可以从安全柜前部进行</w:t>
            </w:r>
          </w:p>
        </w:tc>
        <w:tc>
          <w:tcPr>
            <w:tcW w:w="2143" w:type="dxa"/>
            <w:tcBorders>
              <w:top w:val="single" w:color="auto" w:sz="4" w:space="0"/>
              <w:left w:val="single" w:color="auto" w:sz="4" w:space="0"/>
              <w:bottom w:val="single" w:color="auto" w:sz="4" w:space="0"/>
              <w:right w:val="single" w:color="auto" w:sz="4" w:space="0"/>
            </w:tcBorders>
            <w:vAlign w:val="top"/>
          </w:tcPr>
          <w:p w14:paraId="075F63E1">
            <w:pPr>
              <w:keepNext w:val="0"/>
              <w:keepLines w:val="0"/>
              <w:suppressLineNumbers w:val="0"/>
              <w:spacing w:before="0" w:beforeAutospacing="0" w:after="0" w:afterAutospacing="0"/>
              <w:ind w:left="0" w:right="0"/>
              <w:rPr>
                <w:rFonts w:hint="eastAsia" w:ascii="宋体" w:hAnsi="宋体" w:eastAsia="宋体" w:cs="宋体"/>
                <w:sz w:val="21"/>
                <w:szCs w:val="21"/>
                <w:lang w:val="en-US" w:eastAsia="zh-CN"/>
              </w:rPr>
            </w:pPr>
          </w:p>
        </w:tc>
        <w:tc>
          <w:tcPr>
            <w:tcW w:w="1086" w:type="dxa"/>
            <w:tcBorders>
              <w:top w:val="single" w:color="auto" w:sz="4" w:space="0"/>
              <w:left w:val="single" w:color="auto" w:sz="4" w:space="0"/>
              <w:bottom w:val="single" w:color="auto" w:sz="4" w:space="0"/>
              <w:right w:val="single" w:color="auto" w:sz="4" w:space="0"/>
            </w:tcBorders>
            <w:vAlign w:val="top"/>
          </w:tcPr>
          <w:p w14:paraId="64B998F3">
            <w:pPr>
              <w:keepNext w:val="0"/>
              <w:keepLines w:val="0"/>
              <w:suppressLineNumbers w:val="0"/>
              <w:spacing w:before="0" w:beforeAutospacing="0" w:after="0" w:afterAutospacing="0"/>
              <w:ind w:left="0" w:right="0"/>
              <w:rPr>
                <w:rFonts w:hint="eastAsia" w:ascii="宋体" w:hAnsi="宋体" w:eastAsia="宋体" w:cs="宋体"/>
                <w:sz w:val="21"/>
                <w:szCs w:val="21"/>
                <w:lang w:val="en-US" w:eastAsia="zh-CN"/>
              </w:rPr>
            </w:pPr>
          </w:p>
        </w:tc>
        <w:tc>
          <w:tcPr>
            <w:tcW w:w="1086" w:type="dxa"/>
            <w:tcBorders>
              <w:top w:val="single" w:color="auto" w:sz="4" w:space="0"/>
              <w:left w:val="single" w:color="auto" w:sz="4" w:space="0"/>
              <w:bottom w:val="single" w:color="auto" w:sz="4" w:space="0"/>
              <w:right w:val="single" w:color="auto" w:sz="4" w:space="0"/>
            </w:tcBorders>
            <w:vAlign w:val="top"/>
          </w:tcPr>
          <w:p w14:paraId="58D0FCFA">
            <w:pPr>
              <w:keepNext w:val="0"/>
              <w:keepLines w:val="0"/>
              <w:suppressLineNumbers w:val="0"/>
              <w:spacing w:before="0" w:beforeAutospacing="0" w:after="0" w:afterAutospacing="0"/>
              <w:ind w:left="0" w:right="0"/>
              <w:rPr>
                <w:rFonts w:hint="eastAsia" w:ascii="宋体" w:hAnsi="宋体" w:eastAsia="宋体" w:cs="宋体"/>
                <w:sz w:val="21"/>
                <w:szCs w:val="21"/>
                <w:lang w:val="en-US" w:eastAsia="zh-CN"/>
              </w:rPr>
            </w:pPr>
          </w:p>
        </w:tc>
      </w:tr>
      <w:tr w14:paraId="51562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783" w:type="dxa"/>
            <w:vMerge w:val="continue"/>
            <w:tcBorders>
              <w:left w:val="single" w:color="auto" w:sz="4" w:space="0"/>
              <w:right w:val="single" w:color="auto" w:sz="4" w:space="0"/>
            </w:tcBorders>
            <w:vAlign w:val="center"/>
          </w:tcPr>
          <w:p w14:paraId="388E6B38">
            <w:pPr>
              <w:keepNext w:val="0"/>
              <w:keepLines w:val="0"/>
              <w:suppressLineNumbers w:val="0"/>
              <w:spacing w:before="0" w:beforeAutospacing="0" w:after="0" w:afterAutospacing="0"/>
              <w:ind w:left="0" w:right="0"/>
              <w:jc w:val="left"/>
              <w:rPr>
                <w:rFonts w:hint="eastAsia" w:ascii="宋体" w:hAnsi="宋体" w:eastAsia="宋体" w:cs="宋体"/>
                <w:sz w:val="21"/>
                <w:szCs w:val="21"/>
              </w:rPr>
            </w:pPr>
          </w:p>
        </w:tc>
        <w:tc>
          <w:tcPr>
            <w:tcW w:w="2143" w:type="dxa"/>
            <w:tcBorders>
              <w:top w:val="single" w:color="auto" w:sz="4" w:space="0"/>
              <w:left w:val="single" w:color="auto" w:sz="4" w:space="0"/>
              <w:bottom w:val="single" w:color="auto" w:sz="4" w:space="0"/>
              <w:right w:val="single" w:color="auto" w:sz="4" w:space="0"/>
            </w:tcBorders>
            <w:vAlign w:val="top"/>
          </w:tcPr>
          <w:p w14:paraId="1C55D8C2">
            <w:pPr>
              <w:keepNext w:val="0"/>
              <w:keepLines w:val="0"/>
              <w:suppressLineNumbers w:val="0"/>
              <w:spacing w:before="0" w:beforeAutospacing="0" w:after="0" w:afterAutospacing="0"/>
              <w:ind w:left="0" w:right="0"/>
              <w:rPr>
                <w:rFonts w:hint="eastAsia" w:ascii="宋体" w:hAnsi="宋体" w:eastAsia="宋体" w:cs="宋体"/>
                <w:b/>
                <w:sz w:val="21"/>
                <w:szCs w:val="21"/>
                <w:lang w:val="en-US" w:eastAsia="zh-CN"/>
              </w:rPr>
            </w:pPr>
            <w:r>
              <w:rPr>
                <w:rFonts w:hint="eastAsia" w:ascii="宋体" w:hAnsi="宋体" w:eastAsia="宋体" w:cs="宋体"/>
                <w:sz w:val="21"/>
                <w:szCs w:val="21"/>
                <w:lang w:val="en-US" w:eastAsia="zh-CN"/>
              </w:rPr>
              <w:t>15、</w:t>
            </w:r>
            <w:r>
              <w:rPr>
                <w:rFonts w:hint="eastAsia" w:ascii="宋体" w:hAnsi="宋体" w:eastAsia="宋体" w:cs="宋体"/>
                <w:sz w:val="21"/>
                <w:szCs w:val="21"/>
              </w:rPr>
              <w:t>柜内电源：双防水插座设计，整机具有断电保护功能</w:t>
            </w:r>
          </w:p>
        </w:tc>
        <w:tc>
          <w:tcPr>
            <w:tcW w:w="2143" w:type="dxa"/>
            <w:tcBorders>
              <w:top w:val="single" w:color="auto" w:sz="4" w:space="0"/>
              <w:left w:val="single" w:color="auto" w:sz="4" w:space="0"/>
              <w:bottom w:val="single" w:color="auto" w:sz="4" w:space="0"/>
              <w:right w:val="single" w:color="auto" w:sz="4" w:space="0"/>
            </w:tcBorders>
            <w:vAlign w:val="top"/>
          </w:tcPr>
          <w:p w14:paraId="60DC8C63">
            <w:pPr>
              <w:keepNext w:val="0"/>
              <w:keepLines w:val="0"/>
              <w:suppressLineNumbers w:val="0"/>
              <w:spacing w:before="0" w:beforeAutospacing="0" w:after="0" w:afterAutospacing="0"/>
              <w:ind w:left="0" w:right="0"/>
              <w:rPr>
                <w:rFonts w:hint="eastAsia" w:ascii="宋体" w:hAnsi="宋体" w:eastAsia="宋体" w:cs="宋体"/>
                <w:sz w:val="21"/>
                <w:szCs w:val="21"/>
                <w:lang w:val="en-US" w:eastAsia="zh-CN"/>
              </w:rPr>
            </w:pPr>
          </w:p>
        </w:tc>
        <w:tc>
          <w:tcPr>
            <w:tcW w:w="1086" w:type="dxa"/>
            <w:tcBorders>
              <w:top w:val="single" w:color="auto" w:sz="4" w:space="0"/>
              <w:left w:val="single" w:color="auto" w:sz="4" w:space="0"/>
              <w:bottom w:val="single" w:color="auto" w:sz="4" w:space="0"/>
              <w:right w:val="single" w:color="auto" w:sz="4" w:space="0"/>
            </w:tcBorders>
            <w:vAlign w:val="top"/>
          </w:tcPr>
          <w:p w14:paraId="13C3BE21">
            <w:pPr>
              <w:keepNext w:val="0"/>
              <w:keepLines w:val="0"/>
              <w:suppressLineNumbers w:val="0"/>
              <w:spacing w:before="0" w:beforeAutospacing="0" w:after="0" w:afterAutospacing="0"/>
              <w:ind w:left="0" w:right="0"/>
              <w:rPr>
                <w:rFonts w:hint="eastAsia" w:ascii="宋体" w:hAnsi="宋体" w:eastAsia="宋体" w:cs="宋体"/>
                <w:sz w:val="21"/>
                <w:szCs w:val="21"/>
                <w:lang w:val="en-US" w:eastAsia="zh-CN"/>
              </w:rPr>
            </w:pPr>
          </w:p>
        </w:tc>
        <w:tc>
          <w:tcPr>
            <w:tcW w:w="1086" w:type="dxa"/>
            <w:tcBorders>
              <w:top w:val="single" w:color="auto" w:sz="4" w:space="0"/>
              <w:left w:val="single" w:color="auto" w:sz="4" w:space="0"/>
              <w:bottom w:val="single" w:color="auto" w:sz="4" w:space="0"/>
              <w:right w:val="single" w:color="auto" w:sz="4" w:space="0"/>
            </w:tcBorders>
            <w:vAlign w:val="top"/>
          </w:tcPr>
          <w:p w14:paraId="17157FCF">
            <w:pPr>
              <w:keepNext w:val="0"/>
              <w:keepLines w:val="0"/>
              <w:suppressLineNumbers w:val="0"/>
              <w:spacing w:before="0" w:beforeAutospacing="0" w:after="0" w:afterAutospacing="0"/>
              <w:ind w:left="0" w:right="0"/>
              <w:rPr>
                <w:rFonts w:hint="eastAsia" w:ascii="宋体" w:hAnsi="宋体" w:eastAsia="宋体" w:cs="宋体"/>
                <w:sz w:val="21"/>
                <w:szCs w:val="21"/>
                <w:lang w:val="en-US" w:eastAsia="zh-CN"/>
              </w:rPr>
            </w:pPr>
          </w:p>
        </w:tc>
      </w:tr>
      <w:tr w14:paraId="5C1EA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783" w:type="dxa"/>
            <w:vMerge w:val="continue"/>
            <w:tcBorders>
              <w:left w:val="single" w:color="auto" w:sz="4" w:space="0"/>
              <w:right w:val="single" w:color="auto" w:sz="4" w:space="0"/>
            </w:tcBorders>
            <w:vAlign w:val="center"/>
          </w:tcPr>
          <w:p w14:paraId="468BCF88">
            <w:pPr>
              <w:keepNext w:val="0"/>
              <w:keepLines w:val="0"/>
              <w:suppressLineNumbers w:val="0"/>
              <w:spacing w:before="0" w:beforeAutospacing="0" w:after="0" w:afterAutospacing="0"/>
              <w:ind w:left="0" w:right="0"/>
              <w:jc w:val="left"/>
              <w:rPr>
                <w:rFonts w:hint="eastAsia" w:ascii="宋体" w:hAnsi="宋体" w:eastAsia="宋体" w:cs="宋体"/>
                <w:sz w:val="21"/>
                <w:szCs w:val="21"/>
              </w:rPr>
            </w:pPr>
          </w:p>
        </w:tc>
        <w:tc>
          <w:tcPr>
            <w:tcW w:w="2143" w:type="dxa"/>
            <w:tcBorders>
              <w:top w:val="single" w:color="auto" w:sz="4" w:space="0"/>
              <w:left w:val="single" w:color="auto" w:sz="4" w:space="0"/>
              <w:bottom w:val="single" w:color="auto" w:sz="4" w:space="0"/>
              <w:right w:val="single" w:color="auto" w:sz="4" w:space="0"/>
            </w:tcBorders>
            <w:vAlign w:val="top"/>
          </w:tcPr>
          <w:p w14:paraId="519A8498">
            <w:pPr>
              <w:keepNext w:val="0"/>
              <w:keepLines w:val="0"/>
              <w:suppressLineNumbers w:val="0"/>
              <w:spacing w:before="0" w:beforeAutospacing="0" w:after="0" w:afterAutospacing="0"/>
              <w:ind w:left="0" w:right="0"/>
              <w:rPr>
                <w:rFonts w:hint="eastAsia" w:ascii="宋体" w:hAnsi="宋体" w:eastAsia="宋体" w:cs="宋体"/>
                <w:b/>
                <w:sz w:val="21"/>
                <w:szCs w:val="21"/>
                <w:lang w:val="en-US" w:eastAsia="zh-CN"/>
              </w:rPr>
            </w:pPr>
            <w:r>
              <w:rPr>
                <w:rFonts w:hint="eastAsia" w:ascii="宋体" w:hAnsi="宋体" w:eastAsia="宋体" w:cs="宋体"/>
                <w:sz w:val="21"/>
                <w:szCs w:val="21"/>
                <w:lang w:val="en-US" w:eastAsia="zh-CN"/>
              </w:rPr>
              <w:t>16、</w:t>
            </w:r>
            <w:r>
              <w:rPr>
                <w:rFonts w:hint="eastAsia" w:ascii="宋体" w:hAnsi="宋体" w:eastAsia="宋体" w:cs="宋体"/>
                <w:sz w:val="21"/>
                <w:szCs w:val="21"/>
              </w:rPr>
              <w:t>噪音</w:t>
            </w:r>
            <w:r>
              <w:rPr>
                <w:rFonts w:hint="eastAsia" w:ascii="宋体" w:hAnsi="宋体" w:eastAsia="宋体" w:cs="宋体"/>
                <w:sz w:val="21"/>
                <w:szCs w:val="21"/>
                <w:lang w:val="en-US" w:eastAsia="zh-CN"/>
              </w:rPr>
              <w:t>≤</w:t>
            </w:r>
            <w:r>
              <w:rPr>
                <w:rFonts w:hint="eastAsia" w:ascii="宋体" w:hAnsi="宋体" w:eastAsia="宋体" w:cs="宋体"/>
                <w:sz w:val="21"/>
                <w:szCs w:val="21"/>
              </w:rPr>
              <w:t>6</w:t>
            </w:r>
            <w:r>
              <w:rPr>
                <w:rFonts w:hint="eastAsia" w:ascii="宋体" w:hAnsi="宋体" w:eastAsia="宋体" w:cs="宋体"/>
                <w:sz w:val="21"/>
                <w:szCs w:val="21"/>
                <w:lang w:val="en-US" w:eastAsia="zh-CN"/>
              </w:rPr>
              <w:t>5</w:t>
            </w:r>
            <w:r>
              <w:rPr>
                <w:rFonts w:hint="eastAsia" w:ascii="宋体" w:hAnsi="宋体" w:eastAsia="宋体" w:cs="宋体"/>
                <w:sz w:val="21"/>
                <w:szCs w:val="21"/>
              </w:rPr>
              <w:t>分贝</w:t>
            </w:r>
          </w:p>
        </w:tc>
        <w:tc>
          <w:tcPr>
            <w:tcW w:w="2143" w:type="dxa"/>
            <w:tcBorders>
              <w:top w:val="single" w:color="auto" w:sz="4" w:space="0"/>
              <w:left w:val="single" w:color="auto" w:sz="4" w:space="0"/>
              <w:bottom w:val="single" w:color="auto" w:sz="4" w:space="0"/>
              <w:right w:val="single" w:color="auto" w:sz="4" w:space="0"/>
            </w:tcBorders>
            <w:vAlign w:val="top"/>
          </w:tcPr>
          <w:p w14:paraId="2A329BA4">
            <w:pPr>
              <w:keepNext w:val="0"/>
              <w:keepLines w:val="0"/>
              <w:suppressLineNumbers w:val="0"/>
              <w:spacing w:before="0" w:beforeAutospacing="0" w:after="0" w:afterAutospacing="0"/>
              <w:ind w:left="0" w:right="0"/>
              <w:rPr>
                <w:rFonts w:hint="eastAsia" w:ascii="宋体" w:hAnsi="宋体" w:eastAsia="宋体" w:cs="宋体"/>
                <w:sz w:val="21"/>
                <w:szCs w:val="21"/>
                <w:lang w:val="en-US" w:eastAsia="zh-CN"/>
              </w:rPr>
            </w:pPr>
          </w:p>
        </w:tc>
        <w:tc>
          <w:tcPr>
            <w:tcW w:w="1086" w:type="dxa"/>
            <w:tcBorders>
              <w:top w:val="single" w:color="auto" w:sz="4" w:space="0"/>
              <w:left w:val="single" w:color="auto" w:sz="4" w:space="0"/>
              <w:bottom w:val="single" w:color="auto" w:sz="4" w:space="0"/>
              <w:right w:val="single" w:color="auto" w:sz="4" w:space="0"/>
            </w:tcBorders>
            <w:vAlign w:val="top"/>
          </w:tcPr>
          <w:p w14:paraId="04B8E66C">
            <w:pPr>
              <w:keepNext w:val="0"/>
              <w:keepLines w:val="0"/>
              <w:suppressLineNumbers w:val="0"/>
              <w:spacing w:before="0" w:beforeAutospacing="0" w:after="0" w:afterAutospacing="0"/>
              <w:ind w:left="0" w:right="0"/>
              <w:rPr>
                <w:rFonts w:hint="eastAsia" w:ascii="宋体" w:hAnsi="宋体" w:eastAsia="宋体" w:cs="宋体"/>
                <w:sz w:val="21"/>
                <w:szCs w:val="21"/>
                <w:lang w:val="en-US" w:eastAsia="zh-CN"/>
              </w:rPr>
            </w:pPr>
          </w:p>
        </w:tc>
        <w:tc>
          <w:tcPr>
            <w:tcW w:w="1086" w:type="dxa"/>
            <w:tcBorders>
              <w:top w:val="single" w:color="auto" w:sz="4" w:space="0"/>
              <w:left w:val="single" w:color="auto" w:sz="4" w:space="0"/>
              <w:bottom w:val="single" w:color="auto" w:sz="4" w:space="0"/>
              <w:right w:val="single" w:color="auto" w:sz="4" w:space="0"/>
            </w:tcBorders>
            <w:vAlign w:val="top"/>
          </w:tcPr>
          <w:p w14:paraId="3C158106">
            <w:pPr>
              <w:keepNext w:val="0"/>
              <w:keepLines w:val="0"/>
              <w:suppressLineNumbers w:val="0"/>
              <w:spacing w:before="0" w:beforeAutospacing="0" w:after="0" w:afterAutospacing="0"/>
              <w:ind w:left="0" w:right="0"/>
              <w:rPr>
                <w:rFonts w:hint="eastAsia" w:ascii="宋体" w:hAnsi="宋体" w:eastAsia="宋体" w:cs="宋体"/>
                <w:sz w:val="21"/>
                <w:szCs w:val="21"/>
                <w:lang w:val="en-US" w:eastAsia="zh-CN"/>
              </w:rPr>
            </w:pPr>
          </w:p>
        </w:tc>
      </w:tr>
      <w:tr w14:paraId="7484E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783" w:type="dxa"/>
            <w:vMerge w:val="continue"/>
            <w:tcBorders>
              <w:left w:val="single" w:color="auto" w:sz="4" w:space="0"/>
              <w:right w:val="single" w:color="auto" w:sz="4" w:space="0"/>
            </w:tcBorders>
            <w:vAlign w:val="center"/>
          </w:tcPr>
          <w:p w14:paraId="13E83E77">
            <w:pPr>
              <w:keepNext w:val="0"/>
              <w:keepLines w:val="0"/>
              <w:suppressLineNumbers w:val="0"/>
              <w:spacing w:before="0" w:beforeAutospacing="0" w:after="0" w:afterAutospacing="0"/>
              <w:ind w:left="0" w:right="0"/>
              <w:jc w:val="left"/>
              <w:rPr>
                <w:rFonts w:hint="eastAsia" w:ascii="宋体" w:hAnsi="宋体" w:eastAsia="宋体" w:cs="宋体"/>
                <w:sz w:val="21"/>
                <w:szCs w:val="21"/>
                <w:highlight w:val="none"/>
              </w:rPr>
            </w:pPr>
          </w:p>
        </w:tc>
        <w:tc>
          <w:tcPr>
            <w:tcW w:w="2143" w:type="dxa"/>
            <w:tcBorders>
              <w:top w:val="single" w:color="auto" w:sz="4" w:space="0"/>
              <w:left w:val="single" w:color="auto" w:sz="4" w:space="0"/>
              <w:bottom w:val="single" w:color="auto" w:sz="4" w:space="0"/>
              <w:right w:val="single" w:color="auto" w:sz="4" w:space="0"/>
            </w:tcBorders>
            <w:vAlign w:val="top"/>
          </w:tcPr>
          <w:p w14:paraId="3A40A06C">
            <w:pPr>
              <w:keepNext w:val="0"/>
              <w:keepLines w:val="0"/>
              <w:suppressLineNumbers w:val="0"/>
              <w:spacing w:before="0" w:beforeAutospacing="0" w:after="0" w:afterAutospacing="0"/>
              <w:ind w:left="0" w:right="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17.</w:t>
            </w:r>
            <w:r>
              <w:rPr>
                <w:rFonts w:hint="eastAsia" w:ascii="宋体" w:hAnsi="宋体" w:eastAsia="宋体" w:cs="宋体"/>
                <w:color w:val="auto"/>
                <w:sz w:val="21"/>
                <w:szCs w:val="21"/>
                <w:highlight w:val="none"/>
                <w:lang w:val="en-US" w:eastAsia="zh-CN"/>
              </w:rPr>
              <w:t>（A2单人）尺寸要求-</w:t>
            </w:r>
            <w:r>
              <w:rPr>
                <w:rFonts w:hint="eastAsia" w:ascii="宋体" w:hAnsi="宋体" w:eastAsia="宋体" w:cs="宋体"/>
                <w:color w:val="auto"/>
                <w:sz w:val="21"/>
                <w:szCs w:val="21"/>
                <w:lang w:val="en-US" w:eastAsia="zh-CN"/>
              </w:rPr>
              <w:t>外形尺寸(宽×深×高)：1300×800×2250mm（±60mm）（不含脚轮高度）</w:t>
            </w:r>
          </w:p>
          <w:p w14:paraId="4FB8DE93">
            <w:pPr>
              <w:keepNext w:val="0"/>
              <w:keepLines w:val="0"/>
              <w:suppressLineNumbers w:val="0"/>
              <w:spacing w:before="0" w:beforeAutospacing="0" w:after="0" w:afterAutospacing="0"/>
              <w:ind w:left="0" w:right="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工作区内部尺寸(宽×深×高)：1200×600×650mm（±50mm）</w:t>
            </w:r>
          </w:p>
        </w:tc>
        <w:tc>
          <w:tcPr>
            <w:tcW w:w="2143" w:type="dxa"/>
            <w:tcBorders>
              <w:top w:val="single" w:color="auto" w:sz="4" w:space="0"/>
              <w:left w:val="single" w:color="auto" w:sz="4" w:space="0"/>
              <w:bottom w:val="single" w:color="auto" w:sz="4" w:space="0"/>
              <w:right w:val="single" w:color="auto" w:sz="4" w:space="0"/>
            </w:tcBorders>
            <w:vAlign w:val="top"/>
          </w:tcPr>
          <w:p w14:paraId="08BF72FC">
            <w:pPr>
              <w:keepNext w:val="0"/>
              <w:keepLines w:val="0"/>
              <w:suppressLineNumbers w:val="0"/>
              <w:spacing w:before="0" w:beforeAutospacing="0" w:after="0" w:afterAutospacing="0"/>
              <w:ind w:left="0" w:right="0"/>
              <w:rPr>
                <w:rFonts w:hint="eastAsia" w:ascii="宋体" w:hAnsi="宋体" w:eastAsia="宋体" w:cs="宋体"/>
                <w:color w:val="auto"/>
                <w:sz w:val="21"/>
                <w:szCs w:val="21"/>
                <w:lang w:val="en-US" w:eastAsia="zh-CN"/>
              </w:rPr>
            </w:pPr>
          </w:p>
        </w:tc>
        <w:tc>
          <w:tcPr>
            <w:tcW w:w="1086" w:type="dxa"/>
            <w:tcBorders>
              <w:top w:val="single" w:color="auto" w:sz="4" w:space="0"/>
              <w:left w:val="single" w:color="auto" w:sz="4" w:space="0"/>
              <w:bottom w:val="single" w:color="auto" w:sz="4" w:space="0"/>
              <w:right w:val="single" w:color="auto" w:sz="4" w:space="0"/>
            </w:tcBorders>
            <w:vAlign w:val="top"/>
          </w:tcPr>
          <w:p w14:paraId="13D83DA9">
            <w:pPr>
              <w:keepNext w:val="0"/>
              <w:keepLines w:val="0"/>
              <w:suppressLineNumbers w:val="0"/>
              <w:spacing w:before="0" w:beforeAutospacing="0" w:after="0" w:afterAutospacing="0"/>
              <w:ind w:left="0" w:right="0"/>
              <w:rPr>
                <w:rFonts w:hint="eastAsia" w:ascii="宋体" w:hAnsi="宋体" w:eastAsia="宋体" w:cs="宋体"/>
                <w:color w:val="auto"/>
                <w:sz w:val="21"/>
                <w:szCs w:val="21"/>
                <w:lang w:val="en-US" w:eastAsia="zh-CN"/>
              </w:rPr>
            </w:pPr>
          </w:p>
        </w:tc>
        <w:tc>
          <w:tcPr>
            <w:tcW w:w="1086" w:type="dxa"/>
            <w:tcBorders>
              <w:top w:val="single" w:color="auto" w:sz="4" w:space="0"/>
              <w:left w:val="single" w:color="auto" w:sz="4" w:space="0"/>
              <w:bottom w:val="single" w:color="auto" w:sz="4" w:space="0"/>
              <w:right w:val="single" w:color="auto" w:sz="4" w:space="0"/>
            </w:tcBorders>
            <w:vAlign w:val="top"/>
          </w:tcPr>
          <w:p w14:paraId="540D8272">
            <w:pPr>
              <w:keepNext w:val="0"/>
              <w:keepLines w:val="0"/>
              <w:suppressLineNumbers w:val="0"/>
              <w:spacing w:before="0" w:beforeAutospacing="0" w:after="0" w:afterAutospacing="0"/>
              <w:ind w:left="0" w:right="0"/>
              <w:rPr>
                <w:rFonts w:hint="eastAsia" w:ascii="宋体" w:hAnsi="宋体" w:eastAsia="宋体" w:cs="宋体"/>
                <w:color w:val="auto"/>
                <w:sz w:val="21"/>
                <w:szCs w:val="21"/>
                <w:lang w:val="en-US" w:eastAsia="zh-CN"/>
              </w:rPr>
            </w:pPr>
          </w:p>
        </w:tc>
      </w:tr>
      <w:tr w14:paraId="74FFD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783" w:type="dxa"/>
            <w:vMerge w:val="continue"/>
            <w:tcBorders>
              <w:left w:val="single" w:color="auto" w:sz="4" w:space="0"/>
              <w:right w:val="single" w:color="auto" w:sz="4" w:space="0"/>
            </w:tcBorders>
            <w:vAlign w:val="center"/>
          </w:tcPr>
          <w:p w14:paraId="3E4FA727">
            <w:pPr>
              <w:keepNext w:val="0"/>
              <w:keepLines w:val="0"/>
              <w:suppressLineNumbers w:val="0"/>
              <w:spacing w:before="0" w:beforeAutospacing="0" w:after="0" w:afterAutospacing="0"/>
              <w:ind w:left="0" w:right="0"/>
              <w:jc w:val="left"/>
              <w:rPr>
                <w:rFonts w:hint="eastAsia" w:ascii="宋体" w:hAnsi="宋体" w:eastAsia="宋体" w:cs="宋体"/>
                <w:sz w:val="21"/>
                <w:szCs w:val="21"/>
                <w:highlight w:val="none"/>
              </w:rPr>
            </w:pPr>
          </w:p>
        </w:tc>
        <w:tc>
          <w:tcPr>
            <w:tcW w:w="2143" w:type="dxa"/>
            <w:tcBorders>
              <w:top w:val="single" w:color="auto" w:sz="4" w:space="0"/>
              <w:left w:val="single" w:color="auto" w:sz="4" w:space="0"/>
              <w:bottom w:val="single" w:color="auto" w:sz="4" w:space="0"/>
              <w:right w:val="single" w:color="auto" w:sz="4" w:space="0"/>
            </w:tcBorders>
            <w:vAlign w:val="top"/>
          </w:tcPr>
          <w:p w14:paraId="09435DBD">
            <w:pPr>
              <w:keepNext w:val="0"/>
              <w:keepLines w:val="0"/>
              <w:suppressLineNumbers w:val="0"/>
              <w:spacing w:before="0" w:beforeAutospacing="0" w:after="0" w:afterAutospacing="0"/>
              <w:ind w:left="0" w:right="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18.</w:t>
            </w:r>
            <w:r>
              <w:rPr>
                <w:rFonts w:hint="eastAsia" w:ascii="宋体" w:hAnsi="宋体" w:eastAsia="宋体" w:cs="宋体"/>
                <w:color w:val="auto"/>
                <w:sz w:val="21"/>
                <w:szCs w:val="21"/>
                <w:highlight w:val="none"/>
                <w:lang w:val="en-US" w:eastAsia="zh-CN"/>
              </w:rPr>
              <w:t>（A2双人）尺寸要求-</w:t>
            </w:r>
            <w:r>
              <w:rPr>
                <w:rFonts w:hint="eastAsia" w:ascii="宋体" w:hAnsi="宋体" w:eastAsia="宋体" w:cs="宋体"/>
                <w:color w:val="auto"/>
                <w:sz w:val="21"/>
                <w:szCs w:val="21"/>
                <w:lang w:val="en-US" w:eastAsia="zh-CN"/>
              </w:rPr>
              <w:t>外形尺寸(宽×深×高)：1600×800×2250mm（±100mm）（不含脚轮高度）</w:t>
            </w:r>
          </w:p>
          <w:p w14:paraId="50F32D0A">
            <w:pPr>
              <w:keepNext w:val="0"/>
              <w:keepLines w:val="0"/>
              <w:suppressLineNumbers w:val="0"/>
              <w:spacing w:before="0" w:beforeAutospacing="0" w:after="0" w:afterAutospacing="0"/>
              <w:ind w:left="0" w:right="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工作区内部尺寸(宽×深×高)：1450×600×650mm（±50mm）</w:t>
            </w:r>
          </w:p>
        </w:tc>
        <w:tc>
          <w:tcPr>
            <w:tcW w:w="2143" w:type="dxa"/>
            <w:tcBorders>
              <w:top w:val="single" w:color="auto" w:sz="4" w:space="0"/>
              <w:left w:val="single" w:color="auto" w:sz="4" w:space="0"/>
              <w:bottom w:val="single" w:color="auto" w:sz="4" w:space="0"/>
              <w:right w:val="single" w:color="auto" w:sz="4" w:space="0"/>
            </w:tcBorders>
            <w:vAlign w:val="top"/>
          </w:tcPr>
          <w:p w14:paraId="0D698168">
            <w:pPr>
              <w:keepNext w:val="0"/>
              <w:keepLines w:val="0"/>
              <w:suppressLineNumbers w:val="0"/>
              <w:spacing w:before="0" w:beforeAutospacing="0" w:after="0" w:afterAutospacing="0"/>
              <w:ind w:left="0" w:right="0"/>
              <w:rPr>
                <w:rFonts w:hint="eastAsia" w:ascii="宋体" w:hAnsi="宋体" w:eastAsia="宋体" w:cs="宋体"/>
                <w:color w:val="auto"/>
                <w:sz w:val="21"/>
                <w:szCs w:val="21"/>
                <w:lang w:val="en-US" w:eastAsia="zh-CN"/>
              </w:rPr>
            </w:pPr>
          </w:p>
        </w:tc>
        <w:tc>
          <w:tcPr>
            <w:tcW w:w="1086" w:type="dxa"/>
            <w:tcBorders>
              <w:top w:val="single" w:color="auto" w:sz="4" w:space="0"/>
              <w:left w:val="single" w:color="auto" w:sz="4" w:space="0"/>
              <w:bottom w:val="single" w:color="auto" w:sz="4" w:space="0"/>
              <w:right w:val="single" w:color="auto" w:sz="4" w:space="0"/>
            </w:tcBorders>
            <w:vAlign w:val="top"/>
          </w:tcPr>
          <w:p w14:paraId="1CCA3DDF">
            <w:pPr>
              <w:keepNext w:val="0"/>
              <w:keepLines w:val="0"/>
              <w:suppressLineNumbers w:val="0"/>
              <w:spacing w:before="0" w:beforeAutospacing="0" w:after="0" w:afterAutospacing="0"/>
              <w:ind w:left="0" w:right="0"/>
              <w:rPr>
                <w:rFonts w:hint="eastAsia" w:ascii="宋体" w:hAnsi="宋体" w:eastAsia="宋体" w:cs="宋体"/>
                <w:color w:val="auto"/>
                <w:sz w:val="21"/>
                <w:szCs w:val="21"/>
                <w:lang w:val="en-US" w:eastAsia="zh-CN"/>
              </w:rPr>
            </w:pPr>
          </w:p>
        </w:tc>
        <w:tc>
          <w:tcPr>
            <w:tcW w:w="1086" w:type="dxa"/>
            <w:tcBorders>
              <w:top w:val="single" w:color="auto" w:sz="4" w:space="0"/>
              <w:left w:val="single" w:color="auto" w:sz="4" w:space="0"/>
              <w:bottom w:val="single" w:color="auto" w:sz="4" w:space="0"/>
              <w:right w:val="single" w:color="auto" w:sz="4" w:space="0"/>
            </w:tcBorders>
            <w:vAlign w:val="top"/>
          </w:tcPr>
          <w:p w14:paraId="3C4A67AE">
            <w:pPr>
              <w:keepNext w:val="0"/>
              <w:keepLines w:val="0"/>
              <w:suppressLineNumbers w:val="0"/>
              <w:spacing w:before="0" w:beforeAutospacing="0" w:after="0" w:afterAutospacing="0"/>
              <w:ind w:left="0" w:right="0"/>
              <w:rPr>
                <w:rFonts w:hint="eastAsia" w:ascii="宋体" w:hAnsi="宋体" w:eastAsia="宋体" w:cs="宋体"/>
                <w:color w:val="auto"/>
                <w:sz w:val="21"/>
                <w:szCs w:val="21"/>
                <w:lang w:val="en-US" w:eastAsia="zh-CN"/>
              </w:rPr>
            </w:pPr>
          </w:p>
        </w:tc>
      </w:tr>
    </w:tbl>
    <w:p w14:paraId="4E7B12F8">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rPr>
        <w:t>证明资料【如有的话，提供的证明资料应统一编号（排序），格式自定】：</w:t>
      </w:r>
    </w:p>
    <w:p w14:paraId="4A19640C">
      <w:pPr>
        <w:keepNext w:val="0"/>
        <w:keepLines w:val="0"/>
        <w:pageBreakBefore w:val="0"/>
        <w:widowControl w:val="0"/>
        <w:kinsoku/>
        <w:wordWrap/>
        <w:overflowPunct/>
        <w:topLinePunct w:val="0"/>
        <w:autoSpaceDE/>
        <w:autoSpaceDN/>
        <w:bidi w:val="0"/>
        <w:adjustRightInd/>
        <w:snapToGrid/>
        <w:ind w:firstLine="420" w:firstLineChars="200"/>
        <w:textAlignment w:val="auto"/>
      </w:pPr>
    </w:p>
    <w:p w14:paraId="28E4C9B9">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rPr>
        <w:t>《技术要求偏离表》编制指引：</w:t>
      </w:r>
    </w:p>
    <w:p w14:paraId="66FFCDBB">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rPr>
        <w:t>1、技术要求偏离表的序号、货物名称、招标技术要求等栏目对应“用户需求书”中的“技术要求”章节相关内容。</w:t>
      </w:r>
    </w:p>
    <w:p w14:paraId="5B254B5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FF0000"/>
          <w:lang w:val="en-US" w:eastAsia="zh-CN"/>
        </w:rPr>
      </w:pPr>
      <w:r>
        <w:t>2</w:t>
      </w:r>
      <w:r>
        <w:rPr>
          <w:rFonts w:hint="eastAsia"/>
        </w:rPr>
        <w:t>、“投标技术响应”一栏必须一一对照“招标技术要求”，详细填写投标人自身投标货物的具体参数，而不能不合理照搬照抄招标文件的技术要求，以体现具体响应情况。</w:t>
      </w:r>
      <w:r>
        <w:rPr>
          <w:rFonts w:hint="eastAsia"/>
          <w:color w:val="FF0000"/>
          <w:lang w:val="en-US" w:eastAsia="zh-CN"/>
        </w:rPr>
        <w:t>“投标技术响应”必须与所投产品客观实际保持一致，响应不实且情节严重的，经查实，将依法记入供应商诚信档案或受到行政处罚。</w:t>
      </w:r>
    </w:p>
    <w:p w14:paraId="625E793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FF0000"/>
          <w:lang w:val="en-US" w:eastAsia="zh-CN"/>
        </w:rPr>
      </w:pPr>
      <w:r>
        <w:t>3</w:t>
      </w:r>
      <w:r>
        <w:rPr>
          <w:rFonts w:hint="eastAsia"/>
        </w:rPr>
        <w:t>、“偏离情况”一栏填写如实填写“正偏离”、“负偏离”或“无偏离”，其中：“正偏离”表示“投标响应优于招标技术要求”，“负偏离”表示“投标响应不满足招标技术要求”，“无偏离”表示“投标响应与招标技术要求一致”。“投标技术响应”对比“招标技术要求”存在响应不全（包括未响应整项招标技术要求或者未响应一项招标技术要求的部分内容），均视为“负偏离”。带★号条款为不可</w:t>
      </w:r>
      <w:r>
        <w:rPr>
          <w:rFonts w:hint="eastAsia"/>
          <w:lang w:val="en-US" w:eastAsia="zh-CN"/>
        </w:rPr>
        <w:t>负</w:t>
      </w:r>
      <w:r>
        <w:rPr>
          <w:rFonts w:hint="eastAsia"/>
        </w:rPr>
        <w:t>偏离条款，不作为评分准则中的评分内容</w:t>
      </w:r>
      <w:r>
        <w:rPr>
          <w:rFonts w:hint="eastAsia"/>
          <w:lang w:eastAsia="zh-CN"/>
        </w:rPr>
        <w:t>，</w:t>
      </w:r>
      <w:r>
        <w:rPr>
          <w:rFonts w:hint="eastAsia"/>
        </w:rPr>
        <w:t>如未响应或出现负偏离的，将</w:t>
      </w:r>
      <w:r>
        <w:rPr>
          <w:rFonts w:hint="eastAsia"/>
          <w:lang w:val="en-US" w:eastAsia="zh-CN"/>
        </w:rPr>
        <w:t>做</w:t>
      </w:r>
      <w:r>
        <w:rPr>
          <w:rFonts w:hint="eastAsia"/>
        </w:rPr>
        <w:t>投标无效处理</w:t>
      </w:r>
      <w:r>
        <w:rPr>
          <w:rFonts w:hint="eastAsia"/>
          <w:lang w:val="en-US" w:eastAsia="zh-CN"/>
        </w:rPr>
        <w:t>。</w:t>
      </w:r>
      <w:r>
        <w:rPr>
          <w:rFonts w:hint="eastAsia"/>
          <w:color w:val="FF0000"/>
          <w:lang w:val="en-US" w:eastAsia="zh-CN"/>
        </w:rPr>
        <w:t>“偏离情况”必须与所投产品客观实际保持一致，响应不实且情节严重的，经查实，将依法记入供应商诚信档案或受到行政处罚。</w:t>
      </w:r>
    </w:p>
    <w:p w14:paraId="268A6691">
      <w:pPr>
        <w:keepNext w:val="0"/>
        <w:keepLines w:val="0"/>
        <w:pageBreakBefore w:val="0"/>
        <w:widowControl w:val="0"/>
        <w:kinsoku/>
        <w:wordWrap/>
        <w:overflowPunct/>
        <w:topLinePunct w:val="0"/>
        <w:autoSpaceDE/>
        <w:autoSpaceDN/>
        <w:bidi w:val="0"/>
        <w:adjustRightInd/>
        <w:snapToGrid/>
        <w:ind w:firstLine="420" w:firstLineChars="200"/>
        <w:textAlignment w:val="auto"/>
      </w:pPr>
      <w:r>
        <w:t>4</w:t>
      </w:r>
      <w:r>
        <w:rPr>
          <w:rFonts w:hint="eastAsia"/>
        </w:rPr>
        <w:t>、未要求提供证明资料的招标技术要求，可以不提供证明资料（如实响应即可）。</w:t>
      </w:r>
    </w:p>
    <w:p w14:paraId="3279CA32">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rPr>
        <w:t>5、证明资料条款响应要求：要求提供证明资料（且已对证明资料的形式、内容作出明确要求）进行响应的条款，应当在“说明”一栏中列明是否提供了符合要求的证明资料，以及所提供证明资料在表后“证明资料”中的编号（位置）,以便评审；此类条款应严格依照要求的形式、内容提供证明资料，如未提供证明资料（或：证明资料的形式、内容等不符合要求；证明资料显示不符合招标技术要求；证明资料模糊不清无法判断或未显示是否满足招标技术要求），且投标人在“偏离情况”一栏响应为“正偏离”或“无偏离”的，经评审委员会认定，将判定为负偏离。</w:t>
      </w:r>
    </w:p>
    <w:p w14:paraId="2DC5E4FA">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rPr>
        <w:t>6、表后“证明资料”部分内容的编制：提供的所有证明资料应当统一编号（排序），且证明资料的编号（顺序）、数量和名称（形式）均应与“说明”一栏所填内容保持一致（一一对应），以便评审委员会查看。未按照招标文件要求在表后放置证明材料的供应商将承担不利后果，经评审委员会认定，相关技术要求将判定为负偏离。</w:t>
      </w:r>
    </w:p>
    <w:p w14:paraId="05877877">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rPr>
        <w:t>7、证明资料的形式及其它具体要求：</w:t>
      </w:r>
    </w:p>
    <w:p w14:paraId="621185C8">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rPr>
        <w:t>（1）除照片、图片（截图）及不需加盖公章的文字说明（技术说明）外，其它证明资料均要求为原件扫描件；</w:t>
      </w:r>
    </w:p>
    <w:p w14:paraId="5542CFE1">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14:paraId="251A03D7">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41728DCB">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rPr>
        <w:t>我国政府机构出具的产品检验和核准证件应为证件正面、背面和附件标注的全部具体内容；产品检验和核准证件的尺寸和清晰度应该能够在电脑上被阅读、识别和判断；</w:t>
      </w:r>
    </w:p>
    <w:p w14:paraId="3731D21F">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14:paraId="07C56561">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rPr>
        <w:t>其它证明资料的形式要求参照以上要求执行；</w:t>
      </w:r>
    </w:p>
    <w:p w14:paraId="6583F5F3">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rPr>
        <w:t>8、其它注意事项：</w:t>
      </w:r>
    </w:p>
    <w:p w14:paraId="30C80B59">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rPr>
        <w:t>（1）评审委员会有权对投标人的响应情况作出判断（评审结论）；</w:t>
      </w:r>
    </w:p>
    <w:p w14:paraId="0F2D272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eastAsia="宋体"/>
          <w:lang w:eastAsia="zh-CN"/>
        </w:rPr>
      </w:pPr>
      <w:r>
        <w:rPr>
          <w:rFonts w:hint="eastAsia"/>
        </w:rPr>
        <w:t>（2）评审委员会有权对以谋取中标为目的的技术规格模糊响应（如有意不合理照搬照抄招标文件的技术要求）或虚假响应予以认定</w:t>
      </w:r>
      <w:r>
        <w:rPr>
          <w:rFonts w:hint="eastAsia"/>
          <w:lang w:eastAsia="zh-CN"/>
        </w:rPr>
        <w:t>。</w:t>
      </w:r>
    </w:p>
    <w:p w14:paraId="42D780DE">
      <w:pPr>
        <w:keepNext w:val="0"/>
        <w:keepLines w:val="0"/>
        <w:pageBreakBefore w:val="0"/>
        <w:widowControl w:val="0"/>
        <w:kinsoku/>
        <w:wordWrap/>
        <w:overflowPunct/>
        <w:topLinePunct w:val="0"/>
        <w:autoSpaceDE/>
        <w:autoSpaceDN/>
        <w:bidi w:val="0"/>
        <w:adjustRightInd/>
        <w:snapToGrid/>
        <w:ind w:firstLine="420" w:firstLineChars="200"/>
        <w:textAlignment w:val="auto"/>
      </w:pPr>
    </w:p>
    <w:p w14:paraId="5B287F5D">
      <w:pPr>
        <w:keepNext w:val="0"/>
        <w:keepLines w:val="0"/>
        <w:pageBreakBefore w:val="0"/>
        <w:widowControl w:val="0"/>
        <w:kinsoku/>
        <w:wordWrap/>
        <w:overflowPunct/>
        <w:topLinePunct w:val="0"/>
        <w:autoSpaceDE/>
        <w:autoSpaceDN/>
        <w:bidi w:val="0"/>
        <w:adjustRightInd/>
        <w:snapToGrid/>
        <w:ind w:firstLine="420" w:firstLineChars="200"/>
        <w:textAlignment w:val="auto"/>
      </w:pPr>
    </w:p>
    <w:p w14:paraId="43FCB436">
      <w:pPr>
        <w:rPr>
          <w:rFonts w:hint="eastAsia" w:ascii="黑体" w:hAnsi="黑体" w:eastAsia="黑体" w:cs="黑体"/>
          <w:b w:val="0"/>
          <w:bCs w:val="0"/>
          <w:sz w:val="24"/>
          <w:szCs w:val="28"/>
          <w:highlight w:val="none"/>
          <w:lang w:val="en-US" w:eastAsia="zh-CN"/>
        </w:rPr>
      </w:pPr>
      <w:r>
        <w:rPr>
          <w:rFonts w:hint="eastAsia" w:ascii="黑体" w:hAnsi="黑体" w:eastAsia="黑体" w:cs="黑体"/>
          <w:b w:val="0"/>
          <w:bCs w:val="0"/>
          <w:sz w:val="24"/>
          <w:szCs w:val="28"/>
          <w:highlight w:val="none"/>
          <w:lang w:val="en-US" w:eastAsia="zh-CN"/>
        </w:rPr>
        <w:br w:type="page"/>
      </w:r>
    </w:p>
    <w:p w14:paraId="03D79E55">
      <w:pPr>
        <w:pStyle w:val="5"/>
        <w:jc w:val="center"/>
        <w:rPr>
          <w:rFonts w:ascii="黑体" w:hAnsi="黑体" w:eastAsia="黑体" w:cs="黑体"/>
          <w:b w:val="0"/>
          <w:bCs w:val="0"/>
          <w:sz w:val="24"/>
          <w:szCs w:val="28"/>
          <w:highlight w:val="none"/>
        </w:rPr>
      </w:pPr>
      <w:r>
        <w:rPr>
          <w:rFonts w:hint="eastAsia" w:ascii="黑体" w:hAnsi="黑体" w:eastAsia="黑体" w:cs="黑体"/>
          <w:b w:val="0"/>
          <w:bCs w:val="0"/>
          <w:sz w:val="24"/>
          <w:szCs w:val="28"/>
          <w:highlight w:val="none"/>
          <w:lang w:val="en-US" w:eastAsia="zh-CN"/>
        </w:rPr>
        <w:t>十</w:t>
      </w:r>
      <w:r>
        <w:rPr>
          <w:rFonts w:hint="eastAsia" w:ascii="黑体" w:hAnsi="黑体" w:eastAsia="黑体" w:cs="黑体"/>
          <w:b w:val="0"/>
          <w:bCs w:val="0"/>
          <w:sz w:val="24"/>
          <w:szCs w:val="28"/>
          <w:highlight w:val="none"/>
        </w:rPr>
        <w:t>、商务要求偏离表</w:t>
      </w:r>
    </w:p>
    <w:tbl>
      <w:tblPr>
        <w:tblStyle w:val="4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3"/>
        <w:gridCol w:w="1446"/>
        <w:gridCol w:w="1946"/>
        <w:gridCol w:w="1936"/>
        <w:gridCol w:w="1038"/>
        <w:gridCol w:w="1050"/>
      </w:tblGrid>
      <w:tr w14:paraId="5E441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8" w:type="pct"/>
            <w:vAlign w:val="center"/>
          </w:tcPr>
          <w:p w14:paraId="6DAFA3C8">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849" w:type="pct"/>
            <w:vAlign w:val="center"/>
          </w:tcPr>
          <w:p w14:paraId="25E91B0B">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目录</w:t>
            </w:r>
          </w:p>
        </w:tc>
        <w:tc>
          <w:tcPr>
            <w:tcW w:w="1142" w:type="pct"/>
            <w:vAlign w:val="center"/>
          </w:tcPr>
          <w:p w14:paraId="1F2B1999">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招标商务需求</w:t>
            </w:r>
          </w:p>
        </w:tc>
        <w:tc>
          <w:tcPr>
            <w:tcW w:w="1136" w:type="pct"/>
            <w:vAlign w:val="center"/>
          </w:tcPr>
          <w:p w14:paraId="2B0D428D">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投标商务响应</w:t>
            </w:r>
          </w:p>
        </w:tc>
        <w:tc>
          <w:tcPr>
            <w:tcW w:w="609" w:type="pct"/>
            <w:vAlign w:val="center"/>
          </w:tcPr>
          <w:p w14:paraId="0C5D2703">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偏离情况</w:t>
            </w:r>
          </w:p>
        </w:tc>
        <w:tc>
          <w:tcPr>
            <w:tcW w:w="613" w:type="pct"/>
            <w:vAlign w:val="center"/>
          </w:tcPr>
          <w:p w14:paraId="2A015F0E">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说明</w:t>
            </w:r>
          </w:p>
        </w:tc>
      </w:tr>
      <w:tr w14:paraId="4E023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0" w:type="pct"/>
            <w:gridSpan w:val="6"/>
          </w:tcPr>
          <w:p w14:paraId="4A87D886">
            <w:pPr>
              <w:keepNext w:val="0"/>
              <w:keepLines w:val="0"/>
              <w:suppressLineNumbers w:val="0"/>
              <w:spacing w:before="0" w:beforeAutospacing="0" w:after="0" w:afterAutospacing="0"/>
              <w:ind w:left="0" w:right="0"/>
              <w:rPr>
                <w:rFonts w:hint="eastAsia" w:ascii="宋体" w:hAnsi="宋体" w:eastAsia="宋体" w:cs="宋体"/>
                <w:b/>
                <w:color w:val="auto"/>
                <w:sz w:val="21"/>
                <w:szCs w:val="21"/>
              </w:rPr>
            </w:pPr>
            <w:r>
              <w:rPr>
                <w:rFonts w:hint="eastAsia" w:ascii="宋体" w:hAnsi="宋体" w:eastAsia="宋体" w:cs="宋体"/>
                <w:b/>
                <w:color w:val="auto"/>
                <w:sz w:val="21"/>
                <w:szCs w:val="21"/>
              </w:rPr>
              <w:t>（一）免费保修期内售后服务要求</w:t>
            </w:r>
          </w:p>
        </w:tc>
      </w:tr>
      <w:tr w14:paraId="3D089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48" w:type="pct"/>
            <w:vAlign w:val="center"/>
          </w:tcPr>
          <w:p w14:paraId="3372DF78">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1</w:t>
            </w:r>
          </w:p>
        </w:tc>
        <w:tc>
          <w:tcPr>
            <w:tcW w:w="849" w:type="pct"/>
          </w:tcPr>
          <w:p w14:paraId="53E49358">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维修响应及故障解决时间</w:t>
            </w:r>
          </w:p>
        </w:tc>
        <w:tc>
          <w:tcPr>
            <w:tcW w:w="1142" w:type="pct"/>
          </w:tcPr>
          <w:p w14:paraId="1347F1DE">
            <w:pPr>
              <w:keepNext w:val="0"/>
              <w:keepLines w:val="0"/>
              <w:suppressLineNumbers w:val="0"/>
              <w:spacing w:before="0" w:beforeAutospacing="0" w:after="0" w:afterAutospacing="0"/>
              <w:ind w:left="0" w:right="0"/>
              <w:rPr>
                <w:rFonts w:hint="eastAsia" w:ascii="宋体" w:hAnsi="宋体" w:eastAsia="宋体" w:cs="宋体"/>
                <w:b/>
                <w:color w:val="auto"/>
                <w:sz w:val="21"/>
                <w:szCs w:val="21"/>
              </w:rPr>
            </w:pPr>
            <w:r>
              <w:rPr>
                <w:rFonts w:hint="eastAsia" w:ascii="宋体" w:hAnsi="宋体" w:eastAsia="宋体" w:cs="宋体"/>
                <w:color w:val="auto"/>
                <w:sz w:val="21"/>
                <w:szCs w:val="21"/>
                <w:highlight w:val="none"/>
              </w:rPr>
              <w:t>由设备制造商</w:t>
            </w:r>
            <w:r>
              <w:rPr>
                <w:rFonts w:hint="eastAsia" w:ascii="宋体" w:hAnsi="宋体" w:eastAsia="宋体" w:cs="宋体"/>
                <w:color w:val="auto"/>
                <w:sz w:val="21"/>
                <w:szCs w:val="21"/>
                <w:highlight w:val="none"/>
                <w:lang w:eastAsia="zh-CN"/>
              </w:rPr>
              <w:t>或制造商授权认可的代理商</w:t>
            </w:r>
            <w:r>
              <w:rPr>
                <w:rFonts w:hint="eastAsia" w:ascii="宋体" w:hAnsi="宋体" w:eastAsia="宋体" w:cs="宋体"/>
                <w:color w:val="auto"/>
                <w:sz w:val="21"/>
                <w:szCs w:val="21"/>
                <w:highlight w:val="none"/>
              </w:rPr>
              <w:t>提供售后服务</w:t>
            </w:r>
            <w:r>
              <w:rPr>
                <w:rFonts w:hint="eastAsia" w:ascii="宋体" w:hAnsi="宋体" w:eastAsia="宋体" w:cs="宋体"/>
                <w:color w:val="auto"/>
                <w:sz w:val="21"/>
                <w:szCs w:val="21"/>
                <w:highlight w:val="none"/>
                <w:lang w:eastAsia="zh-CN"/>
              </w:rPr>
              <w:t>，</w:t>
            </w:r>
            <w:r>
              <w:rPr>
                <w:rFonts w:hint="eastAsia" w:ascii="宋体" w:hAnsi="宋体" w:eastAsia="宋体" w:cs="宋体"/>
                <w:bCs/>
                <w:color w:val="auto"/>
                <w:sz w:val="21"/>
                <w:szCs w:val="21"/>
              </w:rPr>
              <w:t>在保修期内，一旦发生质量问题，投标人保证在接到通知</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rPr>
              <w:t xml:space="preserve"> 小时内响应， 24 小时维修到位（不可抗力情况除外）。消耗品和零配件供应及时。</w:t>
            </w:r>
          </w:p>
        </w:tc>
        <w:tc>
          <w:tcPr>
            <w:tcW w:w="1136" w:type="pct"/>
          </w:tcPr>
          <w:p w14:paraId="37B8BC9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09" w:type="pct"/>
          </w:tcPr>
          <w:p w14:paraId="1E07640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13" w:type="pct"/>
          </w:tcPr>
          <w:p w14:paraId="0A8EDEB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r>
      <w:tr w14:paraId="0D463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48" w:type="pct"/>
            <w:vAlign w:val="center"/>
          </w:tcPr>
          <w:p w14:paraId="6C3E61D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849" w:type="pct"/>
          </w:tcPr>
          <w:p w14:paraId="065ABDEA">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关于保修期</w:t>
            </w:r>
          </w:p>
        </w:tc>
        <w:tc>
          <w:tcPr>
            <w:tcW w:w="1142" w:type="pct"/>
          </w:tcPr>
          <w:p w14:paraId="3DFA1D8B">
            <w:pPr>
              <w:keepNext w:val="0"/>
              <w:keepLines w:val="0"/>
              <w:suppressLineNumbers w:val="0"/>
              <w:spacing w:before="0" w:beforeAutospacing="0" w:after="0" w:afterAutospacing="0"/>
              <w:ind w:left="0" w:right="0"/>
              <w:rPr>
                <w:rFonts w:hint="eastAsia" w:ascii="宋体" w:hAnsi="宋体" w:eastAsia="宋体" w:cs="宋体"/>
                <w:b/>
                <w:color w:val="auto"/>
                <w:sz w:val="21"/>
                <w:szCs w:val="21"/>
              </w:rPr>
            </w:pPr>
            <w:r>
              <w:rPr>
                <w:rFonts w:hint="eastAsia" w:ascii="宋体" w:hAnsi="宋体" w:eastAsia="宋体" w:cs="宋体"/>
                <w:b/>
                <w:color w:val="auto"/>
                <w:sz w:val="21"/>
                <w:szCs w:val="21"/>
              </w:rPr>
              <w:t>★</w:t>
            </w:r>
            <w:r>
              <w:rPr>
                <w:rFonts w:hint="eastAsia" w:ascii="宋体" w:hAnsi="宋体" w:eastAsia="宋体" w:cs="宋体"/>
                <w:bCs/>
                <w:color w:val="auto"/>
                <w:sz w:val="21"/>
                <w:szCs w:val="21"/>
              </w:rPr>
              <w:t>货物免费保修期</w:t>
            </w:r>
            <w:r>
              <w:rPr>
                <w:rFonts w:hint="eastAsia" w:ascii="宋体" w:hAnsi="宋体" w:eastAsia="宋体" w:cs="宋体"/>
                <w:bCs/>
                <w:color w:val="auto"/>
                <w:sz w:val="21"/>
                <w:szCs w:val="21"/>
                <w:highlight w:val="yellow"/>
                <w:u w:val="single"/>
              </w:rPr>
              <w:t xml:space="preserve">  </w:t>
            </w:r>
            <w:r>
              <w:rPr>
                <w:rFonts w:hint="eastAsia" w:ascii="宋体" w:hAnsi="宋体" w:eastAsia="宋体" w:cs="宋体"/>
                <w:bCs/>
                <w:color w:val="auto"/>
                <w:sz w:val="21"/>
                <w:szCs w:val="21"/>
                <w:highlight w:val="yellow"/>
                <w:u w:val="single"/>
                <w:lang w:val="en-US" w:eastAsia="zh-CN"/>
              </w:rPr>
              <w:t>3</w:t>
            </w:r>
            <w:r>
              <w:rPr>
                <w:rFonts w:hint="eastAsia" w:ascii="宋体" w:hAnsi="宋体" w:eastAsia="宋体" w:cs="宋体"/>
                <w:bCs/>
                <w:color w:val="auto"/>
                <w:sz w:val="21"/>
                <w:szCs w:val="21"/>
                <w:highlight w:val="yellow"/>
                <w:u w:val="single"/>
              </w:rPr>
              <w:t xml:space="preserve">  </w:t>
            </w:r>
            <w:r>
              <w:rPr>
                <w:rFonts w:hint="eastAsia" w:ascii="宋体" w:hAnsi="宋体" w:eastAsia="宋体" w:cs="宋体"/>
                <w:bCs/>
                <w:color w:val="auto"/>
                <w:sz w:val="21"/>
                <w:szCs w:val="21"/>
              </w:rPr>
              <w:t>年，时间自最终验收合格并交付使用之日起计算。</w:t>
            </w:r>
          </w:p>
        </w:tc>
        <w:tc>
          <w:tcPr>
            <w:tcW w:w="1136" w:type="pct"/>
          </w:tcPr>
          <w:p w14:paraId="1F050C3B">
            <w:pPr>
              <w:keepNext w:val="0"/>
              <w:keepLines w:val="0"/>
              <w:suppressLineNumbers w:val="0"/>
              <w:spacing w:before="0" w:beforeAutospacing="0" w:after="0" w:afterAutospacing="0"/>
              <w:ind w:left="0" w:right="0"/>
              <w:rPr>
                <w:rFonts w:hint="eastAsia" w:ascii="宋体" w:hAnsi="宋体" w:eastAsia="宋体" w:cs="宋体"/>
                <w:b/>
                <w:color w:val="auto"/>
                <w:sz w:val="21"/>
                <w:szCs w:val="21"/>
              </w:rPr>
            </w:pPr>
          </w:p>
        </w:tc>
        <w:tc>
          <w:tcPr>
            <w:tcW w:w="609" w:type="pct"/>
          </w:tcPr>
          <w:p w14:paraId="5E28DB74">
            <w:pPr>
              <w:keepNext w:val="0"/>
              <w:keepLines w:val="0"/>
              <w:suppressLineNumbers w:val="0"/>
              <w:spacing w:before="0" w:beforeAutospacing="0" w:after="0" w:afterAutospacing="0"/>
              <w:ind w:left="0" w:right="0"/>
              <w:rPr>
                <w:rFonts w:hint="eastAsia" w:ascii="宋体" w:hAnsi="宋体" w:eastAsia="宋体" w:cs="宋体"/>
                <w:b/>
                <w:color w:val="auto"/>
                <w:sz w:val="21"/>
                <w:szCs w:val="21"/>
              </w:rPr>
            </w:pPr>
          </w:p>
        </w:tc>
        <w:tc>
          <w:tcPr>
            <w:tcW w:w="613" w:type="pct"/>
          </w:tcPr>
          <w:p w14:paraId="72337482">
            <w:pPr>
              <w:keepNext w:val="0"/>
              <w:keepLines w:val="0"/>
              <w:suppressLineNumbers w:val="0"/>
              <w:spacing w:before="0" w:beforeAutospacing="0" w:after="0" w:afterAutospacing="0"/>
              <w:ind w:left="0" w:right="0"/>
              <w:rPr>
                <w:rFonts w:hint="eastAsia" w:ascii="宋体" w:hAnsi="宋体" w:eastAsia="宋体" w:cs="宋体"/>
                <w:b/>
                <w:color w:val="auto"/>
                <w:sz w:val="21"/>
                <w:szCs w:val="21"/>
              </w:rPr>
            </w:pPr>
          </w:p>
        </w:tc>
      </w:tr>
      <w:tr w14:paraId="30D6B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48" w:type="pct"/>
            <w:vAlign w:val="center"/>
          </w:tcPr>
          <w:p w14:paraId="3ED9A5E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849" w:type="pct"/>
          </w:tcPr>
          <w:p w14:paraId="1FE44F54">
            <w:pPr>
              <w:keepNext w:val="0"/>
              <w:keepLines w:val="0"/>
              <w:suppressLineNumbers w:val="0"/>
              <w:spacing w:before="0" w:beforeAutospacing="0" w:after="0" w:afterAutospacing="0"/>
              <w:ind w:left="0" w:right="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关于保修期</w:t>
            </w:r>
            <w:r>
              <w:rPr>
                <w:rFonts w:hint="eastAsia" w:ascii="宋体" w:hAnsi="宋体" w:eastAsia="宋体" w:cs="宋体"/>
                <w:color w:val="auto"/>
                <w:sz w:val="21"/>
                <w:szCs w:val="21"/>
                <w:lang w:eastAsia="zh-CN"/>
              </w:rPr>
              <w:t>内服务</w:t>
            </w:r>
          </w:p>
        </w:tc>
        <w:tc>
          <w:tcPr>
            <w:tcW w:w="1142" w:type="pct"/>
          </w:tcPr>
          <w:p w14:paraId="63CABECC">
            <w:pPr>
              <w:keepNext w:val="0"/>
              <w:keepLines w:val="0"/>
              <w:suppressLineNumbers w:val="0"/>
              <w:spacing w:before="0" w:beforeAutospacing="0" w:after="0" w:afterAutospacing="0"/>
              <w:ind w:left="0" w:right="0"/>
              <w:rPr>
                <w:rFonts w:hint="eastAsia" w:ascii="宋体" w:hAnsi="宋体" w:eastAsia="宋体" w:cs="宋体"/>
                <w:bCs/>
                <w:color w:val="auto"/>
                <w:sz w:val="21"/>
                <w:szCs w:val="21"/>
              </w:rPr>
            </w:pPr>
            <w:r>
              <w:rPr>
                <w:rFonts w:hint="eastAsia" w:ascii="宋体" w:hAnsi="宋体" w:eastAsia="宋体" w:cs="宋体"/>
                <w:color w:val="auto"/>
                <w:sz w:val="21"/>
                <w:szCs w:val="21"/>
              </w:rPr>
              <w:t xml:space="preserve">保修期内,年度定期预防性维护保养次数应不少于 </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 xml:space="preserve"> 次。保修期内免费更换零配件、免工时费。</w:t>
            </w:r>
          </w:p>
        </w:tc>
        <w:tc>
          <w:tcPr>
            <w:tcW w:w="1136" w:type="pct"/>
          </w:tcPr>
          <w:p w14:paraId="275DF7B7">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609" w:type="pct"/>
          </w:tcPr>
          <w:p w14:paraId="1626029C">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613" w:type="pct"/>
          </w:tcPr>
          <w:p w14:paraId="1DB1C71E">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14:paraId="589F6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48" w:type="pct"/>
            <w:vAlign w:val="center"/>
          </w:tcPr>
          <w:p w14:paraId="5D628F0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849" w:type="pct"/>
          </w:tcPr>
          <w:p w14:paraId="6B5D05CC">
            <w:pPr>
              <w:keepNext w:val="0"/>
              <w:keepLines w:val="0"/>
              <w:suppressLineNumbers w:val="0"/>
              <w:spacing w:before="0" w:beforeAutospacing="0" w:after="0" w:afterAutospacing="0"/>
              <w:ind w:left="0" w:right="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关于维修配件及软件升级</w:t>
            </w:r>
          </w:p>
        </w:tc>
        <w:tc>
          <w:tcPr>
            <w:tcW w:w="1142" w:type="pct"/>
          </w:tcPr>
          <w:p w14:paraId="7B871559">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 xml:space="preserve">投标人负责货物的终身维修，保证 </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 xml:space="preserve"> 年以上供应维修配件， 5 年内免费提供软件升级服务。</w:t>
            </w:r>
          </w:p>
        </w:tc>
        <w:tc>
          <w:tcPr>
            <w:tcW w:w="1136" w:type="pct"/>
          </w:tcPr>
          <w:p w14:paraId="55E6DBE1">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609" w:type="pct"/>
          </w:tcPr>
          <w:p w14:paraId="4CA18252">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613" w:type="pct"/>
          </w:tcPr>
          <w:p w14:paraId="655FD1DA">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14:paraId="7E206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48" w:type="pct"/>
            <w:vAlign w:val="center"/>
          </w:tcPr>
          <w:p w14:paraId="6A52187C">
            <w:pPr>
              <w:keepNext w:val="0"/>
              <w:keepLines w:val="0"/>
              <w:suppressLineNumbers w:val="0"/>
              <w:spacing w:before="0" w:beforeAutospacing="0" w:after="0" w:afterAutospacing="0"/>
              <w:ind w:left="0" w:right="0"/>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5</w:t>
            </w:r>
          </w:p>
        </w:tc>
        <w:tc>
          <w:tcPr>
            <w:tcW w:w="849" w:type="pct"/>
          </w:tcPr>
          <w:p w14:paraId="42E41972">
            <w:pPr>
              <w:keepNext w:val="0"/>
              <w:keepLines w:val="0"/>
              <w:suppressLineNumbers w:val="0"/>
              <w:spacing w:before="0" w:beforeAutospacing="0" w:after="0" w:afterAutospacing="0"/>
              <w:ind w:left="0" w:right="0"/>
              <w:rPr>
                <w:rFonts w:hint="eastAsia" w:ascii="宋体" w:hAnsi="宋体" w:eastAsia="宋体" w:cs="宋体"/>
                <w:b/>
                <w:bCs/>
                <w:color w:val="FF0000"/>
                <w:sz w:val="21"/>
                <w:szCs w:val="21"/>
                <w:lang w:eastAsia="zh-CN"/>
              </w:rPr>
            </w:pPr>
            <w:r>
              <w:rPr>
                <w:rFonts w:hint="eastAsia" w:ascii="宋体" w:hAnsi="宋体" w:eastAsia="宋体" w:cs="宋体"/>
                <w:b/>
                <w:bCs/>
                <w:color w:val="FF0000"/>
                <w:sz w:val="21"/>
                <w:szCs w:val="21"/>
                <w:lang w:eastAsia="zh-CN"/>
              </w:rPr>
              <w:t>关于设备设计使用年限</w:t>
            </w:r>
          </w:p>
        </w:tc>
        <w:tc>
          <w:tcPr>
            <w:tcW w:w="1142" w:type="pct"/>
          </w:tcPr>
          <w:p w14:paraId="3D28C67A">
            <w:pPr>
              <w:keepNext w:val="0"/>
              <w:keepLines w:val="0"/>
              <w:suppressLineNumbers w:val="0"/>
              <w:spacing w:before="0" w:beforeAutospacing="0" w:after="0" w:afterAutospacing="0"/>
              <w:ind w:left="0" w:right="0"/>
              <w:rPr>
                <w:rFonts w:hint="eastAsia" w:ascii="宋体" w:hAnsi="宋体" w:eastAsia="宋体" w:cs="宋体"/>
                <w:b/>
                <w:bCs/>
                <w:color w:val="FF0000"/>
                <w:sz w:val="21"/>
                <w:szCs w:val="21"/>
                <w:lang w:eastAsia="zh-CN"/>
              </w:rPr>
            </w:pPr>
            <w:r>
              <w:rPr>
                <w:rFonts w:hint="eastAsia" w:ascii="宋体" w:hAnsi="宋体" w:eastAsia="宋体" w:cs="宋体"/>
                <w:b/>
                <w:bCs/>
                <w:color w:val="FF0000"/>
                <w:sz w:val="21"/>
                <w:szCs w:val="21"/>
              </w:rPr>
              <w:t>★投标人提供的仪器设备</w:t>
            </w:r>
            <w:r>
              <w:rPr>
                <w:rFonts w:hint="eastAsia" w:ascii="宋体" w:hAnsi="宋体" w:eastAsia="宋体" w:cs="宋体"/>
                <w:b/>
                <w:bCs/>
                <w:color w:val="FF0000"/>
                <w:sz w:val="21"/>
                <w:szCs w:val="21"/>
                <w:lang w:eastAsia="zh-CN"/>
              </w:rPr>
              <w:t>属于医疗器械的，其</w:t>
            </w:r>
            <w:r>
              <w:rPr>
                <w:rFonts w:hint="eastAsia" w:ascii="宋体" w:hAnsi="宋体" w:eastAsia="宋体" w:cs="宋体"/>
                <w:b/>
                <w:bCs/>
                <w:color w:val="FF0000"/>
                <w:sz w:val="21"/>
                <w:szCs w:val="21"/>
              </w:rPr>
              <w:t>设计使用年限≥</w:t>
            </w:r>
            <w:r>
              <w:rPr>
                <w:rFonts w:hint="eastAsia" w:ascii="宋体" w:hAnsi="宋体" w:eastAsia="宋体" w:cs="宋体"/>
                <w:b/>
                <w:bCs/>
                <w:color w:val="FF0000"/>
                <w:sz w:val="21"/>
                <w:szCs w:val="21"/>
                <w:lang w:val="en-US" w:eastAsia="zh-CN"/>
              </w:rPr>
              <w:t>5</w:t>
            </w:r>
            <w:r>
              <w:rPr>
                <w:rFonts w:hint="eastAsia" w:ascii="宋体" w:hAnsi="宋体" w:eastAsia="宋体" w:cs="宋体"/>
                <w:b/>
                <w:bCs/>
                <w:color w:val="FF0000"/>
                <w:sz w:val="21"/>
                <w:szCs w:val="21"/>
              </w:rPr>
              <w:t>年。【设计年限需提供设备说明书或</w:t>
            </w:r>
            <w:r>
              <w:rPr>
                <w:rFonts w:hint="eastAsia" w:ascii="宋体" w:hAnsi="宋体" w:eastAsia="宋体" w:cs="宋体"/>
                <w:b/>
                <w:bCs/>
                <w:color w:val="FF0000"/>
                <w:sz w:val="21"/>
                <w:szCs w:val="21"/>
                <w:lang w:val="en-US" w:eastAsia="zh-CN"/>
              </w:rPr>
              <w:t>设备铭牌照片</w:t>
            </w:r>
            <w:r>
              <w:rPr>
                <w:rFonts w:hint="eastAsia" w:ascii="宋体" w:hAnsi="宋体" w:eastAsia="宋体" w:cs="宋体"/>
                <w:b/>
                <w:bCs/>
                <w:color w:val="FF0000"/>
                <w:sz w:val="21"/>
                <w:szCs w:val="21"/>
              </w:rPr>
              <w:t>进行佐证】</w:t>
            </w:r>
          </w:p>
        </w:tc>
        <w:tc>
          <w:tcPr>
            <w:tcW w:w="1136" w:type="pct"/>
          </w:tcPr>
          <w:p w14:paraId="21E34117">
            <w:pPr>
              <w:keepNext w:val="0"/>
              <w:keepLines w:val="0"/>
              <w:suppressLineNumbers w:val="0"/>
              <w:spacing w:before="0" w:beforeAutospacing="0" w:after="0" w:afterAutospacing="0"/>
              <w:ind w:left="0" w:right="0"/>
              <w:rPr>
                <w:rFonts w:hint="eastAsia" w:ascii="宋体" w:hAnsi="宋体" w:eastAsia="宋体" w:cs="宋体"/>
                <w:b/>
                <w:bCs/>
                <w:color w:val="FF0000"/>
                <w:sz w:val="21"/>
                <w:szCs w:val="21"/>
              </w:rPr>
            </w:pPr>
          </w:p>
        </w:tc>
        <w:tc>
          <w:tcPr>
            <w:tcW w:w="609" w:type="pct"/>
          </w:tcPr>
          <w:p w14:paraId="468C2539">
            <w:pPr>
              <w:keepNext w:val="0"/>
              <w:keepLines w:val="0"/>
              <w:suppressLineNumbers w:val="0"/>
              <w:spacing w:before="0" w:beforeAutospacing="0" w:after="0" w:afterAutospacing="0"/>
              <w:ind w:left="0" w:right="0"/>
              <w:rPr>
                <w:rFonts w:hint="eastAsia" w:ascii="宋体" w:hAnsi="宋体" w:eastAsia="宋体" w:cs="宋体"/>
                <w:b/>
                <w:bCs/>
                <w:color w:val="FF0000"/>
                <w:sz w:val="21"/>
                <w:szCs w:val="21"/>
              </w:rPr>
            </w:pPr>
          </w:p>
        </w:tc>
        <w:tc>
          <w:tcPr>
            <w:tcW w:w="613" w:type="pct"/>
          </w:tcPr>
          <w:p w14:paraId="5CAEF800">
            <w:pPr>
              <w:keepNext w:val="0"/>
              <w:keepLines w:val="0"/>
              <w:suppressLineNumbers w:val="0"/>
              <w:spacing w:before="0" w:beforeAutospacing="0" w:after="0" w:afterAutospacing="0"/>
              <w:ind w:left="0" w:right="0"/>
              <w:rPr>
                <w:rFonts w:hint="eastAsia" w:ascii="宋体" w:hAnsi="宋体" w:eastAsia="宋体" w:cs="宋体"/>
                <w:b/>
                <w:bCs/>
                <w:color w:val="FF0000"/>
                <w:sz w:val="21"/>
                <w:szCs w:val="21"/>
              </w:rPr>
            </w:pPr>
          </w:p>
        </w:tc>
      </w:tr>
      <w:tr w14:paraId="704CF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48" w:type="pct"/>
            <w:vAlign w:val="center"/>
          </w:tcPr>
          <w:p w14:paraId="6B948A0A">
            <w:pPr>
              <w:keepNext w:val="0"/>
              <w:keepLines w:val="0"/>
              <w:suppressLineNumbers w:val="0"/>
              <w:spacing w:before="0" w:beforeAutospacing="0" w:after="0" w:afterAutospacing="0"/>
              <w:ind w:left="0" w:right="0"/>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6</w:t>
            </w:r>
          </w:p>
        </w:tc>
        <w:tc>
          <w:tcPr>
            <w:tcW w:w="849" w:type="pct"/>
          </w:tcPr>
          <w:p w14:paraId="2DDDD28E">
            <w:pPr>
              <w:keepNext w:val="0"/>
              <w:keepLines w:val="0"/>
              <w:suppressLineNumbers w:val="0"/>
              <w:spacing w:before="0" w:beforeAutospacing="0" w:after="0" w:afterAutospacing="0"/>
              <w:ind w:left="0" w:right="0"/>
              <w:rPr>
                <w:rFonts w:hint="eastAsia" w:ascii="宋体" w:hAnsi="宋体" w:eastAsia="宋体" w:cs="宋体"/>
                <w:b/>
                <w:bCs/>
                <w:color w:val="FF0000"/>
                <w:sz w:val="21"/>
                <w:szCs w:val="21"/>
                <w:lang w:eastAsia="zh-CN"/>
              </w:rPr>
            </w:pPr>
            <w:r>
              <w:rPr>
                <w:rFonts w:hint="eastAsia" w:ascii="宋体" w:hAnsi="宋体" w:eastAsia="宋体" w:cs="宋体"/>
                <w:b/>
                <w:bCs/>
                <w:color w:val="FF0000"/>
                <w:sz w:val="21"/>
                <w:szCs w:val="21"/>
                <w:lang w:eastAsia="zh-CN"/>
              </w:rPr>
              <w:t>关于设备生产日期</w:t>
            </w:r>
          </w:p>
        </w:tc>
        <w:tc>
          <w:tcPr>
            <w:tcW w:w="1142" w:type="pct"/>
          </w:tcPr>
          <w:p w14:paraId="07AAD1D1">
            <w:pPr>
              <w:keepNext w:val="0"/>
              <w:keepLines w:val="0"/>
              <w:suppressLineNumbers w:val="0"/>
              <w:spacing w:before="0" w:beforeAutospacing="0" w:after="0" w:afterAutospacing="0"/>
              <w:ind w:left="0" w:right="0"/>
              <w:rPr>
                <w:rFonts w:hint="eastAsia" w:ascii="宋体" w:hAnsi="宋体" w:eastAsia="宋体" w:cs="宋体"/>
                <w:b/>
                <w:bCs/>
                <w:color w:val="FF0000"/>
                <w:sz w:val="21"/>
                <w:szCs w:val="21"/>
              </w:rPr>
            </w:pPr>
            <w:r>
              <w:rPr>
                <w:rFonts w:hint="eastAsia" w:ascii="宋体" w:hAnsi="宋体" w:eastAsia="宋体" w:cs="宋体"/>
                <w:b/>
                <w:bCs/>
                <w:color w:val="FF0000"/>
                <w:sz w:val="21"/>
                <w:szCs w:val="21"/>
              </w:rPr>
              <w:t>★投标人提供的仪器设备的生产日期必须在</w:t>
            </w:r>
            <w:r>
              <w:rPr>
                <w:rFonts w:hint="eastAsia" w:ascii="宋体" w:hAnsi="宋体" w:eastAsia="宋体" w:cs="宋体"/>
                <w:b/>
                <w:bCs/>
                <w:color w:val="FF0000"/>
                <w:sz w:val="21"/>
                <w:szCs w:val="21"/>
                <w:lang w:val="en-US" w:eastAsia="zh-CN"/>
              </w:rPr>
              <w:t>1</w:t>
            </w:r>
            <w:r>
              <w:rPr>
                <w:rFonts w:hint="eastAsia" w:ascii="宋体" w:hAnsi="宋体" w:eastAsia="宋体" w:cs="宋体"/>
                <w:b/>
                <w:bCs/>
                <w:color w:val="FF0000"/>
                <w:sz w:val="21"/>
                <w:szCs w:val="21"/>
              </w:rPr>
              <w:t>年内生产</w:t>
            </w:r>
            <w:r>
              <w:rPr>
                <w:rFonts w:hint="eastAsia" w:ascii="宋体" w:hAnsi="宋体" w:eastAsia="宋体" w:cs="宋体"/>
                <w:b/>
                <w:bCs/>
                <w:color w:val="FF0000"/>
                <w:sz w:val="21"/>
                <w:szCs w:val="21"/>
                <w:lang w:eastAsia="zh-CN"/>
              </w:rPr>
              <w:t>，</w:t>
            </w:r>
            <w:r>
              <w:rPr>
                <w:rFonts w:hint="eastAsia" w:ascii="宋体" w:hAnsi="宋体" w:eastAsia="宋体" w:cs="宋体"/>
                <w:b/>
                <w:bCs/>
                <w:color w:val="FF0000"/>
                <w:sz w:val="21"/>
                <w:szCs w:val="21"/>
              </w:rPr>
              <w:t>时间自</w:t>
            </w:r>
            <w:r>
              <w:rPr>
                <w:rFonts w:hint="eastAsia" w:ascii="宋体" w:hAnsi="宋体" w:eastAsia="宋体" w:cs="宋体"/>
                <w:b/>
                <w:bCs/>
                <w:color w:val="FF0000"/>
                <w:sz w:val="21"/>
                <w:szCs w:val="21"/>
                <w:lang w:eastAsia="zh-CN"/>
              </w:rPr>
              <w:t>设备到货日期起算</w:t>
            </w:r>
            <w:r>
              <w:rPr>
                <w:rFonts w:hint="eastAsia" w:ascii="宋体" w:hAnsi="宋体" w:eastAsia="宋体" w:cs="宋体"/>
                <w:b/>
                <w:bCs/>
                <w:color w:val="FF0000"/>
                <w:sz w:val="21"/>
                <w:szCs w:val="21"/>
              </w:rPr>
              <w:t>【生产日期需提供承诺书（格式自拟）】</w:t>
            </w:r>
          </w:p>
        </w:tc>
        <w:tc>
          <w:tcPr>
            <w:tcW w:w="1136" w:type="pct"/>
          </w:tcPr>
          <w:p w14:paraId="3DABDA1B">
            <w:pPr>
              <w:keepNext w:val="0"/>
              <w:keepLines w:val="0"/>
              <w:suppressLineNumbers w:val="0"/>
              <w:spacing w:before="0" w:beforeAutospacing="0" w:after="0" w:afterAutospacing="0"/>
              <w:ind w:left="0" w:right="0"/>
              <w:rPr>
                <w:rFonts w:hint="eastAsia" w:ascii="宋体" w:hAnsi="宋体" w:eastAsia="宋体" w:cs="宋体"/>
                <w:b/>
                <w:bCs/>
                <w:color w:val="FF0000"/>
                <w:sz w:val="21"/>
                <w:szCs w:val="21"/>
              </w:rPr>
            </w:pPr>
          </w:p>
        </w:tc>
        <w:tc>
          <w:tcPr>
            <w:tcW w:w="609" w:type="pct"/>
          </w:tcPr>
          <w:p w14:paraId="79460264">
            <w:pPr>
              <w:keepNext w:val="0"/>
              <w:keepLines w:val="0"/>
              <w:suppressLineNumbers w:val="0"/>
              <w:spacing w:before="0" w:beforeAutospacing="0" w:after="0" w:afterAutospacing="0"/>
              <w:ind w:left="0" w:right="0"/>
              <w:rPr>
                <w:rFonts w:hint="eastAsia" w:ascii="宋体" w:hAnsi="宋体" w:eastAsia="宋体" w:cs="宋体"/>
                <w:b/>
                <w:bCs/>
                <w:color w:val="FF0000"/>
                <w:sz w:val="21"/>
                <w:szCs w:val="21"/>
              </w:rPr>
            </w:pPr>
          </w:p>
        </w:tc>
        <w:tc>
          <w:tcPr>
            <w:tcW w:w="613" w:type="pct"/>
          </w:tcPr>
          <w:p w14:paraId="4559D963">
            <w:pPr>
              <w:keepNext w:val="0"/>
              <w:keepLines w:val="0"/>
              <w:suppressLineNumbers w:val="0"/>
              <w:spacing w:before="0" w:beforeAutospacing="0" w:after="0" w:afterAutospacing="0"/>
              <w:ind w:left="0" w:right="0"/>
              <w:rPr>
                <w:rFonts w:hint="eastAsia" w:ascii="宋体" w:hAnsi="宋体" w:eastAsia="宋体" w:cs="宋体"/>
                <w:b/>
                <w:bCs/>
                <w:color w:val="FF0000"/>
                <w:sz w:val="21"/>
                <w:szCs w:val="21"/>
              </w:rPr>
            </w:pPr>
          </w:p>
        </w:tc>
      </w:tr>
      <w:tr w14:paraId="70673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648" w:type="pct"/>
            <w:vAlign w:val="center"/>
          </w:tcPr>
          <w:p w14:paraId="2A9018A7">
            <w:pPr>
              <w:keepNext w:val="0"/>
              <w:keepLines w:val="0"/>
              <w:suppressLineNumbers w:val="0"/>
              <w:spacing w:before="0" w:beforeAutospacing="0" w:after="0" w:afterAutospacing="0"/>
              <w:ind w:left="0" w:right="0"/>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7</w:t>
            </w:r>
          </w:p>
        </w:tc>
        <w:tc>
          <w:tcPr>
            <w:tcW w:w="849" w:type="pct"/>
          </w:tcPr>
          <w:p w14:paraId="2F125CBE">
            <w:pPr>
              <w:keepNext w:val="0"/>
              <w:keepLines w:val="0"/>
              <w:suppressLineNumbers w:val="0"/>
              <w:spacing w:before="0" w:beforeAutospacing="0" w:after="0" w:afterAutospacing="0"/>
              <w:ind w:left="0" w:right="0"/>
              <w:rPr>
                <w:rFonts w:hint="eastAsia" w:ascii="宋体" w:hAnsi="宋体" w:eastAsia="宋体" w:cs="宋体"/>
                <w:b/>
                <w:bCs/>
                <w:color w:val="FF0000"/>
                <w:sz w:val="21"/>
                <w:szCs w:val="21"/>
                <w:lang w:eastAsia="zh-CN"/>
              </w:rPr>
            </w:pPr>
            <w:r>
              <w:rPr>
                <w:rFonts w:hint="eastAsia" w:ascii="宋体" w:hAnsi="宋体" w:eastAsia="宋体" w:cs="宋体"/>
                <w:b/>
                <w:bCs/>
                <w:color w:val="FF0000"/>
                <w:sz w:val="21"/>
                <w:szCs w:val="21"/>
                <w:lang w:eastAsia="zh-CN"/>
              </w:rPr>
              <w:t>关于配套试剂及耗材</w:t>
            </w:r>
          </w:p>
        </w:tc>
        <w:tc>
          <w:tcPr>
            <w:tcW w:w="1142" w:type="pct"/>
          </w:tcPr>
          <w:p w14:paraId="4BC19D72">
            <w:pPr>
              <w:keepNext w:val="0"/>
              <w:keepLines w:val="0"/>
              <w:suppressLineNumbers w:val="0"/>
              <w:spacing w:before="0" w:beforeAutospacing="0" w:after="0" w:afterAutospacing="0"/>
              <w:ind w:left="0" w:right="0"/>
              <w:rPr>
                <w:rFonts w:hint="eastAsia" w:ascii="宋体" w:hAnsi="宋体" w:eastAsia="宋体" w:cs="宋体"/>
                <w:b/>
                <w:bCs/>
                <w:color w:val="FF0000"/>
                <w:sz w:val="21"/>
                <w:szCs w:val="21"/>
                <w:lang w:val="en-US" w:eastAsia="zh-CN"/>
              </w:rPr>
            </w:pPr>
            <w:r>
              <w:rPr>
                <w:rFonts w:hint="eastAsia" w:ascii="宋体" w:hAnsi="宋体" w:eastAsia="宋体" w:cs="宋体"/>
                <w:b/>
                <w:bCs/>
                <w:color w:val="FF0000"/>
                <w:sz w:val="21"/>
                <w:szCs w:val="21"/>
                <w:highlight w:val="none"/>
              </w:rPr>
              <w:t>★承诺</w:t>
            </w:r>
            <w:r>
              <w:rPr>
                <w:rFonts w:hint="eastAsia" w:ascii="宋体" w:hAnsi="宋体" w:eastAsia="宋体" w:cs="宋体"/>
                <w:b/>
                <w:bCs/>
                <w:color w:val="FF0000"/>
                <w:sz w:val="21"/>
                <w:szCs w:val="21"/>
                <w:highlight w:val="none"/>
                <w:lang w:eastAsia="zh-CN"/>
              </w:rPr>
              <w:t>可</w:t>
            </w:r>
            <w:r>
              <w:rPr>
                <w:rFonts w:hint="eastAsia" w:ascii="宋体" w:hAnsi="宋体" w:eastAsia="宋体" w:cs="宋体"/>
                <w:b/>
                <w:bCs/>
                <w:color w:val="FF0000"/>
                <w:sz w:val="21"/>
                <w:szCs w:val="21"/>
                <w:highlight w:val="none"/>
              </w:rPr>
              <w:t>在深圳医用耗材阳光交易和监管平台上采购仪器配套封闭试剂及耗材，</w:t>
            </w:r>
            <w:r>
              <w:rPr>
                <w:rFonts w:hint="eastAsia" w:ascii="宋体" w:hAnsi="宋体" w:eastAsia="宋体" w:cs="宋体"/>
                <w:b/>
                <w:bCs/>
                <w:color w:val="FF0000"/>
                <w:sz w:val="21"/>
                <w:szCs w:val="21"/>
              </w:rPr>
              <w:t>阳光采购平台上注册为限价目录产品</w:t>
            </w:r>
            <w:r>
              <w:rPr>
                <w:rFonts w:hint="eastAsia" w:ascii="宋体" w:hAnsi="宋体" w:eastAsia="宋体" w:cs="宋体"/>
                <w:b/>
                <w:bCs/>
                <w:color w:val="FF0000"/>
                <w:sz w:val="21"/>
                <w:szCs w:val="21"/>
                <w:lang w:eastAsia="zh-CN"/>
              </w:rPr>
              <w:t>，</w:t>
            </w:r>
            <w:r>
              <w:rPr>
                <w:rFonts w:hint="eastAsia" w:ascii="宋体" w:hAnsi="宋体" w:eastAsia="宋体" w:cs="宋体"/>
                <w:b/>
                <w:bCs/>
                <w:color w:val="FF0000"/>
                <w:sz w:val="21"/>
                <w:szCs w:val="21"/>
                <w:highlight w:val="none"/>
              </w:rPr>
              <w:t>并承诺提供深圳市内最低供货价</w:t>
            </w:r>
            <w:r>
              <w:rPr>
                <w:rFonts w:hint="eastAsia" w:ascii="宋体" w:hAnsi="宋体" w:eastAsia="宋体" w:cs="宋体"/>
                <w:b/>
                <w:bCs/>
                <w:color w:val="FF0000"/>
                <w:sz w:val="21"/>
                <w:szCs w:val="21"/>
              </w:rPr>
              <w:t>【</w:t>
            </w:r>
            <w:r>
              <w:rPr>
                <w:rFonts w:hint="eastAsia" w:ascii="宋体" w:hAnsi="宋体" w:eastAsia="宋体" w:cs="宋体"/>
                <w:b/>
                <w:bCs/>
                <w:color w:val="FF0000"/>
                <w:sz w:val="21"/>
                <w:szCs w:val="21"/>
                <w:highlight w:val="none"/>
              </w:rPr>
              <w:t>提供承诺函，</w:t>
            </w:r>
            <w:r>
              <w:rPr>
                <w:rFonts w:hint="eastAsia" w:ascii="宋体" w:hAnsi="宋体" w:eastAsia="宋体" w:cs="宋体"/>
                <w:b/>
                <w:bCs/>
                <w:color w:val="FF0000"/>
                <w:sz w:val="21"/>
                <w:szCs w:val="21"/>
              </w:rPr>
              <w:t>（格式自拟）】</w:t>
            </w:r>
            <w:r>
              <w:rPr>
                <w:rFonts w:hint="eastAsia" w:ascii="宋体" w:hAnsi="宋体" w:eastAsia="宋体" w:cs="宋体"/>
                <w:b/>
                <w:bCs/>
                <w:color w:val="FF0000"/>
                <w:sz w:val="21"/>
                <w:szCs w:val="21"/>
                <w:highlight w:val="none"/>
              </w:rPr>
              <w:t>。</w:t>
            </w:r>
            <w:r>
              <w:rPr>
                <w:rFonts w:hint="eastAsia" w:ascii="宋体" w:hAnsi="宋体" w:eastAsia="宋体" w:cs="宋体"/>
                <w:b/>
                <w:bCs/>
                <w:sz w:val="21"/>
                <w:szCs w:val="21"/>
                <w:lang w:val="en-US" w:eastAsia="zh-CN"/>
              </w:rPr>
              <w:t>无配套试剂及耗材则无需提供</w:t>
            </w:r>
          </w:p>
        </w:tc>
        <w:tc>
          <w:tcPr>
            <w:tcW w:w="1136" w:type="pct"/>
          </w:tcPr>
          <w:p w14:paraId="7F2ED5F4">
            <w:pPr>
              <w:keepNext w:val="0"/>
              <w:keepLines w:val="0"/>
              <w:suppressLineNumbers w:val="0"/>
              <w:spacing w:before="0" w:beforeAutospacing="0" w:after="0" w:afterAutospacing="0"/>
              <w:ind w:left="0" w:right="0"/>
              <w:rPr>
                <w:rFonts w:hint="eastAsia" w:ascii="宋体" w:hAnsi="宋体" w:eastAsia="宋体" w:cs="宋体"/>
                <w:b/>
                <w:bCs/>
                <w:color w:val="FF0000"/>
                <w:sz w:val="21"/>
                <w:szCs w:val="21"/>
                <w:highlight w:val="none"/>
              </w:rPr>
            </w:pPr>
          </w:p>
        </w:tc>
        <w:tc>
          <w:tcPr>
            <w:tcW w:w="609" w:type="pct"/>
          </w:tcPr>
          <w:p w14:paraId="77923EB6">
            <w:pPr>
              <w:keepNext w:val="0"/>
              <w:keepLines w:val="0"/>
              <w:suppressLineNumbers w:val="0"/>
              <w:spacing w:before="0" w:beforeAutospacing="0" w:after="0" w:afterAutospacing="0"/>
              <w:ind w:left="0" w:right="0"/>
              <w:rPr>
                <w:rFonts w:hint="eastAsia" w:ascii="宋体" w:hAnsi="宋体" w:eastAsia="宋体" w:cs="宋体"/>
                <w:b/>
                <w:bCs/>
                <w:color w:val="FF0000"/>
                <w:sz w:val="21"/>
                <w:szCs w:val="21"/>
                <w:highlight w:val="none"/>
              </w:rPr>
            </w:pPr>
          </w:p>
        </w:tc>
        <w:tc>
          <w:tcPr>
            <w:tcW w:w="613" w:type="pct"/>
          </w:tcPr>
          <w:p w14:paraId="0BA53436">
            <w:pPr>
              <w:keepNext w:val="0"/>
              <w:keepLines w:val="0"/>
              <w:suppressLineNumbers w:val="0"/>
              <w:spacing w:before="0" w:beforeAutospacing="0" w:after="0" w:afterAutospacing="0"/>
              <w:ind w:left="0" w:right="0"/>
              <w:rPr>
                <w:rFonts w:hint="eastAsia" w:ascii="宋体" w:hAnsi="宋体" w:eastAsia="宋体" w:cs="宋体"/>
                <w:b/>
                <w:bCs/>
                <w:color w:val="FF0000"/>
                <w:sz w:val="21"/>
                <w:szCs w:val="21"/>
                <w:highlight w:val="none"/>
              </w:rPr>
            </w:pPr>
          </w:p>
        </w:tc>
      </w:tr>
      <w:tr w14:paraId="3B0C7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48" w:type="pct"/>
            <w:vAlign w:val="center"/>
          </w:tcPr>
          <w:p w14:paraId="34DEF3A8">
            <w:pPr>
              <w:keepNext w:val="0"/>
              <w:keepLines w:val="0"/>
              <w:suppressLineNumbers w:val="0"/>
              <w:spacing w:before="0" w:beforeAutospacing="0" w:after="0" w:afterAutospacing="0"/>
              <w:ind w:left="0" w:right="0"/>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8</w:t>
            </w:r>
          </w:p>
        </w:tc>
        <w:tc>
          <w:tcPr>
            <w:tcW w:w="849" w:type="pct"/>
          </w:tcPr>
          <w:p w14:paraId="325D546E">
            <w:pPr>
              <w:keepNext w:val="0"/>
              <w:keepLines w:val="0"/>
              <w:suppressLineNumbers w:val="0"/>
              <w:spacing w:before="0" w:beforeAutospacing="0" w:after="0" w:afterAutospacing="0"/>
              <w:ind w:left="0" w:right="0"/>
              <w:rPr>
                <w:rFonts w:hint="eastAsia" w:ascii="宋体" w:hAnsi="宋体" w:eastAsia="宋体" w:cs="宋体"/>
                <w:b/>
                <w:bCs/>
                <w:color w:val="FF0000"/>
                <w:sz w:val="21"/>
                <w:szCs w:val="21"/>
                <w:lang w:eastAsia="zh-CN"/>
              </w:rPr>
            </w:pPr>
            <w:r>
              <w:rPr>
                <w:rFonts w:hint="eastAsia" w:ascii="宋体" w:hAnsi="宋体" w:eastAsia="宋体" w:cs="宋体"/>
                <w:b/>
                <w:bCs/>
                <w:color w:val="FF0000"/>
                <w:sz w:val="21"/>
                <w:szCs w:val="21"/>
                <w:lang w:eastAsia="zh-CN"/>
              </w:rPr>
              <w:t>关于</w:t>
            </w:r>
            <w:r>
              <w:rPr>
                <w:rFonts w:hint="eastAsia" w:ascii="宋体" w:hAnsi="宋体" w:eastAsia="宋体" w:cs="宋体"/>
                <w:b/>
                <w:bCs/>
                <w:color w:val="FF0000"/>
                <w:sz w:val="21"/>
                <w:szCs w:val="21"/>
                <w:highlight w:val="none"/>
              </w:rPr>
              <w:t>零配件、消耗品和延续保修</w:t>
            </w:r>
          </w:p>
        </w:tc>
        <w:tc>
          <w:tcPr>
            <w:tcW w:w="1142" w:type="pct"/>
          </w:tcPr>
          <w:p w14:paraId="4D332184">
            <w:pPr>
              <w:keepNext w:val="0"/>
              <w:keepLines w:val="0"/>
              <w:suppressLineNumbers w:val="0"/>
              <w:spacing w:before="0" w:beforeAutospacing="0" w:after="0" w:afterAutospacing="0"/>
              <w:ind w:left="0" w:right="0"/>
              <w:rPr>
                <w:rFonts w:hint="eastAsia" w:ascii="宋体" w:hAnsi="宋体" w:eastAsia="宋体" w:cs="宋体"/>
                <w:b/>
                <w:bCs/>
                <w:color w:val="FF0000"/>
                <w:sz w:val="21"/>
                <w:szCs w:val="21"/>
                <w:highlight w:val="none"/>
              </w:rPr>
            </w:pPr>
            <w:r>
              <w:rPr>
                <w:rFonts w:hint="eastAsia" w:ascii="宋体" w:hAnsi="宋体" w:eastAsia="宋体" w:cs="宋体"/>
                <w:b/>
                <w:bCs/>
                <w:color w:val="FF0000"/>
                <w:sz w:val="21"/>
                <w:szCs w:val="21"/>
                <w:highlight w:val="none"/>
              </w:rPr>
              <w:t>投标人应</w:t>
            </w:r>
            <w:r>
              <w:rPr>
                <w:rFonts w:hint="eastAsia" w:ascii="宋体" w:hAnsi="宋体" w:eastAsia="宋体" w:cs="宋体"/>
                <w:b/>
                <w:bCs/>
                <w:color w:val="FF0000"/>
                <w:sz w:val="21"/>
                <w:szCs w:val="21"/>
                <w:highlight w:val="none"/>
                <w:lang w:eastAsia="zh-CN"/>
              </w:rPr>
              <w:t>提供</w:t>
            </w:r>
            <w:r>
              <w:rPr>
                <w:rFonts w:hint="eastAsia" w:ascii="宋体" w:hAnsi="宋体" w:eastAsia="宋体" w:cs="宋体"/>
                <w:b/>
                <w:bCs/>
                <w:color w:val="FF0000"/>
                <w:sz w:val="21"/>
                <w:szCs w:val="21"/>
                <w:highlight w:val="none"/>
              </w:rPr>
              <w:t>维修零配件、消耗品和延续保修</w:t>
            </w:r>
            <w:r>
              <w:rPr>
                <w:rFonts w:hint="eastAsia" w:ascii="宋体" w:hAnsi="宋体" w:eastAsia="宋体" w:cs="宋体"/>
                <w:b/>
                <w:bCs/>
                <w:color w:val="FF0000"/>
                <w:sz w:val="21"/>
                <w:szCs w:val="21"/>
                <w:highlight w:val="none"/>
                <w:lang w:eastAsia="zh-CN"/>
              </w:rPr>
              <w:t>的报价单</w:t>
            </w:r>
            <w:r>
              <w:rPr>
                <w:rFonts w:hint="eastAsia" w:ascii="宋体" w:hAnsi="宋体" w:eastAsia="宋体" w:cs="宋体"/>
                <w:b/>
                <w:bCs/>
                <w:color w:val="FF0000"/>
                <w:sz w:val="21"/>
                <w:szCs w:val="21"/>
                <w:highlight w:val="none"/>
              </w:rPr>
              <w:t>。价格最高的前</w:t>
            </w:r>
            <w:r>
              <w:rPr>
                <w:rFonts w:hint="eastAsia" w:ascii="宋体" w:hAnsi="宋体" w:eastAsia="宋体" w:cs="宋体"/>
                <w:b/>
                <w:bCs/>
                <w:color w:val="FF0000"/>
                <w:sz w:val="21"/>
                <w:szCs w:val="21"/>
                <w:highlight w:val="none"/>
                <w:u w:val="single"/>
              </w:rPr>
              <w:t xml:space="preserve"> 5</w:t>
            </w:r>
            <w:r>
              <w:rPr>
                <w:rFonts w:hint="eastAsia" w:ascii="宋体" w:hAnsi="宋体" w:eastAsia="宋体" w:cs="宋体"/>
                <w:b/>
                <w:bCs/>
                <w:color w:val="FF0000"/>
                <w:sz w:val="21"/>
                <w:szCs w:val="21"/>
                <w:highlight w:val="none"/>
              </w:rPr>
              <w:t>项零配件、消耗品和延续保修的报价明细必须填写于《零配件、消耗品和延续保修报价明细清单》中</w:t>
            </w:r>
            <w:r>
              <w:rPr>
                <w:rFonts w:hint="eastAsia" w:ascii="宋体" w:hAnsi="宋体" w:eastAsia="宋体" w:cs="宋体"/>
                <w:b/>
                <w:bCs/>
                <w:color w:val="FF0000"/>
                <w:sz w:val="21"/>
                <w:szCs w:val="21"/>
                <w:highlight w:val="none"/>
                <w:lang w:eastAsia="zh-CN"/>
              </w:rPr>
              <w:t>（清单格式自拟）</w:t>
            </w:r>
            <w:r>
              <w:rPr>
                <w:rFonts w:hint="eastAsia" w:ascii="宋体" w:hAnsi="宋体" w:eastAsia="宋体" w:cs="宋体"/>
                <w:b/>
                <w:bCs/>
                <w:color w:val="FF0000"/>
                <w:sz w:val="21"/>
                <w:szCs w:val="21"/>
                <w:highlight w:val="none"/>
              </w:rPr>
              <w:t>。</w:t>
            </w:r>
          </w:p>
        </w:tc>
        <w:tc>
          <w:tcPr>
            <w:tcW w:w="1136" w:type="pct"/>
          </w:tcPr>
          <w:p w14:paraId="1D14A6A8">
            <w:pPr>
              <w:keepNext w:val="0"/>
              <w:keepLines w:val="0"/>
              <w:suppressLineNumbers w:val="0"/>
              <w:spacing w:before="0" w:beforeAutospacing="0" w:after="0" w:afterAutospacing="0"/>
              <w:ind w:left="0" w:right="0"/>
              <w:rPr>
                <w:rFonts w:hint="eastAsia" w:ascii="宋体" w:hAnsi="宋体" w:eastAsia="宋体" w:cs="宋体"/>
                <w:b/>
                <w:bCs/>
                <w:color w:val="FF0000"/>
                <w:sz w:val="21"/>
                <w:szCs w:val="21"/>
                <w:highlight w:val="none"/>
              </w:rPr>
            </w:pPr>
          </w:p>
        </w:tc>
        <w:tc>
          <w:tcPr>
            <w:tcW w:w="609" w:type="pct"/>
          </w:tcPr>
          <w:p w14:paraId="15B4460C">
            <w:pPr>
              <w:keepNext w:val="0"/>
              <w:keepLines w:val="0"/>
              <w:suppressLineNumbers w:val="0"/>
              <w:spacing w:before="0" w:beforeAutospacing="0" w:after="0" w:afterAutospacing="0"/>
              <w:ind w:left="0" w:right="0"/>
              <w:rPr>
                <w:rFonts w:hint="eastAsia" w:ascii="宋体" w:hAnsi="宋体" w:eastAsia="宋体" w:cs="宋体"/>
                <w:b/>
                <w:bCs/>
                <w:color w:val="FF0000"/>
                <w:sz w:val="21"/>
                <w:szCs w:val="21"/>
                <w:highlight w:val="none"/>
              </w:rPr>
            </w:pPr>
          </w:p>
        </w:tc>
        <w:tc>
          <w:tcPr>
            <w:tcW w:w="613" w:type="pct"/>
          </w:tcPr>
          <w:p w14:paraId="36C82A46">
            <w:pPr>
              <w:keepNext w:val="0"/>
              <w:keepLines w:val="0"/>
              <w:suppressLineNumbers w:val="0"/>
              <w:spacing w:before="0" w:beforeAutospacing="0" w:after="0" w:afterAutospacing="0"/>
              <w:ind w:left="0" w:right="0"/>
              <w:rPr>
                <w:rFonts w:hint="eastAsia" w:ascii="宋体" w:hAnsi="宋体" w:eastAsia="宋体" w:cs="宋体"/>
                <w:b/>
                <w:bCs/>
                <w:color w:val="FF0000"/>
                <w:sz w:val="21"/>
                <w:szCs w:val="21"/>
                <w:highlight w:val="none"/>
              </w:rPr>
            </w:pPr>
          </w:p>
        </w:tc>
      </w:tr>
      <w:tr w14:paraId="67226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48" w:type="pct"/>
            <w:vAlign w:val="center"/>
          </w:tcPr>
          <w:p w14:paraId="678C34C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w:t>
            </w:r>
          </w:p>
        </w:tc>
        <w:tc>
          <w:tcPr>
            <w:tcW w:w="849" w:type="pct"/>
          </w:tcPr>
          <w:p w14:paraId="2F78A3BD">
            <w:pPr>
              <w:keepNext w:val="0"/>
              <w:keepLines w:val="0"/>
              <w:suppressLineNumbers w:val="0"/>
              <w:spacing w:before="0" w:beforeAutospacing="0" w:after="0" w:afterAutospacing="0"/>
              <w:ind w:left="0" w:right="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关于设备开机率</w:t>
            </w:r>
          </w:p>
        </w:tc>
        <w:tc>
          <w:tcPr>
            <w:tcW w:w="1142" w:type="pct"/>
          </w:tcPr>
          <w:p w14:paraId="031459F4">
            <w:pPr>
              <w:keepNext w:val="0"/>
              <w:keepLines w:val="0"/>
              <w:suppressLineNumbers w:val="0"/>
              <w:spacing w:before="0" w:beforeAutospacing="0" w:after="0" w:afterAutospacing="0" w:line="360" w:lineRule="auto"/>
              <w:ind w:left="0" w:right="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在保修期内, 投标人应确保年开机率在95%</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含</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以上, 若不能达到此开机率，将作以下处理：</w:t>
            </w:r>
          </w:p>
          <w:p w14:paraId="7F7263B6">
            <w:pPr>
              <w:keepNext w:val="0"/>
              <w:keepLines w:val="0"/>
              <w:suppressLineNumbers w:val="0"/>
              <w:spacing w:before="0" w:beforeAutospacing="0" w:after="0" w:afterAutospacing="0" w:line="360" w:lineRule="auto"/>
              <w:ind w:left="0" w:right="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A</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rPr>
              <w:t>年开机率在90（含）-95%（不含）之间按一赔</w:t>
            </w:r>
            <w:r>
              <w:rPr>
                <w:rFonts w:hint="eastAsia" w:ascii="宋体" w:hAnsi="宋体" w:eastAsia="宋体" w:cs="宋体"/>
                <w:bCs/>
                <w:color w:val="auto"/>
                <w:sz w:val="21"/>
                <w:szCs w:val="21"/>
                <w:highlight w:val="none"/>
                <w:u w:val="single"/>
              </w:rPr>
              <w:t xml:space="preserve"> 二 </w:t>
            </w:r>
            <w:r>
              <w:rPr>
                <w:rFonts w:hint="eastAsia" w:ascii="宋体" w:hAnsi="宋体" w:eastAsia="宋体" w:cs="宋体"/>
                <w:bCs/>
                <w:color w:val="auto"/>
                <w:sz w:val="21"/>
                <w:szCs w:val="21"/>
                <w:highlight w:val="none"/>
              </w:rPr>
              <w:t>延长保修期.</w:t>
            </w:r>
          </w:p>
          <w:p w14:paraId="5CE3F563">
            <w:pPr>
              <w:keepNext w:val="0"/>
              <w:keepLines w:val="0"/>
              <w:suppressLineNumbers w:val="0"/>
              <w:spacing w:before="0" w:beforeAutospacing="0" w:after="0" w:afterAutospacing="0" w:line="360" w:lineRule="auto"/>
              <w:ind w:left="0" w:right="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B</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rPr>
              <w:t>年开机率在85（含）-90%（不含）之间按一赔</w:t>
            </w:r>
            <w:r>
              <w:rPr>
                <w:rFonts w:hint="eastAsia" w:ascii="宋体" w:hAnsi="宋体" w:eastAsia="宋体" w:cs="宋体"/>
                <w:bCs/>
                <w:color w:val="auto"/>
                <w:sz w:val="21"/>
                <w:szCs w:val="21"/>
                <w:highlight w:val="none"/>
                <w:u w:val="single"/>
              </w:rPr>
              <w:t xml:space="preserve"> 五 </w:t>
            </w:r>
            <w:r>
              <w:rPr>
                <w:rFonts w:hint="eastAsia" w:ascii="宋体" w:hAnsi="宋体" w:eastAsia="宋体" w:cs="宋体"/>
                <w:bCs/>
                <w:color w:val="auto"/>
                <w:sz w:val="21"/>
                <w:szCs w:val="21"/>
                <w:highlight w:val="none"/>
              </w:rPr>
              <w:t>延长保修期</w:t>
            </w:r>
          </w:p>
          <w:p w14:paraId="12D25E73">
            <w:pPr>
              <w:keepNext w:val="0"/>
              <w:keepLines w:val="0"/>
              <w:suppressLineNumbers w:val="0"/>
              <w:spacing w:before="0" w:beforeAutospacing="0" w:after="0" w:afterAutospacing="0" w:line="360" w:lineRule="auto"/>
              <w:ind w:left="0" w:right="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C</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rPr>
              <w:t>年开机率低于85%（</w:t>
            </w:r>
            <w:r>
              <w:rPr>
                <w:rFonts w:hint="eastAsia" w:ascii="宋体" w:hAnsi="宋体" w:eastAsia="宋体" w:cs="宋体"/>
                <w:bCs/>
                <w:color w:val="auto"/>
                <w:sz w:val="21"/>
                <w:szCs w:val="21"/>
                <w:highlight w:val="none"/>
                <w:lang w:val="en-US" w:eastAsia="zh-CN"/>
              </w:rPr>
              <w:t>不</w:t>
            </w:r>
            <w:r>
              <w:rPr>
                <w:rFonts w:hint="eastAsia" w:ascii="宋体" w:hAnsi="宋体" w:eastAsia="宋体" w:cs="宋体"/>
                <w:bCs/>
                <w:color w:val="auto"/>
                <w:sz w:val="21"/>
                <w:szCs w:val="21"/>
                <w:highlight w:val="none"/>
              </w:rPr>
              <w:t>含），投标人须无条件更换新机，并重新计算保修期，以及赔偿用户的直接经济损失和间接经济损失。</w:t>
            </w:r>
          </w:p>
          <w:p w14:paraId="6A9C92FB">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b/>
                <w:bCs/>
                <w:color w:val="auto"/>
                <w:sz w:val="21"/>
                <w:szCs w:val="21"/>
                <w:highlight w:val="none"/>
              </w:rPr>
              <w:t>注：</w:t>
            </w:r>
            <w:r>
              <w:rPr>
                <w:rFonts w:hint="eastAsia" w:ascii="宋体" w:hAnsi="宋体" w:eastAsia="宋体" w:cs="宋体"/>
                <w:bCs/>
                <w:color w:val="auto"/>
                <w:sz w:val="21"/>
                <w:szCs w:val="21"/>
                <w:highlight w:val="none"/>
              </w:rPr>
              <w:t>年开机率</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rPr>
              <w:t>（实际开机天数/</w:t>
            </w:r>
            <w:r>
              <w:rPr>
                <w:rFonts w:hint="eastAsia" w:ascii="宋体" w:hAnsi="宋体" w:eastAsia="宋体" w:cs="宋体"/>
                <w:color w:val="auto"/>
                <w:sz w:val="21"/>
                <w:szCs w:val="21"/>
                <w:highlight w:val="none"/>
                <w:lang w:val="en-US" w:eastAsia="zh-CN"/>
              </w:rPr>
              <w:t>365天</w:t>
            </w:r>
            <w:r>
              <w:rPr>
                <w:rFonts w:hint="eastAsia" w:ascii="宋体" w:hAnsi="宋体" w:eastAsia="宋体" w:cs="宋体"/>
                <w:bCs/>
                <w:color w:val="auto"/>
                <w:sz w:val="21"/>
                <w:szCs w:val="21"/>
                <w:highlight w:val="none"/>
              </w:rPr>
              <w:t>*100%）</w:t>
            </w:r>
          </w:p>
        </w:tc>
        <w:tc>
          <w:tcPr>
            <w:tcW w:w="1136" w:type="pct"/>
          </w:tcPr>
          <w:p w14:paraId="06EC03AB">
            <w:pPr>
              <w:keepNext w:val="0"/>
              <w:keepLines w:val="0"/>
              <w:suppressLineNumbers w:val="0"/>
              <w:spacing w:before="0" w:beforeAutospacing="0" w:after="0" w:afterAutospacing="0"/>
              <w:ind w:left="0" w:right="0"/>
              <w:rPr>
                <w:rFonts w:hint="eastAsia" w:ascii="宋体" w:hAnsi="宋体" w:eastAsia="宋体" w:cs="宋体"/>
                <w:b/>
                <w:bCs/>
                <w:color w:val="auto"/>
                <w:sz w:val="21"/>
                <w:szCs w:val="21"/>
                <w:highlight w:val="none"/>
              </w:rPr>
            </w:pPr>
          </w:p>
        </w:tc>
        <w:tc>
          <w:tcPr>
            <w:tcW w:w="609" w:type="pct"/>
          </w:tcPr>
          <w:p w14:paraId="5869D265">
            <w:pPr>
              <w:keepNext w:val="0"/>
              <w:keepLines w:val="0"/>
              <w:suppressLineNumbers w:val="0"/>
              <w:spacing w:before="0" w:beforeAutospacing="0" w:after="0" w:afterAutospacing="0"/>
              <w:ind w:left="0" w:right="0"/>
              <w:rPr>
                <w:rFonts w:hint="eastAsia" w:ascii="宋体" w:hAnsi="宋体" w:eastAsia="宋体" w:cs="宋体"/>
                <w:b/>
                <w:bCs/>
                <w:color w:val="auto"/>
                <w:sz w:val="21"/>
                <w:szCs w:val="21"/>
                <w:highlight w:val="none"/>
              </w:rPr>
            </w:pPr>
          </w:p>
        </w:tc>
        <w:tc>
          <w:tcPr>
            <w:tcW w:w="613" w:type="pct"/>
          </w:tcPr>
          <w:p w14:paraId="48539CF8">
            <w:pPr>
              <w:keepNext w:val="0"/>
              <w:keepLines w:val="0"/>
              <w:suppressLineNumbers w:val="0"/>
              <w:spacing w:before="0" w:beforeAutospacing="0" w:after="0" w:afterAutospacing="0"/>
              <w:ind w:left="0" w:right="0"/>
              <w:rPr>
                <w:rFonts w:hint="eastAsia" w:ascii="宋体" w:hAnsi="宋体" w:eastAsia="宋体" w:cs="宋体"/>
                <w:b/>
                <w:bCs/>
                <w:color w:val="auto"/>
                <w:sz w:val="21"/>
                <w:szCs w:val="21"/>
                <w:highlight w:val="none"/>
              </w:rPr>
            </w:pPr>
          </w:p>
        </w:tc>
      </w:tr>
      <w:tr w14:paraId="29CA5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648" w:type="pct"/>
            <w:vAlign w:val="center"/>
          </w:tcPr>
          <w:p w14:paraId="291A9C00">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10</w:t>
            </w:r>
          </w:p>
        </w:tc>
        <w:tc>
          <w:tcPr>
            <w:tcW w:w="849" w:type="pct"/>
            <w:vAlign w:val="center"/>
          </w:tcPr>
          <w:p w14:paraId="71104E83">
            <w:pPr>
              <w:keepNext w:val="0"/>
              <w:keepLines w:val="0"/>
              <w:suppressLineNumbers w:val="0"/>
              <w:spacing w:before="0" w:beforeAutospacing="0" w:after="0" w:afterAutospacing="0"/>
              <w:ind w:left="0" w:right="0"/>
              <w:rPr>
                <w:rFonts w:hint="eastAsia" w:ascii="宋体" w:hAnsi="宋体" w:eastAsia="宋体" w:cs="宋体"/>
                <w:b/>
                <w:color w:val="auto"/>
                <w:sz w:val="21"/>
                <w:szCs w:val="21"/>
              </w:rPr>
            </w:pPr>
            <w:r>
              <w:rPr>
                <w:rFonts w:hint="eastAsia" w:ascii="宋体" w:hAnsi="宋体" w:eastAsia="宋体" w:cs="宋体"/>
                <w:color w:val="auto"/>
                <w:sz w:val="21"/>
                <w:szCs w:val="21"/>
              </w:rPr>
              <w:t>其他</w:t>
            </w:r>
          </w:p>
        </w:tc>
        <w:tc>
          <w:tcPr>
            <w:tcW w:w="1142" w:type="pct"/>
            <w:vAlign w:val="center"/>
          </w:tcPr>
          <w:p w14:paraId="35C26C9E">
            <w:pPr>
              <w:keepNext w:val="0"/>
              <w:keepLines w:val="0"/>
              <w:suppressLineNumbers w:val="0"/>
              <w:spacing w:before="0" w:beforeAutospacing="0" w:after="0" w:afterAutospacing="0"/>
              <w:ind w:left="0" w:right="0"/>
              <w:rPr>
                <w:rFonts w:hint="eastAsia" w:ascii="宋体" w:hAnsi="宋体" w:eastAsia="宋体" w:cs="宋体"/>
                <w:b/>
                <w:color w:val="auto"/>
                <w:sz w:val="21"/>
                <w:szCs w:val="21"/>
              </w:rPr>
            </w:pPr>
            <w:r>
              <w:rPr>
                <w:rFonts w:hint="eastAsia" w:ascii="宋体" w:hAnsi="宋体" w:eastAsia="宋体" w:cs="宋体"/>
                <w:bCs/>
                <w:color w:val="auto"/>
                <w:sz w:val="21"/>
                <w:szCs w:val="21"/>
              </w:rPr>
              <w:t>投标人应按其投标文件中的承诺，进行其他售后服务工作。</w:t>
            </w:r>
          </w:p>
        </w:tc>
        <w:tc>
          <w:tcPr>
            <w:tcW w:w="1136" w:type="pct"/>
            <w:vAlign w:val="center"/>
          </w:tcPr>
          <w:p w14:paraId="5F675737">
            <w:pPr>
              <w:keepNext w:val="0"/>
              <w:keepLines w:val="0"/>
              <w:suppressLineNumbers w:val="0"/>
              <w:spacing w:before="0" w:beforeAutospacing="0" w:after="0" w:afterAutospacing="0"/>
              <w:ind w:left="0" w:right="0"/>
              <w:rPr>
                <w:rFonts w:hint="eastAsia" w:ascii="宋体" w:hAnsi="宋体" w:eastAsia="宋体" w:cs="宋体"/>
                <w:bCs/>
                <w:color w:val="auto"/>
                <w:sz w:val="21"/>
                <w:szCs w:val="21"/>
              </w:rPr>
            </w:pPr>
          </w:p>
        </w:tc>
        <w:tc>
          <w:tcPr>
            <w:tcW w:w="609" w:type="pct"/>
            <w:vAlign w:val="center"/>
          </w:tcPr>
          <w:p w14:paraId="46D55062">
            <w:pPr>
              <w:keepNext w:val="0"/>
              <w:keepLines w:val="0"/>
              <w:suppressLineNumbers w:val="0"/>
              <w:spacing w:before="0" w:beforeAutospacing="0" w:after="0" w:afterAutospacing="0"/>
              <w:ind w:left="0" w:right="0"/>
              <w:rPr>
                <w:rFonts w:hint="eastAsia" w:ascii="宋体" w:hAnsi="宋体" w:eastAsia="宋体" w:cs="宋体"/>
                <w:bCs/>
                <w:color w:val="auto"/>
                <w:sz w:val="21"/>
                <w:szCs w:val="21"/>
              </w:rPr>
            </w:pPr>
          </w:p>
        </w:tc>
        <w:tc>
          <w:tcPr>
            <w:tcW w:w="613" w:type="pct"/>
            <w:vAlign w:val="center"/>
          </w:tcPr>
          <w:p w14:paraId="7F4AD230">
            <w:pPr>
              <w:keepNext w:val="0"/>
              <w:keepLines w:val="0"/>
              <w:suppressLineNumbers w:val="0"/>
              <w:spacing w:before="0" w:beforeAutospacing="0" w:after="0" w:afterAutospacing="0"/>
              <w:ind w:left="0" w:right="0"/>
              <w:rPr>
                <w:rFonts w:hint="eastAsia" w:ascii="宋体" w:hAnsi="宋体" w:eastAsia="宋体" w:cs="宋体"/>
                <w:bCs/>
                <w:color w:val="auto"/>
                <w:sz w:val="21"/>
                <w:szCs w:val="21"/>
              </w:rPr>
            </w:pPr>
          </w:p>
        </w:tc>
      </w:tr>
      <w:tr w14:paraId="503D6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0" w:type="pct"/>
            <w:gridSpan w:val="6"/>
          </w:tcPr>
          <w:p w14:paraId="203E19BF">
            <w:pPr>
              <w:keepNext w:val="0"/>
              <w:keepLines w:val="0"/>
              <w:suppressLineNumbers w:val="0"/>
              <w:spacing w:before="0" w:beforeAutospacing="0" w:after="0" w:afterAutospacing="0"/>
              <w:ind w:left="0" w:right="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（二）免费保修期外售后服务要求</w:t>
            </w:r>
          </w:p>
        </w:tc>
      </w:tr>
      <w:tr w14:paraId="3A0C2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648" w:type="pct"/>
            <w:vAlign w:val="center"/>
          </w:tcPr>
          <w:p w14:paraId="1B209968">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p>
        </w:tc>
        <w:tc>
          <w:tcPr>
            <w:tcW w:w="849" w:type="pct"/>
          </w:tcPr>
          <w:p w14:paraId="24A4B1D4">
            <w:pPr>
              <w:keepNext w:val="0"/>
              <w:keepLines w:val="0"/>
              <w:suppressLineNumbers w:val="0"/>
              <w:spacing w:before="0" w:beforeAutospacing="0" w:after="0" w:afterAutospacing="0"/>
              <w:ind w:left="0" w:right="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免费保修期外售后服务要求</w:t>
            </w:r>
          </w:p>
        </w:tc>
        <w:tc>
          <w:tcPr>
            <w:tcW w:w="1142" w:type="pct"/>
          </w:tcPr>
          <w:p w14:paraId="03222B10">
            <w:pPr>
              <w:keepNext w:val="0"/>
              <w:keepLines w:val="0"/>
              <w:suppressLineNumbers w:val="0"/>
              <w:spacing w:before="0" w:beforeAutospacing="0" w:after="0" w:afterAutospacing="0"/>
              <w:ind w:left="0" w:right="0"/>
              <w:rPr>
                <w:rFonts w:hint="eastAsia" w:ascii="宋体" w:hAnsi="宋体" w:eastAsia="宋体" w:cs="宋体"/>
                <w:b/>
                <w:color w:val="auto"/>
                <w:sz w:val="21"/>
                <w:szCs w:val="21"/>
                <w:highlight w:val="none"/>
                <w:lang w:eastAsia="zh-CN"/>
              </w:rPr>
            </w:pPr>
            <w:r>
              <w:rPr>
                <w:rFonts w:hint="eastAsia" w:ascii="宋体" w:hAnsi="宋体" w:eastAsia="宋体" w:cs="宋体"/>
                <w:color w:val="auto"/>
                <w:sz w:val="21"/>
                <w:szCs w:val="21"/>
                <w:highlight w:val="none"/>
              </w:rPr>
              <w:t>由设备制造商</w:t>
            </w:r>
            <w:r>
              <w:rPr>
                <w:rFonts w:hint="eastAsia" w:ascii="宋体" w:hAnsi="宋体" w:eastAsia="宋体" w:cs="宋体"/>
                <w:color w:val="auto"/>
                <w:sz w:val="21"/>
                <w:szCs w:val="21"/>
                <w:highlight w:val="none"/>
                <w:lang w:eastAsia="zh-CN"/>
              </w:rPr>
              <w:t>或制造商授权认可的代理商</w:t>
            </w:r>
            <w:r>
              <w:rPr>
                <w:rFonts w:hint="eastAsia" w:ascii="宋体" w:hAnsi="宋体" w:eastAsia="宋体" w:cs="宋体"/>
                <w:color w:val="auto"/>
                <w:sz w:val="21"/>
                <w:szCs w:val="21"/>
                <w:highlight w:val="none"/>
              </w:rPr>
              <w:t>提供售后服务</w:t>
            </w:r>
            <w:r>
              <w:rPr>
                <w:rFonts w:hint="eastAsia" w:ascii="宋体" w:hAnsi="宋体" w:eastAsia="宋体" w:cs="宋体"/>
                <w:color w:val="auto"/>
                <w:sz w:val="21"/>
                <w:szCs w:val="21"/>
                <w:highlight w:val="none"/>
                <w:lang w:eastAsia="zh-CN"/>
              </w:rPr>
              <w:t>。</w:t>
            </w:r>
          </w:p>
        </w:tc>
        <w:tc>
          <w:tcPr>
            <w:tcW w:w="1136" w:type="pct"/>
          </w:tcPr>
          <w:p w14:paraId="24570F6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09" w:type="pct"/>
          </w:tcPr>
          <w:p w14:paraId="63F4321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13" w:type="pct"/>
          </w:tcPr>
          <w:p w14:paraId="68A0DAA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r>
      <w:tr w14:paraId="625A7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5000" w:type="pct"/>
            <w:gridSpan w:val="6"/>
          </w:tcPr>
          <w:p w14:paraId="5310372D">
            <w:pPr>
              <w:keepNext w:val="0"/>
              <w:keepLines w:val="0"/>
              <w:suppressLineNumbers w:val="0"/>
              <w:spacing w:before="0" w:beforeAutospacing="0" w:after="0" w:afterAutospacing="0"/>
              <w:ind w:left="0" w:right="0"/>
              <w:rPr>
                <w:rFonts w:hint="eastAsia" w:ascii="宋体" w:hAnsi="宋体" w:eastAsia="宋体" w:cs="宋体"/>
                <w:b/>
                <w:color w:val="auto"/>
                <w:sz w:val="21"/>
                <w:szCs w:val="21"/>
              </w:rPr>
            </w:pPr>
            <w:r>
              <w:rPr>
                <w:rFonts w:hint="eastAsia" w:ascii="宋体" w:hAnsi="宋体" w:eastAsia="宋体" w:cs="宋体"/>
                <w:b/>
                <w:color w:val="auto"/>
                <w:sz w:val="21"/>
                <w:szCs w:val="21"/>
              </w:rPr>
              <w:t>（三）其他商务要求</w:t>
            </w:r>
          </w:p>
        </w:tc>
      </w:tr>
      <w:tr w14:paraId="7F594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48" w:type="pct"/>
            <w:vMerge w:val="restart"/>
            <w:vAlign w:val="center"/>
          </w:tcPr>
          <w:p w14:paraId="2C56DB50">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1</w:t>
            </w:r>
          </w:p>
        </w:tc>
        <w:tc>
          <w:tcPr>
            <w:tcW w:w="849" w:type="pct"/>
            <w:vMerge w:val="restart"/>
            <w:vAlign w:val="center"/>
          </w:tcPr>
          <w:p w14:paraId="3EDE34B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关于交货</w:t>
            </w:r>
          </w:p>
        </w:tc>
        <w:tc>
          <w:tcPr>
            <w:tcW w:w="1142" w:type="pct"/>
          </w:tcPr>
          <w:p w14:paraId="6DA8E625">
            <w:pPr>
              <w:keepNext w:val="0"/>
              <w:keepLines w:val="0"/>
              <w:suppressLineNumbers w:val="0"/>
              <w:spacing w:before="0" w:beforeAutospacing="0" w:after="0" w:afterAutospacing="0"/>
              <w:ind w:left="0" w:right="0"/>
              <w:rPr>
                <w:rFonts w:hint="eastAsia" w:ascii="宋体" w:hAnsi="宋体" w:eastAsia="宋体" w:cs="宋体"/>
                <w:bCs/>
                <w:color w:val="auto"/>
                <w:sz w:val="21"/>
                <w:szCs w:val="21"/>
              </w:rPr>
            </w:pPr>
            <w:r>
              <w:rPr>
                <w:rFonts w:hint="eastAsia" w:ascii="宋体" w:hAnsi="宋体" w:eastAsia="宋体" w:cs="宋体"/>
                <w:b/>
                <w:color w:val="auto"/>
                <w:sz w:val="21"/>
                <w:szCs w:val="21"/>
              </w:rPr>
              <w:t>★</w:t>
            </w:r>
            <w:r>
              <w:rPr>
                <w:rFonts w:hint="eastAsia" w:ascii="宋体" w:hAnsi="宋体" w:eastAsia="宋体" w:cs="宋体"/>
                <w:bCs/>
                <w:color w:val="auto"/>
                <w:sz w:val="21"/>
                <w:szCs w:val="21"/>
              </w:rPr>
              <w:t>1.1</w:t>
            </w:r>
            <w:r>
              <w:rPr>
                <w:rFonts w:hint="eastAsia" w:ascii="宋体" w:hAnsi="宋体" w:eastAsia="宋体" w:cs="宋体"/>
                <w:color w:val="auto"/>
                <w:sz w:val="21"/>
                <w:szCs w:val="21"/>
              </w:rPr>
              <w:t xml:space="preserve">签订合同后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highlight w:val="yellow"/>
                <w:u w:val="single"/>
                <w:lang w:val="en-US" w:eastAsia="zh-CN"/>
              </w:rPr>
              <w:t>30</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天（日历日）内交货。</w:t>
            </w:r>
          </w:p>
        </w:tc>
        <w:tc>
          <w:tcPr>
            <w:tcW w:w="1136" w:type="pct"/>
          </w:tcPr>
          <w:p w14:paraId="687D039E">
            <w:pPr>
              <w:keepNext w:val="0"/>
              <w:keepLines w:val="0"/>
              <w:suppressLineNumbers w:val="0"/>
              <w:spacing w:before="0" w:beforeAutospacing="0" w:after="0" w:afterAutospacing="0"/>
              <w:ind w:left="0" w:right="0"/>
              <w:rPr>
                <w:rFonts w:hint="eastAsia" w:ascii="宋体" w:hAnsi="宋体" w:eastAsia="宋体" w:cs="宋体"/>
                <w:b/>
                <w:color w:val="auto"/>
                <w:sz w:val="21"/>
                <w:szCs w:val="21"/>
              </w:rPr>
            </w:pPr>
          </w:p>
        </w:tc>
        <w:tc>
          <w:tcPr>
            <w:tcW w:w="609" w:type="pct"/>
          </w:tcPr>
          <w:p w14:paraId="14A55E6B">
            <w:pPr>
              <w:keepNext w:val="0"/>
              <w:keepLines w:val="0"/>
              <w:suppressLineNumbers w:val="0"/>
              <w:spacing w:before="0" w:beforeAutospacing="0" w:after="0" w:afterAutospacing="0"/>
              <w:ind w:left="0" w:right="0"/>
              <w:rPr>
                <w:rFonts w:hint="eastAsia" w:ascii="宋体" w:hAnsi="宋体" w:eastAsia="宋体" w:cs="宋体"/>
                <w:b/>
                <w:color w:val="auto"/>
                <w:sz w:val="21"/>
                <w:szCs w:val="21"/>
              </w:rPr>
            </w:pPr>
          </w:p>
        </w:tc>
        <w:tc>
          <w:tcPr>
            <w:tcW w:w="613" w:type="pct"/>
          </w:tcPr>
          <w:p w14:paraId="762B58A7">
            <w:pPr>
              <w:keepNext w:val="0"/>
              <w:keepLines w:val="0"/>
              <w:suppressLineNumbers w:val="0"/>
              <w:spacing w:before="0" w:beforeAutospacing="0" w:after="0" w:afterAutospacing="0"/>
              <w:ind w:left="0" w:right="0"/>
              <w:rPr>
                <w:rFonts w:hint="eastAsia" w:ascii="宋体" w:hAnsi="宋体" w:eastAsia="宋体" w:cs="宋体"/>
                <w:b/>
                <w:color w:val="auto"/>
                <w:sz w:val="21"/>
                <w:szCs w:val="21"/>
              </w:rPr>
            </w:pPr>
          </w:p>
        </w:tc>
      </w:tr>
      <w:tr w14:paraId="719F8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48" w:type="pct"/>
            <w:vMerge w:val="continue"/>
            <w:vAlign w:val="center"/>
          </w:tcPr>
          <w:p w14:paraId="1175CC9B">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rPr>
            </w:pPr>
          </w:p>
        </w:tc>
        <w:tc>
          <w:tcPr>
            <w:tcW w:w="849" w:type="pct"/>
            <w:vMerge w:val="continue"/>
            <w:vAlign w:val="center"/>
          </w:tcPr>
          <w:p w14:paraId="069A31B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142" w:type="pct"/>
          </w:tcPr>
          <w:p w14:paraId="752C9E68">
            <w:pPr>
              <w:keepNext w:val="0"/>
              <w:keepLines w:val="0"/>
              <w:suppressLineNumbers w:val="0"/>
              <w:spacing w:before="0" w:beforeAutospacing="0" w:after="0" w:afterAutospacing="0"/>
              <w:ind w:left="0" w:right="0"/>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1.2</w:t>
            </w:r>
            <w:r>
              <w:rPr>
                <w:rFonts w:hint="eastAsia" w:ascii="宋体" w:hAnsi="宋体" w:eastAsia="宋体" w:cs="宋体"/>
                <w:bCs/>
                <w:color w:val="auto"/>
                <w:sz w:val="21"/>
                <w:szCs w:val="21"/>
              </w:rPr>
              <w:t>交货地点：</w:t>
            </w:r>
            <w:r>
              <w:rPr>
                <w:rFonts w:hint="eastAsia" w:ascii="宋体" w:hAnsi="宋体" w:eastAsia="宋体" w:cs="宋体"/>
                <w:color w:val="auto"/>
                <w:sz w:val="21"/>
                <w:szCs w:val="21"/>
              </w:rPr>
              <w:t>中标人</w:t>
            </w:r>
            <w:r>
              <w:rPr>
                <w:rFonts w:hint="eastAsia" w:ascii="宋体" w:hAnsi="宋体" w:eastAsia="宋体" w:cs="宋体"/>
                <w:bCs/>
                <w:color w:val="auto"/>
                <w:sz w:val="21"/>
                <w:szCs w:val="21"/>
                <w:highlight w:val="none"/>
              </w:rPr>
              <w:t>负责将</w:t>
            </w:r>
            <w:r>
              <w:rPr>
                <w:rFonts w:hint="eastAsia" w:ascii="宋体" w:hAnsi="宋体" w:eastAsia="宋体" w:cs="宋体"/>
                <w:color w:val="auto"/>
                <w:sz w:val="21"/>
                <w:szCs w:val="21"/>
                <w:highlight w:val="none"/>
              </w:rPr>
              <w:t>货物</w:t>
            </w:r>
            <w:r>
              <w:rPr>
                <w:rFonts w:hint="eastAsia" w:ascii="宋体" w:hAnsi="宋体" w:eastAsia="宋体" w:cs="宋体"/>
                <w:bCs/>
                <w:color w:val="auto"/>
                <w:sz w:val="21"/>
                <w:szCs w:val="21"/>
                <w:highlight w:val="none"/>
              </w:rPr>
              <w:t>安全无损运抵采购人指定地点,并承担设备的包装、运输、保险、装卸、安装调试、培训及计量检测、增值税等费用</w:t>
            </w:r>
            <w:r>
              <w:rPr>
                <w:rFonts w:hint="eastAsia" w:ascii="宋体" w:hAnsi="宋体" w:eastAsia="宋体" w:cs="宋体"/>
                <w:color w:val="auto"/>
                <w:sz w:val="21"/>
                <w:szCs w:val="21"/>
                <w:highlight w:val="none"/>
              </w:rPr>
              <w:t>。</w:t>
            </w:r>
          </w:p>
        </w:tc>
        <w:tc>
          <w:tcPr>
            <w:tcW w:w="1136" w:type="pct"/>
          </w:tcPr>
          <w:p w14:paraId="502BE16D">
            <w:pPr>
              <w:keepNext w:val="0"/>
              <w:keepLines w:val="0"/>
              <w:suppressLineNumbers w:val="0"/>
              <w:spacing w:before="0" w:beforeAutospacing="0" w:after="0" w:afterAutospacing="0"/>
              <w:ind w:left="0" w:right="0"/>
              <w:rPr>
                <w:rFonts w:hint="eastAsia" w:ascii="宋体" w:hAnsi="宋体" w:eastAsia="宋体" w:cs="宋体"/>
                <w:bCs/>
                <w:color w:val="auto"/>
                <w:sz w:val="21"/>
                <w:szCs w:val="21"/>
                <w:lang w:val="en-US" w:eastAsia="zh-CN"/>
              </w:rPr>
            </w:pPr>
          </w:p>
        </w:tc>
        <w:tc>
          <w:tcPr>
            <w:tcW w:w="609" w:type="pct"/>
          </w:tcPr>
          <w:p w14:paraId="24B71580">
            <w:pPr>
              <w:keepNext w:val="0"/>
              <w:keepLines w:val="0"/>
              <w:suppressLineNumbers w:val="0"/>
              <w:spacing w:before="0" w:beforeAutospacing="0" w:after="0" w:afterAutospacing="0"/>
              <w:ind w:left="0" w:right="0"/>
              <w:rPr>
                <w:rFonts w:hint="eastAsia" w:ascii="宋体" w:hAnsi="宋体" w:eastAsia="宋体" w:cs="宋体"/>
                <w:bCs/>
                <w:color w:val="auto"/>
                <w:sz w:val="21"/>
                <w:szCs w:val="21"/>
                <w:lang w:val="en-US" w:eastAsia="zh-CN"/>
              </w:rPr>
            </w:pPr>
          </w:p>
        </w:tc>
        <w:tc>
          <w:tcPr>
            <w:tcW w:w="613" w:type="pct"/>
          </w:tcPr>
          <w:p w14:paraId="62989101">
            <w:pPr>
              <w:keepNext w:val="0"/>
              <w:keepLines w:val="0"/>
              <w:suppressLineNumbers w:val="0"/>
              <w:spacing w:before="0" w:beforeAutospacing="0" w:after="0" w:afterAutospacing="0"/>
              <w:ind w:left="0" w:right="0"/>
              <w:rPr>
                <w:rFonts w:hint="eastAsia" w:ascii="宋体" w:hAnsi="宋体" w:eastAsia="宋体" w:cs="宋体"/>
                <w:bCs/>
                <w:color w:val="auto"/>
                <w:sz w:val="21"/>
                <w:szCs w:val="21"/>
                <w:lang w:val="en-US" w:eastAsia="zh-CN"/>
              </w:rPr>
            </w:pPr>
          </w:p>
        </w:tc>
      </w:tr>
      <w:tr w14:paraId="74954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8" w:type="pct"/>
            <w:vMerge w:val="continue"/>
            <w:vAlign w:val="center"/>
          </w:tcPr>
          <w:p w14:paraId="717C88D3">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rPr>
            </w:pPr>
          </w:p>
        </w:tc>
        <w:tc>
          <w:tcPr>
            <w:tcW w:w="849" w:type="pct"/>
            <w:vMerge w:val="continue"/>
            <w:vAlign w:val="center"/>
          </w:tcPr>
          <w:p w14:paraId="0CE6903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142" w:type="pct"/>
          </w:tcPr>
          <w:p w14:paraId="0BDAE42A">
            <w:pPr>
              <w:keepNext w:val="0"/>
              <w:keepLines w:val="0"/>
              <w:suppressLineNumbers w:val="0"/>
              <w:spacing w:before="0" w:beforeAutospacing="0" w:after="0" w:afterAutospacing="0"/>
              <w:ind w:left="0" w:right="0"/>
              <w:rPr>
                <w:rFonts w:hint="eastAsia" w:ascii="宋体" w:hAnsi="宋体" w:eastAsia="宋体" w:cs="宋体"/>
                <w:bCs/>
                <w:color w:val="auto"/>
                <w:sz w:val="21"/>
                <w:szCs w:val="21"/>
              </w:rPr>
            </w:pPr>
            <w:r>
              <w:rPr>
                <w:rFonts w:hint="eastAsia" w:ascii="宋体" w:hAnsi="宋体" w:eastAsia="宋体" w:cs="宋体"/>
                <w:bCs/>
                <w:color w:val="auto"/>
                <w:sz w:val="21"/>
                <w:szCs w:val="21"/>
              </w:rPr>
              <w:t>1.</w:t>
            </w:r>
            <w:r>
              <w:rPr>
                <w:rFonts w:hint="eastAsia" w:ascii="宋体" w:hAnsi="宋体" w:eastAsia="宋体" w:cs="宋体"/>
                <w:bCs/>
                <w:color w:val="auto"/>
                <w:sz w:val="21"/>
                <w:szCs w:val="21"/>
                <w:lang w:val="en-US" w:eastAsia="zh-CN"/>
              </w:rPr>
              <w:t>3</w:t>
            </w:r>
            <w:r>
              <w:rPr>
                <w:rFonts w:hint="eastAsia" w:ascii="宋体" w:hAnsi="宋体" w:eastAsia="宋体" w:cs="宋体"/>
                <w:color w:val="auto"/>
                <w:sz w:val="21"/>
                <w:szCs w:val="21"/>
              </w:rPr>
              <w:t>中标人</w:t>
            </w:r>
            <w:r>
              <w:rPr>
                <w:rFonts w:hint="eastAsia" w:ascii="宋体" w:hAnsi="宋体" w:eastAsia="宋体" w:cs="宋体"/>
                <w:bCs/>
                <w:color w:val="auto"/>
                <w:sz w:val="21"/>
                <w:szCs w:val="21"/>
                <w:highlight w:val="none"/>
              </w:rPr>
              <w:t>应提供货物的技术文件，包括但不限于设备配置清单、产品说明书、图纸、操作手册等，所有外文资料须提供中文译本。文件应随货物一并交付至采购人指定地点</w:t>
            </w:r>
            <w:r>
              <w:rPr>
                <w:rFonts w:hint="eastAsia" w:ascii="宋体" w:hAnsi="宋体" w:eastAsia="宋体" w:cs="宋体"/>
                <w:color w:val="auto"/>
                <w:sz w:val="21"/>
                <w:szCs w:val="21"/>
                <w:highlight w:val="none"/>
              </w:rPr>
              <w:t>。</w:t>
            </w:r>
          </w:p>
        </w:tc>
        <w:tc>
          <w:tcPr>
            <w:tcW w:w="1136" w:type="pct"/>
          </w:tcPr>
          <w:p w14:paraId="17B25397">
            <w:pPr>
              <w:keepNext w:val="0"/>
              <w:keepLines w:val="0"/>
              <w:suppressLineNumbers w:val="0"/>
              <w:spacing w:before="0" w:beforeAutospacing="0" w:after="0" w:afterAutospacing="0"/>
              <w:ind w:left="0" w:right="0"/>
              <w:rPr>
                <w:rFonts w:hint="eastAsia" w:ascii="宋体" w:hAnsi="宋体" w:eastAsia="宋体" w:cs="宋体"/>
                <w:bCs/>
                <w:color w:val="auto"/>
                <w:sz w:val="21"/>
                <w:szCs w:val="21"/>
              </w:rPr>
            </w:pPr>
          </w:p>
        </w:tc>
        <w:tc>
          <w:tcPr>
            <w:tcW w:w="609" w:type="pct"/>
          </w:tcPr>
          <w:p w14:paraId="40F97334">
            <w:pPr>
              <w:keepNext w:val="0"/>
              <w:keepLines w:val="0"/>
              <w:suppressLineNumbers w:val="0"/>
              <w:spacing w:before="0" w:beforeAutospacing="0" w:after="0" w:afterAutospacing="0"/>
              <w:ind w:left="0" w:right="0"/>
              <w:rPr>
                <w:rFonts w:hint="eastAsia" w:ascii="宋体" w:hAnsi="宋体" w:eastAsia="宋体" w:cs="宋体"/>
                <w:bCs/>
                <w:color w:val="auto"/>
                <w:sz w:val="21"/>
                <w:szCs w:val="21"/>
              </w:rPr>
            </w:pPr>
          </w:p>
        </w:tc>
        <w:tc>
          <w:tcPr>
            <w:tcW w:w="613" w:type="pct"/>
          </w:tcPr>
          <w:p w14:paraId="2CB6E528">
            <w:pPr>
              <w:keepNext w:val="0"/>
              <w:keepLines w:val="0"/>
              <w:suppressLineNumbers w:val="0"/>
              <w:spacing w:before="0" w:beforeAutospacing="0" w:after="0" w:afterAutospacing="0"/>
              <w:ind w:left="0" w:right="0"/>
              <w:rPr>
                <w:rFonts w:hint="eastAsia" w:ascii="宋体" w:hAnsi="宋体" w:eastAsia="宋体" w:cs="宋体"/>
                <w:bCs/>
                <w:color w:val="auto"/>
                <w:sz w:val="21"/>
                <w:szCs w:val="21"/>
              </w:rPr>
            </w:pPr>
          </w:p>
        </w:tc>
      </w:tr>
      <w:tr w14:paraId="3E101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648" w:type="pct"/>
            <w:vMerge w:val="continue"/>
            <w:vAlign w:val="center"/>
          </w:tcPr>
          <w:p w14:paraId="0B2937A6">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rPr>
            </w:pPr>
          </w:p>
        </w:tc>
        <w:tc>
          <w:tcPr>
            <w:tcW w:w="849" w:type="pct"/>
            <w:vMerge w:val="continue"/>
            <w:vAlign w:val="center"/>
          </w:tcPr>
          <w:p w14:paraId="4276FCB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142" w:type="pct"/>
          </w:tcPr>
          <w:p w14:paraId="2A6D1810">
            <w:pPr>
              <w:keepNext w:val="0"/>
              <w:keepLines w:val="0"/>
              <w:suppressLineNumbers w:val="0"/>
              <w:spacing w:before="0" w:beforeAutospacing="0" w:after="0" w:afterAutospacing="0"/>
              <w:ind w:left="0" w:right="0"/>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1.4</w:t>
            </w:r>
            <w:r>
              <w:rPr>
                <w:rFonts w:hint="eastAsia" w:ascii="宋体" w:hAnsi="宋体" w:eastAsia="宋体" w:cs="宋体"/>
                <w:color w:val="auto"/>
                <w:sz w:val="21"/>
                <w:szCs w:val="21"/>
              </w:rPr>
              <w:t>中标人</w:t>
            </w:r>
            <w:r>
              <w:rPr>
                <w:rFonts w:hint="eastAsia" w:ascii="宋体" w:hAnsi="宋体" w:eastAsia="宋体" w:cs="宋体"/>
                <w:bCs/>
                <w:color w:val="auto"/>
                <w:sz w:val="21"/>
                <w:szCs w:val="21"/>
              </w:rPr>
              <w:t>提供的货物必须为全新、经检验合格的产品。</w:t>
            </w:r>
            <w:r>
              <w:rPr>
                <w:rFonts w:hint="eastAsia" w:ascii="宋体" w:hAnsi="宋体" w:eastAsia="宋体" w:cs="宋体"/>
                <w:bCs/>
                <w:color w:val="auto"/>
                <w:sz w:val="21"/>
                <w:szCs w:val="21"/>
                <w:highlight w:val="none"/>
              </w:rPr>
              <w:t>产品如需要计量检定的</w:t>
            </w:r>
            <w:r>
              <w:rPr>
                <w:rFonts w:hint="eastAsia" w:ascii="宋体" w:hAnsi="宋体" w:eastAsia="宋体" w:cs="宋体"/>
                <w:bCs/>
                <w:color w:val="auto"/>
                <w:sz w:val="21"/>
                <w:szCs w:val="21"/>
                <w:highlight w:val="none"/>
                <w:lang w:val="en-US" w:eastAsia="zh-CN"/>
              </w:rPr>
              <w:t>中标后</w:t>
            </w:r>
            <w:r>
              <w:rPr>
                <w:rFonts w:hint="eastAsia" w:ascii="宋体" w:hAnsi="宋体" w:eastAsia="宋体" w:cs="宋体"/>
                <w:bCs/>
                <w:color w:val="auto"/>
                <w:sz w:val="21"/>
                <w:szCs w:val="21"/>
                <w:highlight w:val="none"/>
              </w:rPr>
              <w:t>应</w:t>
            </w:r>
            <w:r>
              <w:rPr>
                <w:rFonts w:hint="eastAsia" w:ascii="宋体" w:hAnsi="宋体" w:eastAsia="宋体" w:cs="宋体"/>
                <w:color w:val="auto"/>
                <w:sz w:val="21"/>
                <w:szCs w:val="21"/>
                <w:highlight w:val="none"/>
              </w:rPr>
              <w:t>提供</w:t>
            </w:r>
            <w:r>
              <w:rPr>
                <w:rFonts w:hint="eastAsia" w:ascii="宋体" w:hAnsi="宋体" w:eastAsia="宋体" w:cs="宋体"/>
                <w:bCs/>
                <w:color w:val="auto"/>
                <w:sz w:val="21"/>
                <w:szCs w:val="21"/>
                <w:highlight w:val="none"/>
              </w:rPr>
              <w:t>相关计量检定部门出具的合法检定报告。</w:t>
            </w:r>
          </w:p>
        </w:tc>
        <w:tc>
          <w:tcPr>
            <w:tcW w:w="1136" w:type="pct"/>
          </w:tcPr>
          <w:p w14:paraId="38147B2B">
            <w:pPr>
              <w:keepNext w:val="0"/>
              <w:keepLines w:val="0"/>
              <w:suppressLineNumbers w:val="0"/>
              <w:spacing w:before="0" w:beforeAutospacing="0" w:after="0" w:afterAutospacing="0"/>
              <w:ind w:left="0" w:right="0"/>
              <w:rPr>
                <w:rFonts w:hint="eastAsia" w:ascii="宋体" w:hAnsi="宋体" w:eastAsia="宋体" w:cs="宋体"/>
                <w:bCs/>
                <w:color w:val="auto"/>
                <w:sz w:val="21"/>
                <w:szCs w:val="21"/>
                <w:lang w:val="en-US" w:eastAsia="zh-CN"/>
              </w:rPr>
            </w:pPr>
          </w:p>
        </w:tc>
        <w:tc>
          <w:tcPr>
            <w:tcW w:w="609" w:type="pct"/>
          </w:tcPr>
          <w:p w14:paraId="4EA9B167">
            <w:pPr>
              <w:keepNext w:val="0"/>
              <w:keepLines w:val="0"/>
              <w:suppressLineNumbers w:val="0"/>
              <w:spacing w:before="0" w:beforeAutospacing="0" w:after="0" w:afterAutospacing="0"/>
              <w:ind w:left="0" w:right="0"/>
              <w:rPr>
                <w:rFonts w:hint="eastAsia" w:ascii="宋体" w:hAnsi="宋体" w:eastAsia="宋体" w:cs="宋体"/>
                <w:bCs/>
                <w:color w:val="auto"/>
                <w:sz w:val="21"/>
                <w:szCs w:val="21"/>
                <w:lang w:val="en-US" w:eastAsia="zh-CN"/>
              </w:rPr>
            </w:pPr>
          </w:p>
        </w:tc>
        <w:tc>
          <w:tcPr>
            <w:tcW w:w="613" w:type="pct"/>
          </w:tcPr>
          <w:p w14:paraId="233149F2">
            <w:pPr>
              <w:keepNext w:val="0"/>
              <w:keepLines w:val="0"/>
              <w:suppressLineNumbers w:val="0"/>
              <w:spacing w:before="0" w:beforeAutospacing="0" w:after="0" w:afterAutospacing="0"/>
              <w:ind w:left="0" w:right="0"/>
              <w:rPr>
                <w:rFonts w:hint="eastAsia" w:ascii="宋体" w:hAnsi="宋体" w:eastAsia="宋体" w:cs="宋体"/>
                <w:bCs/>
                <w:color w:val="auto"/>
                <w:sz w:val="21"/>
                <w:szCs w:val="21"/>
                <w:lang w:val="en-US" w:eastAsia="zh-CN"/>
              </w:rPr>
            </w:pPr>
          </w:p>
        </w:tc>
      </w:tr>
      <w:tr w14:paraId="31478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648" w:type="pct"/>
            <w:vMerge w:val="continue"/>
            <w:vAlign w:val="center"/>
          </w:tcPr>
          <w:p w14:paraId="4DC5999C">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rPr>
            </w:pPr>
          </w:p>
        </w:tc>
        <w:tc>
          <w:tcPr>
            <w:tcW w:w="849" w:type="pct"/>
            <w:vMerge w:val="continue"/>
            <w:vAlign w:val="center"/>
          </w:tcPr>
          <w:p w14:paraId="477850B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142" w:type="pct"/>
          </w:tcPr>
          <w:p w14:paraId="21BFBDB6">
            <w:pPr>
              <w:keepNext w:val="0"/>
              <w:keepLines w:val="0"/>
              <w:suppressLineNumbers w:val="0"/>
              <w:spacing w:before="0" w:beforeAutospacing="0" w:after="0" w:afterAutospacing="0"/>
              <w:ind w:left="0" w:right="0"/>
              <w:rPr>
                <w:rFonts w:hint="eastAsia" w:ascii="宋体" w:hAnsi="宋体" w:eastAsia="宋体" w:cs="宋体"/>
                <w:color w:val="auto"/>
                <w:sz w:val="21"/>
                <w:szCs w:val="21"/>
                <w:lang w:eastAsia="zh-CN"/>
              </w:rPr>
            </w:pPr>
            <w:r>
              <w:rPr>
                <w:rFonts w:hint="eastAsia" w:ascii="宋体" w:hAnsi="宋体" w:eastAsia="宋体" w:cs="宋体"/>
                <w:bCs/>
                <w:color w:val="auto"/>
                <w:sz w:val="21"/>
                <w:szCs w:val="21"/>
                <w:highlight w:val="none"/>
                <w:lang w:val="en-US" w:eastAsia="zh-CN"/>
              </w:rPr>
              <w:t>1.5</w:t>
            </w:r>
            <w:r>
              <w:rPr>
                <w:rFonts w:hint="eastAsia" w:ascii="宋体" w:hAnsi="宋体" w:eastAsia="宋体" w:cs="宋体"/>
                <w:bCs/>
                <w:color w:val="auto"/>
                <w:sz w:val="21"/>
                <w:szCs w:val="21"/>
                <w:highlight w:val="none"/>
              </w:rPr>
              <w:t>采购人有权检验或测试货物，以确认货物是否符合合同规格的要求。如果发现所交货物与投标文件中所承诺的不符或存在质量、技术缺陷等,采购人可以拒绝接收该货物</w:t>
            </w:r>
            <w:r>
              <w:rPr>
                <w:rFonts w:hint="eastAsia" w:ascii="宋体" w:hAnsi="宋体" w:eastAsia="宋体" w:cs="宋体"/>
                <w:bCs/>
                <w:color w:val="auto"/>
                <w:sz w:val="21"/>
                <w:szCs w:val="21"/>
                <w:highlight w:val="none"/>
                <w:lang w:eastAsia="zh-CN"/>
              </w:rPr>
              <w:t>。</w:t>
            </w:r>
          </w:p>
        </w:tc>
        <w:tc>
          <w:tcPr>
            <w:tcW w:w="1136" w:type="pct"/>
          </w:tcPr>
          <w:p w14:paraId="7EF0C7D0">
            <w:pPr>
              <w:keepNext w:val="0"/>
              <w:keepLines w:val="0"/>
              <w:suppressLineNumbers w:val="0"/>
              <w:spacing w:before="0" w:beforeAutospacing="0" w:after="0" w:afterAutospacing="0"/>
              <w:ind w:left="0" w:right="0"/>
              <w:rPr>
                <w:rFonts w:hint="eastAsia" w:ascii="宋体" w:hAnsi="宋体" w:eastAsia="宋体" w:cs="宋体"/>
                <w:bCs/>
                <w:color w:val="auto"/>
                <w:sz w:val="21"/>
                <w:szCs w:val="21"/>
                <w:highlight w:val="none"/>
                <w:lang w:val="en-US" w:eastAsia="zh-CN"/>
              </w:rPr>
            </w:pPr>
          </w:p>
        </w:tc>
        <w:tc>
          <w:tcPr>
            <w:tcW w:w="609" w:type="pct"/>
          </w:tcPr>
          <w:p w14:paraId="622A4CCB">
            <w:pPr>
              <w:keepNext w:val="0"/>
              <w:keepLines w:val="0"/>
              <w:suppressLineNumbers w:val="0"/>
              <w:spacing w:before="0" w:beforeAutospacing="0" w:after="0" w:afterAutospacing="0"/>
              <w:ind w:left="0" w:right="0"/>
              <w:rPr>
                <w:rFonts w:hint="eastAsia" w:ascii="宋体" w:hAnsi="宋体" w:eastAsia="宋体" w:cs="宋体"/>
                <w:bCs/>
                <w:color w:val="auto"/>
                <w:sz w:val="21"/>
                <w:szCs w:val="21"/>
                <w:highlight w:val="none"/>
                <w:lang w:val="en-US" w:eastAsia="zh-CN"/>
              </w:rPr>
            </w:pPr>
          </w:p>
        </w:tc>
        <w:tc>
          <w:tcPr>
            <w:tcW w:w="613" w:type="pct"/>
          </w:tcPr>
          <w:p w14:paraId="67BB3C52">
            <w:pPr>
              <w:keepNext w:val="0"/>
              <w:keepLines w:val="0"/>
              <w:suppressLineNumbers w:val="0"/>
              <w:spacing w:before="0" w:beforeAutospacing="0" w:after="0" w:afterAutospacing="0"/>
              <w:ind w:left="0" w:right="0"/>
              <w:rPr>
                <w:rFonts w:hint="eastAsia" w:ascii="宋体" w:hAnsi="宋体" w:eastAsia="宋体" w:cs="宋体"/>
                <w:bCs/>
                <w:color w:val="auto"/>
                <w:sz w:val="21"/>
                <w:szCs w:val="21"/>
                <w:highlight w:val="none"/>
                <w:lang w:val="en-US" w:eastAsia="zh-CN"/>
              </w:rPr>
            </w:pPr>
          </w:p>
        </w:tc>
      </w:tr>
      <w:tr w14:paraId="61ADA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48" w:type="pct"/>
            <w:vMerge w:val="continue"/>
            <w:vAlign w:val="center"/>
          </w:tcPr>
          <w:p w14:paraId="7849CCE6">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rPr>
            </w:pPr>
          </w:p>
        </w:tc>
        <w:tc>
          <w:tcPr>
            <w:tcW w:w="849" w:type="pct"/>
            <w:vMerge w:val="continue"/>
            <w:vAlign w:val="center"/>
          </w:tcPr>
          <w:p w14:paraId="50CDC31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142" w:type="pct"/>
          </w:tcPr>
          <w:p w14:paraId="610C5BAF">
            <w:pPr>
              <w:keepNext w:val="0"/>
              <w:keepLines w:val="0"/>
              <w:suppressLineNumbers w:val="0"/>
              <w:spacing w:before="0" w:beforeAutospacing="0" w:after="0" w:afterAutospacing="0"/>
              <w:ind w:left="0" w:right="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rPr>
              <w:t>中标人</w:t>
            </w:r>
            <w:r>
              <w:rPr>
                <w:rFonts w:hint="eastAsia" w:ascii="宋体" w:hAnsi="宋体" w:eastAsia="宋体" w:cs="宋体"/>
                <w:color w:val="auto"/>
                <w:sz w:val="21"/>
                <w:szCs w:val="21"/>
                <w:highlight w:val="none"/>
              </w:rPr>
              <w:t>负责货物的现场安装和调试,提供货物安装、调试和维修所需的专用工具和辅助材料。</w:t>
            </w:r>
            <w:r>
              <w:rPr>
                <w:rFonts w:hint="eastAsia" w:ascii="宋体" w:hAnsi="宋体" w:eastAsia="宋体" w:cs="宋体"/>
                <w:color w:val="auto"/>
                <w:sz w:val="21"/>
                <w:szCs w:val="21"/>
              </w:rPr>
              <w:t>中标人</w:t>
            </w:r>
            <w:r>
              <w:rPr>
                <w:rFonts w:hint="eastAsia" w:ascii="宋体" w:hAnsi="宋体" w:eastAsia="宋体" w:cs="宋体"/>
                <w:color w:val="auto"/>
                <w:sz w:val="21"/>
                <w:szCs w:val="21"/>
                <w:highlight w:val="none"/>
              </w:rPr>
              <w:t>应在货物运至指定地点后</w:t>
            </w:r>
            <w:r>
              <w:rPr>
                <w:rFonts w:hint="eastAsia" w:ascii="宋体" w:hAnsi="宋体" w:eastAsia="宋体" w:cs="宋体"/>
                <w:color w:val="auto"/>
                <w:sz w:val="21"/>
                <w:szCs w:val="21"/>
                <w:highlight w:val="yellow"/>
                <w:u w:val="single"/>
                <w:lang w:val="en-US" w:eastAsia="zh-CN"/>
              </w:rPr>
              <w:t xml:space="preserve"> 5 </w:t>
            </w:r>
            <w:r>
              <w:rPr>
                <w:rFonts w:hint="eastAsia" w:ascii="宋体" w:hAnsi="宋体" w:eastAsia="宋体" w:cs="宋体"/>
                <w:color w:val="auto"/>
                <w:sz w:val="21"/>
                <w:szCs w:val="21"/>
                <w:highlight w:val="none"/>
                <w:lang w:val="en-US" w:eastAsia="zh-CN"/>
              </w:rPr>
              <w:t>天</w:t>
            </w:r>
            <w:r>
              <w:rPr>
                <w:rFonts w:hint="eastAsia" w:ascii="宋体" w:hAnsi="宋体" w:eastAsia="宋体" w:cs="宋体"/>
                <w:color w:val="auto"/>
                <w:sz w:val="21"/>
                <w:szCs w:val="21"/>
                <w:highlight w:val="none"/>
              </w:rPr>
              <w:t>内开始安装调试,并在</w:t>
            </w:r>
            <w:r>
              <w:rPr>
                <w:rFonts w:hint="eastAsia" w:ascii="宋体" w:hAnsi="宋体" w:eastAsia="宋体" w:cs="宋体"/>
                <w:bCs/>
                <w:color w:val="auto"/>
                <w:sz w:val="21"/>
                <w:szCs w:val="21"/>
                <w:highlight w:val="yellow"/>
                <w:u w:val="single"/>
              </w:rPr>
              <w:t xml:space="preserve"> 5 </w:t>
            </w:r>
            <w:r>
              <w:rPr>
                <w:rFonts w:hint="eastAsia" w:ascii="宋体" w:hAnsi="宋体" w:eastAsia="宋体" w:cs="宋体"/>
                <w:color w:val="auto"/>
                <w:sz w:val="21"/>
                <w:szCs w:val="21"/>
                <w:highlight w:val="none"/>
              </w:rPr>
              <w:t>天内安装调试完毕。</w:t>
            </w:r>
          </w:p>
        </w:tc>
        <w:tc>
          <w:tcPr>
            <w:tcW w:w="1136" w:type="pct"/>
          </w:tcPr>
          <w:p w14:paraId="57E8D9A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p>
        </w:tc>
        <w:tc>
          <w:tcPr>
            <w:tcW w:w="609" w:type="pct"/>
          </w:tcPr>
          <w:p w14:paraId="7CA9B55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p>
        </w:tc>
        <w:tc>
          <w:tcPr>
            <w:tcW w:w="613" w:type="pct"/>
          </w:tcPr>
          <w:p w14:paraId="0A406E5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p>
        </w:tc>
      </w:tr>
      <w:tr w14:paraId="4BA26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648" w:type="pct"/>
            <w:vMerge w:val="restart"/>
            <w:vAlign w:val="center"/>
          </w:tcPr>
          <w:p w14:paraId="4DCB5FB9">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2</w:t>
            </w:r>
          </w:p>
        </w:tc>
        <w:tc>
          <w:tcPr>
            <w:tcW w:w="849" w:type="pct"/>
            <w:vMerge w:val="restart"/>
            <w:vAlign w:val="center"/>
          </w:tcPr>
          <w:p w14:paraId="5CE56CD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关于验收</w:t>
            </w:r>
            <w:r>
              <w:rPr>
                <w:rFonts w:hint="eastAsia" w:ascii="宋体" w:hAnsi="宋体" w:eastAsia="宋体" w:cs="宋体"/>
                <w:b/>
                <w:color w:val="auto"/>
                <w:sz w:val="21"/>
                <w:szCs w:val="21"/>
              </w:rPr>
              <w:t>★</w:t>
            </w:r>
          </w:p>
        </w:tc>
        <w:tc>
          <w:tcPr>
            <w:tcW w:w="1142" w:type="pct"/>
          </w:tcPr>
          <w:p w14:paraId="621AF551">
            <w:pPr>
              <w:keepNext w:val="0"/>
              <w:keepLines w:val="0"/>
              <w:suppressLineNumbers w:val="0"/>
              <w:spacing w:before="0" w:beforeAutospacing="0" w:after="0" w:afterAutospacing="0" w:line="340" w:lineRule="exact"/>
              <w:ind w:left="0" w:right="0"/>
              <w:rPr>
                <w:rFonts w:hint="eastAsia" w:ascii="宋体" w:hAnsi="宋体" w:eastAsia="宋体" w:cs="宋体"/>
                <w:bCs/>
                <w:color w:val="auto"/>
                <w:sz w:val="21"/>
                <w:szCs w:val="21"/>
              </w:rPr>
            </w:pPr>
            <w:r>
              <w:rPr>
                <w:rFonts w:hint="eastAsia" w:ascii="宋体" w:hAnsi="宋体" w:eastAsia="宋体" w:cs="宋体"/>
                <w:bCs/>
                <w:color w:val="auto"/>
                <w:sz w:val="21"/>
                <w:szCs w:val="21"/>
              </w:rPr>
              <w:t>2.1</w:t>
            </w:r>
            <w:r>
              <w:rPr>
                <w:rFonts w:hint="eastAsia" w:ascii="宋体" w:hAnsi="宋体" w:eastAsia="宋体" w:cs="宋体"/>
                <w:color w:val="auto"/>
                <w:sz w:val="21"/>
                <w:szCs w:val="21"/>
              </w:rPr>
              <w:t>中标人</w:t>
            </w:r>
            <w:r>
              <w:rPr>
                <w:rFonts w:hint="eastAsia" w:ascii="宋体" w:hAnsi="宋体" w:eastAsia="宋体" w:cs="宋体"/>
                <w:bCs/>
                <w:color w:val="auto"/>
                <w:sz w:val="21"/>
                <w:szCs w:val="21"/>
              </w:rPr>
              <w:t>货物经过双方检验认可后，签署验收报告，产品保修期自验收合格之日起算，由投标人提供产品保修文件。</w:t>
            </w:r>
          </w:p>
        </w:tc>
        <w:tc>
          <w:tcPr>
            <w:tcW w:w="1136" w:type="pct"/>
          </w:tcPr>
          <w:p w14:paraId="2C71341F">
            <w:pPr>
              <w:keepNext w:val="0"/>
              <w:keepLines w:val="0"/>
              <w:suppressLineNumbers w:val="0"/>
              <w:spacing w:before="0" w:beforeAutospacing="0" w:after="0" w:afterAutospacing="0" w:line="340" w:lineRule="exact"/>
              <w:ind w:left="0" w:right="0"/>
              <w:rPr>
                <w:rFonts w:hint="eastAsia" w:ascii="宋体" w:hAnsi="宋体" w:eastAsia="宋体" w:cs="宋体"/>
                <w:bCs/>
                <w:color w:val="auto"/>
                <w:sz w:val="21"/>
                <w:szCs w:val="21"/>
              </w:rPr>
            </w:pPr>
          </w:p>
        </w:tc>
        <w:tc>
          <w:tcPr>
            <w:tcW w:w="609" w:type="pct"/>
          </w:tcPr>
          <w:p w14:paraId="6246A5F3">
            <w:pPr>
              <w:keepNext w:val="0"/>
              <w:keepLines w:val="0"/>
              <w:suppressLineNumbers w:val="0"/>
              <w:spacing w:before="0" w:beforeAutospacing="0" w:after="0" w:afterAutospacing="0" w:line="340" w:lineRule="exact"/>
              <w:ind w:left="0" w:right="0"/>
              <w:rPr>
                <w:rFonts w:hint="eastAsia" w:ascii="宋体" w:hAnsi="宋体" w:eastAsia="宋体" w:cs="宋体"/>
                <w:bCs/>
                <w:color w:val="auto"/>
                <w:sz w:val="21"/>
                <w:szCs w:val="21"/>
              </w:rPr>
            </w:pPr>
          </w:p>
        </w:tc>
        <w:tc>
          <w:tcPr>
            <w:tcW w:w="613" w:type="pct"/>
          </w:tcPr>
          <w:p w14:paraId="30CDA06A">
            <w:pPr>
              <w:keepNext w:val="0"/>
              <w:keepLines w:val="0"/>
              <w:suppressLineNumbers w:val="0"/>
              <w:spacing w:before="0" w:beforeAutospacing="0" w:after="0" w:afterAutospacing="0" w:line="340" w:lineRule="exact"/>
              <w:ind w:left="0" w:right="0"/>
              <w:rPr>
                <w:rFonts w:hint="eastAsia" w:ascii="宋体" w:hAnsi="宋体" w:eastAsia="宋体" w:cs="宋体"/>
                <w:bCs/>
                <w:color w:val="auto"/>
                <w:sz w:val="21"/>
                <w:szCs w:val="21"/>
              </w:rPr>
            </w:pPr>
          </w:p>
        </w:tc>
      </w:tr>
      <w:tr w14:paraId="28B4C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648" w:type="pct"/>
            <w:vMerge w:val="continue"/>
            <w:vAlign w:val="center"/>
          </w:tcPr>
          <w:p w14:paraId="667E2906">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rPr>
            </w:pPr>
          </w:p>
        </w:tc>
        <w:tc>
          <w:tcPr>
            <w:tcW w:w="849" w:type="pct"/>
            <w:vMerge w:val="continue"/>
            <w:vAlign w:val="center"/>
          </w:tcPr>
          <w:p w14:paraId="2E22D2A5">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rPr>
            </w:pPr>
          </w:p>
        </w:tc>
        <w:tc>
          <w:tcPr>
            <w:tcW w:w="1142" w:type="pct"/>
          </w:tcPr>
          <w:p w14:paraId="2BBA17AC">
            <w:pPr>
              <w:keepNext w:val="0"/>
              <w:keepLines w:val="0"/>
              <w:suppressLineNumbers w:val="0"/>
              <w:spacing w:before="0" w:beforeAutospacing="0" w:after="0" w:afterAutospacing="0" w:line="340" w:lineRule="exact"/>
              <w:ind w:left="0" w:right="0"/>
              <w:rPr>
                <w:rFonts w:hint="eastAsia" w:ascii="宋体" w:hAnsi="宋体" w:eastAsia="宋体" w:cs="宋体"/>
                <w:bCs/>
                <w:color w:val="auto"/>
                <w:sz w:val="21"/>
                <w:szCs w:val="21"/>
              </w:rPr>
            </w:pPr>
            <w:r>
              <w:rPr>
                <w:rFonts w:hint="eastAsia" w:ascii="宋体" w:hAnsi="宋体" w:eastAsia="宋体" w:cs="宋体"/>
                <w:bCs/>
                <w:color w:val="auto"/>
                <w:sz w:val="21"/>
                <w:szCs w:val="21"/>
              </w:rPr>
              <w:t>2.2当满足以下条件时，采购人才向中标人签发货物验收报告：</w:t>
            </w:r>
          </w:p>
          <w:p w14:paraId="053AE6FA">
            <w:pPr>
              <w:keepNext w:val="0"/>
              <w:keepLines w:val="0"/>
              <w:suppressLineNumbers w:val="0"/>
              <w:tabs>
                <w:tab w:val="left" w:pos="1260"/>
              </w:tabs>
              <w:spacing w:before="0" w:beforeAutospacing="0" w:after="0" w:afterAutospacing="0" w:line="340" w:lineRule="exact"/>
              <w:ind w:left="0" w:right="0"/>
              <w:rPr>
                <w:rFonts w:hint="eastAsia" w:ascii="宋体" w:hAnsi="宋体" w:eastAsia="宋体" w:cs="宋体"/>
                <w:bCs/>
                <w:color w:val="auto"/>
                <w:sz w:val="21"/>
                <w:szCs w:val="21"/>
              </w:rPr>
            </w:pPr>
            <w:r>
              <w:rPr>
                <w:rFonts w:hint="eastAsia" w:ascii="宋体" w:hAnsi="宋体" w:eastAsia="宋体" w:cs="宋体"/>
                <w:bCs/>
                <w:color w:val="auto"/>
                <w:sz w:val="21"/>
                <w:szCs w:val="21"/>
              </w:rPr>
              <w:t>a、中标人已按照合同规定提供了全部产品及完整的技术资料。</w:t>
            </w:r>
          </w:p>
          <w:p w14:paraId="5E81A183">
            <w:pPr>
              <w:keepNext w:val="0"/>
              <w:keepLines w:val="0"/>
              <w:suppressLineNumbers w:val="0"/>
              <w:tabs>
                <w:tab w:val="left" w:pos="1260"/>
              </w:tabs>
              <w:spacing w:before="0" w:beforeAutospacing="0" w:after="0" w:afterAutospacing="0" w:line="340" w:lineRule="exact"/>
              <w:ind w:left="0" w:right="0"/>
              <w:rPr>
                <w:rFonts w:hint="eastAsia" w:ascii="宋体" w:hAnsi="宋体" w:eastAsia="宋体" w:cs="宋体"/>
                <w:bCs/>
                <w:color w:val="auto"/>
                <w:sz w:val="21"/>
                <w:szCs w:val="21"/>
              </w:rPr>
            </w:pPr>
            <w:r>
              <w:rPr>
                <w:rFonts w:hint="eastAsia" w:ascii="宋体" w:hAnsi="宋体" w:eastAsia="宋体" w:cs="宋体"/>
                <w:bCs/>
                <w:color w:val="auto"/>
                <w:sz w:val="21"/>
                <w:szCs w:val="21"/>
              </w:rPr>
              <w:t>b、货物符合招标文件技术规格书的要求，性能满足要求。</w:t>
            </w:r>
          </w:p>
        </w:tc>
        <w:tc>
          <w:tcPr>
            <w:tcW w:w="1136" w:type="pct"/>
          </w:tcPr>
          <w:p w14:paraId="4B5D8BE2">
            <w:pPr>
              <w:keepNext w:val="0"/>
              <w:keepLines w:val="0"/>
              <w:suppressLineNumbers w:val="0"/>
              <w:tabs>
                <w:tab w:val="left" w:pos="1260"/>
              </w:tabs>
              <w:spacing w:before="0" w:beforeAutospacing="0" w:after="0" w:afterAutospacing="0" w:line="340" w:lineRule="exact"/>
              <w:ind w:left="0" w:right="0"/>
              <w:rPr>
                <w:rFonts w:hint="eastAsia" w:ascii="宋体" w:hAnsi="宋体" w:eastAsia="宋体" w:cs="宋体"/>
                <w:bCs/>
                <w:color w:val="auto"/>
                <w:sz w:val="21"/>
                <w:szCs w:val="21"/>
              </w:rPr>
            </w:pPr>
          </w:p>
        </w:tc>
        <w:tc>
          <w:tcPr>
            <w:tcW w:w="609" w:type="pct"/>
          </w:tcPr>
          <w:p w14:paraId="09D21A4A">
            <w:pPr>
              <w:keepNext w:val="0"/>
              <w:keepLines w:val="0"/>
              <w:suppressLineNumbers w:val="0"/>
              <w:tabs>
                <w:tab w:val="left" w:pos="1260"/>
              </w:tabs>
              <w:spacing w:before="0" w:beforeAutospacing="0" w:after="0" w:afterAutospacing="0" w:line="340" w:lineRule="exact"/>
              <w:ind w:left="0" w:right="0"/>
              <w:rPr>
                <w:rFonts w:hint="eastAsia" w:ascii="宋体" w:hAnsi="宋体" w:eastAsia="宋体" w:cs="宋体"/>
                <w:bCs/>
                <w:color w:val="auto"/>
                <w:sz w:val="21"/>
                <w:szCs w:val="21"/>
              </w:rPr>
            </w:pPr>
          </w:p>
        </w:tc>
        <w:tc>
          <w:tcPr>
            <w:tcW w:w="613" w:type="pct"/>
          </w:tcPr>
          <w:p w14:paraId="08979741">
            <w:pPr>
              <w:keepNext w:val="0"/>
              <w:keepLines w:val="0"/>
              <w:suppressLineNumbers w:val="0"/>
              <w:tabs>
                <w:tab w:val="left" w:pos="1260"/>
              </w:tabs>
              <w:spacing w:before="0" w:beforeAutospacing="0" w:after="0" w:afterAutospacing="0" w:line="340" w:lineRule="exact"/>
              <w:ind w:left="0" w:right="0"/>
              <w:rPr>
                <w:rFonts w:hint="eastAsia" w:ascii="宋体" w:hAnsi="宋体" w:eastAsia="宋体" w:cs="宋体"/>
                <w:bCs/>
                <w:color w:val="auto"/>
                <w:sz w:val="21"/>
                <w:szCs w:val="21"/>
              </w:rPr>
            </w:pPr>
          </w:p>
        </w:tc>
      </w:tr>
      <w:tr w14:paraId="61754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648" w:type="pct"/>
            <w:vMerge w:val="continue"/>
            <w:vAlign w:val="center"/>
          </w:tcPr>
          <w:p w14:paraId="6CAAF35B">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rPr>
            </w:pPr>
          </w:p>
        </w:tc>
        <w:tc>
          <w:tcPr>
            <w:tcW w:w="849" w:type="pct"/>
            <w:vMerge w:val="continue"/>
            <w:vAlign w:val="center"/>
          </w:tcPr>
          <w:p w14:paraId="140D50BC">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rPr>
            </w:pPr>
          </w:p>
        </w:tc>
        <w:tc>
          <w:tcPr>
            <w:tcW w:w="1142" w:type="pct"/>
          </w:tcPr>
          <w:p w14:paraId="0017F5DD">
            <w:pPr>
              <w:keepNext w:val="0"/>
              <w:keepLines w:val="0"/>
              <w:suppressLineNumbers w:val="0"/>
              <w:spacing w:before="0" w:beforeAutospacing="0" w:after="0" w:afterAutospacing="0"/>
              <w:ind w:left="0" w:right="0"/>
              <w:rPr>
                <w:rFonts w:hint="eastAsia" w:ascii="宋体" w:hAnsi="宋体" w:eastAsia="宋体" w:cs="宋体"/>
                <w:b/>
                <w:color w:val="auto"/>
                <w:sz w:val="21"/>
                <w:szCs w:val="21"/>
              </w:rPr>
            </w:pPr>
            <w:r>
              <w:rPr>
                <w:rFonts w:hint="eastAsia" w:ascii="宋体" w:hAnsi="宋体" w:eastAsia="宋体" w:cs="宋体"/>
                <w:bCs/>
                <w:color w:val="auto"/>
                <w:sz w:val="21"/>
                <w:szCs w:val="21"/>
                <w:highlight w:val="none"/>
              </w:rPr>
              <w:t>2.3</w:t>
            </w:r>
            <w:r>
              <w:rPr>
                <w:rFonts w:hint="eastAsia" w:ascii="宋体" w:hAnsi="宋体" w:eastAsia="宋体" w:cs="宋体"/>
                <w:color w:val="auto"/>
                <w:sz w:val="21"/>
                <w:szCs w:val="21"/>
                <w:highlight w:val="none"/>
              </w:rPr>
              <w:t>由中标人代表和采购人组成验收小组对产品进行验收</w:t>
            </w:r>
            <w:r>
              <w:rPr>
                <w:rFonts w:hint="eastAsia" w:ascii="宋体" w:hAnsi="宋体" w:eastAsia="宋体" w:cs="宋体"/>
                <w:color w:val="auto"/>
                <w:sz w:val="21"/>
                <w:szCs w:val="21"/>
                <w:highlight w:val="none"/>
                <w:lang w:eastAsia="zh-CN"/>
              </w:rPr>
              <w:t>，必要时采购人有权邀请第三方机构及办单位以外专家参与验收，相关验收意见作为验收参考资料</w:t>
            </w:r>
            <w:r>
              <w:rPr>
                <w:rFonts w:hint="eastAsia" w:ascii="宋体" w:hAnsi="宋体" w:eastAsia="宋体" w:cs="宋体"/>
                <w:color w:val="auto"/>
                <w:sz w:val="21"/>
                <w:szCs w:val="21"/>
                <w:highlight w:val="none"/>
              </w:rPr>
              <w:t>。验收标准按照国家规定标准执行。经检验设备正常运作后签署验收报告,产品保修期自验收合格之日起算。</w:t>
            </w:r>
          </w:p>
        </w:tc>
        <w:tc>
          <w:tcPr>
            <w:tcW w:w="1136" w:type="pct"/>
          </w:tcPr>
          <w:p w14:paraId="14BDEFA5">
            <w:pPr>
              <w:keepNext w:val="0"/>
              <w:keepLines w:val="0"/>
              <w:suppressLineNumbers w:val="0"/>
              <w:spacing w:before="0" w:beforeAutospacing="0" w:after="0" w:afterAutospacing="0"/>
              <w:ind w:left="0" w:right="0"/>
              <w:rPr>
                <w:rFonts w:hint="eastAsia" w:ascii="宋体" w:hAnsi="宋体" w:eastAsia="宋体" w:cs="宋体"/>
                <w:bCs/>
                <w:color w:val="auto"/>
                <w:sz w:val="21"/>
                <w:szCs w:val="21"/>
                <w:highlight w:val="none"/>
              </w:rPr>
            </w:pPr>
          </w:p>
        </w:tc>
        <w:tc>
          <w:tcPr>
            <w:tcW w:w="609" w:type="pct"/>
          </w:tcPr>
          <w:p w14:paraId="3E8A8249">
            <w:pPr>
              <w:keepNext w:val="0"/>
              <w:keepLines w:val="0"/>
              <w:suppressLineNumbers w:val="0"/>
              <w:spacing w:before="0" w:beforeAutospacing="0" w:after="0" w:afterAutospacing="0"/>
              <w:ind w:left="0" w:right="0"/>
              <w:rPr>
                <w:rFonts w:hint="eastAsia" w:ascii="宋体" w:hAnsi="宋体" w:eastAsia="宋体" w:cs="宋体"/>
                <w:bCs/>
                <w:color w:val="auto"/>
                <w:sz w:val="21"/>
                <w:szCs w:val="21"/>
                <w:highlight w:val="none"/>
              </w:rPr>
            </w:pPr>
          </w:p>
        </w:tc>
        <w:tc>
          <w:tcPr>
            <w:tcW w:w="613" w:type="pct"/>
          </w:tcPr>
          <w:p w14:paraId="05CC7E83">
            <w:pPr>
              <w:keepNext w:val="0"/>
              <w:keepLines w:val="0"/>
              <w:suppressLineNumbers w:val="0"/>
              <w:spacing w:before="0" w:beforeAutospacing="0" w:after="0" w:afterAutospacing="0"/>
              <w:ind w:left="0" w:right="0"/>
              <w:rPr>
                <w:rFonts w:hint="eastAsia" w:ascii="宋体" w:hAnsi="宋体" w:eastAsia="宋体" w:cs="宋体"/>
                <w:bCs/>
                <w:color w:val="auto"/>
                <w:sz w:val="21"/>
                <w:szCs w:val="21"/>
                <w:highlight w:val="none"/>
              </w:rPr>
            </w:pPr>
          </w:p>
        </w:tc>
      </w:tr>
      <w:tr w14:paraId="75F7F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648" w:type="pct"/>
            <w:vMerge w:val="restart"/>
            <w:vAlign w:val="center"/>
          </w:tcPr>
          <w:p w14:paraId="2B4E7C5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b/>
                <w:color w:val="auto"/>
                <w:sz w:val="21"/>
                <w:szCs w:val="21"/>
              </w:rPr>
              <w:t>3</w:t>
            </w:r>
          </w:p>
        </w:tc>
        <w:tc>
          <w:tcPr>
            <w:tcW w:w="849" w:type="pct"/>
            <w:vMerge w:val="restart"/>
            <w:vAlign w:val="center"/>
          </w:tcPr>
          <w:p w14:paraId="05927AD8">
            <w:pPr>
              <w:pStyle w:val="18"/>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color w:val="auto"/>
                <w:sz w:val="21"/>
                <w:szCs w:val="21"/>
              </w:rPr>
              <w:t>关于违约</w:t>
            </w:r>
            <w:r>
              <w:rPr>
                <w:rFonts w:hint="eastAsia" w:ascii="宋体" w:hAnsi="宋体" w:eastAsia="宋体" w:cs="宋体"/>
                <w:b/>
                <w:color w:val="auto"/>
                <w:sz w:val="21"/>
                <w:szCs w:val="21"/>
              </w:rPr>
              <w:t>★</w:t>
            </w:r>
          </w:p>
          <w:p w14:paraId="2F3BDF8D">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rPr>
            </w:pPr>
          </w:p>
        </w:tc>
        <w:tc>
          <w:tcPr>
            <w:tcW w:w="1142" w:type="pct"/>
          </w:tcPr>
          <w:p w14:paraId="7C11BE48">
            <w:pPr>
              <w:keepNext w:val="0"/>
              <w:keepLines w:val="0"/>
              <w:suppressLineNumbers w:val="0"/>
              <w:spacing w:before="0" w:beforeAutospacing="0" w:after="0" w:afterAutospacing="0"/>
              <w:ind w:left="0" w:right="0"/>
              <w:rPr>
                <w:rFonts w:hint="eastAsia" w:ascii="宋体" w:hAnsi="宋体" w:eastAsia="宋体" w:cs="宋体"/>
                <w:b/>
                <w:color w:val="auto"/>
                <w:sz w:val="21"/>
                <w:szCs w:val="21"/>
              </w:rPr>
            </w:pPr>
            <w:r>
              <w:rPr>
                <w:rFonts w:hint="eastAsia" w:ascii="宋体" w:hAnsi="宋体" w:eastAsia="宋体" w:cs="宋体"/>
                <w:b w:val="0"/>
                <w:bCs/>
                <w:color w:val="auto"/>
                <w:sz w:val="21"/>
                <w:szCs w:val="21"/>
              </w:rPr>
              <w:t>3.1中标</w:t>
            </w:r>
            <w:r>
              <w:rPr>
                <w:rFonts w:hint="eastAsia" w:ascii="宋体" w:hAnsi="宋体" w:eastAsia="宋体" w:cs="宋体"/>
                <w:color w:val="auto"/>
                <w:sz w:val="21"/>
                <w:szCs w:val="21"/>
              </w:rPr>
              <w:t>人</w:t>
            </w:r>
            <w:r>
              <w:rPr>
                <w:rFonts w:hint="eastAsia" w:ascii="宋体" w:hAnsi="宋体" w:eastAsia="宋体" w:cs="宋体"/>
                <w:bCs/>
                <w:color w:val="auto"/>
                <w:sz w:val="21"/>
                <w:szCs w:val="21"/>
                <w:highlight w:val="none"/>
              </w:rPr>
              <w:t>未按照投标文件中承诺的时间交货或提供服务，投标人</w:t>
            </w:r>
            <w:r>
              <w:rPr>
                <w:rFonts w:hint="eastAsia" w:ascii="宋体" w:hAnsi="宋体" w:eastAsia="宋体" w:cs="宋体"/>
                <w:color w:val="auto"/>
                <w:sz w:val="21"/>
                <w:szCs w:val="21"/>
                <w:highlight w:val="none"/>
              </w:rPr>
              <w:t>应承担</w:t>
            </w:r>
            <w:r>
              <w:rPr>
                <w:rFonts w:hint="eastAsia" w:ascii="宋体" w:hAnsi="宋体" w:eastAsia="宋体" w:cs="宋体"/>
                <w:bCs/>
                <w:color w:val="auto"/>
                <w:sz w:val="21"/>
                <w:szCs w:val="21"/>
                <w:highlight w:val="none"/>
              </w:rPr>
              <w:t>延期交货和延期服务的违约责任，并赔偿采购人因此造成的实际经济损失。实际经济损失超出履约保证金额，采购人有权终止合同。</w:t>
            </w:r>
          </w:p>
        </w:tc>
        <w:tc>
          <w:tcPr>
            <w:tcW w:w="1136" w:type="pct"/>
          </w:tcPr>
          <w:p w14:paraId="769CACC8">
            <w:pPr>
              <w:keepNext w:val="0"/>
              <w:keepLines w:val="0"/>
              <w:suppressLineNumbers w:val="0"/>
              <w:spacing w:before="0" w:beforeAutospacing="0" w:after="0" w:afterAutospacing="0"/>
              <w:ind w:left="0" w:right="0"/>
              <w:rPr>
                <w:rFonts w:hint="eastAsia" w:ascii="宋体" w:hAnsi="宋体" w:eastAsia="宋体" w:cs="宋体"/>
                <w:b w:val="0"/>
                <w:bCs/>
                <w:color w:val="auto"/>
                <w:sz w:val="21"/>
                <w:szCs w:val="21"/>
              </w:rPr>
            </w:pPr>
          </w:p>
        </w:tc>
        <w:tc>
          <w:tcPr>
            <w:tcW w:w="609" w:type="pct"/>
          </w:tcPr>
          <w:p w14:paraId="19E90C7E">
            <w:pPr>
              <w:keepNext w:val="0"/>
              <w:keepLines w:val="0"/>
              <w:suppressLineNumbers w:val="0"/>
              <w:spacing w:before="0" w:beforeAutospacing="0" w:after="0" w:afterAutospacing="0"/>
              <w:ind w:left="0" w:right="0"/>
              <w:rPr>
                <w:rFonts w:hint="eastAsia" w:ascii="宋体" w:hAnsi="宋体" w:eastAsia="宋体" w:cs="宋体"/>
                <w:b w:val="0"/>
                <w:bCs/>
                <w:color w:val="auto"/>
                <w:sz w:val="21"/>
                <w:szCs w:val="21"/>
              </w:rPr>
            </w:pPr>
          </w:p>
        </w:tc>
        <w:tc>
          <w:tcPr>
            <w:tcW w:w="613" w:type="pct"/>
          </w:tcPr>
          <w:p w14:paraId="516EF5A9">
            <w:pPr>
              <w:keepNext w:val="0"/>
              <w:keepLines w:val="0"/>
              <w:suppressLineNumbers w:val="0"/>
              <w:spacing w:before="0" w:beforeAutospacing="0" w:after="0" w:afterAutospacing="0"/>
              <w:ind w:left="0" w:right="0"/>
              <w:rPr>
                <w:rFonts w:hint="eastAsia" w:ascii="宋体" w:hAnsi="宋体" w:eastAsia="宋体" w:cs="宋体"/>
                <w:b w:val="0"/>
                <w:bCs/>
                <w:color w:val="auto"/>
                <w:sz w:val="21"/>
                <w:szCs w:val="21"/>
              </w:rPr>
            </w:pPr>
          </w:p>
        </w:tc>
      </w:tr>
      <w:tr w14:paraId="493C7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648" w:type="pct"/>
            <w:vMerge w:val="continue"/>
            <w:vAlign w:val="center"/>
          </w:tcPr>
          <w:p w14:paraId="6F59DF2B">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rPr>
            </w:pPr>
          </w:p>
        </w:tc>
        <w:tc>
          <w:tcPr>
            <w:tcW w:w="849" w:type="pct"/>
            <w:vMerge w:val="continue"/>
            <w:vAlign w:val="center"/>
          </w:tcPr>
          <w:p w14:paraId="465A98D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142" w:type="pct"/>
          </w:tcPr>
          <w:p w14:paraId="602AC7C1">
            <w:pPr>
              <w:keepNext w:val="0"/>
              <w:keepLines w:val="0"/>
              <w:suppressLineNumbers w:val="0"/>
              <w:spacing w:before="0" w:beforeAutospacing="0" w:after="0" w:afterAutospacing="0"/>
              <w:ind w:left="0" w:right="0"/>
              <w:rPr>
                <w:rFonts w:hint="eastAsia" w:ascii="宋体" w:hAnsi="宋体" w:eastAsia="宋体" w:cs="宋体"/>
                <w:b/>
                <w:color w:val="auto"/>
                <w:sz w:val="21"/>
                <w:szCs w:val="21"/>
              </w:rPr>
            </w:pPr>
            <w:r>
              <w:rPr>
                <w:rFonts w:hint="eastAsia" w:ascii="宋体" w:hAnsi="宋体" w:eastAsia="宋体" w:cs="宋体"/>
                <w:bCs/>
                <w:color w:val="auto"/>
                <w:sz w:val="21"/>
                <w:szCs w:val="21"/>
                <w:highlight w:val="none"/>
                <w:lang w:val="en-US" w:eastAsia="zh-CN"/>
              </w:rPr>
              <w:t>3.2</w:t>
            </w:r>
            <w:r>
              <w:rPr>
                <w:rFonts w:hint="eastAsia" w:ascii="宋体" w:hAnsi="宋体" w:eastAsia="宋体" w:cs="宋体"/>
                <w:color w:val="auto"/>
                <w:sz w:val="21"/>
                <w:szCs w:val="21"/>
              </w:rPr>
              <w:t>中标人</w:t>
            </w:r>
            <w:r>
              <w:rPr>
                <w:rFonts w:hint="eastAsia" w:ascii="宋体" w:hAnsi="宋体" w:eastAsia="宋体" w:cs="宋体"/>
                <w:bCs/>
                <w:color w:val="auto"/>
                <w:sz w:val="21"/>
                <w:szCs w:val="21"/>
                <w:highlight w:val="none"/>
              </w:rPr>
              <w:t>所交设备的品种、型号、规格、质量、功能、技术参数等方面不能实质性满足招标文件</w:t>
            </w:r>
            <w:r>
              <w:rPr>
                <w:rFonts w:hint="eastAsia" w:ascii="宋体" w:hAnsi="宋体" w:eastAsia="宋体" w:cs="宋体"/>
                <w:bCs/>
                <w:color w:val="auto"/>
                <w:sz w:val="21"/>
                <w:szCs w:val="21"/>
                <w:highlight w:val="none"/>
                <w:lang w:eastAsia="zh-CN"/>
              </w:rPr>
              <w:t>要求</w:t>
            </w:r>
            <w:r>
              <w:rPr>
                <w:rFonts w:hint="eastAsia" w:ascii="宋体" w:hAnsi="宋体" w:eastAsia="宋体" w:cs="宋体"/>
                <w:bCs/>
                <w:color w:val="auto"/>
                <w:sz w:val="21"/>
                <w:szCs w:val="21"/>
                <w:highlight w:val="none"/>
              </w:rPr>
              <w:t>的，采购人有权拒绝收货，</w:t>
            </w:r>
            <w:r>
              <w:rPr>
                <w:rFonts w:hint="eastAsia" w:ascii="宋体" w:hAnsi="宋体" w:eastAsia="宋体" w:cs="宋体"/>
                <w:color w:val="auto"/>
                <w:sz w:val="21"/>
                <w:szCs w:val="21"/>
              </w:rPr>
              <w:t>中标人</w:t>
            </w:r>
            <w:r>
              <w:rPr>
                <w:rFonts w:hint="eastAsia" w:ascii="宋体" w:hAnsi="宋体" w:eastAsia="宋体" w:cs="宋体"/>
                <w:bCs/>
                <w:color w:val="auto"/>
                <w:sz w:val="21"/>
                <w:szCs w:val="21"/>
                <w:highlight w:val="none"/>
              </w:rPr>
              <w:t>向采购人偿付项目采购金额千分之</w:t>
            </w:r>
            <w:r>
              <w:rPr>
                <w:rFonts w:hint="eastAsia" w:ascii="宋体" w:hAnsi="宋体" w:eastAsia="宋体" w:cs="宋体"/>
                <w:bCs/>
                <w:color w:val="auto"/>
                <w:sz w:val="21"/>
                <w:szCs w:val="21"/>
                <w:highlight w:val="none"/>
                <w:u w:val="single"/>
              </w:rPr>
              <w:t xml:space="preserve"> 10 </w:t>
            </w:r>
            <w:r>
              <w:rPr>
                <w:rFonts w:hint="eastAsia" w:ascii="宋体" w:hAnsi="宋体" w:eastAsia="宋体" w:cs="宋体"/>
                <w:bCs/>
                <w:color w:val="auto"/>
                <w:sz w:val="21"/>
                <w:szCs w:val="21"/>
                <w:highlight w:val="none"/>
              </w:rPr>
              <w:t>的违约金；造成严重后果的，根据《深圳经济特区政府采购条例》第五十七条第（二）款规定，由主管部门对投标人进行处罚。</w:t>
            </w:r>
          </w:p>
        </w:tc>
        <w:tc>
          <w:tcPr>
            <w:tcW w:w="1136" w:type="pct"/>
          </w:tcPr>
          <w:p w14:paraId="50BF1BE3">
            <w:pPr>
              <w:keepNext w:val="0"/>
              <w:keepLines w:val="0"/>
              <w:suppressLineNumbers w:val="0"/>
              <w:spacing w:before="0" w:beforeAutospacing="0" w:after="0" w:afterAutospacing="0"/>
              <w:ind w:left="0" w:right="0"/>
              <w:rPr>
                <w:rFonts w:hint="eastAsia" w:ascii="宋体" w:hAnsi="宋体" w:eastAsia="宋体" w:cs="宋体"/>
                <w:bCs/>
                <w:color w:val="auto"/>
                <w:sz w:val="21"/>
                <w:szCs w:val="21"/>
                <w:highlight w:val="none"/>
                <w:lang w:val="en-US" w:eastAsia="zh-CN"/>
              </w:rPr>
            </w:pPr>
          </w:p>
        </w:tc>
        <w:tc>
          <w:tcPr>
            <w:tcW w:w="609" w:type="pct"/>
          </w:tcPr>
          <w:p w14:paraId="4923EBF0">
            <w:pPr>
              <w:keepNext w:val="0"/>
              <w:keepLines w:val="0"/>
              <w:suppressLineNumbers w:val="0"/>
              <w:spacing w:before="0" w:beforeAutospacing="0" w:after="0" w:afterAutospacing="0"/>
              <w:ind w:left="0" w:right="0"/>
              <w:rPr>
                <w:rFonts w:hint="eastAsia" w:ascii="宋体" w:hAnsi="宋体" w:eastAsia="宋体" w:cs="宋体"/>
                <w:bCs/>
                <w:color w:val="auto"/>
                <w:sz w:val="21"/>
                <w:szCs w:val="21"/>
                <w:highlight w:val="none"/>
                <w:lang w:val="en-US" w:eastAsia="zh-CN"/>
              </w:rPr>
            </w:pPr>
          </w:p>
        </w:tc>
        <w:tc>
          <w:tcPr>
            <w:tcW w:w="613" w:type="pct"/>
          </w:tcPr>
          <w:p w14:paraId="737354A9">
            <w:pPr>
              <w:keepNext w:val="0"/>
              <w:keepLines w:val="0"/>
              <w:suppressLineNumbers w:val="0"/>
              <w:spacing w:before="0" w:beforeAutospacing="0" w:after="0" w:afterAutospacing="0"/>
              <w:ind w:left="0" w:right="0"/>
              <w:rPr>
                <w:rFonts w:hint="eastAsia" w:ascii="宋体" w:hAnsi="宋体" w:eastAsia="宋体" w:cs="宋体"/>
                <w:bCs/>
                <w:color w:val="auto"/>
                <w:sz w:val="21"/>
                <w:szCs w:val="21"/>
                <w:highlight w:val="none"/>
                <w:lang w:val="en-US" w:eastAsia="zh-CN"/>
              </w:rPr>
            </w:pPr>
          </w:p>
        </w:tc>
      </w:tr>
      <w:tr w14:paraId="7FF1B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648" w:type="pct"/>
            <w:vMerge w:val="continue"/>
            <w:vAlign w:val="center"/>
          </w:tcPr>
          <w:p w14:paraId="5679834A">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rPr>
            </w:pPr>
          </w:p>
        </w:tc>
        <w:tc>
          <w:tcPr>
            <w:tcW w:w="849" w:type="pct"/>
            <w:vMerge w:val="continue"/>
            <w:vAlign w:val="center"/>
          </w:tcPr>
          <w:p w14:paraId="4A78801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142" w:type="pct"/>
          </w:tcPr>
          <w:p w14:paraId="1D756D04">
            <w:pPr>
              <w:keepNext w:val="0"/>
              <w:keepLines w:val="0"/>
              <w:suppressLineNumbers w:val="0"/>
              <w:spacing w:before="0" w:beforeAutospacing="0" w:after="0" w:afterAutospacing="0"/>
              <w:ind w:left="0" w:right="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3.3</w:t>
            </w:r>
            <w:r>
              <w:rPr>
                <w:rFonts w:hint="eastAsia" w:ascii="宋体" w:hAnsi="宋体" w:eastAsia="宋体" w:cs="宋体"/>
                <w:color w:val="auto"/>
                <w:sz w:val="21"/>
                <w:szCs w:val="21"/>
                <w:highlight w:val="none"/>
              </w:rPr>
              <w:t>中标人</w:t>
            </w:r>
            <w:r>
              <w:rPr>
                <w:rFonts w:hint="eastAsia" w:ascii="宋体" w:hAnsi="宋体" w:eastAsia="宋体" w:cs="宋体"/>
                <w:bCs/>
                <w:color w:val="auto"/>
                <w:sz w:val="21"/>
                <w:szCs w:val="21"/>
                <w:highlight w:val="none"/>
              </w:rPr>
              <w:t>不能交付设备的，投标人向采购人偿付项目采购金额百分之</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5</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的违约金；造成严重后果的，根据《深圳经济特区政府采购条例》第五十七条第（二）款规定，由主管部门对投标人进行处罚。</w:t>
            </w:r>
          </w:p>
        </w:tc>
        <w:tc>
          <w:tcPr>
            <w:tcW w:w="1136" w:type="pct"/>
          </w:tcPr>
          <w:p w14:paraId="6DCA28A2">
            <w:pPr>
              <w:keepNext w:val="0"/>
              <w:keepLines w:val="0"/>
              <w:suppressLineNumbers w:val="0"/>
              <w:spacing w:before="0" w:beforeAutospacing="0" w:after="0" w:afterAutospacing="0"/>
              <w:ind w:left="0" w:right="0"/>
              <w:rPr>
                <w:rFonts w:hint="eastAsia" w:ascii="宋体" w:hAnsi="宋体" w:eastAsia="宋体" w:cs="宋体"/>
                <w:bCs/>
                <w:color w:val="auto"/>
                <w:sz w:val="21"/>
                <w:szCs w:val="21"/>
                <w:highlight w:val="none"/>
                <w:lang w:val="en-US" w:eastAsia="zh-CN"/>
              </w:rPr>
            </w:pPr>
          </w:p>
        </w:tc>
        <w:tc>
          <w:tcPr>
            <w:tcW w:w="609" w:type="pct"/>
          </w:tcPr>
          <w:p w14:paraId="2B6277D7">
            <w:pPr>
              <w:keepNext w:val="0"/>
              <w:keepLines w:val="0"/>
              <w:suppressLineNumbers w:val="0"/>
              <w:spacing w:before="0" w:beforeAutospacing="0" w:after="0" w:afterAutospacing="0"/>
              <w:ind w:left="0" w:right="0"/>
              <w:rPr>
                <w:rFonts w:hint="eastAsia" w:ascii="宋体" w:hAnsi="宋体" w:eastAsia="宋体" w:cs="宋体"/>
                <w:bCs/>
                <w:color w:val="auto"/>
                <w:sz w:val="21"/>
                <w:szCs w:val="21"/>
                <w:highlight w:val="none"/>
                <w:lang w:val="en-US" w:eastAsia="zh-CN"/>
              </w:rPr>
            </w:pPr>
          </w:p>
        </w:tc>
        <w:tc>
          <w:tcPr>
            <w:tcW w:w="613" w:type="pct"/>
          </w:tcPr>
          <w:p w14:paraId="59183B3C">
            <w:pPr>
              <w:keepNext w:val="0"/>
              <w:keepLines w:val="0"/>
              <w:suppressLineNumbers w:val="0"/>
              <w:spacing w:before="0" w:beforeAutospacing="0" w:after="0" w:afterAutospacing="0"/>
              <w:ind w:left="0" w:right="0"/>
              <w:rPr>
                <w:rFonts w:hint="eastAsia" w:ascii="宋体" w:hAnsi="宋体" w:eastAsia="宋体" w:cs="宋体"/>
                <w:bCs/>
                <w:color w:val="auto"/>
                <w:sz w:val="21"/>
                <w:szCs w:val="21"/>
                <w:highlight w:val="none"/>
                <w:lang w:val="en-US" w:eastAsia="zh-CN"/>
              </w:rPr>
            </w:pPr>
          </w:p>
        </w:tc>
      </w:tr>
      <w:tr w14:paraId="46424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648" w:type="pct"/>
            <w:vMerge w:val="continue"/>
            <w:vAlign w:val="center"/>
          </w:tcPr>
          <w:p w14:paraId="4D115E00">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rPr>
            </w:pPr>
          </w:p>
        </w:tc>
        <w:tc>
          <w:tcPr>
            <w:tcW w:w="849" w:type="pct"/>
            <w:vMerge w:val="continue"/>
            <w:vAlign w:val="center"/>
          </w:tcPr>
          <w:p w14:paraId="3385868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142" w:type="pct"/>
          </w:tcPr>
          <w:p w14:paraId="1E6B9237">
            <w:pPr>
              <w:keepNext w:val="0"/>
              <w:keepLines w:val="0"/>
              <w:suppressLineNumbers w:val="0"/>
              <w:spacing w:before="0" w:beforeAutospacing="0" w:after="0" w:afterAutospacing="0"/>
              <w:ind w:left="0" w:right="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3.4</w:t>
            </w:r>
            <w:r>
              <w:rPr>
                <w:rFonts w:hint="eastAsia" w:ascii="宋体" w:hAnsi="宋体" w:eastAsia="宋体" w:cs="宋体"/>
                <w:color w:val="auto"/>
                <w:sz w:val="21"/>
                <w:szCs w:val="21"/>
                <w:highlight w:val="none"/>
              </w:rPr>
              <w:t>中标人</w:t>
            </w:r>
            <w:r>
              <w:rPr>
                <w:rFonts w:hint="eastAsia" w:ascii="宋体" w:hAnsi="宋体" w:eastAsia="宋体" w:cs="宋体"/>
                <w:bCs/>
                <w:color w:val="auto"/>
                <w:sz w:val="21"/>
                <w:szCs w:val="21"/>
                <w:highlight w:val="none"/>
              </w:rPr>
              <w:t>逾期未交设备的，</w:t>
            </w:r>
            <w:r>
              <w:rPr>
                <w:rFonts w:hint="eastAsia" w:ascii="宋体" w:hAnsi="宋体" w:eastAsia="宋体" w:cs="宋体"/>
                <w:color w:val="auto"/>
                <w:sz w:val="21"/>
                <w:szCs w:val="21"/>
                <w:highlight w:val="none"/>
              </w:rPr>
              <w:t>中标人</w:t>
            </w:r>
            <w:r>
              <w:rPr>
                <w:rFonts w:hint="eastAsia" w:ascii="宋体" w:hAnsi="宋体" w:eastAsia="宋体" w:cs="宋体"/>
                <w:bCs/>
                <w:color w:val="auto"/>
                <w:sz w:val="21"/>
                <w:szCs w:val="21"/>
                <w:highlight w:val="none"/>
              </w:rPr>
              <w:t>向采购人每日偿付设备款千分之</w:t>
            </w:r>
            <w:r>
              <w:rPr>
                <w:rFonts w:hint="eastAsia" w:ascii="宋体" w:hAnsi="宋体" w:eastAsia="宋体" w:cs="宋体"/>
                <w:bCs/>
                <w:color w:val="auto"/>
                <w:sz w:val="21"/>
                <w:szCs w:val="21"/>
                <w:highlight w:val="none"/>
                <w:u w:val="single"/>
              </w:rPr>
              <w:t xml:space="preserve"> 1</w:t>
            </w:r>
            <w:r>
              <w:rPr>
                <w:rFonts w:hint="eastAsia" w:ascii="宋体" w:hAnsi="宋体" w:eastAsia="宋体" w:cs="宋体"/>
                <w:bCs/>
                <w:color w:val="auto"/>
                <w:sz w:val="21"/>
                <w:szCs w:val="21"/>
                <w:highlight w:val="none"/>
              </w:rPr>
              <w:t>的违约金。中标人超过交货期限</w:t>
            </w:r>
            <w:r>
              <w:rPr>
                <w:rFonts w:hint="eastAsia" w:ascii="宋体" w:hAnsi="宋体" w:eastAsia="宋体" w:cs="宋体"/>
                <w:bCs/>
                <w:color w:val="auto"/>
                <w:sz w:val="21"/>
                <w:szCs w:val="21"/>
                <w:highlight w:val="none"/>
                <w:u w:val="single"/>
              </w:rPr>
              <w:t xml:space="preserve"> 10 </w:t>
            </w:r>
            <w:r>
              <w:rPr>
                <w:rFonts w:hint="eastAsia" w:ascii="宋体" w:hAnsi="宋体" w:eastAsia="宋体" w:cs="宋体"/>
                <w:bCs/>
                <w:color w:val="auto"/>
                <w:sz w:val="21"/>
                <w:szCs w:val="21"/>
                <w:highlight w:val="none"/>
              </w:rPr>
              <w:t>日仍未交货，采购人有权解除合同</w:t>
            </w:r>
          </w:p>
        </w:tc>
        <w:tc>
          <w:tcPr>
            <w:tcW w:w="1136" w:type="pct"/>
          </w:tcPr>
          <w:p w14:paraId="28E342FF">
            <w:pPr>
              <w:keepNext w:val="0"/>
              <w:keepLines w:val="0"/>
              <w:suppressLineNumbers w:val="0"/>
              <w:spacing w:before="0" w:beforeAutospacing="0" w:after="0" w:afterAutospacing="0"/>
              <w:ind w:left="0" w:right="0"/>
              <w:rPr>
                <w:rFonts w:hint="eastAsia" w:ascii="宋体" w:hAnsi="宋体" w:eastAsia="宋体" w:cs="宋体"/>
                <w:bCs/>
                <w:color w:val="auto"/>
                <w:sz w:val="21"/>
                <w:szCs w:val="21"/>
                <w:highlight w:val="none"/>
                <w:lang w:val="en-US" w:eastAsia="zh-CN"/>
              </w:rPr>
            </w:pPr>
          </w:p>
        </w:tc>
        <w:tc>
          <w:tcPr>
            <w:tcW w:w="609" w:type="pct"/>
          </w:tcPr>
          <w:p w14:paraId="5EC72D7F">
            <w:pPr>
              <w:keepNext w:val="0"/>
              <w:keepLines w:val="0"/>
              <w:suppressLineNumbers w:val="0"/>
              <w:spacing w:before="0" w:beforeAutospacing="0" w:after="0" w:afterAutospacing="0"/>
              <w:ind w:left="0" w:right="0"/>
              <w:rPr>
                <w:rFonts w:hint="eastAsia" w:ascii="宋体" w:hAnsi="宋体" w:eastAsia="宋体" w:cs="宋体"/>
                <w:bCs/>
                <w:color w:val="auto"/>
                <w:sz w:val="21"/>
                <w:szCs w:val="21"/>
                <w:highlight w:val="none"/>
                <w:lang w:val="en-US" w:eastAsia="zh-CN"/>
              </w:rPr>
            </w:pPr>
          </w:p>
        </w:tc>
        <w:tc>
          <w:tcPr>
            <w:tcW w:w="613" w:type="pct"/>
          </w:tcPr>
          <w:p w14:paraId="778DEE92">
            <w:pPr>
              <w:keepNext w:val="0"/>
              <w:keepLines w:val="0"/>
              <w:suppressLineNumbers w:val="0"/>
              <w:spacing w:before="0" w:beforeAutospacing="0" w:after="0" w:afterAutospacing="0"/>
              <w:ind w:left="0" w:right="0"/>
              <w:rPr>
                <w:rFonts w:hint="eastAsia" w:ascii="宋体" w:hAnsi="宋体" w:eastAsia="宋体" w:cs="宋体"/>
                <w:bCs/>
                <w:color w:val="auto"/>
                <w:sz w:val="21"/>
                <w:szCs w:val="21"/>
                <w:highlight w:val="none"/>
                <w:lang w:val="en-US" w:eastAsia="zh-CN"/>
              </w:rPr>
            </w:pPr>
          </w:p>
        </w:tc>
      </w:tr>
      <w:tr w14:paraId="10921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648" w:type="pct"/>
            <w:vMerge w:val="continue"/>
            <w:vAlign w:val="center"/>
          </w:tcPr>
          <w:p w14:paraId="48B0806D">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rPr>
            </w:pPr>
          </w:p>
        </w:tc>
        <w:tc>
          <w:tcPr>
            <w:tcW w:w="849" w:type="pct"/>
            <w:vMerge w:val="continue"/>
            <w:vAlign w:val="center"/>
          </w:tcPr>
          <w:p w14:paraId="1243650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142" w:type="pct"/>
          </w:tcPr>
          <w:p w14:paraId="67EDAB77">
            <w:pPr>
              <w:keepNext w:val="0"/>
              <w:keepLines w:val="0"/>
              <w:suppressLineNumbers w:val="0"/>
              <w:spacing w:before="0" w:beforeAutospacing="0" w:after="0" w:afterAutospacing="0"/>
              <w:ind w:left="0" w:right="0"/>
              <w:rPr>
                <w:rFonts w:hint="eastAsia" w:ascii="宋体" w:hAnsi="宋体" w:eastAsia="宋体" w:cs="宋体"/>
                <w:bCs/>
                <w:color w:val="auto"/>
                <w:sz w:val="21"/>
                <w:szCs w:val="21"/>
                <w:highlight w:val="none"/>
              </w:rPr>
            </w:pPr>
            <w:r>
              <w:rPr>
                <w:rFonts w:hint="eastAsia" w:ascii="宋体" w:hAnsi="宋体" w:eastAsia="宋体" w:cs="宋体"/>
                <w:b w:val="0"/>
                <w:bCs/>
                <w:color w:val="auto"/>
                <w:sz w:val="21"/>
                <w:szCs w:val="21"/>
                <w:highlight w:val="none"/>
                <w:lang w:val="en-US" w:eastAsia="zh-CN"/>
              </w:rPr>
              <w:t>3.5</w:t>
            </w:r>
            <w:r>
              <w:rPr>
                <w:rFonts w:hint="eastAsia" w:ascii="宋体" w:hAnsi="宋体" w:eastAsia="宋体" w:cs="宋体"/>
                <w:b w:val="0"/>
                <w:bCs/>
                <w:color w:val="auto"/>
                <w:sz w:val="21"/>
                <w:szCs w:val="21"/>
              </w:rPr>
              <w:t>中标人逾期交货的，将被没收履约保证金并按主管部门相关规定处理</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highlight w:val="none"/>
              </w:rPr>
              <w:t>违约金先从由投标人履约保证金中扣除，若有不足部分则由</w:t>
            </w:r>
            <w:r>
              <w:rPr>
                <w:rFonts w:hint="eastAsia" w:ascii="宋体" w:hAnsi="宋体" w:eastAsia="宋体" w:cs="宋体"/>
                <w:b w:val="0"/>
                <w:bCs/>
                <w:color w:val="auto"/>
                <w:sz w:val="21"/>
                <w:szCs w:val="21"/>
              </w:rPr>
              <w:t>中标人</w:t>
            </w:r>
            <w:r>
              <w:rPr>
                <w:rFonts w:hint="eastAsia" w:ascii="宋体" w:hAnsi="宋体" w:eastAsia="宋体" w:cs="宋体"/>
                <w:b w:val="0"/>
                <w:bCs/>
                <w:color w:val="auto"/>
                <w:sz w:val="21"/>
                <w:szCs w:val="21"/>
                <w:highlight w:val="none"/>
              </w:rPr>
              <w:t>补齐。</w:t>
            </w:r>
          </w:p>
        </w:tc>
        <w:tc>
          <w:tcPr>
            <w:tcW w:w="1136" w:type="pct"/>
          </w:tcPr>
          <w:p w14:paraId="460F196A">
            <w:pPr>
              <w:keepNext w:val="0"/>
              <w:keepLines w:val="0"/>
              <w:suppressLineNumbers w:val="0"/>
              <w:spacing w:before="0" w:beforeAutospacing="0" w:after="0" w:afterAutospacing="0"/>
              <w:ind w:left="0" w:right="0"/>
              <w:rPr>
                <w:rFonts w:hint="eastAsia" w:ascii="宋体" w:hAnsi="宋体" w:eastAsia="宋体" w:cs="宋体"/>
                <w:b w:val="0"/>
                <w:bCs/>
                <w:color w:val="auto"/>
                <w:sz w:val="21"/>
                <w:szCs w:val="21"/>
                <w:highlight w:val="none"/>
                <w:lang w:val="en-US" w:eastAsia="zh-CN"/>
              </w:rPr>
            </w:pPr>
          </w:p>
        </w:tc>
        <w:tc>
          <w:tcPr>
            <w:tcW w:w="609" w:type="pct"/>
          </w:tcPr>
          <w:p w14:paraId="4E35FB70">
            <w:pPr>
              <w:keepNext w:val="0"/>
              <w:keepLines w:val="0"/>
              <w:suppressLineNumbers w:val="0"/>
              <w:spacing w:before="0" w:beforeAutospacing="0" w:after="0" w:afterAutospacing="0"/>
              <w:ind w:left="0" w:right="0"/>
              <w:rPr>
                <w:rFonts w:hint="eastAsia" w:ascii="宋体" w:hAnsi="宋体" w:eastAsia="宋体" w:cs="宋体"/>
                <w:b w:val="0"/>
                <w:bCs/>
                <w:color w:val="auto"/>
                <w:sz w:val="21"/>
                <w:szCs w:val="21"/>
                <w:highlight w:val="none"/>
                <w:lang w:val="en-US" w:eastAsia="zh-CN"/>
              </w:rPr>
            </w:pPr>
          </w:p>
        </w:tc>
        <w:tc>
          <w:tcPr>
            <w:tcW w:w="613" w:type="pct"/>
          </w:tcPr>
          <w:p w14:paraId="118F4380">
            <w:pPr>
              <w:keepNext w:val="0"/>
              <w:keepLines w:val="0"/>
              <w:suppressLineNumbers w:val="0"/>
              <w:spacing w:before="0" w:beforeAutospacing="0" w:after="0" w:afterAutospacing="0"/>
              <w:ind w:left="0" w:right="0"/>
              <w:rPr>
                <w:rFonts w:hint="eastAsia" w:ascii="宋体" w:hAnsi="宋体" w:eastAsia="宋体" w:cs="宋体"/>
                <w:b w:val="0"/>
                <w:bCs/>
                <w:color w:val="auto"/>
                <w:sz w:val="21"/>
                <w:szCs w:val="21"/>
                <w:highlight w:val="none"/>
                <w:lang w:val="en-US" w:eastAsia="zh-CN"/>
              </w:rPr>
            </w:pPr>
          </w:p>
        </w:tc>
      </w:tr>
      <w:tr w14:paraId="3E05F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trPr>
        <w:tc>
          <w:tcPr>
            <w:tcW w:w="648" w:type="pct"/>
            <w:vMerge w:val="continue"/>
            <w:vAlign w:val="center"/>
          </w:tcPr>
          <w:p w14:paraId="2BC4AD1D">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rPr>
            </w:pPr>
          </w:p>
        </w:tc>
        <w:tc>
          <w:tcPr>
            <w:tcW w:w="849" w:type="pct"/>
            <w:vMerge w:val="continue"/>
            <w:vAlign w:val="center"/>
          </w:tcPr>
          <w:p w14:paraId="5A71FCD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142" w:type="pct"/>
          </w:tcPr>
          <w:p w14:paraId="452F711C">
            <w:pPr>
              <w:keepNext w:val="0"/>
              <w:keepLines w:val="0"/>
              <w:suppressLineNumbers w:val="0"/>
              <w:spacing w:before="0" w:beforeAutospacing="0" w:after="0" w:afterAutospacing="0"/>
              <w:ind w:left="0" w:right="0"/>
              <w:rPr>
                <w:rFonts w:hint="eastAsia" w:ascii="宋体" w:hAnsi="宋体" w:eastAsia="宋体" w:cs="宋体"/>
                <w:b/>
                <w:color w:val="auto"/>
                <w:sz w:val="21"/>
                <w:szCs w:val="21"/>
              </w:rPr>
            </w:pPr>
            <w:r>
              <w:rPr>
                <w:rFonts w:hint="eastAsia" w:ascii="宋体" w:hAnsi="宋体" w:eastAsia="宋体" w:cs="宋体"/>
                <w:b w:val="0"/>
                <w:bCs/>
                <w:color w:val="auto"/>
                <w:sz w:val="21"/>
                <w:szCs w:val="21"/>
                <w:highlight w:val="none"/>
              </w:rPr>
              <w:t>3.</w:t>
            </w:r>
            <w:r>
              <w:rPr>
                <w:rFonts w:hint="eastAsia" w:ascii="宋体" w:hAnsi="宋体" w:eastAsia="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rPr>
              <w:t>中标人所交付产品、工程或服务不符合其投标承诺的，或在投标阶段为了中标而盲目虚假承诺、低价恶性竞争，在履约阶段则通过偷工减料、以次充好而获取利润的，将被没收履约保证金，并被履约评价工作实施机构评为履约等级“差”并按主管部门相关规定处理。</w:t>
            </w:r>
          </w:p>
        </w:tc>
        <w:tc>
          <w:tcPr>
            <w:tcW w:w="1136" w:type="pct"/>
          </w:tcPr>
          <w:p w14:paraId="5B7DDCA4">
            <w:pPr>
              <w:keepNext w:val="0"/>
              <w:keepLines w:val="0"/>
              <w:suppressLineNumbers w:val="0"/>
              <w:spacing w:before="0" w:beforeAutospacing="0" w:after="0" w:afterAutospacing="0"/>
              <w:ind w:left="0" w:right="0"/>
              <w:rPr>
                <w:rFonts w:hint="eastAsia" w:ascii="宋体" w:hAnsi="宋体" w:eastAsia="宋体" w:cs="宋体"/>
                <w:b w:val="0"/>
                <w:bCs/>
                <w:color w:val="auto"/>
                <w:sz w:val="21"/>
                <w:szCs w:val="21"/>
                <w:highlight w:val="none"/>
              </w:rPr>
            </w:pPr>
          </w:p>
        </w:tc>
        <w:tc>
          <w:tcPr>
            <w:tcW w:w="609" w:type="pct"/>
          </w:tcPr>
          <w:p w14:paraId="66955C7A">
            <w:pPr>
              <w:keepNext w:val="0"/>
              <w:keepLines w:val="0"/>
              <w:suppressLineNumbers w:val="0"/>
              <w:spacing w:before="0" w:beforeAutospacing="0" w:after="0" w:afterAutospacing="0"/>
              <w:ind w:left="0" w:right="0"/>
              <w:rPr>
                <w:rFonts w:hint="eastAsia" w:ascii="宋体" w:hAnsi="宋体" w:eastAsia="宋体" w:cs="宋体"/>
                <w:b w:val="0"/>
                <w:bCs/>
                <w:color w:val="auto"/>
                <w:sz w:val="21"/>
                <w:szCs w:val="21"/>
                <w:highlight w:val="none"/>
              </w:rPr>
            </w:pPr>
          </w:p>
        </w:tc>
        <w:tc>
          <w:tcPr>
            <w:tcW w:w="613" w:type="pct"/>
          </w:tcPr>
          <w:p w14:paraId="0C06ADFB">
            <w:pPr>
              <w:keepNext w:val="0"/>
              <w:keepLines w:val="0"/>
              <w:suppressLineNumbers w:val="0"/>
              <w:spacing w:before="0" w:beforeAutospacing="0" w:after="0" w:afterAutospacing="0"/>
              <w:ind w:left="0" w:right="0"/>
              <w:rPr>
                <w:rFonts w:hint="eastAsia" w:ascii="宋体" w:hAnsi="宋体" w:eastAsia="宋体" w:cs="宋体"/>
                <w:b w:val="0"/>
                <w:bCs/>
                <w:color w:val="auto"/>
                <w:sz w:val="21"/>
                <w:szCs w:val="21"/>
                <w:highlight w:val="none"/>
              </w:rPr>
            </w:pPr>
          </w:p>
        </w:tc>
      </w:tr>
      <w:tr w14:paraId="4C685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648" w:type="pct"/>
            <w:vAlign w:val="center"/>
          </w:tcPr>
          <w:p w14:paraId="0DF129E2">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4</w:t>
            </w:r>
          </w:p>
        </w:tc>
        <w:tc>
          <w:tcPr>
            <w:tcW w:w="849" w:type="pct"/>
            <w:vAlign w:val="center"/>
          </w:tcPr>
          <w:p w14:paraId="5193C2A2">
            <w:pPr>
              <w:pStyle w:val="18"/>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b/>
                <w:sz w:val="21"/>
                <w:szCs w:val="21"/>
              </w:rPr>
              <w:t>关于付款</w:t>
            </w:r>
            <w:r>
              <w:rPr>
                <w:rFonts w:hint="eastAsia" w:ascii="宋体" w:hAnsi="宋体" w:eastAsia="宋体" w:cs="宋体"/>
                <w:b/>
                <w:color w:val="auto"/>
                <w:sz w:val="21"/>
                <w:szCs w:val="21"/>
              </w:rPr>
              <w:t>★</w:t>
            </w:r>
          </w:p>
          <w:p w14:paraId="1385666B">
            <w:pPr>
              <w:keepNext w:val="0"/>
              <w:keepLines w:val="0"/>
              <w:suppressLineNumbers w:val="0"/>
              <w:spacing w:before="0" w:beforeAutospacing="0" w:after="0" w:afterAutospacing="0"/>
              <w:ind w:left="0" w:right="0"/>
              <w:jc w:val="center"/>
              <w:rPr>
                <w:rFonts w:hint="eastAsia" w:ascii="宋体" w:hAnsi="宋体" w:eastAsia="宋体" w:cs="宋体"/>
                <w:b/>
                <w:sz w:val="21"/>
                <w:szCs w:val="21"/>
              </w:rPr>
            </w:pPr>
          </w:p>
        </w:tc>
        <w:tc>
          <w:tcPr>
            <w:tcW w:w="1142" w:type="pct"/>
          </w:tcPr>
          <w:p w14:paraId="71E4ED08">
            <w:pPr>
              <w:keepNext w:val="0"/>
              <w:keepLines w:val="0"/>
              <w:suppressLineNumbers w:val="0"/>
              <w:spacing w:before="0" w:beforeAutospacing="0" w:after="0" w:afterAutospacing="0"/>
              <w:ind w:left="0" w:right="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4.1</w:t>
            </w:r>
            <w:r>
              <w:rPr>
                <w:rFonts w:hint="eastAsia" w:ascii="宋体" w:hAnsi="宋体" w:eastAsia="宋体" w:cs="宋体"/>
                <w:b w:val="0"/>
                <w:bCs/>
                <w:color w:val="auto"/>
                <w:sz w:val="21"/>
                <w:szCs w:val="21"/>
              </w:rPr>
              <w:t>全部合同货物到达交货地点，并安装调试且验收合格后，</w:t>
            </w:r>
            <w:r>
              <w:rPr>
                <w:rFonts w:hint="eastAsia" w:ascii="宋体" w:hAnsi="宋体" w:eastAsia="宋体" w:cs="宋体"/>
                <w:b w:val="0"/>
                <w:bCs/>
                <w:color w:val="auto"/>
                <w:sz w:val="21"/>
                <w:szCs w:val="21"/>
                <w:lang w:eastAsia="zh-CN"/>
              </w:rPr>
              <w:t>提交验收资料</w:t>
            </w:r>
            <w:r>
              <w:rPr>
                <w:rFonts w:hint="eastAsia" w:ascii="宋体" w:hAnsi="宋体" w:eastAsia="宋体" w:cs="宋体"/>
                <w:b w:val="0"/>
                <w:bCs/>
                <w:color w:val="auto"/>
                <w:sz w:val="21"/>
                <w:szCs w:val="21"/>
              </w:rPr>
              <w:t>，采购人在收到</w:t>
            </w:r>
            <w:r>
              <w:rPr>
                <w:rFonts w:hint="eastAsia" w:ascii="宋体" w:hAnsi="宋体" w:eastAsia="宋体" w:cs="宋体"/>
                <w:b w:val="0"/>
                <w:bCs/>
                <w:color w:val="auto"/>
                <w:sz w:val="21"/>
                <w:szCs w:val="21"/>
                <w:lang w:eastAsia="zh-CN"/>
              </w:rPr>
              <w:t>验收资料和</w:t>
            </w:r>
            <w:r>
              <w:rPr>
                <w:rFonts w:hint="eastAsia" w:ascii="宋体" w:hAnsi="宋体" w:eastAsia="宋体" w:cs="宋体"/>
                <w:b w:val="0"/>
                <w:bCs/>
                <w:color w:val="auto"/>
                <w:sz w:val="21"/>
                <w:szCs w:val="21"/>
              </w:rPr>
              <w:t xml:space="preserve">发票后向中标人支付合同总价的 </w:t>
            </w:r>
            <w:r>
              <w:rPr>
                <w:rFonts w:hint="eastAsia" w:ascii="宋体" w:hAnsi="宋体" w:eastAsia="宋体" w:cs="宋体"/>
                <w:b w:val="0"/>
                <w:bCs/>
                <w:color w:val="auto"/>
                <w:sz w:val="21"/>
                <w:szCs w:val="21"/>
                <w:u w:val="single"/>
              </w:rPr>
              <w:t xml:space="preserve"> </w:t>
            </w:r>
            <w:r>
              <w:rPr>
                <w:rFonts w:hint="eastAsia" w:ascii="宋体" w:hAnsi="宋体" w:eastAsia="宋体" w:cs="宋体"/>
                <w:b w:val="0"/>
                <w:bCs/>
                <w:color w:val="auto"/>
                <w:sz w:val="21"/>
                <w:szCs w:val="21"/>
                <w:u w:val="single"/>
                <w:lang w:val="en-US" w:eastAsia="zh-CN"/>
              </w:rPr>
              <w:t>100</w:t>
            </w:r>
            <w:r>
              <w:rPr>
                <w:rFonts w:hint="eastAsia" w:ascii="宋体" w:hAnsi="宋体" w:eastAsia="宋体" w:cs="宋体"/>
                <w:b w:val="0"/>
                <w:bCs/>
                <w:color w:val="auto"/>
                <w:sz w:val="21"/>
                <w:szCs w:val="21"/>
                <w:u w:val="single"/>
              </w:rPr>
              <w:t xml:space="preserve"> </w:t>
            </w:r>
            <w:r>
              <w:rPr>
                <w:rFonts w:hint="eastAsia" w:ascii="宋体" w:hAnsi="宋体" w:eastAsia="宋体" w:cs="宋体"/>
                <w:b w:val="0"/>
                <w:bCs/>
                <w:color w:val="auto"/>
                <w:sz w:val="21"/>
                <w:szCs w:val="21"/>
              </w:rPr>
              <w:t xml:space="preserve">  %。</w:t>
            </w:r>
          </w:p>
          <w:p w14:paraId="4C3FB2BC">
            <w:pPr>
              <w:keepNext w:val="0"/>
              <w:keepLines w:val="0"/>
              <w:suppressLineNumbers w:val="0"/>
              <w:spacing w:before="0" w:beforeAutospacing="0" w:after="0" w:afterAutospacing="0"/>
              <w:ind w:left="0" w:right="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4.2</w:t>
            </w:r>
            <w:r>
              <w:rPr>
                <w:rFonts w:hint="eastAsia" w:ascii="宋体" w:hAnsi="宋体" w:eastAsia="宋体" w:cs="宋体"/>
                <w:b w:val="0"/>
                <w:bCs/>
                <w:color w:val="auto"/>
                <w:sz w:val="21"/>
                <w:szCs w:val="21"/>
              </w:rPr>
              <w:t>每次</w:t>
            </w:r>
            <w:r>
              <w:rPr>
                <w:rFonts w:hint="eastAsia" w:ascii="宋体" w:hAnsi="宋体" w:eastAsia="宋体" w:cs="宋体"/>
                <w:b w:val="0"/>
                <w:bCs/>
                <w:color w:val="auto"/>
                <w:sz w:val="21"/>
                <w:szCs w:val="21"/>
                <w:lang w:eastAsia="zh-TW"/>
              </w:rPr>
              <w:t>按合同支付款项前，</w:t>
            </w:r>
            <w:r>
              <w:rPr>
                <w:rFonts w:hint="eastAsia" w:ascii="宋体" w:hAnsi="宋体" w:eastAsia="宋体" w:cs="宋体"/>
                <w:b w:val="0"/>
                <w:bCs/>
                <w:color w:val="auto"/>
                <w:sz w:val="21"/>
                <w:szCs w:val="21"/>
              </w:rPr>
              <w:t>中标人应</w:t>
            </w:r>
            <w:r>
              <w:rPr>
                <w:rFonts w:hint="eastAsia" w:ascii="宋体" w:hAnsi="宋体" w:eastAsia="宋体" w:cs="宋体"/>
                <w:b w:val="0"/>
                <w:bCs/>
                <w:color w:val="auto"/>
                <w:sz w:val="21"/>
                <w:szCs w:val="21"/>
                <w:lang w:eastAsia="zh-TW"/>
              </w:rPr>
              <w:t>向采购人提供与支付金额相符的有效发票，且收款方、出具发票方、合同乙方均必须与</w:t>
            </w:r>
            <w:r>
              <w:rPr>
                <w:rFonts w:hint="eastAsia" w:ascii="宋体" w:hAnsi="宋体" w:eastAsia="宋体" w:cs="宋体"/>
                <w:b w:val="0"/>
                <w:bCs/>
                <w:color w:val="auto"/>
                <w:sz w:val="21"/>
                <w:szCs w:val="21"/>
              </w:rPr>
              <w:t>中标人</w:t>
            </w:r>
            <w:r>
              <w:rPr>
                <w:rFonts w:hint="eastAsia" w:ascii="宋体" w:hAnsi="宋体" w:eastAsia="宋体" w:cs="宋体"/>
                <w:b w:val="0"/>
                <w:bCs/>
                <w:color w:val="auto"/>
                <w:sz w:val="21"/>
                <w:szCs w:val="21"/>
                <w:lang w:eastAsia="zh-TW"/>
              </w:rPr>
              <w:t>名称一致；</w:t>
            </w:r>
          </w:p>
          <w:p w14:paraId="739FEA2B">
            <w:pPr>
              <w:keepNext w:val="0"/>
              <w:keepLines w:val="0"/>
              <w:suppressLineNumbers w:val="0"/>
              <w:spacing w:before="0" w:beforeAutospacing="0" w:after="0" w:afterAutospacing="0"/>
              <w:ind w:left="0" w:right="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lang w:val="en-US" w:eastAsia="zh-CN"/>
              </w:rPr>
              <w:t>4.3</w:t>
            </w:r>
            <w:r>
              <w:rPr>
                <w:rFonts w:hint="eastAsia" w:ascii="宋体" w:hAnsi="宋体" w:eastAsia="宋体" w:cs="宋体"/>
                <w:b w:val="0"/>
                <w:bCs/>
                <w:color w:val="auto"/>
                <w:sz w:val="21"/>
                <w:szCs w:val="21"/>
              </w:rPr>
              <w:t>违约责任：</w:t>
            </w:r>
            <w:r>
              <w:rPr>
                <w:rFonts w:hint="eastAsia" w:ascii="宋体" w:hAnsi="宋体" w:eastAsia="宋体" w:cs="宋体"/>
                <w:b w:val="0"/>
                <w:bCs/>
                <w:color w:val="auto"/>
                <w:sz w:val="21"/>
                <w:szCs w:val="21"/>
                <w:lang w:eastAsia="zh-TW"/>
              </w:rPr>
              <w:t>采购人逾期</w:t>
            </w:r>
            <w:r>
              <w:rPr>
                <w:rFonts w:hint="eastAsia" w:ascii="宋体" w:hAnsi="宋体" w:eastAsia="宋体" w:cs="宋体"/>
                <w:b w:val="0"/>
                <w:bCs/>
                <w:color w:val="auto"/>
                <w:sz w:val="21"/>
                <w:szCs w:val="21"/>
              </w:rPr>
              <w:t>支付合同款项</w:t>
            </w:r>
            <w:r>
              <w:rPr>
                <w:rFonts w:hint="eastAsia" w:ascii="宋体" w:hAnsi="宋体" w:eastAsia="宋体" w:cs="宋体"/>
                <w:b w:val="0"/>
                <w:bCs/>
                <w:color w:val="auto"/>
                <w:sz w:val="21"/>
                <w:szCs w:val="21"/>
                <w:lang w:eastAsia="zh-TW"/>
              </w:rPr>
              <w:t>的，除应当</w:t>
            </w:r>
            <w:r>
              <w:rPr>
                <w:rFonts w:hint="eastAsia" w:ascii="宋体" w:hAnsi="宋体" w:eastAsia="宋体" w:cs="宋体"/>
                <w:b w:val="0"/>
                <w:bCs/>
                <w:color w:val="auto"/>
                <w:sz w:val="21"/>
                <w:szCs w:val="21"/>
              </w:rPr>
              <w:t>支付合同款项</w:t>
            </w:r>
            <w:r>
              <w:rPr>
                <w:rFonts w:hint="eastAsia" w:ascii="宋体" w:hAnsi="宋体" w:eastAsia="宋体" w:cs="宋体"/>
                <w:b w:val="0"/>
                <w:bCs/>
                <w:color w:val="auto"/>
                <w:sz w:val="21"/>
                <w:szCs w:val="21"/>
                <w:lang w:eastAsia="zh-TW"/>
              </w:rPr>
              <w:t>外，还应当每日按合同总价的</w:t>
            </w: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sz w:val="21"/>
                <w:szCs w:val="21"/>
                <w:lang w:eastAsia="zh-TW"/>
              </w:rPr>
              <w:t>‰向</w:t>
            </w:r>
            <w:r>
              <w:rPr>
                <w:rFonts w:hint="eastAsia" w:ascii="宋体" w:hAnsi="宋体" w:eastAsia="宋体" w:cs="宋体"/>
                <w:b w:val="0"/>
                <w:bCs/>
                <w:color w:val="auto"/>
                <w:sz w:val="21"/>
                <w:szCs w:val="21"/>
              </w:rPr>
              <w:t>中标人</w:t>
            </w:r>
            <w:r>
              <w:rPr>
                <w:rFonts w:hint="eastAsia" w:ascii="宋体" w:hAnsi="宋体" w:eastAsia="宋体" w:cs="宋体"/>
                <w:b w:val="0"/>
                <w:bCs/>
                <w:color w:val="auto"/>
                <w:sz w:val="21"/>
                <w:szCs w:val="21"/>
                <w:lang w:eastAsia="zh-TW"/>
              </w:rPr>
              <w:t>偿付违约金，但</w:t>
            </w:r>
            <w:r>
              <w:rPr>
                <w:rFonts w:hint="eastAsia" w:ascii="宋体" w:hAnsi="宋体" w:eastAsia="宋体" w:cs="宋体"/>
                <w:b w:val="0"/>
                <w:bCs/>
                <w:color w:val="auto"/>
                <w:sz w:val="21"/>
                <w:szCs w:val="21"/>
                <w:highlight w:val="none"/>
                <w:lang w:eastAsia="zh-TW"/>
              </w:rPr>
              <w:t>因</w:t>
            </w:r>
            <w:r>
              <w:rPr>
                <w:rFonts w:hint="eastAsia" w:ascii="宋体" w:hAnsi="宋体" w:eastAsia="宋体" w:cs="宋体"/>
                <w:b w:val="0"/>
                <w:bCs/>
                <w:color w:val="auto"/>
                <w:sz w:val="21"/>
                <w:szCs w:val="21"/>
                <w:highlight w:val="none"/>
              </w:rPr>
              <w:t>中标人</w:t>
            </w:r>
            <w:r>
              <w:rPr>
                <w:rFonts w:hint="eastAsia" w:ascii="宋体" w:hAnsi="宋体" w:eastAsia="宋体" w:cs="宋体"/>
                <w:b w:val="0"/>
                <w:bCs/>
                <w:color w:val="auto"/>
                <w:sz w:val="21"/>
                <w:szCs w:val="21"/>
                <w:highlight w:val="none"/>
                <w:lang w:eastAsia="zh-TW"/>
              </w:rPr>
              <w:t>自身原因导致无法及时</w:t>
            </w:r>
            <w:r>
              <w:rPr>
                <w:rFonts w:hint="eastAsia" w:ascii="宋体" w:hAnsi="宋体" w:eastAsia="宋体" w:cs="宋体"/>
                <w:b w:val="0"/>
                <w:bCs/>
                <w:color w:val="auto"/>
                <w:sz w:val="21"/>
                <w:szCs w:val="21"/>
                <w:highlight w:val="none"/>
              </w:rPr>
              <w:t>支付</w:t>
            </w:r>
            <w:r>
              <w:rPr>
                <w:rFonts w:hint="eastAsia" w:ascii="宋体" w:hAnsi="宋体" w:eastAsia="宋体" w:cs="宋体"/>
                <w:b w:val="0"/>
                <w:bCs/>
                <w:color w:val="auto"/>
                <w:sz w:val="21"/>
                <w:szCs w:val="21"/>
                <w:highlight w:val="none"/>
                <w:lang w:eastAsia="zh-TW"/>
              </w:rPr>
              <w:t>的除外</w:t>
            </w:r>
            <w:r>
              <w:rPr>
                <w:rFonts w:hint="eastAsia" w:ascii="宋体" w:hAnsi="宋体" w:eastAsia="宋体" w:cs="宋体"/>
                <w:b w:val="0"/>
                <w:bCs/>
                <w:color w:val="auto"/>
                <w:sz w:val="21"/>
                <w:szCs w:val="21"/>
                <w:highlight w:val="none"/>
              </w:rPr>
              <w:t>。</w:t>
            </w:r>
          </w:p>
          <w:p w14:paraId="151A86FA">
            <w:pPr>
              <w:keepNext w:val="0"/>
              <w:keepLines w:val="0"/>
              <w:suppressLineNumbers w:val="0"/>
              <w:spacing w:before="0" w:beforeAutospacing="0" w:after="0" w:afterAutospacing="0"/>
              <w:ind w:left="0" w:right="0"/>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highlight w:val="none"/>
                <w:lang w:val="en-US" w:eastAsia="zh-CN"/>
              </w:rPr>
              <w:t>4.4涉及政府投资项目待资金下达后进行支付。</w:t>
            </w:r>
          </w:p>
        </w:tc>
        <w:tc>
          <w:tcPr>
            <w:tcW w:w="1136" w:type="pct"/>
          </w:tcPr>
          <w:p w14:paraId="63F80FF4">
            <w:pPr>
              <w:keepNext w:val="0"/>
              <w:keepLines w:val="0"/>
              <w:suppressLineNumbers w:val="0"/>
              <w:spacing w:before="0" w:beforeAutospacing="0" w:after="0" w:afterAutospacing="0"/>
              <w:ind w:left="0" w:right="0"/>
              <w:rPr>
                <w:rFonts w:hint="eastAsia" w:ascii="宋体" w:hAnsi="宋体" w:eastAsia="宋体" w:cs="宋体"/>
                <w:b w:val="0"/>
                <w:bCs/>
                <w:color w:val="auto"/>
                <w:sz w:val="21"/>
                <w:szCs w:val="21"/>
                <w:highlight w:val="none"/>
                <w:lang w:val="en-US" w:eastAsia="zh-CN"/>
              </w:rPr>
            </w:pPr>
          </w:p>
        </w:tc>
        <w:tc>
          <w:tcPr>
            <w:tcW w:w="609" w:type="pct"/>
          </w:tcPr>
          <w:p w14:paraId="40AD17F9">
            <w:pPr>
              <w:keepNext w:val="0"/>
              <w:keepLines w:val="0"/>
              <w:suppressLineNumbers w:val="0"/>
              <w:spacing w:before="0" w:beforeAutospacing="0" w:after="0" w:afterAutospacing="0"/>
              <w:ind w:left="0" w:right="0"/>
              <w:rPr>
                <w:rFonts w:hint="eastAsia" w:ascii="宋体" w:hAnsi="宋体" w:eastAsia="宋体" w:cs="宋体"/>
                <w:b w:val="0"/>
                <w:bCs/>
                <w:color w:val="auto"/>
                <w:sz w:val="21"/>
                <w:szCs w:val="21"/>
                <w:highlight w:val="none"/>
                <w:lang w:val="en-US" w:eastAsia="zh-CN"/>
              </w:rPr>
            </w:pPr>
          </w:p>
        </w:tc>
        <w:tc>
          <w:tcPr>
            <w:tcW w:w="613" w:type="pct"/>
          </w:tcPr>
          <w:p w14:paraId="227446E5">
            <w:pPr>
              <w:keepNext w:val="0"/>
              <w:keepLines w:val="0"/>
              <w:suppressLineNumbers w:val="0"/>
              <w:spacing w:before="0" w:beforeAutospacing="0" w:after="0" w:afterAutospacing="0"/>
              <w:ind w:left="0" w:right="0"/>
              <w:rPr>
                <w:rFonts w:hint="eastAsia" w:ascii="宋体" w:hAnsi="宋体" w:eastAsia="宋体" w:cs="宋体"/>
                <w:b w:val="0"/>
                <w:bCs/>
                <w:color w:val="auto"/>
                <w:sz w:val="21"/>
                <w:szCs w:val="21"/>
                <w:highlight w:val="none"/>
                <w:lang w:val="en-US" w:eastAsia="zh-CN"/>
              </w:rPr>
            </w:pPr>
          </w:p>
        </w:tc>
      </w:tr>
      <w:tr w14:paraId="45D63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648" w:type="pct"/>
            <w:vAlign w:val="center"/>
          </w:tcPr>
          <w:p w14:paraId="3CC6E030">
            <w:pPr>
              <w:keepNext w:val="0"/>
              <w:keepLines w:val="0"/>
              <w:suppressLineNumbers w:val="0"/>
              <w:spacing w:before="0" w:beforeAutospacing="0" w:after="0" w:afterAutospacing="0"/>
              <w:ind w:left="0" w:right="0"/>
              <w:jc w:val="center"/>
              <w:rPr>
                <w:rFonts w:hint="eastAsia" w:ascii="宋体" w:hAnsi="宋体" w:eastAsia="宋体" w:cs="宋体"/>
                <w:b/>
                <w:sz w:val="21"/>
                <w:szCs w:val="21"/>
                <w:lang w:val="en-US" w:eastAsia="zh-CN"/>
              </w:rPr>
            </w:pPr>
            <w:r>
              <w:rPr>
                <w:rFonts w:hint="eastAsia" w:ascii="宋体" w:hAnsi="宋体" w:eastAsia="宋体" w:cs="宋体"/>
                <w:b/>
                <w:bCs/>
                <w:color w:val="auto"/>
                <w:sz w:val="21"/>
                <w:szCs w:val="21"/>
              </w:rPr>
              <w:t>★</w:t>
            </w:r>
            <w:r>
              <w:rPr>
                <w:rFonts w:hint="eastAsia" w:ascii="宋体" w:hAnsi="宋体" w:eastAsia="宋体" w:cs="宋体"/>
                <w:b/>
                <w:bCs/>
                <w:color w:val="auto"/>
                <w:sz w:val="21"/>
                <w:szCs w:val="21"/>
                <w:lang w:val="en-US" w:eastAsia="zh-CN"/>
              </w:rPr>
              <w:t>5</w:t>
            </w:r>
          </w:p>
        </w:tc>
        <w:tc>
          <w:tcPr>
            <w:tcW w:w="849" w:type="pct"/>
            <w:vAlign w:val="center"/>
          </w:tcPr>
          <w:p w14:paraId="762BDAA0">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宋体" w:hAnsi="宋体" w:eastAsia="宋体" w:cs="宋体"/>
                <w:b/>
                <w:sz w:val="21"/>
                <w:szCs w:val="21"/>
              </w:rPr>
            </w:pPr>
            <w:r>
              <w:rPr>
                <w:rFonts w:hint="eastAsia" w:ascii="宋体" w:hAnsi="宋体" w:eastAsia="宋体" w:cs="宋体"/>
                <w:b/>
                <w:bCs/>
                <w:color w:val="auto"/>
                <w:sz w:val="21"/>
                <w:szCs w:val="21"/>
              </w:rPr>
              <w:t>知识产权合规承诺</w:t>
            </w:r>
          </w:p>
        </w:tc>
        <w:tc>
          <w:tcPr>
            <w:tcW w:w="1142" w:type="pct"/>
          </w:tcPr>
          <w:p w14:paraId="4C3059CC">
            <w:pPr>
              <w:keepNext w:val="0"/>
              <w:keepLines w:val="0"/>
              <w:suppressLineNumbers w:val="0"/>
              <w:spacing w:before="0" w:beforeAutospacing="0" w:after="0" w:afterAutospacing="0"/>
              <w:ind w:left="0" w:right="0"/>
              <w:rPr>
                <w:rFonts w:hint="eastAsia" w:ascii="宋体" w:hAnsi="宋体" w:eastAsia="宋体" w:cs="宋体"/>
                <w:color w:val="auto"/>
                <w:kern w:val="0"/>
                <w:sz w:val="21"/>
                <w:szCs w:val="21"/>
                <w:lang w:val="en-US"/>
              </w:rPr>
            </w:pPr>
            <w:r>
              <w:rPr>
                <w:rFonts w:hint="eastAsia" w:ascii="宋体" w:hAnsi="宋体" w:eastAsia="宋体" w:cs="宋体"/>
                <w:color w:val="auto"/>
                <w:kern w:val="0"/>
                <w:sz w:val="21"/>
                <w:szCs w:val="21"/>
                <w:lang w:val="en-US" w:eastAsia="zh-CN" w:bidi="ar"/>
              </w:rPr>
              <w:t>6.1</w:t>
            </w:r>
            <w:r>
              <w:rPr>
                <w:rFonts w:hint="eastAsia" w:ascii="宋体" w:hAnsi="宋体" w:eastAsia="宋体" w:cs="宋体"/>
                <w:bCs/>
                <w:color w:val="000000"/>
                <w:sz w:val="21"/>
                <w:szCs w:val="21"/>
                <w:highlight w:val="none"/>
              </w:rPr>
              <w:t>投标人</w:t>
            </w:r>
            <w:r>
              <w:rPr>
                <w:rFonts w:hint="eastAsia" w:ascii="宋体" w:hAnsi="宋体" w:eastAsia="宋体" w:cs="宋体"/>
                <w:color w:val="auto"/>
                <w:kern w:val="0"/>
                <w:sz w:val="21"/>
                <w:szCs w:val="21"/>
                <w:lang w:val="en-US" w:eastAsia="zh-CN" w:bidi="ar"/>
              </w:rPr>
              <w:t>在履行合同的过程中不得侵犯他人知识产权，不得提供虚假知识产权申请材料或者违背知识产权合规性承诺，否则依法追究其违约等责任，并将其失信违法信息依法纳入公共信用信息系统。</w:t>
            </w:r>
          </w:p>
          <w:p w14:paraId="420AB9A6">
            <w:pPr>
              <w:keepNext w:val="0"/>
              <w:keepLines w:val="0"/>
              <w:suppressLineNumbers w:val="0"/>
              <w:spacing w:before="0" w:beforeAutospacing="0" w:after="0" w:afterAutospacing="0"/>
              <w:ind w:left="0" w:right="0"/>
              <w:rPr>
                <w:rFonts w:hint="eastAsia" w:ascii="宋体" w:hAnsi="宋体" w:eastAsia="宋体" w:cs="宋体"/>
                <w:color w:val="auto"/>
                <w:kern w:val="0"/>
                <w:sz w:val="21"/>
                <w:szCs w:val="21"/>
                <w:lang w:val="en-US"/>
              </w:rPr>
            </w:pPr>
            <w:r>
              <w:rPr>
                <w:rFonts w:hint="eastAsia" w:ascii="宋体" w:hAnsi="宋体" w:eastAsia="宋体" w:cs="宋体"/>
                <w:color w:val="auto"/>
                <w:kern w:val="0"/>
                <w:sz w:val="21"/>
                <w:szCs w:val="21"/>
                <w:lang w:val="en-US" w:eastAsia="zh-CN" w:bidi="ar"/>
              </w:rPr>
              <w:t>6.2</w:t>
            </w:r>
            <w:r>
              <w:rPr>
                <w:rFonts w:hint="eastAsia" w:ascii="宋体" w:hAnsi="宋体" w:eastAsia="宋体" w:cs="宋体"/>
                <w:bCs/>
                <w:color w:val="000000"/>
                <w:sz w:val="21"/>
                <w:szCs w:val="21"/>
                <w:highlight w:val="none"/>
              </w:rPr>
              <w:t>投标人</w:t>
            </w:r>
            <w:r>
              <w:rPr>
                <w:rFonts w:hint="eastAsia" w:ascii="宋体" w:hAnsi="宋体" w:eastAsia="宋体" w:cs="宋体"/>
                <w:color w:val="auto"/>
                <w:kern w:val="0"/>
                <w:sz w:val="21"/>
                <w:szCs w:val="21"/>
                <w:lang w:val="en-US" w:eastAsia="zh-CN" w:bidi="ar"/>
              </w:rPr>
              <w:t>应保证采购人在使用该货物或其任何一部分时免受第三方提出侵犯其专利、商标、版权等知识产权或商品名称及其他权利的起诉及索赔。若采购人因此被第三方起诉或以其它方式追究责任，</w:t>
            </w:r>
            <w:r>
              <w:rPr>
                <w:rFonts w:hint="eastAsia" w:ascii="宋体" w:hAnsi="宋体" w:eastAsia="宋体" w:cs="宋体"/>
                <w:bCs/>
                <w:color w:val="000000"/>
                <w:sz w:val="21"/>
                <w:szCs w:val="21"/>
                <w:highlight w:val="none"/>
              </w:rPr>
              <w:t>投标人</w:t>
            </w:r>
            <w:r>
              <w:rPr>
                <w:rFonts w:hint="eastAsia" w:ascii="宋体" w:hAnsi="宋体" w:eastAsia="宋体" w:cs="宋体"/>
                <w:color w:val="auto"/>
                <w:kern w:val="0"/>
                <w:sz w:val="21"/>
                <w:szCs w:val="21"/>
                <w:lang w:val="en-US" w:eastAsia="zh-CN" w:bidi="ar"/>
              </w:rPr>
              <w:t>应赔偿因采购人被第三方索赔所引起的一切损失，包括但不限于采购人所支付的侵权损害赔偿费、律师费、诉讼费、仲裁费、办案差旅费等因应诉、沟通协调所发的一切费用。</w:t>
            </w:r>
          </w:p>
          <w:p w14:paraId="25698ED4">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rPr>
                <w:rFonts w:hint="eastAsia" w:ascii="宋体" w:hAnsi="宋体" w:eastAsia="宋体" w:cs="宋体"/>
                <w:b/>
                <w:sz w:val="21"/>
                <w:szCs w:val="21"/>
              </w:rPr>
            </w:pPr>
            <w:r>
              <w:rPr>
                <w:rFonts w:hint="eastAsia" w:ascii="宋体" w:hAnsi="宋体" w:eastAsia="宋体" w:cs="宋体"/>
                <w:bCs/>
                <w:color w:val="auto"/>
                <w:kern w:val="0"/>
                <w:sz w:val="21"/>
                <w:szCs w:val="21"/>
                <w:lang w:val="en-US" w:eastAsia="zh-CN" w:bidi="ar"/>
              </w:rPr>
              <w:t>6.3</w:t>
            </w:r>
            <w:r>
              <w:rPr>
                <w:rFonts w:hint="eastAsia" w:ascii="宋体" w:hAnsi="宋体" w:eastAsia="宋体" w:cs="宋体"/>
                <w:bCs/>
                <w:color w:val="000000"/>
                <w:sz w:val="21"/>
                <w:szCs w:val="21"/>
                <w:highlight w:val="none"/>
              </w:rPr>
              <w:t>投标人</w:t>
            </w:r>
            <w:r>
              <w:rPr>
                <w:rFonts w:hint="eastAsia" w:ascii="宋体" w:hAnsi="宋体" w:eastAsia="宋体" w:cs="宋体"/>
                <w:bCs/>
                <w:color w:val="auto"/>
                <w:kern w:val="0"/>
                <w:sz w:val="21"/>
                <w:szCs w:val="21"/>
                <w:lang w:val="en-US" w:eastAsia="zh-CN" w:bidi="ar"/>
              </w:rPr>
              <w:t>实施本项目所形成成果的知识产权归采购人所有，未经采购人许可，</w:t>
            </w:r>
            <w:r>
              <w:rPr>
                <w:rFonts w:hint="eastAsia" w:ascii="宋体" w:hAnsi="宋体" w:eastAsia="宋体" w:cs="宋体"/>
                <w:bCs/>
                <w:color w:val="000000"/>
                <w:sz w:val="21"/>
                <w:szCs w:val="21"/>
                <w:highlight w:val="none"/>
              </w:rPr>
              <w:t>投标人</w:t>
            </w:r>
            <w:r>
              <w:rPr>
                <w:rFonts w:hint="eastAsia" w:ascii="宋体" w:hAnsi="宋体" w:eastAsia="宋体" w:cs="宋体"/>
                <w:bCs/>
                <w:color w:val="auto"/>
                <w:kern w:val="0"/>
                <w:sz w:val="21"/>
                <w:szCs w:val="21"/>
                <w:lang w:val="en-US" w:eastAsia="zh-CN" w:bidi="ar"/>
              </w:rPr>
              <w:t>不得随意使用。</w:t>
            </w:r>
          </w:p>
        </w:tc>
        <w:tc>
          <w:tcPr>
            <w:tcW w:w="1136" w:type="pct"/>
          </w:tcPr>
          <w:p w14:paraId="18453E4E">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rPr>
                <w:rFonts w:hint="eastAsia" w:ascii="宋体" w:hAnsi="宋体" w:eastAsia="宋体" w:cs="宋体"/>
                <w:bCs/>
                <w:color w:val="auto"/>
                <w:kern w:val="0"/>
                <w:sz w:val="21"/>
                <w:szCs w:val="21"/>
                <w:lang w:val="en-US" w:eastAsia="zh-CN" w:bidi="ar"/>
              </w:rPr>
            </w:pPr>
          </w:p>
        </w:tc>
        <w:tc>
          <w:tcPr>
            <w:tcW w:w="609" w:type="pct"/>
          </w:tcPr>
          <w:p w14:paraId="46366C8F">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rPr>
                <w:rFonts w:hint="eastAsia" w:ascii="宋体" w:hAnsi="宋体" w:eastAsia="宋体" w:cs="宋体"/>
                <w:bCs/>
                <w:color w:val="auto"/>
                <w:kern w:val="0"/>
                <w:sz w:val="21"/>
                <w:szCs w:val="21"/>
                <w:lang w:val="en-US" w:eastAsia="zh-CN" w:bidi="ar"/>
              </w:rPr>
            </w:pPr>
          </w:p>
        </w:tc>
        <w:tc>
          <w:tcPr>
            <w:tcW w:w="613" w:type="pct"/>
          </w:tcPr>
          <w:p w14:paraId="675738BE">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rPr>
                <w:rFonts w:hint="eastAsia" w:ascii="宋体" w:hAnsi="宋体" w:eastAsia="宋体" w:cs="宋体"/>
                <w:bCs/>
                <w:color w:val="auto"/>
                <w:kern w:val="0"/>
                <w:sz w:val="21"/>
                <w:szCs w:val="21"/>
                <w:lang w:val="en-US" w:eastAsia="zh-CN" w:bidi="ar"/>
              </w:rPr>
            </w:pPr>
          </w:p>
        </w:tc>
      </w:tr>
      <w:tr w14:paraId="422EE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648" w:type="pct"/>
            <w:vAlign w:val="center"/>
          </w:tcPr>
          <w:p w14:paraId="0EAF2712">
            <w:pPr>
              <w:keepNext w:val="0"/>
              <w:keepLines w:val="0"/>
              <w:suppressLineNumbers w:val="0"/>
              <w:spacing w:before="0" w:beforeAutospacing="0" w:after="0" w:afterAutospacing="0"/>
              <w:ind w:left="0" w:right="0"/>
              <w:jc w:val="center"/>
              <w:rPr>
                <w:rFonts w:hint="eastAsia" w:ascii="宋体" w:hAnsi="宋体" w:eastAsia="宋体" w:cs="宋体"/>
                <w:b/>
                <w:bCs w:val="0"/>
                <w:kern w:val="2"/>
                <w:sz w:val="21"/>
                <w:szCs w:val="21"/>
                <w:lang w:val="en-US" w:eastAsia="zh-CN" w:bidi="ar-SA"/>
              </w:rPr>
            </w:pPr>
            <w:r>
              <w:rPr>
                <w:rFonts w:hint="eastAsia" w:ascii="宋体" w:hAnsi="宋体" w:eastAsia="宋体" w:cs="宋体"/>
                <w:b/>
                <w:bCs w:val="0"/>
                <w:sz w:val="21"/>
                <w:szCs w:val="21"/>
                <w:lang w:val="en-US" w:eastAsia="zh-CN"/>
              </w:rPr>
              <w:t>6</w:t>
            </w:r>
          </w:p>
        </w:tc>
        <w:tc>
          <w:tcPr>
            <w:tcW w:w="849" w:type="pct"/>
            <w:vAlign w:val="center"/>
          </w:tcPr>
          <w:p w14:paraId="78D7657C">
            <w:pPr>
              <w:keepNext w:val="0"/>
              <w:keepLines w:val="0"/>
              <w:suppressLineNumbers w:val="0"/>
              <w:spacing w:before="0" w:beforeAutospacing="0" w:after="0" w:afterAutospacing="0"/>
              <w:ind w:left="0" w:right="0"/>
              <w:jc w:val="center"/>
              <w:rPr>
                <w:rFonts w:hint="eastAsia" w:ascii="宋体" w:hAnsi="宋体" w:eastAsia="宋体" w:cs="宋体"/>
                <w:b/>
                <w:bCs w:val="0"/>
                <w:kern w:val="2"/>
                <w:sz w:val="21"/>
                <w:szCs w:val="21"/>
                <w:lang w:val="en-US" w:eastAsia="zh-CN" w:bidi="ar-SA"/>
              </w:rPr>
            </w:pPr>
            <w:r>
              <w:rPr>
                <w:rFonts w:hint="eastAsia" w:ascii="宋体" w:hAnsi="宋体" w:eastAsia="宋体" w:cs="宋体"/>
                <w:b/>
                <w:bCs w:val="0"/>
                <w:kern w:val="2"/>
                <w:sz w:val="21"/>
                <w:szCs w:val="21"/>
                <w:lang w:val="en-US" w:eastAsia="zh-CN" w:bidi="ar-SA"/>
              </w:rPr>
              <w:t>认证资料</w:t>
            </w:r>
          </w:p>
        </w:tc>
        <w:tc>
          <w:tcPr>
            <w:tcW w:w="1142" w:type="pct"/>
            <w:vAlign w:val="center"/>
          </w:tcPr>
          <w:p w14:paraId="2F38377F">
            <w:pPr>
              <w:keepNext w:val="0"/>
              <w:keepLines w:val="0"/>
              <w:suppressLineNumbers w:val="0"/>
              <w:spacing w:before="0" w:beforeAutospacing="0" w:after="0" w:afterAutospacing="0" w:line="360" w:lineRule="auto"/>
              <w:ind w:left="0" w:right="0"/>
              <w:rPr>
                <w:rFonts w:hint="eastAsia" w:ascii="宋体" w:hAnsi="宋体" w:eastAsia="宋体" w:cs="宋体"/>
                <w:b/>
                <w:bCs w:val="0"/>
                <w:color w:val="000000"/>
                <w:kern w:val="2"/>
                <w:sz w:val="21"/>
                <w:szCs w:val="21"/>
                <w:highlight w:val="none"/>
                <w:lang w:val="en-US" w:eastAsia="zh-CN" w:bidi="ar-SA"/>
              </w:rPr>
            </w:pPr>
            <w:r>
              <w:rPr>
                <w:rFonts w:hint="eastAsia" w:ascii="宋体" w:hAnsi="宋体" w:eastAsia="宋体" w:cs="宋体"/>
                <w:b/>
                <w:bCs w:val="0"/>
                <w:color w:val="FF0000"/>
                <w:sz w:val="21"/>
                <w:szCs w:val="21"/>
              </w:rPr>
              <w:t>★</w:t>
            </w:r>
            <w:r>
              <w:rPr>
                <w:rFonts w:hint="eastAsia" w:ascii="宋体" w:hAnsi="宋体" w:cs="宋体"/>
                <w:b/>
                <w:bCs w:val="0"/>
                <w:color w:val="FF0000"/>
                <w:sz w:val="21"/>
                <w:szCs w:val="21"/>
                <w:highlight w:val="none"/>
                <w:lang w:val="en-US" w:eastAsia="zh-CN"/>
              </w:rPr>
              <w:t>6</w:t>
            </w:r>
            <w:r>
              <w:rPr>
                <w:rFonts w:hint="eastAsia" w:ascii="宋体" w:hAnsi="宋体" w:eastAsia="宋体" w:cs="宋体"/>
                <w:b/>
                <w:bCs w:val="0"/>
                <w:color w:val="FF0000"/>
                <w:sz w:val="21"/>
                <w:szCs w:val="21"/>
                <w:highlight w:val="none"/>
              </w:rPr>
              <w:t>.1投标人所投产品具备相关主管部门要求的认证资料：所投产品为第一类医疗器械的，提供监督管理部门签发的有效的《医疗器械备案凭证》扫描件；所投产品为第二、三类医疗器械的，提供监督管理部门签发的涵盖所投产品的《医疗器械注册证》(有效期内)扫描件。</w:t>
            </w:r>
          </w:p>
        </w:tc>
        <w:tc>
          <w:tcPr>
            <w:tcW w:w="1136" w:type="pct"/>
            <w:vAlign w:val="center"/>
          </w:tcPr>
          <w:p w14:paraId="782AA56A">
            <w:pPr>
              <w:keepNext w:val="0"/>
              <w:keepLines w:val="0"/>
              <w:suppressLineNumbers w:val="0"/>
              <w:spacing w:before="0" w:beforeAutospacing="0" w:after="0" w:afterAutospacing="0" w:line="360" w:lineRule="auto"/>
              <w:ind w:left="0" w:right="0"/>
              <w:rPr>
                <w:rFonts w:hint="eastAsia" w:ascii="宋体" w:hAnsi="宋体" w:eastAsia="宋体" w:cs="宋体"/>
                <w:b/>
                <w:bCs w:val="0"/>
                <w:color w:val="FF0000"/>
                <w:sz w:val="21"/>
                <w:szCs w:val="21"/>
              </w:rPr>
            </w:pPr>
          </w:p>
        </w:tc>
        <w:tc>
          <w:tcPr>
            <w:tcW w:w="609" w:type="pct"/>
            <w:vAlign w:val="center"/>
          </w:tcPr>
          <w:p w14:paraId="6EA0E3E9">
            <w:pPr>
              <w:keepNext w:val="0"/>
              <w:keepLines w:val="0"/>
              <w:suppressLineNumbers w:val="0"/>
              <w:spacing w:before="0" w:beforeAutospacing="0" w:after="0" w:afterAutospacing="0" w:line="360" w:lineRule="auto"/>
              <w:ind w:left="0" w:right="0"/>
              <w:rPr>
                <w:rFonts w:hint="eastAsia" w:ascii="宋体" w:hAnsi="宋体" w:eastAsia="宋体" w:cs="宋体"/>
                <w:b/>
                <w:bCs w:val="0"/>
                <w:color w:val="FF0000"/>
                <w:sz w:val="21"/>
                <w:szCs w:val="21"/>
              </w:rPr>
            </w:pPr>
          </w:p>
        </w:tc>
        <w:tc>
          <w:tcPr>
            <w:tcW w:w="613" w:type="pct"/>
            <w:vAlign w:val="center"/>
          </w:tcPr>
          <w:p w14:paraId="3A1EF9F3">
            <w:pPr>
              <w:keepNext w:val="0"/>
              <w:keepLines w:val="0"/>
              <w:suppressLineNumbers w:val="0"/>
              <w:spacing w:before="0" w:beforeAutospacing="0" w:after="0" w:afterAutospacing="0" w:line="360" w:lineRule="auto"/>
              <w:ind w:left="0" w:right="0"/>
              <w:rPr>
                <w:rFonts w:hint="eastAsia" w:ascii="宋体" w:hAnsi="宋体" w:eastAsia="宋体" w:cs="宋体"/>
                <w:b/>
                <w:bCs w:val="0"/>
                <w:color w:val="FF0000"/>
                <w:sz w:val="21"/>
                <w:szCs w:val="21"/>
              </w:rPr>
            </w:pPr>
          </w:p>
        </w:tc>
      </w:tr>
    </w:tbl>
    <w:p w14:paraId="4EEDF12B">
      <w:pPr>
        <w:ind w:firstLine="422" w:firstLineChars="200"/>
        <w:rPr>
          <w:rFonts w:hint="eastAsia"/>
          <w:b w:val="0"/>
          <w:bCs/>
          <w:sz w:val="21"/>
          <w:szCs w:val="21"/>
        </w:rPr>
      </w:pPr>
      <w:r>
        <w:rPr>
          <w:rFonts w:hint="eastAsia" w:ascii="宋体" w:hAnsi="宋体" w:eastAsia="宋体" w:cs="宋体"/>
          <w:b/>
          <w:bCs/>
          <w:color w:val="FF0000"/>
          <w:sz w:val="21"/>
          <w:szCs w:val="21"/>
        </w:rPr>
        <w:t>★投标人提供的仪器设备</w:t>
      </w:r>
      <w:r>
        <w:rPr>
          <w:rFonts w:hint="eastAsia" w:ascii="宋体" w:hAnsi="宋体" w:eastAsia="宋体" w:cs="宋体"/>
          <w:b/>
          <w:bCs/>
          <w:color w:val="FF0000"/>
          <w:sz w:val="21"/>
          <w:szCs w:val="21"/>
          <w:lang w:eastAsia="zh-CN"/>
        </w:rPr>
        <w:t>属于医疗器械的，其</w:t>
      </w:r>
      <w:r>
        <w:rPr>
          <w:rFonts w:hint="eastAsia" w:ascii="宋体" w:hAnsi="宋体" w:eastAsia="宋体" w:cs="宋体"/>
          <w:b/>
          <w:bCs/>
          <w:color w:val="FF0000"/>
          <w:sz w:val="21"/>
          <w:szCs w:val="21"/>
        </w:rPr>
        <w:t>设计使用年限≥</w:t>
      </w:r>
      <w:r>
        <w:rPr>
          <w:rFonts w:hint="eastAsia" w:ascii="宋体" w:hAnsi="宋体" w:eastAsia="宋体" w:cs="宋体"/>
          <w:b/>
          <w:bCs/>
          <w:color w:val="FF0000"/>
          <w:sz w:val="21"/>
          <w:szCs w:val="21"/>
          <w:lang w:val="en-US" w:eastAsia="zh-CN"/>
        </w:rPr>
        <w:t>5</w:t>
      </w:r>
      <w:r>
        <w:rPr>
          <w:rFonts w:hint="eastAsia" w:ascii="宋体" w:hAnsi="宋体" w:eastAsia="宋体" w:cs="宋体"/>
          <w:b/>
          <w:bCs/>
          <w:color w:val="FF0000"/>
          <w:sz w:val="21"/>
          <w:szCs w:val="21"/>
        </w:rPr>
        <w:t>年。【设计年限需提供设备说明书或</w:t>
      </w:r>
      <w:r>
        <w:rPr>
          <w:rFonts w:hint="eastAsia" w:ascii="宋体" w:hAnsi="宋体" w:eastAsia="宋体" w:cs="宋体"/>
          <w:b/>
          <w:bCs/>
          <w:color w:val="FF0000"/>
          <w:sz w:val="21"/>
          <w:szCs w:val="21"/>
          <w:lang w:val="en-US" w:eastAsia="zh-CN"/>
        </w:rPr>
        <w:t>设备铭牌照片</w:t>
      </w:r>
      <w:r>
        <w:rPr>
          <w:rFonts w:hint="eastAsia" w:ascii="宋体" w:hAnsi="宋体" w:eastAsia="宋体" w:cs="宋体"/>
          <w:b/>
          <w:bCs/>
          <w:color w:val="FF0000"/>
          <w:sz w:val="21"/>
          <w:szCs w:val="21"/>
        </w:rPr>
        <w:t>进行佐证】</w:t>
      </w:r>
    </w:p>
    <w:p w14:paraId="223F822C">
      <w:pPr>
        <w:ind w:firstLine="420" w:firstLineChars="200"/>
        <w:rPr>
          <w:rFonts w:hint="eastAsia"/>
          <w:b w:val="0"/>
          <w:bCs/>
          <w:sz w:val="21"/>
          <w:szCs w:val="21"/>
        </w:rPr>
      </w:pPr>
    </w:p>
    <w:p w14:paraId="383D5230">
      <w:pPr>
        <w:ind w:firstLine="422" w:firstLineChars="200"/>
        <w:rPr>
          <w:rFonts w:hint="eastAsia"/>
          <w:b w:val="0"/>
          <w:bCs/>
          <w:sz w:val="21"/>
          <w:szCs w:val="21"/>
        </w:rPr>
      </w:pPr>
      <w:r>
        <w:rPr>
          <w:rFonts w:hint="eastAsia" w:ascii="宋体" w:hAnsi="宋体" w:eastAsia="宋体" w:cs="宋体"/>
          <w:b/>
          <w:bCs/>
          <w:color w:val="FF0000"/>
          <w:sz w:val="21"/>
          <w:szCs w:val="21"/>
        </w:rPr>
        <w:t>★投标人提供的仪器设备的生产日期必须在</w:t>
      </w:r>
      <w:r>
        <w:rPr>
          <w:rFonts w:hint="eastAsia" w:ascii="宋体" w:hAnsi="宋体" w:eastAsia="宋体" w:cs="宋体"/>
          <w:b/>
          <w:bCs/>
          <w:color w:val="FF0000"/>
          <w:sz w:val="21"/>
          <w:szCs w:val="21"/>
          <w:lang w:val="en-US" w:eastAsia="zh-CN"/>
        </w:rPr>
        <w:t>1</w:t>
      </w:r>
      <w:r>
        <w:rPr>
          <w:rFonts w:hint="eastAsia" w:ascii="宋体" w:hAnsi="宋体" w:eastAsia="宋体" w:cs="宋体"/>
          <w:b/>
          <w:bCs/>
          <w:color w:val="FF0000"/>
          <w:sz w:val="21"/>
          <w:szCs w:val="21"/>
        </w:rPr>
        <w:t>年内生产</w:t>
      </w:r>
      <w:r>
        <w:rPr>
          <w:rFonts w:hint="eastAsia" w:ascii="宋体" w:hAnsi="宋体" w:eastAsia="宋体" w:cs="宋体"/>
          <w:b/>
          <w:bCs/>
          <w:color w:val="FF0000"/>
          <w:sz w:val="21"/>
          <w:szCs w:val="21"/>
          <w:lang w:eastAsia="zh-CN"/>
        </w:rPr>
        <w:t>，</w:t>
      </w:r>
      <w:r>
        <w:rPr>
          <w:rFonts w:hint="eastAsia" w:ascii="宋体" w:hAnsi="宋体" w:eastAsia="宋体" w:cs="宋体"/>
          <w:b/>
          <w:bCs/>
          <w:color w:val="FF0000"/>
          <w:sz w:val="21"/>
          <w:szCs w:val="21"/>
        </w:rPr>
        <w:t>时间自</w:t>
      </w:r>
      <w:r>
        <w:rPr>
          <w:rFonts w:hint="eastAsia" w:ascii="宋体" w:hAnsi="宋体" w:eastAsia="宋体" w:cs="宋体"/>
          <w:b/>
          <w:bCs/>
          <w:color w:val="FF0000"/>
          <w:sz w:val="21"/>
          <w:szCs w:val="21"/>
          <w:lang w:eastAsia="zh-CN"/>
        </w:rPr>
        <w:t>设备到货日期起算</w:t>
      </w:r>
      <w:r>
        <w:rPr>
          <w:rFonts w:hint="eastAsia" w:ascii="宋体" w:hAnsi="宋体" w:eastAsia="宋体" w:cs="宋体"/>
          <w:b/>
          <w:bCs/>
          <w:color w:val="FF0000"/>
          <w:sz w:val="21"/>
          <w:szCs w:val="21"/>
        </w:rPr>
        <w:t>【生产日期需提供承诺书（格式自拟）】</w:t>
      </w:r>
    </w:p>
    <w:p w14:paraId="751721C6">
      <w:pPr>
        <w:ind w:firstLine="420" w:firstLineChars="200"/>
        <w:rPr>
          <w:rFonts w:hint="eastAsia"/>
          <w:b w:val="0"/>
          <w:bCs/>
          <w:sz w:val="21"/>
          <w:szCs w:val="21"/>
        </w:rPr>
      </w:pPr>
    </w:p>
    <w:p w14:paraId="52543C35">
      <w:pPr>
        <w:pStyle w:val="2"/>
        <w:ind w:firstLine="422" w:firstLineChars="200"/>
        <w:rPr>
          <w:rFonts w:hint="eastAsia"/>
        </w:rPr>
      </w:pPr>
      <w:r>
        <w:rPr>
          <w:rFonts w:hint="eastAsia" w:ascii="宋体" w:hAnsi="宋体" w:eastAsia="宋体" w:cs="宋体"/>
          <w:b/>
          <w:bCs/>
          <w:color w:val="FF0000"/>
          <w:sz w:val="21"/>
          <w:szCs w:val="21"/>
          <w:highlight w:val="none"/>
        </w:rPr>
        <w:t>★承诺</w:t>
      </w:r>
      <w:r>
        <w:rPr>
          <w:rFonts w:hint="eastAsia" w:ascii="宋体" w:hAnsi="宋体" w:eastAsia="宋体" w:cs="宋体"/>
          <w:b/>
          <w:bCs/>
          <w:color w:val="FF0000"/>
          <w:sz w:val="21"/>
          <w:szCs w:val="21"/>
          <w:highlight w:val="none"/>
          <w:lang w:eastAsia="zh-CN"/>
        </w:rPr>
        <w:t>可</w:t>
      </w:r>
      <w:r>
        <w:rPr>
          <w:rFonts w:hint="eastAsia" w:ascii="宋体" w:hAnsi="宋体" w:eastAsia="宋体" w:cs="宋体"/>
          <w:b/>
          <w:bCs/>
          <w:color w:val="FF0000"/>
          <w:sz w:val="21"/>
          <w:szCs w:val="21"/>
          <w:highlight w:val="none"/>
        </w:rPr>
        <w:t>在深圳医用耗材阳光交易和监管平台上采购仪器配套封闭试剂及耗材，</w:t>
      </w:r>
      <w:r>
        <w:rPr>
          <w:rFonts w:hint="eastAsia" w:ascii="宋体" w:hAnsi="宋体" w:eastAsia="宋体" w:cs="宋体"/>
          <w:b/>
          <w:bCs/>
          <w:color w:val="FF0000"/>
          <w:sz w:val="21"/>
          <w:szCs w:val="21"/>
        </w:rPr>
        <w:t>阳光采购平台上注册为限价目录产品</w:t>
      </w:r>
      <w:r>
        <w:rPr>
          <w:rFonts w:hint="eastAsia" w:ascii="宋体" w:hAnsi="宋体" w:eastAsia="宋体" w:cs="宋体"/>
          <w:b/>
          <w:bCs/>
          <w:color w:val="FF0000"/>
          <w:sz w:val="21"/>
          <w:szCs w:val="21"/>
          <w:lang w:eastAsia="zh-CN"/>
        </w:rPr>
        <w:t>，</w:t>
      </w:r>
      <w:r>
        <w:rPr>
          <w:rFonts w:hint="eastAsia" w:ascii="宋体" w:hAnsi="宋体" w:eastAsia="宋体" w:cs="宋体"/>
          <w:b/>
          <w:bCs/>
          <w:color w:val="FF0000"/>
          <w:sz w:val="21"/>
          <w:szCs w:val="21"/>
          <w:highlight w:val="none"/>
        </w:rPr>
        <w:t>并承诺提供深圳市内最低供货价</w:t>
      </w:r>
      <w:r>
        <w:rPr>
          <w:rFonts w:hint="eastAsia" w:ascii="宋体" w:hAnsi="宋体" w:eastAsia="宋体" w:cs="宋体"/>
          <w:b/>
          <w:bCs/>
          <w:color w:val="FF0000"/>
          <w:sz w:val="21"/>
          <w:szCs w:val="21"/>
        </w:rPr>
        <w:t>【</w:t>
      </w:r>
      <w:r>
        <w:rPr>
          <w:rFonts w:hint="eastAsia" w:ascii="宋体" w:hAnsi="宋体" w:eastAsia="宋体" w:cs="宋体"/>
          <w:b/>
          <w:bCs/>
          <w:color w:val="FF0000"/>
          <w:sz w:val="21"/>
          <w:szCs w:val="21"/>
          <w:highlight w:val="none"/>
        </w:rPr>
        <w:t>提供承诺函，</w:t>
      </w:r>
      <w:r>
        <w:rPr>
          <w:rFonts w:hint="eastAsia" w:ascii="宋体" w:hAnsi="宋体" w:eastAsia="宋体" w:cs="宋体"/>
          <w:b/>
          <w:bCs/>
          <w:color w:val="FF0000"/>
          <w:sz w:val="21"/>
          <w:szCs w:val="21"/>
        </w:rPr>
        <w:t>（格式自拟）】</w:t>
      </w:r>
      <w:r>
        <w:rPr>
          <w:rFonts w:hint="eastAsia" w:ascii="宋体" w:hAnsi="宋体" w:eastAsia="宋体" w:cs="宋体"/>
          <w:b/>
          <w:bCs/>
          <w:color w:val="FF0000"/>
          <w:sz w:val="21"/>
          <w:szCs w:val="21"/>
          <w:highlight w:val="none"/>
        </w:rPr>
        <w:t>。</w:t>
      </w:r>
      <w:r>
        <w:rPr>
          <w:rFonts w:hint="eastAsia" w:ascii="宋体" w:hAnsi="宋体" w:eastAsia="宋体" w:cs="宋体"/>
          <w:b/>
          <w:bCs/>
          <w:sz w:val="21"/>
          <w:szCs w:val="21"/>
          <w:lang w:val="en-US" w:eastAsia="zh-CN"/>
        </w:rPr>
        <w:t>无配套试剂及耗材则无需提供</w:t>
      </w:r>
    </w:p>
    <w:p w14:paraId="761411C5">
      <w:pPr>
        <w:ind w:firstLine="422" w:firstLineChars="200"/>
        <w:rPr>
          <w:rFonts w:hint="eastAsia" w:ascii="宋体" w:hAnsi="宋体" w:eastAsia="宋体" w:cs="宋体"/>
          <w:b/>
          <w:bCs w:val="0"/>
          <w:color w:val="FF0000"/>
          <w:sz w:val="21"/>
          <w:szCs w:val="21"/>
        </w:rPr>
      </w:pPr>
    </w:p>
    <w:p w14:paraId="7FEC724F">
      <w:pPr>
        <w:ind w:firstLine="422" w:firstLineChars="200"/>
        <w:rPr>
          <w:rFonts w:hint="eastAsia"/>
          <w:b w:val="0"/>
          <w:bCs/>
          <w:sz w:val="21"/>
          <w:szCs w:val="21"/>
        </w:rPr>
      </w:pPr>
      <w:r>
        <w:rPr>
          <w:rFonts w:hint="eastAsia" w:ascii="宋体" w:hAnsi="宋体" w:eastAsia="宋体" w:cs="宋体"/>
          <w:b/>
          <w:bCs w:val="0"/>
          <w:color w:val="FF0000"/>
          <w:sz w:val="21"/>
          <w:szCs w:val="21"/>
        </w:rPr>
        <w:t>★</w:t>
      </w:r>
      <w:r>
        <w:rPr>
          <w:rFonts w:hint="eastAsia" w:ascii="宋体" w:hAnsi="宋体" w:cs="宋体"/>
          <w:b/>
          <w:bCs w:val="0"/>
          <w:color w:val="FF0000"/>
          <w:sz w:val="21"/>
          <w:szCs w:val="21"/>
          <w:highlight w:val="none"/>
          <w:lang w:val="en-US" w:eastAsia="zh-CN"/>
        </w:rPr>
        <w:t>6</w:t>
      </w:r>
      <w:r>
        <w:rPr>
          <w:rFonts w:hint="eastAsia" w:ascii="宋体" w:hAnsi="宋体" w:eastAsia="宋体" w:cs="宋体"/>
          <w:b/>
          <w:bCs w:val="0"/>
          <w:color w:val="FF0000"/>
          <w:sz w:val="21"/>
          <w:szCs w:val="21"/>
          <w:highlight w:val="none"/>
        </w:rPr>
        <w:t>.1投标人所投产品具备相关主管部门要求的认证资料：所投产品为第一类医疗器械的，提供监督管理部门签发的有效的《医疗器械备案凭证》扫描件；所投产品为第二、三类医疗器械的，提供监督管理部门签发的涵盖所投产品的《医疗器械注册证》(有效期内)扫描件。</w:t>
      </w:r>
    </w:p>
    <w:p w14:paraId="33F93A9D">
      <w:pPr>
        <w:ind w:firstLine="420" w:firstLineChars="200"/>
        <w:rPr>
          <w:rFonts w:hint="eastAsia"/>
          <w:b w:val="0"/>
          <w:bCs/>
          <w:sz w:val="21"/>
          <w:szCs w:val="21"/>
        </w:rPr>
      </w:pPr>
    </w:p>
    <w:p w14:paraId="1C77164D">
      <w:pPr>
        <w:ind w:firstLine="420" w:firstLineChars="200"/>
        <w:rPr>
          <w:b w:val="0"/>
          <w:bCs/>
          <w:sz w:val="21"/>
          <w:szCs w:val="21"/>
        </w:rPr>
      </w:pPr>
      <w:r>
        <w:rPr>
          <w:rFonts w:hint="eastAsia"/>
          <w:b w:val="0"/>
          <w:bCs/>
          <w:sz w:val="21"/>
          <w:szCs w:val="21"/>
        </w:rPr>
        <w:t>《商务要求偏离表》编制指引：</w:t>
      </w:r>
    </w:p>
    <w:p w14:paraId="18D962B7">
      <w:pPr>
        <w:ind w:firstLine="420" w:firstLineChars="200"/>
        <w:rPr>
          <w:b w:val="0"/>
          <w:bCs/>
          <w:sz w:val="21"/>
          <w:szCs w:val="21"/>
        </w:rPr>
      </w:pPr>
      <w:r>
        <w:rPr>
          <w:rFonts w:hint="eastAsia"/>
          <w:b w:val="0"/>
          <w:bCs/>
          <w:sz w:val="21"/>
          <w:szCs w:val="21"/>
        </w:rPr>
        <w:t>1、商务要求偏离表的序号、商务需求项、招标商务要求等栏目对应“用户需求书”中的“商务要求”章节相关内容。</w:t>
      </w:r>
    </w:p>
    <w:p w14:paraId="5E204327">
      <w:pPr>
        <w:ind w:firstLine="420" w:firstLineChars="200"/>
        <w:rPr>
          <w:b w:val="0"/>
          <w:bCs/>
          <w:sz w:val="21"/>
          <w:szCs w:val="21"/>
        </w:rPr>
      </w:pPr>
      <w:r>
        <w:rPr>
          <w:b w:val="0"/>
          <w:bCs/>
          <w:sz w:val="21"/>
          <w:szCs w:val="21"/>
        </w:rPr>
        <w:t>2</w:t>
      </w:r>
      <w:r>
        <w:rPr>
          <w:rFonts w:hint="eastAsia"/>
          <w:b w:val="0"/>
          <w:bCs/>
          <w:sz w:val="21"/>
          <w:szCs w:val="21"/>
        </w:rPr>
        <w:t>、“投标商务响应”一栏必须一一对照“招标商务要求”，详细填写自身响应情况，而不能不合理照搬照抄招标文件的商务要求，以体现具体响应情况。</w:t>
      </w:r>
    </w:p>
    <w:p w14:paraId="0D93279D">
      <w:pPr>
        <w:ind w:firstLine="420" w:firstLineChars="200"/>
        <w:rPr>
          <w:b w:val="0"/>
          <w:bCs/>
          <w:color w:val="FF0000"/>
          <w:sz w:val="21"/>
          <w:szCs w:val="21"/>
        </w:rPr>
      </w:pPr>
      <w:r>
        <w:rPr>
          <w:b w:val="0"/>
          <w:bCs/>
          <w:sz w:val="21"/>
          <w:szCs w:val="21"/>
        </w:rPr>
        <w:t>3</w:t>
      </w:r>
      <w:r>
        <w:rPr>
          <w:rFonts w:hint="eastAsia"/>
          <w:b w:val="0"/>
          <w:bCs/>
          <w:sz w:val="21"/>
          <w:szCs w:val="21"/>
        </w:rPr>
        <w:t>、“偏离情况”一栏填写如实填写“正偏离”、“负偏离”或“无偏离”，其中：“正偏离”表示“投标响应优于招标商务要求”，“负偏离”表示“投标响应不满足招标商务要求”，“无偏离”表示“投标响应与招标商务要求一致”。</w:t>
      </w:r>
    </w:p>
    <w:p w14:paraId="0F3E7BF5">
      <w:pPr>
        <w:rPr>
          <w:rFonts w:hint="eastAsia"/>
          <w:b w:val="0"/>
          <w:bCs/>
          <w:sz w:val="21"/>
          <w:szCs w:val="21"/>
          <w:lang w:eastAsia="zh-CN"/>
        </w:rPr>
      </w:pPr>
      <w:r>
        <w:rPr>
          <w:rFonts w:hint="eastAsia"/>
          <w:b w:val="0"/>
          <w:bCs/>
          <w:sz w:val="21"/>
          <w:szCs w:val="21"/>
        </w:rPr>
        <w:t>“投标商务响应”对比“招标商务要求”存在响应不全（包括未响应整项招标商务要求或者未响应一项招标商务要求的部分内容），均视为“负偏离”</w:t>
      </w:r>
      <w:r>
        <w:rPr>
          <w:rFonts w:hint="eastAsia"/>
          <w:b w:val="0"/>
          <w:bCs/>
          <w:sz w:val="21"/>
          <w:szCs w:val="21"/>
          <w:lang w:eastAsia="zh-CN"/>
        </w:rPr>
        <w:t>。</w:t>
      </w:r>
    </w:p>
    <w:p w14:paraId="0DEC7F40">
      <w:pPr>
        <w:ind w:firstLine="420" w:firstLineChars="200"/>
        <w:rPr>
          <w:b w:val="0"/>
          <w:bCs/>
          <w:sz w:val="21"/>
          <w:szCs w:val="21"/>
        </w:rPr>
      </w:pPr>
      <w:r>
        <w:rPr>
          <w:rFonts w:hint="eastAsia"/>
          <w:b w:val="0"/>
          <w:bCs/>
          <w:sz w:val="21"/>
          <w:szCs w:val="21"/>
        </w:rPr>
        <w:t>4、带★号条款为不可偏离条款，如未响应或出现负偏离的，将作投标无效处理。</w:t>
      </w:r>
    </w:p>
    <w:p w14:paraId="3FB31084">
      <w:pPr>
        <w:pStyle w:val="9"/>
        <w:ind w:firstLine="0"/>
        <w:rPr>
          <w:rFonts w:asciiTheme="minorEastAsia" w:hAnsiTheme="minorEastAsia" w:eastAsiaTheme="minorEastAsia" w:cstheme="minorEastAsia"/>
          <w:sz w:val="24"/>
          <w:highlight w:val="none"/>
        </w:rPr>
      </w:pPr>
    </w:p>
    <w:p w14:paraId="40A8CBCD">
      <w:pPr>
        <w:rPr>
          <w:rFonts w:hint="eastAsia" w:ascii="黑体" w:hAnsi="黑体" w:eastAsia="黑体" w:cs="黑体"/>
          <w:b w:val="0"/>
          <w:bCs w:val="0"/>
          <w:sz w:val="24"/>
          <w:szCs w:val="28"/>
          <w:highlight w:val="none"/>
          <w:lang w:val="en-US" w:eastAsia="zh-CN"/>
        </w:rPr>
      </w:pPr>
      <w:r>
        <w:rPr>
          <w:rFonts w:hint="eastAsia" w:ascii="黑体" w:hAnsi="黑体" w:eastAsia="黑体" w:cs="黑体"/>
          <w:b w:val="0"/>
          <w:bCs w:val="0"/>
          <w:sz w:val="24"/>
          <w:szCs w:val="28"/>
          <w:highlight w:val="none"/>
          <w:lang w:val="en-US" w:eastAsia="zh-CN"/>
        </w:rPr>
        <w:br w:type="page"/>
      </w:r>
    </w:p>
    <w:p w14:paraId="2CF4A53F">
      <w:pPr>
        <w:pStyle w:val="5"/>
        <w:jc w:val="center"/>
        <w:rPr>
          <w:rFonts w:hint="eastAsia" w:ascii="黑体" w:hAnsi="黑体" w:eastAsia="黑体" w:cs="黑体"/>
          <w:b w:val="0"/>
          <w:bCs w:val="0"/>
          <w:sz w:val="24"/>
          <w:szCs w:val="28"/>
          <w:highlight w:val="none"/>
          <w:lang w:eastAsia="zh-CN"/>
        </w:rPr>
      </w:pPr>
      <w:r>
        <w:rPr>
          <w:rFonts w:hint="eastAsia" w:ascii="黑体" w:hAnsi="黑体" w:eastAsia="黑体" w:cs="黑体"/>
          <w:b w:val="0"/>
          <w:bCs w:val="0"/>
          <w:sz w:val="24"/>
          <w:szCs w:val="28"/>
          <w:highlight w:val="none"/>
          <w:lang w:val="en-US" w:eastAsia="zh-CN"/>
        </w:rPr>
        <w:t>十一</w:t>
      </w:r>
      <w:r>
        <w:rPr>
          <w:rFonts w:hint="eastAsia" w:ascii="黑体" w:hAnsi="黑体" w:eastAsia="黑体" w:cs="黑体"/>
          <w:b w:val="0"/>
          <w:bCs w:val="0"/>
          <w:sz w:val="24"/>
          <w:szCs w:val="28"/>
          <w:highlight w:val="none"/>
        </w:rPr>
        <w:t>、同类业绩（格式自定）</w:t>
      </w:r>
    </w:p>
    <w:p w14:paraId="6EDE64E1">
      <w:pPr>
        <w:pStyle w:val="9"/>
        <w:ind w:firstLine="0"/>
        <w:jc w:val="center"/>
        <w:rPr>
          <w:rFonts w:asciiTheme="minorEastAsia" w:hAnsiTheme="minorEastAsia" w:eastAsiaTheme="minorEastAsia" w:cstheme="minorEastAsia"/>
          <w:b/>
          <w:bCs/>
          <w:color w:val="FF0000"/>
          <w:sz w:val="22"/>
          <w:szCs w:val="18"/>
          <w:highlight w:val="none"/>
        </w:rPr>
      </w:pPr>
      <w:r>
        <w:rPr>
          <w:rFonts w:hint="eastAsia" w:asciiTheme="minorEastAsia" w:hAnsiTheme="minorEastAsia" w:eastAsiaTheme="minorEastAsia" w:cstheme="minorEastAsia"/>
          <w:b/>
          <w:bCs/>
          <w:color w:val="FF0000"/>
          <w:sz w:val="22"/>
          <w:szCs w:val="18"/>
          <w:highlight w:val="none"/>
        </w:rPr>
        <w:t>（特别提示：投标人须按本招标文件评标信息中这一评审因素要求，提供证明资料）</w:t>
      </w:r>
    </w:p>
    <w:p w14:paraId="74B6CE2B">
      <w:pPr>
        <w:pStyle w:val="9"/>
        <w:ind w:firstLine="0"/>
        <w:rPr>
          <w:rFonts w:asciiTheme="minorEastAsia" w:hAnsiTheme="minorEastAsia" w:eastAsiaTheme="minorEastAsia" w:cstheme="minorEastAsia"/>
          <w:sz w:val="24"/>
          <w:highlight w:val="none"/>
        </w:rPr>
      </w:pPr>
    </w:p>
    <w:p w14:paraId="35E8BA1E">
      <w:pPr>
        <w:pStyle w:val="5"/>
        <w:bidi w:val="0"/>
        <w:jc w:val="center"/>
        <w:rPr>
          <w:rFonts w:hint="eastAsia" w:ascii="黑体" w:hAnsi="黑体" w:eastAsia="黑体" w:cs="黑体"/>
          <w:b w:val="0"/>
          <w:bCs w:val="0"/>
          <w:sz w:val="24"/>
          <w:szCs w:val="28"/>
        </w:rPr>
      </w:pPr>
      <w:r>
        <w:rPr>
          <w:rFonts w:hint="eastAsia" w:ascii="黑体" w:hAnsi="黑体" w:eastAsia="黑体" w:cs="黑体"/>
          <w:b w:val="0"/>
          <w:bCs w:val="0"/>
          <w:sz w:val="24"/>
          <w:szCs w:val="28"/>
          <w:lang w:val="en-US" w:eastAsia="zh-CN"/>
        </w:rPr>
        <w:t>十二</w:t>
      </w:r>
      <w:r>
        <w:rPr>
          <w:rFonts w:hint="eastAsia" w:ascii="黑体" w:hAnsi="黑体" w:eastAsia="黑体" w:cs="黑体"/>
          <w:b w:val="0"/>
          <w:bCs w:val="0"/>
          <w:sz w:val="24"/>
          <w:szCs w:val="28"/>
        </w:rPr>
        <w:t>、投标人认为需要加以说明的其他内容</w:t>
      </w:r>
    </w:p>
    <w:p w14:paraId="646875A5">
      <w:pPr>
        <w:widowControl/>
        <w:jc w:val="center"/>
        <w:rPr>
          <w:rFonts w:ascii="黑体" w:hAnsi="宋体" w:eastAsia="黑体"/>
          <w:kern w:val="0"/>
          <w:sz w:val="24"/>
          <w:szCs w:val="20"/>
        </w:rPr>
      </w:pPr>
      <w:r>
        <w:rPr>
          <w:rFonts w:hint="eastAsia" w:ascii="黑体" w:hAnsi="宋体" w:eastAsia="黑体"/>
          <w:kern w:val="0"/>
          <w:sz w:val="24"/>
          <w:szCs w:val="20"/>
        </w:rPr>
        <w:t>（一）采购违法行为风险知悉确认书</w:t>
      </w:r>
    </w:p>
    <w:p w14:paraId="5B0CD5BA">
      <w:pPr>
        <w:keepNext w:val="0"/>
        <w:keepLines w:val="0"/>
        <w:widowControl w:val="0"/>
        <w:suppressLineNumbers w:val="0"/>
        <w:spacing w:before="0" w:beforeAutospacing="0" w:after="120" w:afterLines="50" w:afterAutospacing="0" w:line="360" w:lineRule="exact"/>
        <w:ind w:left="0" w:right="0" w:firstLine="422" w:firstLineChars="200"/>
        <w:jc w:val="both"/>
        <w:rPr>
          <w:rFonts w:hint="eastAsia" w:ascii="宋体" w:hAnsi="宋体" w:eastAsia="宋体" w:cs="宋体"/>
          <w:b/>
          <w:bCs/>
          <w:szCs w:val="21"/>
          <w:lang w:val="en-US"/>
        </w:rPr>
      </w:pPr>
      <w:r>
        <w:rPr>
          <w:rFonts w:hint="eastAsia" w:ascii="宋体" w:hAnsi="宋体" w:eastAsia="宋体" w:cs="宋体"/>
          <w:b/>
          <w:bCs/>
          <w:kern w:val="2"/>
          <w:sz w:val="21"/>
          <w:szCs w:val="21"/>
          <w:lang w:val="en-US" w:eastAsia="zh-CN" w:bidi="ar"/>
        </w:rPr>
        <w:t>我单位在投标前已充分知悉以下情形为参与</w:t>
      </w:r>
      <w:r>
        <w:rPr>
          <w:rFonts w:hint="eastAsia" w:ascii="宋体" w:hAnsi="宋体" w:cs="宋体"/>
          <w:b/>
          <w:bCs/>
          <w:kern w:val="2"/>
          <w:sz w:val="21"/>
          <w:szCs w:val="21"/>
          <w:lang w:val="en-US" w:eastAsia="zh-CN" w:bidi="ar"/>
        </w:rPr>
        <w:t>自行</w:t>
      </w:r>
      <w:r>
        <w:rPr>
          <w:rFonts w:hint="eastAsia" w:ascii="宋体" w:hAnsi="宋体" w:eastAsia="宋体" w:cs="宋体"/>
          <w:b/>
          <w:bCs/>
          <w:kern w:val="2"/>
          <w:sz w:val="21"/>
          <w:szCs w:val="21"/>
          <w:lang w:val="en-US" w:eastAsia="zh-CN" w:bidi="ar"/>
        </w:rPr>
        <w:t>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44"/>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11"/>
        <w:gridCol w:w="8223"/>
      </w:tblGrid>
      <w:tr w14:paraId="0B210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278B27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序号</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0CC25B30">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b/>
                <w:bCs/>
                <w:color w:val="auto"/>
                <w:kern w:val="2"/>
                <w:sz w:val="21"/>
                <w:szCs w:val="21"/>
                <w:lang w:val="en-US" w:eastAsia="zh-CN" w:bidi="ar"/>
              </w:rPr>
              <w:t>供应商参与投标禁止情形</w:t>
            </w:r>
          </w:p>
        </w:tc>
      </w:tr>
      <w:tr w14:paraId="3CE21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F29B45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1</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3C67E0B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与其他投标供应商的法定代表人、主要经营负责人、投标授权代表人、项目负责人、主要技术人员为</w:t>
            </w:r>
            <w:r>
              <w:rPr>
                <w:rFonts w:hint="eastAsia" w:ascii="宋体" w:hAnsi="宋体" w:eastAsia="宋体" w:cs="宋体"/>
                <w:b/>
                <w:bCs/>
                <w:color w:val="auto"/>
                <w:kern w:val="2"/>
                <w:sz w:val="21"/>
                <w:szCs w:val="21"/>
                <w:lang w:val="en-US" w:eastAsia="zh-CN" w:bidi="ar"/>
              </w:rPr>
              <w:t>同一人、属同一单位或者在同一单位缴纳社会保险</w:t>
            </w:r>
            <w:r>
              <w:rPr>
                <w:rFonts w:hint="eastAsia" w:ascii="宋体" w:hAnsi="宋体" w:eastAsia="宋体" w:cs="宋体"/>
                <w:color w:val="auto"/>
                <w:kern w:val="2"/>
                <w:sz w:val="21"/>
                <w:szCs w:val="21"/>
                <w:lang w:val="en-US" w:eastAsia="zh-CN" w:bidi="ar"/>
              </w:rPr>
              <w:t>。</w:t>
            </w:r>
          </w:p>
        </w:tc>
      </w:tr>
      <w:tr w14:paraId="4E7A1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22731F6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2</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2AFE511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参与本项目采购活动时，与其他投标供应商存在单位负责人为</w:t>
            </w:r>
            <w:r>
              <w:rPr>
                <w:rFonts w:hint="eastAsia" w:ascii="宋体" w:hAnsi="宋体" w:eastAsia="宋体" w:cs="宋体"/>
                <w:b/>
                <w:bCs/>
                <w:color w:val="auto"/>
                <w:kern w:val="2"/>
                <w:sz w:val="21"/>
                <w:szCs w:val="21"/>
                <w:lang w:val="en-US" w:eastAsia="zh-CN" w:bidi="ar"/>
              </w:rPr>
              <w:t>同一人或直接控股、管理关系</w:t>
            </w:r>
            <w:r>
              <w:rPr>
                <w:rFonts w:hint="eastAsia" w:ascii="宋体" w:hAnsi="宋体" w:eastAsia="宋体" w:cs="宋体"/>
                <w:color w:val="auto"/>
                <w:kern w:val="2"/>
                <w:sz w:val="21"/>
                <w:szCs w:val="21"/>
                <w:lang w:val="en-US" w:eastAsia="zh-CN" w:bidi="ar"/>
              </w:rPr>
              <w:t>。</w:t>
            </w:r>
          </w:p>
        </w:tc>
      </w:tr>
      <w:tr w14:paraId="00602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A8F3AD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3</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365D17F4">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与其他投标供应商的投标文件或部分投标文件</w:t>
            </w:r>
            <w:r>
              <w:rPr>
                <w:rFonts w:hint="eastAsia" w:ascii="宋体" w:hAnsi="宋体" w:eastAsia="宋体" w:cs="宋体"/>
                <w:b/>
                <w:bCs/>
                <w:color w:val="auto"/>
                <w:kern w:val="2"/>
                <w:sz w:val="21"/>
                <w:szCs w:val="21"/>
                <w:lang w:val="en-US" w:eastAsia="zh-CN" w:bidi="ar"/>
              </w:rPr>
              <w:t>相互混装或存在非正常一致</w:t>
            </w:r>
            <w:r>
              <w:rPr>
                <w:rFonts w:hint="eastAsia" w:ascii="宋体" w:hAnsi="宋体" w:eastAsia="宋体" w:cs="宋体"/>
                <w:color w:val="auto"/>
                <w:kern w:val="2"/>
                <w:sz w:val="21"/>
                <w:szCs w:val="21"/>
                <w:lang w:val="en-US" w:eastAsia="zh-CN" w:bidi="ar"/>
              </w:rPr>
              <w:t>。</w:t>
            </w:r>
          </w:p>
        </w:tc>
      </w:tr>
      <w:tr w14:paraId="78243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CC5288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4</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4D87F1F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与其他投标供应商的投标文件由</w:t>
            </w:r>
            <w:r>
              <w:rPr>
                <w:rFonts w:hint="eastAsia" w:ascii="宋体" w:hAnsi="宋体" w:eastAsia="宋体" w:cs="宋体"/>
                <w:b/>
                <w:bCs/>
                <w:color w:val="auto"/>
                <w:kern w:val="2"/>
                <w:sz w:val="21"/>
                <w:szCs w:val="21"/>
                <w:lang w:val="en-US" w:eastAsia="zh-CN" w:bidi="ar"/>
              </w:rPr>
              <w:t>同一单位或者同一人编制</w:t>
            </w:r>
            <w:r>
              <w:rPr>
                <w:rFonts w:hint="eastAsia" w:ascii="宋体" w:hAnsi="宋体" w:eastAsia="宋体" w:cs="宋体"/>
                <w:color w:val="auto"/>
                <w:kern w:val="2"/>
                <w:sz w:val="21"/>
                <w:szCs w:val="21"/>
                <w:lang w:val="en-US" w:eastAsia="zh-CN" w:bidi="ar"/>
              </w:rPr>
              <w:t>，或者使用</w:t>
            </w:r>
            <w:r>
              <w:rPr>
                <w:rFonts w:hint="eastAsia" w:ascii="宋体" w:hAnsi="宋体" w:eastAsia="宋体" w:cs="宋体"/>
                <w:b/>
                <w:bCs/>
                <w:color w:val="auto"/>
                <w:kern w:val="2"/>
                <w:sz w:val="21"/>
                <w:szCs w:val="21"/>
                <w:lang w:val="en-US" w:eastAsia="zh-CN" w:bidi="ar"/>
              </w:rPr>
              <w:t>同一设备编制</w:t>
            </w:r>
            <w:r>
              <w:rPr>
                <w:rFonts w:hint="eastAsia" w:ascii="宋体" w:hAnsi="宋体" w:eastAsia="宋体" w:cs="宋体"/>
                <w:color w:val="auto"/>
                <w:kern w:val="2"/>
                <w:sz w:val="21"/>
                <w:szCs w:val="21"/>
                <w:lang w:val="en-US" w:eastAsia="zh-CN" w:bidi="ar"/>
              </w:rPr>
              <w:t>。</w:t>
            </w:r>
          </w:p>
        </w:tc>
      </w:tr>
      <w:tr w14:paraId="55BDB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7DFDE28E">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5</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09DF600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提供</w:t>
            </w:r>
            <w:r>
              <w:rPr>
                <w:rFonts w:hint="eastAsia" w:ascii="宋体" w:hAnsi="宋体" w:eastAsia="宋体" w:cs="宋体"/>
                <w:b/>
                <w:bCs/>
                <w:color w:val="auto"/>
                <w:kern w:val="2"/>
                <w:sz w:val="21"/>
                <w:szCs w:val="21"/>
                <w:lang w:val="en-US" w:eastAsia="zh-CN" w:bidi="ar"/>
              </w:rPr>
              <w:t>未经出具机构核实</w:t>
            </w:r>
            <w:r>
              <w:rPr>
                <w:rFonts w:hint="eastAsia" w:ascii="宋体" w:hAnsi="宋体" w:eastAsia="宋体" w:cs="宋体"/>
                <w:color w:val="auto"/>
                <w:kern w:val="2"/>
                <w:sz w:val="21"/>
                <w:szCs w:val="21"/>
                <w:lang w:val="en-US" w:eastAsia="zh-CN" w:bidi="ar"/>
              </w:rPr>
              <w:t>的虚假的检验检测报告、业绩材料、社保缴纳证明、学历学位证书、职称认证证书等材料。</w:t>
            </w:r>
          </w:p>
        </w:tc>
      </w:tr>
      <w:tr w14:paraId="53185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44AB362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6</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7D119BB9">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擅自将投标密钥出借他人使用或未妥善保管。</w:t>
            </w:r>
          </w:p>
        </w:tc>
      </w:tr>
    </w:tbl>
    <w:p w14:paraId="7450BD26">
      <w:pPr>
        <w:keepNext w:val="0"/>
        <w:keepLines w:val="0"/>
        <w:widowControl w:val="0"/>
        <w:suppressLineNumbers w:val="0"/>
        <w:spacing w:before="120" w:beforeLines="50" w:beforeAutospacing="0" w:after="0" w:afterAutospacing="0" w:line="380" w:lineRule="exact"/>
        <w:ind w:left="0" w:right="0" w:firstLine="422" w:firstLineChars="200"/>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一、我单位已充分知悉“隐瞒真实情况，提供虚假资料”的法定情形，包括但不限于：</w:t>
      </w:r>
    </w:p>
    <w:p w14:paraId="1B8DB6CD">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（一）通过转让或者租借等方式从其他单位获取资格或者资质证书投标的。</w:t>
      </w:r>
    </w:p>
    <w:p w14:paraId="5519F962">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（二）由其他单位或者其他单位负责人在投标供应商编制的投标文件上加盖印章或者签字的。</w:t>
      </w:r>
    </w:p>
    <w:p w14:paraId="217B9B03">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（三）项目负责人或者主要技术人员不是本单位人员的。</w:t>
      </w:r>
    </w:p>
    <w:p w14:paraId="0FF2668F">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（四）投标保证金不是从投标供应商基本账户转出的。</w:t>
      </w:r>
    </w:p>
    <w:p w14:paraId="09E73CEB">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（五）其他隐瞒真实情况、提供虚假资料的行为。</w:t>
      </w:r>
    </w:p>
    <w:p w14:paraId="43549A70">
      <w:pPr>
        <w:keepNext w:val="0"/>
        <w:keepLines w:val="0"/>
        <w:widowControl w:val="0"/>
        <w:suppressLineNumbers w:val="0"/>
        <w:spacing w:before="0" w:beforeAutospacing="0" w:after="0" w:afterAutospacing="0" w:line="380" w:lineRule="exact"/>
        <w:ind w:left="0" w:right="0" w:firstLine="422" w:firstLineChars="200"/>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二、我单位已充分知悉“与其他采购参加人串通投标”的法定情形，包括但不限于：</w:t>
      </w:r>
    </w:p>
    <w:p w14:paraId="16250982">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（一）投标供应商之间相互约定给予未中标的供应商利益补偿。</w:t>
      </w:r>
    </w:p>
    <w:p w14:paraId="52B14839">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（二）不同投标供应商的法定代表人、主要经营负责人、项目投标授权代表人、项目负责人、主要技术人员为同一人、属同一单位或者在同一单位缴纳社会保险。</w:t>
      </w:r>
    </w:p>
    <w:p w14:paraId="7DF608D0">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（三）不同投标供应商的投标文件由同一单位或者同一人编制，或者由同一人分阶段参与编制的。</w:t>
      </w:r>
    </w:p>
    <w:p w14:paraId="590A90E1">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（四）不同投标供应商的投标文件或部分投标文件相互混装。</w:t>
      </w:r>
    </w:p>
    <w:p w14:paraId="195DBFF2">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（五）不同投标供应商的投标文件内容存在非正常一致。</w:t>
      </w:r>
    </w:p>
    <w:p w14:paraId="1FE887B2">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（六）由同一单位工作人员为两家以上（含两家）供应商进行同一项投标活动的。</w:t>
      </w:r>
    </w:p>
    <w:p w14:paraId="03833BE9">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（七）不同投标人的投标报价呈规律性差异。</w:t>
      </w:r>
    </w:p>
    <w:p w14:paraId="00E83B28">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（八）不同投标人的投标保证金从同一单位或者个人的账户转出。</w:t>
      </w:r>
    </w:p>
    <w:p w14:paraId="42829097">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（九）主管部门依照法律、法规认定的其他情形。</w:t>
      </w:r>
    </w:p>
    <w:p w14:paraId="7F7D5F90">
      <w:pPr>
        <w:keepNext w:val="0"/>
        <w:keepLines w:val="0"/>
        <w:widowControl w:val="0"/>
        <w:suppressLineNumbers w:val="0"/>
        <w:spacing w:before="0" w:beforeAutospacing="0" w:after="0" w:afterAutospacing="0" w:line="340" w:lineRule="exact"/>
        <w:ind w:left="0" w:right="0" w:firstLine="422" w:firstLineChars="200"/>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三、我单位已充分知悉下列情形存在法律风险，在投标前已对相关风险事项进行排查。</w:t>
      </w:r>
    </w:p>
    <w:p w14:paraId="2AAE5D8C">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b/>
          <w:bCs w:val="0"/>
          <w:szCs w:val="21"/>
          <w:lang w:val="en-US"/>
        </w:rPr>
      </w:pPr>
      <w:r>
        <w:rPr>
          <w:rFonts w:hint="eastAsia" w:ascii="宋体" w:hAnsi="宋体" w:eastAsia="宋体" w:cs="宋体"/>
          <w:kern w:val="2"/>
          <w:sz w:val="21"/>
          <w:szCs w:val="21"/>
          <w:lang w:val="en-US" w:eastAsia="zh-CN" w:bidi="ar"/>
        </w:rPr>
        <w:t>（一）对于从其他主体获取的投标资料，我单位应审慎核查，确保其真实性。</w:t>
      </w:r>
      <w:r>
        <w:rPr>
          <w:rFonts w:hint="eastAsia" w:ascii="宋体" w:hAnsi="宋体" w:eastAsia="宋体" w:cs="宋体"/>
          <w:b/>
          <w:bCs w:val="0"/>
          <w:kern w:val="2"/>
          <w:sz w:val="21"/>
          <w:szCs w:val="21"/>
          <w:lang w:val="en-US" w:eastAsia="zh-CN" w:bidi="ar"/>
        </w:rPr>
        <w:t>如主管部门查实投标文件中存在虚假资料的，无论相关资料是否由第三方或本公司员工提供，均不影响主管部门对供应商存在“隐瞒真实情况，提供虚假资料”违法行为的认定。</w:t>
      </w:r>
    </w:p>
    <w:p w14:paraId="786BF4B5">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（二）对于涉及国家机关出具的公文、证件、证明材料等文件，一旦涉嫌虚假，经查实，主管部门将依法从严处理，并移送有关部门追究法律责任；涉嫌犯罪的，移送司法机关处理。</w:t>
      </w:r>
    </w:p>
    <w:p w14:paraId="15289E4F">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（三）我单位对投标电子密钥负有妥善保管、及时变更和续期等主体责任；使用电子密钥在</w:t>
      </w:r>
      <w:r>
        <w:rPr>
          <w:rFonts w:hint="eastAsia" w:ascii="Times New Roman" w:hAnsi="Times New Roman" w:eastAsia="宋体" w:cs="Times New Roman"/>
          <w:kern w:val="2"/>
          <w:sz w:val="21"/>
          <w:szCs w:val="24"/>
          <w:lang w:val="en-US" w:eastAsia="zh-CN" w:bidi="ar"/>
        </w:rPr>
        <w:t>深圳自行采购网站</w:t>
      </w:r>
      <w:r>
        <w:rPr>
          <w:rFonts w:hint="eastAsia" w:ascii="宋体" w:hAnsi="宋体" w:eastAsia="宋体" w:cs="宋体"/>
          <w:kern w:val="2"/>
          <w:sz w:val="21"/>
          <w:szCs w:val="21"/>
          <w:lang w:val="en-US" w:eastAsia="zh-CN" w:bidi="ar"/>
        </w:rPr>
        <w:t>进行的活动，均具有法律效力，须承担相应的法律后果。若</w:t>
      </w:r>
      <w:r>
        <w:rPr>
          <w:rFonts w:hint="eastAsia" w:ascii="宋体" w:hAnsi="宋体" w:eastAsia="宋体" w:cs="宋体"/>
          <w:b/>
          <w:bCs/>
          <w:kern w:val="2"/>
          <w:sz w:val="21"/>
          <w:szCs w:val="21"/>
          <w:lang w:val="en-US" w:eastAsia="zh-CN" w:bidi="ar"/>
        </w:rPr>
        <w:t>擅自将投标密钥出借他人使用所造成的法律后果，由我单位自行承担</w:t>
      </w:r>
      <w:r>
        <w:rPr>
          <w:rFonts w:hint="eastAsia" w:ascii="宋体" w:hAnsi="宋体" w:eastAsia="宋体" w:cs="宋体"/>
          <w:kern w:val="2"/>
          <w:sz w:val="21"/>
          <w:szCs w:val="21"/>
          <w:lang w:val="en-US" w:eastAsia="zh-CN" w:bidi="ar"/>
        </w:rPr>
        <w:t>。</w:t>
      </w:r>
    </w:p>
    <w:p w14:paraId="3F8BECCD">
      <w:pPr>
        <w:keepNext w:val="0"/>
        <w:keepLines w:val="0"/>
        <w:widowControl w:val="0"/>
        <w:suppressLineNumbers w:val="0"/>
        <w:spacing w:before="0" w:beforeAutospacing="0" w:after="0" w:afterAutospacing="0" w:line="340" w:lineRule="exact"/>
        <w:ind w:left="0" w:right="0" w:firstLine="422" w:firstLineChars="200"/>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四、我单位已充分知悉政府采购违法、违规行为的法律后果。</w:t>
      </w:r>
    </w:p>
    <w:p w14:paraId="278B5561">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09357290">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highlight w:val="yellow"/>
          <w:lang w:val="en-US"/>
        </w:rPr>
      </w:pPr>
      <w:r>
        <w:rPr>
          <w:rFonts w:hint="eastAsia" w:ascii="宋体" w:hAnsi="宋体" w:eastAsia="宋体" w:cs="宋体"/>
          <w:kern w:val="2"/>
          <w:sz w:val="21"/>
          <w:szCs w:val="21"/>
          <w:highlight w:val="yellow"/>
          <w:lang w:val="en-US" w:eastAsia="zh-CN" w:bidi="ar"/>
        </w:rPr>
        <w:t>以下文字请投标供应商抄写并确认：“我单位已仔细阅读《采购违法行为风险知悉确认书》，充分知悉违法行为的法律后果，并承诺将严谨、诚信、依法依规参与采购活动”。</w:t>
      </w:r>
    </w:p>
    <w:tbl>
      <w:tblPr>
        <w:tblStyle w:val="204"/>
        <w:tblW w:w="8535" w:type="dxa"/>
        <w:tblInd w:w="0" w:type="dxa"/>
        <w:tblBorders>
          <w:top w:val="none" w:color="auto" w:sz="4" w:space="0"/>
          <w:left w:val="none" w:color="auto" w:sz="4" w:space="0"/>
          <w:bottom w:val="single" w:color="auto" w:sz="4" w:space="0"/>
          <w:right w:val="none" w:color="auto" w:sz="4" w:space="0"/>
          <w:insideH w:val="none" w:color="auto" w:sz="4" w:space="0"/>
          <w:insideV w:val="none" w:color="auto" w:sz="4" w:space="0"/>
        </w:tblBorders>
        <w:shd w:val="clear" w:color="auto" w:fill="auto"/>
        <w:tblLayout w:type="fixed"/>
        <w:tblCellMar>
          <w:top w:w="0" w:type="dxa"/>
          <w:left w:w="108" w:type="dxa"/>
          <w:bottom w:w="0" w:type="dxa"/>
          <w:right w:w="108" w:type="dxa"/>
        </w:tblCellMar>
      </w:tblPr>
      <w:tblGrid>
        <w:gridCol w:w="8535"/>
      </w:tblGrid>
      <w:tr w14:paraId="4B83E6DA">
        <w:tblPrEx>
          <w:tblBorders>
            <w:top w:val="none" w:color="auto" w:sz="4" w:space="0"/>
            <w:left w:val="none" w:color="auto" w:sz="4" w:space="0"/>
            <w:bottom w:val="single" w:color="auto" w:sz="4" w:space="0"/>
            <w:right w:val="non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shd w:val="clear" w:color="auto" w:fill="auto"/>
            <w:vAlign w:val="top"/>
          </w:tcPr>
          <w:p w14:paraId="71166B9F">
            <w:pPr>
              <w:keepNext w:val="0"/>
              <w:keepLines w:val="0"/>
              <w:widowControl w:val="0"/>
              <w:suppressLineNumbers w:val="0"/>
              <w:autoSpaceDE w:val="0"/>
              <w:autoSpaceDN w:val="0"/>
              <w:spacing w:before="0" w:beforeAutospacing="0" w:after="0" w:afterAutospacing="0" w:line="340" w:lineRule="exact"/>
              <w:ind w:left="0" w:right="0" w:firstLine="1866"/>
              <w:jc w:val="both"/>
              <w:rPr>
                <w:rFonts w:hint="eastAsia" w:ascii="宋体" w:hAnsi="宋体" w:eastAsia="宋体" w:cs="宋体"/>
                <w:spacing w:val="-4"/>
                <w:kern w:val="0"/>
                <w:szCs w:val="21"/>
                <w:lang w:val="en-US"/>
              </w:rPr>
            </w:pPr>
          </w:p>
        </w:tc>
      </w:tr>
      <w:tr w14:paraId="46FC1C2F">
        <w:tblPrEx>
          <w:tblBorders>
            <w:top w:val="none" w:color="auto" w:sz="4" w:space="0"/>
            <w:left w:val="none" w:color="auto" w:sz="4" w:space="0"/>
            <w:bottom w:val="single" w:color="auto" w:sz="4" w:space="0"/>
            <w:right w:val="none" w:color="auto" w:sz="4" w:space="0"/>
            <w:insideH w:val="none" w:color="auto" w:sz="4" w:space="0"/>
            <w:insideV w:val="none" w:color="auto" w:sz="4" w:space="0"/>
          </w:tblBorders>
          <w:shd w:val="clear" w:color="auto" w:fill="auto"/>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shd w:val="clear" w:color="auto" w:fill="auto"/>
            <w:vAlign w:val="top"/>
          </w:tcPr>
          <w:p w14:paraId="1D116D93">
            <w:pPr>
              <w:keepNext w:val="0"/>
              <w:keepLines w:val="0"/>
              <w:widowControl w:val="0"/>
              <w:suppressLineNumbers w:val="0"/>
              <w:autoSpaceDE w:val="0"/>
              <w:autoSpaceDN w:val="0"/>
              <w:spacing w:before="0" w:beforeAutospacing="0" w:after="0" w:afterAutospacing="0" w:line="340" w:lineRule="exact"/>
              <w:ind w:left="0" w:right="0" w:firstLine="1866"/>
              <w:jc w:val="both"/>
              <w:rPr>
                <w:rFonts w:hint="eastAsia" w:ascii="宋体" w:hAnsi="宋体" w:eastAsia="宋体" w:cs="宋体"/>
                <w:spacing w:val="-4"/>
                <w:kern w:val="0"/>
                <w:szCs w:val="21"/>
                <w:lang w:val="en-US"/>
              </w:rPr>
            </w:pPr>
          </w:p>
        </w:tc>
      </w:tr>
      <w:tr w14:paraId="35FE9D09">
        <w:tblPrEx>
          <w:tblBorders>
            <w:top w:val="none" w:color="auto" w:sz="4" w:space="0"/>
            <w:left w:val="none" w:color="auto" w:sz="4" w:space="0"/>
            <w:bottom w:val="single" w:color="auto" w:sz="4" w:space="0"/>
            <w:right w:val="none" w:color="auto" w:sz="4" w:space="0"/>
            <w:insideH w:val="none" w:color="auto" w:sz="4" w:space="0"/>
            <w:insideV w:val="none" w:color="auto" w:sz="4" w:space="0"/>
          </w:tblBorders>
          <w:shd w:val="clear" w:color="auto" w:fill="auto"/>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shd w:val="clear" w:color="auto" w:fill="auto"/>
            <w:vAlign w:val="top"/>
          </w:tcPr>
          <w:p w14:paraId="45588EBE">
            <w:pPr>
              <w:keepNext w:val="0"/>
              <w:keepLines w:val="0"/>
              <w:widowControl w:val="0"/>
              <w:suppressLineNumbers w:val="0"/>
              <w:autoSpaceDE w:val="0"/>
              <w:autoSpaceDN w:val="0"/>
              <w:spacing w:before="0" w:beforeAutospacing="0" w:after="0" w:afterAutospacing="0" w:line="340" w:lineRule="exact"/>
              <w:ind w:left="0" w:right="0" w:firstLine="1866"/>
              <w:jc w:val="both"/>
              <w:rPr>
                <w:rFonts w:hint="eastAsia" w:ascii="宋体" w:hAnsi="宋体" w:eastAsia="宋体" w:cs="宋体"/>
                <w:spacing w:val="-4"/>
                <w:kern w:val="0"/>
                <w:szCs w:val="21"/>
                <w:lang w:val="en-US"/>
              </w:rPr>
            </w:pPr>
          </w:p>
        </w:tc>
      </w:tr>
      <w:tr w14:paraId="6DA8823D">
        <w:tblPrEx>
          <w:tblBorders>
            <w:top w:val="none" w:color="auto" w:sz="4" w:space="0"/>
            <w:left w:val="none" w:color="auto" w:sz="4" w:space="0"/>
            <w:bottom w:val="single" w:color="auto" w:sz="4" w:space="0"/>
            <w:right w:val="none" w:color="auto" w:sz="4" w:space="0"/>
            <w:insideH w:val="none" w:color="auto" w:sz="4" w:space="0"/>
            <w:insideV w:val="none" w:color="auto" w:sz="4" w:space="0"/>
          </w:tblBorders>
          <w:shd w:val="clear" w:color="auto" w:fill="auto"/>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shd w:val="clear" w:color="auto" w:fill="auto"/>
            <w:vAlign w:val="top"/>
          </w:tcPr>
          <w:p w14:paraId="67CBB7F4">
            <w:pPr>
              <w:keepNext w:val="0"/>
              <w:keepLines w:val="0"/>
              <w:widowControl w:val="0"/>
              <w:suppressLineNumbers w:val="0"/>
              <w:autoSpaceDE w:val="0"/>
              <w:autoSpaceDN w:val="0"/>
              <w:spacing w:before="0" w:beforeAutospacing="0" w:after="0" w:afterAutospacing="0" w:line="340" w:lineRule="exact"/>
              <w:ind w:left="0" w:right="0" w:firstLine="1866"/>
              <w:jc w:val="both"/>
              <w:rPr>
                <w:rFonts w:hint="eastAsia" w:ascii="宋体" w:hAnsi="宋体" w:eastAsia="宋体" w:cs="宋体"/>
                <w:spacing w:val="-4"/>
                <w:kern w:val="0"/>
                <w:szCs w:val="21"/>
                <w:lang w:val="en-US"/>
              </w:rPr>
            </w:pPr>
          </w:p>
        </w:tc>
      </w:tr>
    </w:tbl>
    <w:p w14:paraId="3590A8D9">
      <w:pPr>
        <w:keepNext w:val="0"/>
        <w:keepLines w:val="0"/>
        <w:widowControl/>
        <w:suppressLineNumbers w:val="0"/>
        <w:wordWrap w:val="0"/>
        <w:autoSpaceDE w:val="0"/>
        <w:autoSpaceDN w:val="0"/>
        <w:spacing w:before="0" w:beforeAutospacing="0" w:after="0" w:afterAutospacing="0" w:line="340" w:lineRule="exact"/>
        <w:ind w:left="0" w:right="808" w:firstLine="404" w:firstLineChars="200"/>
        <w:jc w:val="right"/>
        <w:rPr>
          <w:rFonts w:hint="eastAsia" w:ascii="宋体" w:hAnsi="宋体" w:eastAsia="宋体" w:cs="宋体"/>
          <w:spacing w:val="-4"/>
          <w:kern w:val="0"/>
          <w:szCs w:val="21"/>
          <w:lang w:val="en-US"/>
        </w:rPr>
      </w:pPr>
    </w:p>
    <w:p w14:paraId="0136D3F5">
      <w:pPr>
        <w:keepNext w:val="0"/>
        <w:keepLines w:val="0"/>
        <w:widowControl/>
        <w:suppressLineNumbers w:val="0"/>
        <w:wordWrap w:val="0"/>
        <w:autoSpaceDE w:val="0"/>
        <w:autoSpaceDN w:val="0"/>
        <w:spacing w:before="0" w:beforeAutospacing="0" w:after="0" w:afterAutospacing="0" w:line="340" w:lineRule="exact"/>
        <w:ind w:left="0" w:right="808" w:firstLine="404" w:firstLineChars="200"/>
        <w:jc w:val="right"/>
        <w:rPr>
          <w:rFonts w:hint="eastAsia" w:ascii="宋体" w:hAnsi="宋体" w:eastAsia="宋体" w:cs="宋体"/>
          <w:spacing w:val="-4"/>
          <w:kern w:val="0"/>
          <w:szCs w:val="21"/>
          <w:u w:val="single"/>
          <w:lang w:val="en-US"/>
        </w:rPr>
      </w:pPr>
      <w:r>
        <w:rPr>
          <w:rFonts w:hint="eastAsia" w:ascii="宋体" w:hAnsi="宋体" w:eastAsia="宋体" w:cs="宋体"/>
          <w:spacing w:val="-4"/>
          <w:kern w:val="0"/>
          <w:sz w:val="21"/>
          <w:szCs w:val="21"/>
          <w:lang w:val="en-US" w:eastAsia="zh-CN" w:bidi="ar"/>
        </w:rPr>
        <w:t>单位负责人签名：</w:t>
      </w:r>
      <w:r>
        <w:rPr>
          <w:rFonts w:hint="eastAsia" w:ascii="宋体" w:hAnsi="宋体" w:eastAsia="宋体" w:cs="宋体"/>
          <w:spacing w:val="-4"/>
          <w:kern w:val="0"/>
          <w:sz w:val="21"/>
          <w:szCs w:val="21"/>
          <w:u w:val="single"/>
          <w:lang w:val="en-US" w:eastAsia="zh-CN" w:bidi="ar"/>
        </w:rPr>
        <w:t xml:space="preserve">              </w:t>
      </w:r>
    </w:p>
    <w:p w14:paraId="186AD564">
      <w:pPr>
        <w:keepNext w:val="0"/>
        <w:keepLines w:val="0"/>
        <w:widowControl/>
        <w:suppressLineNumbers w:val="0"/>
        <w:wordWrap w:val="0"/>
        <w:autoSpaceDE w:val="0"/>
        <w:autoSpaceDN w:val="0"/>
        <w:spacing w:before="0" w:beforeAutospacing="0" w:after="0" w:afterAutospacing="0" w:line="340" w:lineRule="exact"/>
        <w:ind w:left="0" w:right="808" w:firstLine="404" w:firstLineChars="200"/>
        <w:jc w:val="center"/>
        <w:rPr>
          <w:rFonts w:hint="eastAsia" w:ascii="宋体" w:hAnsi="宋体" w:eastAsia="宋体" w:cs="宋体"/>
          <w:spacing w:val="-4"/>
          <w:kern w:val="0"/>
          <w:szCs w:val="21"/>
          <w:u w:val="single"/>
          <w:lang w:val="en-US"/>
        </w:rPr>
      </w:pPr>
      <w:r>
        <w:rPr>
          <w:rFonts w:hint="eastAsia" w:ascii="宋体" w:hAnsi="宋体" w:eastAsia="宋体" w:cs="宋体"/>
          <w:spacing w:val="-4"/>
          <w:kern w:val="0"/>
          <w:sz w:val="21"/>
          <w:szCs w:val="21"/>
          <w:lang w:val="en-US" w:eastAsia="zh-CN" w:bidi="ar"/>
        </w:rPr>
        <w:t xml:space="preserve">                                 （加盖公章）</w:t>
      </w:r>
    </w:p>
    <w:p w14:paraId="6930E459">
      <w:pPr>
        <w:keepNext w:val="0"/>
        <w:keepLines w:val="0"/>
        <w:widowControl/>
        <w:suppressLineNumbers w:val="0"/>
        <w:wordWrap w:val="0"/>
        <w:autoSpaceDE w:val="0"/>
        <w:autoSpaceDN w:val="0"/>
        <w:spacing w:before="0" w:beforeAutospacing="0" w:after="0" w:afterAutospacing="0" w:line="340" w:lineRule="exact"/>
        <w:ind w:left="0" w:right="808" w:firstLine="404" w:firstLineChars="200"/>
        <w:jc w:val="right"/>
        <w:rPr>
          <w:rFonts w:hint="eastAsia" w:ascii="宋体" w:hAnsi="宋体" w:eastAsia="宋体" w:cs="宋体"/>
          <w:spacing w:val="-4"/>
          <w:kern w:val="0"/>
          <w:szCs w:val="21"/>
          <w:u w:val="single"/>
          <w:lang w:val="en-US"/>
        </w:rPr>
      </w:pPr>
      <w:r>
        <w:rPr>
          <w:rFonts w:hint="eastAsia" w:ascii="宋体" w:hAnsi="宋体" w:eastAsia="宋体" w:cs="宋体"/>
          <w:spacing w:val="-4"/>
          <w:kern w:val="0"/>
          <w:sz w:val="21"/>
          <w:szCs w:val="21"/>
          <w:lang w:val="en-US" w:eastAsia="zh-CN" w:bidi="ar"/>
        </w:rPr>
        <w:t xml:space="preserve">     日期：</w:t>
      </w:r>
      <w:r>
        <w:rPr>
          <w:rFonts w:hint="eastAsia" w:ascii="宋体" w:hAnsi="宋体" w:eastAsia="宋体" w:cs="宋体"/>
          <w:spacing w:val="-4"/>
          <w:kern w:val="0"/>
          <w:sz w:val="21"/>
          <w:szCs w:val="21"/>
          <w:u w:val="single"/>
          <w:lang w:val="en-US" w:eastAsia="zh-CN" w:bidi="ar"/>
        </w:rPr>
        <w:t xml:space="preserve">              </w:t>
      </w:r>
    </w:p>
    <w:p w14:paraId="41624AD1">
      <w:pPr>
        <w:keepNext w:val="0"/>
        <w:keepLines w:val="0"/>
        <w:widowControl/>
        <w:suppressLineNumbers w:val="0"/>
        <w:autoSpaceDE w:val="0"/>
        <w:autoSpaceDN w:val="0"/>
        <w:spacing w:before="0" w:beforeAutospacing="0" w:after="0" w:afterAutospacing="0" w:line="340" w:lineRule="exact"/>
        <w:ind w:left="0" w:right="0" w:firstLine="406" w:firstLineChars="200"/>
        <w:jc w:val="left"/>
        <w:rPr>
          <w:rFonts w:hint="eastAsia" w:ascii="宋体" w:hAnsi="宋体" w:eastAsia="宋体" w:cs="宋体"/>
          <w:b/>
          <w:bCs/>
          <w:color w:val="FF0000"/>
          <w:spacing w:val="-4"/>
          <w:kern w:val="0"/>
          <w:szCs w:val="21"/>
          <w:lang w:val="en-US"/>
        </w:rPr>
      </w:pPr>
    </w:p>
    <w:p w14:paraId="74068D23">
      <w:pPr>
        <w:keepNext w:val="0"/>
        <w:keepLines w:val="0"/>
        <w:widowControl/>
        <w:suppressLineNumbers w:val="0"/>
        <w:autoSpaceDE w:val="0"/>
        <w:autoSpaceDN w:val="0"/>
        <w:spacing w:before="0" w:beforeAutospacing="0" w:after="0" w:afterAutospacing="0" w:line="340" w:lineRule="exact"/>
        <w:ind w:right="0"/>
        <w:jc w:val="left"/>
        <w:rPr>
          <w:rFonts w:hint="eastAsia" w:ascii="宋体" w:hAnsi="宋体" w:eastAsia="宋体" w:cs="宋体"/>
          <w:b/>
          <w:bCs/>
          <w:color w:val="FF0000"/>
          <w:spacing w:val="-4"/>
          <w:kern w:val="0"/>
          <w:szCs w:val="21"/>
          <w:lang w:val="en-US"/>
        </w:rPr>
      </w:pPr>
      <w:r>
        <w:rPr>
          <w:rFonts w:hint="eastAsia" w:ascii="宋体" w:hAnsi="宋体" w:eastAsia="宋体" w:cs="宋体"/>
          <w:b/>
          <w:bCs/>
          <w:color w:val="FF0000"/>
          <w:spacing w:val="-4"/>
          <w:kern w:val="0"/>
          <w:sz w:val="21"/>
          <w:szCs w:val="21"/>
          <w:lang w:val="en-US" w:eastAsia="zh-CN" w:bidi="ar"/>
        </w:rPr>
        <w:t>注：1.《采购违法行为风险知悉确认书》需由投标供应商负责人</w:t>
      </w:r>
      <w:r>
        <w:rPr>
          <w:rFonts w:hint="eastAsia" w:ascii="宋体" w:hAnsi="宋体" w:eastAsia="宋体" w:cs="宋体"/>
          <w:b/>
          <w:bCs/>
          <w:color w:val="FF0000"/>
          <w:spacing w:val="-4"/>
          <w:kern w:val="0"/>
          <w:sz w:val="21"/>
          <w:szCs w:val="21"/>
          <w:highlight w:val="yellow"/>
          <w:lang w:val="en-US" w:eastAsia="zh-CN" w:bidi="ar"/>
        </w:rPr>
        <w:t>签字并加盖单位公章</w:t>
      </w:r>
      <w:r>
        <w:rPr>
          <w:rFonts w:hint="eastAsia" w:ascii="宋体" w:hAnsi="宋体" w:eastAsia="宋体" w:cs="宋体"/>
          <w:b/>
          <w:bCs/>
          <w:color w:val="FF0000"/>
          <w:spacing w:val="-4"/>
          <w:kern w:val="0"/>
          <w:sz w:val="21"/>
          <w:szCs w:val="21"/>
          <w:lang w:val="en-US" w:eastAsia="zh-CN" w:bidi="ar"/>
        </w:rPr>
        <w:t>后，扫描上传至投标文件一并提交。</w:t>
      </w:r>
    </w:p>
    <w:p w14:paraId="568F8A7A">
      <w:pPr>
        <w:pStyle w:val="38"/>
        <w:keepNext w:val="0"/>
        <w:keepLines w:val="0"/>
        <w:widowControl w:val="0"/>
        <w:suppressLineNumbers w:val="0"/>
        <w:spacing w:before="0" w:beforeAutospacing="0" w:after="0" w:afterAutospacing="0"/>
        <w:ind w:left="0" w:right="0"/>
        <w:jc w:val="both"/>
        <w:rPr>
          <w:color w:val="FF0000"/>
          <w:lang w:val="en-US" w:bidi="ar"/>
        </w:rPr>
      </w:pPr>
      <w:r>
        <w:rPr>
          <w:rFonts w:hint="eastAsia" w:ascii="宋体" w:hAnsi="宋体" w:eastAsia="宋体" w:cs="宋体"/>
          <w:b/>
          <w:bCs/>
          <w:color w:val="FF0000"/>
          <w:spacing w:val="-4"/>
          <w:kern w:val="0"/>
          <w:sz w:val="21"/>
          <w:szCs w:val="21"/>
          <w:lang w:val="en-US" w:eastAsia="zh-CN" w:bidi="ar"/>
        </w:rPr>
        <w:t>2.根据《深圳市财政局关于在采购文件及深圳政府采购智慧平台增设供应商投标特别警示条款等事宜的通知》（深财购〔2025〕7号）的要求，《采购违法行为风险知悉确认书》用于对供应商违法行为的提醒，不作为供应商资格性审查及符合性审查条件。</w:t>
      </w:r>
    </w:p>
    <w:p w14:paraId="7866D173">
      <w:pPr>
        <w:keepNext w:val="0"/>
        <w:keepLines w:val="0"/>
        <w:widowControl/>
        <w:suppressLineNumbers w:val="0"/>
        <w:autoSpaceDE w:val="0"/>
        <w:autoSpaceDN w:val="0"/>
        <w:spacing w:before="0" w:beforeAutospacing="0" w:after="0" w:afterAutospacing="0" w:line="400" w:lineRule="exact"/>
        <w:ind w:left="0" w:right="0" w:firstLine="404" w:firstLineChars="200"/>
        <w:jc w:val="left"/>
        <w:rPr>
          <w:rFonts w:hint="eastAsia" w:ascii="宋体" w:hAnsi="宋体" w:eastAsia="宋体" w:cs="宋体"/>
          <w:color w:val="FF0000"/>
          <w:spacing w:val="-4"/>
          <w:kern w:val="0"/>
          <w:szCs w:val="21"/>
          <w:lang w:val="en-US"/>
        </w:rPr>
      </w:pPr>
    </w:p>
    <w:p w14:paraId="2644C127">
      <w:pPr>
        <w:keepNext w:val="0"/>
        <w:keepLines w:val="0"/>
        <w:widowControl/>
        <w:suppressLineNumbers w:val="0"/>
        <w:autoSpaceDE w:val="0"/>
        <w:autoSpaceDN w:val="0"/>
        <w:spacing w:before="0" w:beforeAutospacing="0" w:after="0" w:afterAutospacing="0" w:line="400" w:lineRule="exact"/>
        <w:ind w:left="0" w:right="1414" w:firstLine="480" w:firstLineChars="200"/>
        <w:jc w:val="right"/>
        <w:rPr>
          <w:rFonts w:eastAsia="宋体"/>
          <w:kern w:val="0"/>
          <w:sz w:val="24"/>
          <w:szCs w:val="24"/>
          <w:lang w:val="en-US"/>
        </w:rPr>
      </w:pPr>
    </w:p>
    <w:p w14:paraId="41515AD0">
      <w:pPr>
        <w:rPr>
          <w:rFonts w:hint="eastAsia" w:ascii="黑体" w:hAnsi="Times New Roman" w:eastAsia="黑体" w:cs="黑体"/>
          <w:kern w:val="2"/>
          <w:sz w:val="24"/>
          <w:szCs w:val="20"/>
          <w:lang w:val="en-US" w:eastAsia="zh-CN" w:bidi="ar"/>
        </w:rPr>
      </w:pPr>
      <w:r>
        <w:rPr>
          <w:rFonts w:hint="eastAsia" w:ascii="黑体" w:hAnsi="Times New Roman" w:eastAsia="黑体" w:cs="黑体"/>
          <w:kern w:val="2"/>
          <w:sz w:val="24"/>
          <w:szCs w:val="20"/>
          <w:lang w:val="en-US" w:eastAsia="zh-CN" w:bidi="ar"/>
        </w:rPr>
        <w:br w:type="page"/>
      </w:r>
    </w:p>
    <w:p w14:paraId="4729B82C">
      <w:pPr>
        <w:keepNext w:val="0"/>
        <w:keepLines w:val="0"/>
        <w:widowControl w:val="0"/>
        <w:suppressLineNumbers w:val="0"/>
        <w:spacing w:before="0" w:beforeAutospacing="0" w:after="0" w:afterAutospacing="0"/>
        <w:ind w:left="0" w:right="0"/>
        <w:jc w:val="center"/>
        <w:rPr>
          <w:rFonts w:hint="eastAsia" w:ascii="黑体" w:hAnsi="Times New Roman" w:eastAsia="黑体" w:cs="黑体"/>
          <w:sz w:val="24"/>
          <w:szCs w:val="20"/>
          <w:lang w:val="en-US"/>
        </w:rPr>
      </w:pPr>
      <w:r>
        <w:rPr>
          <w:rFonts w:hint="eastAsia" w:ascii="黑体" w:hAnsi="Times New Roman" w:eastAsia="黑体" w:cs="黑体"/>
          <w:kern w:val="2"/>
          <w:sz w:val="24"/>
          <w:szCs w:val="20"/>
          <w:lang w:val="en-US" w:eastAsia="zh-CN" w:bidi="ar"/>
        </w:rPr>
        <w:t>（二）订单融资情况</w:t>
      </w:r>
    </w:p>
    <w:p w14:paraId="39D0664A">
      <w:pPr>
        <w:keepNext w:val="0"/>
        <w:keepLines w:val="0"/>
        <w:widowControl w:val="0"/>
        <w:suppressLineNumbers w:val="0"/>
        <w:spacing w:before="0" w:beforeAutospacing="0" w:after="0" w:afterAutospacing="0"/>
        <w:ind w:left="0" w:right="0" w:firstLine="422" w:firstLineChars="200"/>
        <w:jc w:val="both"/>
        <w:rPr>
          <w:rFonts w:hint="eastAsia" w:ascii="宋体" w:hAnsi="宋体" w:eastAsia="宋体" w:cs="宋体"/>
          <w:b/>
          <w:bCs/>
          <w:lang w:val="en-US"/>
        </w:rPr>
      </w:pPr>
      <w:r>
        <w:rPr>
          <w:rFonts w:hint="eastAsia" w:ascii="宋体" w:hAnsi="宋体" w:eastAsia="宋体" w:cs="宋体"/>
          <w:b/>
          <w:bCs/>
          <w:kern w:val="2"/>
          <w:sz w:val="21"/>
          <w:szCs w:val="24"/>
          <w:lang w:val="en-US" w:eastAsia="zh-CN" w:bidi="ar"/>
        </w:rPr>
        <w:t>1、关于订单融资政策</w:t>
      </w:r>
    </w:p>
    <w:p w14:paraId="641D3080">
      <w:pPr>
        <w:pStyle w:val="38"/>
        <w:keepNext w:val="0"/>
        <w:keepLines w:val="0"/>
        <w:widowControl w:val="0"/>
        <w:suppressLineNumbers w:val="0"/>
        <w:spacing w:before="0" w:beforeAutospacing="0" w:after="120" w:afterAutospacing="0"/>
        <w:ind w:left="0" w:right="0" w:firstLine="420" w:firstLineChars="200"/>
        <w:jc w:val="both"/>
        <w:rPr>
          <w:b/>
          <w:bCs w:val="0"/>
          <w:szCs w:val="21"/>
          <w:lang w:val="en-US"/>
        </w:rPr>
      </w:pPr>
      <w:r>
        <w:rPr>
          <w:rFonts w:hint="eastAsia" w:ascii="Times New Roman" w:hAnsi="Times New Roman" w:eastAsia="宋体" w:cs="宋体"/>
          <w:bCs/>
          <w:kern w:val="2"/>
          <w:sz w:val="21"/>
          <w:szCs w:val="21"/>
          <w:lang w:val="en-US" w:eastAsia="zh-CN" w:bidi="ar"/>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w:t>
      </w:r>
      <w:r>
        <w:rPr>
          <w:rFonts w:hint="eastAsia" w:cs="宋体"/>
          <w:bCs/>
          <w:kern w:val="2"/>
          <w:sz w:val="21"/>
          <w:szCs w:val="21"/>
          <w:lang w:val="en-US" w:eastAsia="zh-CN" w:bidi="ar"/>
        </w:rPr>
        <w:t>自行</w:t>
      </w:r>
      <w:r>
        <w:rPr>
          <w:rFonts w:hint="eastAsia" w:ascii="Times New Roman" w:hAnsi="Times New Roman" w:eastAsia="宋体" w:cs="宋体"/>
          <w:bCs/>
          <w:kern w:val="2"/>
          <w:sz w:val="21"/>
          <w:szCs w:val="21"/>
          <w:lang w:val="en-US" w:eastAsia="zh-CN" w:bidi="ar"/>
        </w:rPr>
        <w:t>采购活动供应商可凭借所获取的中标通知书与采购合同，向参与订单融资业务的金融机构提出融资申请，金融机构以各自信贷政策为基础，为中标（成交）供应商提供融资授信，订单融资具体流程可登录深圳要素交易金融服务平台</w:t>
      </w:r>
      <w:r>
        <w:rPr>
          <w:rFonts w:hint="default" w:ascii="Times New Roman" w:hAnsi="Times New Roman" w:eastAsia="宋体" w:cs="Times New Roman"/>
          <w:bCs/>
          <w:kern w:val="2"/>
          <w:sz w:val="21"/>
          <w:szCs w:val="21"/>
          <w:lang w:val="en-US" w:eastAsia="zh-CN" w:bidi="ar"/>
        </w:rPr>
        <w:t>(https://finance.szexgrp.com/gtm/web/guarantee/#/)</w:t>
      </w:r>
      <w:r>
        <w:rPr>
          <w:rFonts w:hint="eastAsia" w:ascii="Times New Roman" w:hAnsi="Times New Roman" w:eastAsia="宋体" w:cs="宋体"/>
          <w:bCs/>
          <w:kern w:val="2"/>
          <w:sz w:val="21"/>
          <w:szCs w:val="21"/>
          <w:lang w:val="en-US" w:eastAsia="zh-CN" w:bidi="ar"/>
        </w:rPr>
        <w:t>，相关政策法规参阅深圳市政府采购监管网（</w:t>
      </w:r>
      <w:r>
        <w:rPr>
          <w:rFonts w:hint="default" w:ascii="Times New Roman" w:hAnsi="Times New Roman" w:eastAsia="宋体" w:cs="Times New Roman"/>
          <w:bCs/>
          <w:kern w:val="2"/>
          <w:sz w:val="21"/>
          <w:szCs w:val="21"/>
          <w:lang w:val="en-US" w:eastAsia="zh-CN" w:bidi="ar"/>
        </w:rPr>
        <w:t>http://zfcg.sz.gov.cn/</w:t>
      </w:r>
      <w:r>
        <w:rPr>
          <w:rFonts w:hint="eastAsia" w:ascii="Times New Roman" w:hAnsi="Times New Roman" w:eastAsia="宋体" w:cs="宋体"/>
          <w:bCs/>
          <w:kern w:val="2"/>
          <w:sz w:val="21"/>
          <w:szCs w:val="21"/>
          <w:lang w:val="en-US" w:eastAsia="zh-CN" w:bidi="ar"/>
        </w:rPr>
        <w:t>）信息公开栏目。</w:t>
      </w:r>
    </w:p>
    <w:p w14:paraId="56701D3E">
      <w:pPr>
        <w:keepNext w:val="0"/>
        <w:keepLines w:val="0"/>
        <w:widowControl w:val="0"/>
        <w:suppressLineNumbers w:val="0"/>
        <w:spacing w:before="0" w:beforeAutospacing="0" w:after="0" w:afterAutospacing="0"/>
        <w:ind w:left="0" w:right="0" w:firstLine="422" w:firstLineChars="200"/>
        <w:jc w:val="both"/>
        <w:rPr>
          <w:rFonts w:hint="eastAsia" w:ascii="宋体" w:hAnsi="宋体" w:eastAsia="宋体" w:cs="宋体"/>
          <w:b/>
          <w:bCs/>
          <w:lang w:val="en-US"/>
        </w:rPr>
      </w:pPr>
      <w:r>
        <w:rPr>
          <w:rFonts w:hint="eastAsia" w:ascii="宋体" w:hAnsi="宋体" w:eastAsia="宋体" w:cs="宋体"/>
          <w:b/>
          <w:bCs/>
          <w:kern w:val="2"/>
          <w:sz w:val="21"/>
          <w:szCs w:val="24"/>
          <w:lang w:val="en-US" w:eastAsia="zh-CN" w:bidi="ar"/>
        </w:rPr>
        <w:t>2、供应商账户信息</w:t>
      </w:r>
    </w:p>
    <w:p w14:paraId="4A59B734">
      <w:pPr>
        <w:keepNext w:val="0"/>
        <w:keepLines w:val="0"/>
        <w:widowControl w:val="0"/>
        <w:suppressLineNumbers w:val="0"/>
        <w:spacing w:before="0" w:beforeAutospacing="0" w:after="0" w:afterAutospacing="0"/>
        <w:ind w:left="420" w:leftChars="200" w:right="0" w:firstLine="210" w:firstLineChars="100"/>
        <w:jc w:val="both"/>
        <w:rPr>
          <w:szCs w:val="21"/>
          <w:lang w:val="en-US"/>
        </w:rPr>
      </w:pPr>
      <w:r>
        <w:rPr>
          <w:rFonts w:hint="eastAsia" w:ascii="Times New Roman" w:hAnsi="Times New Roman" w:eastAsia="宋体" w:cs="宋体"/>
          <w:kern w:val="2"/>
          <w:sz w:val="21"/>
          <w:szCs w:val="21"/>
          <w:lang w:val="en-US" w:eastAsia="zh-CN" w:bidi="ar"/>
        </w:rPr>
        <w:t>投标人（单位全称）：</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 xml:space="preserve">  </w:t>
      </w:r>
    </w:p>
    <w:p w14:paraId="08806C94">
      <w:pPr>
        <w:keepNext w:val="0"/>
        <w:keepLines w:val="0"/>
        <w:widowControl w:val="0"/>
        <w:suppressLineNumbers w:val="0"/>
        <w:spacing w:before="0" w:beforeAutospacing="0" w:after="0" w:afterAutospacing="0"/>
        <w:ind w:left="420" w:leftChars="200" w:right="0" w:firstLine="210" w:firstLineChars="100"/>
        <w:jc w:val="both"/>
        <w:rPr>
          <w:szCs w:val="21"/>
          <w:lang w:val="en-US"/>
        </w:rPr>
      </w:pPr>
      <w:r>
        <w:rPr>
          <w:rFonts w:hint="eastAsia" w:ascii="Times New Roman" w:hAnsi="Times New Roman" w:eastAsia="宋体" w:cs="宋体"/>
          <w:kern w:val="2"/>
          <w:sz w:val="21"/>
          <w:szCs w:val="21"/>
          <w:lang w:val="en-US" w:eastAsia="zh-CN" w:bidi="ar"/>
        </w:rPr>
        <w:t>投标人单位地址：</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14:paraId="3EC4DFD8">
      <w:pPr>
        <w:keepNext w:val="0"/>
        <w:keepLines w:val="0"/>
        <w:widowControl w:val="0"/>
        <w:suppressLineNumbers w:val="0"/>
        <w:spacing w:before="0" w:beforeAutospacing="0" w:after="0" w:afterAutospacing="0"/>
        <w:ind w:left="420" w:leftChars="200" w:right="0" w:firstLine="210" w:firstLineChars="100"/>
        <w:jc w:val="both"/>
        <w:rPr>
          <w:szCs w:val="21"/>
          <w:lang w:val="en-US"/>
        </w:rPr>
      </w:pPr>
      <w:r>
        <w:rPr>
          <w:rFonts w:hint="eastAsia" w:ascii="Times New Roman" w:hAnsi="Times New Roman" w:eastAsia="宋体" w:cs="宋体"/>
          <w:kern w:val="2"/>
          <w:sz w:val="21"/>
          <w:szCs w:val="21"/>
          <w:lang w:val="en-US" w:eastAsia="zh-CN" w:bidi="ar"/>
        </w:rPr>
        <w:t>法定代表人（负责人）或其授权委托代理人：</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14:paraId="72CE4D04">
      <w:pPr>
        <w:keepNext w:val="0"/>
        <w:keepLines w:val="0"/>
        <w:widowControl w:val="0"/>
        <w:suppressLineNumbers w:val="0"/>
        <w:spacing w:before="0" w:beforeAutospacing="0" w:after="0" w:afterAutospacing="0"/>
        <w:ind w:left="420" w:leftChars="200" w:right="0" w:firstLine="210" w:firstLineChars="100"/>
        <w:jc w:val="both"/>
        <w:rPr>
          <w:szCs w:val="21"/>
          <w:u w:val="thick"/>
          <w:lang w:val="en-US"/>
        </w:rPr>
      </w:pPr>
      <w:r>
        <w:rPr>
          <w:rFonts w:hint="eastAsia" w:ascii="Times New Roman" w:hAnsi="Times New Roman" w:eastAsia="宋体" w:cs="宋体"/>
          <w:kern w:val="2"/>
          <w:sz w:val="21"/>
          <w:szCs w:val="21"/>
          <w:lang w:val="en-US" w:eastAsia="zh-CN" w:bidi="ar"/>
        </w:rPr>
        <w:t>联系电话：</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14:paraId="78C61DFA">
      <w:pPr>
        <w:keepNext w:val="0"/>
        <w:keepLines w:val="0"/>
        <w:widowControl w:val="0"/>
        <w:suppressLineNumbers w:val="0"/>
        <w:spacing w:before="0" w:beforeAutospacing="0" w:after="0" w:afterAutospacing="0"/>
        <w:ind w:left="420" w:leftChars="200" w:right="0" w:firstLine="210" w:firstLineChars="100"/>
        <w:jc w:val="both"/>
        <w:rPr>
          <w:szCs w:val="21"/>
          <w:lang w:val="en-US"/>
        </w:rPr>
      </w:pPr>
      <w:r>
        <w:rPr>
          <w:rFonts w:hint="eastAsia" w:ascii="Times New Roman" w:hAnsi="Times New Roman" w:eastAsia="宋体" w:cs="宋体"/>
          <w:kern w:val="2"/>
          <w:sz w:val="21"/>
          <w:szCs w:val="21"/>
          <w:lang w:val="en-US" w:eastAsia="zh-CN" w:bidi="ar"/>
        </w:rPr>
        <w:t>开户银行名称：</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14:paraId="27BBF3F1">
      <w:pPr>
        <w:keepNext w:val="0"/>
        <w:keepLines w:val="0"/>
        <w:widowControl w:val="0"/>
        <w:suppressLineNumbers w:val="0"/>
        <w:spacing w:before="0" w:beforeAutospacing="0" w:after="0" w:afterAutospacing="0"/>
        <w:ind w:left="420" w:leftChars="200" w:right="0" w:firstLine="210" w:firstLineChars="100"/>
        <w:jc w:val="both"/>
        <w:rPr>
          <w:szCs w:val="21"/>
          <w:u w:val="thick"/>
          <w:lang w:val="en-US"/>
        </w:rPr>
      </w:pPr>
      <w:r>
        <w:rPr>
          <w:rFonts w:hint="eastAsia" w:ascii="Times New Roman" w:hAnsi="Times New Roman" w:eastAsia="宋体" w:cs="宋体"/>
          <w:kern w:val="2"/>
          <w:sz w:val="21"/>
          <w:szCs w:val="21"/>
          <w:lang w:val="en-US" w:eastAsia="zh-CN" w:bidi="ar"/>
        </w:rPr>
        <w:t>开户银行账号：</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14:paraId="3BF733F4">
      <w:pPr>
        <w:keepNext w:val="0"/>
        <w:keepLines w:val="0"/>
        <w:widowControl w:val="0"/>
        <w:suppressLineNumbers w:val="0"/>
        <w:spacing w:before="0" w:beforeAutospacing="0" w:after="0" w:afterAutospacing="0"/>
        <w:ind w:left="420" w:leftChars="200" w:right="0" w:firstLine="210" w:firstLineChars="100"/>
        <w:jc w:val="both"/>
        <w:rPr>
          <w:szCs w:val="21"/>
          <w:lang w:val="en-US"/>
        </w:rPr>
      </w:pPr>
      <w:r>
        <w:rPr>
          <w:rFonts w:hint="eastAsia" w:ascii="Times New Roman" w:hAnsi="Times New Roman" w:eastAsia="宋体" w:cs="宋体"/>
          <w:kern w:val="2"/>
          <w:sz w:val="21"/>
          <w:szCs w:val="21"/>
          <w:lang w:val="en-US" w:eastAsia="zh-CN" w:bidi="ar"/>
        </w:rPr>
        <w:t>开户银行地址：</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14:paraId="244D1DD5">
      <w:pPr>
        <w:keepNext w:val="0"/>
        <w:keepLines w:val="0"/>
        <w:widowControl w:val="0"/>
        <w:suppressLineNumbers w:val="0"/>
        <w:spacing w:before="0" w:beforeAutospacing="0" w:after="0" w:afterAutospacing="0"/>
        <w:ind w:right="0"/>
        <w:jc w:val="both"/>
        <w:rPr>
          <w:szCs w:val="21"/>
          <w:lang w:val="en-US"/>
        </w:rPr>
      </w:pPr>
      <w:r>
        <w:rPr>
          <w:rFonts w:hint="eastAsia" w:ascii="宋体" w:hAnsi="宋体" w:eastAsia="宋体" w:cs="宋体"/>
          <w:b/>
          <w:bCs/>
          <w:color w:val="FF0000"/>
          <w:spacing w:val="-4"/>
          <w:kern w:val="0"/>
          <w:sz w:val="21"/>
          <w:szCs w:val="21"/>
          <w:lang w:val="en-US" w:eastAsia="zh-CN" w:bidi="ar"/>
        </w:rPr>
        <w:t>注：本项填写内容作为订单融资开展的参考信息，不作为供应商资格性审查及符合性审查条件。</w:t>
      </w:r>
    </w:p>
    <w:p w14:paraId="2E8C330C">
      <w:pPr>
        <w:keepNext w:val="0"/>
        <w:keepLines w:val="0"/>
        <w:widowControl/>
        <w:suppressLineNumbers w:val="0"/>
        <w:autoSpaceDE w:val="0"/>
        <w:autoSpaceDN w:val="0"/>
        <w:spacing w:before="0" w:beforeAutospacing="0" w:after="0" w:afterAutospacing="0" w:line="400" w:lineRule="exact"/>
        <w:ind w:left="0" w:right="1414" w:firstLine="480" w:firstLineChars="200"/>
        <w:jc w:val="right"/>
        <w:rPr>
          <w:rFonts w:eastAsia="宋体"/>
          <w:kern w:val="0"/>
          <w:sz w:val="24"/>
          <w:szCs w:val="24"/>
          <w:lang w:val="en-US"/>
        </w:rPr>
      </w:pPr>
    </w:p>
    <w:p w14:paraId="7AE68931">
      <w:pPr>
        <w:rPr>
          <w:rFonts w:hint="eastAsia" w:ascii="黑体" w:hAnsi="宋体" w:eastAsia="黑体" w:cs="黑体"/>
          <w:kern w:val="0"/>
          <w:sz w:val="24"/>
          <w:szCs w:val="20"/>
          <w:lang w:val="en-US" w:eastAsia="zh-CN" w:bidi="ar"/>
        </w:rPr>
      </w:pPr>
      <w:r>
        <w:rPr>
          <w:rFonts w:hint="eastAsia" w:ascii="黑体" w:hAnsi="宋体" w:eastAsia="黑体" w:cs="黑体"/>
          <w:kern w:val="0"/>
          <w:sz w:val="24"/>
          <w:szCs w:val="20"/>
          <w:lang w:val="en-US" w:eastAsia="zh-CN" w:bidi="ar"/>
        </w:rPr>
        <w:br w:type="page"/>
      </w:r>
    </w:p>
    <w:p w14:paraId="7A35206B">
      <w:pPr>
        <w:keepNext w:val="0"/>
        <w:keepLines w:val="0"/>
        <w:widowControl/>
        <w:suppressLineNumbers w:val="0"/>
        <w:spacing w:before="0" w:beforeAutospacing="0" w:after="0" w:afterAutospacing="0"/>
        <w:ind w:left="0" w:right="0"/>
        <w:jc w:val="center"/>
        <w:rPr>
          <w:rFonts w:hint="eastAsia" w:ascii="黑体" w:hAnsi="宋体" w:eastAsia="黑体" w:cs="黑体"/>
          <w:kern w:val="0"/>
          <w:sz w:val="24"/>
          <w:szCs w:val="20"/>
          <w:lang w:val="en-US"/>
        </w:rPr>
      </w:pPr>
      <w:r>
        <w:rPr>
          <w:rFonts w:hint="eastAsia" w:ascii="黑体" w:hAnsi="宋体" w:eastAsia="黑体" w:cs="黑体"/>
          <w:kern w:val="0"/>
          <w:sz w:val="24"/>
          <w:szCs w:val="20"/>
          <w:lang w:val="en-US" w:eastAsia="zh-CN" w:bidi="ar"/>
        </w:rPr>
        <w:t>（三）投标人认为需要加以说明的其他内容（格式自定）</w:t>
      </w:r>
    </w:p>
    <w:p w14:paraId="23E7D541">
      <w:pPr>
        <w:widowControl/>
        <w:jc w:val="left"/>
        <w:rPr>
          <w:rFonts w:ascii="宋体" w:hAnsi="宋体"/>
          <w:b/>
          <w:bCs/>
          <w:kern w:val="0"/>
          <w:sz w:val="24"/>
          <w:szCs w:val="20"/>
        </w:rPr>
      </w:pPr>
      <w:r>
        <w:br w:type="page"/>
      </w:r>
    </w:p>
    <w:p w14:paraId="609DBF72">
      <w:pPr>
        <w:pStyle w:val="7"/>
      </w:pPr>
      <w:r>
        <w:rPr>
          <w:rFonts w:hint="eastAsia"/>
        </w:rPr>
        <w:t>第五章  合同条款及格式</w:t>
      </w:r>
    </w:p>
    <w:p w14:paraId="2DF1E37C"/>
    <w:p w14:paraId="714D590B">
      <w:pPr>
        <w:jc w:val="center"/>
        <w:outlineLvl w:val="0"/>
      </w:pPr>
      <w:bookmarkStart w:id="44" w:name="_Toc3995"/>
      <w:r>
        <w:rPr>
          <w:rFonts w:hint="eastAsia"/>
          <w:b/>
          <w:sz w:val="24"/>
        </w:rPr>
        <w:t>（仅供参考，具体以项目需求及采购结果为准）</w:t>
      </w:r>
    </w:p>
    <w:p w14:paraId="6ABEDB8D">
      <w:pPr>
        <w:widowControl w:val="0"/>
        <w:spacing w:after="0"/>
        <w:jc w:val="center"/>
        <w:rPr>
          <w:rFonts w:ascii="宋体" w:hAnsi="宋体" w:eastAsia="宋体" w:cs="宋体"/>
          <w:b/>
          <w:bCs/>
          <w:spacing w:val="-20"/>
          <w:kern w:val="44"/>
          <w:sz w:val="48"/>
          <w:szCs w:val="48"/>
          <w:lang w:val="en-US" w:eastAsia="zh-CN" w:bidi="ar-SA"/>
        </w:rPr>
      </w:pPr>
    </w:p>
    <w:p w14:paraId="41E27DEB">
      <w:pPr>
        <w:widowControl w:val="0"/>
        <w:spacing w:after="0"/>
        <w:jc w:val="center"/>
        <w:rPr>
          <w:rFonts w:ascii="宋体" w:hAnsi="宋体" w:eastAsia="宋体" w:cs="宋体"/>
          <w:b/>
          <w:bCs/>
          <w:spacing w:val="-20"/>
          <w:kern w:val="44"/>
          <w:sz w:val="48"/>
          <w:szCs w:val="48"/>
          <w:lang w:val="en-US" w:eastAsia="zh-CN" w:bidi="ar-SA"/>
        </w:rPr>
      </w:pPr>
    </w:p>
    <w:p w14:paraId="545F82B2">
      <w:pPr>
        <w:pStyle w:val="2"/>
        <w:rPr>
          <w:lang w:val="en-US" w:eastAsia="zh-CN"/>
        </w:rPr>
      </w:pPr>
    </w:p>
    <w:p w14:paraId="658AA36C">
      <w:pPr>
        <w:widowControl w:val="0"/>
        <w:spacing w:after="0"/>
        <w:jc w:val="center"/>
        <w:rPr>
          <w:rFonts w:hint="eastAsia" w:ascii="宋体" w:hAnsi="宋体" w:eastAsia="宋体" w:cs="宋体"/>
          <w:b/>
          <w:bCs/>
          <w:spacing w:val="-20"/>
          <w:kern w:val="44"/>
          <w:sz w:val="48"/>
          <w:szCs w:val="48"/>
          <w:lang w:val="en-US" w:eastAsia="zh-CN" w:bidi="ar-SA"/>
        </w:rPr>
      </w:pPr>
      <w:r>
        <w:rPr>
          <w:rFonts w:hint="eastAsia" w:ascii="宋体" w:hAnsi="宋体" w:eastAsia="宋体" w:cs="宋体"/>
          <w:b/>
          <w:bCs/>
          <w:spacing w:val="-20"/>
          <w:kern w:val="44"/>
          <w:sz w:val="48"/>
          <w:szCs w:val="48"/>
          <w:lang w:val="en-US" w:eastAsia="zh-CN" w:bidi="ar-SA"/>
        </w:rPr>
        <w:t>货物买卖合同</w:t>
      </w:r>
    </w:p>
    <w:p w14:paraId="6A9B0D77">
      <w:pPr>
        <w:widowControl w:val="0"/>
        <w:spacing w:after="0"/>
        <w:jc w:val="center"/>
        <w:rPr>
          <w:rFonts w:hint="eastAsia" w:ascii="宋体" w:hAnsi="宋体" w:eastAsia="宋体" w:cs="宋体"/>
          <w:b/>
          <w:bCs/>
          <w:spacing w:val="-20"/>
          <w:kern w:val="44"/>
          <w:sz w:val="48"/>
          <w:szCs w:val="48"/>
          <w:lang w:val="en-US" w:eastAsia="zh-CN" w:bidi="ar-SA"/>
        </w:rPr>
      </w:pPr>
      <w:r>
        <w:rPr>
          <w:rFonts w:hint="eastAsia" w:ascii="宋体" w:hAnsi="宋体" w:eastAsia="宋体" w:cs="宋体"/>
          <w:b/>
          <w:bCs/>
          <w:spacing w:val="-20"/>
          <w:kern w:val="44"/>
          <w:sz w:val="48"/>
          <w:szCs w:val="48"/>
          <w:lang w:val="en-US" w:eastAsia="zh-CN" w:bidi="ar-SA"/>
        </w:rPr>
        <w:t>（试行）</w:t>
      </w:r>
    </w:p>
    <w:p w14:paraId="76CD8748">
      <w:pPr>
        <w:rPr>
          <w:rFonts w:ascii="宋体" w:hAnsi="宋体" w:eastAsia="宋体" w:cs="宋体"/>
          <w:b/>
          <w:bCs/>
          <w:spacing w:val="-20"/>
          <w:kern w:val="44"/>
          <w:sz w:val="40"/>
          <w:szCs w:val="40"/>
        </w:rPr>
      </w:pPr>
    </w:p>
    <w:p w14:paraId="3CDF66C1">
      <w:pPr>
        <w:rPr>
          <w:rFonts w:ascii="宋体" w:hAnsi="宋体" w:eastAsia="宋体" w:cs="宋体"/>
          <w:b/>
          <w:bCs/>
          <w:spacing w:val="-20"/>
          <w:kern w:val="44"/>
          <w:sz w:val="40"/>
          <w:szCs w:val="40"/>
        </w:rPr>
      </w:pPr>
    </w:p>
    <w:p w14:paraId="4B60953B">
      <w:pPr>
        <w:rPr>
          <w:rFonts w:ascii="宋体" w:hAnsi="宋体" w:eastAsia="宋体" w:cs="宋体"/>
          <w:b/>
          <w:bCs/>
          <w:spacing w:val="-20"/>
          <w:kern w:val="44"/>
          <w:sz w:val="40"/>
          <w:szCs w:val="40"/>
        </w:rPr>
      </w:pPr>
    </w:p>
    <w:p w14:paraId="078D6D05">
      <w:pPr>
        <w:spacing w:line="360" w:lineRule="auto"/>
        <w:ind w:left="420" w:leftChars="200"/>
        <w:rPr>
          <w:rFonts w:eastAsia="宋体"/>
          <w:sz w:val="32"/>
          <w:szCs w:val="32"/>
        </w:rPr>
      </w:pPr>
      <w:r>
        <w:rPr>
          <w:rFonts w:hint="eastAsia" w:ascii="宋体" w:hAnsi="宋体" w:eastAsia="宋体" w:cs="宋体"/>
          <w:kern w:val="0"/>
          <w:sz w:val="32"/>
          <w:szCs w:val="32"/>
        </w:rPr>
        <w:t>项目名称：</w:t>
      </w:r>
      <w:r>
        <w:rPr>
          <w:rFonts w:hint="eastAsia" w:eastAsia="宋体"/>
          <w:sz w:val="32"/>
          <w:szCs w:val="32"/>
          <w:u w:val="single"/>
        </w:rPr>
        <w:t xml:space="preserve">                             </w:t>
      </w:r>
    </w:p>
    <w:p w14:paraId="22242B70">
      <w:pPr>
        <w:spacing w:line="360" w:lineRule="auto"/>
        <w:ind w:left="420" w:leftChars="200"/>
        <w:rPr>
          <w:rFonts w:eastAsia="宋体"/>
          <w:sz w:val="32"/>
          <w:szCs w:val="32"/>
          <w:u w:val="single"/>
        </w:rPr>
      </w:pPr>
      <w:r>
        <w:rPr>
          <w:rFonts w:hint="eastAsia" w:eastAsia="宋体"/>
          <w:sz w:val="32"/>
          <w:szCs w:val="32"/>
        </w:rPr>
        <w:t>合同编号：</w:t>
      </w:r>
      <w:r>
        <w:rPr>
          <w:rFonts w:hint="eastAsia" w:eastAsia="宋体"/>
          <w:sz w:val="32"/>
          <w:szCs w:val="32"/>
          <w:u w:val="single"/>
        </w:rPr>
        <w:t xml:space="preserve">                             </w:t>
      </w:r>
    </w:p>
    <w:p w14:paraId="090B5DFF">
      <w:pPr>
        <w:spacing w:line="360" w:lineRule="auto"/>
        <w:ind w:left="420" w:leftChars="200"/>
        <w:rPr>
          <w:rFonts w:eastAsia="宋体"/>
          <w:sz w:val="32"/>
          <w:szCs w:val="32"/>
        </w:rPr>
      </w:pPr>
      <w:r>
        <w:rPr>
          <w:rFonts w:hint="eastAsia" w:eastAsia="宋体"/>
          <w:sz w:val="32"/>
          <w:szCs w:val="32"/>
        </w:rPr>
        <w:t>甲    方：</w:t>
      </w:r>
      <w:r>
        <w:rPr>
          <w:rFonts w:hint="eastAsia" w:eastAsia="宋体"/>
          <w:sz w:val="32"/>
          <w:szCs w:val="32"/>
          <w:u w:val="single"/>
        </w:rPr>
        <w:t xml:space="preserve">                             </w:t>
      </w:r>
    </w:p>
    <w:p w14:paraId="231DB89C">
      <w:pPr>
        <w:spacing w:line="360" w:lineRule="auto"/>
        <w:ind w:left="420" w:leftChars="200"/>
        <w:rPr>
          <w:rFonts w:eastAsia="宋体"/>
          <w:sz w:val="32"/>
          <w:szCs w:val="32"/>
          <w:u w:val="single"/>
        </w:rPr>
      </w:pPr>
      <w:r>
        <w:rPr>
          <w:rFonts w:hint="eastAsia" w:eastAsia="宋体"/>
          <w:sz w:val="32"/>
          <w:szCs w:val="32"/>
        </w:rPr>
        <w:t>乙    方：</w:t>
      </w:r>
      <w:r>
        <w:rPr>
          <w:rFonts w:hint="eastAsia" w:eastAsia="宋体"/>
          <w:sz w:val="32"/>
          <w:szCs w:val="32"/>
          <w:u w:val="single"/>
        </w:rPr>
        <w:t xml:space="preserve">                             </w:t>
      </w:r>
    </w:p>
    <w:p w14:paraId="535B91BB">
      <w:pPr>
        <w:spacing w:line="360" w:lineRule="auto"/>
        <w:ind w:left="420" w:leftChars="200"/>
        <w:rPr>
          <w:rFonts w:eastAsia="宋体"/>
          <w:sz w:val="32"/>
          <w:szCs w:val="32"/>
        </w:rPr>
      </w:pPr>
      <w:r>
        <w:rPr>
          <w:rFonts w:hint="eastAsia" w:eastAsia="宋体"/>
          <w:sz w:val="32"/>
          <w:szCs w:val="32"/>
        </w:rPr>
        <w:t>签订时间：</w:t>
      </w:r>
      <w:r>
        <w:rPr>
          <w:rFonts w:hint="eastAsia" w:eastAsia="宋体"/>
          <w:sz w:val="32"/>
          <w:szCs w:val="32"/>
          <w:u w:val="single"/>
        </w:rPr>
        <w:t xml:space="preserve">      </w:t>
      </w:r>
      <w:r>
        <w:rPr>
          <w:rFonts w:eastAsia="宋体"/>
          <w:sz w:val="32"/>
          <w:szCs w:val="32"/>
          <w:u w:val="single"/>
        </w:rPr>
        <w:t xml:space="preserve">           </w:t>
      </w:r>
      <w:r>
        <w:rPr>
          <w:rFonts w:hint="eastAsia" w:eastAsia="宋体"/>
          <w:sz w:val="32"/>
          <w:szCs w:val="32"/>
          <w:u w:val="single"/>
        </w:rPr>
        <w:t xml:space="preserve">            </w:t>
      </w:r>
    </w:p>
    <w:p w14:paraId="3A7F259C">
      <w:pPr>
        <w:rPr>
          <w:rFonts w:eastAsia="宋体"/>
        </w:rPr>
      </w:pPr>
    </w:p>
    <w:p w14:paraId="78836A35">
      <w:pPr>
        <w:rPr>
          <w:rFonts w:eastAsia="黑体"/>
          <w:sz w:val="44"/>
          <w:szCs w:val="44"/>
        </w:rPr>
      </w:pPr>
      <w:r>
        <w:rPr>
          <w:rFonts w:eastAsia="黑体"/>
          <w:sz w:val="44"/>
          <w:szCs w:val="44"/>
        </w:rPr>
        <w:br w:type="page"/>
      </w:r>
    </w:p>
    <w:p w14:paraId="2C2D0B31">
      <w:pPr>
        <w:rPr>
          <w:rFonts w:eastAsia="黑体"/>
          <w:sz w:val="44"/>
          <w:szCs w:val="44"/>
        </w:rPr>
      </w:pPr>
    </w:p>
    <w:p w14:paraId="35014C84">
      <w:pPr>
        <w:rPr>
          <w:rFonts w:eastAsia="黑体"/>
          <w:sz w:val="44"/>
          <w:szCs w:val="44"/>
        </w:rPr>
      </w:pPr>
    </w:p>
    <w:p w14:paraId="3CDC5C58">
      <w:pPr>
        <w:jc w:val="center"/>
        <w:rPr>
          <w:rFonts w:hint="eastAsia" w:eastAsia="黑体"/>
          <w:sz w:val="44"/>
          <w:szCs w:val="44"/>
          <w:lang w:eastAsia="zh-CN"/>
        </w:rPr>
      </w:pPr>
      <w:r>
        <w:rPr>
          <w:rFonts w:hint="eastAsia" w:eastAsia="黑体"/>
          <w:sz w:val="44"/>
          <w:szCs w:val="44"/>
          <w:lang w:eastAsia="zh-CN"/>
        </w:rPr>
        <w:t>使</w:t>
      </w:r>
      <w:r>
        <w:rPr>
          <w:rFonts w:hint="eastAsia" w:eastAsia="黑体"/>
          <w:sz w:val="44"/>
          <w:szCs w:val="44"/>
          <w:lang w:val="en-US" w:eastAsia="zh-CN"/>
        </w:rPr>
        <w:t xml:space="preserve"> </w:t>
      </w:r>
      <w:r>
        <w:rPr>
          <w:rFonts w:hint="eastAsia" w:eastAsia="黑体"/>
          <w:sz w:val="44"/>
          <w:szCs w:val="44"/>
          <w:lang w:eastAsia="zh-CN"/>
        </w:rPr>
        <w:t>用</w:t>
      </w:r>
      <w:r>
        <w:rPr>
          <w:rFonts w:hint="eastAsia" w:eastAsia="黑体"/>
          <w:sz w:val="44"/>
          <w:szCs w:val="44"/>
          <w:lang w:val="en-US" w:eastAsia="zh-CN"/>
        </w:rPr>
        <w:t xml:space="preserve"> </w:t>
      </w:r>
      <w:r>
        <w:rPr>
          <w:rFonts w:hint="eastAsia" w:eastAsia="黑体"/>
          <w:sz w:val="44"/>
          <w:szCs w:val="44"/>
          <w:lang w:eastAsia="zh-CN"/>
        </w:rPr>
        <w:t>说</w:t>
      </w:r>
      <w:r>
        <w:rPr>
          <w:rFonts w:hint="eastAsia" w:eastAsia="黑体"/>
          <w:sz w:val="44"/>
          <w:szCs w:val="44"/>
          <w:lang w:val="en-US" w:eastAsia="zh-CN"/>
        </w:rPr>
        <w:t xml:space="preserve"> </w:t>
      </w:r>
      <w:r>
        <w:rPr>
          <w:rFonts w:hint="eastAsia" w:eastAsia="黑体"/>
          <w:sz w:val="44"/>
          <w:szCs w:val="44"/>
          <w:lang w:eastAsia="zh-CN"/>
        </w:rPr>
        <w:t>明</w:t>
      </w:r>
    </w:p>
    <w:p w14:paraId="3EDD0809">
      <w:pPr>
        <w:ind w:firstLine="640" w:firstLineChars="200"/>
        <w:rPr>
          <w:rFonts w:hint="eastAsia" w:ascii="仿宋_GB2312" w:hAnsi="仿宋_GB2312" w:eastAsia="仿宋_GB2312" w:cs="仿宋_GB2312"/>
          <w:sz w:val="32"/>
          <w:szCs w:val="32"/>
          <w:lang w:val="en-US" w:eastAsia="zh-CN"/>
        </w:rPr>
      </w:pPr>
    </w:p>
    <w:p w14:paraId="3D5F9A81">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1.本合同标准文本适用于购买现成货物的采购项目，不包括需要供应商定制开发、创新研发的货物采购项目。</w:t>
      </w:r>
    </w:p>
    <w:p w14:paraId="34F40072">
      <w:pPr>
        <w:numPr>
          <w:ilvl w:val="0"/>
          <w:numId w:val="0"/>
        </w:numPr>
        <w:ind w:firstLine="640" w:firstLineChars="200"/>
        <w:rPr>
          <w:rFonts w:hint="default" w:eastAsia="黑体"/>
          <w:sz w:val="44"/>
          <w:szCs w:val="44"/>
          <w:lang w:val="en-US" w:eastAsia="zh-CN"/>
        </w:rPr>
      </w:pPr>
      <w:r>
        <w:rPr>
          <w:rFonts w:hint="eastAsia" w:ascii="仿宋_GB2312" w:hAnsi="仿宋_GB2312" w:eastAsia="仿宋_GB2312" w:cs="仿宋_GB2312"/>
          <w:sz w:val="32"/>
          <w:szCs w:val="32"/>
          <w:lang w:val="en-US" w:eastAsia="zh-CN"/>
        </w:rPr>
        <w:t>2.本合同标准文本为采购货物买卖合同编制提供参考，可以结合采购项目具体情况，对文本作必要的调整修订后使用。</w:t>
      </w:r>
    </w:p>
    <w:p w14:paraId="0B5B70EA">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3.本合同标准文本各条款中，如涉及填写多家供应商、制造商，多种采购标的、分包主要内容等信息的，可根据采购项目具体情况添加信息项。</w:t>
      </w:r>
    </w:p>
    <w:p w14:paraId="249671B7">
      <w:pPr>
        <w:ind w:firstLine="880" w:firstLineChars="200"/>
        <w:jc w:val="both"/>
        <w:rPr>
          <w:rFonts w:eastAsia="黑体"/>
          <w:sz w:val="44"/>
          <w:szCs w:val="44"/>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bookmarkEnd w:id="44"/>
    <w:p w14:paraId="1D1199A9">
      <w:pPr>
        <w:keepNext/>
        <w:keepLines/>
        <w:widowControl w:val="0"/>
        <w:adjustRightInd w:val="0"/>
        <w:snapToGrid w:val="0"/>
        <w:spacing w:beforeLines="0" w:line="400" w:lineRule="exact"/>
        <w:jc w:val="center"/>
        <w:outlineLvl w:val="1"/>
        <w:rPr>
          <w:rFonts w:hint="eastAsia" w:ascii="黑体" w:hAnsi="黑体" w:eastAsia="黑体" w:cs="Times New Roman"/>
          <w:b/>
          <w:bCs/>
          <w:kern w:val="2"/>
          <w:sz w:val="28"/>
          <w:szCs w:val="28"/>
          <w:lang w:val="en-US" w:eastAsia="zh-CN" w:bidi="ar-SA"/>
        </w:rPr>
      </w:pPr>
      <w:bookmarkStart w:id="45" w:name="_Toc22209"/>
    </w:p>
    <w:p w14:paraId="4BE3A508">
      <w:pPr>
        <w:keepNext/>
        <w:keepLines/>
        <w:widowControl w:val="0"/>
        <w:adjustRightInd w:val="0"/>
        <w:snapToGrid w:val="0"/>
        <w:spacing w:beforeLines="0" w:line="400" w:lineRule="exact"/>
        <w:jc w:val="center"/>
        <w:outlineLvl w:val="1"/>
        <w:rPr>
          <w:rFonts w:hint="eastAsia" w:ascii="黑体" w:hAnsi="华文中宋" w:eastAsia="黑体" w:cs="Times New Roman"/>
          <w:b w:val="0"/>
          <w:bCs w:val="0"/>
          <w:kern w:val="2"/>
          <w:sz w:val="28"/>
          <w:szCs w:val="28"/>
          <w:lang w:val="en-US" w:eastAsia="zh-CN" w:bidi="ar-SA"/>
        </w:rPr>
      </w:pPr>
      <w:r>
        <w:rPr>
          <w:rFonts w:hint="eastAsia" w:ascii="黑体" w:hAnsi="黑体" w:eastAsia="黑体" w:cs="Times New Roman"/>
          <w:b w:val="0"/>
          <w:bCs w:val="0"/>
          <w:kern w:val="2"/>
          <w:sz w:val="28"/>
          <w:szCs w:val="28"/>
          <w:lang w:val="en-US" w:eastAsia="zh-CN" w:bidi="ar-SA"/>
        </w:rPr>
        <w:t xml:space="preserve">第一节 </w:t>
      </w:r>
      <w:r>
        <w:rPr>
          <w:rFonts w:hint="eastAsia" w:ascii="黑体" w:hAnsi="华文中宋" w:eastAsia="黑体" w:cs="Times New Roman"/>
          <w:b w:val="0"/>
          <w:bCs w:val="0"/>
          <w:kern w:val="2"/>
          <w:sz w:val="28"/>
          <w:szCs w:val="28"/>
          <w:lang w:val="en-US" w:eastAsia="zh-CN" w:bidi="ar-SA"/>
        </w:rPr>
        <w:t>合同协议书</w:t>
      </w:r>
      <w:bookmarkEnd w:id="45"/>
    </w:p>
    <w:p w14:paraId="505E6ECE">
      <w:pPr>
        <w:keepNext/>
        <w:keepLines/>
        <w:widowControl w:val="0"/>
        <w:adjustRightInd w:val="0"/>
        <w:snapToGrid w:val="0"/>
        <w:spacing w:beforeLines="0" w:line="400" w:lineRule="exact"/>
        <w:jc w:val="center"/>
        <w:outlineLvl w:val="1"/>
        <w:rPr>
          <w:rFonts w:hint="eastAsia" w:ascii="黑体" w:hAnsi="华文中宋" w:eastAsia="黑体" w:cs="Times New Roman"/>
          <w:b w:val="0"/>
          <w:bCs w:val="0"/>
          <w:kern w:val="2"/>
          <w:sz w:val="28"/>
          <w:szCs w:val="28"/>
          <w:lang w:val="en-US" w:eastAsia="zh-CN" w:bidi="ar-SA"/>
        </w:rPr>
      </w:pPr>
    </w:p>
    <w:p w14:paraId="0E948C12">
      <w:pPr>
        <w:adjustRightInd w:val="0"/>
        <w:snapToGrid w:val="0"/>
        <w:spacing w:before="0" w:beforeLines="0" w:line="400" w:lineRule="exact"/>
        <w:rPr>
          <w:rFonts w:ascii="宋体" w:hAnsi="宋体" w:eastAsia="宋体"/>
          <w:szCs w:val="21"/>
        </w:rPr>
      </w:pPr>
      <w:r>
        <w:rPr>
          <w:rFonts w:hint="eastAsia" w:ascii="宋体" w:hAnsi="宋体" w:eastAsia="宋体"/>
          <w:szCs w:val="21"/>
        </w:rPr>
        <w:t>甲方（全称）：</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（采购人</w:t>
      </w:r>
      <w:r>
        <w:rPr>
          <w:rFonts w:hint="eastAsia" w:ascii="宋体" w:hAnsi="宋体" w:eastAsia="宋体"/>
          <w:szCs w:val="21"/>
          <w:lang w:eastAsia="zh-CN"/>
        </w:rPr>
        <w:t>、受采购人委托签订合同的单位</w:t>
      </w:r>
      <w:r>
        <w:rPr>
          <w:rFonts w:hint="eastAsia" w:ascii="宋体" w:hAnsi="宋体" w:eastAsia="宋体"/>
          <w:szCs w:val="21"/>
        </w:rPr>
        <w:t>或采购</w:t>
      </w:r>
      <w:r>
        <w:rPr>
          <w:rFonts w:hint="eastAsia" w:ascii="宋体" w:hAnsi="宋体" w:eastAsia="宋体"/>
          <w:szCs w:val="21"/>
          <w:lang w:val="en-US" w:eastAsia="zh-CN"/>
        </w:rPr>
        <w:tab/>
      </w:r>
      <w:r>
        <w:rPr>
          <w:rFonts w:hint="eastAsia" w:ascii="宋体" w:hAnsi="宋体" w:eastAsia="宋体"/>
          <w:szCs w:val="21"/>
          <w:lang w:val="en-US" w:eastAsia="zh-CN"/>
        </w:rPr>
        <w:t xml:space="preserve">                                   </w:t>
      </w:r>
      <w:r>
        <w:rPr>
          <w:rFonts w:hint="eastAsia" w:ascii="宋体" w:hAnsi="宋体" w:eastAsia="宋体"/>
          <w:szCs w:val="21"/>
        </w:rPr>
        <w:t>文件约定的合同甲方）</w:t>
      </w:r>
    </w:p>
    <w:p w14:paraId="25DA44B8">
      <w:pPr>
        <w:adjustRightInd w:val="0"/>
        <w:snapToGrid w:val="0"/>
        <w:spacing w:before="0" w:beforeLines="0" w:line="400" w:lineRule="exact"/>
        <w:rPr>
          <w:rFonts w:ascii="宋体" w:hAnsi="宋体" w:eastAsia="宋体"/>
          <w:szCs w:val="21"/>
        </w:rPr>
      </w:pPr>
      <w:r>
        <w:rPr>
          <w:rFonts w:hint="eastAsia" w:ascii="宋体" w:hAnsi="宋体" w:eastAsia="宋体"/>
          <w:szCs w:val="21"/>
        </w:rPr>
        <w:t>乙方</w:t>
      </w:r>
      <w:r>
        <w:rPr>
          <w:rFonts w:hint="eastAsia" w:ascii="宋体" w:hAnsi="宋体" w:eastAsia="宋体"/>
          <w:szCs w:val="21"/>
          <w:lang w:val="en-US" w:eastAsia="zh-CN"/>
        </w:rPr>
        <w:t>1</w:t>
      </w:r>
      <w:r>
        <w:rPr>
          <w:rFonts w:hint="eastAsia" w:ascii="宋体" w:hAnsi="宋体" w:eastAsia="宋体"/>
          <w:szCs w:val="21"/>
        </w:rPr>
        <w:t>（全称）：</w:t>
      </w:r>
      <w:r>
        <w:rPr>
          <w:rFonts w:hint="eastAsia" w:ascii="宋体" w:hAnsi="宋体" w:eastAsia="宋体"/>
          <w:szCs w:val="21"/>
          <w:u w:val="single"/>
        </w:rPr>
        <w:t xml:space="preserve">                       </w:t>
      </w:r>
      <w:r>
        <w:rPr>
          <w:rFonts w:hint="eastAsia" w:ascii="宋体" w:hAnsi="宋体" w:eastAsia="宋体"/>
          <w:szCs w:val="21"/>
        </w:rPr>
        <w:t>（供应商）</w:t>
      </w:r>
    </w:p>
    <w:p w14:paraId="66596D18">
      <w:pPr>
        <w:adjustRightInd w:val="0"/>
        <w:snapToGrid w:val="0"/>
        <w:spacing w:before="0" w:beforeLines="0" w:line="400" w:lineRule="exact"/>
        <w:rPr>
          <w:rFonts w:hint="eastAsia" w:ascii="宋体" w:hAnsi="宋体" w:eastAsia="宋体"/>
          <w:szCs w:val="21"/>
        </w:rPr>
      </w:pPr>
      <w:r>
        <w:rPr>
          <w:rFonts w:hint="eastAsia" w:ascii="宋体" w:hAnsi="宋体" w:eastAsia="宋体"/>
          <w:szCs w:val="21"/>
        </w:rPr>
        <w:t>乙方2（全称）：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14:paraId="32674635">
      <w:pPr>
        <w:adjustRightInd w:val="0"/>
        <w:snapToGrid w:val="0"/>
        <w:spacing w:before="0" w:beforeLines="0" w:line="400" w:lineRule="exact"/>
        <w:rPr>
          <w:rFonts w:hint="eastAsia" w:ascii="宋体" w:hAnsi="宋体" w:eastAsia="宋体"/>
          <w:szCs w:val="21"/>
        </w:rPr>
      </w:pPr>
      <w:r>
        <w:rPr>
          <w:rFonts w:hint="eastAsia" w:eastAsia="宋体"/>
          <w:lang w:eastAsia="zh-CN"/>
        </w:rPr>
        <w:t>乙方</w:t>
      </w:r>
      <w:r>
        <w:rPr>
          <w:rFonts w:hint="eastAsia" w:ascii="宋体" w:hAnsi="宋体" w:eastAsia="宋体"/>
          <w:szCs w:val="21"/>
          <w:lang w:val="en-US" w:eastAsia="zh-CN"/>
        </w:rPr>
        <w:t>3</w:t>
      </w:r>
      <w:r>
        <w:rPr>
          <w:rFonts w:hint="eastAsia" w:eastAsia="宋体"/>
          <w:lang w:val="en-US" w:eastAsia="zh-CN"/>
        </w:rPr>
        <w:t>（全称）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14:paraId="6ABBC498">
      <w:pPr>
        <w:spacing w:beforeLines="0" w:line="400" w:lineRule="exact"/>
        <w:rPr>
          <w:rFonts w:hint="default" w:eastAsia="宋体"/>
          <w:lang w:val="en-US" w:eastAsia="zh-CN"/>
        </w:rPr>
      </w:pPr>
    </w:p>
    <w:p w14:paraId="32A6901B">
      <w:pPr>
        <w:widowControl w:val="0"/>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依据《中华人民共和国民法典》《中华人民共和国政府采购法》《深圳经济特区政府采购条例》等有关的法律法规，以及</w:t>
      </w:r>
      <w:r>
        <w:rPr>
          <w:rFonts w:hint="eastAsia" w:ascii="宋体" w:hAnsi="宋体" w:eastAsia="宋体" w:cs="Times New Roman"/>
          <w:i w:val="0"/>
          <w:iCs w:val="0"/>
          <w:kern w:val="2"/>
          <w:sz w:val="21"/>
          <w:szCs w:val="21"/>
          <w:u w:val="none"/>
          <w:lang w:val="en-US" w:eastAsia="zh-CN" w:bidi="ar-SA"/>
        </w:rPr>
        <w:t>本采购项目</w:t>
      </w:r>
      <w:r>
        <w:rPr>
          <w:rFonts w:hint="eastAsia" w:ascii="宋体" w:hAnsi="宋体" w:eastAsia="宋体" w:cs="Times New Roman"/>
          <w:kern w:val="2"/>
          <w:sz w:val="21"/>
          <w:szCs w:val="21"/>
          <w:lang w:val="en-US" w:eastAsia="zh-CN" w:bidi="ar-SA"/>
        </w:rPr>
        <w:t xml:space="preserve">的招标文件等采购文件、乙方的《投标（响应）文件》及《中标（成交）通知书》，甲乙双方同意签订本合同。具体情况及要求如下：     </w:t>
      </w:r>
    </w:p>
    <w:p w14:paraId="7355B8ED">
      <w:pPr>
        <w:numPr>
          <w:ilvl w:val="0"/>
          <w:numId w:val="9"/>
        </w:numPr>
        <w:adjustRightInd w:val="0"/>
        <w:snapToGrid w:val="0"/>
        <w:spacing w:before="0" w:beforeLines="0" w:line="400" w:lineRule="exact"/>
        <w:ind w:firstLine="422" w:firstLineChars="200"/>
        <w:rPr>
          <w:rFonts w:ascii="宋体" w:hAnsi="宋体" w:eastAsia="宋体"/>
          <w:b/>
          <w:szCs w:val="21"/>
        </w:rPr>
      </w:pPr>
      <w:r>
        <w:rPr>
          <w:rFonts w:hint="eastAsia" w:ascii="宋体" w:hAnsi="宋体" w:eastAsia="宋体"/>
          <w:b/>
          <w:szCs w:val="21"/>
        </w:rPr>
        <w:t>项目信息</w:t>
      </w:r>
    </w:p>
    <w:p w14:paraId="54A2A603">
      <w:pPr>
        <w:widowControl w:val="0"/>
        <w:numPr>
          <w:ilvl w:val="0"/>
          <w:numId w:val="10"/>
        </w:numPr>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u w:val="single"/>
          <w:lang w:val="en-US" w:eastAsia="zh-CN" w:bidi="ar-SA"/>
        </w:rPr>
      </w:pPr>
      <w:r>
        <w:rPr>
          <w:rFonts w:hint="eastAsia" w:ascii="宋体" w:hAnsi="宋体" w:eastAsia="宋体" w:cs="Times New Roman"/>
          <w:kern w:val="2"/>
          <w:sz w:val="21"/>
          <w:szCs w:val="21"/>
          <w:lang w:val="en-US" w:eastAsia="zh-CN" w:bidi="ar-SA"/>
        </w:rPr>
        <w:t>采购项目名称：</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p>
    <w:p w14:paraId="43998F79">
      <w:pPr>
        <w:widowControl w:val="0"/>
        <w:numPr>
          <w:ilvl w:val="-1"/>
          <w:numId w:val="0"/>
        </w:numPr>
        <w:tabs>
          <w:tab w:val="left" w:pos="999"/>
        </w:tabs>
        <w:adjustRightInd w:val="0"/>
        <w:snapToGrid w:val="0"/>
        <w:spacing w:before="0" w:beforeLines="0" w:after="0" w:line="400" w:lineRule="exact"/>
        <w:ind w:left="0" w:leftChars="0" w:firstLine="0" w:firstLineChars="0"/>
        <w:jc w:val="both"/>
        <w:rPr>
          <w:rFonts w:hint="default" w:ascii="宋体" w:hAnsi="宋体" w:eastAsia="宋体" w:cs="Times New Roman"/>
          <w:kern w:val="2"/>
          <w:sz w:val="21"/>
          <w:szCs w:val="21"/>
          <w:u w:val="none"/>
          <w:lang w:val="en-US" w:eastAsia="zh-CN" w:bidi="ar-SA"/>
        </w:rPr>
      </w:pPr>
      <w:r>
        <w:rPr>
          <w:rFonts w:hint="eastAsia" w:ascii="宋体" w:hAnsi="宋体" w:eastAsia="宋体" w:cs="Times New Roman"/>
          <w:kern w:val="2"/>
          <w:sz w:val="21"/>
          <w:szCs w:val="21"/>
          <w:u w:val="none"/>
          <w:lang w:val="en-US" w:eastAsia="zh-CN" w:bidi="ar-SA"/>
        </w:rPr>
        <w:t xml:space="preserve">         采购项目编号：</w:t>
      </w:r>
      <w:r>
        <w:rPr>
          <w:rFonts w:ascii="宋体" w:hAnsi="宋体" w:eastAsia="宋体" w:cs="Times New Roman"/>
          <w:kern w:val="2"/>
          <w:sz w:val="21"/>
          <w:szCs w:val="21"/>
          <w:u w:val="single"/>
          <w:lang w:val="en-US" w:eastAsia="zh-CN" w:bidi="ar-SA"/>
        </w:rPr>
        <w:t xml:space="preserve">                                          </w:t>
      </w:r>
    </w:p>
    <w:p w14:paraId="5548E41C">
      <w:pPr>
        <w:widowControl w:val="0"/>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（2）采购计划编号：</w:t>
      </w:r>
      <w:r>
        <w:rPr>
          <w:rFonts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u w:val="single"/>
          <w:lang w:val="en-US" w:eastAsia="zh-CN" w:bidi="ar-SA"/>
        </w:rPr>
        <w:t xml:space="preserve">                </w:t>
      </w:r>
      <w:r>
        <w:rPr>
          <w:rFonts w:ascii="宋体" w:hAnsi="宋体" w:eastAsia="宋体" w:cs="Times New Roman"/>
          <w:kern w:val="2"/>
          <w:sz w:val="21"/>
          <w:szCs w:val="21"/>
          <w:u w:val="single"/>
          <w:lang w:val="en-US" w:eastAsia="zh-CN" w:bidi="ar-SA"/>
        </w:rPr>
        <w:t xml:space="preserve">     </w:t>
      </w:r>
      <w:r>
        <w:rPr>
          <w:rFonts w:ascii="宋体" w:hAnsi="宋体" w:eastAsia="宋体" w:cs="Times New Roman"/>
          <w:kern w:val="2"/>
          <w:sz w:val="21"/>
          <w:szCs w:val="21"/>
          <w:lang w:val="en-US" w:eastAsia="zh-CN" w:bidi="ar-SA"/>
        </w:rPr>
        <w:t xml:space="preserve"> </w:t>
      </w:r>
    </w:p>
    <w:p w14:paraId="42241364">
      <w:pPr>
        <w:adjustRightInd w:val="0"/>
        <w:snapToGrid w:val="0"/>
        <w:spacing w:before="0" w:beforeLines="0" w:line="400" w:lineRule="exact"/>
        <w:ind w:firstLine="420" w:firstLineChars="200"/>
        <w:rPr>
          <w:rFonts w:hint="eastAsia" w:ascii="宋体" w:hAnsi="宋体" w:eastAsia="宋体"/>
          <w:szCs w:val="21"/>
        </w:rPr>
      </w:pPr>
      <w:r>
        <w:rPr>
          <w:rFonts w:hint="eastAsia" w:ascii="宋体" w:hAnsi="宋体" w:eastAsia="宋体"/>
          <w:szCs w:val="21"/>
        </w:rPr>
        <w:t>（3）项目内容：</w:t>
      </w:r>
    </w:p>
    <w:p w14:paraId="6669406A">
      <w:pPr>
        <w:adjustRightInd w:val="0"/>
        <w:snapToGrid w:val="0"/>
        <w:spacing w:before="0" w:beforeLines="0" w:line="400" w:lineRule="exact"/>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 xml:space="preserve">     </w:t>
      </w:r>
      <w:r>
        <w:rPr>
          <w:rFonts w:hint="eastAsia" w:ascii="宋体" w:hAnsi="宋体" w:eastAsia="宋体"/>
          <w:szCs w:val="21"/>
          <w:lang w:eastAsia="zh-CN"/>
        </w:rPr>
        <w:t>采购标的及数量</w:t>
      </w:r>
      <w:r>
        <w:rPr>
          <w:rFonts w:hint="eastAsia" w:ascii="宋体" w:hAnsi="宋体" w:eastAsia="宋体"/>
          <w:szCs w:val="21"/>
          <w:lang w:val="en-US" w:eastAsia="zh-CN"/>
        </w:rPr>
        <w:t>（台/套</w:t>
      </w:r>
      <w:r>
        <w:rPr>
          <w:rFonts w:hint="default" w:ascii="宋体" w:hAnsi="宋体" w:eastAsia="宋体"/>
          <w:szCs w:val="21"/>
          <w:lang w:val="en" w:eastAsia="zh-CN"/>
        </w:rPr>
        <w:t>/</w:t>
      </w:r>
      <w:r>
        <w:rPr>
          <w:rFonts w:hint="eastAsia" w:ascii="宋体" w:hAnsi="宋体" w:eastAsia="宋体"/>
          <w:szCs w:val="21"/>
          <w:lang w:val="en" w:eastAsia="zh-CN"/>
        </w:rPr>
        <w:t>个</w:t>
      </w:r>
      <w:r>
        <w:rPr>
          <w:rFonts w:hint="default" w:ascii="宋体" w:hAnsi="宋体" w:eastAsia="宋体"/>
          <w:szCs w:val="21"/>
          <w:lang w:val="en" w:eastAsia="zh-CN"/>
        </w:rPr>
        <w:t>/</w:t>
      </w:r>
      <w:r>
        <w:rPr>
          <w:rFonts w:hint="eastAsia" w:ascii="宋体" w:hAnsi="宋体" w:eastAsia="宋体"/>
          <w:szCs w:val="21"/>
          <w:lang w:val="en" w:eastAsia="zh-CN"/>
        </w:rPr>
        <w:t>架</w:t>
      </w:r>
      <w:r>
        <w:rPr>
          <w:rFonts w:hint="default" w:ascii="宋体" w:hAnsi="宋体" w:eastAsia="宋体"/>
          <w:szCs w:val="21"/>
          <w:lang w:val="en" w:eastAsia="zh-CN"/>
        </w:rPr>
        <w:t>/</w:t>
      </w:r>
      <w:r>
        <w:rPr>
          <w:rFonts w:hint="eastAsia" w:ascii="宋体" w:hAnsi="宋体" w:eastAsia="宋体"/>
          <w:szCs w:val="21"/>
          <w:lang w:val="en" w:eastAsia="zh-CN"/>
        </w:rPr>
        <w:t>组等</w:t>
      </w:r>
      <w:r>
        <w:rPr>
          <w:rFonts w:hint="eastAsia" w:ascii="宋体" w:hAnsi="宋体" w:eastAsia="宋体"/>
          <w:szCs w:val="21"/>
          <w:lang w:val="en-US" w:eastAsia="zh-CN"/>
        </w:rPr>
        <w:t>）</w:t>
      </w:r>
      <w:r>
        <w:rPr>
          <w:rFonts w:hint="eastAsia" w:ascii="宋体" w:hAnsi="宋体" w:eastAsia="宋体"/>
          <w:szCs w:val="21"/>
          <w:lang w:eastAsia="zh-CN"/>
        </w:rPr>
        <w:t>：</w:t>
      </w:r>
      <w:r>
        <w:rPr>
          <w:rFonts w:hint="eastAsia" w:ascii="宋体" w:hAnsi="宋体" w:eastAsia="宋体"/>
          <w:szCs w:val="21"/>
          <w:u w:val="single"/>
          <w:lang w:val="en-US" w:eastAsia="zh-CN"/>
        </w:rPr>
        <w:t xml:space="preserve">                       </w:t>
      </w:r>
      <w:r>
        <w:rPr>
          <w:rFonts w:hint="eastAsia" w:ascii="宋体" w:hAnsi="宋体" w:eastAsia="宋体"/>
          <w:szCs w:val="21"/>
          <w:u w:val="none"/>
          <w:lang w:val="en-US" w:eastAsia="zh-CN"/>
        </w:rPr>
        <w:t xml:space="preserve">            </w:t>
      </w:r>
      <w:r>
        <w:rPr>
          <w:rFonts w:hint="eastAsia" w:ascii="宋体" w:hAnsi="宋体" w:eastAsia="宋体"/>
          <w:szCs w:val="21"/>
          <w:u w:val="single"/>
          <w:lang w:val="en-US" w:eastAsia="zh-CN"/>
        </w:rPr>
        <w:t xml:space="preserve">                  </w:t>
      </w:r>
      <w:r>
        <w:rPr>
          <w:rFonts w:hint="eastAsia" w:ascii="宋体" w:hAnsi="宋体" w:eastAsia="宋体"/>
          <w:szCs w:val="21"/>
          <w:lang w:val="en-US" w:eastAsia="zh-CN"/>
        </w:rPr>
        <w:t xml:space="preserve"> </w:t>
      </w:r>
    </w:p>
    <w:p w14:paraId="3CDB8E42">
      <w:pPr>
        <w:numPr>
          <w:ilvl w:val="-1"/>
          <w:numId w:val="0"/>
        </w:numPr>
        <w:adjustRightInd w:val="0"/>
        <w:snapToGrid w:val="0"/>
        <w:spacing w:before="0" w:beforeLines="0" w:line="400" w:lineRule="exact"/>
        <w:ind w:firstLine="420" w:firstLineChars="200"/>
        <w:rPr>
          <w:rFonts w:hint="default" w:ascii="宋体" w:hAnsi="宋体" w:eastAsia="宋体" w:cs="宋体"/>
          <w:szCs w:val="21"/>
          <w:lang w:val="en" w:eastAsia="zh-CN"/>
        </w:rPr>
      </w:pPr>
      <w:r>
        <w:rPr>
          <w:rFonts w:hint="eastAsia" w:ascii="宋体" w:hAnsi="宋体" w:eastAsia="宋体"/>
          <w:szCs w:val="21"/>
          <w:highlight w:val="none"/>
          <w:u w:val="none"/>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none"/>
          <w:lang w:val="en" w:eastAsia="zh-CN"/>
        </w:rPr>
        <w:t xml:space="preserve">     </w:t>
      </w:r>
      <w:r>
        <w:rPr>
          <w:rFonts w:hint="eastAsia" w:ascii="宋体" w:hAnsi="宋体" w:eastAsia="宋体" w:cs="宋体"/>
          <w:szCs w:val="21"/>
          <w:lang w:val="en-US" w:eastAsia="zh-CN"/>
        </w:rPr>
        <w:t>规格型号：</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p>
    <w:p w14:paraId="328D350C">
      <w:pPr>
        <w:adjustRightInd w:val="0"/>
        <w:snapToGrid w:val="0"/>
        <w:spacing w:before="0" w:beforeLines="0" w:line="400" w:lineRule="exact"/>
        <w:ind w:firstLine="945" w:firstLineChars="450"/>
        <w:rPr>
          <w:rFonts w:ascii="宋体" w:hAnsi="宋体" w:eastAsia="宋体"/>
          <w:szCs w:val="21"/>
          <w:highlight w:val="none"/>
          <w:u w:val="single"/>
        </w:rPr>
      </w:pPr>
      <w:r>
        <w:rPr>
          <w:rFonts w:hint="eastAsia" w:ascii="宋体" w:hAnsi="宋体" w:eastAsia="宋体"/>
          <w:szCs w:val="21"/>
          <w:highlight w:val="none"/>
          <w:u w:val="none"/>
          <w:lang w:val="en-US" w:eastAsia="zh-CN"/>
        </w:rPr>
        <w:t>采购标的的技术要求、商务要求具体见附件。</w:t>
      </w:r>
    </w:p>
    <w:p w14:paraId="7A38E977">
      <w:pPr>
        <w:numPr>
          <w:ilvl w:val="-1"/>
          <w:numId w:val="0"/>
        </w:numPr>
        <w:adjustRightInd w:val="0"/>
        <w:snapToGrid w:val="0"/>
        <w:spacing w:before="0" w:beforeLines="0" w:line="400" w:lineRule="exact"/>
        <w:ind w:firstLine="945" w:firstLineChars="450"/>
        <w:rPr>
          <w:rFonts w:hint="eastAsia" w:ascii="宋体" w:hAnsi="宋体" w:eastAsia="宋体" w:cs="宋体"/>
          <w:szCs w:val="21"/>
          <w:lang w:val="en-US" w:eastAsia="zh-CN"/>
        </w:rPr>
      </w:pPr>
      <w:r>
        <w:rPr>
          <w:rFonts w:hint="eastAsia" w:ascii="汉仪书宋二S" w:hAnsi="汉仪书宋二S" w:eastAsia="汉仪书宋二S" w:cs="汉仪书宋二S"/>
          <w:szCs w:val="21"/>
          <w:lang w:val="en-US" w:eastAsia="zh-CN"/>
        </w:rPr>
        <w:t>①</w:t>
      </w:r>
      <w:r>
        <w:rPr>
          <w:rFonts w:hint="eastAsia" w:ascii="宋体" w:hAnsi="宋体" w:eastAsia="宋体" w:cs="宋体"/>
          <w:szCs w:val="21"/>
          <w:lang w:val="en-US" w:eastAsia="zh-CN"/>
        </w:rPr>
        <w:t>涉及信息类产品，请填写该产品关键部件的品牌、型号：</w:t>
      </w:r>
    </w:p>
    <w:p w14:paraId="3F7945AF">
      <w:pPr>
        <w:numPr>
          <w:ilvl w:val="-1"/>
          <w:numId w:val="0"/>
        </w:numPr>
        <w:adjustRightInd w:val="0"/>
        <w:snapToGrid w:val="0"/>
        <w:spacing w:before="0" w:beforeLines="0" w:line="400" w:lineRule="exact"/>
        <w:ind w:firstLine="420" w:firstLineChars="200"/>
        <w:rPr>
          <w:rFonts w:hint="eastAsia" w:ascii="宋体" w:hAnsi="宋体" w:eastAsia="宋体" w:cs="宋体"/>
          <w:kern w:val="0"/>
          <w:szCs w:val="21"/>
          <w:u w:val="single"/>
          <w:lang w:val="en-US" w:eastAsia="zh-CN"/>
        </w:rPr>
      </w:pPr>
      <w:r>
        <w:rPr>
          <w:rFonts w:hint="eastAsia" w:ascii="宋体" w:hAnsi="宋体" w:eastAsia="宋体" w:cs="宋体"/>
          <w:szCs w:val="21"/>
          <w:lang w:val="en-US" w:eastAsia="zh-CN"/>
        </w:rPr>
        <w:t xml:space="preserve">     标的名称：</w:t>
      </w:r>
      <w:r>
        <w:rPr>
          <w:rFonts w:hint="eastAsia" w:ascii="宋体" w:hAnsi="宋体" w:eastAsia="宋体" w:cs="宋体"/>
          <w:kern w:val="0"/>
          <w:szCs w:val="21"/>
          <w:u w:val="single"/>
          <w:lang w:val="en-US" w:eastAsia="zh-CN"/>
        </w:rPr>
        <w:t xml:space="preserve">      </w:t>
      </w:r>
      <w:r>
        <w:rPr>
          <w:rFonts w:hint="default" w:ascii="宋体" w:hAnsi="宋体" w:eastAsia="宋体" w:cs="宋体"/>
          <w:kern w:val="0"/>
          <w:szCs w:val="21"/>
          <w:u w:val="single"/>
          <w:lang w:val="en" w:eastAsia="zh-CN"/>
        </w:rPr>
        <w:t xml:space="preserve">               </w:t>
      </w:r>
      <w:r>
        <w:rPr>
          <w:rFonts w:hint="eastAsia" w:ascii="宋体" w:hAnsi="宋体" w:eastAsia="宋体" w:cs="宋体"/>
          <w:kern w:val="0"/>
          <w:szCs w:val="21"/>
          <w:u w:val="single"/>
          <w:lang w:val="en-US" w:eastAsia="zh-CN"/>
        </w:rPr>
        <w:t xml:space="preserve">    </w:t>
      </w:r>
    </w:p>
    <w:p w14:paraId="31BB7389">
      <w:pPr>
        <w:numPr>
          <w:ilvl w:val="-1"/>
          <w:numId w:val="0"/>
        </w:numPr>
        <w:adjustRightInd w:val="0"/>
        <w:snapToGrid w:val="0"/>
        <w:spacing w:before="0" w:beforeLines="0" w:line="40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     关键部件：</w:t>
      </w:r>
      <w:r>
        <w:rPr>
          <w:rFonts w:hint="eastAsia" w:ascii="宋体" w:hAnsi="宋体" w:eastAsia="宋体" w:cs="宋体"/>
          <w:kern w:val="0"/>
          <w:szCs w:val="21"/>
          <w:u w:val="single"/>
          <w:lang w:val="en-US" w:eastAsia="zh-CN"/>
        </w:rPr>
        <w:t xml:space="preserve">          </w:t>
      </w:r>
      <w:r>
        <w:rPr>
          <w:rFonts w:hint="eastAsia" w:ascii="宋体" w:hAnsi="宋体" w:eastAsia="宋体" w:cs="宋体"/>
          <w:kern w:val="0"/>
          <w:szCs w:val="21"/>
          <w:u w:val="none"/>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w:t>
      </w:r>
      <w:r>
        <w:rPr>
          <w:rFonts w:hint="eastAsia" w:ascii="宋体" w:hAnsi="宋体" w:eastAsia="宋体" w:cs="宋体"/>
          <w:szCs w:val="21"/>
          <w:lang w:val="en-US" w:eastAsia="zh-CN"/>
        </w:rPr>
        <w:t>型号：</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w:t>
      </w:r>
    </w:p>
    <w:p w14:paraId="1A0DA32C">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宋体" w:hAnsi="宋体" w:eastAsia="宋体" w:cs="宋体"/>
          <w:kern w:val="2"/>
          <w:sz w:val="21"/>
          <w:szCs w:val="21"/>
          <w:lang w:val="en-US" w:eastAsia="zh-CN" w:bidi="ar-SA"/>
        </w:rPr>
        <w:t>关键部件</w:t>
      </w:r>
      <w:r>
        <w:rPr>
          <w:rFonts w:hint="eastAsia" w:ascii="宋体" w:hAnsi="宋体" w:eastAsia="宋体" w:cs="宋体"/>
          <w:sz w:val="21"/>
          <w:szCs w:val="21"/>
          <w:lang w:val="en-US" w:eastAsia="zh-CN" w:bidi="ar-SA"/>
        </w:rPr>
        <w:t>：</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品牌：</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型号：</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w:t>
      </w:r>
    </w:p>
    <w:p w14:paraId="13FDBEE2">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关键部件：</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品牌：</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型号：</w:t>
      </w:r>
      <w:r>
        <w:rPr>
          <w:rFonts w:hint="eastAsia" w:ascii="宋体" w:hAnsi="宋体" w:eastAsia="宋体" w:cs="宋体"/>
          <w:sz w:val="21"/>
          <w:szCs w:val="21"/>
          <w:u w:val="single"/>
          <w:lang w:val="en-US" w:eastAsia="zh-CN" w:bidi="ar-SA"/>
        </w:rPr>
        <w:t xml:space="preserve">       </w:t>
      </w:r>
    </w:p>
    <w:p w14:paraId="0C4F6308">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（注：关键部件是指财政部会同有关部门发布的政府采购需求标准规定的需要通过国家有关部门指定的测评机构开展的安全可靠测评的软硬件，如CPU芯片、操作系统、数据库等。）</w:t>
      </w:r>
    </w:p>
    <w:p w14:paraId="1D12B2CA">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汉仪书宋二S" w:hAnsi="汉仪书宋二S" w:eastAsia="汉仪书宋二S" w:cs="汉仪书宋二S"/>
          <w:sz w:val="21"/>
          <w:szCs w:val="21"/>
          <w:lang w:val="en-US" w:eastAsia="zh-CN" w:bidi="ar-SA"/>
        </w:rPr>
        <w:t>②</w:t>
      </w:r>
      <w:r>
        <w:rPr>
          <w:rFonts w:hint="eastAsia" w:ascii="宋体" w:hAnsi="宋体" w:eastAsia="宋体" w:cs="宋体"/>
          <w:sz w:val="21"/>
          <w:szCs w:val="21"/>
          <w:lang w:val="en-US" w:eastAsia="zh-CN" w:bidi="ar-SA"/>
        </w:rPr>
        <w:t>涉及车辆采购，请填写是否属于新能源汽车：</w:t>
      </w:r>
    </w:p>
    <w:p w14:paraId="1DE28962">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iCs w:val="0"/>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是，《采购品目分类目录》底级品目名称</w:t>
      </w:r>
      <w:r>
        <w:rPr>
          <w:rFonts w:hint="eastAsia" w:ascii="宋体" w:hAnsi="宋体" w:eastAsia="宋体" w:cs="宋体"/>
          <w:sz w:val="21"/>
          <w:szCs w:val="21"/>
          <w:lang w:val="en-US" w:eastAsia="zh-CN" w:bidi="ar-SA"/>
        </w:rPr>
        <w:t>：</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数量：</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金额：</w:t>
      </w:r>
      <w:r>
        <w:rPr>
          <w:rFonts w:hint="eastAsia" w:ascii="宋体" w:hAnsi="宋体" w:eastAsia="宋体" w:cs="宋体"/>
          <w:sz w:val="21"/>
          <w:szCs w:val="21"/>
          <w:u w:val="single"/>
          <w:lang w:val="en-US" w:eastAsia="zh-CN" w:bidi="ar-SA"/>
        </w:rPr>
        <w:t xml:space="preserve">     </w:t>
      </w:r>
      <w:r>
        <w:rPr>
          <w:rFonts w:hint="eastAsia" w:ascii="宋体" w:hAnsi="宋体" w:eastAsia="宋体" w:cs="宋体"/>
          <w:iCs w:val="0"/>
          <w:sz w:val="21"/>
          <w:szCs w:val="21"/>
          <w:lang w:val="en-US" w:eastAsia="zh-CN" w:bidi="ar-SA"/>
        </w:rPr>
        <w:t xml:space="preserve"> </w:t>
      </w:r>
    </w:p>
    <w:p w14:paraId="730BADBE">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iCs w:val="0"/>
          <w:sz w:val="21"/>
          <w:szCs w:val="21"/>
          <w:lang w:val="en-US" w:eastAsia="zh-CN" w:bidi="ar-SA"/>
        </w:rPr>
      </w:pPr>
      <w:r>
        <w:rPr>
          <w:rFonts w:hint="eastAsia" w:ascii="宋体" w:hAnsi="宋体" w:eastAsia="宋体" w:cs="宋体"/>
          <w:iCs w:val="0"/>
          <w:sz w:val="21"/>
          <w:szCs w:val="21"/>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否</w:t>
      </w:r>
    </w:p>
    <w:p w14:paraId="79AE0BEB">
      <w:pPr>
        <w:numPr>
          <w:ilvl w:val="-1"/>
          <w:numId w:val="0"/>
        </w:numPr>
        <w:autoSpaceDE w:val="0"/>
        <w:autoSpaceDN w:val="0"/>
        <w:adjustRightInd w:val="0"/>
        <w:snapToGrid w:val="0"/>
        <w:spacing w:before="0" w:beforeLines="0" w:line="400" w:lineRule="exact"/>
        <w:ind w:left="0" w:firstLine="0" w:firstLineChars="0"/>
        <w:rPr>
          <w:rFonts w:hint="eastAsia" w:ascii="宋体" w:hAnsi="宋体" w:eastAsia="宋体" w:cs="宋体"/>
          <w:iCs w:val="0"/>
          <w:sz w:val="21"/>
          <w:szCs w:val="21"/>
          <w:lang w:val="en-US" w:eastAsia="zh-CN" w:bidi="ar-SA"/>
        </w:rPr>
      </w:pPr>
      <w:r>
        <w:rPr>
          <w:rFonts w:hint="eastAsia" w:ascii="宋体" w:hAnsi="宋体" w:eastAsia="宋体" w:cs="宋体"/>
          <w:iCs w:val="0"/>
          <w:sz w:val="21"/>
          <w:szCs w:val="21"/>
          <w:lang w:val="en-US" w:eastAsia="zh-CN" w:bidi="ar-SA"/>
        </w:rPr>
        <w:t xml:space="preserve">    （</w:t>
      </w:r>
      <w:r>
        <w:rPr>
          <w:rFonts w:hint="default" w:ascii="宋体" w:hAnsi="宋体" w:eastAsia="宋体" w:cs="宋体"/>
          <w:iCs w:val="0"/>
          <w:sz w:val="21"/>
          <w:szCs w:val="21"/>
          <w:lang w:val="en" w:eastAsia="zh-CN" w:bidi="ar-SA"/>
        </w:rPr>
        <w:t>4</w:t>
      </w:r>
      <w:r>
        <w:rPr>
          <w:rFonts w:hint="eastAsia" w:ascii="宋体" w:hAnsi="宋体" w:eastAsia="宋体" w:cs="宋体"/>
          <w:iCs w:val="0"/>
          <w:sz w:val="21"/>
          <w:szCs w:val="21"/>
          <w:lang w:val="en-US" w:eastAsia="zh-CN" w:bidi="ar-SA"/>
        </w:rPr>
        <w:t>）采购组织形式：</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集中采购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自行采购</w:t>
      </w:r>
    </w:p>
    <w:p w14:paraId="606E6E1A">
      <w:pPr>
        <w:numPr>
          <w:ilvl w:val="-1"/>
          <w:numId w:val="0"/>
        </w:numPr>
        <w:autoSpaceDE w:val="0"/>
        <w:autoSpaceDN w:val="0"/>
        <w:adjustRightInd w:val="0"/>
        <w:snapToGrid w:val="0"/>
        <w:spacing w:before="0" w:beforeLines="0" w:line="400" w:lineRule="exact"/>
        <w:ind w:left="210" w:leftChars="100" w:firstLine="210" w:firstLineChars="100"/>
        <w:rPr>
          <w:rFonts w:hint="eastAsia" w:ascii="宋体" w:hAnsi="宋体" w:eastAsia="宋体" w:cs="宋体"/>
          <w:iCs w:val="0"/>
          <w:sz w:val="21"/>
          <w:szCs w:val="21"/>
          <w:u w:val="single"/>
          <w:lang w:val="en-US" w:eastAsia="zh-CN" w:bidi="ar-SA"/>
        </w:rPr>
      </w:pPr>
      <w:r>
        <w:rPr>
          <w:rFonts w:hint="eastAsia" w:ascii="宋体" w:hAnsi="宋体" w:eastAsia="宋体" w:cs="宋体"/>
          <w:iCs w:val="0"/>
          <w:sz w:val="21"/>
          <w:szCs w:val="21"/>
          <w:lang w:val="en-US" w:eastAsia="zh-CN" w:bidi="ar-SA"/>
        </w:rPr>
        <w:t>（</w:t>
      </w:r>
      <w:r>
        <w:rPr>
          <w:rFonts w:hint="default" w:ascii="宋体" w:hAnsi="宋体" w:eastAsia="宋体" w:cs="宋体"/>
          <w:iCs w:val="0"/>
          <w:sz w:val="21"/>
          <w:szCs w:val="21"/>
          <w:lang w:val="en" w:eastAsia="zh-CN" w:bidi="ar-SA"/>
        </w:rPr>
        <w:t>5</w:t>
      </w:r>
      <w:r>
        <w:rPr>
          <w:rFonts w:hint="eastAsia" w:ascii="宋体" w:hAnsi="宋体" w:eastAsia="宋体" w:cs="宋体"/>
          <w:iCs w:val="0"/>
          <w:sz w:val="21"/>
          <w:szCs w:val="21"/>
          <w:lang w:val="en-US" w:eastAsia="zh-CN" w:bidi="ar-SA"/>
        </w:rPr>
        <w:t>）采购方式：</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公开招标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竞争性谈判</w:t>
      </w:r>
      <w:r>
        <w:rPr>
          <w:rFonts w:hint="eastAsia" w:ascii="宋体" w:hAnsi="宋体" w:eastAsia="华文楷体" w:cs="宋体"/>
          <w:sz w:val="22"/>
          <w:szCs w:val="21"/>
          <w:u w:val="none"/>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单一来源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竞价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框架协议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其他：</w:t>
      </w:r>
      <w:r>
        <w:rPr>
          <w:rFonts w:hint="eastAsia" w:ascii="宋体" w:hAnsi="宋体" w:eastAsia="宋体" w:cs="宋体"/>
          <w:iCs w:val="0"/>
          <w:sz w:val="21"/>
          <w:szCs w:val="21"/>
          <w:u w:val="single"/>
          <w:lang w:val="en-US" w:eastAsia="zh-CN" w:bidi="ar-SA"/>
        </w:rPr>
        <w:t xml:space="preserve">          </w:t>
      </w:r>
    </w:p>
    <w:p w14:paraId="5D4538EB">
      <w:pPr>
        <w:numPr>
          <w:ilvl w:val="-1"/>
          <w:numId w:val="0"/>
        </w:numPr>
        <w:autoSpaceDE w:val="0"/>
        <w:autoSpaceDN w:val="0"/>
        <w:adjustRightInd w:val="0"/>
        <w:snapToGrid w:val="0"/>
        <w:spacing w:before="0" w:beforeLines="0" w:line="400" w:lineRule="exact"/>
        <w:ind w:left="0" w:firstLine="420" w:firstLineChars="0"/>
        <w:rPr>
          <w:rFonts w:hint="default" w:ascii="宋体" w:hAnsi="宋体" w:eastAsia="宋体" w:cs="宋体"/>
          <w:iCs w:val="0"/>
          <w:sz w:val="21"/>
          <w:szCs w:val="21"/>
          <w:u w:val="none"/>
          <w:lang w:val="en-US" w:eastAsia="zh-CN" w:bidi="ar-SA"/>
        </w:rPr>
      </w:pPr>
      <w:r>
        <w:rPr>
          <w:rFonts w:hint="eastAsia" w:ascii="宋体" w:hAnsi="宋体" w:eastAsia="宋体" w:cs="宋体"/>
          <w:iCs w:val="0"/>
          <w:sz w:val="21"/>
          <w:szCs w:val="21"/>
          <w:u w:val="none"/>
          <w:lang w:val="en-US" w:eastAsia="zh-CN" w:bidi="ar-SA"/>
        </w:rPr>
        <w:t>（注：在框架协议采购的第二阶段，可选择使用该合同文本）</w:t>
      </w:r>
    </w:p>
    <w:p w14:paraId="0CDA58B2">
      <w:pPr>
        <w:numPr>
          <w:ilvl w:val="-1"/>
          <w:numId w:val="0"/>
        </w:numPr>
        <w:autoSpaceDE w:val="0"/>
        <w:autoSpaceDN w:val="0"/>
        <w:adjustRightInd w:val="0"/>
        <w:snapToGrid w:val="0"/>
        <w:spacing w:before="0" w:beforeLines="0" w:line="400" w:lineRule="exact"/>
        <w:ind w:firstLine="220" w:firstLineChars="100"/>
        <w:rPr>
          <w:rFonts w:hint="eastAsia" w:ascii="宋体" w:hAnsi="宋体" w:eastAsia="宋体" w:cs="Times New Roman"/>
          <w:w w:val="100"/>
          <w:kern w:val="2"/>
          <w:sz w:val="21"/>
          <w:szCs w:val="21"/>
          <w:lang w:val="en-US" w:eastAsia="zh-CN" w:bidi="ar-SA"/>
        </w:rPr>
      </w:pPr>
      <w:r>
        <w:rPr>
          <w:rFonts w:hint="eastAsia" w:ascii="宋体" w:hAnsi="宋体" w:eastAsia="华文楷体" w:cs="华文楷体"/>
          <w:sz w:val="22"/>
          <w:szCs w:val="21"/>
          <w:lang w:val="en-US" w:eastAsia="zh-CN" w:bidi="ar-SA"/>
        </w:rPr>
        <w:t xml:space="preserve"> （</w:t>
      </w:r>
      <w:r>
        <w:rPr>
          <w:rFonts w:hint="default" w:ascii="宋体" w:hAnsi="宋体" w:eastAsia="华文楷体" w:cs="华文楷体"/>
          <w:sz w:val="22"/>
          <w:szCs w:val="21"/>
          <w:lang w:val="en" w:eastAsia="zh-CN" w:bidi="ar-SA"/>
        </w:rPr>
        <w:t>6</w:t>
      </w:r>
      <w:r>
        <w:rPr>
          <w:rFonts w:hint="eastAsia" w:ascii="宋体" w:hAnsi="宋体" w:eastAsia="华文楷体" w:cs="华文楷体"/>
          <w:sz w:val="22"/>
          <w:szCs w:val="21"/>
          <w:lang w:val="en-US" w:eastAsia="zh-CN" w:bidi="ar-SA"/>
        </w:rPr>
        <w:t>）</w:t>
      </w:r>
      <w:r>
        <w:rPr>
          <w:rFonts w:hint="eastAsia" w:ascii="宋体" w:hAnsi="宋体" w:eastAsia="宋体" w:cs="Times New Roman"/>
          <w:w w:val="100"/>
          <w:kern w:val="2"/>
          <w:sz w:val="21"/>
          <w:szCs w:val="21"/>
          <w:lang w:val="en-US" w:eastAsia="zh-CN" w:bidi="ar-SA"/>
        </w:rPr>
        <w:t>中标（成交）采购标的制造商是否为中小企业：</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 xml:space="preserve">是      </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否</w:t>
      </w:r>
    </w:p>
    <w:p w14:paraId="2A86777A">
      <w:pPr>
        <w:numPr>
          <w:ilvl w:val="-1"/>
          <w:numId w:val="0"/>
        </w:numPr>
        <w:adjustRightInd w:val="0"/>
        <w:snapToGrid w:val="0"/>
        <w:spacing w:before="0" w:beforeLines="0" w:line="400" w:lineRule="exact"/>
        <w:ind w:left="0" w:leftChars="0" w:firstLine="0" w:firstLineChars="0"/>
        <w:rPr>
          <w:rFonts w:hint="eastAsia" w:ascii="宋体" w:hAnsi="宋体" w:eastAsia="宋体"/>
          <w:iCs/>
          <w:szCs w:val="21"/>
        </w:rPr>
      </w:pPr>
      <w:r>
        <w:rPr>
          <w:rFonts w:hint="eastAsia" w:ascii="宋体" w:hAnsi="宋体" w:eastAsia="宋体"/>
          <w:w w:val="100"/>
          <w:szCs w:val="21"/>
          <w:lang w:val="en-US" w:eastAsia="zh-CN"/>
        </w:rPr>
        <w:t xml:space="preserve">         本合同</w:t>
      </w:r>
      <w:r>
        <w:rPr>
          <w:rFonts w:hint="eastAsia" w:ascii="宋体" w:hAnsi="宋体" w:eastAsia="宋体"/>
          <w:w w:val="100"/>
          <w:szCs w:val="21"/>
        </w:rPr>
        <w:t>是否</w:t>
      </w:r>
      <w:r>
        <w:rPr>
          <w:rFonts w:hint="eastAsia" w:ascii="宋体" w:hAnsi="宋体" w:eastAsia="宋体"/>
          <w:w w:val="100"/>
          <w:szCs w:val="21"/>
          <w:lang w:eastAsia="zh-CN"/>
        </w:rPr>
        <w:t>为专门面向</w:t>
      </w:r>
      <w:r>
        <w:rPr>
          <w:rFonts w:hint="eastAsia" w:ascii="宋体" w:hAnsi="宋体" w:eastAsia="宋体"/>
          <w:w w:val="100"/>
          <w:szCs w:val="21"/>
        </w:rPr>
        <w:t>中小企业</w:t>
      </w:r>
      <w:r>
        <w:rPr>
          <w:rFonts w:hint="eastAsia" w:ascii="宋体" w:hAnsi="宋体" w:eastAsia="宋体"/>
          <w:w w:val="100"/>
          <w:szCs w:val="21"/>
          <w:lang w:eastAsia="zh-CN"/>
        </w:rPr>
        <w:t>的采</w:t>
      </w:r>
      <w:r>
        <w:rPr>
          <w:rFonts w:hint="eastAsia" w:ascii="宋体" w:hAnsi="宋体" w:eastAsia="宋体"/>
          <w:w w:val="100"/>
          <w:szCs w:val="21"/>
          <w:shd w:val="clear"/>
          <w:lang w:eastAsia="zh-CN"/>
        </w:rPr>
        <w:t>购</w:t>
      </w:r>
      <w:r>
        <w:rPr>
          <w:rFonts w:hint="eastAsia" w:ascii="宋体" w:hAnsi="宋体" w:eastAsia="宋体"/>
          <w:w w:val="100"/>
          <w:szCs w:val="21"/>
          <w:shd w:val="clear"/>
        </w:rPr>
        <w:t>合同</w:t>
      </w:r>
      <w:r>
        <w:rPr>
          <w:rFonts w:hint="eastAsia" w:ascii="宋体" w:hAnsi="宋体" w:eastAsia="宋体"/>
          <w:w w:val="100"/>
          <w:szCs w:val="21"/>
          <w:shd w:val="clear"/>
          <w:lang w:eastAsia="zh-CN"/>
        </w:rPr>
        <w:t>（中小企业预留合同）</w:t>
      </w:r>
      <w:r>
        <w:rPr>
          <w:rFonts w:hint="eastAsia" w:ascii="宋体" w:hAnsi="宋体" w:eastAsia="宋体"/>
          <w:szCs w:val="21"/>
          <w:shd w:val="clear"/>
        </w:rPr>
        <w:t>：</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lang w:val="en-US" w:eastAsia="zh-CN"/>
        </w:rPr>
        <w:t xml:space="preserve">  </w:t>
      </w: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否</w:t>
      </w:r>
    </w:p>
    <w:p w14:paraId="6AD9FBAD">
      <w:pPr>
        <w:numPr>
          <w:ilvl w:val="-1"/>
          <w:numId w:val="0"/>
        </w:numPr>
        <w:adjustRightInd w:val="0"/>
        <w:snapToGrid w:val="0"/>
        <w:spacing w:before="0" w:beforeLines="0" w:line="400" w:lineRule="exact"/>
        <w:ind w:firstLine="0" w:firstLineChars="0"/>
        <w:rPr>
          <w:rFonts w:hint="eastAsia" w:ascii="宋体" w:hAnsi="宋体" w:eastAsia="宋体"/>
          <w:iCs/>
          <w:szCs w:val="21"/>
        </w:rPr>
      </w:pPr>
      <w:r>
        <w:rPr>
          <w:rFonts w:hint="eastAsia" w:eastAsia="宋体"/>
          <w:lang w:val="en-US" w:eastAsia="zh-CN"/>
        </w:rPr>
        <w:t xml:space="preserve">         若本项目不专门面向中小企业采购，是否给予小微企业评审优惠：</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14:paraId="0AA5D457">
      <w:pPr>
        <w:numPr>
          <w:ilvl w:val="-1"/>
          <w:numId w:val="0"/>
        </w:numPr>
        <w:adjustRightInd w:val="0"/>
        <w:snapToGrid w:val="0"/>
        <w:spacing w:before="0" w:beforeLines="0" w:line="400" w:lineRule="exact"/>
        <w:ind w:firstLine="0" w:firstLineChars="0"/>
        <w:rPr>
          <w:rFonts w:hint="eastAsia" w:ascii="宋体" w:hAnsi="宋体" w:eastAsia="宋体"/>
          <w:iCs/>
          <w:szCs w:val="21"/>
        </w:rPr>
      </w:pPr>
      <w:r>
        <w:rPr>
          <w:rFonts w:hint="eastAsia" w:eastAsia="宋体"/>
          <w:lang w:val="en-US" w:eastAsia="zh-CN"/>
        </w:rPr>
        <w:t xml:space="preserve">         中标（成交）采购标的制造商是否为残疾人福利性单位：</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14:paraId="4EC12203">
      <w:pPr>
        <w:numPr>
          <w:ilvl w:val="0"/>
          <w:numId w:val="0"/>
        </w:numPr>
        <w:snapToGrid w:val="0"/>
        <w:spacing w:beforeLines="0" w:line="400" w:lineRule="exact"/>
        <w:ind w:firstLine="0" w:firstLineChars="0"/>
        <w:rPr>
          <w:rFonts w:hint="default" w:eastAsia="宋体"/>
          <w:lang w:val="en-US" w:eastAsia="zh-CN"/>
        </w:rPr>
      </w:pPr>
      <w:r>
        <w:rPr>
          <w:rFonts w:hint="eastAsia" w:eastAsia="宋体"/>
          <w:lang w:val="en-US" w:eastAsia="zh-CN"/>
        </w:rPr>
        <w:t xml:space="preserve">         中标（成交）采购标的制造商是否为监狱企业：</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14:paraId="3148FB1C">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default" w:ascii="宋体" w:hAnsi="宋体" w:eastAsia="宋体"/>
          <w:szCs w:val="21"/>
          <w:lang w:val="en" w:eastAsia="zh-CN"/>
        </w:rPr>
        <w:t>7</w:t>
      </w:r>
      <w:r>
        <w:rPr>
          <w:rFonts w:hint="eastAsia" w:ascii="宋体" w:hAnsi="宋体" w:eastAsia="宋体"/>
          <w:szCs w:val="21"/>
        </w:rPr>
        <w:t>）合同是否分包：</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14:paraId="3D679872">
      <w:pPr>
        <w:adjustRightInd w:val="0"/>
        <w:snapToGrid w:val="0"/>
        <w:spacing w:before="0" w:beforeLines="0" w:line="400" w:lineRule="exact"/>
        <w:ind w:firstLine="840" w:firstLineChars="400"/>
        <w:rPr>
          <w:rFonts w:hint="eastAsia" w:ascii="宋体" w:hAnsi="宋体" w:eastAsia="宋体"/>
          <w:szCs w:val="21"/>
          <w:u w:val="single"/>
        </w:rPr>
      </w:pPr>
      <w:r>
        <w:rPr>
          <w:rFonts w:hint="eastAsia" w:ascii="宋体" w:hAnsi="宋体" w:eastAsia="宋体"/>
          <w:szCs w:val="21"/>
          <w:lang w:val="en-US" w:eastAsia="zh-CN"/>
        </w:rPr>
        <w:t xml:space="preserve"> </w:t>
      </w:r>
      <w:r>
        <w:rPr>
          <w:rFonts w:hint="eastAsia" w:ascii="宋体" w:hAnsi="宋体" w:eastAsia="宋体"/>
          <w:szCs w:val="21"/>
        </w:rPr>
        <w:t>分包主要内容：</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14:paraId="1C5D4640">
      <w:pPr>
        <w:adjustRightInd w:val="0"/>
        <w:snapToGrid w:val="0"/>
        <w:spacing w:before="0" w:beforeLines="0" w:line="400" w:lineRule="exact"/>
        <w:ind w:firstLine="840" w:firstLineChars="400"/>
        <w:rPr>
          <w:rFonts w:hint="eastAsia" w:ascii="宋体" w:hAnsi="宋体" w:eastAsia="宋体"/>
          <w:szCs w:val="21"/>
          <w:highlight w:val="none"/>
        </w:rPr>
      </w:pPr>
      <w:r>
        <w:rPr>
          <w:rFonts w:hint="eastAsia" w:ascii="宋体" w:hAnsi="宋体" w:eastAsia="宋体"/>
          <w:szCs w:val="21"/>
          <w:u w:val="none"/>
          <w:lang w:val="en-US" w:eastAsia="zh-CN"/>
        </w:rPr>
        <w:t xml:space="preserve"> </w:t>
      </w:r>
      <w:r>
        <w:rPr>
          <w:rFonts w:hint="eastAsia" w:ascii="宋体" w:hAnsi="宋体" w:eastAsia="宋体"/>
          <w:szCs w:val="21"/>
        </w:rPr>
        <w:t>分包</w:t>
      </w:r>
      <w:r>
        <w:rPr>
          <w:rFonts w:hint="eastAsia" w:ascii="宋体" w:hAnsi="宋体" w:eastAsia="宋体"/>
          <w:szCs w:val="21"/>
          <w:highlight w:val="none"/>
        </w:rPr>
        <w:t>供应商</w:t>
      </w:r>
      <w:r>
        <w:rPr>
          <w:rFonts w:hint="eastAsia" w:ascii="宋体" w:hAnsi="宋体" w:eastAsia="宋体"/>
          <w:szCs w:val="21"/>
          <w:highlight w:val="none"/>
          <w:lang w:eastAsia="zh-CN"/>
        </w:rPr>
        <w:t>/制造商</w:t>
      </w:r>
      <w:r>
        <w:rPr>
          <w:rFonts w:hint="eastAsia" w:ascii="宋体" w:hAnsi="宋体" w:eastAsia="宋体"/>
          <w:szCs w:val="21"/>
          <w:highlight w:val="none"/>
        </w:rPr>
        <w:t>名称</w:t>
      </w:r>
      <w:r>
        <w:rPr>
          <w:rFonts w:hint="eastAsia" w:ascii="宋体" w:hAnsi="宋体" w:eastAsia="宋体"/>
          <w:szCs w:val="21"/>
          <w:highlight w:val="none"/>
          <w:lang w:eastAsia="zh-CN"/>
        </w:rPr>
        <w:t>（如供应商和制造商不同，请分别填写）</w:t>
      </w:r>
      <w:r>
        <w:rPr>
          <w:rFonts w:hint="eastAsia" w:ascii="宋体" w:hAnsi="宋体" w:eastAsia="宋体"/>
          <w:szCs w:val="21"/>
          <w:highlight w:val="none"/>
        </w:rPr>
        <w:t>：</w:t>
      </w:r>
    </w:p>
    <w:p w14:paraId="58D0F5F1">
      <w:pPr>
        <w:adjustRightInd w:val="0"/>
        <w:snapToGrid w:val="0"/>
        <w:spacing w:before="0" w:beforeLines="0" w:line="400" w:lineRule="exact"/>
        <w:ind w:firstLine="840" w:firstLineChars="400"/>
        <w:rPr>
          <w:rFonts w:ascii="宋体" w:hAnsi="宋体" w:eastAsia="宋体"/>
          <w:szCs w:val="21"/>
          <w:highlight w:val="none"/>
          <w:u w:val="single"/>
        </w:rPr>
      </w:pPr>
      <w:r>
        <w:rPr>
          <w:rFonts w:hint="eastAsia" w:ascii="宋体" w:hAnsi="宋体" w:eastAsia="宋体"/>
          <w:szCs w:val="21"/>
          <w:highlight w:val="none"/>
          <w:u w:val="none"/>
        </w:rPr>
        <w:t xml:space="preserve"> </w:t>
      </w:r>
      <w:r>
        <w:rPr>
          <w:rFonts w:hint="eastAsia" w:ascii="宋体" w:hAnsi="宋体" w:eastAsia="宋体"/>
          <w:szCs w:val="21"/>
          <w:highlight w:val="none"/>
          <w:u w:val="single"/>
          <w:lang w:val="en-US" w:eastAsia="zh-CN"/>
        </w:rPr>
        <w:t xml:space="preserve">  </w:t>
      </w:r>
      <w:r>
        <w:rPr>
          <w:rFonts w:hint="eastAsia" w:ascii="宋体" w:hAnsi="宋体" w:eastAsia="宋体"/>
          <w:szCs w:val="21"/>
          <w:highlight w:val="none"/>
          <w:u w:val="single"/>
        </w:rPr>
        <w:t xml:space="preserve">                                 </w:t>
      </w:r>
      <w:r>
        <w:rPr>
          <w:rFonts w:hint="eastAsia" w:ascii="宋体" w:hAnsi="宋体" w:eastAsia="宋体"/>
          <w:szCs w:val="21"/>
          <w:highlight w:val="none"/>
          <w:u w:val="single"/>
          <w:lang w:val="en-US" w:eastAsia="zh-CN"/>
        </w:rPr>
        <w:t xml:space="preserve">                       </w:t>
      </w:r>
    </w:p>
    <w:p w14:paraId="266E4DF1">
      <w:pPr>
        <w:adjustRightInd w:val="0"/>
        <w:snapToGrid w:val="0"/>
        <w:spacing w:before="0" w:beforeLines="0" w:line="400" w:lineRule="exact"/>
        <w:ind w:firstLine="840" w:firstLineChars="400"/>
        <w:rPr>
          <w:rFonts w:hint="eastAsia" w:ascii="宋体" w:hAnsi="宋体" w:eastAsia="宋体"/>
          <w:szCs w:val="21"/>
        </w:rPr>
      </w:pPr>
      <w:r>
        <w:rPr>
          <w:rFonts w:hint="eastAsia" w:ascii="宋体" w:hAnsi="宋体" w:eastAsia="宋体"/>
          <w:szCs w:val="21"/>
          <w:highlight w:val="none"/>
          <w:lang w:val="en-US" w:eastAsia="zh-CN"/>
        </w:rPr>
        <w:t xml:space="preserve"> </w:t>
      </w:r>
      <w:r>
        <w:rPr>
          <w:rFonts w:hint="eastAsia" w:ascii="宋体" w:hAnsi="宋体" w:eastAsia="宋体"/>
          <w:szCs w:val="21"/>
          <w:highlight w:val="none"/>
        </w:rPr>
        <w:t>分包供应商</w:t>
      </w:r>
      <w:r>
        <w:rPr>
          <w:rFonts w:hint="eastAsia" w:ascii="宋体" w:hAnsi="宋体" w:eastAsia="宋体"/>
          <w:szCs w:val="21"/>
          <w:highlight w:val="none"/>
          <w:lang w:val="en-US" w:eastAsia="zh-CN"/>
        </w:rPr>
        <w:t>/</w:t>
      </w:r>
      <w:r>
        <w:rPr>
          <w:rFonts w:hint="eastAsia" w:ascii="宋体" w:hAnsi="宋体" w:eastAsia="宋体"/>
          <w:szCs w:val="21"/>
          <w:highlight w:val="none"/>
          <w:lang w:eastAsia="zh-CN"/>
        </w:rPr>
        <w:t>制造商</w:t>
      </w:r>
      <w:r>
        <w:rPr>
          <w:rFonts w:hint="eastAsia" w:ascii="宋体" w:hAnsi="宋体" w:eastAsia="宋体"/>
          <w:szCs w:val="21"/>
        </w:rPr>
        <w:t>类型</w:t>
      </w:r>
      <w:r>
        <w:rPr>
          <w:rFonts w:hint="eastAsia" w:ascii="宋体" w:hAnsi="宋体" w:eastAsia="宋体"/>
          <w:szCs w:val="21"/>
          <w:highlight w:val="none"/>
          <w:lang w:eastAsia="zh-CN"/>
        </w:rPr>
        <w:t>（如果供应商和制造商不同，只填写制造商类型）</w:t>
      </w:r>
      <w:r>
        <w:rPr>
          <w:rFonts w:hint="eastAsia" w:ascii="宋体" w:hAnsi="宋体" w:eastAsia="宋体"/>
          <w:szCs w:val="21"/>
        </w:rPr>
        <w:t>：</w:t>
      </w:r>
    </w:p>
    <w:p w14:paraId="4EB0D199">
      <w:pPr>
        <w:adjustRightInd w:val="0"/>
        <w:snapToGrid w:val="0"/>
        <w:spacing w:beforeLines="0" w:line="400" w:lineRule="exact"/>
        <w:ind w:firstLine="840" w:firstLineChars="40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rPr>
        <w:t xml:space="preserve">大型企业  </w:t>
      </w:r>
      <w:r>
        <w:rPr>
          <w:rFonts w:hint="eastAsia" w:ascii="宋体" w:hAnsi="宋体" w:eastAsia="宋体"/>
          <w:iCs/>
          <w:szCs w:val="21"/>
        </w:rPr>
        <w:sym w:font="Wingdings" w:char="00A8"/>
      </w:r>
      <w:r>
        <w:rPr>
          <w:rFonts w:hint="eastAsia" w:ascii="宋体" w:hAnsi="宋体" w:eastAsia="宋体"/>
          <w:iCs/>
          <w:szCs w:val="21"/>
        </w:rPr>
        <w:t xml:space="preserve">中型企业  </w:t>
      </w:r>
      <w:r>
        <w:rPr>
          <w:rFonts w:hint="eastAsia" w:ascii="宋体" w:hAnsi="宋体" w:eastAsia="宋体"/>
          <w:iCs/>
          <w:szCs w:val="21"/>
        </w:rPr>
        <w:sym w:font="Wingdings" w:char="00A8"/>
      </w:r>
      <w:r>
        <w:rPr>
          <w:rFonts w:hint="eastAsia" w:ascii="宋体" w:hAnsi="宋体" w:eastAsia="宋体"/>
          <w:iCs/>
          <w:szCs w:val="21"/>
        </w:rPr>
        <w:t>小微型企业</w:t>
      </w:r>
      <w:r>
        <w:rPr>
          <w:rFonts w:hint="eastAsia" w:ascii="宋体" w:hAnsi="宋体" w:eastAsia="宋体"/>
          <w:iCs/>
          <w:szCs w:val="21"/>
          <w:lang w:val="en-US" w:eastAsia="zh-CN"/>
        </w:rPr>
        <w:t xml:space="preserve">  </w:t>
      </w:r>
    </w:p>
    <w:p w14:paraId="6E96D75C">
      <w:pPr>
        <w:adjustRightInd w:val="0"/>
        <w:snapToGrid w:val="0"/>
        <w:spacing w:beforeLines="0" w:line="400" w:lineRule="exact"/>
        <w:ind w:firstLine="840" w:firstLineChars="400"/>
        <w:rPr>
          <w:rFonts w:hint="default" w:eastAsia="华文楷体"/>
          <w:u w:val="none"/>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残疾人福利性单位</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监狱</w:t>
      </w:r>
      <w:r>
        <w:rPr>
          <w:rFonts w:hint="eastAsia" w:ascii="宋体" w:hAnsi="宋体" w:eastAsia="宋体"/>
          <w:iCs/>
          <w:szCs w:val="21"/>
        </w:rPr>
        <w:t>企业</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其他</w:t>
      </w:r>
    </w:p>
    <w:p w14:paraId="07208C17">
      <w:pPr>
        <w:numPr>
          <w:ilvl w:val="-1"/>
          <w:numId w:val="0"/>
        </w:numPr>
        <w:adjustRightInd w:val="0"/>
        <w:snapToGrid w:val="0"/>
        <w:spacing w:before="0" w:beforeLines="0" w:line="400" w:lineRule="exact"/>
        <w:ind w:left="0" w:leftChars="0" w:firstLine="0" w:firstLineChars="0"/>
        <w:rPr>
          <w:rFonts w:hint="eastAsia" w:ascii="宋体" w:hAnsi="宋体" w:eastAsia="宋体" w:cs="宋体"/>
          <w:iCs/>
          <w:szCs w:val="21"/>
          <w:highlight w:val="none"/>
        </w:rPr>
      </w:pPr>
      <w:r>
        <w:rPr>
          <w:rFonts w:hint="eastAsia" w:ascii="宋体" w:hAnsi="宋体" w:eastAsia="宋体"/>
          <w:szCs w:val="21"/>
          <w:highlight w:val="none"/>
          <w:u w:val="none"/>
          <w:lang w:val="en-US" w:eastAsia="zh-CN"/>
        </w:rPr>
        <w:t xml:space="preserve">    </w:t>
      </w:r>
      <w:r>
        <w:rPr>
          <w:rFonts w:hint="eastAsia" w:ascii="宋体" w:hAnsi="宋体" w:eastAsia="宋体" w:cs="宋体"/>
          <w:szCs w:val="21"/>
          <w:highlight w:val="none"/>
          <w:u w:val="none"/>
          <w:lang w:val="en-US" w:eastAsia="zh-CN"/>
        </w:rPr>
        <w:t>（</w:t>
      </w:r>
      <w:r>
        <w:rPr>
          <w:rFonts w:hint="default" w:ascii="宋体" w:hAnsi="宋体" w:eastAsia="宋体" w:cs="宋体"/>
          <w:szCs w:val="21"/>
          <w:highlight w:val="none"/>
          <w:u w:val="none"/>
          <w:lang w:val="en" w:eastAsia="zh-CN"/>
        </w:rPr>
        <w:t>8</w:t>
      </w:r>
      <w:r>
        <w:rPr>
          <w:rFonts w:hint="eastAsia" w:ascii="宋体" w:hAnsi="宋体" w:eastAsia="宋体" w:cs="宋体"/>
          <w:szCs w:val="21"/>
          <w:highlight w:val="none"/>
          <w:u w:val="none"/>
          <w:lang w:val="en-US" w:eastAsia="zh-CN"/>
        </w:rPr>
        <w:t>）中标（成交）供应商是否为外商投资企业：</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是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否</w:t>
      </w:r>
    </w:p>
    <w:p w14:paraId="4CDBE7F9">
      <w:pPr>
        <w:tabs>
          <w:tab w:val="left" w:pos="1340"/>
        </w:tabs>
        <w:autoSpaceDE w:val="0"/>
        <w:autoSpaceDN w:val="0"/>
        <w:adjustRightInd w:val="0"/>
        <w:spacing w:beforeLines="0" w:line="400" w:lineRule="exact"/>
        <w:ind w:firstLine="420" w:firstLineChars="200"/>
        <w:rPr>
          <w:rFonts w:hint="eastAsia" w:ascii="宋体" w:hAnsi="宋体" w:eastAsia="宋体" w:cs="宋体"/>
          <w:sz w:val="21"/>
          <w:szCs w:val="21"/>
          <w:highlight w:val="none"/>
          <w:u w:val="single"/>
          <w:lang w:val="en-US" w:eastAsia="zh-CN" w:bidi="ar-SA"/>
        </w:rPr>
      </w:pPr>
      <w:r>
        <w:rPr>
          <w:rFonts w:hint="eastAsia" w:ascii="宋体" w:hAnsi="宋体" w:eastAsia="宋体" w:cs="宋体"/>
          <w:sz w:val="21"/>
          <w:szCs w:val="21"/>
          <w:highlight w:val="none"/>
          <w:u w:val="none"/>
          <w:lang w:val="en-US" w:eastAsia="zh-CN" w:bidi="ar-SA"/>
        </w:rPr>
        <w:t xml:space="preserve">     外商投资企业类型：</w:t>
      </w:r>
      <w:r>
        <w:rPr>
          <w:rFonts w:hint="eastAsia" w:ascii="宋体" w:hAnsi="宋体" w:eastAsia="宋体" w:cs="宋体"/>
          <w:iCs/>
          <w:sz w:val="21"/>
          <w:szCs w:val="21"/>
          <w:highlight w:val="none"/>
          <w:lang w:val="en-US" w:eastAsia="zh-CN" w:bidi="ar-SA"/>
        </w:rPr>
        <w:sym w:font="Wingdings" w:char="00A8"/>
      </w:r>
      <w:r>
        <w:rPr>
          <w:rFonts w:hint="eastAsia" w:ascii="宋体" w:hAnsi="宋体" w:eastAsia="宋体" w:cs="宋体"/>
          <w:sz w:val="21"/>
          <w:szCs w:val="21"/>
          <w:highlight w:val="none"/>
          <w:u w:val="none"/>
          <w:lang w:val="en-US" w:eastAsia="zh-CN" w:bidi="ar-SA"/>
        </w:rPr>
        <w:t xml:space="preserve">全部由外国投资者投资  </w:t>
      </w:r>
      <w:r>
        <w:rPr>
          <w:rFonts w:hint="eastAsia" w:ascii="宋体" w:hAnsi="宋体" w:eastAsia="宋体" w:cs="宋体"/>
          <w:iCs/>
          <w:sz w:val="21"/>
          <w:szCs w:val="21"/>
          <w:highlight w:val="none"/>
          <w:lang w:val="en-US" w:eastAsia="zh-CN" w:bidi="ar-SA"/>
        </w:rPr>
        <w:sym w:font="Wingdings" w:char="00A8"/>
      </w:r>
      <w:r>
        <w:rPr>
          <w:rFonts w:hint="eastAsia" w:ascii="宋体" w:hAnsi="宋体" w:eastAsia="宋体" w:cs="宋体"/>
          <w:iCs/>
          <w:sz w:val="21"/>
          <w:szCs w:val="21"/>
          <w:highlight w:val="none"/>
          <w:lang w:val="en-US" w:eastAsia="zh-CN" w:bidi="ar-SA"/>
        </w:rPr>
        <w:t>部分由外国投资者投资</w:t>
      </w:r>
    </w:p>
    <w:p w14:paraId="3C72E0EC">
      <w:pPr>
        <w:numPr>
          <w:ilvl w:val="-1"/>
          <w:numId w:val="0"/>
        </w:numPr>
        <w:adjustRightInd w:val="0"/>
        <w:snapToGrid w:val="0"/>
        <w:spacing w:before="0" w:beforeLines="0" w:line="400" w:lineRule="exact"/>
        <w:ind w:firstLine="420" w:firstLineChars="200"/>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w:t>
      </w:r>
      <w:r>
        <w:rPr>
          <w:rFonts w:hint="default" w:ascii="宋体" w:hAnsi="宋体" w:eastAsia="宋体" w:cs="宋体"/>
          <w:b w:val="0"/>
          <w:bCs w:val="0"/>
          <w:sz w:val="21"/>
          <w:szCs w:val="21"/>
          <w:u w:val="none"/>
          <w:lang w:val="en" w:eastAsia="zh-CN"/>
        </w:rPr>
        <w:t>9</w:t>
      </w:r>
      <w:r>
        <w:rPr>
          <w:rFonts w:hint="eastAsia" w:ascii="宋体" w:hAnsi="宋体" w:eastAsia="宋体" w:cs="宋体"/>
          <w:b w:val="0"/>
          <w:bCs w:val="0"/>
          <w:sz w:val="21"/>
          <w:szCs w:val="21"/>
          <w:u w:val="none"/>
          <w:lang w:val="en-US" w:eastAsia="zh-CN"/>
        </w:rPr>
        <w:t>）是否涉及进口产品：</w:t>
      </w:r>
    </w:p>
    <w:p w14:paraId="47C36475">
      <w:pPr>
        <w:numPr>
          <w:ilvl w:val="-1"/>
          <w:numId w:val="0"/>
        </w:numPr>
        <w:adjustRightInd w:val="0"/>
        <w:snapToGrid w:val="0"/>
        <w:spacing w:before="0" w:beforeLines="0" w:line="400" w:lineRule="exact"/>
        <w:ind w:firstLine="840" w:firstLineChars="400"/>
        <w:rPr>
          <w:rFonts w:hint="eastAsia" w:ascii="宋体" w:hAnsi="宋体" w:eastAsia="宋体" w:cs="宋体"/>
          <w:szCs w:val="21"/>
          <w:u w:val="single"/>
          <w:lang w:val="en-US" w:eastAsia="zh-CN"/>
        </w:rPr>
      </w:pPr>
      <w:r>
        <w:rPr>
          <w:rFonts w:hint="eastAsia" w:ascii="宋体" w:hAnsi="宋体" w:eastAsia="宋体" w:cs="宋体"/>
          <w:iCs w:val="0"/>
          <w:szCs w:val="21"/>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rPr>
        <w:t>是</w:t>
      </w:r>
      <w:r>
        <w:rPr>
          <w:rFonts w:hint="eastAsia" w:ascii="宋体" w:hAnsi="宋体" w:eastAsia="宋体" w:cs="宋体"/>
          <w:iCs w:val="0"/>
          <w:szCs w:val="21"/>
          <w:lang w:eastAsia="zh-CN"/>
        </w:rPr>
        <w:t>，《政府采购品目分类目录》底级品目名称</w:t>
      </w:r>
      <w:r>
        <w:rPr>
          <w:rFonts w:hint="eastAsia" w:ascii="宋体" w:hAnsi="宋体" w:eastAsia="宋体" w:cs="宋体"/>
          <w:szCs w:val="21"/>
          <w:lang w:val="en-US" w:eastAsia="zh-CN"/>
        </w:rPr>
        <w:t>：</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金额：</w:t>
      </w:r>
      <w:r>
        <w:rPr>
          <w:rFonts w:hint="eastAsia" w:ascii="宋体" w:hAnsi="宋体" w:eastAsia="宋体" w:cs="宋体"/>
          <w:szCs w:val="21"/>
          <w:u w:val="single"/>
          <w:lang w:val="en-US" w:eastAsia="zh-CN"/>
        </w:rPr>
        <w:t xml:space="preserve">        </w:t>
      </w:r>
    </w:p>
    <w:p w14:paraId="1D65AC09">
      <w:pPr>
        <w:numPr>
          <w:ilvl w:val="-1"/>
          <w:numId w:val="0"/>
        </w:numPr>
        <w:adjustRightInd w:val="0"/>
        <w:snapToGrid w:val="0"/>
        <w:spacing w:before="0" w:beforeLines="0" w:line="400" w:lineRule="exact"/>
        <w:ind w:firstLine="840" w:firstLineChars="400"/>
        <w:rPr>
          <w:rFonts w:hint="eastAsia" w:ascii="宋体" w:hAnsi="宋体" w:eastAsia="宋体"/>
          <w:iCs w:val="0"/>
          <w:szCs w:val="21"/>
        </w:rPr>
      </w:pPr>
      <w:r>
        <w:rPr>
          <w:rFonts w:hint="eastAsia" w:ascii="宋体" w:hAnsi="宋体" w:eastAsia="宋体" w:cs="宋体"/>
          <w:szCs w:val="21"/>
          <w:lang w:val="en-US" w:eastAsia="zh-CN"/>
        </w:rPr>
        <w:t xml:space="preserve">        国别：</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规格型号：</w:t>
      </w:r>
      <w:r>
        <w:rPr>
          <w:rFonts w:hint="eastAsia" w:ascii="宋体" w:hAnsi="宋体" w:eastAsia="宋体" w:cs="宋体"/>
          <w:szCs w:val="21"/>
          <w:u w:val="single"/>
          <w:lang w:val="en-US" w:eastAsia="zh-CN"/>
        </w:rPr>
        <w:t xml:space="preserve">        </w:t>
      </w:r>
      <w:r>
        <w:rPr>
          <w:rFonts w:hint="eastAsia" w:ascii="宋体" w:hAnsi="宋体" w:eastAsia="宋体"/>
          <w:iCs w:val="0"/>
          <w:szCs w:val="21"/>
        </w:rPr>
        <w:t xml:space="preserve">      </w:t>
      </w:r>
    </w:p>
    <w:p w14:paraId="71498142">
      <w:pPr>
        <w:adjustRightInd w:val="0"/>
        <w:snapToGrid w:val="0"/>
        <w:spacing w:before="0" w:beforeLines="0" w:line="400" w:lineRule="exact"/>
        <w:ind w:firstLine="840" w:firstLineChars="400"/>
        <w:rPr>
          <w:rFonts w:hint="eastAsia" w:ascii="宋体" w:hAnsi="宋体" w:eastAsia="宋体"/>
          <w:szCs w:val="21"/>
          <w:u w:val="none"/>
          <w:lang w:val="en-US" w:eastAsia="zh-CN"/>
        </w:rPr>
      </w:pP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否</w:t>
      </w:r>
    </w:p>
    <w:p w14:paraId="18DB969C">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eastAsia="宋体"/>
          <w:b w:val="0"/>
          <w:bCs w:val="0"/>
          <w:sz w:val="21"/>
          <w:szCs w:val="21"/>
          <w:u w:val="none"/>
          <w:lang w:val="en-US" w:eastAsia="zh-CN"/>
        </w:rPr>
        <w:t xml:space="preserve">    （1</w:t>
      </w:r>
      <w:r>
        <w:rPr>
          <w:rFonts w:hint="default" w:ascii="宋体" w:hAnsi="宋体" w:eastAsia="宋体"/>
          <w:b w:val="0"/>
          <w:bCs w:val="0"/>
          <w:sz w:val="21"/>
          <w:szCs w:val="21"/>
          <w:u w:val="none"/>
          <w:lang w:val="en" w:eastAsia="zh-CN"/>
        </w:rPr>
        <w:t>0</w:t>
      </w:r>
      <w:r>
        <w:rPr>
          <w:rFonts w:hint="eastAsia" w:ascii="宋体" w:hAnsi="宋体" w:eastAsia="宋体"/>
          <w:b w:val="0"/>
          <w:bCs w:val="0"/>
          <w:sz w:val="21"/>
          <w:szCs w:val="21"/>
          <w:u w:val="none"/>
          <w:lang w:val="en-US" w:eastAsia="zh-CN"/>
        </w:rPr>
        <w:t>）是否涉及节能产品：</w:t>
      </w:r>
    </w:p>
    <w:p w14:paraId="7C4D1775">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，《节能产品政府采购品目清单》的底级品目名称：</w:t>
      </w:r>
      <w:r>
        <w:rPr>
          <w:rFonts w:hint="eastAsia" w:ascii="宋体" w:hAnsi="宋体" w:eastAsia="宋体"/>
          <w:szCs w:val="21"/>
          <w:u w:val="single"/>
          <w:lang w:val="en-US" w:eastAsia="zh-CN"/>
        </w:rPr>
        <w:t xml:space="preserve">         </w:t>
      </w:r>
      <w:r>
        <w:rPr>
          <w:rFonts w:hint="eastAsia" w:ascii="宋体" w:hAnsi="宋体" w:eastAsia="宋体"/>
          <w:iCs/>
          <w:szCs w:val="21"/>
          <w:lang w:val="en-US" w:eastAsia="zh-CN"/>
        </w:rPr>
        <w:t xml:space="preserve">     </w:t>
      </w:r>
    </w:p>
    <w:p w14:paraId="26B367CE">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强制采购</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优先采购</w:t>
      </w:r>
      <w:r>
        <w:rPr>
          <w:rFonts w:hint="eastAsia" w:ascii="宋体" w:hAnsi="宋体" w:eastAsia="宋体"/>
          <w:iCs/>
          <w:szCs w:val="21"/>
          <w:lang w:val="en-US" w:eastAsia="zh-CN"/>
        </w:rPr>
        <w:t xml:space="preserve">    </w:t>
      </w:r>
    </w:p>
    <w:p w14:paraId="54FB1367">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rPr>
      </w:pPr>
      <w:r>
        <w:rPr>
          <w:rFonts w:hint="eastAsia" w:ascii="宋体" w:hAnsi="宋体" w:eastAsia="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14:paraId="7B9338A9">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eastAsia="宋体"/>
          <w:b w:val="0"/>
          <w:bCs w:val="0"/>
          <w:sz w:val="21"/>
          <w:szCs w:val="21"/>
          <w:u w:val="none"/>
          <w:lang w:val="en-US" w:eastAsia="zh-CN"/>
        </w:rPr>
        <w:t xml:space="preserve">          是否涉及环境标志产品：</w:t>
      </w:r>
    </w:p>
    <w:p w14:paraId="62E7BA1B">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lang w:eastAsia="zh-CN"/>
        </w:rPr>
      </w:pPr>
      <w:r>
        <w:rPr>
          <w:rFonts w:hint="eastAsia" w:ascii="宋体" w:hAnsi="宋体" w:eastAsia="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，《环境标志产品政府采购品目清单》的底级品目名称：</w:t>
      </w:r>
      <w:r>
        <w:rPr>
          <w:rFonts w:hint="eastAsia" w:ascii="宋体" w:hAnsi="宋体" w:eastAsia="宋体"/>
          <w:szCs w:val="21"/>
          <w:u w:val="single"/>
          <w:lang w:val="en-US" w:eastAsia="zh-CN"/>
        </w:rPr>
        <w:t xml:space="preserve">         </w:t>
      </w:r>
      <w:r>
        <w:rPr>
          <w:rFonts w:hint="eastAsia" w:ascii="宋体" w:hAnsi="宋体" w:eastAsia="宋体"/>
          <w:iCs/>
          <w:szCs w:val="21"/>
          <w:lang w:val="en-US" w:eastAsia="zh-CN"/>
        </w:rPr>
        <w:t xml:space="preserve"> </w:t>
      </w:r>
    </w:p>
    <w:p w14:paraId="75669193">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强制采购</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优先采购</w:t>
      </w:r>
      <w:r>
        <w:rPr>
          <w:rFonts w:hint="eastAsia" w:ascii="宋体" w:hAnsi="宋体" w:eastAsia="宋体"/>
          <w:iCs/>
          <w:szCs w:val="21"/>
          <w:lang w:val="en-US" w:eastAsia="zh-CN"/>
        </w:rPr>
        <w:t xml:space="preserve">    </w:t>
      </w:r>
    </w:p>
    <w:p w14:paraId="476A2EA2">
      <w:pPr>
        <w:numPr>
          <w:ilvl w:val="-1"/>
          <w:numId w:val="0"/>
        </w:numPr>
        <w:tabs>
          <w:tab w:val="left" w:pos="740"/>
        </w:tabs>
        <w:adjustRightInd w:val="0"/>
        <w:snapToGrid w:val="0"/>
        <w:spacing w:before="0" w:beforeLines="0" w:line="400" w:lineRule="exact"/>
        <w:ind w:firstLine="0" w:firstLineChars="0"/>
        <w:rPr>
          <w:rFonts w:hint="eastAsia" w:ascii="宋体" w:hAnsi="宋体" w:eastAsia="宋体"/>
          <w:b w:val="0"/>
          <w:bCs w:val="0"/>
          <w:sz w:val="21"/>
          <w:szCs w:val="21"/>
          <w:u w:val="none"/>
          <w:lang w:val="en-US" w:eastAsia="zh-CN"/>
        </w:rPr>
      </w:pPr>
      <w:r>
        <w:rPr>
          <w:rFonts w:hint="eastAsia" w:ascii="宋体" w:hAnsi="宋体" w:eastAsia="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14:paraId="58BAD1D8">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Times New Roman"/>
          <w:iCs w:val="0"/>
          <w:kern w:val="2"/>
          <w:sz w:val="21"/>
          <w:szCs w:val="21"/>
          <w:u w:val="none"/>
          <w:lang w:val="en-US" w:eastAsia="zh-CN" w:bidi="ar-SA"/>
        </w:rPr>
      </w:pPr>
      <w:r>
        <w:rPr>
          <w:rFonts w:hint="eastAsia" w:ascii="宋体" w:hAnsi="宋体" w:eastAsia="华文楷体" w:cs="华文楷体"/>
          <w:b w:val="0"/>
          <w:bCs w:val="0"/>
          <w:sz w:val="21"/>
          <w:szCs w:val="21"/>
          <w:u w:val="none"/>
          <w:lang w:val="en-US" w:eastAsia="zh-CN" w:bidi="ar-SA"/>
        </w:rPr>
        <w:t xml:space="preserve">          </w:t>
      </w:r>
      <w:r>
        <w:rPr>
          <w:rFonts w:hint="eastAsia" w:ascii="宋体" w:hAnsi="宋体" w:eastAsia="宋体" w:cs="Times New Roman"/>
          <w:b w:val="0"/>
          <w:bCs w:val="0"/>
          <w:kern w:val="2"/>
          <w:sz w:val="21"/>
          <w:szCs w:val="21"/>
          <w:u w:val="none"/>
          <w:lang w:val="en-US" w:eastAsia="zh-CN" w:bidi="ar-SA"/>
        </w:rPr>
        <w:t>是否涉及绿色产品：</w:t>
      </w:r>
      <w:r>
        <w:rPr>
          <w:rFonts w:hint="eastAsia" w:ascii="宋体" w:hAnsi="宋体" w:eastAsia="宋体" w:cs="Times New Roman"/>
          <w:iCs w:val="0"/>
          <w:kern w:val="2"/>
          <w:sz w:val="21"/>
          <w:szCs w:val="21"/>
          <w:u w:val="none"/>
          <w:lang w:val="en-US" w:eastAsia="zh-CN" w:bidi="ar-SA"/>
        </w:rPr>
        <w:t xml:space="preserve"> </w:t>
      </w:r>
    </w:p>
    <w:p w14:paraId="41D4D31D">
      <w:pPr>
        <w:autoSpaceDE w:val="0"/>
        <w:autoSpaceDN w:val="0"/>
        <w:adjustRightInd w:val="0"/>
        <w:spacing w:beforeLines="0" w:line="400" w:lineRule="exact"/>
        <w:ind w:firstLine="420" w:firstLineChars="0"/>
        <w:rPr>
          <w:rFonts w:hint="eastAsia" w:ascii="宋体" w:hAnsi="宋体" w:eastAsia="宋体" w:cs="华文楷体"/>
          <w:sz w:val="22"/>
          <w:szCs w:val="21"/>
          <w:u w:val="single"/>
          <w:lang w:val="en-US" w:eastAsia="zh-CN" w:bidi="ar-SA"/>
        </w:rPr>
      </w:pPr>
      <w:r>
        <w:rPr>
          <w:rFonts w:hint="eastAsia" w:ascii="宋体" w:hAnsi="宋体" w:eastAsia="宋体" w:cs="Times New Roman"/>
          <w:iCs w:val="0"/>
          <w:kern w:val="2"/>
          <w:sz w:val="21"/>
          <w:szCs w:val="21"/>
          <w:u w:val="none"/>
          <w:lang w:val="en-US" w:eastAsia="zh-CN" w:bidi="ar-SA"/>
        </w:rPr>
        <w:t xml:space="preserve">     </w:t>
      </w:r>
      <w:r>
        <w:rPr>
          <w:rFonts w:hint="eastAsia" w:ascii="宋体" w:hAnsi="宋体" w:eastAsia="宋体" w:cs="Times New Roman"/>
          <w:iCs w:val="0"/>
          <w:kern w:val="2"/>
          <w:sz w:val="21"/>
          <w:szCs w:val="21"/>
          <w:u w:val="none"/>
          <w:lang w:val="en-US" w:eastAsia="zh-CN" w:bidi="ar-SA"/>
        </w:rPr>
        <w:sym w:font="Wingdings" w:char="00A8"/>
      </w:r>
      <w:r>
        <w:rPr>
          <w:rFonts w:hint="eastAsia" w:ascii="宋体" w:hAnsi="宋体" w:eastAsia="宋体" w:cs="Times New Roman"/>
          <w:iCs w:val="0"/>
          <w:kern w:val="2"/>
          <w:sz w:val="21"/>
          <w:szCs w:val="21"/>
          <w:u w:val="none"/>
          <w:lang w:val="en-US" w:eastAsia="zh-CN" w:bidi="ar-SA"/>
        </w:rPr>
        <w:t>是，绿色产品政府采购相关政策确定的底级品目名称：</w:t>
      </w:r>
      <w:r>
        <w:rPr>
          <w:rFonts w:hint="eastAsia" w:ascii="宋体" w:hAnsi="宋体" w:eastAsia="宋体" w:cs="华文楷体"/>
          <w:sz w:val="22"/>
          <w:szCs w:val="21"/>
          <w:u w:val="single"/>
          <w:lang w:val="en-US" w:eastAsia="zh-CN" w:bidi="ar-SA"/>
        </w:rPr>
        <w:t xml:space="preserve">         </w:t>
      </w:r>
    </w:p>
    <w:p w14:paraId="4C2D4D1F">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强制采购</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优先采购</w:t>
      </w:r>
      <w:r>
        <w:rPr>
          <w:rFonts w:hint="eastAsia" w:ascii="宋体" w:hAnsi="宋体" w:eastAsia="宋体"/>
          <w:iCs/>
          <w:szCs w:val="21"/>
          <w:lang w:val="en-US" w:eastAsia="zh-CN"/>
        </w:rPr>
        <w:t xml:space="preserve">    </w:t>
      </w:r>
    </w:p>
    <w:p w14:paraId="770C7CA0">
      <w:pPr>
        <w:autoSpaceDE w:val="0"/>
        <w:autoSpaceDN w:val="0"/>
        <w:adjustRightInd w:val="0"/>
        <w:spacing w:beforeLines="0" w:line="400" w:lineRule="exact"/>
        <w:ind w:firstLine="420" w:firstLineChars="0"/>
        <w:rPr>
          <w:rFonts w:hint="eastAsia" w:ascii="宋体" w:hAnsi="宋体" w:eastAsia="华文楷体" w:cs="华文楷体"/>
          <w:b w:val="0"/>
          <w:bCs w:val="0"/>
          <w:sz w:val="21"/>
          <w:szCs w:val="21"/>
          <w:u w:val="none"/>
          <w:lang w:val="en-US" w:eastAsia="zh-CN" w:bidi="ar-SA"/>
        </w:rPr>
      </w:pPr>
      <w:r>
        <w:rPr>
          <w:rFonts w:hint="eastAsia" w:ascii="宋体" w:hAnsi="宋体" w:eastAsia="宋体" w:cs="Times New Roman"/>
          <w:iCs w:val="0"/>
          <w:kern w:val="2"/>
          <w:sz w:val="21"/>
          <w:szCs w:val="21"/>
          <w:u w:val="none"/>
          <w:lang w:val="en-US" w:eastAsia="zh-CN" w:bidi="ar-SA"/>
        </w:rPr>
        <w:t xml:space="preserve">     </w:t>
      </w:r>
      <w:r>
        <w:rPr>
          <w:rFonts w:hint="eastAsia" w:ascii="宋体" w:hAnsi="宋体" w:eastAsia="宋体" w:cs="Times New Roman"/>
          <w:iCs w:val="0"/>
          <w:kern w:val="2"/>
          <w:sz w:val="21"/>
          <w:szCs w:val="21"/>
          <w:u w:val="none"/>
          <w:lang w:val="en-US" w:eastAsia="zh-CN" w:bidi="ar-SA"/>
        </w:rPr>
        <w:sym w:font="Wingdings" w:char="00A8"/>
      </w:r>
      <w:r>
        <w:rPr>
          <w:rFonts w:hint="eastAsia" w:ascii="宋体" w:hAnsi="宋体" w:eastAsia="宋体" w:cs="Times New Roman"/>
          <w:iCs w:val="0"/>
          <w:kern w:val="2"/>
          <w:sz w:val="21"/>
          <w:szCs w:val="21"/>
          <w:u w:val="none"/>
          <w:lang w:val="en-US" w:eastAsia="zh-CN" w:bidi="ar-SA"/>
        </w:rPr>
        <w:t>否</w:t>
      </w:r>
    </w:p>
    <w:p w14:paraId="40B6412F">
      <w:pPr>
        <w:numPr>
          <w:ilvl w:val="-1"/>
          <w:numId w:val="0"/>
        </w:num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eastAsia="宋体"/>
          <w:szCs w:val="21"/>
          <w:lang w:val="en-US" w:eastAsia="zh-CN"/>
        </w:rPr>
        <w:t xml:space="preserve">    （1</w:t>
      </w:r>
      <w:r>
        <w:rPr>
          <w:rFonts w:hint="default" w:ascii="宋体" w:hAnsi="宋体" w:eastAsia="宋体"/>
          <w:szCs w:val="21"/>
          <w:lang w:val="en" w:eastAsia="zh-CN"/>
        </w:rPr>
        <w:t>1</w:t>
      </w:r>
      <w:r>
        <w:rPr>
          <w:rFonts w:hint="eastAsia" w:ascii="宋体" w:hAnsi="宋体" w:eastAsia="宋体"/>
          <w:szCs w:val="21"/>
          <w:lang w:val="en-US" w:eastAsia="zh-CN"/>
        </w:rPr>
        <w:t>）涉及商品包装和快递包装的，是否参考</w:t>
      </w:r>
      <w:r>
        <w:rPr>
          <w:rFonts w:hint="eastAsia" w:ascii="宋体" w:hAnsi="宋体" w:eastAsia="宋体"/>
          <w:szCs w:val="21"/>
        </w:rPr>
        <w:t>《商品包装政府采购需求标准（试行）》、《快递包装政府采购需求标准（试行）》</w:t>
      </w:r>
      <w:r>
        <w:rPr>
          <w:rFonts w:hint="eastAsia" w:ascii="宋体" w:hAnsi="宋体" w:eastAsia="宋体"/>
          <w:szCs w:val="21"/>
          <w:lang w:eastAsia="zh-CN"/>
        </w:rPr>
        <w:t>明确产品及相关快递服务的具体包装要求：</w:t>
      </w:r>
    </w:p>
    <w:p w14:paraId="1F744F55">
      <w:pPr>
        <w:numPr>
          <w:ilvl w:val="-1"/>
          <w:numId w:val="0"/>
        </w:numPr>
        <w:adjustRightInd w:val="0"/>
        <w:snapToGrid w:val="0"/>
        <w:spacing w:before="0" w:beforeLines="0" w:line="400" w:lineRule="exact"/>
        <w:ind w:firstLine="840" w:firstLineChars="400"/>
        <w:rPr>
          <w:rFonts w:hint="eastAsia" w:ascii="宋体" w:hAnsi="宋体" w:eastAsia="宋体"/>
          <w:iCs w:val="0"/>
          <w:szCs w:val="21"/>
          <w:lang w:val="en-US" w:eastAsia="zh-CN"/>
        </w:rPr>
      </w:pPr>
      <w:r>
        <w:rPr>
          <w:rFonts w:hint="eastAsia" w:ascii="宋体" w:hAnsi="宋体" w:eastAsia="宋体"/>
          <w:iCs w:val="0"/>
          <w:szCs w:val="21"/>
        </w:rPr>
        <w:sym w:font="Wingdings" w:char="00A8"/>
      </w:r>
      <w:r>
        <w:rPr>
          <w:rFonts w:hint="eastAsia" w:ascii="宋体" w:hAnsi="宋体" w:eastAsia="宋体"/>
          <w:iCs w:val="0"/>
          <w:szCs w:val="21"/>
        </w:rPr>
        <w:t xml:space="preserve">是       </w:t>
      </w:r>
      <w:r>
        <w:rPr>
          <w:rFonts w:hint="eastAsia" w:ascii="宋体" w:hAnsi="宋体" w:eastAsia="宋体"/>
          <w:iCs w:val="0"/>
          <w:szCs w:val="21"/>
        </w:rPr>
        <w:sym w:font="Wingdings" w:char="00A8"/>
      </w:r>
      <w:r>
        <w:rPr>
          <w:rFonts w:hint="eastAsia" w:ascii="宋体" w:hAnsi="宋体" w:eastAsia="宋体"/>
          <w:iCs w:val="0"/>
          <w:szCs w:val="21"/>
        </w:rPr>
        <w:t>否</w:t>
      </w: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不涉及</w:t>
      </w:r>
    </w:p>
    <w:p w14:paraId="35D44E84">
      <w:pPr>
        <w:numPr>
          <w:ilvl w:val="0"/>
          <w:numId w:val="9"/>
        </w:numPr>
        <w:adjustRightInd w:val="0"/>
        <w:snapToGrid w:val="0"/>
        <w:spacing w:before="0" w:beforeLines="0" w:line="400" w:lineRule="exact"/>
        <w:ind w:firstLine="422" w:firstLineChars="200"/>
        <w:rPr>
          <w:rFonts w:ascii="宋体" w:hAnsi="宋体" w:eastAsia="宋体"/>
          <w:b/>
          <w:szCs w:val="21"/>
          <w:highlight w:val="none"/>
        </w:rPr>
      </w:pPr>
      <w:r>
        <w:rPr>
          <w:rFonts w:hint="eastAsia" w:ascii="宋体" w:hAnsi="宋体" w:eastAsia="宋体"/>
          <w:b/>
          <w:szCs w:val="21"/>
          <w:highlight w:val="none"/>
        </w:rPr>
        <w:t>合同金额</w:t>
      </w:r>
    </w:p>
    <w:p w14:paraId="51DC055E">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（1）合同金额小写：</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14:paraId="1D1B49CD">
      <w:pPr>
        <w:adjustRightInd w:val="0"/>
        <w:snapToGrid w:val="0"/>
        <w:spacing w:before="0" w:beforeLines="0" w:line="400" w:lineRule="exact"/>
        <w:ind w:left="0" w:firstLine="0" w:firstLineChars="0"/>
        <w:rPr>
          <w:rFonts w:ascii="宋体" w:hAnsi="宋体" w:eastAsia="宋体"/>
          <w:szCs w:val="21"/>
          <w:u w:val="single"/>
        </w:rPr>
      </w:pPr>
      <w:r>
        <w:rPr>
          <w:rFonts w:hint="eastAsia" w:ascii="宋体" w:hAnsi="宋体" w:eastAsia="宋体"/>
          <w:szCs w:val="21"/>
          <w:lang w:val="en-US" w:eastAsia="zh-CN"/>
        </w:rPr>
        <w:t xml:space="preserve">                 </w:t>
      </w:r>
      <w:r>
        <w:rPr>
          <w:rFonts w:hint="eastAsia" w:ascii="宋体" w:hAnsi="宋体" w:eastAsia="宋体"/>
          <w:szCs w:val="21"/>
        </w:rPr>
        <w:t>大写：</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14:paraId="0606FF12">
      <w:pPr>
        <w:adjustRightInd w:val="0"/>
        <w:snapToGrid w:val="0"/>
        <w:spacing w:before="0" w:beforeLines="0" w:line="400" w:lineRule="exact"/>
        <w:ind w:firstLine="0" w:firstLineChars="0"/>
        <w:rPr>
          <w:rFonts w:ascii="宋体" w:hAnsi="宋体" w:eastAsia="宋体"/>
          <w:szCs w:val="21"/>
        </w:rPr>
      </w:pPr>
      <w:r>
        <w:rPr>
          <w:rFonts w:hint="eastAsia" w:ascii="宋体" w:hAnsi="宋体" w:eastAsia="宋体"/>
          <w:szCs w:val="21"/>
          <w:lang w:val="en-US" w:eastAsia="zh-CN"/>
        </w:rPr>
        <w:t xml:space="preserve">         </w:t>
      </w:r>
      <w:r>
        <w:rPr>
          <w:rFonts w:hint="eastAsia" w:ascii="宋体" w:hAnsi="宋体" w:eastAsia="宋体"/>
          <w:szCs w:val="21"/>
        </w:rPr>
        <w:t>分包金额</w:t>
      </w:r>
      <w:r>
        <w:rPr>
          <w:rFonts w:hint="eastAsia" w:ascii="宋体" w:hAnsi="宋体" w:eastAsia="宋体"/>
          <w:szCs w:val="21"/>
          <w:lang w:eastAsia="zh-CN"/>
        </w:rPr>
        <w:t>（如有）</w:t>
      </w:r>
      <w:r>
        <w:rPr>
          <w:rFonts w:hint="eastAsia" w:ascii="宋体" w:hAnsi="宋体" w:eastAsia="宋体"/>
          <w:szCs w:val="21"/>
        </w:rPr>
        <w:t>小写：</w:t>
      </w:r>
      <w:r>
        <w:rPr>
          <w:rFonts w:hint="eastAsia" w:ascii="宋体" w:hAnsi="宋体" w:eastAsia="宋体"/>
          <w:szCs w:val="21"/>
          <w:u w:val="single"/>
        </w:rPr>
        <w:t xml:space="preserve">                   </w:t>
      </w:r>
    </w:p>
    <w:p w14:paraId="219EAD0E">
      <w:pPr>
        <w:adjustRightInd w:val="0"/>
        <w:snapToGrid w:val="0"/>
        <w:spacing w:before="0" w:beforeLines="0" w:line="400" w:lineRule="exact"/>
        <w:ind w:firstLine="0" w:firstLineChars="0"/>
        <w:rPr>
          <w:rFonts w:hint="eastAsia" w:ascii="宋体" w:hAnsi="宋体" w:eastAsia="宋体"/>
          <w:szCs w:val="21"/>
          <w:u w:val="single"/>
        </w:rPr>
      </w:pPr>
      <w:r>
        <w:rPr>
          <w:rFonts w:hint="eastAsia" w:ascii="宋体" w:hAnsi="宋体" w:eastAsia="宋体"/>
          <w:szCs w:val="21"/>
          <w:lang w:val="en-US" w:eastAsia="zh-CN"/>
        </w:rPr>
        <w:t xml:space="preserve">                     </w:t>
      </w:r>
      <w:r>
        <w:rPr>
          <w:rFonts w:hint="eastAsia" w:ascii="宋体" w:hAnsi="宋体" w:eastAsia="宋体"/>
          <w:szCs w:val="21"/>
        </w:rPr>
        <w:t>大写：</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14:paraId="3B0D2854">
      <w:p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eastAsia="宋体"/>
          <w:szCs w:val="21"/>
          <w:lang w:val="en-US" w:eastAsia="zh-CN"/>
        </w:rPr>
        <w:t xml:space="preserve">    （注：固定单价合同应填写单价和最高限价）</w:t>
      </w:r>
    </w:p>
    <w:p w14:paraId="02DB1B47">
      <w:pPr>
        <w:numPr>
          <w:ilvl w:val="-1"/>
          <w:numId w:val="0"/>
        </w:numPr>
        <w:adjustRightInd w:val="0"/>
        <w:snapToGrid w:val="0"/>
        <w:spacing w:before="0" w:beforeLines="0" w:line="400" w:lineRule="exact"/>
        <w:ind w:firstLine="0" w:firstLineChars="0"/>
        <w:rPr>
          <w:rFonts w:hint="eastAsia" w:ascii="宋体" w:hAnsi="宋体" w:eastAsia="宋体"/>
          <w:szCs w:val="21"/>
        </w:rPr>
      </w:pPr>
      <w:r>
        <w:rPr>
          <w:rFonts w:hint="eastAsia" w:ascii="宋体" w:hAnsi="宋体" w:eastAsia="宋体"/>
          <w:szCs w:val="21"/>
          <w:lang w:val="en-US" w:eastAsia="zh-CN"/>
        </w:rPr>
        <w:t xml:space="preserve">    </w:t>
      </w:r>
      <w:r>
        <w:rPr>
          <w:rFonts w:hint="eastAsia" w:ascii="宋体" w:hAnsi="宋体" w:eastAsia="宋体"/>
          <w:szCs w:val="21"/>
          <w:lang w:eastAsia="zh-CN"/>
        </w:rPr>
        <w:t>（</w:t>
      </w:r>
      <w:r>
        <w:rPr>
          <w:rFonts w:hint="eastAsia" w:ascii="宋体" w:hAnsi="宋体" w:eastAsia="宋体"/>
          <w:szCs w:val="21"/>
          <w:lang w:val="en-US" w:eastAsia="zh-CN"/>
        </w:rPr>
        <w:t>2</w:t>
      </w:r>
      <w:r>
        <w:rPr>
          <w:rFonts w:hint="eastAsia" w:ascii="宋体" w:hAnsi="宋体" w:eastAsia="宋体"/>
          <w:szCs w:val="21"/>
          <w:lang w:eastAsia="zh-CN"/>
        </w:rPr>
        <w:t>）</w:t>
      </w:r>
      <w:r>
        <w:rPr>
          <w:rFonts w:hint="eastAsia" w:ascii="宋体" w:hAnsi="宋体" w:eastAsia="宋体"/>
          <w:szCs w:val="21"/>
        </w:rPr>
        <w:t>合同定价方式</w:t>
      </w:r>
      <w:r>
        <w:rPr>
          <w:rFonts w:hint="eastAsia" w:ascii="宋体" w:hAnsi="宋体" w:eastAsia="宋体"/>
          <w:szCs w:val="21"/>
          <w:lang w:eastAsia="zh-CN"/>
        </w:rPr>
        <w:t>（采用组合定价方式的，可以勾选多项）</w:t>
      </w:r>
      <w:r>
        <w:rPr>
          <w:rFonts w:hint="eastAsia" w:ascii="宋体" w:hAnsi="宋体" w:eastAsia="宋体"/>
          <w:szCs w:val="21"/>
        </w:rPr>
        <w:t>：</w:t>
      </w:r>
    </w:p>
    <w:p w14:paraId="34DF19F4">
      <w:pPr>
        <w:adjustRightInd w:val="0"/>
        <w:snapToGrid w:val="0"/>
        <w:spacing w:before="0" w:beforeLines="0" w:line="400" w:lineRule="exact"/>
        <w:ind w:firstLine="420" w:firstLineChars="200"/>
        <w:rPr>
          <w:rFonts w:hint="eastAsia" w:ascii="宋体" w:hAnsi="宋体" w:eastAsia="宋体"/>
          <w:szCs w:val="21"/>
          <w:lang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rPr>
        <w:t xml:space="preserve">固定总价 </w:t>
      </w:r>
      <w:r>
        <w:rPr>
          <w:rFonts w:hint="eastAsia" w:ascii="宋体" w:hAnsi="宋体" w:eastAsia="宋体"/>
          <w:iCs/>
          <w:szCs w:val="21"/>
        </w:rPr>
        <w:sym w:font="Wingdings" w:char="00A8"/>
      </w:r>
      <w:r>
        <w:rPr>
          <w:rFonts w:hint="eastAsia" w:ascii="宋体" w:hAnsi="宋体" w:eastAsia="宋体"/>
          <w:iCs/>
          <w:szCs w:val="21"/>
        </w:rPr>
        <w:t>固定单价</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固定费率</w:t>
      </w: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成本补偿 </w:t>
      </w:r>
      <w:r>
        <w:rPr>
          <w:rFonts w:hint="eastAsia" w:ascii="宋体" w:hAnsi="宋体" w:eastAsia="宋体"/>
          <w:iCs/>
          <w:szCs w:val="21"/>
        </w:rPr>
        <w:sym w:font="Wingdings" w:char="00A8"/>
      </w:r>
      <w:r>
        <w:rPr>
          <w:rFonts w:hint="eastAsia" w:ascii="宋体" w:hAnsi="宋体" w:eastAsia="宋体"/>
          <w:iCs/>
          <w:szCs w:val="21"/>
        </w:rPr>
        <w:t>绩效激励</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其他</w:t>
      </w:r>
      <w:r>
        <w:rPr>
          <w:rFonts w:hint="eastAsia" w:ascii="宋体" w:hAnsi="宋体" w:eastAsia="宋体"/>
          <w:szCs w:val="21"/>
          <w:u w:val="single"/>
        </w:rPr>
        <w:t xml:space="preserve">       </w:t>
      </w:r>
    </w:p>
    <w:p w14:paraId="69ED7245">
      <w:pPr>
        <w:widowControl w:val="0"/>
        <w:spacing w:beforeLines="0" w:line="400" w:lineRule="exact"/>
        <w:ind w:firstLine="420" w:firstLineChars="200"/>
        <w:jc w:val="both"/>
        <w:rPr>
          <w:rFonts w:ascii="Times New Roman" w:hAnsi="Times New Roman"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（3）付款方式（按项目实际勾选填写）：</w:t>
      </w:r>
    </w:p>
    <w:p w14:paraId="19607A13">
      <w:pPr>
        <w:adjustRightInd w:val="0"/>
        <w:snapToGrid w:val="0"/>
        <w:spacing w:before="0" w:beforeLines="0" w:line="400" w:lineRule="exact"/>
        <w:ind w:firstLine="630" w:firstLineChars="300"/>
        <w:rPr>
          <w:rFonts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全额付款：</w:t>
      </w:r>
      <w:r>
        <w:rPr>
          <w:rFonts w:hint="eastAsia" w:ascii="宋体" w:hAnsi="宋体" w:eastAsia="宋体"/>
          <w:szCs w:val="21"/>
          <w:u w:val="single"/>
        </w:rPr>
        <w:t xml:space="preserve">     （应</w:t>
      </w:r>
      <w:r>
        <w:rPr>
          <w:rFonts w:hint="eastAsia" w:ascii="宋体" w:hAnsi="宋体" w:eastAsia="宋体"/>
          <w:szCs w:val="21"/>
          <w:u w:val="single"/>
          <w:lang w:eastAsia="zh-CN"/>
        </w:rPr>
        <w:t>明确</w:t>
      </w:r>
      <w:r>
        <w:rPr>
          <w:rFonts w:hint="eastAsia" w:ascii="宋体" w:hAnsi="宋体" w:eastAsia="宋体"/>
          <w:szCs w:val="21"/>
          <w:u w:val="single"/>
        </w:rPr>
        <w:t>一次性支付合同款项</w:t>
      </w:r>
      <w:r>
        <w:rPr>
          <w:rFonts w:hint="eastAsia" w:ascii="宋体" w:hAnsi="宋体" w:eastAsia="宋体"/>
          <w:szCs w:val="21"/>
          <w:u w:val="single"/>
          <w:lang w:eastAsia="zh-CN"/>
        </w:rPr>
        <w:t>的条件</w:t>
      </w:r>
      <w:r>
        <w:rPr>
          <w:rFonts w:hint="eastAsia" w:ascii="宋体" w:hAnsi="宋体" w:eastAsia="宋体"/>
          <w:szCs w:val="21"/>
          <w:u w:val="single"/>
        </w:rPr>
        <w:t xml:space="preserve">）                    </w:t>
      </w:r>
    </w:p>
    <w:p w14:paraId="0979D92F">
      <w:pPr>
        <w:snapToGrid w:val="0"/>
        <w:spacing w:beforeLines="0" w:line="400" w:lineRule="exact"/>
        <w:ind w:firstLine="630" w:firstLineChars="300"/>
        <w:rPr>
          <w:rFonts w:eastAsia="宋体"/>
        </w:rPr>
      </w:pPr>
      <w:r>
        <w:rPr>
          <w:rFonts w:hint="eastAsia" w:ascii="宋体" w:hAnsi="宋体" w:eastAsia="宋体"/>
          <w:szCs w:val="21"/>
        </w:rPr>
        <w:sym w:font="Wingdings" w:char="00A8"/>
      </w:r>
      <w:r>
        <w:rPr>
          <w:rFonts w:hint="eastAsia" w:ascii="宋体" w:hAnsi="宋体" w:eastAsia="宋体"/>
          <w:szCs w:val="21"/>
        </w:rPr>
        <w:t>分期付款：</w:t>
      </w:r>
      <w:r>
        <w:rPr>
          <w:rFonts w:hint="eastAsia" w:ascii="宋体" w:hAnsi="宋体" w:eastAsia="宋体"/>
          <w:szCs w:val="21"/>
          <w:u w:val="single"/>
        </w:rPr>
        <w:t xml:space="preserve">  （应明确分期支付合同款项的各期比例和支付条件</w:t>
      </w:r>
      <w:r>
        <w:rPr>
          <w:rFonts w:hint="eastAsia" w:ascii="宋体" w:hAnsi="宋体" w:eastAsia="宋体"/>
          <w:szCs w:val="21"/>
          <w:u w:val="single"/>
          <w:lang w:eastAsia="zh-CN"/>
        </w:rPr>
        <w:t>，各期支付条件应与分期履约验收情况挂钩</w:t>
      </w:r>
      <w:r>
        <w:rPr>
          <w:rFonts w:hint="eastAsia" w:ascii="宋体" w:hAnsi="宋体" w:eastAsia="宋体"/>
          <w:szCs w:val="21"/>
          <w:u w:val="single"/>
        </w:rPr>
        <w:t xml:space="preserve">） </w:t>
      </w:r>
      <w:r>
        <w:rPr>
          <w:rFonts w:hint="eastAsia" w:ascii="宋体" w:hAnsi="宋体" w:eastAsia="宋体"/>
          <w:szCs w:val="21"/>
          <w:u w:val="none"/>
          <w:lang w:eastAsia="zh-CN"/>
        </w:rPr>
        <w:t>，</w:t>
      </w:r>
      <w:r>
        <w:rPr>
          <w:rFonts w:hint="eastAsia" w:ascii="宋体" w:hAnsi="宋体" w:eastAsia="宋体"/>
          <w:szCs w:val="21"/>
          <w:lang w:eastAsia="zh-CN"/>
        </w:rPr>
        <w:t>其中涉及预付款的</w:t>
      </w:r>
      <w:r>
        <w:rPr>
          <w:rFonts w:hint="eastAsia" w:ascii="宋体" w:hAnsi="宋体" w:eastAsia="宋体"/>
          <w:szCs w:val="21"/>
        </w:rPr>
        <w:t>：</w:t>
      </w:r>
      <w:r>
        <w:rPr>
          <w:rFonts w:hint="eastAsia" w:ascii="宋体" w:hAnsi="宋体" w:eastAsia="宋体"/>
          <w:szCs w:val="21"/>
          <w:u w:val="single"/>
        </w:rPr>
        <w:t xml:space="preserve"> （应明确预付款的支付比例和支付条件） </w:t>
      </w:r>
    </w:p>
    <w:p w14:paraId="0A9ACC0D">
      <w:pPr>
        <w:adjustRightInd w:val="0"/>
        <w:snapToGrid w:val="0"/>
        <w:spacing w:before="0" w:beforeLines="0" w:line="400" w:lineRule="exact"/>
        <w:ind w:firstLine="630" w:firstLineChars="300"/>
        <w:rPr>
          <w:rFonts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成本补偿：</w:t>
      </w:r>
      <w:r>
        <w:rPr>
          <w:rFonts w:hint="eastAsia" w:ascii="宋体" w:hAnsi="宋体" w:eastAsia="宋体"/>
          <w:szCs w:val="21"/>
          <w:u w:val="single"/>
        </w:rPr>
        <w:t xml:space="preserve">      （应明确按照成本补偿方式的支付方式和支付条件）   </w:t>
      </w:r>
    </w:p>
    <w:p w14:paraId="0B19F90B">
      <w:pPr>
        <w:adjustRightInd w:val="0"/>
        <w:snapToGrid w:val="0"/>
        <w:spacing w:before="0" w:beforeLines="0" w:line="400" w:lineRule="exact"/>
        <w:ind w:firstLine="630" w:firstLineChars="300"/>
        <w:rPr>
          <w:rFonts w:ascii="宋体" w:hAnsi="宋体" w:eastAsia="宋体"/>
          <w:szCs w:val="21"/>
        </w:rPr>
      </w:pPr>
      <w:r>
        <w:rPr>
          <w:rFonts w:hint="eastAsia" w:ascii="宋体" w:hAnsi="宋体" w:eastAsia="宋体"/>
          <w:szCs w:val="21"/>
        </w:rPr>
        <w:sym w:font="Wingdings" w:char="00A8"/>
      </w:r>
      <w:r>
        <w:rPr>
          <w:rFonts w:hint="eastAsia" w:ascii="宋体" w:hAnsi="宋体" w:eastAsia="宋体"/>
          <w:szCs w:val="21"/>
        </w:rPr>
        <w:t>绩效激励：</w:t>
      </w:r>
      <w:r>
        <w:rPr>
          <w:rFonts w:hint="eastAsia" w:ascii="宋体" w:hAnsi="宋体" w:eastAsia="宋体"/>
          <w:szCs w:val="21"/>
          <w:u w:val="single"/>
        </w:rPr>
        <w:t xml:space="preserve">      （应明确按照绩效激励方式的支付方式和支付条件）   </w:t>
      </w:r>
    </w:p>
    <w:p w14:paraId="20561581">
      <w:pPr>
        <w:numPr>
          <w:ilvl w:val="0"/>
          <w:numId w:val="9"/>
        </w:numPr>
        <w:adjustRightInd w:val="0"/>
        <w:snapToGrid w:val="0"/>
        <w:spacing w:before="0" w:beforeLines="0" w:line="400" w:lineRule="exact"/>
        <w:ind w:firstLine="422" w:firstLineChars="200"/>
        <w:rPr>
          <w:rFonts w:ascii="宋体" w:hAnsi="宋体" w:eastAsia="宋体"/>
          <w:b/>
          <w:bCs w:val="0"/>
          <w:szCs w:val="21"/>
          <w:u w:val="single"/>
        </w:rPr>
      </w:pPr>
      <w:r>
        <w:rPr>
          <w:rFonts w:hint="eastAsia" w:ascii="宋体" w:hAnsi="宋体" w:eastAsia="宋体"/>
          <w:b/>
          <w:bCs w:val="0"/>
          <w:szCs w:val="21"/>
        </w:rPr>
        <w:t>合同履行</w:t>
      </w:r>
    </w:p>
    <w:p w14:paraId="3F1781F5">
      <w:pPr>
        <w:adjustRightInd w:val="0"/>
        <w:snapToGrid w:val="0"/>
        <w:spacing w:before="0" w:beforeLines="0" w:line="400" w:lineRule="exact"/>
        <w:ind w:firstLine="420" w:firstLineChars="200"/>
        <w:rPr>
          <w:rFonts w:hint="eastAsia" w:ascii="宋体" w:hAnsi="宋体" w:eastAsia="宋体" w:cs="宋体"/>
          <w:szCs w:val="21"/>
        </w:rPr>
      </w:pPr>
      <w:r>
        <w:rPr>
          <w:rFonts w:hint="eastAsia" w:ascii="宋体" w:hAnsi="宋体" w:eastAsia="宋体" w:cs="宋体"/>
          <w:szCs w:val="21"/>
        </w:rPr>
        <w:t>（1）起始日期：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日，完成日期：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657B7194">
      <w:pPr>
        <w:adjustRightInd w:val="0"/>
        <w:snapToGrid w:val="0"/>
        <w:spacing w:before="0" w:beforeLines="0" w:line="400" w:lineRule="exact"/>
        <w:ind w:firstLine="420" w:firstLineChars="200"/>
        <w:rPr>
          <w:rFonts w:hint="eastAsia" w:ascii="宋体" w:hAnsi="宋体" w:eastAsia="宋体" w:cs="宋体"/>
          <w:szCs w:val="21"/>
          <w:u w:val="single"/>
        </w:rPr>
      </w:pPr>
      <w:r>
        <w:rPr>
          <w:rFonts w:hint="eastAsia" w:ascii="宋体" w:hAnsi="宋体" w:eastAsia="宋体" w:cs="宋体"/>
          <w:szCs w:val="21"/>
        </w:rPr>
        <w:t>（2）</w:t>
      </w:r>
      <w:r>
        <w:rPr>
          <w:rFonts w:hint="eastAsia" w:ascii="宋体" w:hAnsi="宋体" w:eastAsia="宋体" w:cs="宋体"/>
          <w:szCs w:val="21"/>
          <w:lang w:eastAsia="zh-CN"/>
        </w:rPr>
        <w:t>履约</w:t>
      </w:r>
      <w:r>
        <w:rPr>
          <w:rFonts w:hint="eastAsia" w:ascii="宋体" w:hAnsi="宋体" w:eastAsia="宋体" w:cs="宋体"/>
          <w:szCs w:val="21"/>
        </w:rPr>
        <w:t>地点</w:t>
      </w:r>
      <w:r>
        <w:rPr>
          <w:rFonts w:hint="eastAsia" w:ascii="宋体" w:hAnsi="宋体" w:eastAsia="宋体" w:cs="宋体"/>
          <w:b w:val="0"/>
          <w:bCs/>
          <w:szCs w:val="21"/>
        </w:rPr>
        <w:t>：</w:t>
      </w:r>
      <w:r>
        <w:rPr>
          <w:rFonts w:hint="eastAsia" w:ascii="宋体" w:hAnsi="宋体" w:eastAsia="宋体" w:cs="宋体"/>
          <w:szCs w:val="21"/>
          <w:u w:val="single"/>
        </w:rPr>
        <w:t xml:space="preserve">                             </w:t>
      </w:r>
    </w:p>
    <w:p w14:paraId="1821B126">
      <w:pPr>
        <w:adjustRightInd w:val="0"/>
        <w:snapToGrid w:val="0"/>
        <w:spacing w:before="0" w:beforeLines="0" w:line="400" w:lineRule="exact"/>
        <w:ind w:firstLine="420" w:firstLineChars="200"/>
        <w:rPr>
          <w:rFonts w:hint="eastAsia" w:ascii="宋体" w:hAnsi="宋体" w:eastAsia="宋体" w:cs="宋体"/>
          <w:sz w:val="21"/>
          <w:szCs w:val="21"/>
          <w:lang w:eastAsia="zh-CN"/>
        </w:rPr>
      </w:pPr>
      <w:r>
        <w:rPr>
          <w:rFonts w:hint="eastAsia" w:ascii="宋体" w:hAnsi="宋体" w:eastAsia="宋体" w:cs="宋体"/>
          <w:bCs/>
          <w:szCs w:val="21"/>
        </w:rPr>
        <w:t>（3）履约担保：</w:t>
      </w:r>
      <w:r>
        <w:rPr>
          <w:rFonts w:hint="eastAsia" w:ascii="宋体" w:hAnsi="宋体" w:eastAsia="宋体" w:cs="宋体"/>
          <w:sz w:val="21"/>
          <w:lang w:val="en-US" w:eastAsia="zh-CN"/>
        </w:rPr>
        <w:t>是否收取履约保证金：</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是</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否</w:t>
      </w:r>
    </w:p>
    <w:p w14:paraId="65A44DA0">
      <w:pPr>
        <w:autoSpaceDE w:val="0"/>
        <w:autoSpaceDN w:val="0"/>
        <w:adjustRightInd w:val="0"/>
        <w:spacing w:beforeLines="0" w:line="400" w:lineRule="exact"/>
        <w:ind w:firstLine="440" w:firstLineChars="200"/>
        <w:rPr>
          <w:rFonts w:hint="eastAsia" w:ascii="宋体" w:hAnsi="宋体" w:eastAsia="宋体" w:cs="宋体"/>
          <w:sz w:val="21"/>
          <w:szCs w:val="21"/>
          <w:lang w:val="en-US" w:eastAsia="zh-CN" w:bidi="ar-SA"/>
        </w:rPr>
      </w:pPr>
      <w:r>
        <w:rPr>
          <w:rFonts w:hint="eastAsia" w:ascii="宋体" w:hAnsi="宋体" w:eastAsia="华文楷体" w:cs="宋体"/>
          <w:bCs/>
          <w:sz w:val="22"/>
          <w:szCs w:val="21"/>
          <w:u w:val="none"/>
          <w:lang w:val="en-US" w:eastAsia="zh-CN" w:bidi="ar-SA"/>
        </w:rPr>
        <w:t xml:space="preserve">  </w:t>
      </w:r>
      <w:r>
        <w:rPr>
          <w:rFonts w:hint="eastAsia" w:ascii="宋体" w:hAnsi="宋体" w:eastAsia="宋体" w:cs="宋体"/>
          <w:sz w:val="21"/>
          <w:szCs w:val="21"/>
          <w:lang w:val="en-US" w:eastAsia="zh-CN" w:bidi="ar-SA"/>
        </w:rPr>
        <w:t xml:space="preserve">  收取履约保证金形式：</w:t>
      </w:r>
      <w:r>
        <w:rPr>
          <w:rFonts w:hint="eastAsia" w:ascii="宋体" w:hAnsi="宋体" w:eastAsia="宋体" w:cs="宋体"/>
          <w:bCs/>
          <w:sz w:val="21"/>
          <w:szCs w:val="21"/>
          <w:u w:val="single"/>
          <w:lang w:val="en-US" w:eastAsia="zh-CN" w:bidi="ar-SA"/>
        </w:rPr>
        <w:t xml:space="preserve">                            </w:t>
      </w:r>
    </w:p>
    <w:p w14:paraId="6F1A8BE2">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收取履约保证金金额：</w:t>
      </w:r>
      <w:r>
        <w:rPr>
          <w:rFonts w:hint="eastAsia" w:ascii="宋体" w:hAnsi="宋体" w:eastAsia="宋体" w:cs="宋体"/>
          <w:bCs/>
          <w:sz w:val="21"/>
          <w:szCs w:val="21"/>
          <w:u w:val="single"/>
          <w:lang w:val="en-US" w:eastAsia="zh-CN" w:bidi="ar-SA"/>
        </w:rPr>
        <w:t xml:space="preserve">                            </w:t>
      </w:r>
    </w:p>
    <w:p w14:paraId="6117EAC8">
      <w:pPr>
        <w:snapToGrid w:val="0"/>
        <w:spacing w:beforeLines="0" w:line="400" w:lineRule="exact"/>
        <w:ind w:firstLine="420" w:firstLineChars="200"/>
        <w:rPr>
          <w:rFonts w:hint="eastAsia" w:ascii="宋体" w:hAnsi="宋体" w:eastAsia="宋体" w:cs="宋体"/>
          <w:sz w:val="21"/>
          <w:lang w:val="en-US" w:eastAsia="zh-CN"/>
        </w:rPr>
      </w:pPr>
      <w:r>
        <w:rPr>
          <w:rFonts w:hint="eastAsia" w:ascii="宋体" w:hAnsi="宋体" w:eastAsia="宋体" w:cs="宋体"/>
          <w:bCs/>
          <w:szCs w:val="21"/>
          <w:u w:val="none"/>
          <w:lang w:val="en-US" w:eastAsia="zh-CN"/>
        </w:rPr>
        <w:t xml:space="preserve">    履约担保期限</w:t>
      </w:r>
      <w:r>
        <w:rPr>
          <w:rFonts w:hint="eastAsia" w:ascii="宋体" w:hAnsi="宋体" w:eastAsia="宋体" w:cs="宋体"/>
          <w:bCs/>
          <w:szCs w:val="21"/>
          <w:u w:val="none"/>
          <w:lang w:eastAsia="zh-CN"/>
        </w:rPr>
        <w:t>：</w:t>
      </w:r>
      <w:r>
        <w:rPr>
          <w:rFonts w:hint="eastAsia" w:ascii="宋体" w:hAnsi="宋体" w:eastAsia="宋体" w:cs="宋体"/>
          <w:bCs/>
          <w:sz w:val="21"/>
          <w:szCs w:val="21"/>
          <w:u w:val="single"/>
        </w:rPr>
        <w:t xml:space="preserve">      </w:t>
      </w:r>
      <w:r>
        <w:rPr>
          <w:rFonts w:hint="eastAsia" w:ascii="宋体" w:hAnsi="宋体" w:eastAsia="宋体" w:cs="宋体"/>
          <w:bCs/>
          <w:sz w:val="21"/>
          <w:szCs w:val="21"/>
          <w:u w:val="single"/>
          <w:lang w:val="en-US" w:eastAsia="zh-CN"/>
        </w:rPr>
        <w:t xml:space="preserve">                     </w:t>
      </w:r>
      <w:r>
        <w:rPr>
          <w:rFonts w:hint="eastAsia" w:ascii="宋体" w:hAnsi="宋体" w:eastAsia="宋体" w:cs="宋体"/>
          <w:bCs/>
          <w:sz w:val="21"/>
          <w:szCs w:val="21"/>
          <w:u w:val="single"/>
        </w:rPr>
        <w:t xml:space="preserve">       </w:t>
      </w:r>
    </w:p>
    <w:p w14:paraId="331BD88A">
      <w:pPr>
        <w:adjustRightInd w:val="0"/>
        <w:snapToGrid w:val="0"/>
        <w:spacing w:before="0" w:beforeLines="0" w:line="400" w:lineRule="exact"/>
        <w:ind w:firstLine="420" w:firstLineChars="200"/>
        <w:rPr>
          <w:rFonts w:hint="eastAsia" w:ascii="宋体" w:hAnsi="宋体" w:eastAsia="宋体" w:cs="宋体"/>
          <w:bCs/>
          <w:szCs w:val="21"/>
        </w:rPr>
      </w:pPr>
      <w:r>
        <w:rPr>
          <w:rFonts w:hint="eastAsia" w:ascii="宋体" w:hAnsi="宋体" w:eastAsia="宋体" w:cs="宋体"/>
          <w:bCs/>
          <w:szCs w:val="21"/>
        </w:rPr>
        <w:t>（4）分期履行要求：</w:t>
      </w:r>
      <w:r>
        <w:rPr>
          <w:rFonts w:hint="eastAsia" w:ascii="宋体" w:hAnsi="宋体" w:eastAsia="宋体" w:cs="宋体"/>
          <w:bCs/>
          <w:szCs w:val="21"/>
          <w:u w:val="single"/>
        </w:rPr>
        <w:t xml:space="preserve">                                                   </w:t>
      </w:r>
      <w:r>
        <w:rPr>
          <w:rFonts w:hint="eastAsia" w:ascii="宋体" w:hAnsi="宋体" w:eastAsia="宋体" w:cs="宋体"/>
          <w:bCs/>
          <w:szCs w:val="21"/>
          <w:u w:val="single"/>
          <w:lang w:val="en-US" w:eastAsia="zh-CN"/>
        </w:rPr>
        <w:t xml:space="preserve">    </w:t>
      </w:r>
      <w:r>
        <w:rPr>
          <w:rFonts w:hint="eastAsia" w:ascii="宋体" w:hAnsi="宋体" w:eastAsia="宋体" w:cs="宋体"/>
          <w:bCs/>
          <w:szCs w:val="21"/>
          <w:u w:val="single"/>
        </w:rPr>
        <w:t xml:space="preserve"> </w:t>
      </w:r>
    </w:p>
    <w:p w14:paraId="5DA7910E">
      <w:pPr>
        <w:adjustRightInd w:val="0"/>
        <w:snapToGrid w:val="0"/>
        <w:spacing w:before="0" w:beforeLines="0" w:line="400" w:lineRule="exact"/>
        <w:ind w:firstLine="420" w:firstLineChars="200"/>
        <w:rPr>
          <w:rFonts w:hint="eastAsia" w:ascii="宋体" w:hAnsi="宋体" w:eastAsia="宋体" w:cs="宋体"/>
          <w:szCs w:val="21"/>
          <w:u w:val="single"/>
        </w:rPr>
      </w:pPr>
      <w:r>
        <w:rPr>
          <w:rFonts w:hint="eastAsia" w:ascii="宋体" w:hAnsi="宋体" w:eastAsia="宋体" w:cs="宋体"/>
          <w:bCs/>
          <w:szCs w:val="21"/>
        </w:rPr>
        <w:t>（5）</w:t>
      </w:r>
      <w:r>
        <w:rPr>
          <w:rFonts w:hint="eastAsia" w:ascii="宋体" w:hAnsi="宋体" w:eastAsia="宋体" w:cs="宋体"/>
          <w:bCs/>
          <w:szCs w:val="21"/>
          <w:lang w:eastAsia="zh-CN"/>
        </w:rPr>
        <w:t>风险处置措施和替代方案</w:t>
      </w:r>
      <w:r>
        <w:rPr>
          <w:rFonts w:hint="eastAsia" w:ascii="宋体" w:hAnsi="宋体" w:eastAsia="宋体" w:cs="宋体"/>
          <w:bCs/>
          <w:szCs w:val="21"/>
        </w:rPr>
        <w:t>：</w:t>
      </w:r>
      <w:r>
        <w:rPr>
          <w:rFonts w:hint="eastAsia" w:ascii="宋体" w:hAnsi="宋体" w:eastAsia="宋体" w:cs="宋体"/>
          <w:color w:val="0000FF"/>
          <w:szCs w:val="21"/>
          <w:u w:val="single"/>
        </w:rPr>
        <w:t xml:space="preserve"> </w:t>
      </w:r>
      <w:r>
        <w:rPr>
          <w:rFonts w:hint="eastAsia" w:ascii="宋体" w:hAnsi="宋体" w:eastAsia="宋体" w:cs="宋体"/>
          <w:color w:val="000000"/>
          <w:szCs w:val="21"/>
          <w:u w:val="single"/>
        </w:rPr>
        <w:t xml:space="preserve">              </w:t>
      </w:r>
      <w:r>
        <w:rPr>
          <w:rFonts w:hint="eastAsia" w:ascii="宋体" w:hAnsi="宋体" w:eastAsia="宋体" w:cs="宋体"/>
          <w:szCs w:val="21"/>
          <w:u w:val="single"/>
        </w:rPr>
        <w:t xml:space="preserve">                                                </w:t>
      </w:r>
    </w:p>
    <w:p w14:paraId="538FD045">
      <w:pPr>
        <w:numPr>
          <w:ilvl w:val="0"/>
          <w:numId w:val="9"/>
        </w:numPr>
        <w:adjustRightInd w:val="0"/>
        <w:snapToGrid w:val="0"/>
        <w:spacing w:before="0" w:beforeLines="0" w:line="400" w:lineRule="exact"/>
        <w:ind w:firstLine="422" w:firstLineChars="200"/>
        <w:rPr>
          <w:rFonts w:ascii="宋体" w:hAnsi="宋体" w:eastAsia="宋体"/>
          <w:b/>
          <w:szCs w:val="21"/>
        </w:rPr>
      </w:pPr>
      <w:r>
        <w:rPr>
          <w:rFonts w:hint="eastAsia" w:ascii="宋体" w:hAnsi="宋体" w:eastAsia="宋体"/>
          <w:b/>
          <w:szCs w:val="21"/>
        </w:rPr>
        <w:t>合同验收</w:t>
      </w:r>
    </w:p>
    <w:p w14:paraId="72FE3ED9">
      <w:pPr>
        <w:numPr>
          <w:ilvl w:val="0"/>
          <w:numId w:val="11"/>
        </w:numPr>
        <w:adjustRightInd w:val="0"/>
        <w:snapToGrid w:val="0"/>
        <w:spacing w:before="0" w:beforeLines="0" w:line="400" w:lineRule="exact"/>
        <w:ind w:firstLine="420" w:firstLineChars="200"/>
        <w:rPr>
          <w:rFonts w:hint="eastAsia" w:ascii="宋体" w:hAnsi="宋体" w:eastAsia="宋体"/>
          <w:bCs/>
          <w:szCs w:val="21"/>
        </w:rPr>
      </w:pPr>
      <w:r>
        <w:rPr>
          <w:rFonts w:hint="eastAsia" w:ascii="宋体" w:hAnsi="宋体" w:eastAsia="宋体"/>
          <w:bCs/>
          <w:szCs w:val="21"/>
        </w:rPr>
        <w:t>验收组织方式：</w:t>
      </w:r>
      <w:r>
        <w:rPr>
          <w:rFonts w:hint="eastAsia" w:ascii="宋体" w:hAnsi="宋体" w:eastAsia="宋体" w:cs="宋体"/>
          <w:sz w:val="21"/>
          <w:szCs w:val="21"/>
        </w:rPr>
        <w:sym w:font="Wingdings" w:char="00A8"/>
      </w:r>
      <w:r>
        <w:rPr>
          <w:rFonts w:hint="eastAsia" w:ascii="宋体" w:hAnsi="宋体" w:eastAsia="宋体"/>
          <w:bCs/>
          <w:szCs w:val="21"/>
        </w:rPr>
        <w:t xml:space="preserve">自行组织 </w:t>
      </w:r>
      <w:r>
        <w:rPr>
          <w:rFonts w:hint="eastAsia" w:ascii="宋体" w:hAnsi="宋体" w:eastAsia="宋体" w:cs="宋体"/>
          <w:sz w:val="21"/>
          <w:szCs w:val="21"/>
        </w:rPr>
        <w:sym w:font="Wingdings" w:char="00A8"/>
      </w:r>
      <w:r>
        <w:rPr>
          <w:rFonts w:hint="eastAsia" w:ascii="宋体" w:hAnsi="宋体" w:eastAsia="宋体"/>
          <w:bCs/>
          <w:szCs w:val="21"/>
        </w:rPr>
        <w:t>委托第三方组织</w:t>
      </w:r>
    </w:p>
    <w:p w14:paraId="75E3FC71">
      <w:pPr>
        <w:numPr>
          <w:ilvl w:val="0"/>
          <w:numId w:val="0"/>
        </w:numPr>
        <w:adjustRightInd w:val="0"/>
        <w:snapToGrid w:val="0"/>
        <w:spacing w:before="0" w:beforeLines="0" w:line="400" w:lineRule="exact"/>
        <w:rPr>
          <w:rFonts w:ascii="宋体" w:hAnsi="宋体" w:eastAsia="宋体"/>
          <w:bCs/>
          <w:szCs w:val="21"/>
        </w:rPr>
      </w:pPr>
      <w:r>
        <w:rPr>
          <w:rFonts w:hint="eastAsia" w:ascii="宋体" w:hAnsi="宋体" w:eastAsia="宋体"/>
          <w:bCs/>
          <w:szCs w:val="21"/>
          <w:lang w:val="en-US" w:eastAsia="zh-CN"/>
        </w:rPr>
        <w:t xml:space="preserve">         </w:t>
      </w:r>
      <w:r>
        <w:rPr>
          <w:rFonts w:hint="eastAsia" w:ascii="宋体" w:hAnsi="宋体" w:eastAsia="宋体"/>
          <w:bCs/>
          <w:szCs w:val="21"/>
        </w:rPr>
        <w:t>验收主体：</w:t>
      </w:r>
      <w:r>
        <w:rPr>
          <w:rFonts w:hint="eastAsia" w:ascii="宋体" w:hAnsi="宋体" w:eastAsia="宋体"/>
          <w:bCs/>
          <w:szCs w:val="21"/>
          <w:u w:val="single"/>
        </w:rPr>
        <w:t xml:space="preserve">                  </w:t>
      </w:r>
    </w:p>
    <w:p w14:paraId="618C99A8">
      <w:pPr>
        <w:adjustRightInd w:val="0"/>
        <w:snapToGrid w:val="0"/>
        <w:spacing w:before="0" w:beforeLines="0" w:line="400" w:lineRule="exact"/>
        <w:ind w:firstLine="0" w:firstLineChars="0"/>
        <w:rPr>
          <w:rFonts w:ascii="宋体" w:hAnsi="宋体" w:eastAsia="宋体"/>
          <w:bCs/>
          <w:szCs w:val="21"/>
        </w:rPr>
      </w:pPr>
      <w:r>
        <w:rPr>
          <w:rFonts w:hint="eastAsia" w:ascii="宋体" w:hAnsi="宋体" w:eastAsia="宋体"/>
          <w:bCs/>
          <w:szCs w:val="21"/>
          <w:lang w:val="en-US" w:eastAsia="zh-CN"/>
        </w:rPr>
        <w:t xml:space="preserve">        </w:t>
      </w:r>
      <w:r>
        <w:rPr>
          <w:rFonts w:hint="eastAsia" w:ascii="宋体" w:hAnsi="宋体" w:eastAsia="宋体"/>
          <w:bCs/>
          <w:szCs w:val="21"/>
        </w:rPr>
        <w:t>是否邀请本项目的其他供应商</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14:paraId="55F8C99B">
      <w:pPr>
        <w:adjustRightInd w:val="0"/>
        <w:snapToGrid w:val="0"/>
        <w:spacing w:before="0" w:beforeLines="0" w:line="400" w:lineRule="exact"/>
        <w:ind w:firstLine="840" w:firstLineChars="400"/>
        <w:rPr>
          <w:rFonts w:ascii="宋体" w:hAnsi="宋体" w:eastAsia="宋体"/>
          <w:bCs/>
          <w:szCs w:val="21"/>
        </w:rPr>
      </w:pPr>
      <w:r>
        <w:rPr>
          <w:rFonts w:hint="eastAsia" w:ascii="宋体" w:hAnsi="宋体" w:eastAsia="宋体"/>
          <w:bCs/>
          <w:szCs w:val="21"/>
        </w:rPr>
        <w:t>是否邀请专家</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14:paraId="296294F4">
      <w:pPr>
        <w:adjustRightInd w:val="0"/>
        <w:snapToGrid w:val="0"/>
        <w:spacing w:before="0" w:beforeLines="0" w:line="400" w:lineRule="exact"/>
        <w:ind w:firstLine="840" w:firstLineChars="400"/>
        <w:rPr>
          <w:rFonts w:ascii="宋体" w:hAnsi="宋体" w:eastAsia="宋体"/>
          <w:bCs/>
          <w:szCs w:val="21"/>
        </w:rPr>
      </w:pPr>
      <w:r>
        <w:rPr>
          <w:rFonts w:hint="eastAsia" w:ascii="宋体" w:hAnsi="宋体" w:eastAsia="宋体"/>
          <w:bCs/>
          <w:szCs w:val="21"/>
        </w:rPr>
        <w:t>是否邀请服务对象</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14:paraId="186DAFB3">
      <w:pPr>
        <w:adjustRightInd w:val="0"/>
        <w:snapToGrid w:val="0"/>
        <w:spacing w:before="0" w:beforeLines="0" w:line="400" w:lineRule="exact"/>
        <w:ind w:firstLine="840" w:firstLineChars="400"/>
        <w:rPr>
          <w:rFonts w:ascii="宋体" w:hAnsi="宋体" w:eastAsia="宋体"/>
          <w:bCs/>
          <w:szCs w:val="21"/>
        </w:rPr>
      </w:pPr>
      <w:r>
        <w:rPr>
          <w:rFonts w:hint="eastAsia" w:ascii="宋体" w:hAnsi="宋体" w:eastAsia="宋体"/>
          <w:bCs/>
          <w:szCs w:val="21"/>
        </w:rPr>
        <w:t>是否邀请第三方检测机构</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14:paraId="2C398EE1">
      <w:pPr>
        <w:adjustRightInd w:val="0"/>
        <w:snapToGrid w:val="0"/>
        <w:spacing w:before="0" w:beforeLines="0" w:line="400" w:lineRule="exact"/>
        <w:ind w:firstLine="840" w:firstLineChars="400"/>
        <w:rPr>
          <w:rFonts w:hint="eastAsia" w:ascii="宋体" w:hAnsi="宋体" w:eastAsia="宋体"/>
          <w:bCs/>
          <w:szCs w:val="21"/>
        </w:rPr>
      </w:pPr>
      <w:r>
        <w:rPr>
          <w:rFonts w:hint="eastAsia" w:ascii="宋体" w:hAnsi="宋体" w:eastAsia="宋体"/>
          <w:bCs/>
          <w:szCs w:val="21"/>
          <w:lang w:eastAsia="zh-CN"/>
        </w:rPr>
        <w:t>是否进行抽查检测：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，抽查比例：</w:t>
      </w:r>
      <w:r>
        <w:rPr>
          <w:rFonts w:hint="eastAsia" w:ascii="宋体" w:hAnsi="宋体" w:eastAsia="宋体"/>
          <w:bCs/>
          <w:szCs w:val="21"/>
          <w:u w:val="single"/>
        </w:rPr>
        <w:t xml:space="preserve">   </w:t>
      </w:r>
      <w:r>
        <w:rPr>
          <w:rFonts w:hint="eastAsia" w:ascii="宋体" w:hAnsi="宋体" w:eastAsia="宋体"/>
          <w:bCs/>
          <w:szCs w:val="21"/>
          <w:u w:val="single"/>
          <w:lang w:val="en-US" w:eastAsia="zh-CN"/>
        </w:rPr>
        <w:t xml:space="preserve">     </w:t>
      </w:r>
      <w:r>
        <w:rPr>
          <w:rFonts w:hint="eastAsia" w:ascii="宋体" w:hAnsi="宋体" w:eastAsia="宋体"/>
          <w:bCs/>
          <w:szCs w:val="21"/>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14:paraId="686EBF19">
      <w:pPr>
        <w:adjustRightInd w:val="0"/>
        <w:snapToGrid w:val="0"/>
        <w:spacing w:before="0" w:beforeLines="0" w:line="400" w:lineRule="exact"/>
        <w:ind w:firstLine="840" w:firstLineChars="400"/>
        <w:rPr>
          <w:rFonts w:hint="eastAsia" w:ascii="宋体" w:hAnsi="宋体" w:eastAsia="宋体"/>
          <w:bCs/>
          <w:szCs w:val="21"/>
          <w:u w:val="single"/>
          <w:lang w:eastAsia="zh-CN"/>
        </w:rPr>
      </w:pPr>
      <w:r>
        <w:rPr>
          <w:rFonts w:hint="eastAsia" w:ascii="宋体" w:hAnsi="宋体" w:eastAsia="宋体"/>
          <w:bCs/>
          <w:szCs w:val="21"/>
          <w:lang w:val="en-US" w:eastAsia="zh-CN"/>
        </w:rPr>
        <w:t>是否存在破坏性检测：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w:t>
      </w:r>
      <w:r>
        <w:rPr>
          <w:rFonts w:hint="eastAsia" w:ascii="宋体" w:hAnsi="宋体" w:eastAsia="宋体"/>
          <w:bCs/>
          <w:szCs w:val="21"/>
          <w:u w:val="single"/>
          <w:lang w:eastAsia="zh-CN"/>
        </w:rPr>
        <w:t>（应明确对被破坏的检测产品的处理方式）</w:t>
      </w:r>
    </w:p>
    <w:p w14:paraId="2351B315">
      <w:pPr>
        <w:adjustRightInd w:val="0"/>
        <w:snapToGrid w:val="0"/>
        <w:spacing w:before="0" w:beforeLines="0" w:line="400" w:lineRule="exact"/>
        <w:ind w:firstLine="840" w:firstLineChars="400"/>
        <w:rPr>
          <w:rFonts w:hint="eastAsia" w:ascii="宋体" w:hAnsi="宋体" w:eastAsia="宋体"/>
          <w:bCs/>
          <w:szCs w:val="21"/>
          <w:lang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14:paraId="21592D5B">
      <w:pPr>
        <w:adjustRightInd w:val="0"/>
        <w:snapToGrid w:val="0"/>
        <w:spacing w:before="0" w:beforeLines="0" w:line="400" w:lineRule="exact"/>
        <w:ind w:firstLine="840" w:firstLineChars="400"/>
        <w:rPr>
          <w:rFonts w:hint="eastAsia" w:ascii="宋体" w:hAnsi="宋体" w:eastAsia="宋体"/>
          <w:bCs/>
          <w:szCs w:val="21"/>
          <w:u w:val="single"/>
        </w:rPr>
      </w:pPr>
      <w:r>
        <w:rPr>
          <w:rFonts w:hint="eastAsia" w:ascii="宋体" w:hAnsi="宋体" w:eastAsia="宋体"/>
          <w:bCs/>
          <w:szCs w:val="21"/>
        </w:rPr>
        <w:t>验收组织的其他事项：</w:t>
      </w:r>
      <w:r>
        <w:rPr>
          <w:rFonts w:hint="eastAsia" w:ascii="宋体" w:hAnsi="宋体" w:eastAsia="宋体"/>
          <w:bCs/>
          <w:szCs w:val="21"/>
          <w:u w:val="single"/>
        </w:rPr>
        <w:t xml:space="preserve">                </w:t>
      </w:r>
    </w:p>
    <w:p w14:paraId="05850288">
      <w:pPr>
        <w:adjustRightInd w:val="0"/>
        <w:snapToGrid w:val="0"/>
        <w:spacing w:before="0" w:beforeLines="0" w:line="400" w:lineRule="exact"/>
        <w:ind w:firstLine="420" w:firstLineChars="200"/>
        <w:rPr>
          <w:rFonts w:hint="eastAsia" w:ascii="宋体" w:hAnsi="宋体" w:eastAsia="宋体"/>
          <w:bCs/>
          <w:szCs w:val="21"/>
          <w:u w:val="single"/>
        </w:rPr>
      </w:pPr>
      <w:r>
        <w:rPr>
          <w:rFonts w:hint="eastAsia" w:ascii="宋体" w:hAnsi="宋体" w:eastAsia="宋体"/>
          <w:bCs/>
          <w:szCs w:val="21"/>
        </w:rPr>
        <w:t>（2）履约验收时间：</w:t>
      </w:r>
      <w:r>
        <w:rPr>
          <w:rFonts w:hint="eastAsia" w:ascii="宋体" w:hAnsi="宋体" w:eastAsia="宋体"/>
          <w:bCs/>
          <w:szCs w:val="21"/>
          <w:u w:val="single"/>
        </w:rPr>
        <w:t>（计划于何时验收/供应商提出验收申请之日起   日内组织验收）</w:t>
      </w:r>
      <w:r>
        <w:rPr>
          <w:rFonts w:hint="eastAsia" w:ascii="宋体" w:hAnsi="宋体" w:eastAsia="宋体"/>
          <w:bCs/>
          <w:szCs w:val="21"/>
          <w:u w:val="single"/>
          <w:lang w:val="en-US" w:eastAsia="zh-CN"/>
        </w:rPr>
        <w:t xml:space="preserve"> </w:t>
      </w:r>
    </w:p>
    <w:p w14:paraId="31C4E438">
      <w:pPr>
        <w:adjustRightInd w:val="0"/>
        <w:snapToGrid w:val="0"/>
        <w:spacing w:before="0" w:beforeLines="0" w:line="400" w:lineRule="exact"/>
        <w:ind w:firstLine="420" w:firstLineChars="200"/>
        <w:rPr>
          <w:rFonts w:hint="eastAsia" w:ascii="宋体" w:hAnsi="宋体" w:eastAsia="宋体"/>
          <w:bCs/>
          <w:szCs w:val="21"/>
        </w:rPr>
      </w:pPr>
      <w:r>
        <w:rPr>
          <w:rFonts w:hint="eastAsia" w:ascii="宋体" w:hAnsi="宋体" w:eastAsia="宋体"/>
          <w:bCs/>
          <w:szCs w:val="21"/>
        </w:rPr>
        <w:t>（3）履约验收方式：</w:t>
      </w:r>
      <w:r>
        <w:rPr>
          <w:rFonts w:hint="eastAsia" w:ascii="宋体" w:hAnsi="宋体" w:eastAsia="宋体" w:cs="宋体"/>
          <w:sz w:val="21"/>
          <w:szCs w:val="21"/>
        </w:rPr>
        <w:sym w:font="Wingdings" w:char="00A8"/>
      </w:r>
      <w:r>
        <w:rPr>
          <w:rFonts w:hint="eastAsia" w:ascii="宋体" w:hAnsi="宋体" w:eastAsia="宋体"/>
          <w:bCs/>
          <w:szCs w:val="21"/>
        </w:rPr>
        <w:t xml:space="preserve">一次性验收         </w:t>
      </w:r>
    </w:p>
    <w:p w14:paraId="195EA9A3">
      <w:pPr>
        <w:adjustRightInd w:val="0"/>
        <w:snapToGrid w:val="0"/>
        <w:spacing w:before="0" w:beforeLines="0" w:line="400" w:lineRule="exact"/>
        <w:ind w:firstLine="0" w:firstLineChars="0"/>
        <w:rPr>
          <w:rFonts w:hint="eastAsia" w:ascii="宋体" w:hAnsi="宋体" w:eastAsia="宋体"/>
          <w:bCs/>
          <w:szCs w:val="21"/>
          <w:lang w:val="en-US"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分期/分项验收</w:t>
      </w:r>
      <w:r>
        <w:rPr>
          <w:rFonts w:hint="eastAsia" w:ascii="宋体" w:hAnsi="宋体" w:eastAsia="宋体"/>
          <w:bCs/>
          <w:szCs w:val="21"/>
          <w:lang w:eastAsia="zh-CN"/>
        </w:rPr>
        <w:t>：</w:t>
      </w:r>
      <w:r>
        <w:rPr>
          <w:rFonts w:hint="eastAsia" w:ascii="宋体" w:hAnsi="宋体" w:eastAsia="宋体"/>
          <w:bCs/>
          <w:szCs w:val="21"/>
          <w:u w:val="single"/>
        </w:rPr>
        <w:t xml:space="preserve"> </w:t>
      </w:r>
      <w:r>
        <w:rPr>
          <w:rFonts w:hint="eastAsia" w:ascii="宋体" w:hAnsi="宋体" w:eastAsia="宋体"/>
          <w:bCs/>
          <w:szCs w:val="21"/>
          <w:u w:val="single"/>
          <w:lang w:eastAsia="zh-CN"/>
        </w:rPr>
        <w:t>（应明确分期</w:t>
      </w:r>
      <w:r>
        <w:rPr>
          <w:rFonts w:hint="default" w:ascii="宋体" w:hAnsi="宋体" w:eastAsia="宋体"/>
          <w:bCs/>
          <w:szCs w:val="21"/>
          <w:u w:val="single"/>
          <w:lang w:val="en" w:eastAsia="zh-CN"/>
        </w:rPr>
        <w:t>/</w:t>
      </w:r>
      <w:r>
        <w:rPr>
          <w:rFonts w:hint="eastAsia" w:ascii="宋体" w:hAnsi="宋体" w:eastAsia="宋体"/>
          <w:bCs/>
          <w:szCs w:val="21"/>
          <w:u w:val="single"/>
          <w:lang w:val="en" w:eastAsia="zh-CN"/>
        </w:rPr>
        <w:t>分项验收的工作安排</w:t>
      </w:r>
      <w:r>
        <w:rPr>
          <w:rFonts w:hint="eastAsia" w:ascii="宋体" w:hAnsi="宋体" w:eastAsia="宋体"/>
          <w:bCs/>
          <w:szCs w:val="21"/>
          <w:u w:val="single"/>
          <w:lang w:eastAsia="zh-CN"/>
        </w:rPr>
        <w:t>）</w:t>
      </w:r>
      <w:r>
        <w:rPr>
          <w:rFonts w:hint="eastAsia" w:ascii="宋体" w:hAnsi="宋体" w:eastAsia="宋体"/>
          <w:bCs/>
          <w:szCs w:val="21"/>
          <w:u w:val="single"/>
        </w:rPr>
        <w:t xml:space="preserve"> </w:t>
      </w:r>
      <w:r>
        <w:rPr>
          <w:rFonts w:hint="eastAsia" w:ascii="宋体" w:hAnsi="宋体" w:eastAsia="宋体"/>
          <w:bCs/>
          <w:szCs w:val="21"/>
          <w:u w:val="single"/>
          <w:lang w:val="en-US" w:eastAsia="zh-CN"/>
        </w:rPr>
        <w:t xml:space="preserve"> </w:t>
      </w:r>
    </w:p>
    <w:p w14:paraId="16924BBE">
      <w:pPr>
        <w:adjustRightInd w:val="0"/>
        <w:snapToGrid w:val="0"/>
        <w:spacing w:before="0" w:beforeLines="0" w:line="400" w:lineRule="exact"/>
        <w:ind w:firstLine="420" w:firstLineChars="200"/>
        <w:rPr>
          <w:rFonts w:ascii="宋体" w:hAnsi="宋体" w:eastAsia="宋体"/>
          <w:bCs/>
          <w:szCs w:val="21"/>
        </w:rPr>
      </w:pPr>
      <w:r>
        <w:rPr>
          <w:rFonts w:hint="eastAsia" w:ascii="宋体" w:hAnsi="宋体" w:eastAsia="宋体"/>
          <w:bCs/>
          <w:szCs w:val="21"/>
        </w:rPr>
        <w:t>（4）履约验收程序：</w:t>
      </w:r>
      <w:r>
        <w:rPr>
          <w:rFonts w:hint="eastAsia" w:ascii="宋体" w:hAnsi="宋体" w:eastAsia="宋体"/>
          <w:bCs/>
          <w:szCs w:val="21"/>
          <w:u w:val="single"/>
        </w:rPr>
        <w:t xml:space="preserve">                                         </w:t>
      </w:r>
    </w:p>
    <w:p w14:paraId="7714AE63">
      <w:pPr>
        <w:adjustRightInd w:val="0"/>
        <w:snapToGrid w:val="0"/>
        <w:spacing w:before="0" w:beforeLines="0" w:line="400" w:lineRule="exact"/>
        <w:ind w:firstLine="420" w:firstLineChars="200"/>
        <w:rPr>
          <w:rFonts w:ascii="宋体" w:hAnsi="宋体" w:eastAsia="宋体"/>
          <w:bCs/>
          <w:szCs w:val="21"/>
          <w:u w:val="single"/>
        </w:rPr>
      </w:pPr>
      <w:r>
        <w:rPr>
          <w:rFonts w:hint="eastAsia" w:ascii="宋体" w:hAnsi="宋体" w:eastAsia="宋体"/>
          <w:bCs/>
          <w:szCs w:val="21"/>
        </w:rPr>
        <w:t>（5）履约验收的内容：</w:t>
      </w:r>
      <w:r>
        <w:rPr>
          <w:rFonts w:hint="eastAsia" w:ascii="宋体" w:hAnsi="宋体" w:eastAsia="宋体"/>
          <w:bCs/>
          <w:szCs w:val="21"/>
          <w:u w:val="single"/>
        </w:rPr>
        <w:t xml:space="preserve"> </w:t>
      </w:r>
      <w:r>
        <w:rPr>
          <w:rFonts w:hint="eastAsia" w:ascii="宋体" w:hAnsi="宋体" w:eastAsia="宋体"/>
          <w:bCs/>
          <w:szCs w:val="21"/>
          <w:u w:val="single"/>
          <w:lang w:eastAsia="zh-CN"/>
        </w:rPr>
        <w:t>（应当包括每一项技术和商务要求的履约情况，特别是落实政府采购扶持中小企业，支持绿色发展和乡村振兴等政策情况）</w:t>
      </w:r>
      <w:r>
        <w:rPr>
          <w:rFonts w:hint="eastAsia" w:ascii="宋体" w:hAnsi="宋体" w:eastAsia="宋体"/>
          <w:bCs/>
          <w:szCs w:val="21"/>
          <w:u w:val="single"/>
        </w:rPr>
        <w:t xml:space="preserve">                                      </w:t>
      </w:r>
    </w:p>
    <w:p w14:paraId="34E11ED1">
      <w:pPr>
        <w:adjustRightInd w:val="0"/>
        <w:snapToGrid w:val="0"/>
        <w:spacing w:before="0" w:beforeLines="0" w:line="400" w:lineRule="exact"/>
        <w:ind w:firstLine="420" w:firstLineChars="200"/>
        <w:rPr>
          <w:rFonts w:hint="eastAsia" w:ascii="宋体" w:hAnsi="宋体" w:eastAsia="宋体"/>
          <w:bCs/>
          <w:szCs w:val="21"/>
          <w:u w:val="single"/>
        </w:rPr>
      </w:pPr>
      <w:r>
        <w:rPr>
          <w:rFonts w:hint="eastAsia" w:ascii="宋体" w:hAnsi="宋体" w:eastAsia="宋体"/>
          <w:bCs/>
          <w:szCs w:val="21"/>
        </w:rPr>
        <w:t>（6）履约验收标准：</w:t>
      </w:r>
      <w:r>
        <w:rPr>
          <w:rFonts w:hint="eastAsia" w:ascii="宋体" w:hAnsi="宋体" w:eastAsia="宋体"/>
          <w:bCs/>
          <w:szCs w:val="21"/>
          <w:u w:val="single"/>
        </w:rPr>
        <w:t xml:space="preserve">                                         </w:t>
      </w:r>
    </w:p>
    <w:p w14:paraId="2101A204">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bCs/>
          <w:sz w:val="21"/>
          <w:szCs w:val="21"/>
          <w:u w:val="none"/>
          <w:lang w:val="en-US" w:eastAsia="zh-CN" w:bidi="ar-SA"/>
        </w:rPr>
        <w:t>（7）是否以采购活动中供应商提供的样品作为参考：</w:t>
      </w:r>
      <w:r>
        <w:rPr>
          <w:rFonts w:hint="eastAsia" w:ascii="宋体" w:hAnsi="宋体" w:eastAsia="宋体" w:cs="宋体"/>
          <w:sz w:val="21"/>
          <w:szCs w:val="21"/>
          <w:lang w:val="en-US" w:eastAsia="zh-CN" w:bidi="ar-SA"/>
        </w:rPr>
        <w:sym w:font="Wingdings" w:char="00A8"/>
      </w:r>
      <w:r>
        <w:rPr>
          <w:rFonts w:hint="eastAsia" w:ascii="宋体" w:hAnsi="宋体" w:eastAsia="宋体" w:cs="宋体"/>
          <w:bCs/>
          <w:sz w:val="21"/>
          <w:szCs w:val="21"/>
          <w:lang w:val="en-US" w:eastAsia="zh-CN" w:bidi="ar-SA"/>
        </w:rPr>
        <w:t xml:space="preserve">是  </w:t>
      </w:r>
      <w:r>
        <w:rPr>
          <w:rFonts w:hint="eastAsia" w:ascii="宋体" w:hAnsi="宋体" w:eastAsia="宋体" w:cs="宋体"/>
          <w:sz w:val="21"/>
          <w:szCs w:val="21"/>
          <w:lang w:val="en-US" w:eastAsia="zh-CN" w:bidi="ar-SA"/>
        </w:rPr>
        <w:sym w:font="Wingdings" w:char="00A8"/>
      </w:r>
      <w:r>
        <w:rPr>
          <w:rFonts w:hint="eastAsia" w:ascii="宋体" w:hAnsi="宋体" w:eastAsia="宋体" w:cs="宋体"/>
          <w:bCs/>
          <w:sz w:val="21"/>
          <w:szCs w:val="21"/>
          <w:lang w:val="en-US" w:eastAsia="zh-CN" w:bidi="ar-SA"/>
        </w:rPr>
        <w:t>否</w:t>
      </w:r>
    </w:p>
    <w:p w14:paraId="696A2962">
      <w:pPr>
        <w:adjustRightInd w:val="0"/>
        <w:snapToGrid w:val="0"/>
        <w:spacing w:before="0" w:beforeLines="0" w:line="400" w:lineRule="exact"/>
        <w:ind w:firstLine="420" w:firstLineChars="200"/>
        <w:rPr>
          <w:rFonts w:hint="eastAsia" w:ascii="宋体" w:hAnsi="宋体" w:eastAsia="宋体" w:cs="宋体"/>
          <w:bCs/>
          <w:szCs w:val="21"/>
          <w:u w:val="single"/>
        </w:rPr>
      </w:pPr>
      <w:r>
        <w:rPr>
          <w:rFonts w:hint="eastAsia" w:ascii="宋体" w:hAnsi="宋体" w:eastAsia="宋体" w:cs="宋体"/>
          <w:bCs/>
          <w:szCs w:val="21"/>
        </w:rPr>
        <w:t>（8）履约验收其他事项：</w:t>
      </w:r>
      <w:r>
        <w:rPr>
          <w:rFonts w:hint="eastAsia" w:ascii="宋体" w:hAnsi="宋体" w:eastAsia="宋体" w:cs="宋体"/>
          <w:bCs/>
          <w:szCs w:val="21"/>
          <w:u w:val="single"/>
        </w:rPr>
        <w:t xml:space="preserve">      </w:t>
      </w:r>
      <w:r>
        <w:rPr>
          <w:rFonts w:hint="eastAsia" w:ascii="宋体" w:hAnsi="宋体" w:eastAsia="宋体" w:cs="宋体"/>
          <w:bCs/>
          <w:i w:val="0"/>
          <w:iCs w:val="0"/>
          <w:szCs w:val="21"/>
          <w:u w:val="single"/>
        </w:rPr>
        <w:t>（产权过户登记等）</w:t>
      </w:r>
      <w:r>
        <w:rPr>
          <w:rFonts w:hint="eastAsia" w:ascii="宋体" w:hAnsi="宋体" w:eastAsia="宋体" w:cs="宋体"/>
          <w:bCs/>
          <w:szCs w:val="21"/>
          <w:u w:val="single"/>
        </w:rPr>
        <w:t xml:space="preserve">          </w:t>
      </w:r>
    </w:p>
    <w:p w14:paraId="11E287F5">
      <w:pPr>
        <w:numPr>
          <w:ilvl w:val="0"/>
          <w:numId w:val="9"/>
        </w:numPr>
        <w:adjustRightInd w:val="0"/>
        <w:snapToGrid w:val="0"/>
        <w:spacing w:before="0" w:beforeLines="0" w:line="400" w:lineRule="exact"/>
        <w:ind w:firstLine="422" w:firstLineChars="200"/>
        <w:rPr>
          <w:rFonts w:hint="eastAsia" w:ascii="宋体" w:hAnsi="宋体" w:eastAsia="宋体"/>
          <w:b/>
          <w:szCs w:val="21"/>
        </w:rPr>
      </w:pPr>
      <w:r>
        <w:rPr>
          <w:rFonts w:hint="eastAsia" w:ascii="宋体" w:hAnsi="宋体" w:eastAsia="宋体"/>
          <w:b/>
          <w:szCs w:val="21"/>
        </w:rPr>
        <w:t>组成合同的文件</w:t>
      </w:r>
    </w:p>
    <w:p w14:paraId="41B22168">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本协议书与下列文件一起构成合同文件，如下述文件之间有任何抵触、矛盾或歧义，应按以下顺序解释：</w:t>
      </w:r>
    </w:p>
    <w:p w14:paraId="08D4720D">
      <w:pPr>
        <w:adjustRightInd w:val="0"/>
        <w:snapToGrid w:val="0"/>
        <w:spacing w:before="0" w:beforeLines="0" w:line="400" w:lineRule="exact"/>
        <w:ind w:firstLine="420" w:firstLineChars="200"/>
        <w:rPr>
          <w:rFonts w:hint="eastAsia" w:ascii="宋体" w:hAnsi="宋体" w:eastAsia="宋体"/>
          <w:color w:val="auto"/>
          <w:szCs w:val="21"/>
          <w:lang w:eastAsia="zh-CN"/>
        </w:rPr>
      </w:pPr>
      <w:r>
        <w:rPr>
          <w:rFonts w:hint="eastAsia" w:ascii="宋体" w:hAnsi="宋体" w:eastAsia="宋体"/>
          <w:color w:val="auto"/>
          <w:szCs w:val="21"/>
        </w:rPr>
        <w:t>（1）合同协议书及其变更、补充</w:t>
      </w:r>
      <w:r>
        <w:rPr>
          <w:rFonts w:hint="eastAsia" w:ascii="宋体" w:hAnsi="宋体" w:eastAsia="宋体"/>
          <w:color w:val="auto"/>
          <w:szCs w:val="21"/>
          <w:lang w:eastAsia="zh-CN"/>
        </w:rPr>
        <w:t>协议</w:t>
      </w:r>
    </w:p>
    <w:p w14:paraId="62076C30">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2</w:t>
      </w:r>
      <w:r>
        <w:rPr>
          <w:rFonts w:hint="eastAsia" w:ascii="宋体" w:hAnsi="宋体" w:eastAsia="宋体"/>
          <w:szCs w:val="21"/>
        </w:rPr>
        <w:t>）合同专用条款</w:t>
      </w:r>
    </w:p>
    <w:p w14:paraId="49D798EA">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3</w:t>
      </w:r>
      <w:r>
        <w:rPr>
          <w:rFonts w:hint="eastAsia" w:ascii="宋体" w:hAnsi="宋体" w:eastAsia="宋体"/>
          <w:szCs w:val="21"/>
        </w:rPr>
        <w:t>）合同通用条款</w:t>
      </w:r>
    </w:p>
    <w:p w14:paraId="77845B7E">
      <w:pPr>
        <w:adjustRightInd w:val="0"/>
        <w:snapToGrid w:val="0"/>
        <w:spacing w:before="0" w:beforeLines="0" w:line="400" w:lineRule="exact"/>
        <w:ind w:firstLine="420" w:firstLineChars="200"/>
        <w:rPr>
          <w:rFonts w:ascii="宋体" w:hAnsi="宋体" w:eastAsia="宋体"/>
          <w:color w:val="auto"/>
          <w:szCs w:val="21"/>
        </w:rPr>
      </w:pPr>
      <w:r>
        <w:rPr>
          <w:rFonts w:hint="eastAsia" w:ascii="宋体" w:hAnsi="宋体" w:eastAsia="宋体"/>
          <w:color w:val="auto"/>
          <w:szCs w:val="21"/>
        </w:rPr>
        <w:t>（</w:t>
      </w:r>
      <w:r>
        <w:rPr>
          <w:rFonts w:hint="eastAsia" w:ascii="宋体" w:hAnsi="宋体" w:eastAsia="宋体"/>
          <w:color w:val="auto"/>
          <w:szCs w:val="21"/>
          <w:lang w:val="en-US" w:eastAsia="zh-CN"/>
        </w:rPr>
        <w:t>4</w:t>
      </w:r>
      <w:r>
        <w:rPr>
          <w:rFonts w:hint="eastAsia" w:ascii="宋体" w:hAnsi="宋体" w:eastAsia="宋体"/>
          <w:color w:val="auto"/>
          <w:szCs w:val="21"/>
        </w:rPr>
        <w:t>）中标</w:t>
      </w:r>
      <w:r>
        <w:rPr>
          <w:rFonts w:hint="eastAsia" w:ascii="宋体" w:hAnsi="宋体" w:eastAsia="宋体"/>
          <w:color w:val="auto"/>
          <w:szCs w:val="21"/>
          <w:lang w:eastAsia="zh-CN"/>
        </w:rPr>
        <w:t>（成交）</w:t>
      </w:r>
      <w:r>
        <w:rPr>
          <w:rFonts w:hint="eastAsia" w:ascii="宋体" w:hAnsi="宋体" w:eastAsia="宋体"/>
          <w:color w:val="auto"/>
          <w:szCs w:val="21"/>
        </w:rPr>
        <w:t>通知书</w:t>
      </w:r>
    </w:p>
    <w:p w14:paraId="39D37071">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5</w:t>
      </w:r>
      <w:r>
        <w:rPr>
          <w:rFonts w:hint="eastAsia" w:ascii="宋体" w:hAnsi="宋体" w:eastAsia="宋体"/>
          <w:szCs w:val="21"/>
        </w:rPr>
        <w:t>）投标（响应）文件</w:t>
      </w:r>
    </w:p>
    <w:p w14:paraId="61FCA011">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（6）采购文件</w:t>
      </w:r>
    </w:p>
    <w:p w14:paraId="34FDF9E2">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（7）有关技术文件，图纸</w:t>
      </w:r>
    </w:p>
    <w:p w14:paraId="1EBDD28D">
      <w:pPr>
        <w:autoSpaceDE w:val="0"/>
        <w:autoSpaceDN w:val="0"/>
        <w:adjustRightInd w:val="0"/>
        <w:spacing w:beforeLines="0" w:line="400" w:lineRule="exact"/>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bidi="ar-SA"/>
        </w:rPr>
        <w:t>（8）</w:t>
      </w:r>
      <w:r>
        <w:rPr>
          <w:rFonts w:hint="eastAsia" w:ascii="宋体" w:hAnsi="宋体" w:eastAsia="宋体" w:cs="宋体"/>
          <w:bCs w:val="0"/>
          <w:color w:val="000000"/>
          <w:kern w:val="2"/>
          <w:sz w:val="21"/>
          <w:szCs w:val="21"/>
          <w:highlight w:val="none"/>
          <w:lang w:val="en-US" w:eastAsia="zh-CN" w:bidi="ar-SA"/>
        </w:rPr>
        <w:t>国家法律、行政法规和规章制度规定或合同约定的作为合同组成部分的其他文件</w:t>
      </w:r>
    </w:p>
    <w:p w14:paraId="34D61AFC">
      <w:pPr>
        <w:numPr>
          <w:ilvl w:val="0"/>
          <w:numId w:val="9"/>
        </w:numPr>
        <w:adjustRightInd w:val="0"/>
        <w:snapToGrid w:val="0"/>
        <w:spacing w:before="0" w:beforeLines="0" w:line="400" w:lineRule="exact"/>
        <w:ind w:firstLine="422" w:firstLineChars="200"/>
        <w:rPr>
          <w:rFonts w:hint="eastAsia" w:ascii="宋体" w:hAnsi="宋体" w:eastAsia="宋体"/>
          <w:b/>
          <w:szCs w:val="21"/>
        </w:rPr>
      </w:pPr>
      <w:r>
        <w:rPr>
          <w:rFonts w:hint="eastAsia" w:ascii="宋体" w:hAnsi="宋体" w:eastAsia="宋体"/>
          <w:b/>
          <w:szCs w:val="21"/>
        </w:rPr>
        <w:t>合同生效</w:t>
      </w:r>
    </w:p>
    <w:p w14:paraId="313FAEDD">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本合同自</w:t>
      </w:r>
      <w:r>
        <w:rPr>
          <w:rFonts w:hint="eastAsia" w:ascii="宋体" w:hAnsi="宋体" w:eastAsia="宋体"/>
          <w:szCs w:val="21"/>
          <w:u w:val="single"/>
        </w:rPr>
        <w:t xml:space="preserve">                             </w:t>
      </w:r>
      <w:r>
        <w:rPr>
          <w:rFonts w:hint="eastAsia" w:ascii="宋体" w:hAnsi="宋体" w:eastAsia="宋体"/>
          <w:szCs w:val="21"/>
        </w:rPr>
        <w:t>生效。</w:t>
      </w:r>
    </w:p>
    <w:p w14:paraId="64A6D283">
      <w:pPr>
        <w:numPr>
          <w:ilvl w:val="0"/>
          <w:numId w:val="9"/>
        </w:numPr>
        <w:adjustRightInd w:val="0"/>
        <w:snapToGrid w:val="0"/>
        <w:spacing w:before="0" w:beforeLines="0" w:line="400" w:lineRule="exact"/>
        <w:ind w:firstLine="422" w:firstLineChars="200"/>
        <w:rPr>
          <w:rFonts w:hint="eastAsia" w:ascii="宋体" w:hAnsi="宋体" w:eastAsia="宋体"/>
          <w:b/>
          <w:szCs w:val="21"/>
        </w:rPr>
      </w:pPr>
      <w:r>
        <w:rPr>
          <w:rFonts w:hint="eastAsia" w:ascii="宋体" w:hAnsi="宋体" w:eastAsia="宋体"/>
          <w:b/>
          <w:szCs w:val="21"/>
        </w:rPr>
        <w:t>合同份数</w:t>
      </w:r>
    </w:p>
    <w:p w14:paraId="476DDF0F">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本合同一式</w:t>
      </w:r>
      <w:r>
        <w:rPr>
          <w:rFonts w:hint="eastAsia" w:ascii="宋体" w:hAnsi="宋体" w:eastAsia="宋体"/>
          <w:szCs w:val="21"/>
          <w:u w:val="single"/>
        </w:rPr>
        <w:t xml:space="preserve">    </w:t>
      </w:r>
      <w:r>
        <w:rPr>
          <w:rFonts w:hint="eastAsia" w:ascii="宋体" w:hAnsi="宋体" w:eastAsia="宋体"/>
          <w:szCs w:val="21"/>
        </w:rPr>
        <w:t>份，</w:t>
      </w:r>
      <w:r>
        <w:rPr>
          <w:rFonts w:hint="eastAsia" w:ascii="宋体" w:hAnsi="宋体" w:eastAsia="宋体"/>
          <w:szCs w:val="21"/>
          <w:lang w:eastAsia="zh-CN"/>
        </w:rPr>
        <w:t>甲方</w:t>
      </w:r>
      <w:r>
        <w:rPr>
          <w:rFonts w:hint="eastAsia" w:ascii="宋体" w:hAnsi="宋体" w:eastAsia="宋体"/>
          <w:szCs w:val="21"/>
        </w:rPr>
        <w:t>执</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份，</w:t>
      </w:r>
      <w:r>
        <w:rPr>
          <w:rFonts w:hint="eastAsia" w:ascii="宋体" w:hAnsi="宋体" w:eastAsia="宋体"/>
          <w:szCs w:val="21"/>
          <w:lang w:eastAsia="zh-CN"/>
        </w:rPr>
        <w:t>乙方</w:t>
      </w:r>
      <w:r>
        <w:rPr>
          <w:rFonts w:hint="eastAsia" w:ascii="宋体" w:hAnsi="宋体" w:eastAsia="宋体"/>
          <w:szCs w:val="21"/>
        </w:rPr>
        <w:t>执</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份，均具有同等法律效力。</w:t>
      </w:r>
    </w:p>
    <w:p w14:paraId="62732A60">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合同订立时间：</w:t>
      </w:r>
      <w:r>
        <w:rPr>
          <w:rFonts w:hint="eastAsia" w:ascii="宋体" w:hAnsi="宋体" w:eastAsia="宋体"/>
          <w:szCs w:val="21"/>
          <w:u w:val="single"/>
        </w:rPr>
        <w:t xml:space="preserve">         </w:t>
      </w:r>
      <w:r>
        <w:rPr>
          <w:rFonts w:hint="eastAsia" w:ascii="宋体" w:hAnsi="宋体" w:eastAsia="宋体"/>
          <w:szCs w:val="21"/>
        </w:rPr>
        <w:t>年</w:t>
      </w:r>
      <w:r>
        <w:rPr>
          <w:rFonts w:hint="eastAsia" w:ascii="宋体" w:hAnsi="宋体" w:eastAsia="宋体"/>
          <w:szCs w:val="21"/>
          <w:u w:val="single"/>
        </w:rPr>
        <w:t xml:space="preserve">      </w:t>
      </w:r>
      <w:r>
        <w:rPr>
          <w:rFonts w:hint="eastAsia" w:ascii="宋体" w:hAnsi="宋体" w:eastAsia="宋体"/>
          <w:szCs w:val="21"/>
        </w:rPr>
        <w:t>月</w:t>
      </w:r>
      <w:r>
        <w:rPr>
          <w:rFonts w:hint="eastAsia" w:ascii="宋体" w:hAnsi="宋体" w:eastAsia="宋体"/>
          <w:szCs w:val="21"/>
          <w:u w:val="single"/>
        </w:rPr>
        <w:t xml:space="preserve">      </w:t>
      </w:r>
      <w:r>
        <w:rPr>
          <w:rFonts w:hint="eastAsia" w:ascii="宋体" w:hAnsi="宋体" w:eastAsia="宋体"/>
          <w:szCs w:val="21"/>
        </w:rPr>
        <w:t>日</w:t>
      </w:r>
    </w:p>
    <w:p w14:paraId="3F3F83EE">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合同订立地点：</w:t>
      </w:r>
      <w:r>
        <w:rPr>
          <w:rFonts w:hint="eastAsia" w:ascii="宋体" w:hAnsi="宋体" w:eastAsia="宋体"/>
          <w:szCs w:val="21"/>
          <w:u w:val="single"/>
        </w:rPr>
        <w:t xml:space="preserve">                           </w:t>
      </w:r>
    </w:p>
    <w:p w14:paraId="0D272D2A">
      <w:pPr>
        <w:adjustRightInd w:val="0"/>
        <w:snapToGrid w:val="0"/>
        <w:spacing w:before="0" w:beforeLines="0" w:line="400" w:lineRule="exact"/>
        <w:ind w:firstLine="420" w:firstLineChars="200"/>
        <w:rPr>
          <w:rFonts w:eastAsia="宋体"/>
        </w:rPr>
      </w:pPr>
      <w:r>
        <w:rPr>
          <w:rFonts w:hint="eastAsia" w:ascii="宋体" w:hAnsi="宋体" w:eastAsia="宋体"/>
          <w:szCs w:val="21"/>
        </w:rPr>
        <w:t>附件：具体标</w:t>
      </w:r>
      <w:r>
        <w:rPr>
          <w:rFonts w:hint="eastAsia" w:ascii="宋体" w:hAnsi="宋体" w:eastAsia="宋体"/>
          <w:szCs w:val="21"/>
          <w:lang w:eastAsia="zh-CN"/>
        </w:rPr>
        <w:t>的及其</w:t>
      </w:r>
      <w:r>
        <w:rPr>
          <w:rFonts w:hint="eastAsia" w:ascii="宋体" w:hAnsi="宋体" w:eastAsia="宋体"/>
          <w:szCs w:val="21"/>
          <w:highlight w:val="none"/>
          <w:u w:val="none"/>
          <w:lang w:val="en-US" w:eastAsia="zh-CN"/>
        </w:rPr>
        <w:t>技术要求和商务要求</w:t>
      </w:r>
      <w:r>
        <w:rPr>
          <w:rFonts w:hint="eastAsia" w:ascii="宋体" w:hAnsi="宋体" w:eastAsia="宋体"/>
          <w:szCs w:val="21"/>
        </w:rPr>
        <w:t>、联合协议、分包</w:t>
      </w:r>
      <w:r>
        <w:rPr>
          <w:rFonts w:hint="eastAsia" w:ascii="宋体" w:hAnsi="宋体" w:eastAsia="宋体"/>
          <w:szCs w:val="21"/>
          <w:lang w:eastAsia="zh-CN"/>
        </w:rPr>
        <w:t>意向</w:t>
      </w:r>
      <w:r>
        <w:rPr>
          <w:rFonts w:hint="eastAsia" w:ascii="宋体" w:hAnsi="宋体" w:eastAsia="宋体"/>
          <w:szCs w:val="21"/>
        </w:rPr>
        <w:t>协议等。</w:t>
      </w:r>
    </w:p>
    <w:p w14:paraId="15CCEAF6">
      <w:pPr>
        <w:rPr>
          <w:rFonts w:hint="eastAsia" w:eastAsia="宋体"/>
        </w:rPr>
      </w:pPr>
      <w:r>
        <w:rPr>
          <w:rFonts w:hint="eastAsia" w:eastAsia="宋体"/>
        </w:rPr>
        <w:br w:type="page"/>
      </w:r>
    </w:p>
    <w:p w14:paraId="7DCDD024">
      <w:pPr>
        <w:widowControl w:val="0"/>
        <w:ind w:firstLine="420" w:firstLineChars="200"/>
        <w:jc w:val="both"/>
        <w:rPr>
          <w:rFonts w:hint="eastAsia" w:ascii="Times New Roman" w:hAnsi="Times New Roman" w:eastAsia="宋体" w:cs="Times New Roman"/>
          <w:kern w:val="2"/>
          <w:sz w:val="21"/>
          <w:szCs w:val="21"/>
          <w:lang w:val="en-US" w:eastAsia="zh-CN" w:bidi="ar-SA"/>
        </w:rPr>
      </w:pPr>
    </w:p>
    <w:tbl>
      <w:tblPr>
        <w:tblStyle w:val="43"/>
        <w:tblW w:w="8398"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14:paraId="1CEB4A0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jc w:val="center"/>
        </w:trPr>
        <w:tc>
          <w:tcPr>
            <w:tcW w:w="4303" w:type="dxa"/>
            <w:gridSpan w:val="2"/>
            <w:tcBorders>
              <w:bottom w:val="single" w:color="auto" w:sz="2" w:space="0"/>
              <w:right w:val="single" w:color="auto" w:sz="2" w:space="0"/>
            </w:tcBorders>
            <w:vAlign w:val="center"/>
          </w:tcPr>
          <w:p w14:paraId="2A7C143B">
            <w:pPr>
              <w:keepNext w:val="0"/>
              <w:keepLines w:val="0"/>
              <w:suppressLineNumbers w:val="0"/>
              <w:adjustRightInd w:val="0"/>
              <w:snapToGrid w:val="0"/>
              <w:spacing w:before="0" w:beforeAutospacing="0" w:after="0" w:afterAutospacing="0" w:line="300" w:lineRule="exact"/>
              <w:ind w:left="0" w:right="0"/>
              <w:jc w:val="center"/>
              <w:rPr>
                <w:rFonts w:hint="default" w:eastAsia="宋体"/>
              </w:rPr>
            </w:pPr>
            <w:r>
              <w:rPr>
                <w:rFonts w:hint="default" w:eastAsia="宋体"/>
                <w:szCs w:val="21"/>
              </w:rPr>
              <w:t>甲方</w:t>
            </w:r>
            <w:r>
              <w:rPr>
                <w:rFonts w:hint="eastAsia" w:eastAsia="宋体"/>
                <w:szCs w:val="21"/>
              </w:rPr>
              <w:t>（采购人</w:t>
            </w:r>
            <w:r>
              <w:rPr>
                <w:rFonts w:hint="eastAsia" w:ascii="宋体" w:hAnsi="宋体" w:eastAsia="宋体"/>
                <w:szCs w:val="21"/>
                <w:lang w:eastAsia="zh-CN"/>
              </w:rPr>
              <w:t>、受采购人委托签订合同的单位</w:t>
            </w:r>
            <w:r>
              <w:rPr>
                <w:rFonts w:hint="eastAsia" w:ascii="宋体" w:hAnsi="宋体" w:eastAsia="宋体"/>
                <w:szCs w:val="21"/>
              </w:rPr>
              <w:t>或</w:t>
            </w:r>
            <w:r>
              <w:rPr>
                <w:rFonts w:hint="eastAsia" w:eastAsia="宋体"/>
                <w:szCs w:val="21"/>
              </w:rPr>
              <w:t>采购文件约定的合同甲方）</w:t>
            </w:r>
          </w:p>
        </w:tc>
        <w:tc>
          <w:tcPr>
            <w:tcW w:w="4095" w:type="dxa"/>
            <w:gridSpan w:val="2"/>
            <w:tcBorders>
              <w:left w:val="single" w:color="auto" w:sz="2" w:space="0"/>
              <w:bottom w:val="single" w:color="auto" w:sz="2" w:space="0"/>
            </w:tcBorders>
            <w:vAlign w:val="center"/>
          </w:tcPr>
          <w:p w14:paraId="274EA7B1">
            <w:pPr>
              <w:keepNext w:val="0"/>
              <w:keepLines w:val="0"/>
              <w:suppressLineNumbers w:val="0"/>
              <w:adjustRightInd w:val="0"/>
              <w:snapToGrid w:val="0"/>
              <w:spacing w:before="0" w:beforeAutospacing="0" w:after="0" w:afterAutospacing="0" w:line="300" w:lineRule="exact"/>
              <w:ind w:left="0" w:right="0"/>
              <w:jc w:val="center"/>
              <w:rPr>
                <w:rFonts w:hint="default" w:eastAsia="宋体"/>
              </w:rPr>
            </w:pPr>
            <w:r>
              <w:rPr>
                <w:rFonts w:hint="default" w:eastAsia="宋体"/>
                <w:szCs w:val="21"/>
              </w:rPr>
              <w:t>乙方</w:t>
            </w:r>
            <w:r>
              <w:rPr>
                <w:rFonts w:hint="eastAsia" w:eastAsia="宋体"/>
                <w:szCs w:val="21"/>
              </w:rPr>
              <w:t>（供应商）</w:t>
            </w:r>
          </w:p>
        </w:tc>
      </w:tr>
      <w:tr w14:paraId="12125D9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jc w:val="center"/>
        </w:trPr>
        <w:tc>
          <w:tcPr>
            <w:tcW w:w="1891" w:type="dxa"/>
            <w:tcBorders>
              <w:top w:val="single" w:color="auto" w:sz="2" w:space="0"/>
              <w:bottom w:val="single" w:color="auto" w:sz="2" w:space="0"/>
              <w:right w:val="single" w:color="auto" w:sz="2" w:space="0"/>
            </w:tcBorders>
            <w:vAlign w:val="center"/>
          </w:tcPr>
          <w:p w14:paraId="5734DD88">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r>
              <w:rPr>
                <w:rFonts w:hint="default" w:eastAsia="宋体"/>
                <w:szCs w:val="21"/>
              </w:rPr>
              <w:t>单位名称</w:t>
            </w:r>
            <w:r>
              <w:rPr>
                <w:rFonts w:hint="eastAsia" w:eastAsia="宋体"/>
                <w:szCs w:val="21"/>
              </w:rPr>
              <w:t>（公章</w:t>
            </w:r>
            <w:r>
              <w:rPr>
                <w:rFonts w:hint="eastAsia" w:eastAsia="宋体"/>
                <w:szCs w:val="21"/>
                <w:lang w:eastAsia="zh-CN"/>
              </w:rPr>
              <w:t>或合同章</w:t>
            </w:r>
            <w:r>
              <w:rPr>
                <w:rFonts w:hint="eastAsia" w:eastAsia="宋体"/>
                <w:szCs w:val="21"/>
              </w:rPr>
              <w:t>）</w:t>
            </w:r>
          </w:p>
        </w:tc>
        <w:tc>
          <w:tcPr>
            <w:tcW w:w="2412" w:type="dxa"/>
            <w:tcBorders>
              <w:top w:val="single" w:color="auto" w:sz="2" w:space="0"/>
              <w:left w:val="single" w:color="auto" w:sz="2" w:space="0"/>
              <w:bottom w:val="single" w:color="auto" w:sz="2" w:space="0"/>
              <w:right w:val="single" w:color="auto" w:sz="2" w:space="0"/>
            </w:tcBorders>
            <w:vAlign w:val="center"/>
          </w:tcPr>
          <w:p w14:paraId="660D51F5">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154F5E60">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r>
              <w:rPr>
                <w:rFonts w:hint="default" w:eastAsia="宋体"/>
                <w:szCs w:val="21"/>
              </w:rPr>
              <w:t>单位名称</w:t>
            </w:r>
            <w:r>
              <w:rPr>
                <w:rFonts w:hint="eastAsia" w:eastAsia="宋体"/>
                <w:szCs w:val="21"/>
              </w:rPr>
              <w:t>（公章</w:t>
            </w:r>
            <w:r>
              <w:rPr>
                <w:rFonts w:hint="eastAsia" w:eastAsia="宋体"/>
                <w:szCs w:val="21"/>
                <w:lang w:eastAsia="zh-CN"/>
              </w:rPr>
              <w:t>或合同章</w:t>
            </w:r>
            <w:r>
              <w:rPr>
                <w:rFonts w:hint="eastAsia" w:eastAsia="宋体"/>
                <w:szCs w:val="21"/>
              </w:rPr>
              <w:t>）</w:t>
            </w:r>
          </w:p>
        </w:tc>
        <w:tc>
          <w:tcPr>
            <w:tcW w:w="2116" w:type="dxa"/>
            <w:tcBorders>
              <w:top w:val="single" w:color="auto" w:sz="2" w:space="0"/>
              <w:left w:val="single" w:color="auto" w:sz="2" w:space="0"/>
              <w:bottom w:val="single" w:color="auto" w:sz="2" w:space="0"/>
            </w:tcBorders>
            <w:vAlign w:val="center"/>
          </w:tcPr>
          <w:p w14:paraId="3EFB2758">
            <w:pPr>
              <w:keepNext w:val="0"/>
              <w:keepLines w:val="0"/>
              <w:suppressLineNumbers w:val="0"/>
              <w:adjustRightInd w:val="0"/>
              <w:snapToGrid w:val="0"/>
              <w:spacing w:before="0" w:beforeAutospacing="0" w:after="0" w:afterAutospacing="0" w:line="300" w:lineRule="exact"/>
              <w:ind w:left="0" w:right="0"/>
              <w:jc w:val="center"/>
              <w:rPr>
                <w:rFonts w:hint="default" w:eastAsia="宋体"/>
                <w:spacing w:val="20"/>
                <w:szCs w:val="21"/>
              </w:rPr>
            </w:pPr>
          </w:p>
        </w:tc>
      </w:tr>
      <w:tr w14:paraId="5D429A2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jc w:val="center"/>
        </w:trPr>
        <w:tc>
          <w:tcPr>
            <w:tcW w:w="1891" w:type="dxa"/>
            <w:vMerge w:val="restart"/>
            <w:tcBorders>
              <w:top w:val="single" w:color="auto" w:sz="2" w:space="0"/>
              <w:right w:val="single" w:color="auto" w:sz="2" w:space="0"/>
            </w:tcBorders>
            <w:vAlign w:val="center"/>
          </w:tcPr>
          <w:p w14:paraId="07A42818">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r>
              <w:rPr>
                <w:rFonts w:hint="default" w:eastAsia="宋体"/>
                <w:szCs w:val="21"/>
              </w:rPr>
              <w:t>法定代表人</w:t>
            </w:r>
          </w:p>
          <w:p w14:paraId="6FF29367">
            <w:pPr>
              <w:keepNext w:val="0"/>
              <w:keepLines w:val="0"/>
              <w:suppressLineNumbers w:val="0"/>
              <w:adjustRightInd w:val="0"/>
              <w:snapToGrid w:val="0"/>
              <w:spacing w:before="0" w:beforeAutospacing="0" w:after="0" w:afterAutospacing="0" w:line="300" w:lineRule="exact"/>
              <w:ind w:left="0" w:right="0" w:firstLine="100" w:firstLineChars="48"/>
              <w:jc w:val="center"/>
              <w:rPr>
                <w:rFonts w:hint="default" w:eastAsia="宋体"/>
                <w:szCs w:val="21"/>
              </w:rPr>
            </w:pPr>
            <w:r>
              <w:rPr>
                <w:rFonts w:hint="eastAsia" w:eastAsia="宋体"/>
                <w:szCs w:val="21"/>
              </w:rPr>
              <w:t>或其</w:t>
            </w:r>
            <w:r>
              <w:rPr>
                <w:rFonts w:hint="default" w:eastAsia="宋体"/>
                <w:szCs w:val="21"/>
              </w:rPr>
              <w:t>委托代理人</w:t>
            </w:r>
            <w:r>
              <w:rPr>
                <w:rFonts w:hint="eastAsia" w:eastAsia="宋体"/>
                <w:szCs w:val="21"/>
              </w:rPr>
              <w:t>（签章）</w:t>
            </w:r>
          </w:p>
        </w:tc>
        <w:tc>
          <w:tcPr>
            <w:tcW w:w="2412" w:type="dxa"/>
            <w:vMerge w:val="restart"/>
            <w:tcBorders>
              <w:top w:val="single" w:color="auto" w:sz="2" w:space="0"/>
              <w:left w:val="single" w:color="auto" w:sz="2" w:space="0"/>
              <w:right w:val="single" w:color="auto" w:sz="2" w:space="0"/>
            </w:tcBorders>
            <w:vAlign w:val="center"/>
          </w:tcPr>
          <w:p w14:paraId="41F42AA0">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p>
        </w:tc>
        <w:tc>
          <w:tcPr>
            <w:tcW w:w="1979" w:type="dxa"/>
            <w:tcBorders>
              <w:top w:val="single" w:color="auto" w:sz="2" w:space="0"/>
              <w:left w:val="single" w:color="auto" w:sz="2" w:space="0"/>
              <w:right w:val="single" w:color="auto" w:sz="2" w:space="0"/>
            </w:tcBorders>
            <w:vAlign w:val="center"/>
          </w:tcPr>
          <w:p w14:paraId="2FAA70AB">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r>
              <w:rPr>
                <w:rFonts w:hint="default" w:eastAsia="宋体"/>
                <w:szCs w:val="21"/>
              </w:rPr>
              <w:t>法定代表人</w:t>
            </w:r>
          </w:p>
          <w:p w14:paraId="5CB424E2">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r>
              <w:rPr>
                <w:rFonts w:hint="eastAsia" w:eastAsia="宋体"/>
                <w:szCs w:val="21"/>
              </w:rPr>
              <w:t>或其</w:t>
            </w:r>
            <w:r>
              <w:rPr>
                <w:rFonts w:hint="default" w:eastAsia="宋体"/>
                <w:szCs w:val="21"/>
              </w:rPr>
              <w:t>委托代理人</w:t>
            </w:r>
            <w:r>
              <w:rPr>
                <w:rFonts w:hint="eastAsia" w:eastAsia="宋体"/>
                <w:szCs w:val="21"/>
              </w:rPr>
              <w:t>（签章）</w:t>
            </w:r>
          </w:p>
        </w:tc>
        <w:tc>
          <w:tcPr>
            <w:tcW w:w="2116" w:type="dxa"/>
            <w:tcBorders>
              <w:top w:val="single" w:color="auto" w:sz="2" w:space="0"/>
              <w:left w:val="single" w:color="auto" w:sz="2" w:space="0"/>
              <w:bottom w:val="single" w:color="auto" w:sz="2" w:space="0"/>
            </w:tcBorders>
            <w:vAlign w:val="center"/>
          </w:tcPr>
          <w:p w14:paraId="5115DEB8">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p>
        </w:tc>
      </w:tr>
      <w:tr w14:paraId="0D3441A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vMerge w:val="continue"/>
            <w:tcBorders>
              <w:bottom w:val="single" w:color="auto" w:sz="2" w:space="0"/>
              <w:right w:val="single" w:color="auto" w:sz="2" w:space="0"/>
            </w:tcBorders>
            <w:vAlign w:val="center"/>
          </w:tcPr>
          <w:p w14:paraId="616FE787">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p>
        </w:tc>
        <w:tc>
          <w:tcPr>
            <w:tcW w:w="2412" w:type="dxa"/>
            <w:vMerge w:val="continue"/>
            <w:tcBorders>
              <w:left w:val="single" w:color="auto" w:sz="2" w:space="0"/>
              <w:bottom w:val="single" w:color="auto" w:sz="2" w:space="0"/>
              <w:right w:val="single" w:color="auto" w:sz="2" w:space="0"/>
            </w:tcBorders>
            <w:vAlign w:val="center"/>
          </w:tcPr>
          <w:p w14:paraId="1A53C237">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2EADE776">
            <w:pPr>
              <w:keepNext w:val="0"/>
              <w:keepLines w:val="0"/>
              <w:suppressLineNumbers w:val="0"/>
              <w:adjustRightInd w:val="0"/>
              <w:snapToGrid w:val="0"/>
              <w:spacing w:before="0" w:beforeAutospacing="0" w:after="0" w:afterAutospacing="0" w:line="300" w:lineRule="exact"/>
              <w:ind w:left="0" w:right="0"/>
              <w:jc w:val="center"/>
              <w:rPr>
                <w:rFonts w:hint="eastAsia" w:eastAsia="宋体"/>
                <w:szCs w:val="21"/>
                <w:lang w:eastAsia="zh-CN"/>
              </w:rPr>
            </w:pPr>
            <w:r>
              <w:rPr>
                <w:rFonts w:hint="eastAsia" w:eastAsia="宋体"/>
                <w:szCs w:val="21"/>
                <w:lang w:eastAsia="zh-CN"/>
              </w:rPr>
              <w:t>拥有者性别</w:t>
            </w:r>
          </w:p>
        </w:tc>
        <w:tc>
          <w:tcPr>
            <w:tcW w:w="2116" w:type="dxa"/>
            <w:tcBorders>
              <w:top w:val="single" w:color="auto" w:sz="2" w:space="0"/>
              <w:left w:val="single" w:color="auto" w:sz="2" w:space="0"/>
              <w:bottom w:val="single" w:color="auto" w:sz="2" w:space="0"/>
            </w:tcBorders>
            <w:vAlign w:val="center"/>
          </w:tcPr>
          <w:p w14:paraId="552C512B">
            <w:pPr>
              <w:keepNext w:val="0"/>
              <w:keepLines w:val="0"/>
              <w:suppressLineNumbers w:val="0"/>
              <w:adjustRightInd w:val="0"/>
              <w:snapToGrid w:val="0"/>
              <w:spacing w:before="0" w:beforeAutospacing="0" w:after="0" w:afterAutospacing="0" w:line="300" w:lineRule="exact"/>
              <w:ind w:left="0" w:right="0"/>
              <w:jc w:val="center"/>
              <w:rPr>
                <w:rFonts w:hint="default" w:eastAsia="宋体"/>
                <w:spacing w:val="20"/>
                <w:szCs w:val="21"/>
              </w:rPr>
            </w:pPr>
          </w:p>
        </w:tc>
      </w:tr>
      <w:tr w14:paraId="71FB28F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14:paraId="0DF980E1">
            <w:pPr>
              <w:keepNext w:val="0"/>
              <w:keepLines w:val="0"/>
              <w:suppressLineNumbers w:val="0"/>
              <w:adjustRightInd w:val="0"/>
              <w:snapToGrid w:val="0"/>
              <w:spacing w:before="0" w:beforeAutospacing="0" w:after="0" w:afterAutospacing="0" w:line="300" w:lineRule="exact"/>
              <w:ind w:left="0" w:right="0"/>
              <w:jc w:val="center"/>
              <w:rPr>
                <w:rFonts w:hint="eastAsia" w:eastAsia="宋体"/>
                <w:szCs w:val="21"/>
                <w:lang w:eastAsia="zh-CN"/>
              </w:rPr>
            </w:pPr>
            <w:r>
              <w:rPr>
                <w:rFonts w:hint="eastAsia" w:eastAsia="宋体"/>
                <w:szCs w:val="21"/>
                <w:lang w:eastAsia="zh-CN"/>
              </w:rPr>
              <w:t>住</w:t>
            </w:r>
            <w:r>
              <w:rPr>
                <w:rFonts w:hint="eastAsia" w:eastAsia="宋体"/>
                <w:szCs w:val="21"/>
                <w:lang w:val="en-US" w:eastAsia="zh-CN"/>
              </w:rPr>
              <w:t xml:space="preserve">  </w:t>
            </w:r>
            <w:r>
              <w:rPr>
                <w:rFonts w:hint="eastAsia" w:eastAsia="宋体"/>
                <w:szCs w:val="21"/>
                <w:lang w:eastAsia="zh-CN"/>
              </w:rPr>
              <w:t>所</w:t>
            </w:r>
          </w:p>
        </w:tc>
        <w:tc>
          <w:tcPr>
            <w:tcW w:w="2412" w:type="dxa"/>
            <w:tcBorders>
              <w:top w:val="single" w:color="auto" w:sz="2" w:space="0"/>
              <w:left w:val="single" w:color="auto" w:sz="2" w:space="0"/>
              <w:bottom w:val="single" w:color="auto" w:sz="2" w:space="0"/>
              <w:right w:val="single" w:color="auto" w:sz="2" w:space="0"/>
            </w:tcBorders>
            <w:vAlign w:val="center"/>
          </w:tcPr>
          <w:p w14:paraId="5F30DCEB">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12BE2890">
            <w:pPr>
              <w:keepNext w:val="0"/>
              <w:keepLines w:val="0"/>
              <w:suppressLineNumbers w:val="0"/>
              <w:adjustRightInd w:val="0"/>
              <w:snapToGrid w:val="0"/>
              <w:spacing w:before="0" w:beforeAutospacing="0" w:after="0" w:afterAutospacing="0" w:line="300" w:lineRule="exact"/>
              <w:ind w:left="0" w:right="0"/>
              <w:jc w:val="center"/>
              <w:rPr>
                <w:rFonts w:hint="eastAsia" w:eastAsia="宋体"/>
                <w:szCs w:val="21"/>
                <w:lang w:eastAsia="zh-CN"/>
              </w:rPr>
            </w:pPr>
            <w:r>
              <w:rPr>
                <w:rFonts w:hint="eastAsia" w:eastAsia="宋体"/>
                <w:szCs w:val="21"/>
                <w:lang w:eastAsia="zh-CN"/>
              </w:rPr>
              <w:t>住</w:t>
            </w:r>
            <w:r>
              <w:rPr>
                <w:rFonts w:hint="eastAsia" w:eastAsia="宋体"/>
                <w:szCs w:val="21"/>
                <w:lang w:val="en-US" w:eastAsia="zh-CN"/>
              </w:rPr>
              <w:t xml:space="preserve">  </w:t>
            </w:r>
            <w:r>
              <w:rPr>
                <w:rFonts w:hint="eastAsia" w:eastAsia="宋体"/>
                <w:szCs w:val="21"/>
                <w:lang w:eastAsia="zh-CN"/>
              </w:rPr>
              <w:t>所</w:t>
            </w:r>
          </w:p>
        </w:tc>
        <w:tc>
          <w:tcPr>
            <w:tcW w:w="2116" w:type="dxa"/>
            <w:tcBorders>
              <w:top w:val="single" w:color="auto" w:sz="2" w:space="0"/>
              <w:left w:val="single" w:color="auto" w:sz="2" w:space="0"/>
              <w:bottom w:val="single" w:color="auto" w:sz="2" w:space="0"/>
            </w:tcBorders>
            <w:vAlign w:val="center"/>
          </w:tcPr>
          <w:p w14:paraId="3012450D">
            <w:pPr>
              <w:keepNext w:val="0"/>
              <w:keepLines w:val="0"/>
              <w:suppressLineNumbers w:val="0"/>
              <w:adjustRightInd w:val="0"/>
              <w:snapToGrid w:val="0"/>
              <w:spacing w:before="0" w:beforeAutospacing="0" w:after="0" w:afterAutospacing="0" w:line="300" w:lineRule="exact"/>
              <w:ind w:left="0" w:right="0"/>
              <w:jc w:val="center"/>
              <w:rPr>
                <w:rFonts w:hint="default" w:eastAsia="宋体"/>
                <w:spacing w:val="20"/>
                <w:szCs w:val="21"/>
              </w:rPr>
            </w:pPr>
          </w:p>
        </w:tc>
      </w:tr>
      <w:tr w14:paraId="6EF6B78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14:paraId="1139C52B">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r>
              <w:rPr>
                <w:rFonts w:hint="default" w:eastAsia="宋体"/>
                <w:szCs w:val="21"/>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14:paraId="4A751BC0">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2754F8C3">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r>
              <w:rPr>
                <w:rFonts w:hint="default" w:eastAsia="宋体"/>
                <w:szCs w:val="21"/>
              </w:rPr>
              <w:t>联 系 人</w:t>
            </w:r>
          </w:p>
        </w:tc>
        <w:tc>
          <w:tcPr>
            <w:tcW w:w="2116" w:type="dxa"/>
            <w:tcBorders>
              <w:top w:val="single" w:color="auto" w:sz="2" w:space="0"/>
              <w:left w:val="single" w:color="auto" w:sz="2" w:space="0"/>
              <w:bottom w:val="single" w:color="auto" w:sz="2" w:space="0"/>
            </w:tcBorders>
            <w:vAlign w:val="center"/>
          </w:tcPr>
          <w:p w14:paraId="656C3FA6">
            <w:pPr>
              <w:keepNext w:val="0"/>
              <w:keepLines w:val="0"/>
              <w:suppressLineNumbers w:val="0"/>
              <w:adjustRightInd w:val="0"/>
              <w:snapToGrid w:val="0"/>
              <w:spacing w:before="0" w:beforeAutospacing="0" w:after="0" w:afterAutospacing="0" w:line="300" w:lineRule="exact"/>
              <w:ind w:left="0" w:right="0"/>
              <w:jc w:val="center"/>
              <w:rPr>
                <w:rFonts w:hint="default" w:eastAsia="宋体"/>
                <w:spacing w:val="20"/>
                <w:szCs w:val="21"/>
              </w:rPr>
            </w:pPr>
          </w:p>
        </w:tc>
      </w:tr>
      <w:tr w14:paraId="7EDD157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14:paraId="3DFD904D">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r>
              <w:rPr>
                <w:rFonts w:hint="default" w:eastAsia="宋体"/>
                <w:szCs w:val="21"/>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14:paraId="1224E76D">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1EEB9E9F">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r>
              <w:rPr>
                <w:rFonts w:hint="default" w:eastAsia="宋体"/>
                <w:szCs w:val="21"/>
              </w:rPr>
              <w:t>联系电话</w:t>
            </w:r>
          </w:p>
        </w:tc>
        <w:tc>
          <w:tcPr>
            <w:tcW w:w="2116" w:type="dxa"/>
            <w:tcBorders>
              <w:top w:val="single" w:color="auto" w:sz="2" w:space="0"/>
              <w:left w:val="single" w:color="auto" w:sz="2" w:space="0"/>
              <w:bottom w:val="single" w:color="auto" w:sz="2" w:space="0"/>
            </w:tcBorders>
            <w:vAlign w:val="center"/>
          </w:tcPr>
          <w:p w14:paraId="2343E37C">
            <w:pPr>
              <w:keepNext w:val="0"/>
              <w:keepLines w:val="0"/>
              <w:suppressLineNumbers w:val="0"/>
              <w:adjustRightInd w:val="0"/>
              <w:snapToGrid w:val="0"/>
              <w:spacing w:before="0" w:beforeAutospacing="0" w:after="0" w:afterAutospacing="0" w:line="300" w:lineRule="exact"/>
              <w:ind w:left="0" w:right="0"/>
              <w:jc w:val="center"/>
              <w:rPr>
                <w:rFonts w:hint="default" w:eastAsia="宋体"/>
                <w:spacing w:val="20"/>
                <w:szCs w:val="21"/>
              </w:rPr>
            </w:pPr>
          </w:p>
        </w:tc>
      </w:tr>
      <w:tr w14:paraId="41F0709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14:paraId="2F5F3968">
            <w:pPr>
              <w:keepNext w:val="0"/>
              <w:keepLines w:val="0"/>
              <w:suppressLineNumbers w:val="0"/>
              <w:adjustRightInd w:val="0"/>
              <w:snapToGrid w:val="0"/>
              <w:spacing w:before="0" w:beforeAutospacing="0" w:after="0" w:afterAutospacing="0" w:line="300" w:lineRule="exact"/>
              <w:ind w:left="0" w:right="0"/>
              <w:jc w:val="center"/>
              <w:rPr>
                <w:rFonts w:hint="eastAsia" w:eastAsia="宋体"/>
                <w:szCs w:val="21"/>
                <w:lang w:eastAsia="zh-CN"/>
              </w:rPr>
            </w:pPr>
            <w:r>
              <w:rPr>
                <w:rFonts w:hint="eastAsia" w:eastAsia="宋体"/>
                <w:szCs w:val="21"/>
                <w:lang w:eastAsia="zh-CN"/>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14:paraId="5077187D">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634B835C">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r>
              <w:rPr>
                <w:rFonts w:hint="eastAsia" w:eastAsia="宋体"/>
                <w:szCs w:val="21"/>
                <w:lang w:eastAsia="zh-CN"/>
              </w:rPr>
              <w:t>通信地址</w:t>
            </w:r>
          </w:p>
        </w:tc>
        <w:tc>
          <w:tcPr>
            <w:tcW w:w="2116" w:type="dxa"/>
            <w:tcBorders>
              <w:top w:val="single" w:color="auto" w:sz="2" w:space="0"/>
              <w:left w:val="single" w:color="auto" w:sz="2" w:space="0"/>
              <w:bottom w:val="single" w:color="auto" w:sz="2" w:space="0"/>
            </w:tcBorders>
            <w:vAlign w:val="center"/>
          </w:tcPr>
          <w:p w14:paraId="3CE7CAA2">
            <w:pPr>
              <w:keepNext w:val="0"/>
              <w:keepLines w:val="0"/>
              <w:suppressLineNumbers w:val="0"/>
              <w:adjustRightInd w:val="0"/>
              <w:snapToGrid w:val="0"/>
              <w:spacing w:before="0" w:beforeAutospacing="0" w:after="0" w:afterAutospacing="0" w:line="300" w:lineRule="exact"/>
              <w:ind w:left="0" w:right="0"/>
              <w:jc w:val="center"/>
              <w:rPr>
                <w:rFonts w:hint="default" w:eastAsia="宋体"/>
                <w:spacing w:val="20"/>
                <w:szCs w:val="21"/>
              </w:rPr>
            </w:pPr>
          </w:p>
        </w:tc>
      </w:tr>
      <w:tr w14:paraId="3D9C6B8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14:paraId="238493F8">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r>
              <w:rPr>
                <w:rFonts w:hint="default" w:eastAsia="宋体"/>
                <w:szCs w:val="21"/>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14:paraId="1F32F7C8">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2F28B427">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r>
              <w:rPr>
                <w:rFonts w:hint="default" w:eastAsia="宋体"/>
                <w:szCs w:val="21"/>
              </w:rPr>
              <w:t>邮政编码</w:t>
            </w:r>
          </w:p>
        </w:tc>
        <w:tc>
          <w:tcPr>
            <w:tcW w:w="2116" w:type="dxa"/>
            <w:tcBorders>
              <w:top w:val="single" w:color="auto" w:sz="2" w:space="0"/>
              <w:left w:val="single" w:color="auto" w:sz="2" w:space="0"/>
              <w:bottom w:val="single" w:color="auto" w:sz="2" w:space="0"/>
            </w:tcBorders>
            <w:vAlign w:val="center"/>
          </w:tcPr>
          <w:p w14:paraId="31DD58B6">
            <w:pPr>
              <w:keepNext w:val="0"/>
              <w:keepLines w:val="0"/>
              <w:suppressLineNumbers w:val="0"/>
              <w:adjustRightInd w:val="0"/>
              <w:snapToGrid w:val="0"/>
              <w:spacing w:before="0" w:beforeAutospacing="0" w:after="0" w:afterAutospacing="0" w:line="300" w:lineRule="exact"/>
              <w:ind w:left="0" w:right="0"/>
              <w:jc w:val="center"/>
              <w:rPr>
                <w:rFonts w:hint="default" w:eastAsia="宋体"/>
                <w:spacing w:val="20"/>
                <w:szCs w:val="21"/>
              </w:rPr>
            </w:pPr>
          </w:p>
        </w:tc>
      </w:tr>
      <w:tr w14:paraId="679A10E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14:paraId="5E54298D">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r>
              <w:rPr>
                <w:rFonts w:hint="eastAsia" w:eastAsia="宋体"/>
                <w:szCs w:val="21"/>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14:paraId="14C832B6">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5FEE4721">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r>
              <w:rPr>
                <w:rFonts w:hint="eastAsia" w:eastAsia="宋体"/>
                <w:szCs w:val="21"/>
              </w:rPr>
              <w:t>电子邮箱</w:t>
            </w:r>
          </w:p>
        </w:tc>
        <w:tc>
          <w:tcPr>
            <w:tcW w:w="2116" w:type="dxa"/>
            <w:tcBorders>
              <w:top w:val="single" w:color="auto" w:sz="2" w:space="0"/>
              <w:left w:val="single" w:color="auto" w:sz="2" w:space="0"/>
              <w:bottom w:val="single" w:color="auto" w:sz="2" w:space="0"/>
            </w:tcBorders>
            <w:vAlign w:val="center"/>
          </w:tcPr>
          <w:p w14:paraId="6BC1278F">
            <w:pPr>
              <w:keepNext w:val="0"/>
              <w:keepLines w:val="0"/>
              <w:suppressLineNumbers w:val="0"/>
              <w:adjustRightInd w:val="0"/>
              <w:snapToGrid w:val="0"/>
              <w:spacing w:before="0" w:beforeAutospacing="0" w:after="0" w:afterAutospacing="0" w:line="300" w:lineRule="exact"/>
              <w:ind w:left="0" w:right="0"/>
              <w:jc w:val="center"/>
              <w:rPr>
                <w:rFonts w:hint="default" w:eastAsia="宋体"/>
                <w:spacing w:val="20"/>
                <w:szCs w:val="21"/>
              </w:rPr>
            </w:pPr>
          </w:p>
        </w:tc>
      </w:tr>
      <w:tr w14:paraId="75046C7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14:paraId="2A677F9B">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r>
              <w:rPr>
                <w:rFonts w:hint="eastAsia" w:eastAsia="宋体"/>
                <w:szCs w:val="21"/>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14:paraId="7D684139">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3CCC4F38">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r>
              <w:rPr>
                <w:rFonts w:hint="eastAsia" w:eastAsia="宋体"/>
                <w:szCs w:val="21"/>
              </w:rPr>
              <w:t>统一社会信用代码</w:t>
            </w:r>
          </w:p>
        </w:tc>
        <w:tc>
          <w:tcPr>
            <w:tcW w:w="2116" w:type="dxa"/>
            <w:tcBorders>
              <w:top w:val="single" w:color="auto" w:sz="2" w:space="0"/>
              <w:left w:val="single" w:color="auto" w:sz="2" w:space="0"/>
              <w:bottom w:val="single" w:color="auto" w:sz="2" w:space="0"/>
            </w:tcBorders>
            <w:vAlign w:val="center"/>
          </w:tcPr>
          <w:p w14:paraId="6906639C">
            <w:pPr>
              <w:keepNext w:val="0"/>
              <w:keepLines w:val="0"/>
              <w:suppressLineNumbers w:val="0"/>
              <w:adjustRightInd w:val="0"/>
              <w:snapToGrid w:val="0"/>
              <w:spacing w:before="0" w:beforeAutospacing="0" w:after="0" w:afterAutospacing="0" w:line="300" w:lineRule="exact"/>
              <w:ind w:left="0" w:right="0"/>
              <w:jc w:val="center"/>
              <w:rPr>
                <w:rFonts w:hint="default" w:eastAsia="宋体"/>
                <w:spacing w:val="20"/>
                <w:szCs w:val="21"/>
              </w:rPr>
            </w:pPr>
          </w:p>
        </w:tc>
      </w:tr>
      <w:tr w14:paraId="3516D6E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14:paraId="7792743A">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53F54056">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7A975169">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r>
              <w:rPr>
                <w:rFonts w:hint="default" w:eastAsia="宋体"/>
                <w:szCs w:val="21"/>
              </w:rPr>
              <w:t>开户名称</w:t>
            </w:r>
          </w:p>
        </w:tc>
        <w:tc>
          <w:tcPr>
            <w:tcW w:w="2116" w:type="dxa"/>
            <w:tcBorders>
              <w:top w:val="single" w:color="auto" w:sz="2" w:space="0"/>
              <w:left w:val="single" w:color="auto" w:sz="2" w:space="0"/>
              <w:bottom w:val="single" w:color="auto" w:sz="2" w:space="0"/>
            </w:tcBorders>
            <w:vAlign w:val="center"/>
          </w:tcPr>
          <w:p w14:paraId="43E0ABFE">
            <w:pPr>
              <w:keepNext w:val="0"/>
              <w:keepLines w:val="0"/>
              <w:suppressLineNumbers w:val="0"/>
              <w:adjustRightInd w:val="0"/>
              <w:snapToGrid w:val="0"/>
              <w:spacing w:before="0" w:beforeAutospacing="0" w:after="0" w:afterAutospacing="0" w:line="300" w:lineRule="exact"/>
              <w:ind w:left="0" w:right="0"/>
              <w:jc w:val="center"/>
              <w:rPr>
                <w:rFonts w:hint="default" w:eastAsia="宋体"/>
                <w:spacing w:val="20"/>
                <w:szCs w:val="21"/>
              </w:rPr>
            </w:pPr>
          </w:p>
        </w:tc>
      </w:tr>
      <w:tr w14:paraId="7BFD14E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14:paraId="69A39BB6">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4C03FFD0">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7370FC5A">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r>
              <w:rPr>
                <w:rFonts w:hint="default" w:eastAsia="宋体"/>
                <w:szCs w:val="21"/>
              </w:rPr>
              <w:t>开户银行</w:t>
            </w:r>
          </w:p>
        </w:tc>
        <w:tc>
          <w:tcPr>
            <w:tcW w:w="2116" w:type="dxa"/>
            <w:tcBorders>
              <w:top w:val="single" w:color="auto" w:sz="2" w:space="0"/>
              <w:left w:val="single" w:color="auto" w:sz="2" w:space="0"/>
              <w:bottom w:val="single" w:color="auto" w:sz="2" w:space="0"/>
            </w:tcBorders>
            <w:vAlign w:val="center"/>
          </w:tcPr>
          <w:p w14:paraId="3900FE34">
            <w:pPr>
              <w:keepNext w:val="0"/>
              <w:keepLines w:val="0"/>
              <w:suppressLineNumbers w:val="0"/>
              <w:adjustRightInd w:val="0"/>
              <w:snapToGrid w:val="0"/>
              <w:spacing w:before="0" w:beforeAutospacing="0" w:after="0" w:afterAutospacing="0" w:line="300" w:lineRule="exact"/>
              <w:ind w:left="0" w:right="0"/>
              <w:jc w:val="center"/>
              <w:rPr>
                <w:rFonts w:hint="default" w:eastAsia="宋体"/>
                <w:spacing w:val="20"/>
                <w:szCs w:val="21"/>
              </w:rPr>
            </w:pPr>
          </w:p>
        </w:tc>
      </w:tr>
      <w:tr w14:paraId="5D0B200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14:paraId="40A5C55F">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1060E33B">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23DC3B52">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r>
              <w:rPr>
                <w:rFonts w:hint="default" w:eastAsia="宋体"/>
                <w:szCs w:val="21"/>
              </w:rPr>
              <w:t>银行账号</w:t>
            </w:r>
          </w:p>
        </w:tc>
        <w:tc>
          <w:tcPr>
            <w:tcW w:w="2116" w:type="dxa"/>
            <w:tcBorders>
              <w:top w:val="single" w:color="auto" w:sz="2" w:space="0"/>
              <w:left w:val="single" w:color="auto" w:sz="2" w:space="0"/>
              <w:bottom w:val="single" w:color="auto" w:sz="2" w:space="0"/>
            </w:tcBorders>
            <w:vAlign w:val="center"/>
          </w:tcPr>
          <w:p w14:paraId="37493790">
            <w:pPr>
              <w:keepNext w:val="0"/>
              <w:keepLines w:val="0"/>
              <w:suppressLineNumbers w:val="0"/>
              <w:adjustRightInd w:val="0"/>
              <w:snapToGrid w:val="0"/>
              <w:spacing w:before="0" w:beforeAutospacing="0" w:after="0" w:afterAutospacing="0" w:line="300" w:lineRule="exact"/>
              <w:ind w:left="0" w:right="0"/>
              <w:jc w:val="center"/>
              <w:rPr>
                <w:rFonts w:hint="default" w:eastAsia="宋体"/>
                <w:spacing w:val="20"/>
                <w:szCs w:val="21"/>
              </w:rPr>
            </w:pPr>
          </w:p>
        </w:tc>
      </w:tr>
      <w:tr w14:paraId="0A7C60B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jc w:val="center"/>
        </w:trPr>
        <w:tc>
          <w:tcPr>
            <w:tcW w:w="8398" w:type="dxa"/>
            <w:gridSpan w:val="4"/>
            <w:tcBorders>
              <w:top w:val="single" w:color="auto" w:sz="2" w:space="0"/>
            </w:tcBorders>
            <w:vAlign w:val="center"/>
          </w:tcPr>
          <w:p w14:paraId="13BF2C83">
            <w:pPr>
              <w:keepNext w:val="0"/>
              <w:keepLines w:val="0"/>
              <w:widowControl w:val="0"/>
              <w:suppressLineNumbers w:val="0"/>
              <w:adjustRightInd w:val="0"/>
              <w:snapToGrid w:val="0"/>
              <w:spacing w:before="156" w:beforeLines="50" w:beforeAutospacing="0" w:after="0" w:afterAutospacing="0" w:line="360" w:lineRule="auto"/>
              <w:ind w:left="0" w:leftChars="0" w:right="0"/>
              <w:jc w:val="left"/>
              <w:rPr>
                <w:rFonts w:hint="default" w:ascii="Times New Roman" w:hAnsi="Times New Roman" w:eastAsia="宋体" w:cs="Times New Roman"/>
                <w:spacing w:val="20"/>
                <w:kern w:val="2"/>
                <w:sz w:val="21"/>
                <w:szCs w:val="21"/>
                <w:lang w:val="en-US" w:eastAsia="zh-CN" w:bidi="ar-SA"/>
              </w:rPr>
            </w:pPr>
            <w:r>
              <w:rPr>
                <w:rFonts w:hint="eastAsia" w:ascii="宋体" w:hAnsi="宋体" w:eastAsia="宋体" w:cs="Times New Roman"/>
                <w:kern w:val="2"/>
                <w:sz w:val="21"/>
                <w:szCs w:val="21"/>
                <w:lang w:val="en-US" w:eastAsia="zh-CN" w:bidi="ar-SA"/>
              </w:rPr>
              <w:t>注：涉及联合体或其他合同主体的信息应按上表格式加列。</w:t>
            </w:r>
          </w:p>
        </w:tc>
      </w:tr>
    </w:tbl>
    <w:p w14:paraId="0F767F05">
      <w:pPr>
        <w:keepNext/>
        <w:keepLines/>
        <w:widowControl w:val="0"/>
        <w:adjustRightInd w:val="0"/>
        <w:snapToGrid w:val="0"/>
        <w:spacing w:before="156" w:beforeLines="50" w:line="360" w:lineRule="auto"/>
        <w:jc w:val="center"/>
        <w:outlineLvl w:val="1"/>
        <w:rPr>
          <w:rFonts w:ascii="黑体" w:hAnsi="黑体" w:eastAsia="黑体" w:cs="Times New Roman"/>
          <w:b/>
          <w:bCs/>
          <w:kern w:val="2"/>
          <w:sz w:val="28"/>
          <w:szCs w:val="28"/>
          <w:lang w:val="en-US" w:eastAsia="zh-CN" w:bidi="ar-SA"/>
        </w:rPr>
      </w:pPr>
      <w:r>
        <w:rPr>
          <w:rFonts w:ascii="宋体" w:hAnsi="宋体" w:eastAsia="宋体" w:cs="Times New Roman"/>
          <w:b/>
          <w:bCs/>
          <w:kern w:val="2"/>
          <w:sz w:val="21"/>
          <w:szCs w:val="21"/>
          <w:u w:val="single"/>
          <w:lang w:val="en-US" w:eastAsia="zh-CN" w:bidi="ar-SA"/>
        </w:rPr>
        <w:br w:type="page"/>
      </w:r>
      <w:bookmarkStart w:id="46" w:name="_Toc27624"/>
      <w:r>
        <w:rPr>
          <w:rFonts w:hint="eastAsia" w:ascii="黑体" w:hAnsi="黑体" w:eastAsia="黑体" w:cs="Times New Roman"/>
          <w:b w:val="0"/>
          <w:bCs w:val="0"/>
          <w:kern w:val="2"/>
          <w:sz w:val="28"/>
          <w:szCs w:val="28"/>
          <w:lang w:val="en-US" w:eastAsia="zh-CN" w:bidi="ar-SA"/>
        </w:rPr>
        <w:t>第二节 合同通用条款</w:t>
      </w:r>
      <w:bookmarkEnd w:id="46"/>
    </w:p>
    <w:p w14:paraId="2848058F">
      <w:pPr>
        <w:tabs>
          <w:tab w:val="left" w:pos="8820"/>
          <w:tab w:val="left" w:pos="9345"/>
          <w:tab w:val="left" w:pos="9765"/>
        </w:tabs>
        <w:adjustRightInd w:val="0"/>
        <w:snapToGrid w:val="0"/>
        <w:spacing w:before="0" w:line="400" w:lineRule="exact"/>
        <w:jc w:val="left"/>
        <w:rPr>
          <w:rFonts w:ascii="宋体" w:hAnsi="宋体" w:eastAsia="宋体"/>
          <w:b/>
          <w:bCs/>
          <w:sz w:val="24"/>
        </w:rPr>
      </w:pPr>
      <w:r>
        <w:rPr>
          <w:rFonts w:hint="eastAsia" w:ascii="宋体" w:hAnsi="宋体" w:eastAsia="宋体"/>
          <w:b/>
          <w:sz w:val="24"/>
        </w:rPr>
        <w:t>1.</w:t>
      </w:r>
      <w:r>
        <w:rPr>
          <w:rFonts w:hint="eastAsia" w:ascii="宋体" w:hAnsi="宋体" w:eastAsia="宋体"/>
          <w:b/>
          <w:sz w:val="24"/>
          <w:lang w:val="en-US" w:eastAsia="zh-CN"/>
        </w:rPr>
        <w:t xml:space="preserve"> </w:t>
      </w:r>
      <w:r>
        <w:rPr>
          <w:rFonts w:hint="eastAsia" w:ascii="宋体" w:hAnsi="宋体" w:eastAsia="宋体"/>
          <w:b/>
          <w:bCs/>
          <w:sz w:val="24"/>
        </w:rPr>
        <w:t>定义</w:t>
      </w:r>
    </w:p>
    <w:p w14:paraId="4B48195F">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1.1合同当事人</w:t>
      </w:r>
    </w:p>
    <w:p w14:paraId="42D3CF29">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（1）采购人（以下称甲方）是指向供应商购买货物</w:t>
      </w:r>
      <w:r>
        <w:rPr>
          <w:rFonts w:hint="eastAsia" w:ascii="宋体" w:hAnsi="宋体" w:eastAsia="宋体"/>
          <w:color w:val="auto"/>
          <w:szCs w:val="21"/>
          <w:highlight w:val="none"/>
          <w:lang w:val="en-US" w:eastAsia="zh-CN"/>
        </w:rPr>
        <w:t>及其相关服务的</w:t>
      </w:r>
      <w:r>
        <w:rPr>
          <w:rFonts w:hint="eastAsia" w:ascii="宋体" w:hAnsi="宋体" w:eastAsia="宋体"/>
          <w:color w:val="auto"/>
          <w:szCs w:val="21"/>
          <w:highlight w:val="none"/>
        </w:rPr>
        <w:t>国家机关、事业单位、团体组织。</w:t>
      </w:r>
    </w:p>
    <w:p w14:paraId="4F771480">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（2）供应商（以下称</w:t>
      </w:r>
      <w:r>
        <w:rPr>
          <w:rFonts w:hint="eastAsia" w:ascii="宋体" w:hAnsi="宋体" w:eastAsia="宋体"/>
          <w:color w:val="auto"/>
          <w:szCs w:val="21"/>
          <w:highlight w:val="none"/>
          <w:lang w:eastAsia="zh-CN"/>
        </w:rPr>
        <w:t>乙</w:t>
      </w:r>
      <w:r>
        <w:rPr>
          <w:rFonts w:hint="eastAsia" w:ascii="宋体" w:hAnsi="宋体" w:eastAsia="宋体"/>
          <w:color w:val="auto"/>
          <w:szCs w:val="21"/>
          <w:highlight w:val="none"/>
        </w:rPr>
        <w:t>方）是指参加采购活动并且中标（成交），向采购人提供</w:t>
      </w:r>
      <w:r>
        <w:rPr>
          <w:rFonts w:hint="eastAsia" w:ascii="宋体" w:hAnsi="宋体" w:eastAsia="宋体"/>
          <w:color w:val="auto"/>
          <w:szCs w:val="21"/>
          <w:highlight w:val="none"/>
          <w:lang w:val="en-US" w:eastAsia="zh-CN"/>
        </w:rPr>
        <w:t>合同约定的货物及其相关服务的法人、非法人组织或者自然人</w:t>
      </w:r>
      <w:r>
        <w:rPr>
          <w:rFonts w:hint="eastAsia" w:ascii="宋体" w:hAnsi="宋体" w:eastAsia="宋体"/>
          <w:color w:val="auto"/>
          <w:szCs w:val="21"/>
          <w:highlight w:val="none"/>
        </w:rPr>
        <w:t>。</w:t>
      </w:r>
    </w:p>
    <w:p w14:paraId="162B4CBB">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（3）其他合同主体是指除采购人和供应商以外，</w:t>
      </w:r>
      <w:r>
        <w:rPr>
          <w:rFonts w:hint="eastAsia" w:ascii="宋体" w:hAnsi="宋体" w:eastAsia="宋体" w:cs="宋体"/>
          <w:bCs/>
          <w:color w:val="000000"/>
          <w:szCs w:val="21"/>
        </w:rPr>
        <w:t>依法参与合同缔结或履行，享有权利、承担义务的合同当事人</w:t>
      </w:r>
      <w:r>
        <w:rPr>
          <w:rFonts w:hint="eastAsia" w:ascii="宋体" w:hAnsi="宋体" w:eastAsia="宋体"/>
          <w:color w:val="auto"/>
          <w:szCs w:val="21"/>
          <w:highlight w:val="none"/>
        </w:rPr>
        <w:t>。</w:t>
      </w:r>
    </w:p>
    <w:p w14:paraId="62CBC990">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1.2本合同下列术语应解释为：</w:t>
      </w:r>
    </w:p>
    <w:p w14:paraId="708DF7CC">
      <w:pPr>
        <w:adjustRightInd w:val="0"/>
        <w:snapToGrid w:val="0"/>
        <w:spacing w:before="0" w:beforeLines="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（1）“合同”系指</w:t>
      </w:r>
      <w:r>
        <w:rPr>
          <w:rFonts w:hint="eastAsia" w:ascii="宋体" w:hAnsi="宋体" w:eastAsia="宋体" w:cs="宋体"/>
          <w:bCs/>
          <w:color w:val="000000"/>
          <w:szCs w:val="21"/>
        </w:rPr>
        <w:t>合同当事人意思表示达成一致的任何协议，包括签署的</w:t>
      </w:r>
      <w:r>
        <w:rPr>
          <w:rFonts w:hint="eastAsia" w:ascii="宋体" w:hAnsi="宋体" w:eastAsia="宋体"/>
          <w:color w:val="auto"/>
          <w:szCs w:val="21"/>
        </w:rPr>
        <w:t>合同协议书及其变更、补充</w:t>
      </w:r>
      <w:r>
        <w:rPr>
          <w:rFonts w:hint="eastAsia" w:ascii="宋体" w:hAnsi="宋体" w:eastAsia="宋体"/>
          <w:color w:val="auto"/>
          <w:szCs w:val="21"/>
          <w:lang w:eastAsia="zh-CN"/>
        </w:rPr>
        <w:t>协议，</w:t>
      </w:r>
      <w:r>
        <w:rPr>
          <w:rFonts w:hint="eastAsia" w:ascii="宋体" w:hAnsi="宋体" w:eastAsia="宋体"/>
          <w:szCs w:val="21"/>
        </w:rPr>
        <w:t>合同专用条款</w:t>
      </w:r>
      <w:r>
        <w:rPr>
          <w:rFonts w:hint="eastAsia" w:ascii="宋体" w:hAnsi="宋体" w:eastAsia="宋体"/>
          <w:szCs w:val="21"/>
          <w:lang w:eastAsia="zh-CN"/>
        </w:rPr>
        <w:t>，</w:t>
      </w:r>
      <w:r>
        <w:rPr>
          <w:rFonts w:hint="eastAsia" w:ascii="宋体" w:hAnsi="宋体" w:eastAsia="宋体"/>
          <w:szCs w:val="21"/>
        </w:rPr>
        <w:t>合同通用条款</w:t>
      </w:r>
      <w:r>
        <w:rPr>
          <w:rFonts w:hint="eastAsia" w:ascii="宋体" w:hAnsi="宋体" w:eastAsia="宋体"/>
          <w:szCs w:val="21"/>
          <w:lang w:eastAsia="zh-CN"/>
        </w:rPr>
        <w:t>，</w:t>
      </w:r>
      <w:r>
        <w:rPr>
          <w:rFonts w:hint="eastAsia" w:ascii="宋体" w:hAnsi="宋体" w:eastAsia="宋体"/>
          <w:color w:val="auto"/>
          <w:szCs w:val="21"/>
        </w:rPr>
        <w:t>中标</w:t>
      </w:r>
      <w:r>
        <w:rPr>
          <w:rFonts w:hint="eastAsia" w:ascii="宋体" w:hAnsi="宋体" w:eastAsia="宋体"/>
          <w:color w:val="auto"/>
          <w:szCs w:val="21"/>
          <w:lang w:eastAsia="zh-CN"/>
        </w:rPr>
        <w:t>（成交）</w:t>
      </w:r>
      <w:r>
        <w:rPr>
          <w:rFonts w:hint="eastAsia" w:ascii="宋体" w:hAnsi="宋体" w:eastAsia="宋体"/>
          <w:color w:val="auto"/>
          <w:szCs w:val="21"/>
        </w:rPr>
        <w:t>通知书</w:t>
      </w:r>
      <w:r>
        <w:rPr>
          <w:rFonts w:hint="eastAsia" w:ascii="宋体" w:hAnsi="宋体" w:eastAsia="宋体"/>
          <w:color w:val="auto"/>
          <w:szCs w:val="21"/>
          <w:lang w:eastAsia="zh-CN"/>
        </w:rPr>
        <w:t>，</w:t>
      </w:r>
      <w:r>
        <w:rPr>
          <w:rFonts w:hint="eastAsia" w:ascii="宋体" w:hAnsi="宋体" w:eastAsia="宋体"/>
          <w:szCs w:val="21"/>
        </w:rPr>
        <w:t>投标（响应）文件</w:t>
      </w:r>
      <w:r>
        <w:rPr>
          <w:rFonts w:hint="eastAsia" w:ascii="宋体" w:hAnsi="宋体" w:eastAsia="宋体"/>
          <w:szCs w:val="21"/>
          <w:lang w:eastAsia="zh-CN"/>
        </w:rPr>
        <w:t>，</w:t>
      </w:r>
      <w:r>
        <w:rPr>
          <w:rFonts w:hint="eastAsia" w:ascii="宋体" w:hAnsi="宋体" w:eastAsia="宋体"/>
          <w:szCs w:val="21"/>
        </w:rPr>
        <w:t>采购文件</w:t>
      </w:r>
      <w:r>
        <w:rPr>
          <w:rFonts w:hint="eastAsia" w:ascii="宋体" w:hAnsi="宋体" w:eastAsia="宋体"/>
          <w:szCs w:val="21"/>
          <w:lang w:eastAsia="zh-CN"/>
        </w:rPr>
        <w:t>，</w:t>
      </w:r>
      <w:r>
        <w:rPr>
          <w:rFonts w:hint="eastAsia" w:ascii="宋体" w:hAnsi="宋体" w:eastAsia="宋体"/>
          <w:szCs w:val="21"/>
        </w:rPr>
        <w:t>有关技术文件</w:t>
      </w:r>
      <w:r>
        <w:rPr>
          <w:rFonts w:hint="eastAsia" w:ascii="宋体" w:hAnsi="宋体" w:eastAsia="宋体"/>
          <w:szCs w:val="21"/>
          <w:lang w:eastAsia="zh-CN"/>
        </w:rPr>
        <w:t>和</w:t>
      </w:r>
      <w:r>
        <w:rPr>
          <w:rFonts w:hint="eastAsia" w:ascii="宋体" w:hAnsi="宋体" w:eastAsia="宋体"/>
          <w:szCs w:val="21"/>
        </w:rPr>
        <w:t>图纸</w:t>
      </w:r>
      <w:r>
        <w:rPr>
          <w:rFonts w:hint="eastAsia" w:ascii="宋体" w:hAnsi="宋体" w:eastAsia="宋体"/>
          <w:szCs w:val="21"/>
          <w:lang w:eastAsia="zh-CN"/>
        </w:rPr>
        <w:t>，以及</w:t>
      </w:r>
      <w:r>
        <w:rPr>
          <w:rFonts w:hint="eastAsia" w:ascii="宋体" w:hAnsi="宋体" w:eastAsia="宋体" w:cs="宋体"/>
          <w:bCs w:val="0"/>
          <w:color w:val="000000"/>
          <w:kern w:val="2"/>
          <w:sz w:val="21"/>
          <w:szCs w:val="21"/>
          <w:highlight w:val="none"/>
          <w:lang w:eastAsia="zh-CN"/>
        </w:rPr>
        <w:t>国家法律、行政法规和规章制度规定或合同约定的作为合同组成部分的其他文件</w:t>
      </w:r>
      <w:r>
        <w:rPr>
          <w:rFonts w:hint="eastAsia" w:ascii="宋体" w:hAnsi="宋体" w:eastAsia="宋体"/>
          <w:color w:val="auto"/>
          <w:szCs w:val="21"/>
          <w:highlight w:val="none"/>
        </w:rPr>
        <w:t>。</w:t>
      </w:r>
    </w:p>
    <w:p w14:paraId="4E03835D">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）“合同价</w:t>
      </w:r>
      <w:r>
        <w:rPr>
          <w:rFonts w:hint="eastAsia" w:ascii="宋体" w:hAnsi="宋体" w:eastAsia="宋体"/>
          <w:color w:val="auto"/>
          <w:szCs w:val="21"/>
          <w:highlight w:val="none"/>
          <w:lang w:val="en-US" w:eastAsia="zh-CN"/>
        </w:rPr>
        <w:t>款</w:t>
      </w:r>
      <w:r>
        <w:rPr>
          <w:rFonts w:hint="eastAsia" w:ascii="宋体" w:hAnsi="宋体" w:eastAsia="宋体"/>
          <w:color w:val="auto"/>
          <w:szCs w:val="21"/>
          <w:highlight w:val="none"/>
        </w:rPr>
        <w:t>”系指根据本合同规定乙方在全面履行合同义务后甲方应支付给乙方的价款。</w:t>
      </w:r>
    </w:p>
    <w:p w14:paraId="73C79DF5">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000000"/>
          <w:szCs w:val="21"/>
          <w:highlight w:val="none"/>
          <w:lang w:eastAsia="zh-CN"/>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）“货物”系指乙方根据本合同规定须向甲方提供的各种形态和种类的物品，包括原材料、设备、产品（</w:t>
      </w:r>
      <w:r>
        <w:rPr>
          <w:rFonts w:hint="eastAsia" w:ascii="宋体" w:hAnsi="宋体" w:eastAsia="宋体"/>
          <w:color w:val="000000"/>
          <w:szCs w:val="21"/>
          <w:highlight w:val="none"/>
        </w:rPr>
        <w:t>包括软件）及相关的其备品备件、工具、手册及</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技术资料和材料</w:t>
      </w:r>
      <w:r>
        <w:rPr>
          <w:rFonts w:hint="eastAsia" w:ascii="宋体" w:hAnsi="宋体" w:eastAsia="宋体"/>
          <w:color w:val="000000"/>
          <w:szCs w:val="21"/>
          <w:highlight w:val="none"/>
          <w:lang w:eastAsia="zh-CN"/>
        </w:rPr>
        <w:t>等</w:t>
      </w:r>
      <w:r>
        <w:rPr>
          <w:rFonts w:hint="eastAsia" w:ascii="宋体" w:hAnsi="宋体" w:eastAsia="宋体"/>
          <w:color w:val="000000"/>
          <w:szCs w:val="21"/>
          <w:highlight w:val="none"/>
        </w:rPr>
        <w:t>。</w:t>
      </w:r>
    </w:p>
    <w:p w14:paraId="061D2FB0">
      <w:pPr>
        <w:adjustRightInd w:val="0"/>
        <w:snapToGrid w:val="0"/>
        <w:spacing w:before="0" w:line="400" w:lineRule="exact"/>
        <w:ind w:firstLine="420" w:firstLineChars="200"/>
        <w:jc w:val="left"/>
        <w:rPr>
          <w:rFonts w:hint="eastAsia" w:ascii="宋体" w:hAnsi="宋体" w:eastAsia="宋体"/>
          <w:color w:val="000000"/>
          <w:szCs w:val="21"/>
          <w:highlight w:val="yellow"/>
          <w:lang w:eastAsia="zh-CN"/>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4</w:t>
      </w:r>
      <w:r>
        <w:rPr>
          <w:rFonts w:hint="eastAsia" w:ascii="宋体" w:hAnsi="宋体" w:eastAsia="宋体"/>
          <w:color w:val="000000"/>
          <w:szCs w:val="21"/>
          <w:highlight w:val="none"/>
        </w:rPr>
        <w:t>）“</w:t>
      </w:r>
      <w:r>
        <w:rPr>
          <w:rFonts w:hint="eastAsia" w:ascii="宋体" w:hAnsi="宋体" w:eastAsia="宋体"/>
          <w:color w:val="auto"/>
          <w:szCs w:val="21"/>
          <w:highlight w:val="none"/>
          <w:lang w:val="en-US" w:eastAsia="zh-CN"/>
        </w:rPr>
        <w:t>相关</w:t>
      </w:r>
      <w:r>
        <w:rPr>
          <w:rFonts w:hint="eastAsia" w:ascii="宋体" w:hAnsi="宋体" w:eastAsia="宋体"/>
          <w:color w:val="000000"/>
          <w:szCs w:val="21"/>
          <w:highlight w:val="none"/>
        </w:rPr>
        <w:t>服务”系指根据合同规定，乙方应提供的</w:t>
      </w:r>
      <w:r>
        <w:rPr>
          <w:rFonts w:hint="eastAsia" w:ascii="宋体" w:hAnsi="宋体" w:eastAsia="宋体"/>
          <w:color w:val="000000"/>
          <w:szCs w:val="21"/>
          <w:highlight w:val="none"/>
          <w:lang w:val="en-US" w:eastAsia="zh-CN"/>
        </w:rPr>
        <w:t>与货物有关的</w:t>
      </w:r>
      <w:r>
        <w:rPr>
          <w:rFonts w:hint="eastAsia" w:ascii="宋体" w:hAnsi="宋体" w:eastAsia="宋体"/>
          <w:color w:val="000000"/>
          <w:szCs w:val="21"/>
          <w:highlight w:val="none"/>
        </w:rPr>
        <w:t>技术、管理和</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服务，包括但不限于：管理和质量保证、运输、保险、检验、现场准备、安装、集成、调试、培训、维修、</w:t>
      </w:r>
      <w:r>
        <w:rPr>
          <w:rFonts w:hint="eastAsia" w:ascii="宋体" w:hAnsi="宋体" w:eastAsia="宋体"/>
          <w:color w:val="000000"/>
          <w:szCs w:val="21"/>
          <w:highlight w:val="none"/>
          <w:lang w:eastAsia="zh-CN"/>
        </w:rPr>
        <w:t>废弃处置、</w:t>
      </w:r>
      <w:r>
        <w:rPr>
          <w:rFonts w:hint="eastAsia" w:ascii="宋体" w:hAnsi="宋体" w:eastAsia="宋体"/>
          <w:color w:val="000000"/>
          <w:szCs w:val="21"/>
          <w:highlight w:val="none"/>
        </w:rPr>
        <w:t>技术支持等以及合同中规定乙方应承担的</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义务。</w:t>
      </w:r>
    </w:p>
    <w:p w14:paraId="29019DC1">
      <w:pPr>
        <w:adjustRightInd w:val="0"/>
        <w:snapToGrid w:val="0"/>
        <w:spacing w:before="0" w:line="400" w:lineRule="exact"/>
        <w:ind w:firstLine="420" w:firstLineChars="200"/>
        <w:jc w:val="left"/>
        <w:rPr>
          <w:rFonts w:hint="eastAsia" w:ascii="宋体" w:hAnsi="宋体" w:eastAsia="宋体"/>
          <w:color w:val="000000"/>
          <w:szCs w:val="21"/>
          <w:highlight w:val="yellow"/>
          <w:lang w:eastAsia="zh-CN"/>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5</w:t>
      </w:r>
      <w:r>
        <w:rPr>
          <w:rFonts w:hint="eastAsia" w:ascii="宋体" w:hAnsi="宋体" w:eastAsia="宋体"/>
          <w:color w:val="000000"/>
          <w:szCs w:val="21"/>
          <w:highlight w:val="none"/>
        </w:rPr>
        <w:t>）“分包”系指中标</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成交</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供应商按采购文件、投标（响应）文件的规定，根据分包意向协议，将中标</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成交</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项目中的部分履约内容，分给具有相应资质条件的供应商履行合同的行为。</w:t>
      </w:r>
    </w:p>
    <w:p w14:paraId="1B2D9B9A">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6</w:t>
      </w:r>
      <w:r>
        <w:rPr>
          <w:rFonts w:hint="eastAsia" w:ascii="宋体" w:hAnsi="宋体" w:eastAsia="宋体"/>
          <w:color w:val="000000"/>
          <w:szCs w:val="21"/>
          <w:highlight w:val="none"/>
        </w:rPr>
        <w:t>）</w:t>
      </w:r>
      <w:r>
        <w:rPr>
          <w:rFonts w:hint="eastAsia" w:ascii="宋体" w:hAnsi="宋体" w:eastAsia="宋体"/>
          <w:szCs w:val="21"/>
        </w:rPr>
        <w:t>“联合体”系指</w:t>
      </w:r>
      <w:r>
        <w:rPr>
          <w:rFonts w:hint="eastAsia" w:ascii="宋体" w:hAnsi="宋体" w:eastAsia="宋体"/>
          <w:szCs w:val="21"/>
          <w:lang w:eastAsia="zh-CN"/>
        </w:rPr>
        <w:t>由</w:t>
      </w:r>
      <w:r>
        <w:rPr>
          <w:rFonts w:hint="eastAsia" w:ascii="宋体" w:hAnsi="宋体" w:eastAsia="宋体"/>
          <w:szCs w:val="21"/>
        </w:rPr>
        <w:t>两个以上的自然人、法人或者</w:t>
      </w:r>
      <w:r>
        <w:rPr>
          <w:rFonts w:hint="eastAsia" w:ascii="宋体" w:hAnsi="宋体" w:eastAsia="宋体"/>
          <w:szCs w:val="21"/>
          <w:lang w:val="en-US" w:eastAsia="zh-CN"/>
        </w:rPr>
        <w:t>非法人</w:t>
      </w:r>
      <w:r>
        <w:rPr>
          <w:rFonts w:hint="eastAsia" w:ascii="宋体" w:hAnsi="宋体" w:eastAsia="宋体"/>
          <w:szCs w:val="21"/>
        </w:rPr>
        <w:t>组织组成，</w:t>
      </w:r>
      <w:r>
        <w:rPr>
          <w:rFonts w:hint="eastAsia" w:ascii="宋体" w:hAnsi="宋体" w:eastAsia="宋体"/>
          <w:szCs w:val="21"/>
          <w:lang w:eastAsia="zh-CN"/>
        </w:rPr>
        <w:t>以一个供应商的身份共同参加采购的主体</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olor w:val="000000"/>
          <w:szCs w:val="21"/>
          <w:highlight w:val="none"/>
          <w:lang w:eastAsia="zh-CN"/>
        </w:rPr>
        <w:t>甲方</w:t>
      </w:r>
      <w:r>
        <w:rPr>
          <w:rFonts w:hint="eastAsia" w:ascii="宋体" w:hAnsi="宋体" w:eastAsia="宋体"/>
          <w:color w:val="000000"/>
          <w:szCs w:val="21"/>
          <w:highlight w:val="none"/>
        </w:rPr>
        <w:t>承担连带责任。联合体具体要求见【</w:t>
      </w:r>
      <w:r>
        <w:rPr>
          <w:rFonts w:hint="eastAsia" w:ascii="宋体" w:hAnsi="宋体" w:eastAsia="宋体"/>
          <w:b/>
          <w:bCs/>
          <w:color w:val="000000"/>
          <w:szCs w:val="21"/>
          <w:highlight w:val="none"/>
        </w:rPr>
        <w:t>合同专用条款</w:t>
      </w:r>
      <w:r>
        <w:rPr>
          <w:rFonts w:hint="eastAsia" w:ascii="宋体" w:hAnsi="宋体" w:eastAsia="宋体"/>
          <w:color w:val="000000"/>
          <w:szCs w:val="21"/>
          <w:highlight w:val="none"/>
        </w:rPr>
        <w:t>】。</w:t>
      </w:r>
    </w:p>
    <w:p w14:paraId="5C94B7E0">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7</w:t>
      </w:r>
      <w:r>
        <w:rPr>
          <w:rFonts w:hint="eastAsia" w:ascii="宋体" w:hAnsi="宋体" w:eastAsia="宋体"/>
          <w:color w:val="000000"/>
          <w:szCs w:val="21"/>
          <w:highlight w:val="none"/>
        </w:rPr>
        <w:t>）其他术语解释，见【</w:t>
      </w:r>
      <w:r>
        <w:rPr>
          <w:rFonts w:hint="eastAsia" w:ascii="宋体" w:hAnsi="宋体" w:eastAsia="宋体"/>
          <w:b/>
          <w:bCs/>
          <w:color w:val="000000"/>
          <w:szCs w:val="21"/>
          <w:highlight w:val="none"/>
        </w:rPr>
        <w:t>合同专用条款</w:t>
      </w:r>
      <w:r>
        <w:rPr>
          <w:rFonts w:hint="eastAsia" w:ascii="宋体" w:hAnsi="宋体" w:eastAsia="宋体"/>
          <w:color w:val="000000"/>
          <w:szCs w:val="21"/>
          <w:highlight w:val="none"/>
        </w:rPr>
        <w:t>】。</w:t>
      </w:r>
    </w:p>
    <w:p w14:paraId="4B80EBB9">
      <w:pPr>
        <w:numPr>
          <w:ilvl w:val="0"/>
          <w:numId w:val="12"/>
        </w:num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color w:val="000000"/>
          <w:sz w:val="24"/>
          <w:highlight w:val="none"/>
        </w:rPr>
        <w:t>合同标的及金额</w:t>
      </w:r>
    </w:p>
    <w:p w14:paraId="432AD55A">
      <w:pPr>
        <w:autoSpaceDE w:val="0"/>
        <w:autoSpaceDN w:val="0"/>
        <w:adjustRightInd w:val="0"/>
        <w:snapToGrid w:val="0"/>
        <w:spacing w:before="0" w:line="400" w:lineRule="exact"/>
        <w:ind w:firstLine="420" w:firstLineChars="200"/>
        <w:jc w:val="left"/>
        <w:rPr>
          <w:rFonts w:ascii="宋体" w:hAnsi="宋体" w:eastAsia="宋体"/>
          <w:b/>
          <w:bCs/>
          <w:i/>
          <w:iCs/>
          <w:color w:val="000000"/>
          <w:szCs w:val="21"/>
          <w:highlight w:val="none"/>
        </w:rPr>
      </w:pPr>
      <w:r>
        <w:rPr>
          <w:rFonts w:hint="eastAsia" w:ascii="宋体" w:hAnsi="宋体" w:eastAsia="宋体"/>
          <w:color w:val="000000"/>
          <w:szCs w:val="21"/>
          <w:highlight w:val="none"/>
          <w:lang w:eastAsia="zh-CN"/>
        </w:rPr>
        <w:t>2</w:t>
      </w:r>
      <w:r>
        <w:rPr>
          <w:rFonts w:hint="eastAsia" w:ascii="宋体" w:hAnsi="宋体" w:eastAsia="宋体"/>
          <w:color w:val="000000"/>
          <w:szCs w:val="21"/>
          <w:highlight w:val="none"/>
        </w:rPr>
        <w:t>.1 合同标的及金额应与中标（成交）结果一致。乙方为履行本合同而发生的所有费用均应包含在合同</w:t>
      </w:r>
      <w:r>
        <w:rPr>
          <w:rFonts w:hint="eastAsia" w:ascii="宋体" w:hAnsi="宋体" w:eastAsia="宋体"/>
          <w:color w:val="000000"/>
          <w:szCs w:val="21"/>
          <w:highlight w:val="none"/>
          <w:lang w:eastAsia="zh-CN"/>
        </w:rPr>
        <w:t>价款</w:t>
      </w:r>
      <w:r>
        <w:rPr>
          <w:rFonts w:hint="eastAsia" w:ascii="宋体" w:hAnsi="宋体" w:eastAsia="宋体"/>
          <w:color w:val="000000"/>
          <w:szCs w:val="21"/>
          <w:highlight w:val="none"/>
        </w:rPr>
        <w:t>中，甲方不再另行支付</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任何费用。</w:t>
      </w:r>
    </w:p>
    <w:p w14:paraId="3DFC12B6">
      <w:pPr>
        <w:adjustRightInd w:val="0"/>
        <w:snapToGrid w:val="0"/>
        <w:spacing w:before="0" w:line="400" w:lineRule="exact"/>
        <w:jc w:val="left"/>
        <w:rPr>
          <w:rFonts w:ascii="宋体" w:hAnsi="宋体" w:eastAsia="宋体"/>
          <w:b/>
          <w:color w:val="000000"/>
          <w:sz w:val="24"/>
          <w:highlight w:val="none"/>
        </w:rPr>
      </w:pPr>
      <w:r>
        <w:rPr>
          <w:rFonts w:hint="eastAsia" w:ascii="宋体" w:hAnsi="宋体" w:eastAsia="宋体"/>
          <w:b/>
          <w:color w:val="000000"/>
          <w:sz w:val="24"/>
          <w:highlight w:val="none"/>
          <w:lang w:eastAsia="zh-CN"/>
        </w:rPr>
        <w:t>3</w:t>
      </w:r>
      <w:r>
        <w:rPr>
          <w:rFonts w:hint="eastAsia" w:ascii="宋体" w:hAnsi="宋体" w:eastAsia="宋体"/>
          <w:b/>
          <w:color w:val="000000"/>
          <w:sz w:val="24"/>
          <w:highlight w:val="none"/>
          <w:lang w:val="en-US" w:eastAsia="zh-CN"/>
        </w:rPr>
        <w:t xml:space="preserve">. </w:t>
      </w:r>
      <w:r>
        <w:rPr>
          <w:rFonts w:hint="eastAsia" w:ascii="宋体" w:hAnsi="宋体" w:eastAsia="宋体"/>
          <w:b/>
          <w:color w:val="000000"/>
          <w:sz w:val="24"/>
          <w:highlight w:val="none"/>
        </w:rPr>
        <w:t>履行合同的时间、地点和方式</w:t>
      </w:r>
    </w:p>
    <w:p w14:paraId="3786069A">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3</w:t>
      </w:r>
      <w:r>
        <w:rPr>
          <w:rFonts w:hint="eastAsia" w:ascii="宋体" w:hAnsi="宋体" w:eastAsia="宋体"/>
          <w:color w:val="000000"/>
          <w:szCs w:val="21"/>
          <w:highlight w:val="none"/>
        </w:rPr>
        <w:t xml:space="preserve">.1 </w:t>
      </w:r>
      <w:r>
        <w:rPr>
          <w:rFonts w:hint="eastAsia" w:ascii="宋体" w:hAnsi="宋体" w:eastAsia="宋体" w:cs="宋体"/>
          <w:szCs w:val="21"/>
        </w:rPr>
        <w:t>乙方应当在约定的时间、地点</w:t>
      </w:r>
      <w:r>
        <w:rPr>
          <w:rFonts w:hint="eastAsia" w:ascii="宋体" w:hAnsi="宋体" w:eastAsia="宋体" w:cs="宋体"/>
          <w:szCs w:val="21"/>
          <w:lang w:eastAsia="zh-CN"/>
        </w:rPr>
        <w:t>，按照约定</w:t>
      </w:r>
      <w:r>
        <w:rPr>
          <w:rFonts w:hint="eastAsia" w:ascii="宋体" w:hAnsi="宋体" w:eastAsia="宋体" w:cs="宋体"/>
          <w:szCs w:val="21"/>
        </w:rPr>
        <w:t>方式履行合同。</w:t>
      </w:r>
    </w:p>
    <w:p w14:paraId="718FDBEA">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4</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甲方的权利和义务</w:t>
      </w:r>
    </w:p>
    <w:p w14:paraId="129491DE">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.1</w:t>
      </w:r>
      <w:r>
        <w:rPr>
          <w:rFonts w:ascii="宋体" w:hAnsi="宋体" w:eastAsia="宋体"/>
          <w:color w:val="000000"/>
          <w:szCs w:val="21"/>
          <w:highlight w:val="none"/>
        </w:rPr>
        <w:t xml:space="preserve"> 签署合同后，甲方</w:t>
      </w:r>
      <w:r>
        <w:rPr>
          <w:rFonts w:hint="eastAsia" w:ascii="宋体" w:hAnsi="宋体" w:eastAsia="宋体"/>
          <w:color w:val="000000"/>
          <w:szCs w:val="21"/>
          <w:highlight w:val="none"/>
          <w:lang w:eastAsia="zh-CN"/>
        </w:rPr>
        <w:t>应</w:t>
      </w:r>
      <w:r>
        <w:rPr>
          <w:rFonts w:ascii="宋体" w:hAnsi="宋体" w:eastAsia="宋体"/>
          <w:color w:val="000000"/>
          <w:szCs w:val="21"/>
          <w:highlight w:val="none"/>
        </w:rPr>
        <w:t>确定</w:t>
      </w:r>
      <w:r>
        <w:rPr>
          <w:rFonts w:hint="eastAsia" w:ascii="宋体" w:hAnsi="宋体" w:eastAsia="宋体"/>
          <w:color w:val="000000"/>
          <w:szCs w:val="21"/>
          <w:highlight w:val="none"/>
          <w:lang w:val="en-US" w:eastAsia="zh-CN"/>
        </w:rPr>
        <w:t>项目负责人（或项目联系人）</w:t>
      </w:r>
      <w:r>
        <w:rPr>
          <w:rFonts w:ascii="宋体" w:hAnsi="宋体" w:eastAsia="宋体"/>
          <w:color w:val="000000"/>
          <w:szCs w:val="21"/>
          <w:highlight w:val="none"/>
        </w:rPr>
        <w:t>，负责与本合同有关的事务。</w:t>
      </w:r>
      <w:r>
        <w:rPr>
          <w:rFonts w:hint="eastAsia" w:ascii="宋体" w:hAnsi="宋体" w:eastAsia="宋体"/>
          <w:color w:val="000000"/>
          <w:szCs w:val="21"/>
          <w:highlight w:val="none"/>
        </w:rPr>
        <w:t>甲方有权对乙方的履约行为进行检查，并</w:t>
      </w:r>
      <w:r>
        <w:rPr>
          <w:rFonts w:ascii="宋体" w:hAnsi="宋体" w:eastAsia="宋体"/>
          <w:color w:val="000000"/>
          <w:szCs w:val="21"/>
          <w:highlight w:val="none"/>
        </w:rPr>
        <w:t>及时确认乙方提交的事项</w:t>
      </w:r>
      <w:r>
        <w:rPr>
          <w:rFonts w:hint="eastAsia" w:ascii="宋体" w:hAnsi="宋体" w:eastAsia="宋体"/>
          <w:color w:val="000000"/>
          <w:szCs w:val="21"/>
          <w:highlight w:val="none"/>
        </w:rPr>
        <w:t>。甲方应当</w:t>
      </w:r>
      <w:r>
        <w:rPr>
          <w:rFonts w:ascii="宋体" w:hAnsi="宋体" w:eastAsia="宋体"/>
          <w:color w:val="000000"/>
          <w:szCs w:val="21"/>
          <w:highlight w:val="none"/>
        </w:rPr>
        <w:t>配合乙方完成</w:t>
      </w:r>
      <w:r>
        <w:rPr>
          <w:rFonts w:hint="eastAsia" w:ascii="宋体" w:hAnsi="宋体" w:eastAsia="宋体"/>
          <w:color w:val="000000"/>
          <w:szCs w:val="21"/>
          <w:highlight w:val="none"/>
        </w:rPr>
        <w:t>相关项目</w:t>
      </w:r>
      <w:r>
        <w:rPr>
          <w:rFonts w:ascii="宋体" w:hAnsi="宋体" w:eastAsia="宋体"/>
          <w:color w:val="000000"/>
          <w:szCs w:val="21"/>
          <w:highlight w:val="none"/>
        </w:rPr>
        <w:t>实施工作。</w:t>
      </w:r>
    </w:p>
    <w:p w14:paraId="0432D42D">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 xml:space="preserve">.2 </w:t>
      </w:r>
      <w:r>
        <w:rPr>
          <w:rFonts w:ascii="宋体" w:hAnsi="宋体" w:eastAsia="宋体"/>
          <w:color w:val="000000"/>
          <w:szCs w:val="21"/>
          <w:highlight w:val="none"/>
        </w:rPr>
        <w:t>甲方有权要求乙方按时提交各阶段有关</w:t>
      </w:r>
      <w:r>
        <w:rPr>
          <w:rFonts w:hint="eastAsia" w:ascii="宋体" w:hAnsi="宋体" w:eastAsia="宋体"/>
          <w:color w:val="000000"/>
          <w:szCs w:val="21"/>
          <w:highlight w:val="none"/>
        </w:rPr>
        <w:t>安排计划</w:t>
      </w:r>
      <w:r>
        <w:rPr>
          <w:rFonts w:ascii="宋体" w:hAnsi="宋体" w:eastAsia="宋体"/>
          <w:color w:val="000000"/>
          <w:szCs w:val="21"/>
          <w:highlight w:val="none"/>
        </w:rPr>
        <w:t>，并有权</w:t>
      </w:r>
      <w:r>
        <w:rPr>
          <w:rFonts w:hint="eastAsia" w:ascii="宋体" w:hAnsi="宋体" w:eastAsia="宋体"/>
          <w:color w:val="000000"/>
          <w:szCs w:val="21"/>
          <w:highlight w:val="none"/>
        </w:rPr>
        <w:t>定期核对乙方提供货物数量、规格、质量等内容。甲方</w:t>
      </w:r>
      <w:r>
        <w:rPr>
          <w:rFonts w:ascii="宋体" w:hAnsi="宋体" w:eastAsia="宋体"/>
          <w:color w:val="000000"/>
          <w:szCs w:val="21"/>
          <w:highlight w:val="none"/>
        </w:rPr>
        <w:t>有权督促乙方工作并要求乙方</w:t>
      </w:r>
      <w:r>
        <w:rPr>
          <w:rFonts w:hint="eastAsia" w:ascii="宋体" w:hAnsi="宋体" w:eastAsia="宋体"/>
          <w:color w:val="000000"/>
          <w:szCs w:val="21"/>
          <w:highlight w:val="none"/>
        </w:rPr>
        <w:t>更</w:t>
      </w:r>
      <w:r>
        <w:rPr>
          <w:rFonts w:ascii="宋体" w:hAnsi="宋体" w:eastAsia="宋体"/>
          <w:color w:val="000000"/>
          <w:szCs w:val="21"/>
          <w:highlight w:val="none"/>
        </w:rPr>
        <w:t>换不符合要求的</w:t>
      </w:r>
      <w:r>
        <w:rPr>
          <w:rFonts w:hint="eastAsia" w:ascii="宋体" w:hAnsi="宋体" w:eastAsia="宋体"/>
          <w:color w:val="000000"/>
          <w:szCs w:val="21"/>
          <w:highlight w:val="none"/>
        </w:rPr>
        <w:t>货物</w:t>
      </w:r>
      <w:r>
        <w:rPr>
          <w:rFonts w:ascii="宋体" w:hAnsi="宋体" w:eastAsia="宋体"/>
          <w:color w:val="000000"/>
          <w:szCs w:val="21"/>
          <w:highlight w:val="none"/>
        </w:rPr>
        <w:t>。</w:t>
      </w:r>
    </w:p>
    <w:p w14:paraId="24D0C068">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ascii="宋体" w:hAnsi="宋体" w:eastAsia="宋体"/>
          <w:color w:val="000000"/>
          <w:szCs w:val="21"/>
          <w:highlight w:val="none"/>
        </w:rPr>
        <w:t>3</w:t>
      </w:r>
      <w:r>
        <w:rPr>
          <w:rFonts w:hint="eastAsia" w:ascii="宋体" w:hAnsi="宋体" w:eastAsia="宋体"/>
          <w:color w:val="000000"/>
          <w:szCs w:val="21"/>
          <w:highlight w:val="none"/>
        </w:rPr>
        <w:t xml:space="preserve"> </w:t>
      </w:r>
      <w:r>
        <w:rPr>
          <w:rFonts w:ascii="宋体" w:hAnsi="宋体" w:eastAsia="宋体"/>
          <w:color w:val="000000"/>
          <w:szCs w:val="21"/>
          <w:highlight w:val="none"/>
        </w:rPr>
        <w:t>甲方</w:t>
      </w:r>
      <w:r>
        <w:rPr>
          <w:rFonts w:hint="eastAsia" w:ascii="宋体" w:hAnsi="宋体" w:eastAsia="宋体"/>
          <w:color w:val="000000"/>
          <w:szCs w:val="21"/>
          <w:highlight w:val="none"/>
        </w:rPr>
        <w:t>有权要求乙方对缺陷部分予以修复，并按合同约定享有货物保修及其他合同约定的权利。</w:t>
      </w:r>
    </w:p>
    <w:p w14:paraId="2BDDF5D4">
      <w:pPr>
        <w:snapToGrid w:val="0"/>
        <w:spacing w:line="400" w:lineRule="exact"/>
        <w:ind w:firstLine="420" w:firstLineChars="200"/>
        <w:rPr>
          <w:rFonts w:hint="eastAsia" w:eastAsia="华文楷体"/>
          <w:lang w:val="en-US" w:eastAsia="zh-CN"/>
        </w:rPr>
      </w:pPr>
      <w:r>
        <w:rPr>
          <w:rFonts w:hint="default" w:ascii="宋体" w:hAnsi="宋体" w:eastAsia="宋体"/>
          <w:color w:val="000000"/>
          <w:szCs w:val="21"/>
          <w:highlight w:val="none"/>
          <w:lang w:val="en-US" w:eastAsia="zh-CN"/>
        </w:rPr>
        <w:t>4.4 甲方应当按照合同约定及时对交付的货物进行验收</w:t>
      </w:r>
      <w:r>
        <w:rPr>
          <w:rFonts w:hint="eastAsia" w:ascii="宋体" w:hAnsi="宋体" w:eastAsia="宋体"/>
          <w:color w:val="000000"/>
          <w:szCs w:val="21"/>
          <w:highlight w:val="none"/>
          <w:lang w:val="en-US" w:eastAsia="zh-CN"/>
        </w:rPr>
        <w:t>，</w:t>
      </w:r>
      <w:r>
        <w:rPr>
          <w:rFonts w:hint="eastAsia" w:ascii="宋体" w:hAnsi="宋体" w:eastAsia="宋体" w:cs="宋体"/>
          <w:b w:val="0"/>
          <w:bCs w:val="0"/>
          <w:szCs w:val="21"/>
          <w:highlight w:val="none"/>
          <w:lang w:eastAsia="zh-CN"/>
        </w:rPr>
        <w:t>未</w:t>
      </w:r>
      <w:r>
        <w:rPr>
          <w:rFonts w:hint="eastAsia" w:ascii="宋体" w:hAnsi="宋体" w:eastAsia="宋体"/>
          <w:color w:val="000000"/>
          <w:szCs w:val="21"/>
          <w:highlight w:val="none"/>
          <w:lang w:val="en-US" w:eastAsia="zh-CN"/>
        </w:rPr>
        <w:t>在</w:t>
      </w:r>
      <w:r>
        <w:rPr>
          <w:rFonts w:hint="eastAsia" w:ascii="宋体" w:hAnsi="宋体" w:eastAsia="宋体" w:cs="宋体"/>
          <w:b/>
          <w:bCs/>
          <w:szCs w:val="21"/>
          <w:highlight w:val="none"/>
        </w:rPr>
        <w:t>【合同专用条款】</w:t>
      </w:r>
      <w:r>
        <w:rPr>
          <w:rFonts w:hint="eastAsia" w:ascii="宋体" w:hAnsi="宋体" w:eastAsia="宋体" w:cs="宋体"/>
          <w:b w:val="0"/>
          <w:bCs w:val="0"/>
          <w:szCs w:val="21"/>
          <w:highlight w:val="none"/>
          <w:lang w:eastAsia="zh-CN"/>
        </w:rPr>
        <w:t>约定的期限内对乙方履约提出任何异议或者向乙方作出任何说明的，</w:t>
      </w:r>
      <w:r>
        <w:rPr>
          <w:rFonts w:hint="eastAsia" w:ascii="宋体" w:hAnsi="宋体" w:eastAsia="宋体"/>
          <w:color w:val="000000"/>
          <w:szCs w:val="21"/>
          <w:highlight w:val="none"/>
          <w:lang w:val="en-US" w:eastAsia="zh-CN"/>
        </w:rPr>
        <w:t>视为验收通过。</w:t>
      </w:r>
    </w:p>
    <w:p w14:paraId="49B8E4AA">
      <w:pPr>
        <w:autoSpaceDE w:val="0"/>
        <w:autoSpaceDN w:val="0"/>
        <w:adjustRightInd w:val="0"/>
        <w:snapToGrid w:val="0"/>
        <w:spacing w:line="400" w:lineRule="exact"/>
        <w:ind w:firstLine="420" w:firstLineChars="200"/>
        <w:jc w:val="left"/>
        <w:rPr>
          <w:rFonts w:hint="eastAsia" w:ascii="宋体" w:hAnsi="宋体" w:eastAsia="宋体"/>
          <w:color w:val="000000"/>
          <w:szCs w:val="21"/>
          <w:highlight w:val="none"/>
        </w:rPr>
      </w:pPr>
      <w:r>
        <w:rPr>
          <w:rFonts w:hint="default"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hint="default" w:ascii="宋体" w:hAnsi="宋体" w:eastAsia="宋体"/>
          <w:color w:val="000000"/>
          <w:szCs w:val="21"/>
          <w:highlight w:val="none"/>
          <w:lang w:val="en-US" w:eastAsia="zh-CN"/>
        </w:rPr>
        <w:t>5</w:t>
      </w:r>
      <w:r>
        <w:rPr>
          <w:rFonts w:ascii="宋体" w:hAnsi="宋体" w:eastAsia="宋体"/>
          <w:color w:val="000000"/>
          <w:szCs w:val="21"/>
          <w:highlight w:val="none"/>
        </w:rPr>
        <w:t xml:space="preserve"> </w:t>
      </w:r>
      <w:r>
        <w:rPr>
          <w:rFonts w:hint="eastAsia" w:ascii="宋体" w:hAnsi="宋体" w:eastAsia="宋体"/>
          <w:color w:val="000000"/>
          <w:szCs w:val="21"/>
          <w:highlight w:val="none"/>
        </w:rPr>
        <w:t>甲方应当根据合同约定</w:t>
      </w:r>
      <w:r>
        <w:rPr>
          <w:rFonts w:hint="eastAsia" w:ascii="宋体" w:hAnsi="宋体" w:eastAsia="宋体"/>
          <w:color w:val="000000"/>
          <w:szCs w:val="21"/>
          <w:highlight w:val="none"/>
          <w:lang w:eastAsia="zh-CN"/>
        </w:rPr>
        <w:t>及</w:t>
      </w:r>
      <w:r>
        <w:rPr>
          <w:rFonts w:hint="eastAsia" w:ascii="宋体" w:hAnsi="宋体" w:eastAsia="宋体"/>
          <w:color w:val="000000"/>
          <w:szCs w:val="21"/>
          <w:highlight w:val="none"/>
        </w:rPr>
        <w:t>时向乙方支付</w:t>
      </w:r>
      <w:r>
        <w:rPr>
          <w:rFonts w:hint="eastAsia" w:ascii="宋体" w:hAnsi="宋体" w:eastAsia="宋体"/>
          <w:color w:val="000000"/>
          <w:szCs w:val="21"/>
          <w:highlight w:val="none"/>
          <w:lang w:eastAsia="zh-CN"/>
        </w:rPr>
        <w:t>合同价款</w:t>
      </w:r>
      <w:r>
        <w:rPr>
          <w:rFonts w:hint="default" w:ascii="宋体" w:hAnsi="宋体" w:eastAsia="宋体"/>
          <w:color w:val="000000"/>
          <w:szCs w:val="21"/>
          <w:highlight w:val="none"/>
          <w:lang w:eastAsia="zh-CN"/>
        </w:rPr>
        <w:t>，不得以内部人员变更、履行内部付款流程等为由，拒绝或迟延支付。</w:t>
      </w:r>
    </w:p>
    <w:p w14:paraId="0C291E85">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6</w:t>
      </w:r>
      <w:r>
        <w:rPr>
          <w:rFonts w:ascii="宋体" w:hAnsi="宋体" w:eastAsia="宋体"/>
          <w:color w:val="000000"/>
          <w:szCs w:val="21"/>
          <w:highlight w:val="none"/>
        </w:rPr>
        <w:t xml:space="preserve"> </w:t>
      </w:r>
      <w:r>
        <w:rPr>
          <w:rFonts w:hint="eastAsia" w:ascii="宋体" w:hAnsi="宋体" w:eastAsia="宋体"/>
          <w:color w:val="000000"/>
          <w:szCs w:val="21"/>
          <w:highlight w:val="none"/>
        </w:rPr>
        <w:t>国家法律法规规定</w:t>
      </w:r>
      <w:r>
        <w:rPr>
          <w:rFonts w:hint="eastAsia" w:ascii="宋体" w:hAnsi="宋体" w:eastAsia="宋体"/>
          <w:color w:val="000000"/>
          <w:szCs w:val="21"/>
          <w:highlight w:val="none"/>
          <w:lang w:eastAsia="zh-CN"/>
        </w:rPr>
        <w:t>及</w:t>
      </w:r>
      <w:r>
        <w:rPr>
          <w:rFonts w:hint="eastAsia" w:ascii="宋体" w:hAnsi="宋体" w:eastAsia="宋体" w:cs="宋体"/>
          <w:b/>
          <w:bCs/>
          <w:szCs w:val="21"/>
          <w:highlight w:val="none"/>
        </w:rPr>
        <w:t>【合同专用条款】</w:t>
      </w:r>
      <w:r>
        <w:rPr>
          <w:rFonts w:hint="eastAsia" w:ascii="宋体" w:hAnsi="宋体" w:eastAsia="宋体"/>
          <w:color w:val="000000"/>
          <w:szCs w:val="21"/>
          <w:highlight w:val="none"/>
          <w:lang w:eastAsia="zh-CN"/>
        </w:rPr>
        <w:t>约定应</w:t>
      </w:r>
      <w:r>
        <w:rPr>
          <w:rFonts w:hint="eastAsia" w:ascii="宋体" w:hAnsi="宋体" w:eastAsia="宋体"/>
          <w:color w:val="000000"/>
          <w:szCs w:val="21"/>
          <w:highlight w:val="none"/>
        </w:rPr>
        <w:t>由甲方承担的其他义务和责任。</w:t>
      </w:r>
    </w:p>
    <w:p w14:paraId="5AD2F811">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5</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乙方的权利和义务</w:t>
      </w:r>
    </w:p>
    <w:p w14:paraId="616C6FC1">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5</w:t>
      </w:r>
      <w:r>
        <w:rPr>
          <w:rFonts w:hint="eastAsia" w:ascii="宋体" w:hAnsi="宋体" w:eastAsia="宋体"/>
          <w:color w:val="000000"/>
          <w:szCs w:val="21"/>
          <w:highlight w:val="none"/>
        </w:rPr>
        <w:t xml:space="preserve">.1 </w:t>
      </w:r>
      <w:r>
        <w:rPr>
          <w:rFonts w:ascii="宋体" w:hAnsi="宋体" w:eastAsia="宋体"/>
          <w:color w:val="000000"/>
          <w:szCs w:val="21"/>
          <w:highlight w:val="none"/>
        </w:rPr>
        <w:t>签署合同后，乙方</w:t>
      </w:r>
      <w:r>
        <w:rPr>
          <w:rFonts w:hint="eastAsia" w:ascii="宋体" w:hAnsi="宋体" w:eastAsia="宋体"/>
          <w:color w:val="000000"/>
          <w:szCs w:val="21"/>
          <w:highlight w:val="none"/>
          <w:lang w:eastAsia="zh-CN"/>
        </w:rPr>
        <w:t>应</w:t>
      </w:r>
      <w:r>
        <w:rPr>
          <w:rFonts w:ascii="宋体" w:hAnsi="宋体" w:eastAsia="宋体"/>
          <w:color w:val="000000"/>
          <w:szCs w:val="21"/>
          <w:highlight w:val="none"/>
        </w:rPr>
        <w:t>确定</w:t>
      </w:r>
      <w:r>
        <w:rPr>
          <w:rFonts w:hint="eastAsia" w:ascii="宋体" w:hAnsi="宋体" w:eastAsia="宋体"/>
          <w:color w:val="000000"/>
          <w:szCs w:val="21"/>
          <w:highlight w:val="none"/>
          <w:lang w:val="en-US" w:eastAsia="zh-CN"/>
        </w:rPr>
        <w:t>项目负责人（或项目联系人）</w:t>
      </w:r>
      <w:r>
        <w:rPr>
          <w:rFonts w:ascii="宋体" w:hAnsi="宋体" w:eastAsia="宋体"/>
          <w:color w:val="000000"/>
          <w:szCs w:val="21"/>
          <w:highlight w:val="none"/>
        </w:rPr>
        <w:t>，负责与本合同有关的事务。</w:t>
      </w:r>
    </w:p>
    <w:p w14:paraId="7B7652AE">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5</w:t>
      </w:r>
      <w:r>
        <w:rPr>
          <w:rFonts w:hint="eastAsia" w:ascii="宋体" w:hAnsi="宋体" w:eastAsia="宋体"/>
          <w:color w:val="000000"/>
          <w:szCs w:val="21"/>
          <w:highlight w:val="none"/>
        </w:rPr>
        <w:t>.</w:t>
      </w:r>
      <w:r>
        <w:rPr>
          <w:rFonts w:ascii="宋体" w:hAnsi="宋体" w:eastAsia="宋体"/>
          <w:color w:val="000000"/>
          <w:szCs w:val="21"/>
          <w:highlight w:val="none"/>
        </w:rPr>
        <w:t>2 乙方应按照合同要求</w:t>
      </w:r>
      <w:r>
        <w:rPr>
          <w:rFonts w:hint="eastAsia" w:ascii="宋体" w:hAnsi="宋体" w:eastAsia="宋体"/>
          <w:color w:val="000000"/>
          <w:szCs w:val="21"/>
          <w:highlight w:val="none"/>
        </w:rPr>
        <w:t>履约</w:t>
      </w:r>
      <w:r>
        <w:rPr>
          <w:rFonts w:ascii="宋体" w:hAnsi="宋体" w:eastAsia="宋体"/>
          <w:color w:val="000000"/>
          <w:szCs w:val="21"/>
          <w:highlight w:val="none"/>
        </w:rPr>
        <w:t>，充分合理安排，确保</w:t>
      </w:r>
      <w:r>
        <w:rPr>
          <w:rFonts w:hint="eastAsia" w:ascii="宋体" w:hAnsi="宋体" w:eastAsia="宋体"/>
          <w:color w:val="000000"/>
          <w:szCs w:val="21"/>
          <w:highlight w:val="none"/>
        </w:rPr>
        <w:t>提供的货物</w:t>
      </w:r>
      <w:r>
        <w:rPr>
          <w:rFonts w:hint="eastAsia" w:ascii="宋体" w:hAnsi="宋体" w:eastAsia="宋体"/>
          <w:color w:val="000000"/>
          <w:szCs w:val="21"/>
          <w:highlight w:val="none"/>
          <w:lang w:eastAsia="zh-CN"/>
        </w:rPr>
        <w:t>及相关</w:t>
      </w:r>
      <w:r>
        <w:rPr>
          <w:rFonts w:hint="eastAsia" w:ascii="宋体" w:hAnsi="宋体" w:eastAsia="宋体"/>
          <w:color w:val="000000"/>
          <w:szCs w:val="21"/>
          <w:highlight w:val="none"/>
        </w:rPr>
        <w:t>服务符合合同</w:t>
      </w:r>
      <w:r>
        <w:rPr>
          <w:rFonts w:hint="eastAsia" w:ascii="宋体" w:hAnsi="宋体" w:eastAsia="宋体"/>
          <w:color w:val="000000"/>
          <w:szCs w:val="21"/>
          <w:highlight w:val="none"/>
          <w:lang w:eastAsia="zh-CN"/>
        </w:rPr>
        <w:t>有关</w:t>
      </w:r>
      <w:r>
        <w:rPr>
          <w:rFonts w:ascii="宋体" w:hAnsi="宋体" w:eastAsia="宋体"/>
          <w:color w:val="000000"/>
          <w:szCs w:val="21"/>
          <w:highlight w:val="none"/>
        </w:rPr>
        <w:t>要求</w:t>
      </w:r>
      <w:r>
        <w:rPr>
          <w:rFonts w:hint="eastAsia" w:ascii="宋体" w:hAnsi="宋体" w:eastAsia="宋体"/>
          <w:color w:val="000000"/>
          <w:szCs w:val="21"/>
          <w:highlight w:val="none"/>
        </w:rPr>
        <w:t>。接受项目行业管理部门及政府有关部门的指导，配合甲方的履约检查</w:t>
      </w:r>
      <w:r>
        <w:rPr>
          <w:rFonts w:hint="eastAsia" w:ascii="宋体" w:hAnsi="宋体" w:eastAsia="宋体"/>
          <w:color w:val="000000"/>
          <w:szCs w:val="21"/>
          <w:highlight w:val="none"/>
          <w:lang w:eastAsia="zh-CN"/>
        </w:rPr>
        <w:t>及验收</w:t>
      </w:r>
      <w:r>
        <w:rPr>
          <w:rFonts w:hint="eastAsia" w:ascii="宋体" w:hAnsi="宋体" w:eastAsia="宋体"/>
          <w:color w:val="000000"/>
          <w:szCs w:val="21"/>
          <w:highlight w:val="none"/>
        </w:rPr>
        <w:t>，并</w:t>
      </w:r>
      <w:r>
        <w:rPr>
          <w:rFonts w:ascii="宋体" w:hAnsi="宋体" w:eastAsia="宋体"/>
          <w:color w:val="000000"/>
          <w:szCs w:val="21"/>
          <w:highlight w:val="none"/>
        </w:rPr>
        <w:t>负责项目实施过程中的所有协调工作。</w:t>
      </w:r>
    </w:p>
    <w:p w14:paraId="06C43F83">
      <w:pPr>
        <w:widowControl w:val="0"/>
        <w:spacing w:after="0" w:line="400" w:lineRule="exact"/>
        <w:ind w:firstLine="369" w:firstLineChars="176"/>
        <w:jc w:val="both"/>
        <w:rPr>
          <w:rFonts w:ascii="宋体" w:hAnsi="宋体" w:eastAsia="宋体" w:cs="宋体"/>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w:t>
      </w:r>
      <w:r>
        <w:rPr>
          <w:rFonts w:ascii="宋体" w:hAnsi="宋体" w:eastAsia="宋体" w:cs="Times New Roman"/>
          <w:color w:val="000000"/>
          <w:kern w:val="2"/>
          <w:sz w:val="21"/>
          <w:szCs w:val="21"/>
          <w:highlight w:val="none"/>
          <w:lang w:val="en-US" w:eastAsia="zh-CN" w:bidi="ar-SA"/>
        </w:rPr>
        <w:t>3</w:t>
      </w:r>
      <w:r>
        <w:rPr>
          <w:rFonts w:hint="eastAsia" w:ascii="宋体" w:hAnsi="宋体" w:eastAsia="宋体" w:cs="Times New Roman"/>
          <w:color w:val="000000"/>
          <w:kern w:val="2"/>
          <w:sz w:val="21"/>
          <w:szCs w:val="21"/>
          <w:highlight w:val="none"/>
          <w:lang w:val="en-US" w:eastAsia="zh-CN" w:bidi="ar-SA"/>
        </w:rPr>
        <w:t>乙方有权</w:t>
      </w:r>
      <w:r>
        <w:rPr>
          <w:rFonts w:hint="eastAsia" w:ascii="宋体" w:hAnsi="宋体" w:eastAsia="宋体" w:cs="宋体"/>
          <w:color w:val="000000"/>
          <w:kern w:val="2"/>
          <w:sz w:val="21"/>
          <w:szCs w:val="21"/>
          <w:highlight w:val="none"/>
          <w:lang w:val="en-US" w:eastAsia="zh-CN" w:bidi="ar-SA"/>
        </w:rPr>
        <w:t>根据合同约定向甲方收取合同价款。</w:t>
      </w:r>
    </w:p>
    <w:p w14:paraId="07AA7B5F">
      <w:pPr>
        <w:widowControl w:val="0"/>
        <w:spacing w:after="0" w:line="400" w:lineRule="exact"/>
        <w:ind w:firstLine="369" w:firstLineChars="176"/>
        <w:jc w:val="both"/>
        <w:rPr>
          <w:rFonts w:ascii="宋体" w:hAnsi="宋体" w:eastAsia="宋体" w:cs="宋体"/>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w:t>
      </w:r>
      <w:r>
        <w:rPr>
          <w:rFonts w:ascii="宋体" w:hAnsi="宋体" w:eastAsia="宋体" w:cs="Times New Roman"/>
          <w:color w:val="000000"/>
          <w:kern w:val="2"/>
          <w:sz w:val="21"/>
          <w:szCs w:val="21"/>
          <w:highlight w:val="none"/>
          <w:lang w:val="en-US" w:eastAsia="zh-CN" w:bidi="ar-SA"/>
        </w:rPr>
        <w:t>4</w:t>
      </w:r>
      <w:r>
        <w:rPr>
          <w:rFonts w:hint="eastAsia" w:ascii="宋体" w:hAnsi="宋体" w:eastAsia="宋体" w:cs="宋体"/>
          <w:color w:val="000000"/>
          <w:kern w:val="2"/>
          <w:sz w:val="21"/>
          <w:szCs w:val="21"/>
          <w:highlight w:val="none"/>
          <w:lang w:val="en-US" w:eastAsia="zh-CN" w:bidi="ar-SA"/>
        </w:rPr>
        <w:t>国家法律法规规定</w:t>
      </w:r>
      <w:r>
        <w:rPr>
          <w:rFonts w:hint="eastAsia" w:ascii="宋体" w:hAnsi="宋体" w:eastAsia="宋体" w:cs="Times New Roman"/>
          <w:color w:val="000000"/>
          <w:kern w:val="2"/>
          <w:sz w:val="21"/>
          <w:szCs w:val="21"/>
          <w:highlight w:val="none"/>
          <w:lang w:val="en-US" w:eastAsia="zh-CN" w:bidi="ar-SA"/>
        </w:rPr>
        <w:t>及</w:t>
      </w:r>
      <w:r>
        <w:rPr>
          <w:rFonts w:hint="eastAsia" w:ascii="宋体" w:hAnsi="宋体" w:eastAsia="宋体" w:cs="宋体"/>
          <w:b/>
          <w:bCs/>
          <w:kern w:val="2"/>
          <w:sz w:val="21"/>
          <w:szCs w:val="21"/>
          <w:highlight w:val="none"/>
          <w:lang w:val="en-US" w:eastAsia="zh-CN" w:bidi="ar-SA"/>
        </w:rPr>
        <w:t>【合同专用条款】</w:t>
      </w:r>
      <w:r>
        <w:rPr>
          <w:rFonts w:hint="eastAsia" w:ascii="宋体" w:hAnsi="宋体" w:eastAsia="宋体" w:cs="宋体"/>
          <w:b w:val="0"/>
          <w:bCs w:val="0"/>
          <w:kern w:val="2"/>
          <w:sz w:val="21"/>
          <w:szCs w:val="21"/>
          <w:highlight w:val="none"/>
          <w:lang w:val="en-US" w:eastAsia="zh-CN" w:bidi="ar-SA"/>
        </w:rPr>
        <w:t>约定应</w:t>
      </w:r>
      <w:r>
        <w:rPr>
          <w:rFonts w:hint="eastAsia" w:ascii="宋体" w:hAnsi="宋体" w:eastAsia="宋体" w:cs="宋体"/>
          <w:color w:val="000000"/>
          <w:kern w:val="2"/>
          <w:sz w:val="21"/>
          <w:szCs w:val="21"/>
          <w:highlight w:val="none"/>
          <w:lang w:val="en-US" w:eastAsia="zh-CN" w:bidi="ar-SA"/>
        </w:rPr>
        <w:t>由乙方承担的其他义务和责任。</w:t>
      </w:r>
    </w:p>
    <w:p w14:paraId="452540D9">
      <w:pPr>
        <w:numPr>
          <w:ilvl w:val="0"/>
          <w:numId w:val="13"/>
        </w:numPr>
        <w:autoSpaceDE w:val="0"/>
        <w:autoSpaceDN w:val="0"/>
        <w:adjustRightInd w:val="0"/>
        <w:snapToGrid w:val="0"/>
        <w:spacing w:before="0" w:line="400" w:lineRule="exact"/>
        <w:jc w:val="left"/>
        <w:rPr>
          <w:rFonts w:hint="eastAsia" w:ascii="宋体" w:hAnsi="宋体" w:eastAsia="宋体"/>
          <w:b/>
          <w:bCs/>
          <w:color w:val="000000"/>
          <w:sz w:val="24"/>
          <w:highlight w:val="none"/>
        </w:rPr>
      </w:pPr>
      <w:r>
        <w:rPr>
          <w:rFonts w:hint="eastAsia" w:ascii="宋体" w:hAnsi="宋体" w:eastAsia="宋体"/>
          <w:b/>
          <w:bCs/>
          <w:color w:val="000000"/>
          <w:sz w:val="24"/>
          <w:highlight w:val="none"/>
        </w:rPr>
        <w:t>合同履</w:t>
      </w:r>
      <w:r>
        <w:rPr>
          <w:rFonts w:hint="eastAsia" w:ascii="宋体" w:hAnsi="宋体" w:eastAsia="宋体"/>
          <w:b/>
          <w:bCs/>
          <w:color w:val="000000"/>
          <w:sz w:val="24"/>
          <w:highlight w:val="none"/>
          <w:lang w:val="en-US" w:eastAsia="zh-CN"/>
        </w:rPr>
        <w:t>行</w:t>
      </w:r>
    </w:p>
    <w:p w14:paraId="3D165650">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6</w:t>
      </w:r>
      <w:r>
        <w:rPr>
          <w:rFonts w:hint="eastAsia" w:ascii="宋体" w:hAnsi="宋体" w:eastAsia="宋体"/>
          <w:color w:val="000000"/>
          <w:szCs w:val="21"/>
          <w:highlight w:val="none"/>
        </w:rPr>
        <w:t>.1 甲乙双方应当按照</w:t>
      </w:r>
      <w:r>
        <w:rPr>
          <w:rFonts w:hint="eastAsia" w:ascii="宋体" w:hAnsi="宋体" w:eastAsia="宋体" w:cs="宋体"/>
          <w:b/>
          <w:bCs/>
          <w:szCs w:val="21"/>
          <w:highlight w:val="none"/>
        </w:rPr>
        <w:t>【合同专用条款】</w:t>
      </w:r>
      <w:r>
        <w:rPr>
          <w:rFonts w:hint="eastAsia" w:ascii="宋体" w:hAnsi="宋体" w:eastAsia="宋体"/>
          <w:color w:val="000000"/>
          <w:szCs w:val="21"/>
          <w:highlight w:val="none"/>
        </w:rPr>
        <w:t>约定顺序履行合同义务；如果没有先后顺序的，应当同时履行。</w:t>
      </w:r>
    </w:p>
    <w:p w14:paraId="549ECA8D">
      <w:pPr>
        <w:autoSpaceDE w:val="0"/>
        <w:autoSpaceDN w:val="0"/>
        <w:adjustRightInd w:val="0"/>
        <w:snapToGrid w:val="0"/>
        <w:spacing w:before="0" w:line="400" w:lineRule="exact"/>
        <w:ind w:firstLine="420" w:firstLineChars="200"/>
        <w:jc w:val="left"/>
        <w:rPr>
          <w:rFonts w:eastAsia="宋体"/>
        </w:rPr>
      </w:pPr>
      <w:r>
        <w:rPr>
          <w:rFonts w:hint="eastAsia" w:ascii="宋体" w:hAnsi="宋体" w:eastAsia="宋体"/>
          <w:color w:val="000000"/>
          <w:szCs w:val="21"/>
          <w:highlight w:val="none"/>
          <w:lang w:eastAsia="zh-CN"/>
        </w:rPr>
        <w:t>6</w:t>
      </w:r>
      <w:r>
        <w:rPr>
          <w:rFonts w:hint="eastAsia" w:ascii="宋体" w:hAnsi="宋体" w:eastAsia="宋体"/>
          <w:color w:val="000000"/>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1718AB7C">
      <w:pPr>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7</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货物包装、运输</w:t>
      </w:r>
      <w:r>
        <w:rPr>
          <w:rFonts w:hint="eastAsia" w:ascii="宋体" w:hAnsi="宋体" w:eastAsia="宋体"/>
          <w:b/>
          <w:bCs/>
          <w:color w:val="000000"/>
          <w:sz w:val="24"/>
          <w:highlight w:val="none"/>
          <w:lang w:eastAsia="zh-CN"/>
        </w:rPr>
        <w:t>、</w:t>
      </w:r>
      <w:r>
        <w:rPr>
          <w:rFonts w:hint="eastAsia" w:ascii="宋体" w:hAnsi="宋体" w:eastAsia="宋体"/>
          <w:b/>
          <w:bCs/>
          <w:color w:val="000000"/>
          <w:sz w:val="24"/>
          <w:highlight w:val="none"/>
        </w:rPr>
        <w:t>保险</w:t>
      </w:r>
      <w:r>
        <w:rPr>
          <w:rFonts w:hint="eastAsia" w:ascii="宋体" w:hAnsi="宋体" w:eastAsia="宋体"/>
          <w:b/>
          <w:bCs/>
          <w:color w:val="000000"/>
          <w:sz w:val="24"/>
          <w:highlight w:val="none"/>
          <w:lang w:eastAsia="zh-CN"/>
        </w:rPr>
        <w:t>和交付</w:t>
      </w:r>
      <w:r>
        <w:rPr>
          <w:rFonts w:hint="eastAsia" w:ascii="宋体" w:hAnsi="宋体" w:eastAsia="宋体"/>
          <w:b/>
          <w:bCs/>
          <w:color w:val="000000"/>
          <w:sz w:val="24"/>
          <w:highlight w:val="none"/>
        </w:rPr>
        <w:t>要求</w:t>
      </w:r>
    </w:p>
    <w:p w14:paraId="02A33C0A">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.1 本合同</w:t>
      </w:r>
      <w:r>
        <w:rPr>
          <w:rFonts w:hint="eastAsia" w:ascii="宋体" w:hAnsi="宋体" w:eastAsia="宋体"/>
          <w:bCs/>
          <w:color w:val="000000"/>
          <w:szCs w:val="21"/>
          <w:highlight w:val="none"/>
        </w:rPr>
        <w:t>涉及商品包装</w:t>
      </w:r>
      <w:r>
        <w:rPr>
          <w:rFonts w:hint="eastAsia" w:ascii="宋体" w:hAnsi="宋体" w:eastAsia="宋体"/>
          <w:bCs/>
          <w:color w:val="000000"/>
          <w:szCs w:val="21"/>
          <w:highlight w:val="none"/>
          <w:lang w:eastAsia="zh-CN"/>
        </w:rPr>
        <w:t>、</w:t>
      </w:r>
      <w:r>
        <w:rPr>
          <w:rFonts w:hint="eastAsia" w:ascii="宋体" w:hAnsi="宋体" w:eastAsia="宋体"/>
          <w:bCs/>
          <w:color w:val="000000"/>
          <w:szCs w:val="21"/>
          <w:highlight w:val="none"/>
        </w:rPr>
        <w:t>快递包装的，</w:t>
      </w:r>
      <w:r>
        <w:rPr>
          <w:rFonts w:hint="eastAsia" w:ascii="宋体" w:hAnsi="宋体" w:eastAsia="宋体"/>
          <w:color w:val="000000"/>
          <w:szCs w:val="21"/>
          <w:highlight w:val="none"/>
        </w:rPr>
        <w:t>除</w:t>
      </w:r>
      <w:r>
        <w:rPr>
          <w:rFonts w:hint="eastAsia" w:ascii="宋体" w:hAnsi="宋体" w:eastAsia="宋体"/>
          <w:b/>
          <w:color w:val="000000"/>
          <w:szCs w:val="21"/>
          <w:highlight w:val="none"/>
        </w:rPr>
        <w:t>【合同专用条款】</w:t>
      </w:r>
      <w:r>
        <w:rPr>
          <w:rFonts w:hint="eastAsia" w:ascii="宋体" w:hAnsi="宋体" w:eastAsia="宋体"/>
          <w:bCs/>
          <w:color w:val="000000"/>
          <w:szCs w:val="21"/>
          <w:highlight w:val="none"/>
        </w:rPr>
        <w:t>另有</w:t>
      </w:r>
      <w:r>
        <w:rPr>
          <w:rFonts w:hint="eastAsia" w:ascii="宋体" w:hAnsi="宋体" w:eastAsia="宋体"/>
          <w:bCs/>
          <w:color w:val="000000"/>
          <w:szCs w:val="21"/>
          <w:highlight w:val="none"/>
          <w:lang w:eastAsia="zh-CN"/>
        </w:rPr>
        <w:t>约</w:t>
      </w:r>
      <w:r>
        <w:rPr>
          <w:rFonts w:hint="eastAsia" w:ascii="宋体" w:hAnsi="宋体" w:eastAsia="宋体"/>
          <w:bCs/>
          <w:color w:val="000000"/>
          <w:szCs w:val="21"/>
          <w:highlight w:val="none"/>
        </w:rPr>
        <w:t>定</w:t>
      </w:r>
      <w:r>
        <w:rPr>
          <w:rFonts w:hint="eastAsia" w:ascii="宋体" w:hAnsi="宋体" w:eastAsia="宋体"/>
          <w:bCs/>
          <w:color w:val="000000"/>
          <w:szCs w:val="21"/>
          <w:highlight w:val="none"/>
          <w:lang w:eastAsia="zh-CN"/>
        </w:rPr>
        <w:t>外</w:t>
      </w:r>
      <w:r>
        <w:rPr>
          <w:rFonts w:hint="eastAsia" w:ascii="宋体" w:hAnsi="宋体" w:eastAsia="宋体"/>
          <w:bCs/>
          <w:color w:val="000000"/>
          <w:szCs w:val="21"/>
          <w:highlight w:val="none"/>
        </w:rPr>
        <w:t>，</w:t>
      </w:r>
      <w:r>
        <w:rPr>
          <w:rFonts w:hint="eastAsia" w:ascii="宋体" w:hAnsi="宋体" w:eastAsia="宋体"/>
          <w:color w:val="000000"/>
          <w:szCs w:val="21"/>
          <w:highlight w:val="none"/>
        </w:rPr>
        <w:t>包装应适应远距离运输、防潮、防震、防锈和防野蛮装卸等要求，确保货物安全无损地运抵</w:t>
      </w:r>
      <w:r>
        <w:rPr>
          <w:rFonts w:hint="eastAsia" w:ascii="宋体" w:hAnsi="宋体" w:eastAsia="宋体"/>
          <w:b/>
          <w:color w:val="000000"/>
          <w:szCs w:val="21"/>
          <w:highlight w:val="none"/>
        </w:rPr>
        <w:t>【合同专用条款】</w:t>
      </w:r>
      <w:r>
        <w:rPr>
          <w:rFonts w:hint="eastAsia" w:ascii="宋体" w:hAnsi="宋体" w:eastAsia="宋体"/>
          <w:b w:val="0"/>
          <w:bCs/>
          <w:color w:val="000000"/>
          <w:szCs w:val="21"/>
          <w:highlight w:val="none"/>
          <w:lang w:eastAsia="zh-CN"/>
        </w:rPr>
        <w:t>约定的</w:t>
      </w:r>
      <w:r>
        <w:rPr>
          <w:rFonts w:hint="eastAsia" w:ascii="宋体" w:hAnsi="宋体" w:eastAsia="宋体"/>
          <w:color w:val="000000"/>
          <w:szCs w:val="21"/>
          <w:highlight w:val="none"/>
        </w:rPr>
        <w:t>指定现场。</w:t>
      </w:r>
    </w:p>
    <w:p w14:paraId="59DA4397">
      <w:pPr>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.2 除</w:t>
      </w:r>
      <w:r>
        <w:rPr>
          <w:rFonts w:hint="eastAsia" w:ascii="宋体" w:hAnsi="宋体" w:eastAsia="宋体"/>
          <w:b/>
          <w:color w:val="000000"/>
          <w:szCs w:val="21"/>
          <w:highlight w:val="none"/>
        </w:rPr>
        <w:t>【合同专用条款】</w:t>
      </w:r>
      <w:r>
        <w:rPr>
          <w:rFonts w:hint="eastAsia" w:ascii="宋体" w:hAnsi="宋体" w:eastAsia="宋体"/>
          <w:bCs/>
          <w:color w:val="000000"/>
          <w:szCs w:val="21"/>
          <w:highlight w:val="none"/>
        </w:rPr>
        <w:t>另有</w:t>
      </w:r>
      <w:r>
        <w:rPr>
          <w:rFonts w:hint="eastAsia" w:ascii="宋体" w:hAnsi="宋体" w:eastAsia="宋体"/>
          <w:bCs/>
          <w:color w:val="000000"/>
          <w:szCs w:val="21"/>
          <w:highlight w:val="none"/>
          <w:lang w:eastAsia="zh-CN"/>
        </w:rPr>
        <w:t>约</w:t>
      </w:r>
      <w:r>
        <w:rPr>
          <w:rFonts w:hint="eastAsia" w:ascii="宋体" w:hAnsi="宋体" w:eastAsia="宋体"/>
          <w:bCs/>
          <w:color w:val="000000"/>
          <w:szCs w:val="21"/>
          <w:highlight w:val="none"/>
        </w:rPr>
        <w:t>定</w:t>
      </w:r>
      <w:r>
        <w:rPr>
          <w:rFonts w:hint="eastAsia" w:ascii="宋体" w:hAnsi="宋体" w:eastAsia="宋体"/>
          <w:bCs/>
          <w:color w:val="000000"/>
          <w:szCs w:val="21"/>
          <w:highlight w:val="none"/>
          <w:lang w:eastAsia="zh-CN"/>
        </w:rPr>
        <w:t>外</w:t>
      </w:r>
      <w:r>
        <w:rPr>
          <w:rFonts w:hint="eastAsia" w:ascii="宋体" w:hAnsi="宋体" w:eastAsia="宋体"/>
          <w:bCs/>
          <w:color w:val="000000"/>
          <w:szCs w:val="21"/>
          <w:highlight w:val="none"/>
        </w:rPr>
        <w:t>，</w:t>
      </w:r>
      <w:r>
        <w:rPr>
          <w:rFonts w:hint="eastAsia" w:ascii="宋体" w:hAnsi="宋体" w:eastAsia="宋体"/>
          <w:color w:val="000000"/>
          <w:szCs w:val="21"/>
          <w:highlight w:val="none"/>
        </w:rPr>
        <w:t>乙方负责办理将货物运抵本合同规定的交货地点</w:t>
      </w:r>
      <w:r>
        <w:rPr>
          <w:rFonts w:hint="eastAsia" w:ascii="宋体" w:hAnsi="宋体" w:eastAsia="宋体"/>
          <w:color w:val="000000"/>
          <w:szCs w:val="21"/>
          <w:highlight w:val="none"/>
          <w:lang w:eastAsia="zh-CN"/>
        </w:rPr>
        <w:t>，并装卸、交付至甲方</w:t>
      </w:r>
      <w:r>
        <w:rPr>
          <w:rFonts w:hint="eastAsia" w:ascii="宋体" w:hAnsi="宋体" w:eastAsia="宋体"/>
          <w:color w:val="000000"/>
          <w:szCs w:val="21"/>
          <w:highlight w:val="none"/>
        </w:rPr>
        <w:t>的一切运输事项，相关费用应</w:t>
      </w:r>
      <w:r>
        <w:rPr>
          <w:rFonts w:hint="eastAsia" w:ascii="宋体" w:hAnsi="宋体" w:eastAsia="宋体"/>
          <w:color w:val="000000"/>
          <w:szCs w:val="21"/>
          <w:highlight w:val="none"/>
          <w:lang w:eastAsia="zh-CN"/>
        </w:rPr>
        <w:t>包含</w:t>
      </w:r>
      <w:r>
        <w:rPr>
          <w:rFonts w:hint="eastAsia" w:ascii="宋体" w:hAnsi="宋体" w:eastAsia="宋体"/>
          <w:color w:val="000000"/>
          <w:szCs w:val="21"/>
          <w:highlight w:val="none"/>
        </w:rPr>
        <w:t>在合同</w:t>
      </w:r>
      <w:r>
        <w:rPr>
          <w:rFonts w:hint="eastAsia" w:ascii="宋体" w:hAnsi="宋体" w:eastAsia="宋体"/>
          <w:color w:val="000000"/>
          <w:szCs w:val="21"/>
          <w:highlight w:val="none"/>
          <w:lang w:eastAsia="zh-CN"/>
        </w:rPr>
        <w:t>价款</w:t>
      </w:r>
      <w:r>
        <w:rPr>
          <w:rFonts w:hint="eastAsia" w:ascii="宋体" w:hAnsi="宋体" w:eastAsia="宋体"/>
          <w:color w:val="000000"/>
          <w:szCs w:val="21"/>
          <w:highlight w:val="none"/>
        </w:rPr>
        <w:t>中。</w:t>
      </w:r>
    </w:p>
    <w:p w14:paraId="6D969D6D">
      <w:pPr>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.3 货物保险要求按</w:t>
      </w:r>
      <w:r>
        <w:rPr>
          <w:rFonts w:hint="eastAsia" w:ascii="宋体" w:hAnsi="宋体" w:eastAsia="宋体"/>
          <w:b/>
          <w:color w:val="000000"/>
          <w:szCs w:val="21"/>
          <w:highlight w:val="none"/>
        </w:rPr>
        <w:t>【合同专用条款】</w:t>
      </w:r>
      <w:r>
        <w:rPr>
          <w:rFonts w:hint="eastAsia" w:ascii="宋体" w:hAnsi="宋体" w:eastAsia="宋体"/>
          <w:bCs/>
          <w:color w:val="000000"/>
          <w:szCs w:val="21"/>
          <w:highlight w:val="none"/>
        </w:rPr>
        <w:t>规定执行</w:t>
      </w:r>
      <w:r>
        <w:rPr>
          <w:rFonts w:hint="eastAsia" w:ascii="宋体" w:hAnsi="宋体" w:eastAsia="宋体"/>
          <w:color w:val="000000"/>
          <w:szCs w:val="21"/>
          <w:highlight w:val="none"/>
        </w:rPr>
        <w:t>。</w:t>
      </w:r>
    </w:p>
    <w:p w14:paraId="32277EC1">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 xml:space="preserve">.4 </w:t>
      </w:r>
      <w:r>
        <w:rPr>
          <w:rFonts w:hint="eastAsia" w:ascii="宋体" w:hAnsi="宋体" w:eastAsia="宋体"/>
          <w:color w:val="000000"/>
          <w:szCs w:val="21"/>
          <w:highlight w:val="none"/>
          <w:lang w:val="en-US" w:eastAsia="zh-CN"/>
        </w:rPr>
        <w:t>除采购活动</w:t>
      </w:r>
      <w:r>
        <w:rPr>
          <w:rFonts w:hint="eastAsia" w:ascii="宋体" w:hAnsi="宋体" w:eastAsia="宋体"/>
          <w:color w:val="000000"/>
          <w:szCs w:val="21"/>
          <w:highlight w:val="none"/>
        </w:rPr>
        <w:t>对商品包装</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快递包装</w:t>
      </w:r>
      <w:r>
        <w:rPr>
          <w:rFonts w:hint="eastAsia" w:ascii="宋体" w:hAnsi="宋体" w:eastAsia="宋体"/>
          <w:color w:val="000000"/>
          <w:szCs w:val="21"/>
          <w:highlight w:val="none"/>
          <w:lang w:val="en-US" w:eastAsia="zh-CN"/>
        </w:rPr>
        <w:t>达成具体约定外</w:t>
      </w:r>
      <w:r>
        <w:rPr>
          <w:rFonts w:hint="eastAsia" w:ascii="宋体" w:hAnsi="宋体" w:eastAsia="宋体"/>
          <w:color w:val="000000"/>
          <w:szCs w:val="21"/>
          <w:highlight w:val="none"/>
        </w:rPr>
        <w:t>，乙方提供产品及相关快递服务</w:t>
      </w:r>
      <w:r>
        <w:rPr>
          <w:rFonts w:hint="eastAsia" w:ascii="宋体" w:hAnsi="宋体" w:eastAsia="宋体"/>
          <w:color w:val="000000"/>
          <w:szCs w:val="21"/>
          <w:highlight w:val="none"/>
          <w:lang w:val="en-US" w:eastAsia="zh-CN"/>
        </w:rPr>
        <w:t>涉及到</w:t>
      </w:r>
      <w:r>
        <w:rPr>
          <w:rFonts w:hint="eastAsia" w:ascii="宋体" w:hAnsi="宋体" w:eastAsia="宋体"/>
          <w:color w:val="000000"/>
          <w:szCs w:val="21"/>
          <w:highlight w:val="none"/>
        </w:rPr>
        <w:t>具体包装要求</w:t>
      </w:r>
      <w:r>
        <w:rPr>
          <w:rFonts w:hint="eastAsia" w:ascii="宋体" w:hAnsi="宋体" w:eastAsia="宋体"/>
          <w:color w:val="000000"/>
          <w:szCs w:val="21"/>
          <w:highlight w:val="none"/>
          <w:lang w:val="en-US" w:eastAsia="zh-CN"/>
        </w:rPr>
        <w:t>的，</w:t>
      </w:r>
      <w:r>
        <w:rPr>
          <w:rFonts w:hint="eastAsia" w:ascii="宋体" w:hAnsi="宋体" w:eastAsia="宋体"/>
          <w:color w:val="000000"/>
          <w:szCs w:val="21"/>
          <w:highlight w:val="none"/>
        </w:rPr>
        <w:t>应</w:t>
      </w:r>
      <w:r>
        <w:rPr>
          <w:rFonts w:hint="eastAsia" w:ascii="宋体" w:hAnsi="宋体" w:eastAsia="宋体"/>
          <w:color w:val="000000"/>
          <w:szCs w:val="21"/>
          <w:highlight w:val="none"/>
          <w:lang w:val="en-US" w:eastAsia="zh-CN"/>
        </w:rPr>
        <w:t>不低于</w:t>
      </w:r>
      <w:r>
        <w:rPr>
          <w:rFonts w:hint="eastAsia" w:ascii="宋体" w:hAnsi="宋体" w:eastAsia="宋体"/>
          <w:color w:val="000000"/>
          <w:szCs w:val="21"/>
          <w:highlight w:val="none"/>
        </w:rPr>
        <w:t>《商品包装政府采购需求标准（试行）</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快递包装政府采购需求标准（试行）》</w:t>
      </w:r>
      <w:r>
        <w:rPr>
          <w:rFonts w:hint="eastAsia" w:ascii="宋体" w:hAnsi="宋体" w:eastAsia="宋体"/>
          <w:color w:val="000000"/>
          <w:szCs w:val="21"/>
          <w:highlight w:val="none"/>
          <w:lang w:val="en-US" w:eastAsia="zh-CN"/>
        </w:rPr>
        <w:t>标准</w:t>
      </w:r>
      <w:r>
        <w:rPr>
          <w:rFonts w:hint="eastAsia" w:ascii="宋体" w:hAnsi="宋体" w:eastAsia="宋体"/>
          <w:color w:val="000000"/>
          <w:szCs w:val="21"/>
          <w:highlight w:val="none"/>
        </w:rPr>
        <w:t>，并作为履约验收的内容，必要时甲方可以要求乙方在履约验收环节出具检测报告。</w:t>
      </w:r>
    </w:p>
    <w:p w14:paraId="3575334A">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val="en-US" w:eastAsia="zh-CN"/>
        </w:rPr>
        <w:t xml:space="preserve">7.5 </w:t>
      </w:r>
      <w:r>
        <w:rPr>
          <w:rFonts w:hint="eastAsia" w:ascii="宋体" w:hAnsi="宋体" w:eastAsia="宋体" w:cs="宋体"/>
          <w:color w:val="000000"/>
          <w:szCs w:val="21"/>
        </w:rPr>
        <w:t>乙方在运输到达之前</w:t>
      </w:r>
      <w:r>
        <w:rPr>
          <w:rFonts w:hint="eastAsia" w:ascii="宋体" w:hAnsi="宋体" w:eastAsia="宋体" w:cs="宋体"/>
          <w:color w:val="000000"/>
          <w:szCs w:val="21"/>
          <w:lang w:eastAsia="zh-CN"/>
        </w:rPr>
        <w:t>应</w:t>
      </w:r>
      <w:r>
        <w:rPr>
          <w:rFonts w:hint="eastAsia" w:ascii="宋体" w:hAnsi="宋体" w:eastAsia="宋体" w:cs="宋体"/>
          <w:color w:val="000000"/>
          <w:szCs w:val="21"/>
        </w:rPr>
        <w:t>提前通知</w:t>
      </w:r>
      <w:r>
        <w:rPr>
          <w:rFonts w:hint="eastAsia" w:ascii="宋体" w:hAnsi="宋体" w:eastAsia="宋体" w:cs="宋体"/>
          <w:color w:val="000000"/>
          <w:szCs w:val="21"/>
          <w:lang w:eastAsia="zh-CN"/>
        </w:rPr>
        <w:t>甲方</w:t>
      </w:r>
      <w:r>
        <w:rPr>
          <w:rFonts w:hint="eastAsia" w:ascii="宋体" w:hAnsi="宋体" w:eastAsia="宋体" w:cs="宋体"/>
          <w:color w:val="000000"/>
          <w:szCs w:val="21"/>
        </w:rPr>
        <w:t>，并提示货物运输装卸的注意事项</w:t>
      </w:r>
      <w:r>
        <w:rPr>
          <w:rFonts w:hint="eastAsia" w:ascii="宋体" w:hAnsi="宋体" w:eastAsia="宋体" w:cs="宋体"/>
          <w:color w:val="000000"/>
          <w:szCs w:val="21"/>
          <w:lang w:eastAsia="zh-CN"/>
        </w:rPr>
        <w:t>，甲方配合乙方做好货物的接收工作。</w:t>
      </w:r>
    </w:p>
    <w:p w14:paraId="26F0BEE5">
      <w:pPr>
        <w:autoSpaceDE w:val="0"/>
        <w:autoSpaceDN w:val="0"/>
        <w:adjustRightInd w:val="0"/>
        <w:spacing w:line="400" w:lineRule="exact"/>
        <w:ind w:firstLine="420" w:firstLineChars="200"/>
        <w:rPr>
          <w:rFonts w:hint="default" w:ascii="华文楷体" w:hAnsi="华文楷体" w:eastAsia="华文楷体" w:cs="华文楷体"/>
          <w:sz w:val="21"/>
          <w:szCs w:val="21"/>
          <w:lang w:val="en-US" w:eastAsia="zh-CN" w:bidi="ar-SA"/>
        </w:rPr>
      </w:pPr>
      <w:r>
        <w:rPr>
          <w:rFonts w:hint="eastAsia" w:ascii="宋体" w:hAnsi="宋体" w:eastAsia="宋体" w:cs="Times New Roman"/>
          <w:color w:val="000000"/>
          <w:kern w:val="2"/>
          <w:sz w:val="21"/>
          <w:szCs w:val="21"/>
          <w:highlight w:val="none"/>
          <w:lang w:val="en-US" w:eastAsia="zh-CN" w:bidi="ar-SA"/>
        </w:rPr>
        <w:t>7.6 如因包装、运输问题导致货物损毁、丢失或者品质下降，甲方有权要求降价、换货、拒收部分或整批货物，由此产生的费用和损失，均由乙方承担。</w:t>
      </w:r>
    </w:p>
    <w:p w14:paraId="2B72F542">
      <w:pPr>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000000"/>
          <w:sz w:val="24"/>
          <w:highlight w:val="none"/>
          <w:lang w:eastAsia="zh-CN"/>
        </w:rPr>
        <w:t>8</w:t>
      </w:r>
      <w:r>
        <w:rPr>
          <w:rFonts w:hint="eastAsia" w:ascii="宋体" w:hAnsi="宋体" w:eastAsia="宋体"/>
          <w:b/>
          <w:color w:val="000000"/>
          <w:sz w:val="24"/>
          <w:highlight w:val="none"/>
          <w:lang w:val="en-US" w:eastAsia="zh-CN"/>
        </w:rPr>
        <w:t xml:space="preserve">. </w:t>
      </w:r>
      <w:r>
        <w:rPr>
          <w:rFonts w:hint="eastAsia" w:ascii="宋体" w:hAnsi="宋体" w:eastAsia="宋体"/>
          <w:b/>
          <w:color w:val="auto"/>
          <w:sz w:val="24"/>
          <w:highlight w:val="none"/>
        </w:rPr>
        <w:t>质量标准和保证</w:t>
      </w:r>
    </w:p>
    <w:p w14:paraId="48E95AFB">
      <w:pPr>
        <w:widowControl w:val="0"/>
        <w:adjustRightInd w:val="0"/>
        <w:snapToGrid w:val="0"/>
        <w:spacing w:before="0" w:line="400" w:lineRule="exact"/>
        <w:ind w:firstLine="420" w:firstLineChars="200"/>
        <w:jc w:val="left"/>
        <w:rPr>
          <w:rFonts w:ascii="宋体" w:hAnsi="宋体" w:eastAsia="宋体" w:cs="Courier New"/>
          <w:b/>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8.1 质量标准</w:t>
      </w:r>
    </w:p>
    <w:p w14:paraId="61C339A2">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（1）本合同下</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的货物应符合</w:t>
      </w:r>
      <w:r>
        <w:rPr>
          <w:rFonts w:hint="eastAsia" w:ascii="宋体" w:hAnsi="宋体" w:eastAsia="宋体"/>
          <w:color w:val="auto"/>
          <w:szCs w:val="21"/>
          <w:highlight w:val="none"/>
          <w:lang w:eastAsia="zh-CN"/>
        </w:rPr>
        <w:t>合同</w:t>
      </w:r>
      <w:r>
        <w:rPr>
          <w:rFonts w:hint="eastAsia" w:ascii="宋体" w:hAnsi="宋体" w:eastAsia="宋体" w:cs="宋体"/>
          <w:color w:val="000000"/>
          <w:szCs w:val="21"/>
          <w:lang w:eastAsia="zh-CN"/>
        </w:rPr>
        <w:t>约</w:t>
      </w:r>
      <w:r>
        <w:rPr>
          <w:rFonts w:hint="eastAsia" w:ascii="宋体" w:hAnsi="宋体" w:eastAsia="宋体" w:cs="宋体"/>
          <w:color w:val="000000"/>
          <w:szCs w:val="21"/>
        </w:rPr>
        <w:t>定的</w:t>
      </w:r>
      <w:r>
        <w:rPr>
          <w:rFonts w:hint="eastAsia" w:ascii="宋体" w:hAnsi="宋体" w:eastAsia="宋体" w:cs="宋体"/>
          <w:szCs w:val="21"/>
        </w:rPr>
        <w:t>品牌、规格型号、技术性能、配置、质量、数量等要求。</w:t>
      </w:r>
      <w:r>
        <w:rPr>
          <w:rFonts w:hint="eastAsia" w:ascii="宋体" w:hAnsi="宋体" w:eastAsia="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olor w:val="auto"/>
          <w:szCs w:val="21"/>
          <w:highlight w:val="none"/>
          <w:lang w:eastAsia="zh-CN"/>
        </w:rPr>
        <w:t>。</w:t>
      </w:r>
    </w:p>
    <w:p w14:paraId="5BDB9952">
      <w:pPr>
        <w:widowControl w:val="0"/>
        <w:adjustRightInd w:val="0"/>
        <w:snapToGrid w:val="0"/>
        <w:spacing w:before="0" w:line="400" w:lineRule="exact"/>
        <w:ind w:firstLine="420" w:firstLineChars="200"/>
        <w:jc w:val="left"/>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（2）采用中华人民共和国法定计量单位。</w:t>
      </w:r>
    </w:p>
    <w:p w14:paraId="6142F67D">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（3）乙方所</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的货物应符合国家有关安全、环保、卫生</w:t>
      </w:r>
      <w:r>
        <w:rPr>
          <w:rFonts w:hint="eastAsia" w:ascii="宋体" w:hAnsi="宋体" w:eastAsia="宋体"/>
          <w:color w:val="auto"/>
          <w:szCs w:val="21"/>
          <w:highlight w:val="none"/>
          <w:lang w:eastAsia="zh-CN"/>
        </w:rPr>
        <w:t>的</w:t>
      </w:r>
      <w:r>
        <w:rPr>
          <w:rFonts w:hint="eastAsia" w:ascii="宋体" w:hAnsi="宋体" w:eastAsia="宋体"/>
          <w:color w:val="auto"/>
          <w:szCs w:val="21"/>
          <w:highlight w:val="none"/>
        </w:rPr>
        <w:t>规定。</w:t>
      </w:r>
    </w:p>
    <w:p w14:paraId="22F623A4">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（4）乙方应向甲方提交所</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货物的技术文件，包括相应的中文技术文件，如：产品目录、图纸、操作手册、使用说明、维护手册或服务指南</w:t>
      </w:r>
      <w:r>
        <w:rPr>
          <w:rFonts w:hint="eastAsia" w:ascii="宋体" w:hAnsi="宋体" w:eastAsia="宋体"/>
          <w:color w:val="auto"/>
          <w:szCs w:val="21"/>
          <w:highlight w:val="none"/>
          <w:lang w:eastAsia="zh-CN"/>
        </w:rPr>
        <w:t>等</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上述</w:t>
      </w:r>
      <w:r>
        <w:rPr>
          <w:rFonts w:hint="eastAsia" w:ascii="宋体" w:hAnsi="宋体" w:eastAsia="宋体"/>
          <w:color w:val="auto"/>
          <w:szCs w:val="21"/>
          <w:highlight w:val="none"/>
        </w:rPr>
        <w:t>文件应包装好随货物一同发运。</w:t>
      </w:r>
    </w:p>
    <w:p w14:paraId="495B8241">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8</w:t>
      </w:r>
      <w:r>
        <w:rPr>
          <w:rFonts w:hint="eastAsia" w:ascii="宋体" w:hAnsi="宋体" w:eastAsia="宋体"/>
          <w:color w:val="auto"/>
          <w:szCs w:val="21"/>
          <w:highlight w:val="none"/>
        </w:rPr>
        <w:t>.2 保证</w:t>
      </w:r>
    </w:p>
    <w:p w14:paraId="3ED8A503">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（1）乙方应保证</w:t>
      </w:r>
      <w:r>
        <w:rPr>
          <w:rFonts w:hint="eastAsia" w:ascii="宋体" w:hAnsi="宋体" w:eastAsia="宋体"/>
          <w:color w:val="auto"/>
          <w:szCs w:val="21"/>
          <w:highlight w:val="none"/>
          <w:lang w:eastAsia="zh-CN"/>
        </w:rPr>
        <w:t>提供的货物</w:t>
      </w:r>
      <w:r>
        <w:rPr>
          <w:rFonts w:hint="eastAsia" w:ascii="宋体" w:hAnsi="宋体" w:eastAsia="宋体"/>
          <w:color w:val="auto"/>
          <w:szCs w:val="21"/>
          <w:highlight w:val="none"/>
        </w:rPr>
        <w:t>完全符合合同规定的质量、规格和性能要求。乙方应保证货物在正确安装、正常使用和保养条件下，</w:t>
      </w:r>
      <w:r>
        <w:rPr>
          <w:rFonts w:hint="eastAsia" w:ascii="宋体" w:hAnsi="宋体" w:eastAsia="宋体" w:cs="宋体"/>
          <w:szCs w:val="21"/>
        </w:rPr>
        <w:t>在其使用寿命期内具</w:t>
      </w:r>
      <w:r>
        <w:rPr>
          <w:rFonts w:hint="eastAsia" w:ascii="宋体" w:hAnsi="宋体" w:eastAsia="宋体" w:cs="宋体"/>
          <w:szCs w:val="21"/>
          <w:lang w:eastAsia="zh-CN"/>
        </w:rPr>
        <w:t>备合同约定</w:t>
      </w:r>
      <w:r>
        <w:rPr>
          <w:rFonts w:hint="eastAsia" w:ascii="宋体" w:hAnsi="宋体" w:eastAsia="宋体" w:cs="宋体"/>
          <w:szCs w:val="21"/>
        </w:rPr>
        <w:t>的性能</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存在</w:t>
      </w:r>
      <w:r>
        <w:rPr>
          <w:rFonts w:hint="eastAsia" w:ascii="宋体" w:hAnsi="宋体" w:eastAsia="宋体"/>
          <w:color w:val="auto"/>
          <w:szCs w:val="21"/>
          <w:highlight w:val="none"/>
        </w:rPr>
        <w:t>质量保证期的，货物最终交付验收</w:t>
      </w:r>
      <w:r>
        <w:rPr>
          <w:rFonts w:hint="eastAsia" w:ascii="宋体" w:hAnsi="宋体" w:eastAsia="宋体"/>
          <w:color w:val="auto"/>
          <w:szCs w:val="21"/>
          <w:highlight w:val="none"/>
          <w:lang w:eastAsia="zh-CN"/>
        </w:rPr>
        <w:t>合格</w:t>
      </w:r>
      <w:r>
        <w:rPr>
          <w:rFonts w:hint="eastAsia" w:ascii="宋体" w:hAnsi="宋体" w:eastAsia="宋体"/>
          <w:color w:val="auto"/>
          <w:szCs w:val="21"/>
          <w:highlight w:val="none"/>
        </w:rPr>
        <w:t>后</w:t>
      </w:r>
      <w:r>
        <w:rPr>
          <w:rFonts w:hint="eastAsia" w:ascii="宋体" w:hAnsi="宋体" w:eastAsia="宋体"/>
          <w:color w:val="auto"/>
          <w:szCs w:val="21"/>
          <w:highlight w:val="none"/>
          <w:lang w:eastAsia="zh-CN"/>
        </w:rPr>
        <w:t>在</w:t>
      </w:r>
      <w:r>
        <w:rPr>
          <w:rFonts w:hint="eastAsia" w:ascii="宋体" w:hAnsi="宋体" w:eastAsia="宋体"/>
          <w:b/>
          <w:color w:val="auto"/>
          <w:szCs w:val="21"/>
          <w:highlight w:val="none"/>
        </w:rPr>
        <w:t>【合同专用条款】</w:t>
      </w:r>
      <w:r>
        <w:rPr>
          <w:rFonts w:hint="eastAsia" w:ascii="宋体" w:hAnsi="宋体" w:eastAsia="宋体"/>
          <w:color w:val="auto"/>
          <w:szCs w:val="21"/>
          <w:highlight w:val="none"/>
        </w:rPr>
        <w:t>规定或乙方</w:t>
      </w:r>
      <w:r>
        <w:rPr>
          <w:rFonts w:hint="eastAsia" w:ascii="宋体" w:hAnsi="宋体" w:eastAsia="宋体"/>
          <w:color w:val="auto"/>
          <w:szCs w:val="21"/>
          <w:highlight w:val="none"/>
          <w:lang w:eastAsia="zh-CN"/>
        </w:rPr>
        <w:t>书面</w:t>
      </w:r>
      <w:r>
        <w:rPr>
          <w:rFonts w:hint="eastAsia" w:ascii="宋体" w:hAnsi="宋体" w:eastAsia="宋体"/>
          <w:color w:val="auto"/>
          <w:szCs w:val="21"/>
          <w:highlight w:val="none"/>
        </w:rPr>
        <w:t>承诺（两者以较长的为准）的质量保证期内，本保证保持有效。</w:t>
      </w:r>
    </w:p>
    <w:p w14:paraId="28083713">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（2）在质量保证期内所发现的缺陷，甲方应尽快以书面形式通知乙方。</w:t>
      </w:r>
    </w:p>
    <w:p w14:paraId="1FAE15F4">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（3）乙方收到通知后</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应在</w:t>
      </w:r>
      <w:r>
        <w:rPr>
          <w:rFonts w:hint="eastAsia" w:ascii="宋体" w:hAnsi="宋体" w:eastAsia="宋体"/>
          <w:b/>
          <w:color w:val="auto"/>
          <w:szCs w:val="21"/>
          <w:highlight w:val="none"/>
        </w:rPr>
        <w:t>【合同专用条款】</w:t>
      </w:r>
      <w:r>
        <w:rPr>
          <w:rFonts w:hint="eastAsia" w:ascii="宋体" w:hAnsi="宋体" w:eastAsia="宋体"/>
          <w:color w:val="auto"/>
          <w:szCs w:val="21"/>
          <w:highlight w:val="none"/>
        </w:rPr>
        <w:t>规定的响应时间内以合理的速度免费维修或更换有缺陷的货物或部件。</w:t>
      </w:r>
    </w:p>
    <w:p w14:paraId="529134D2">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olor w:val="000000"/>
          <w:szCs w:val="21"/>
          <w:highlight w:val="none"/>
          <w:lang w:val="en-US" w:eastAsia="zh-CN"/>
        </w:rPr>
        <w:t>5</w:t>
      </w:r>
      <w:r>
        <w:rPr>
          <w:rFonts w:hint="eastAsia" w:ascii="宋体" w:hAnsi="宋体" w:eastAsia="宋体"/>
          <w:color w:val="auto"/>
          <w:szCs w:val="21"/>
          <w:highlight w:val="none"/>
        </w:rPr>
        <w:t>.1条规定以书面形式</w:t>
      </w:r>
      <w:r>
        <w:rPr>
          <w:rFonts w:hint="eastAsia" w:ascii="宋体" w:hAnsi="宋体" w:eastAsia="宋体"/>
          <w:color w:val="000000"/>
          <w:szCs w:val="21"/>
          <w:highlight w:val="none"/>
          <w:lang w:eastAsia="zh-CN"/>
        </w:rPr>
        <w:t>追究</w:t>
      </w:r>
      <w:r>
        <w:rPr>
          <w:rFonts w:hint="eastAsia" w:ascii="宋体" w:hAnsi="宋体" w:eastAsia="宋体"/>
          <w:color w:val="auto"/>
          <w:szCs w:val="21"/>
          <w:highlight w:val="none"/>
        </w:rPr>
        <w:t>乙方</w:t>
      </w:r>
      <w:r>
        <w:rPr>
          <w:rFonts w:hint="eastAsia" w:ascii="宋体" w:hAnsi="宋体" w:eastAsia="宋体"/>
          <w:color w:val="000000"/>
          <w:szCs w:val="21"/>
          <w:highlight w:val="none"/>
          <w:lang w:eastAsia="zh-CN"/>
        </w:rPr>
        <w:t>的违约责任</w:t>
      </w:r>
      <w:r>
        <w:rPr>
          <w:rFonts w:hint="eastAsia" w:ascii="宋体" w:hAnsi="宋体" w:eastAsia="宋体"/>
          <w:color w:val="auto"/>
          <w:szCs w:val="21"/>
          <w:highlight w:val="none"/>
        </w:rPr>
        <w:t>。</w:t>
      </w:r>
    </w:p>
    <w:p w14:paraId="7F4AEE37">
      <w:pPr>
        <w:adjustRightInd w:val="0"/>
        <w:snapToGrid w:val="0"/>
        <w:spacing w:before="0" w:line="400" w:lineRule="exact"/>
        <w:ind w:firstLine="420" w:firstLineChars="200"/>
        <w:jc w:val="left"/>
        <w:rPr>
          <w:rFonts w:eastAsia="宋体"/>
          <w:color w:val="auto"/>
          <w:highlight w:val="none"/>
        </w:rPr>
      </w:pPr>
      <w:r>
        <w:rPr>
          <w:rFonts w:hint="eastAsia" w:ascii="宋体" w:hAnsi="宋体" w:eastAsia="宋体"/>
          <w:color w:val="auto"/>
          <w:szCs w:val="21"/>
          <w:highlight w:val="none"/>
        </w:rPr>
        <w:t>（5）乙方在约定的时间内未能弥补缺陷，甲方可采取必要的补救措施，但其风险和费用将由乙方承担，甲方根据合同</w:t>
      </w:r>
      <w:r>
        <w:rPr>
          <w:rFonts w:hint="eastAsia" w:ascii="宋体" w:hAnsi="宋体" w:eastAsia="宋体"/>
          <w:color w:val="auto"/>
          <w:szCs w:val="21"/>
          <w:highlight w:val="none"/>
          <w:lang w:eastAsia="zh-CN"/>
        </w:rPr>
        <w:t>约定</w:t>
      </w:r>
      <w:r>
        <w:rPr>
          <w:rFonts w:hint="eastAsia" w:ascii="宋体" w:hAnsi="宋体" w:eastAsia="宋体"/>
          <w:color w:val="auto"/>
          <w:szCs w:val="21"/>
          <w:highlight w:val="none"/>
        </w:rPr>
        <w:t>对乙方行使的其他权利不受影响。</w:t>
      </w:r>
    </w:p>
    <w:p w14:paraId="5B9C3CD2">
      <w:p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000000"/>
          <w:sz w:val="24"/>
          <w:highlight w:val="none"/>
          <w:lang w:eastAsia="zh-CN"/>
        </w:rPr>
        <w:t>9</w:t>
      </w:r>
      <w:r>
        <w:rPr>
          <w:rFonts w:hint="eastAsia" w:ascii="宋体" w:hAnsi="宋体" w:eastAsia="宋体"/>
          <w:b/>
          <w:bCs/>
          <w:color w:val="auto"/>
          <w:sz w:val="24"/>
          <w:highlight w:val="none"/>
        </w:rPr>
        <w:t>.</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auto"/>
          <w:sz w:val="24"/>
          <w:highlight w:val="none"/>
        </w:rPr>
        <w:t>权利瑕疵担保</w:t>
      </w:r>
    </w:p>
    <w:p w14:paraId="4B69A74D">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.1 乙方保证对其出售的货物享有合法的权利。</w:t>
      </w:r>
    </w:p>
    <w:p w14:paraId="129B317B">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 xml:space="preserve">.2 </w:t>
      </w:r>
      <w:r>
        <w:rPr>
          <w:rFonts w:hint="eastAsia" w:ascii="宋体" w:hAnsi="宋体" w:eastAsia="宋体" w:cs="宋体"/>
          <w:szCs w:val="15"/>
        </w:rPr>
        <w:t>乙方保证在交付的货物上不存在抵押权等担保物权。</w:t>
      </w:r>
    </w:p>
    <w:p w14:paraId="20CD8DDC">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.3 如甲方使用</w:t>
      </w:r>
      <w:r>
        <w:rPr>
          <w:rFonts w:hint="eastAsia" w:ascii="宋体" w:hAnsi="宋体" w:eastAsia="宋体"/>
          <w:color w:val="000000"/>
          <w:szCs w:val="21"/>
          <w:highlight w:val="none"/>
          <w:lang w:val="en-US" w:eastAsia="zh-CN"/>
        </w:rPr>
        <w:t>上述</w:t>
      </w:r>
      <w:r>
        <w:rPr>
          <w:rFonts w:hint="eastAsia" w:ascii="宋体" w:hAnsi="宋体" w:eastAsia="宋体"/>
          <w:color w:val="000000"/>
          <w:szCs w:val="21"/>
          <w:highlight w:val="none"/>
        </w:rPr>
        <w:t>货物构成</w:t>
      </w:r>
      <w:r>
        <w:rPr>
          <w:rFonts w:hint="eastAsia" w:ascii="宋体" w:hAnsi="宋体" w:eastAsia="宋体"/>
          <w:color w:val="000000"/>
          <w:szCs w:val="21"/>
          <w:highlight w:val="none"/>
          <w:lang w:val="en-US" w:eastAsia="zh-CN"/>
        </w:rPr>
        <w:t>对第三人</w:t>
      </w:r>
      <w:r>
        <w:rPr>
          <w:rFonts w:hint="eastAsia" w:ascii="宋体" w:hAnsi="宋体" w:eastAsia="宋体"/>
          <w:color w:val="000000"/>
          <w:szCs w:val="21"/>
          <w:highlight w:val="none"/>
        </w:rPr>
        <w:t>侵权的，则由乙方承担全部责任。</w:t>
      </w:r>
    </w:p>
    <w:p w14:paraId="2D9EDD83">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rPr>
        <w:t>1</w:t>
      </w:r>
      <w:r>
        <w:rPr>
          <w:rFonts w:hint="eastAsia" w:ascii="宋体" w:hAnsi="宋体" w:eastAsia="宋体"/>
          <w:b/>
          <w:bCs/>
          <w:color w:val="000000"/>
          <w:sz w:val="24"/>
          <w:highlight w:val="none"/>
          <w:lang w:eastAsia="zh-CN"/>
        </w:rPr>
        <w:t>0</w:t>
      </w:r>
      <w:r>
        <w:rPr>
          <w:rFonts w:hint="eastAsia" w:ascii="宋体" w:hAnsi="宋体" w:eastAsia="宋体"/>
          <w:b/>
          <w:bCs/>
          <w:color w:val="000000"/>
          <w:sz w:val="24"/>
          <w:highlight w:val="none"/>
        </w:rPr>
        <w:t>.</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知识产权保护</w:t>
      </w:r>
    </w:p>
    <w:p w14:paraId="5C7D1021">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000000"/>
          <w:szCs w:val="21"/>
          <w:highlight w:val="none"/>
        </w:rPr>
        <w:t>1</w:t>
      </w:r>
      <w:r>
        <w:rPr>
          <w:rFonts w:hint="eastAsia" w:ascii="宋体" w:hAnsi="宋体" w:eastAsia="宋体"/>
          <w:color w:val="000000"/>
          <w:szCs w:val="21"/>
          <w:highlight w:val="none"/>
          <w:lang w:eastAsia="zh-CN"/>
        </w:rPr>
        <w:t>0</w:t>
      </w:r>
      <w:r>
        <w:rPr>
          <w:rFonts w:hint="eastAsia" w:ascii="宋体" w:hAnsi="宋体" w:eastAsia="宋体"/>
          <w:color w:val="000000"/>
          <w:szCs w:val="21"/>
          <w:highlight w:val="none"/>
        </w:rPr>
        <w:t>.1 乙方对其所销售的货物应当享有知识产权或经权利人合法授权，保证没有侵犯任</w:t>
      </w:r>
      <w:r>
        <w:rPr>
          <w:rFonts w:hint="eastAsia" w:ascii="宋体" w:hAnsi="宋体" w:eastAsia="宋体"/>
          <w:color w:val="auto"/>
          <w:szCs w:val="21"/>
          <w:highlight w:val="none"/>
        </w:rPr>
        <w:t>何第三人的知识产权等权利。</w:t>
      </w:r>
      <w:bookmarkStart w:id="47"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47"/>
      <w:r>
        <w:rPr>
          <w:rFonts w:hint="eastAsia" w:ascii="宋体" w:hAnsi="宋体" w:eastAsia="宋体"/>
          <w:color w:val="auto"/>
          <w:szCs w:val="21"/>
          <w:highlight w:val="none"/>
        </w:rPr>
        <w:t>。</w:t>
      </w:r>
    </w:p>
    <w:p w14:paraId="7CE30B4E">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1</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保密义务</w:t>
      </w:r>
    </w:p>
    <w:p w14:paraId="3CB01105">
      <w:pPr>
        <w:autoSpaceDE w:val="0"/>
        <w:autoSpaceDN w:val="0"/>
        <w:adjustRightInd w:val="0"/>
        <w:snapToGrid w:val="0"/>
        <w:spacing w:before="0" w:line="400" w:lineRule="exact"/>
        <w:ind w:firstLine="420" w:firstLineChars="200"/>
        <w:jc w:val="left"/>
        <w:rPr>
          <w:rFonts w:hint="eastAsia" w:ascii="宋体" w:hAnsi="宋体" w:eastAsia="宋体" w:cs="宋体"/>
          <w:szCs w:val="15"/>
        </w:rPr>
      </w:pPr>
      <w:r>
        <w:rPr>
          <w:rFonts w:hint="eastAsia" w:ascii="宋体" w:hAnsi="宋体" w:eastAsia="宋体" w:cs="宋体"/>
          <w:szCs w:val="15"/>
          <w:lang w:val="en-US" w:eastAsia="zh-CN"/>
        </w:rPr>
        <w:t xml:space="preserve">11.1 </w:t>
      </w:r>
      <w:r>
        <w:rPr>
          <w:rFonts w:hint="eastAsia" w:ascii="宋体" w:hAnsi="宋体" w:eastAsia="宋体" w:cs="宋体"/>
          <w:szCs w:val="15"/>
        </w:rPr>
        <w:t>甲、乙双方</w:t>
      </w:r>
      <w:r>
        <w:rPr>
          <w:rFonts w:hint="eastAsia" w:ascii="宋体" w:hAnsi="宋体" w:eastAsia="宋体" w:cs="宋体"/>
          <w:szCs w:val="15"/>
          <w:lang w:eastAsia="zh-CN"/>
        </w:rPr>
        <w:t>对</w:t>
      </w:r>
      <w:r>
        <w:rPr>
          <w:rFonts w:hint="eastAsia" w:ascii="宋体" w:hAnsi="宋体" w:eastAsia="宋体" w:cs="宋体"/>
          <w:szCs w:val="15"/>
        </w:rPr>
        <w:t>采购和合同履行过程中所获悉的</w:t>
      </w:r>
      <w:r>
        <w:rPr>
          <w:rFonts w:hint="eastAsia" w:ascii="宋体" w:hAnsi="宋体" w:eastAsia="宋体" w:cs="宋体"/>
          <w:szCs w:val="15"/>
          <w:lang w:eastAsia="zh-CN"/>
        </w:rPr>
        <w:t>国家秘密、工作秘密、</w:t>
      </w:r>
      <w:r>
        <w:rPr>
          <w:rFonts w:hint="eastAsia" w:ascii="宋体" w:hAnsi="宋体" w:eastAsia="宋体" w:cs="宋体"/>
          <w:szCs w:val="15"/>
        </w:rPr>
        <w:t>商业秘密或者其他应当保密的信息，均有保密义务</w:t>
      </w:r>
      <w:r>
        <w:rPr>
          <w:rFonts w:hint="eastAsia" w:ascii="宋体" w:hAnsi="宋体" w:eastAsia="宋体" w:cs="宋体"/>
          <w:szCs w:val="15"/>
          <w:lang w:eastAsia="zh-CN"/>
        </w:rPr>
        <w:t>且不受合同有效期所限，直至该信息成为公开信息</w:t>
      </w:r>
      <w:r>
        <w:rPr>
          <w:rFonts w:hint="eastAsia" w:ascii="宋体" w:hAnsi="宋体" w:eastAsia="宋体" w:cs="宋体"/>
          <w:szCs w:val="15"/>
        </w:rPr>
        <w:t>。泄露、不正当地使用</w:t>
      </w:r>
      <w:r>
        <w:rPr>
          <w:rFonts w:hint="eastAsia" w:ascii="宋体" w:hAnsi="宋体" w:eastAsia="宋体" w:cs="宋体"/>
          <w:szCs w:val="15"/>
          <w:lang w:eastAsia="zh-CN"/>
        </w:rPr>
        <w:t>国家秘密、工作秘密、</w:t>
      </w:r>
      <w:r>
        <w:rPr>
          <w:rFonts w:hint="eastAsia" w:ascii="宋体" w:hAnsi="宋体" w:eastAsia="宋体" w:cs="宋体"/>
          <w:szCs w:val="15"/>
        </w:rPr>
        <w:t>商业秘密或者</w:t>
      </w:r>
      <w:r>
        <w:rPr>
          <w:rFonts w:hint="eastAsia" w:ascii="宋体" w:hAnsi="宋体" w:eastAsia="宋体" w:cs="宋体"/>
          <w:szCs w:val="15"/>
          <w:lang w:eastAsia="zh-CN"/>
        </w:rPr>
        <w:t>其他应当保密的</w:t>
      </w:r>
      <w:r>
        <w:rPr>
          <w:rFonts w:hint="eastAsia" w:ascii="宋体" w:hAnsi="宋体" w:eastAsia="宋体" w:cs="宋体"/>
          <w:szCs w:val="15"/>
        </w:rPr>
        <w:t>信息，应当承担</w:t>
      </w:r>
      <w:r>
        <w:rPr>
          <w:rFonts w:hint="eastAsia" w:ascii="宋体" w:hAnsi="宋体" w:eastAsia="宋体" w:cs="宋体"/>
          <w:szCs w:val="15"/>
          <w:lang w:eastAsia="zh-CN"/>
        </w:rPr>
        <w:t>相应</w:t>
      </w:r>
      <w:r>
        <w:rPr>
          <w:rFonts w:hint="eastAsia" w:ascii="宋体" w:hAnsi="宋体" w:eastAsia="宋体" w:cs="宋体"/>
          <w:szCs w:val="15"/>
        </w:rPr>
        <w:t>责任。其他应当保密的信息由双方在</w:t>
      </w:r>
      <w:r>
        <w:rPr>
          <w:rFonts w:hint="eastAsia" w:ascii="宋体" w:hAnsi="宋体" w:eastAsia="宋体" w:cs="宋体"/>
          <w:b/>
          <w:bCs/>
          <w:szCs w:val="15"/>
        </w:rPr>
        <w:t>【合同专用条款】</w:t>
      </w:r>
      <w:r>
        <w:rPr>
          <w:rFonts w:hint="eastAsia" w:ascii="宋体" w:hAnsi="宋体" w:eastAsia="宋体" w:cs="宋体"/>
          <w:szCs w:val="15"/>
        </w:rPr>
        <w:t>中约定。</w:t>
      </w:r>
    </w:p>
    <w:p w14:paraId="6C855FF9">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2</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合同价款支付</w:t>
      </w:r>
    </w:p>
    <w:p w14:paraId="07154A95">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2</w:t>
      </w:r>
      <w:r>
        <w:rPr>
          <w:rFonts w:hint="eastAsia" w:ascii="宋体" w:hAnsi="宋体" w:eastAsia="宋体"/>
          <w:color w:val="auto"/>
          <w:szCs w:val="21"/>
          <w:highlight w:val="none"/>
        </w:rPr>
        <w:t xml:space="preserve">.1 </w:t>
      </w:r>
      <w:r>
        <w:rPr>
          <w:rFonts w:hint="eastAsia" w:ascii="宋体" w:hAnsi="宋体" w:eastAsia="宋体"/>
          <w:color w:val="auto"/>
          <w:szCs w:val="21"/>
          <w:highlight w:val="none"/>
          <w:lang w:eastAsia="zh-CN"/>
        </w:rPr>
        <w:t>合同价款支付</w:t>
      </w:r>
      <w:r>
        <w:rPr>
          <w:rFonts w:hint="eastAsia" w:ascii="宋体" w:hAnsi="宋体" w:eastAsia="宋体"/>
          <w:color w:val="auto"/>
          <w:szCs w:val="21"/>
          <w:highlight w:val="none"/>
        </w:rPr>
        <w:t>按照国库集中支付</w:t>
      </w:r>
      <w:r>
        <w:rPr>
          <w:rFonts w:hint="eastAsia" w:ascii="宋体" w:hAnsi="宋体" w:eastAsia="宋体"/>
          <w:color w:val="auto"/>
          <w:szCs w:val="21"/>
          <w:highlight w:val="none"/>
          <w:lang w:eastAsia="zh-CN"/>
        </w:rPr>
        <w:t>制度及财政管理相关</w:t>
      </w:r>
      <w:r>
        <w:rPr>
          <w:rFonts w:hint="eastAsia" w:ascii="宋体" w:hAnsi="宋体" w:eastAsia="宋体"/>
          <w:color w:val="auto"/>
          <w:szCs w:val="21"/>
          <w:highlight w:val="none"/>
        </w:rPr>
        <w:t>规定执行。</w:t>
      </w:r>
    </w:p>
    <w:p w14:paraId="6489C4DC">
      <w:pPr>
        <w:keepNext/>
        <w:keepLines/>
        <w:widowControl w:val="0"/>
        <w:spacing w:line="400" w:lineRule="exact"/>
        <w:ind w:firstLine="420" w:firstLineChars="200"/>
        <w:jc w:val="both"/>
        <w:outlineLvl w:val="1"/>
        <w:rPr>
          <w:rFonts w:hint="eastAsia" w:ascii="Arial" w:hAnsi="Arial" w:eastAsia="宋体" w:cs="Times New Roman"/>
          <w:b/>
          <w:bCs/>
          <w:color w:val="auto"/>
          <w:kern w:val="2"/>
          <w:sz w:val="24"/>
          <w:szCs w:val="32"/>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12.2 对于满足合同约定支付条件的，甲方</w:t>
      </w:r>
      <w:r>
        <w:rPr>
          <w:rFonts w:hint="eastAsia" w:ascii="宋体" w:hAnsi="宋体" w:eastAsia="宋体" w:cs="Times New Roman"/>
          <w:b w:val="0"/>
          <w:bCs w:val="0"/>
          <w:i w:val="0"/>
          <w:iCs w:val="0"/>
          <w:caps w:val="0"/>
          <w:color w:val="auto"/>
          <w:spacing w:val="0"/>
          <w:kern w:val="2"/>
          <w:sz w:val="21"/>
          <w:szCs w:val="21"/>
          <w:highlight w:val="none"/>
          <w:shd w:val="clear"/>
          <w:vertAlign w:val="baseline"/>
          <w:lang w:val="en-US" w:eastAsia="zh-CN" w:bidi="ar-SA"/>
        </w:rPr>
        <w:t>原则上应当自收到发票后10个工作日内</w:t>
      </w:r>
      <w:r>
        <w:rPr>
          <w:rFonts w:hint="eastAsia" w:ascii="宋体" w:hAnsi="宋体" w:eastAsia="宋体" w:cs="Times New Roman"/>
          <w:b w:val="0"/>
          <w:bCs w:val="0"/>
          <w:color w:val="auto"/>
          <w:kern w:val="2"/>
          <w:sz w:val="21"/>
          <w:szCs w:val="21"/>
          <w:highlight w:val="none"/>
          <w:lang w:val="en-US" w:eastAsia="zh-CN" w:bidi="ar-SA"/>
        </w:rPr>
        <w:t>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Times New Roman"/>
          <w:b/>
          <w:bCs/>
          <w:color w:val="auto"/>
          <w:kern w:val="2"/>
          <w:sz w:val="21"/>
          <w:szCs w:val="21"/>
          <w:highlight w:val="none"/>
          <w:lang w:val="en-US" w:eastAsia="zh-CN" w:bidi="ar-SA"/>
        </w:rPr>
        <w:t>合同专用条款</w:t>
      </w:r>
      <w:r>
        <w:rPr>
          <w:rFonts w:hint="eastAsia" w:ascii="宋体" w:hAnsi="宋体" w:eastAsia="宋体" w:cs="Times New Roman"/>
          <w:b w:val="0"/>
          <w:bCs w:val="0"/>
          <w:color w:val="auto"/>
          <w:kern w:val="2"/>
          <w:sz w:val="21"/>
          <w:szCs w:val="21"/>
          <w:highlight w:val="none"/>
          <w:lang w:val="en-US" w:eastAsia="zh-CN" w:bidi="ar-SA"/>
        </w:rPr>
        <w:t>】中约定。</w:t>
      </w:r>
    </w:p>
    <w:p w14:paraId="5C32168B">
      <w:pPr>
        <w:widowControl w:val="0"/>
        <w:spacing w:after="0" w:line="400" w:lineRule="exact"/>
        <w:jc w:val="both"/>
        <w:rPr>
          <w:rFonts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13. 履约保证金</w:t>
      </w:r>
    </w:p>
    <w:p w14:paraId="23B9B205">
      <w:pPr>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 xml:space="preserve">.1 </w:t>
      </w:r>
      <w:r>
        <w:rPr>
          <w:rFonts w:hint="eastAsia" w:ascii="宋体" w:hAnsi="宋体" w:eastAsia="宋体" w:cs="宋体"/>
          <w:szCs w:val="15"/>
        </w:rPr>
        <w:t>乙方应当以支票、汇票、本票或者金融机构、担保机构出具的保函等非现金形式提交。</w:t>
      </w:r>
    </w:p>
    <w:p w14:paraId="1D69977E">
      <w:pPr>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.2 如果乙方</w:t>
      </w:r>
      <w:r>
        <w:rPr>
          <w:rFonts w:hint="eastAsia" w:ascii="宋体" w:hAnsi="宋体" w:eastAsia="宋体"/>
          <w:color w:val="auto"/>
          <w:szCs w:val="21"/>
          <w:highlight w:val="none"/>
          <w:lang w:eastAsia="zh-CN"/>
        </w:rPr>
        <w:t>出现</w:t>
      </w:r>
      <w:r>
        <w:rPr>
          <w:rFonts w:hint="eastAsia" w:ascii="宋体" w:hAnsi="宋体" w:eastAsia="宋体" w:cs="宋体"/>
          <w:b/>
          <w:bCs/>
          <w:szCs w:val="15"/>
          <w:highlight w:val="none"/>
        </w:rPr>
        <w:t>【合同专用条款】</w:t>
      </w:r>
      <w:r>
        <w:rPr>
          <w:rFonts w:hint="eastAsia" w:ascii="宋体" w:hAnsi="宋体" w:eastAsia="宋体" w:cs="宋体"/>
          <w:b w:val="0"/>
          <w:bCs w:val="0"/>
          <w:szCs w:val="15"/>
          <w:highlight w:val="none"/>
          <w:lang w:eastAsia="zh-CN"/>
        </w:rPr>
        <w:t>约定</w:t>
      </w:r>
      <w:r>
        <w:rPr>
          <w:rFonts w:hint="eastAsia" w:ascii="宋体" w:hAnsi="宋体" w:eastAsia="宋体" w:cs="宋体"/>
          <w:b w:val="0"/>
          <w:bCs w:val="0"/>
          <w:szCs w:val="15"/>
          <w:lang w:eastAsia="zh-CN"/>
        </w:rPr>
        <w:t>情形的</w:t>
      </w:r>
      <w:r>
        <w:rPr>
          <w:rFonts w:hint="eastAsia" w:ascii="宋体" w:hAnsi="宋体" w:eastAsia="宋体"/>
          <w:color w:val="auto"/>
          <w:szCs w:val="21"/>
          <w:highlight w:val="none"/>
        </w:rPr>
        <w:t>，履约保证金不予退还；如果乙方未能按合同约定全面履行义务，甲方有权从履约保证金中取得补偿或赔偿，</w:t>
      </w:r>
      <w:r>
        <w:rPr>
          <w:rFonts w:hint="eastAsia" w:ascii="宋体" w:hAnsi="宋体" w:eastAsia="宋体"/>
          <w:color w:val="auto"/>
          <w:szCs w:val="21"/>
          <w:highlight w:val="none"/>
          <w:lang w:eastAsia="zh-CN"/>
        </w:rPr>
        <w:t>且</w:t>
      </w:r>
      <w:r>
        <w:rPr>
          <w:rFonts w:hint="eastAsia" w:ascii="宋体" w:hAnsi="宋体" w:eastAsia="宋体"/>
          <w:color w:val="auto"/>
          <w:szCs w:val="21"/>
          <w:highlight w:val="none"/>
        </w:rPr>
        <w:t>不影响甲方要求乙方承担合同约定的超过履约保证金的违约责任的权利。</w:t>
      </w:r>
    </w:p>
    <w:p w14:paraId="4CCC09A5">
      <w:pPr>
        <w:spacing w:line="400" w:lineRule="exact"/>
        <w:ind w:firstLine="420"/>
        <w:rPr>
          <w:rFonts w:eastAsia="宋体"/>
          <w:color w:val="auto"/>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.3 甲方在项目通过验收后按照</w:t>
      </w:r>
      <w:r>
        <w:rPr>
          <w:rFonts w:hint="eastAsia" w:ascii="宋体" w:hAnsi="宋体" w:eastAsia="宋体"/>
          <w:b/>
          <w:color w:val="auto"/>
          <w:szCs w:val="21"/>
          <w:highlight w:val="none"/>
        </w:rPr>
        <w:t>【合同专用条款】</w:t>
      </w:r>
      <w:r>
        <w:rPr>
          <w:rFonts w:hint="eastAsia" w:ascii="宋体" w:hAnsi="宋体" w:eastAsia="宋体"/>
          <w:color w:val="auto"/>
          <w:szCs w:val="21"/>
          <w:highlight w:val="none"/>
        </w:rPr>
        <w:t>规定的时间内将履约保证金退还乙方；逾期退还的，乙方可要求甲方支付违约金，违约金按照</w:t>
      </w:r>
      <w:r>
        <w:rPr>
          <w:rFonts w:hint="eastAsia" w:ascii="宋体" w:hAnsi="宋体" w:eastAsia="宋体"/>
          <w:b/>
          <w:color w:val="auto"/>
          <w:szCs w:val="21"/>
          <w:highlight w:val="none"/>
        </w:rPr>
        <w:t>【合同专用条款】</w:t>
      </w:r>
      <w:r>
        <w:rPr>
          <w:rFonts w:hint="eastAsia" w:ascii="宋体" w:hAnsi="宋体" w:eastAsia="宋体"/>
          <w:color w:val="auto"/>
          <w:szCs w:val="21"/>
          <w:highlight w:val="none"/>
        </w:rPr>
        <w:t>规定支付。</w:t>
      </w:r>
    </w:p>
    <w:p w14:paraId="6968FB87">
      <w:p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4</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eastAsia="宋体"/>
          <w:b/>
          <w:color w:val="auto"/>
          <w:sz w:val="24"/>
          <w:highlight w:val="none"/>
        </w:rPr>
        <w:t>售后</w:t>
      </w:r>
      <w:r>
        <w:rPr>
          <w:rFonts w:hint="eastAsia" w:ascii="宋体" w:hAnsi="宋体" w:eastAsia="宋体"/>
          <w:b/>
          <w:color w:val="auto"/>
          <w:sz w:val="24"/>
          <w:highlight w:val="none"/>
        </w:rPr>
        <w:t>服务</w:t>
      </w:r>
    </w:p>
    <w:p w14:paraId="31842B0E">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4</w:t>
      </w:r>
      <w:r>
        <w:rPr>
          <w:rFonts w:hint="eastAsia" w:ascii="宋体" w:hAnsi="宋体" w:eastAsia="宋体"/>
          <w:color w:val="auto"/>
          <w:szCs w:val="21"/>
          <w:highlight w:val="none"/>
        </w:rPr>
        <w:t>.1 除项目不涉及或采购活动中明确约定无须承担外，乙方还应提供下列服务：</w:t>
      </w:r>
    </w:p>
    <w:p w14:paraId="5B8639E0">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（1）货物的现场移动、安装、调试、启动监督及技术支持；</w:t>
      </w:r>
    </w:p>
    <w:p w14:paraId="6EC093E3">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（2）提供货物组装和维修所需的专用工具和辅助材料；</w:t>
      </w:r>
    </w:p>
    <w:p w14:paraId="1EF34008">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（3）在</w:t>
      </w:r>
      <w:r>
        <w:rPr>
          <w:rFonts w:hint="eastAsia" w:ascii="宋体" w:hAnsi="宋体" w:eastAsia="宋体" w:cs="宋体"/>
          <w:b/>
          <w:bCs/>
          <w:szCs w:val="15"/>
          <w:highlight w:val="none"/>
        </w:rPr>
        <w:t>【合同专用条款】</w:t>
      </w:r>
      <w:r>
        <w:rPr>
          <w:rFonts w:hint="eastAsia" w:ascii="宋体" w:hAnsi="宋体" w:eastAsia="宋体"/>
          <w:color w:val="auto"/>
          <w:szCs w:val="21"/>
          <w:highlight w:val="none"/>
          <w:lang w:eastAsia="zh-CN"/>
        </w:rPr>
        <w:t>约定</w:t>
      </w:r>
      <w:r>
        <w:rPr>
          <w:rFonts w:hint="eastAsia" w:ascii="宋体" w:hAnsi="宋体" w:eastAsia="宋体"/>
          <w:color w:val="auto"/>
          <w:szCs w:val="21"/>
          <w:highlight w:val="none"/>
        </w:rPr>
        <w:t>的期限内对所有的货物实施运行监督、维修，但前提条件是该服务并不能免除乙方在质量保证期内所承担的义务；</w:t>
      </w:r>
    </w:p>
    <w:p w14:paraId="66BD5ACA">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（4）在制造商</w:t>
      </w:r>
      <w:r>
        <w:rPr>
          <w:rFonts w:hint="eastAsia" w:ascii="宋体" w:hAnsi="宋体" w:eastAsia="宋体"/>
          <w:color w:val="auto"/>
          <w:szCs w:val="21"/>
          <w:highlight w:val="none"/>
          <w:lang w:eastAsia="zh-CN"/>
        </w:rPr>
        <w:t>所在地</w:t>
      </w:r>
      <w:r>
        <w:rPr>
          <w:rFonts w:hint="eastAsia" w:ascii="宋体" w:hAnsi="宋体" w:eastAsia="宋体"/>
          <w:color w:val="auto"/>
          <w:szCs w:val="21"/>
          <w:highlight w:val="none"/>
        </w:rPr>
        <w:t>或</w:t>
      </w:r>
      <w:r>
        <w:rPr>
          <w:rFonts w:hint="eastAsia" w:ascii="宋体" w:hAnsi="宋体" w:eastAsia="宋体"/>
          <w:color w:val="auto"/>
          <w:szCs w:val="21"/>
          <w:highlight w:val="none"/>
          <w:lang w:eastAsia="zh-CN"/>
        </w:rPr>
        <w:t>指定</w:t>
      </w:r>
      <w:r>
        <w:rPr>
          <w:rFonts w:hint="eastAsia" w:ascii="宋体" w:hAnsi="宋体" w:eastAsia="宋体"/>
          <w:color w:val="auto"/>
          <w:szCs w:val="21"/>
          <w:highlight w:val="none"/>
        </w:rPr>
        <w:t>现场就货物的安装、启动、运营、维护</w:t>
      </w:r>
      <w:r>
        <w:rPr>
          <w:rFonts w:hint="eastAsia" w:ascii="宋体" w:hAnsi="宋体" w:eastAsia="宋体"/>
          <w:color w:val="auto"/>
          <w:szCs w:val="21"/>
          <w:highlight w:val="none"/>
          <w:lang w:eastAsia="zh-CN"/>
        </w:rPr>
        <w:t>、废弃处置等</w:t>
      </w:r>
      <w:r>
        <w:rPr>
          <w:rFonts w:hint="eastAsia" w:ascii="宋体" w:hAnsi="宋体" w:eastAsia="宋体"/>
          <w:color w:val="auto"/>
          <w:szCs w:val="21"/>
          <w:highlight w:val="none"/>
        </w:rPr>
        <w:t>对甲方操作人员进行培训</w:t>
      </w:r>
      <w:r>
        <w:rPr>
          <w:rFonts w:hint="eastAsia" w:ascii="宋体" w:hAnsi="宋体" w:eastAsia="宋体" w:cs="宋体"/>
          <w:szCs w:val="15"/>
          <w:lang w:eastAsia="zh-CN"/>
        </w:rPr>
        <w:t>；</w:t>
      </w:r>
    </w:p>
    <w:p w14:paraId="7077B093">
      <w:pPr>
        <w:autoSpaceDE w:val="0"/>
        <w:autoSpaceDN w:val="0"/>
        <w:adjustRightInd w:val="0"/>
        <w:spacing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（5）依照法律、行政法规的规定或者按照</w:t>
      </w:r>
      <w:r>
        <w:rPr>
          <w:rFonts w:hint="eastAsia" w:ascii="宋体" w:hAnsi="宋体" w:eastAsia="宋体" w:cs="宋体"/>
          <w:b/>
          <w:bCs/>
          <w:sz w:val="21"/>
          <w:szCs w:val="21"/>
          <w:lang w:val="en-US" w:eastAsia="zh-CN" w:bidi="ar-SA"/>
        </w:rPr>
        <w:t>【合同专用条款】</w:t>
      </w:r>
      <w:r>
        <w:rPr>
          <w:rFonts w:hint="eastAsia" w:ascii="宋体" w:hAnsi="宋体" w:eastAsia="宋体" w:cs="宋体"/>
          <w:sz w:val="21"/>
          <w:szCs w:val="21"/>
          <w:lang w:val="en-US" w:eastAsia="zh-CN" w:bidi="ar-SA"/>
        </w:rPr>
        <w:t>约定，货物在有效使用年限届满后应予回收的，乙方负有自行或者委托第三人对货物予以回收的义务；</w:t>
      </w:r>
    </w:p>
    <w:p w14:paraId="221AC49D">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b/>
          <w:color w:val="auto"/>
          <w:szCs w:val="21"/>
          <w:highlight w:val="none"/>
        </w:rPr>
        <w:t>【合同专用条款】</w:t>
      </w:r>
      <w:r>
        <w:rPr>
          <w:rFonts w:hint="eastAsia" w:ascii="宋体" w:hAnsi="宋体" w:eastAsia="宋体"/>
          <w:color w:val="auto"/>
          <w:szCs w:val="21"/>
          <w:highlight w:val="none"/>
        </w:rPr>
        <w:t>规定由乙方提供的其他服务。</w:t>
      </w:r>
    </w:p>
    <w:p w14:paraId="6179AFC8">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.2 乙方提供的</w:t>
      </w:r>
      <w:r>
        <w:rPr>
          <w:rFonts w:hint="eastAsia" w:ascii="宋体" w:hAnsi="宋体" w:eastAsia="宋体"/>
          <w:color w:val="auto"/>
          <w:szCs w:val="21"/>
          <w:highlight w:val="none"/>
          <w:lang w:eastAsia="zh-CN"/>
        </w:rPr>
        <w:t>售后</w:t>
      </w:r>
      <w:r>
        <w:rPr>
          <w:rFonts w:hint="eastAsia" w:ascii="宋体" w:hAnsi="宋体" w:eastAsia="宋体"/>
          <w:color w:val="auto"/>
          <w:szCs w:val="21"/>
          <w:highlight w:val="none"/>
        </w:rPr>
        <w:t>服务的费用</w:t>
      </w:r>
      <w:r>
        <w:rPr>
          <w:rFonts w:hint="eastAsia" w:ascii="宋体" w:hAnsi="宋体" w:eastAsia="宋体"/>
          <w:color w:val="auto"/>
          <w:szCs w:val="21"/>
          <w:highlight w:val="none"/>
          <w:lang w:val="en-US" w:eastAsia="zh-CN"/>
        </w:rPr>
        <w:t>已</w:t>
      </w:r>
      <w:r>
        <w:rPr>
          <w:rFonts w:hint="eastAsia" w:ascii="宋体" w:hAnsi="宋体" w:eastAsia="宋体"/>
          <w:color w:val="auto"/>
          <w:szCs w:val="21"/>
          <w:highlight w:val="none"/>
        </w:rPr>
        <w:t>包含在合同价款中，甲方不再另行支付。</w:t>
      </w:r>
    </w:p>
    <w:p w14:paraId="7FB2A42D">
      <w:p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5</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违约责任</w:t>
      </w:r>
    </w:p>
    <w:p w14:paraId="2859DAAF">
      <w:pPr>
        <w:adjustRightInd w:val="0"/>
        <w:snapToGrid w:val="0"/>
        <w:spacing w:before="0" w:line="400" w:lineRule="exact"/>
        <w:ind w:firstLine="420" w:firstLineChars="200"/>
        <w:jc w:val="left"/>
        <w:rPr>
          <w:rFonts w:hint="eastAsia" w:ascii="宋体" w:hAnsi="宋体" w:eastAsia="宋体"/>
          <w:bCs/>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.1质量瑕疵的</w:t>
      </w:r>
      <w:r>
        <w:rPr>
          <w:rFonts w:hint="eastAsia" w:ascii="宋体" w:hAnsi="宋体" w:eastAsia="宋体"/>
          <w:bCs/>
          <w:color w:val="auto"/>
          <w:szCs w:val="21"/>
          <w:highlight w:val="none"/>
          <w:lang w:eastAsia="zh-CN"/>
        </w:rPr>
        <w:t>违约责任</w:t>
      </w:r>
    </w:p>
    <w:p w14:paraId="09EB5D5E">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乙方</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的产品不符合</w:t>
      </w:r>
      <w:r>
        <w:rPr>
          <w:rFonts w:hint="eastAsia" w:ascii="宋体" w:hAnsi="宋体" w:eastAsia="宋体"/>
          <w:color w:val="auto"/>
          <w:szCs w:val="21"/>
          <w:highlight w:val="none"/>
          <w:lang w:eastAsia="zh-CN"/>
        </w:rPr>
        <w:t>合同约定的</w:t>
      </w:r>
      <w:r>
        <w:rPr>
          <w:rFonts w:hint="eastAsia" w:ascii="宋体" w:hAnsi="宋体" w:eastAsia="宋体"/>
          <w:color w:val="auto"/>
          <w:szCs w:val="21"/>
          <w:highlight w:val="none"/>
        </w:rPr>
        <w:t>质量标准或存在产品质量缺陷，</w:t>
      </w:r>
      <w:r>
        <w:rPr>
          <w:rFonts w:hint="eastAsia" w:ascii="宋体" w:hAnsi="宋体" w:eastAsia="宋体"/>
          <w:color w:val="auto"/>
          <w:szCs w:val="21"/>
          <w:highlight w:val="none"/>
          <w:lang w:eastAsia="zh-CN"/>
        </w:rPr>
        <w:t>甲方有权要求乙方根据</w:t>
      </w:r>
      <w:r>
        <w:rPr>
          <w:rFonts w:hint="eastAsia" w:ascii="宋体" w:hAnsi="宋体" w:eastAsia="宋体"/>
          <w:b/>
          <w:color w:val="auto"/>
          <w:szCs w:val="21"/>
          <w:highlight w:val="none"/>
        </w:rPr>
        <w:t>【合同专用条款】</w:t>
      </w:r>
      <w:r>
        <w:rPr>
          <w:rFonts w:hint="eastAsia" w:ascii="宋体" w:hAnsi="宋体" w:eastAsia="宋体"/>
          <w:b w:val="0"/>
          <w:bCs/>
          <w:color w:val="auto"/>
          <w:szCs w:val="21"/>
          <w:highlight w:val="none"/>
          <w:lang w:eastAsia="zh-CN"/>
        </w:rPr>
        <w:t>要求</w:t>
      </w:r>
      <w:r>
        <w:rPr>
          <w:rFonts w:hint="eastAsia" w:ascii="宋体" w:hAnsi="宋体" w:eastAsia="宋体"/>
          <w:color w:val="auto"/>
          <w:szCs w:val="21"/>
          <w:highlight w:val="none"/>
          <w:lang w:eastAsia="zh-CN"/>
        </w:rPr>
        <w:t>及时修理、重作、更换，并承担由此给甲</w:t>
      </w:r>
      <w:r>
        <w:rPr>
          <w:rFonts w:hint="eastAsia" w:ascii="宋体" w:hAnsi="宋体" w:eastAsia="宋体"/>
          <w:color w:val="auto"/>
          <w:szCs w:val="21"/>
          <w:highlight w:val="none"/>
        </w:rPr>
        <w:t>方</w:t>
      </w:r>
      <w:r>
        <w:rPr>
          <w:rFonts w:hint="eastAsia" w:ascii="宋体" w:hAnsi="宋体" w:eastAsia="宋体"/>
          <w:color w:val="auto"/>
          <w:szCs w:val="21"/>
          <w:highlight w:val="none"/>
          <w:lang w:eastAsia="zh-CN"/>
        </w:rPr>
        <w:t>造成的损失</w:t>
      </w:r>
      <w:r>
        <w:rPr>
          <w:rFonts w:hint="eastAsia" w:ascii="宋体" w:hAnsi="宋体" w:eastAsia="宋体"/>
          <w:color w:val="auto"/>
          <w:szCs w:val="21"/>
          <w:highlight w:val="none"/>
        </w:rPr>
        <w:t>。</w:t>
      </w:r>
    </w:p>
    <w:p w14:paraId="3A7A6ED5">
      <w:pPr>
        <w:autoSpaceDE w:val="0"/>
        <w:autoSpaceDN w:val="0"/>
        <w:adjustRightInd w:val="0"/>
        <w:snapToGrid w:val="0"/>
        <w:spacing w:before="0" w:line="4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.2 迟延交货的违约责任</w:t>
      </w:r>
    </w:p>
    <w:p w14:paraId="29B77736">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（1）乙方应按照本合同规定的时间、地点交货和提供</w:t>
      </w:r>
      <w:r>
        <w:rPr>
          <w:rFonts w:hint="eastAsia" w:ascii="宋体" w:hAnsi="宋体" w:eastAsia="宋体"/>
          <w:color w:val="auto"/>
          <w:szCs w:val="21"/>
          <w:highlight w:val="none"/>
          <w:lang w:eastAsia="zh-CN"/>
        </w:rPr>
        <w:t>相关</w:t>
      </w:r>
      <w:r>
        <w:rPr>
          <w:rFonts w:hint="eastAsia" w:ascii="宋体" w:hAnsi="宋体" w:eastAsia="宋体"/>
          <w:color w:val="auto"/>
          <w:szCs w:val="21"/>
          <w:highlight w:val="none"/>
        </w:rPr>
        <w:t>服务。在履行合同过程中，如果乙方遇到可能</w:t>
      </w:r>
      <w:r>
        <w:rPr>
          <w:rFonts w:hint="eastAsia" w:ascii="宋体" w:hAnsi="宋体" w:eastAsia="宋体"/>
          <w:color w:val="auto"/>
          <w:szCs w:val="21"/>
          <w:highlight w:val="none"/>
          <w:lang w:eastAsia="zh-CN"/>
        </w:rPr>
        <w:t>影响</w:t>
      </w:r>
      <w:r>
        <w:rPr>
          <w:rFonts w:hint="eastAsia" w:ascii="宋体" w:hAnsi="宋体" w:eastAsia="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olor w:val="auto"/>
          <w:szCs w:val="21"/>
          <w:highlight w:val="none"/>
          <w:lang w:eastAsia="zh-CN"/>
        </w:rPr>
        <w:t>长</w:t>
      </w:r>
      <w:r>
        <w:rPr>
          <w:rFonts w:hint="eastAsia" w:ascii="宋体" w:hAnsi="宋体" w:eastAsia="宋体"/>
          <w:color w:val="auto"/>
          <w:szCs w:val="21"/>
          <w:highlight w:val="none"/>
        </w:rPr>
        <w:t>交货时间或延期提供服务。</w:t>
      </w:r>
    </w:p>
    <w:p w14:paraId="033F39F8">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rPr>
        <w:t>（2）如果乙方没有按照合同规定的时间交货和提供</w:t>
      </w:r>
      <w:r>
        <w:rPr>
          <w:rFonts w:hint="eastAsia" w:ascii="宋体" w:hAnsi="宋体" w:eastAsia="宋体"/>
          <w:color w:val="auto"/>
          <w:szCs w:val="21"/>
          <w:highlight w:val="none"/>
          <w:lang w:eastAsia="zh-CN"/>
        </w:rPr>
        <w:t>相关</w:t>
      </w:r>
      <w:r>
        <w:rPr>
          <w:rFonts w:hint="eastAsia" w:ascii="宋体" w:hAnsi="宋体" w:eastAsia="宋体"/>
          <w:color w:val="auto"/>
          <w:szCs w:val="21"/>
          <w:highlight w:val="none"/>
        </w:rPr>
        <w:t>服务，甲方有权从货款中扣除误期赔偿费而不影响合同项下的其他补救方法，赔偿费按</w:t>
      </w:r>
      <w:r>
        <w:rPr>
          <w:rFonts w:hint="eastAsia" w:ascii="宋体" w:hAnsi="宋体" w:eastAsia="宋体"/>
          <w:b/>
          <w:color w:val="auto"/>
          <w:szCs w:val="21"/>
          <w:highlight w:val="none"/>
        </w:rPr>
        <w:t>【合同专用条款】</w:t>
      </w:r>
      <w:r>
        <w:rPr>
          <w:rFonts w:hint="eastAsia" w:ascii="宋体" w:hAnsi="宋体" w:eastAsia="宋体"/>
          <w:color w:val="auto"/>
          <w:szCs w:val="21"/>
          <w:highlight w:val="none"/>
        </w:rPr>
        <w:t>规定执行。如果涉及公共利益，且赔偿金额无法弥补公共利益损失，</w:t>
      </w:r>
      <w:r>
        <w:rPr>
          <w:rFonts w:hint="eastAsia" w:ascii="宋体" w:hAnsi="宋体" w:eastAsia="宋体"/>
          <w:color w:val="auto"/>
          <w:szCs w:val="21"/>
          <w:highlight w:val="none"/>
          <w:lang w:eastAsia="zh-CN"/>
        </w:rPr>
        <w:t>甲方</w:t>
      </w:r>
      <w:r>
        <w:rPr>
          <w:rFonts w:hint="eastAsia" w:ascii="宋体" w:hAnsi="宋体" w:eastAsia="宋体"/>
          <w:color w:val="auto"/>
          <w:szCs w:val="21"/>
          <w:highlight w:val="none"/>
        </w:rPr>
        <w:t>可要求继续履行或者</w:t>
      </w:r>
      <w:r>
        <w:rPr>
          <w:rFonts w:hint="eastAsia" w:ascii="宋体" w:hAnsi="宋体" w:eastAsia="宋体"/>
          <w:color w:val="auto"/>
          <w:szCs w:val="21"/>
          <w:highlight w:val="none"/>
          <w:lang w:eastAsia="zh-CN"/>
        </w:rPr>
        <w:t>采取其他补救措施</w:t>
      </w:r>
      <w:r>
        <w:rPr>
          <w:rFonts w:hint="eastAsia" w:ascii="宋体" w:hAnsi="宋体" w:eastAsia="宋体"/>
          <w:color w:val="auto"/>
          <w:szCs w:val="21"/>
          <w:highlight w:val="none"/>
        </w:rPr>
        <w:t>。</w:t>
      </w:r>
    </w:p>
    <w:p w14:paraId="78248CA7">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5</w:t>
      </w:r>
      <w:r>
        <w:rPr>
          <w:rFonts w:hint="eastAsia" w:ascii="宋体" w:hAnsi="宋体" w:eastAsia="宋体"/>
          <w:color w:val="auto"/>
          <w:szCs w:val="21"/>
          <w:highlight w:val="none"/>
        </w:rPr>
        <w:t>.3 迟延支付的违约责任</w:t>
      </w:r>
    </w:p>
    <w:p w14:paraId="07652EF4">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甲方存在迟延支付乙方合同款项的，应当承担</w:t>
      </w:r>
      <w:r>
        <w:rPr>
          <w:rFonts w:hint="eastAsia" w:ascii="宋体" w:hAnsi="宋体" w:eastAsia="宋体"/>
          <w:b/>
          <w:bCs/>
          <w:color w:val="auto"/>
          <w:szCs w:val="21"/>
          <w:highlight w:val="none"/>
        </w:rPr>
        <w:t>【合同专用条款】</w:t>
      </w:r>
      <w:r>
        <w:rPr>
          <w:rFonts w:hint="eastAsia" w:ascii="宋体" w:hAnsi="宋体" w:eastAsia="宋体"/>
          <w:color w:val="auto"/>
          <w:szCs w:val="21"/>
          <w:highlight w:val="none"/>
        </w:rPr>
        <w:t>规定的逾期付款利息。</w:t>
      </w:r>
    </w:p>
    <w:p w14:paraId="7DF814C9">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.4其他违约责任根据项目实际需要按</w:t>
      </w:r>
      <w:r>
        <w:rPr>
          <w:rFonts w:hint="eastAsia" w:ascii="宋体" w:hAnsi="宋体" w:eastAsia="宋体"/>
          <w:b/>
          <w:bCs/>
          <w:color w:val="auto"/>
          <w:szCs w:val="21"/>
          <w:highlight w:val="none"/>
        </w:rPr>
        <w:t>【合同专用条款】</w:t>
      </w:r>
      <w:r>
        <w:rPr>
          <w:rFonts w:hint="eastAsia" w:ascii="宋体" w:hAnsi="宋体" w:eastAsia="宋体"/>
          <w:color w:val="auto"/>
          <w:szCs w:val="21"/>
          <w:highlight w:val="none"/>
        </w:rPr>
        <w:t>规定执行。</w:t>
      </w:r>
    </w:p>
    <w:p w14:paraId="1177038D">
      <w:pPr>
        <w:numPr>
          <w:ilvl w:val="0"/>
          <w:numId w:val="14"/>
        </w:num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auto"/>
          <w:sz w:val="24"/>
          <w:highlight w:val="none"/>
        </w:rPr>
        <w:t>合同变更</w:t>
      </w:r>
      <w:r>
        <w:rPr>
          <w:rFonts w:hint="eastAsia" w:ascii="宋体" w:hAnsi="宋体" w:eastAsia="宋体"/>
          <w:b/>
          <w:color w:val="auto"/>
          <w:sz w:val="24"/>
          <w:highlight w:val="none"/>
          <w:lang w:eastAsia="zh-CN"/>
        </w:rPr>
        <w:t>、中止与终止</w:t>
      </w:r>
    </w:p>
    <w:p w14:paraId="3983AE0B">
      <w:pPr>
        <w:autoSpaceDE/>
        <w:autoSpaceDN/>
        <w:adjustRightInd w:val="0"/>
        <w:snapToGrid w:val="0"/>
        <w:spacing w:before="0" w:line="400" w:lineRule="exact"/>
        <w:ind w:firstLine="0" w:firstLineChars="0"/>
        <w:jc w:val="left"/>
        <w:rPr>
          <w:rFonts w:hint="eastAsia" w:ascii="宋体" w:hAnsi="宋体" w:eastAsia="宋体"/>
          <w:color w:val="auto"/>
          <w:szCs w:val="21"/>
          <w:highlight w:val="none"/>
        </w:rPr>
      </w:pPr>
      <w:r>
        <w:rPr>
          <w:rFonts w:hint="eastAsia" w:ascii="宋体" w:hAnsi="宋体" w:eastAsia="宋体"/>
          <w:color w:val="auto"/>
          <w:szCs w:val="21"/>
          <w:highlight w:val="none"/>
          <w:lang w:val="en-US" w:eastAsia="zh-CN"/>
        </w:rPr>
        <w:t xml:space="preserve">    </w:t>
      </w: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.1合同的</w:t>
      </w:r>
      <w:r>
        <w:rPr>
          <w:rFonts w:hint="eastAsia" w:ascii="宋体" w:hAnsi="宋体" w:eastAsia="宋体"/>
          <w:color w:val="auto"/>
          <w:szCs w:val="21"/>
          <w:highlight w:val="none"/>
          <w:lang w:eastAsia="zh-CN"/>
        </w:rPr>
        <w:t>变更</w:t>
      </w:r>
    </w:p>
    <w:p w14:paraId="5BDFABFE">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合同履行中，</w:t>
      </w:r>
      <w:r>
        <w:rPr>
          <w:rFonts w:hint="eastAsia" w:ascii="宋体" w:hAnsi="宋体" w:eastAsia="宋体"/>
          <w:color w:val="auto"/>
          <w:szCs w:val="21"/>
          <w:highlight w:val="none"/>
        </w:rPr>
        <w:t>在不改变合同其他条款的前提下，甲方可以在合同价款10%的范围内追加与合同标的相同的货物，并就此与乙方协商</w:t>
      </w:r>
      <w:r>
        <w:rPr>
          <w:rFonts w:hint="eastAsia" w:ascii="宋体" w:hAnsi="宋体" w:eastAsia="宋体"/>
          <w:color w:val="auto"/>
          <w:szCs w:val="21"/>
          <w:highlight w:val="none"/>
          <w:lang w:eastAsia="zh-CN"/>
        </w:rPr>
        <w:t>一致后</w:t>
      </w:r>
      <w:r>
        <w:rPr>
          <w:rFonts w:hint="eastAsia" w:ascii="宋体" w:hAnsi="宋体" w:eastAsia="宋体"/>
          <w:color w:val="auto"/>
          <w:szCs w:val="21"/>
          <w:highlight w:val="none"/>
        </w:rPr>
        <w:t>签订补充协议。</w:t>
      </w:r>
    </w:p>
    <w:p w14:paraId="3E6C985D">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合同的中止</w:t>
      </w:r>
    </w:p>
    <w:p w14:paraId="44844D00">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（1）合同履行过程中因供应商就采购文件、采购过程或结果提起投诉的，甲方认为有必要的，</w:t>
      </w:r>
      <w:r>
        <w:rPr>
          <w:rFonts w:hint="eastAsia" w:ascii="宋体" w:hAnsi="宋体" w:eastAsia="宋体"/>
          <w:color w:val="auto"/>
          <w:szCs w:val="21"/>
          <w:highlight w:val="none"/>
          <w:lang w:eastAsia="zh-CN"/>
        </w:rPr>
        <w:t>可以</w:t>
      </w:r>
      <w:r>
        <w:rPr>
          <w:rFonts w:hint="eastAsia" w:ascii="宋体" w:hAnsi="宋体" w:eastAsia="宋体"/>
          <w:color w:val="auto"/>
          <w:szCs w:val="21"/>
          <w:highlight w:val="none"/>
        </w:rPr>
        <w:t>中止合同的履行。</w:t>
      </w:r>
    </w:p>
    <w:p w14:paraId="37FEDDA4">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合同履行过程中，</w:t>
      </w:r>
      <w:r>
        <w:rPr>
          <w:rFonts w:hint="eastAsia" w:ascii="宋体" w:hAnsi="宋体" w:eastAsia="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olor w:val="auto"/>
          <w:szCs w:val="21"/>
          <w:highlight w:val="none"/>
          <w:lang w:eastAsia="zh-CN"/>
        </w:rPr>
        <w:t>，乙方有义务及时告知甲方</w:t>
      </w:r>
      <w:r>
        <w:rPr>
          <w:rFonts w:hint="eastAsia" w:ascii="宋体" w:hAnsi="宋体" w:eastAsia="宋体"/>
          <w:color w:val="auto"/>
          <w:szCs w:val="21"/>
          <w:highlight w:val="none"/>
        </w:rPr>
        <w:t>。甲方</w:t>
      </w:r>
      <w:r>
        <w:rPr>
          <w:rFonts w:hint="eastAsia" w:ascii="宋体" w:hAnsi="宋体" w:eastAsia="宋体"/>
          <w:color w:val="auto"/>
          <w:szCs w:val="21"/>
          <w:highlight w:val="none"/>
          <w:lang w:eastAsia="zh-CN"/>
        </w:rPr>
        <w:t>有权</w:t>
      </w:r>
      <w:r>
        <w:rPr>
          <w:rFonts w:hint="eastAsia" w:ascii="宋体" w:hAnsi="宋体" w:eastAsia="宋体"/>
          <w:color w:val="auto"/>
          <w:szCs w:val="21"/>
          <w:highlight w:val="none"/>
        </w:rPr>
        <w:t>以书面形式通知乙方中止合同</w:t>
      </w:r>
      <w:r>
        <w:rPr>
          <w:rFonts w:hint="eastAsia" w:ascii="宋体" w:hAnsi="宋体" w:eastAsia="宋体"/>
          <w:color w:val="auto"/>
          <w:szCs w:val="21"/>
          <w:highlight w:val="none"/>
          <w:lang w:eastAsia="zh-CN"/>
        </w:rPr>
        <w:t>并要求乙方在合理期限内消除相关情形或者提供适当担保。</w:t>
      </w:r>
      <w:r>
        <w:rPr>
          <w:rFonts w:hint="eastAsia" w:ascii="宋体" w:hAnsi="宋体" w:eastAsia="宋体"/>
          <w:color w:val="auto"/>
          <w:szCs w:val="21"/>
          <w:highlight w:val="none"/>
        </w:rPr>
        <w:t>乙方提供适当担保的，</w:t>
      </w:r>
      <w:r>
        <w:rPr>
          <w:rFonts w:hint="eastAsia" w:ascii="宋体" w:hAnsi="宋体" w:eastAsia="宋体"/>
          <w:color w:val="auto"/>
          <w:szCs w:val="21"/>
          <w:highlight w:val="none"/>
          <w:lang w:eastAsia="zh-CN"/>
        </w:rPr>
        <w:t>合同继续</w:t>
      </w:r>
      <w:r>
        <w:rPr>
          <w:rFonts w:hint="eastAsia" w:ascii="宋体" w:hAnsi="宋体" w:eastAsia="宋体"/>
          <w:color w:val="auto"/>
          <w:szCs w:val="21"/>
          <w:highlight w:val="none"/>
        </w:rPr>
        <w:t>履行</w:t>
      </w:r>
      <w:r>
        <w:rPr>
          <w:rFonts w:hint="eastAsia" w:ascii="宋体" w:hAnsi="宋体" w:eastAsia="宋体"/>
          <w:color w:val="auto"/>
          <w:szCs w:val="21"/>
          <w:highlight w:val="none"/>
          <w:lang w:eastAsia="zh-CN"/>
        </w:rPr>
        <w:t>；乙</w:t>
      </w:r>
      <w:r>
        <w:rPr>
          <w:rFonts w:hint="eastAsia" w:ascii="宋体" w:hAnsi="宋体" w:eastAsia="宋体"/>
          <w:color w:val="auto"/>
          <w:szCs w:val="21"/>
          <w:highlight w:val="none"/>
        </w:rPr>
        <w:t>方在合理期限内未恢复履约能力且未提供适当担保的，视为拒绝</w:t>
      </w:r>
      <w:r>
        <w:rPr>
          <w:rFonts w:hint="eastAsia" w:ascii="宋体" w:hAnsi="宋体" w:eastAsia="宋体"/>
          <w:color w:val="auto"/>
          <w:szCs w:val="21"/>
          <w:highlight w:val="none"/>
          <w:lang w:eastAsia="zh-CN"/>
        </w:rPr>
        <w:t>继续</w:t>
      </w:r>
      <w:r>
        <w:rPr>
          <w:rFonts w:hint="eastAsia" w:ascii="宋体" w:hAnsi="宋体" w:eastAsia="宋体"/>
          <w:color w:val="auto"/>
          <w:szCs w:val="21"/>
          <w:highlight w:val="none"/>
        </w:rPr>
        <w:t>履约，甲方</w:t>
      </w:r>
      <w:r>
        <w:rPr>
          <w:rFonts w:hint="eastAsia" w:ascii="宋体" w:hAnsi="宋体" w:eastAsia="宋体"/>
          <w:color w:val="auto"/>
          <w:szCs w:val="21"/>
          <w:highlight w:val="none"/>
          <w:lang w:eastAsia="zh-CN"/>
        </w:rPr>
        <w:t>有权</w:t>
      </w:r>
      <w:r>
        <w:rPr>
          <w:rFonts w:hint="eastAsia" w:ascii="宋体" w:hAnsi="宋体" w:eastAsia="宋体"/>
          <w:color w:val="auto"/>
          <w:szCs w:val="21"/>
          <w:highlight w:val="none"/>
        </w:rPr>
        <w:t>解除合同并要求乙方承担</w:t>
      </w:r>
      <w:r>
        <w:rPr>
          <w:rFonts w:hint="eastAsia" w:ascii="宋体" w:hAnsi="宋体" w:eastAsia="宋体"/>
          <w:color w:val="auto"/>
          <w:szCs w:val="21"/>
          <w:highlight w:val="none"/>
          <w:lang w:eastAsia="zh-CN"/>
        </w:rPr>
        <w:t>由此给甲方造成的损失</w:t>
      </w:r>
      <w:r>
        <w:rPr>
          <w:rFonts w:hint="eastAsia" w:ascii="宋体" w:hAnsi="宋体" w:eastAsia="宋体"/>
          <w:color w:val="auto"/>
          <w:szCs w:val="21"/>
          <w:highlight w:val="none"/>
        </w:rPr>
        <w:t>。</w:t>
      </w:r>
    </w:p>
    <w:p w14:paraId="2BEBA7F6">
      <w:pPr>
        <w:autoSpaceDE w:val="0"/>
        <w:autoSpaceDN w:val="0"/>
        <w:adjustRightInd w:val="0"/>
        <w:spacing w:line="400" w:lineRule="exact"/>
        <w:ind w:firstLine="420" w:firstLineChars="20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（3）乙方分立、合并或者变更住所的，应当及时以书面形式告知甲方。乙方没有及时告知甲方，致使合同履行发生困难的，甲方可以中止合同履行并要求乙方承担由此给甲方造成的损失。</w:t>
      </w:r>
    </w:p>
    <w:p w14:paraId="3F20CB02">
      <w:pPr>
        <w:snapToGrid w:val="0"/>
        <w:spacing w:line="400" w:lineRule="exact"/>
        <w:ind w:firstLine="420" w:firstLineChars="200"/>
        <w:jc w:val="left"/>
        <w:rPr>
          <w:rFonts w:eastAsia="宋体"/>
          <w:sz w:val="21"/>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）甲方不得以行政区划调整、政府换届、机构或者职能调整以及相关责任人更替为由中止合同。</w:t>
      </w:r>
    </w:p>
    <w:p w14:paraId="5DB71459">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合同的终止</w:t>
      </w:r>
    </w:p>
    <w:p w14:paraId="58B0DD60">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（1）合同因有效期限届满而终止；</w:t>
      </w:r>
    </w:p>
    <w:p w14:paraId="144AE77B">
      <w:pPr>
        <w:snapToGrid w:val="0"/>
        <w:spacing w:line="400" w:lineRule="exact"/>
        <w:ind w:firstLine="420" w:firstLineChars="200"/>
        <w:rPr>
          <w:rFonts w:hint="eastAsia" w:ascii="宋体" w:hAnsi="宋体" w:eastAsia="宋体" w:cs="宋体"/>
          <w:szCs w:val="21"/>
          <w:lang w:eastAsia="zh-CN"/>
        </w:rPr>
      </w:pPr>
      <w:r>
        <w:rPr>
          <w:rFonts w:hint="eastAsia" w:ascii="宋体" w:hAnsi="宋体" w:eastAsia="宋体"/>
          <w:color w:val="auto"/>
          <w:szCs w:val="21"/>
          <w:highlight w:val="none"/>
        </w:rPr>
        <w:t>（2）乙方未</w:t>
      </w:r>
      <w:r>
        <w:rPr>
          <w:rFonts w:hint="eastAsia" w:ascii="宋体" w:hAnsi="宋体" w:eastAsia="宋体"/>
          <w:color w:val="auto"/>
          <w:szCs w:val="21"/>
          <w:highlight w:val="none"/>
          <w:lang w:eastAsia="zh-CN"/>
        </w:rPr>
        <w:t>按</w:t>
      </w:r>
      <w:r>
        <w:rPr>
          <w:rFonts w:hint="eastAsia" w:ascii="宋体" w:hAnsi="宋体" w:eastAsia="宋体"/>
          <w:color w:val="auto"/>
          <w:szCs w:val="21"/>
          <w:highlight w:val="none"/>
        </w:rPr>
        <w:t>合同约定履行，构成根本性违约的，甲方有权终止合同</w:t>
      </w:r>
      <w:r>
        <w:rPr>
          <w:rFonts w:hint="eastAsia" w:ascii="宋体" w:hAnsi="宋体" w:eastAsia="宋体"/>
          <w:color w:val="auto"/>
          <w:szCs w:val="21"/>
          <w:highlight w:val="none"/>
          <w:lang w:eastAsia="zh-CN"/>
        </w:rPr>
        <w:t>，</w:t>
      </w:r>
      <w:r>
        <w:rPr>
          <w:rFonts w:hint="eastAsia" w:ascii="宋体" w:hAnsi="宋体" w:eastAsia="宋体" w:cs="宋体"/>
          <w:szCs w:val="21"/>
        </w:rPr>
        <w:t>并追究乙方的违约责</w:t>
      </w:r>
      <w:r>
        <w:rPr>
          <w:rFonts w:hint="eastAsia" w:ascii="宋体" w:hAnsi="宋体" w:eastAsia="宋体" w:cs="宋体"/>
          <w:szCs w:val="21"/>
          <w:lang w:val="en-US" w:eastAsia="zh-CN"/>
        </w:rPr>
        <w:t>任</w:t>
      </w:r>
      <w:r>
        <w:rPr>
          <w:rFonts w:hint="eastAsia" w:ascii="宋体" w:hAnsi="宋体" w:eastAsia="宋体"/>
          <w:color w:val="auto"/>
          <w:szCs w:val="21"/>
          <w:highlight w:val="none"/>
        </w:rPr>
        <w:t>。</w:t>
      </w:r>
    </w:p>
    <w:p w14:paraId="2AC13DDE">
      <w:pPr>
        <w:autoSpaceDE w:val="0"/>
        <w:autoSpaceDN w:val="0"/>
        <w:adjustRightInd w:val="0"/>
        <w:spacing w:line="400" w:lineRule="exact"/>
        <w:ind w:firstLine="440" w:firstLineChars="200"/>
        <w:rPr>
          <w:rFonts w:hint="eastAsia" w:ascii="宋体" w:hAnsi="宋体" w:eastAsia="华文楷体" w:cs="华文楷体"/>
          <w:color w:val="auto"/>
          <w:sz w:val="22"/>
          <w:szCs w:val="21"/>
          <w:highlight w:val="none"/>
          <w:lang w:val="en-US" w:eastAsia="zh-CN" w:bidi="ar-SA"/>
        </w:rPr>
      </w:pPr>
      <w:r>
        <w:rPr>
          <w:rFonts w:hint="eastAsia" w:ascii="宋体" w:hAnsi="宋体" w:eastAsia="华文楷体" w:cs="华文楷体"/>
          <w:color w:val="auto"/>
          <w:sz w:val="22"/>
          <w:szCs w:val="21"/>
          <w:highlight w:val="none"/>
          <w:lang w:val="en-US" w:eastAsia="zh-CN" w:bidi="ar-SA"/>
        </w:rPr>
        <w:t xml:space="preserve">16.4 </w:t>
      </w:r>
      <w:r>
        <w:rPr>
          <w:rFonts w:hint="eastAsia" w:ascii="宋体" w:hAnsi="宋体" w:eastAsia="宋体" w:cs="Times New Roman"/>
          <w:color w:val="auto"/>
          <w:kern w:val="2"/>
          <w:sz w:val="21"/>
          <w:szCs w:val="21"/>
          <w:highlight w:val="none"/>
          <w:lang w:val="en-US" w:eastAsia="zh-CN" w:bidi="ar-SA"/>
        </w:rPr>
        <w:t>涉及国家利益、社会公共利益的情形</w:t>
      </w:r>
    </w:p>
    <w:p w14:paraId="3230EE78">
      <w:pPr>
        <w:autoSpaceDE w:val="0"/>
        <w:autoSpaceDN w:val="0"/>
        <w:adjustRightInd w:val="0"/>
        <w:spacing w:line="400" w:lineRule="exact"/>
        <w:ind w:firstLine="420" w:firstLineChars="20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合同继续履行将损害国家利益和社会公共利益的，双方当事人</w:t>
      </w:r>
      <w:r>
        <w:rPr>
          <w:rFonts w:hint="eastAsia" w:ascii="宋体" w:hAnsi="宋体" w:eastAsia="宋体" w:cs="宋体"/>
          <w:sz w:val="21"/>
          <w:szCs w:val="21"/>
          <w:highlight w:val="none"/>
          <w:lang w:val="en-US" w:eastAsia="zh-CN" w:bidi="ar-SA"/>
        </w:rPr>
        <w:t>应当变更、</w:t>
      </w:r>
      <w:r>
        <w:rPr>
          <w:rFonts w:hint="eastAsia" w:ascii="宋体" w:hAnsi="宋体" w:eastAsia="宋体" w:cs="宋体"/>
          <w:sz w:val="21"/>
          <w:szCs w:val="21"/>
          <w:lang w:val="en-US" w:eastAsia="zh-CN" w:bidi="ar-SA"/>
        </w:rPr>
        <w:t>中止或者终止合同。有过错的一方应当承担赔偿责任，双方都有过错的，各自承担相应的责任。</w:t>
      </w:r>
    </w:p>
    <w:p w14:paraId="385CCD43">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val="en-US" w:eastAsia="zh-CN"/>
        </w:rPr>
        <w:t>7</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合同分包</w:t>
      </w:r>
    </w:p>
    <w:p w14:paraId="60C2FD1F">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7</w:t>
      </w:r>
      <w:r>
        <w:rPr>
          <w:rFonts w:hint="eastAsia" w:ascii="宋体" w:hAnsi="宋体" w:eastAsia="宋体"/>
          <w:color w:val="auto"/>
          <w:szCs w:val="21"/>
          <w:highlight w:val="none"/>
        </w:rPr>
        <w:t>.1 乙方不得</w:t>
      </w:r>
      <w:r>
        <w:rPr>
          <w:rFonts w:hint="eastAsia" w:ascii="宋体" w:hAnsi="宋体" w:eastAsia="宋体"/>
          <w:color w:val="auto"/>
          <w:szCs w:val="21"/>
          <w:highlight w:val="none"/>
          <w:lang w:eastAsia="zh-CN"/>
        </w:rPr>
        <w:t>将合同转包给其他供应商。涉及合同分包的，乙方</w:t>
      </w:r>
      <w:r>
        <w:rPr>
          <w:rFonts w:hint="eastAsia" w:ascii="宋体" w:hAnsi="宋体" w:eastAsia="宋体"/>
          <w:color w:val="auto"/>
          <w:szCs w:val="21"/>
          <w:highlight w:val="none"/>
          <w:lang w:val="en-US" w:eastAsia="zh-CN"/>
        </w:rPr>
        <w:t>应</w:t>
      </w:r>
      <w:r>
        <w:rPr>
          <w:rFonts w:hint="eastAsia" w:ascii="宋体" w:hAnsi="宋体" w:eastAsia="宋体"/>
          <w:color w:val="auto"/>
          <w:szCs w:val="21"/>
          <w:highlight w:val="none"/>
          <w:lang w:eastAsia="zh-CN"/>
        </w:rPr>
        <w:t>根据采购文件和投标（响应）文件规定进行</w:t>
      </w:r>
      <w:r>
        <w:rPr>
          <w:rFonts w:hint="eastAsia" w:ascii="宋体" w:hAnsi="宋体" w:eastAsia="宋体"/>
          <w:color w:val="auto"/>
          <w:szCs w:val="21"/>
          <w:highlight w:val="none"/>
        </w:rPr>
        <w:t>合同分包。</w:t>
      </w:r>
    </w:p>
    <w:p w14:paraId="15E4FB2F">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7</w:t>
      </w:r>
      <w:r>
        <w:rPr>
          <w:rFonts w:hint="eastAsia" w:ascii="宋体" w:hAnsi="宋体" w:eastAsia="宋体"/>
          <w:color w:val="auto"/>
          <w:szCs w:val="21"/>
          <w:highlight w:val="none"/>
        </w:rPr>
        <w:t>.2 乙方执行向中小企业依法分包的</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乙方应当按采购文件</w:t>
      </w:r>
      <w:r>
        <w:rPr>
          <w:rFonts w:hint="eastAsia" w:ascii="宋体" w:hAnsi="宋体" w:eastAsia="宋体"/>
          <w:color w:val="auto"/>
          <w:szCs w:val="21"/>
          <w:highlight w:val="none"/>
          <w:lang w:eastAsia="zh-CN"/>
        </w:rPr>
        <w:t>和</w:t>
      </w:r>
      <w:r>
        <w:rPr>
          <w:rFonts w:hint="eastAsia" w:ascii="宋体" w:hAnsi="宋体" w:eastAsia="宋体"/>
          <w:color w:val="auto"/>
          <w:szCs w:val="21"/>
          <w:highlight w:val="none"/>
        </w:rPr>
        <w:t>投标（响应）文件签订分包</w:t>
      </w:r>
      <w:r>
        <w:rPr>
          <w:rFonts w:hint="eastAsia" w:ascii="宋体" w:hAnsi="宋体" w:eastAsia="宋体"/>
          <w:color w:val="auto"/>
          <w:szCs w:val="21"/>
          <w:highlight w:val="none"/>
          <w:lang w:eastAsia="zh-CN"/>
        </w:rPr>
        <w:t>意向</w:t>
      </w:r>
      <w:r>
        <w:rPr>
          <w:rFonts w:hint="eastAsia" w:ascii="宋体" w:hAnsi="宋体" w:eastAsia="宋体"/>
          <w:color w:val="auto"/>
          <w:szCs w:val="21"/>
          <w:highlight w:val="none"/>
        </w:rPr>
        <w:t>协议，分包</w:t>
      </w:r>
      <w:r>
        <w:rPr>
          <w:rFonts w:hint="eastAsia" w:ascii="宋体" w:hAnsi="宋体" w:eastAsia="宋体"/>
          <w:color w:val="auto"/>
          <w:szCs w:val="21"/>
          <w:highlight w:val="none"/>
          <w:lang w:eastAsia="zh-CN"/>
        </w:rPr>
        <w:t>意向</w:t>
      </w:r>
      <w:r>
        <w:rPr>
          <w:rFonts w:hint="eastAsia" w:ascii="宋体" w:hAnsi="宋体" w:eastAsia="宋体"/>
          <w:color w:val="auto"/>
          <w:szCs w:val="21"/>
          <w:highlight w:val="none"/>
        </w:rPr>
        <w:t>协议属于本合同组成部分。</w:t>
      </w:r>
    </w:p>
    <w:p w14:paraId="5D953A6F">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lang w:eastAsia="zh-CN"/>
        </w:rPr>
        <w:t>1</w:t>
      </w:r>
      <w:r>
        <w:rPr>
          <w:rFonts w:hint="eastAsia" w:ascii="宋体" w:hAnsi="宋体" w:eastAsia="宋体"/>
          <w:b/>
          <w:bCs/>
          <w:color w:val="auto"/>
          <w:sz w:val="24"/>
          <w:highlight w:val="none"/>
          <w:lang w:val="en-US" w:eastAsia="zh-CN"/>
        </w:rPr>
        <w:t>8</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不可抗力</w:t>
      </w:r>
    </w:p>
    <w:p w14:paraId="2EDA3C8B">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.1 不可抗力是指合同双方不能预见、不能避免且不能克服的客观情况。</w:t>
      </w:r>
    </w:p>
    <w:p w14:paraId="5D38E3E4">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.2 任何一方对由于不可抗力造成的部分或全部不能履行合同不承担违约责任。但迟延履行后发生不可抗力的，不能免除责任。</w:t>
      </w:r>
    </w:p>
    <w:p w14:paraId="541D8317">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.3 遇有不可抗力的一方，应及时将事件情况以书面形式</w:t>
      </w:r>
      <w:r>
        <w:rPr>
          <w:rFonts w:hint="eastAsia" w:ascii="宋体" w:hAnsi="宋体" w:eastAsia="宋体"/>
          <w:color w:val="auto"/>
          <w:szCs w:val="21"/>
          <w:highlight w:val="none"/>
          <w:lang w:eastAsia="zh-CN"/>
        </w:rPr>
        <w:t>告</w:t>
      </w:r>
      <w:r>
        <w:rPr>
          <w:rFonts w:hint="eastAsia" w:ascii="宋体" w:hAnsi="宋体" w:eastAsia="宋体"/>
          <w:color w:val="auto"/>
          <w:szCs w:val="21"/>
          <w:highlight w:val="none"/>
        </w:rPr>
        <w:t>知另一方，并在事件发生后及时向另一方提交合同不能履行或部分不能履行或需要延期履行</w:t>
      </w:r>
      <w:r>
        <w:rPr>
          <w:rFonts w:hint="eastAsia" w:ascii="宋体" w:hAnsi="宋体" w:eastAsia="宋体"/>
          <w:color w:val="auto"/>
          <w:szCs w:val="21"/>
          <w:highlight w:val="none"/>
          <w:lang w:eastAsia="zh-CN"/>
        </w:rPr>
        <w:t>的详细</w:t>
      </w:r>
      <w:r>
        <w:rPr>
          <w:rFonts w:hint="eastAsia" w:ascii="宋体" w:hAnsi="宋体" w:eastAsia="宋体"/>
          <w:color w:val="auto"/>
          <w:szCs w:val="21"/>
          <w:highlight w:val="none"/>
        </w:rPr>
        <w:t>报告</w:t>
      </w:r>
      <w:r>
        <w:rPr>
          <w:rFonts w:hint="eastAsia" w:ascii="宋体" w:hAnsi="宋体" w:eastAsia="宋体"/>
          <w:color w:val="auto"/>
          <w:szCs w:val="21"/>
          <w:highlight w:val="none"/>
          <w:lang w:eastAsia="zh-CN"/>
        </w:rPr>
        <w:t>，以</w:t>
      </w:r>
      <w:r>
        <w:rPr>
          <w:rFonts w:hint="eastAsia" w:ascii="宋体" w:hAnsi="宋体" w:eastAsia="宋体"/>
          <w:color w:val="auto"/>
          <w:szCs w:val="21"/>
          <w:highlight w:val="none"/>
          <w:lang w:val="en-US" w:eastAsia="zh-CN"/>
        </w:rPr>
        <w:t>及证明不可抗力发生及其持续时间的证据</w:t>
      </w:r>
      <w:r>
        <w:rPr>
          <w:rFonts w:hint="eastAsia" w:ascii="宋体" w:hAnsi="宋体" w:eastAsia="宋体"/>
          <w:color w:val="auto"/>
          <w:szCs w:val="21"/>
          <w:highlight w:val="none"/>
        </w:rPr>
        <w:t>。</w:t>
      </w:r>
    </w:p>
    <w:p w14:paraId="431DF221">
      <w:pPr>
        <w:autoSpaceDE w:val="0"/>
        <w:autoSpaceDN w:val="0"/>
        <w:adjustRightInd w:val="0"/>
        <w:snapToGrid w:val="0"/>
        <w:spacing w:before="0" w:line="400" w:lineRule="exact"/>
        <w:jc w:val="left"/>
        <w:rPr>
          <w:rFonts w:hint="eastAsia" w:ascii="宋体" w:hAnsi="宋体" w:eastAsia="宋体"/>
          <w:b/>
          <w:bCs/>
          <w:color w:val="auto"/>
          <w:sz w:val="24"/>
          <w:highlight w:val="none"/>
        </w:rPr>
      </w:pPr>
      <w:r>
        <w:rPr>
          <w:rFonts w:hint="eastAsia" w:ascii="宋体" w:hAnsi="宋体" w:eastAsia="宋体"/>
          <w:b/>
          <w:bCs/>
          <w:color w:val="auto"/>
          <w:sz w:val="24"/>
          <w:highlight w:val="none"/>
          <w:lang w:val="en-US" w:eastAsia="zh-CN"/>
        </w:rPr>
        <w:t>19</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解决争议的方法</w:t>
      </w:r>
    </w:p>
    <w:p w14:paraId="713FC85C">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19.1 因本合同及合同有关事项发生的争议，由甲乙双方友好协商解决。协商不成时，可以向有关组织申请调解。合同一方或双方不愿调解或调解不成的，可以通过仲裁或诉讼的方式解决争议。</w:t>
      </w:r>
    </w:p>
    <w:p w14:paraId="1538E8D1">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19.2 选择仲裁的，应在</w:t>
      </w:r>
      <w:r>
        <w:rPr>
          <w:rFonts w:hint="eastAsia" w:ascii="宋体" w:hAnsi="宋体" w:eastAsia="宋体" w:cs="宋体"/>
          <w:b/>
          <w:bCs/>
          <w:color w:val="auto"/>
          <w:sz w:val="21"/>
          <w:szCs w:val="21"/>
          <w:highlight w:val="none"/>
          <w:lang w:val="en-US" w:eastAsia="zh-CN" w:bidi="ar-SA"/>
        </w:rPr>
        <w:t>【合同专用条款】</w:t>
      </w:r>
      <w:r>
        <w:rPr>
          <w:rFonts w:hint="eastAsia" w:ascii="宋体" w:hAnsi="宋体" w:eastAsia="宋体" w:cs="宋体"/>
          <w:sz w:val="21"/>
          <w:szCs w:val="21"/>
          <w:lang w:val="en-US" w:eastAsia="zh-CN" w:bidi="ar-SA"/>
        </w:rPr>
        <w:t>中明确仲裁机构及仲裁地；通过诉讼方式解决的，可以在</w:t>
      </w:r>
      <w:r>
        <w:rPr>
          <w:rFonts w:hint="eastAsia" w:ascii="宋体" w:hAnsi="宋体" w:eastAsia="宋体" w:cs="宋体"/>
          <w:b/>
          <w:bCs/>
          <w:color w:val="auto"/>
          <w:sz w:val="21"/>
          <w:szCs w:val="21"/>
          <w:highlight w:val="none"/>
          <w:lang w:val="en-US" w:eastAsia="zh-CN" w:bidi="ar-SA"/>
        </w:rPr>
        <w:t>【合同专用条款】</w:t>
      </w:r>
      <w:r>
        <w:rPr>
          <w:rFonts w:hint="eastAsia" w:ascii="宋体" w:hAnsi="宋体" w:eastAsia="宋体" w:cs="宋体"/>
          <w:sz w:val="21"/>
          <w:szCs w:val="21"/>
          <w:lang w:val="en-US" w:eastAsia="zh-CN" w:bidi="ar-SA"/>
        </w:rPr>
        <w:t>中进一步约定选择与争议有实际联系的地点的人民法院管辖，但管辖法院的约定不得违反级别管辖和专属管辖的规定。</w:t>
      </w:r>
    </w:p>
    <w:p w14:paraId="6B71179F">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19.3 如甲乙双方有争议的事项不影响合同其他部分的履行，在争议解决期间，合同其他部分应当继续履行。</w:t>
      </w:r>
    </w:p>
    <w:p w14:paraId="34BC5CF8">
      <w:pPr>
        <w:autoSpaceDE w:val="0"/>
        <w:autoSpaceDN w:val="0"/>
        <w:adjustRightInd w:val="0"/>
        <w:snapToGrid w:val="0"/>
        <w:spacing w:before="0" w:line="400" w:lineRule="exact"/>
        <w:jc w:val="left"/>
        <w:rPr>
          <w:rFonts w:ascii="宋体" w:hAnsi="宋体" w:eastAsia="宋体"/>
          <w:color w:val="auto"/>
          <w:sz w:val="24"/>
          <w:highlight w:val="none"/>
        </w:rPr>
      </w:pPr>
      <w:r>
        <w:rPr>
          <w:rFonts w:hint="eastAsia" w:ascii="宋体" w:hAnsi="宋体" w:eastAsia="宋体"/>
          <w:b/>
          <w:color w:val="auto"/>
          <w:sz w:val="24"/>
          <w:highlight w:val="none"/>
          <w:lang w:val="en-US" w:eastAsia="zh-CN"/>
        </w:rPr>
        <w:t>20</w:t>
      </w:r>
      <w:r>
        <w:rPr>
          <w:rFonts w:hint="eastAsia" w:ascii="宋体" w:hAnsi="宋体" w:eastAsia="宋体"/>
          <w:b/>
          <w:color w:val="auto"/>
          <w:sz w:val="24"/>
          <w:highlight w:val="none"/>
        </w:rPr>
        <w:t>.</w:t>
      </w:r>
      <w:r>
        <w:rPr>
          <w:rFonts w:hint="eastAsia" w:ascii="宋体" w:hAnsi="宋体" w:eastAsia="宋体"/>
          <w:b/>
          <w:color w:val="auto"/>
          <w:sz w:val="24"/>
          <w:highlight w:val="none"/>
          <w:lang w:val="en-US" w:eastAsia="zh-CN"/>
        </w:rPr>
        <w:t xml:space="preserve"> </w:t>
      </w:r>
      <w:r>
        <w:rPr>
          <w:rFonts w:hint="eastAsia" w:ascii="宋体" w:hAnsi="宋体" w:eastAsia="宋体"/>
          <w:b/>
          <w:color w:val="auto"/>
          <w:sz w:val="24"/>
          <w:highlight w:val="none"/>
        </w:rPr>
        <w:t>采购政策</w:t>
      </w:r>
    </w:p>
    <w:p w14:paraId="3258CE42">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 xml:space="preserve">20.1 </w:t>
      </w:r>
      <w:r>
        <w:rPr>
          <w:rFonts w:hint="eastAsia" w:ascii="宋体" w:hAnsi="宋体" w:eastAsia="宋体" w:cs="宋体"/>
          <w:lang w:val="en-GB"/>
        </w:rPr>
        <w:t>本合同应当按照规定执行采购政策。</w:t>
      </w:r>
    </w:p>
    <w:p w14:paraId="164BE8F0">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ascii="宋体" w:hAnsi="宋体" w:eastAsia="宋体"/>
          <w:color w:val="auto"/>
          <w:szCs w:val="21"/>
          <w:highlight w:val="none"/>
        </w:rPr>
        <w:t>2</w:t>
      </w:r>
      <w:r>
        <w:rPr>
          <w:rFonts w:hint="eastAsia" w:ascii="宋体" w:hAnsi="宋体" w:eastAsia="宋体"/>
          <w:color w:val="auto"/>
          <w:szCs w:val="21"/>
          <w:highlight w:val="none"/>
          <w:lang w:val="en-US" w:eastAsia="zh-CN"/>
        </w:rPr>
        <w:t>0</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 xml:space="preserve"> 本合同依法执行采购政策的方式和内容，属于合同履约验收的范围。</w:t>
      </w:r>
      <w:r>
        <w:rPr>
          <w:rFonts w:hint="eastAsia" w:ascii="宋体" w:hAnsi="宋体" w:eastAsia="宋体" w:cs="宋体"/>
          <w:sz w:val="21"/>
          <w:lang w:eastAsia="zh-CN"/>
        </w:rPr>
        <w:t>甲乙双方</w:t>
      </w:r>
      <w:r>
        <w:rPr>
          <w:rFonts w:hint="eastAsia" w:ascii="宋体" w:hAnsi="宋体" w:eastAsia="宋体" w:cs="宋体"/>
          <w:lang w:val="en-GB"/>
        </w:rPr>
        <w:t>未按规定要求执行采购政策造成损失的</w:t>
      </w:r>
      <w:r>
        <w:rPr>
          <w:rFonts w:hint="eastAsia" w:ascii="宋体" w:hAnsi="宋体" w:eastAsia="宋体"/>
          <w:color w:val="auto"/>
          <w:szCs w:val="21"/>
          <w:highlight w:val="none"/>
        </w:rPr>
        <w:t>，有过错的一方应当承担赔偿责任，双方都有过错的，各自承担相应的责任。</w:t>
      </w:r>
    </w:p>
    <w:p w14:paraId="5C1E8375">
      <w:pPr>
        <w:widowControl w:val="0"/>
        <w:spacing w:after="0" w:line="400" w:lineRule="exact"/>
        <w:ind w:firstLine="420" w:firstLineChars="200"/>
        <w:jc w:val="both"/>
        <w:rPr>
          <w:rFonts w:ascii="Calibri" w:hAnsi="Calibri" w:eastAsia="宋体" w:cs="Times New Roman"/>
          <w:color w:val="auto"/>
          <w:kern w:val="2"/>
          <w:sz w:val="21"/>
          <w:szCs w:val="22"/>
          <w:highlight w:val="none"/>
          <w:lang w:val="en-US" w:eastAsia="zh-CN" w:bidi="ar-SA"/>
        </w:rPr>
      </w:pPr>
      <w:r>
        <w:rPr>
          <w:rFonts w:ascii="宋体" w:hAnsi="宋体" w:eastAsia="宋体" w:cs="Times New Roman"/>
          <w:color w:val="auto"/>
          <w:kern w:val="2"/>
          <w:sz w:val="21"/>
          <w:szCs w:val="21"/>
          <w:highlight w:val="none"/>
          <w:lang w:val="en-US" w:eastAsia="zh-CN" w:bidi="ar-SA"/>
        </w:rPr>
        <w:t>2</w:t>
      </w:r>
      <w:r>
        <w:rPr>
          <w:rFonts w:hint="eastAsia" w:ascii="宋体" w:hAnsi="宋体" w:eastAsia="宋体" w:cs="Times New Roman"/>
          <w:color w:val="auto"/>
          <w:kern w:val="2"/>
          <w:sz w:val="21"/>
          <w:szCs w:val="21"/>
          <w:highlight w:val="none"/>
          <w:lang w:val="en-US" w:eastAsia="zh-CN" w:bidi="ar-SA"/>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3C7E8DD">
      <w:pPr>
        <w:autoSpaceDE w:val="0"/>
        <w:autoSpaceDN w:val="0"/>
        <w:adjustRightInd w:val="0"/>
        <w:snapToGrid w:val="0"/>
        <w:spacing w:before="0" w:line="400" w:lineRule="exact"/>
        <w:jc w:val="left"/>
        <w:rPr>
          <w:rFonts w:hint="eastAsia"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1</w:t>
      </w:r>
      <w:r>
        <w:rPr>
          <w:rFonts w:hint="eastAsia" w:ascii="宋体" w:hAnsi="宋体" w:eastAsia="宋体"/>
          <w:b/>
          <w:color w:val="auto"/>
          <w:sz w:val="24"/>
          <w:highlight w:val="none"/>
        </w:rPr>
        <w:t>.</w:t>
      </w:r>
      <w:r>
        <w:rPr>
          <w:rFonts w:hint="eastAsia" w:ascii="宋体" w:hAnsi="宋体" w:eastAsia="宋体"/>
          <w:b/>
          <w:color w:val="auto"/>
          <w:sz w:val="24"/>
          <w:highlight w:val="none"/>
          <w:lang w:val="en-US" w:eastAsia="zh-CN"/>
        </w:rPr>
        <w:t xml:space="preserve"> </w:t>
      </w:r>
      <w:r>
        <w:rPr>
          <w:rFonts w:hint="eastAsia" w:ascii="宋体" w:hAnsi="宋体" w:eastAsia="宋体"/>
          <w:b/>
          <w:color w:val="auto"/>
          <w:sz w:val="24"/>
          <w:highlight w:val="none"/>
        </w:rPr>
        <w:t>法律适用</w:t>
      </w:r>
    </w:p>
    <w:p w14:paraId="6E862B11">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21.1 本合同的订立、生效、解释、履行及与本合同有关的争议解决，均适用法律、行政法规。</w:t>
      </w:r>
    </w:p>
    <w:p w14:paraId="5559F106">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21.2 本合同条款与法律、行政法规的强制性规定不一致的，双方当事人应按照法律、行政法规的强制性规定修改本合同的相关条款。</w:t>
      </w:r>
    </w:p>
    <w:p w14:paraId="666DF852">
      <w:pPr>
        <w:numPr>
          <w:ilvl w:val="-1"/>
          <w:numId w:val="0"/>
        </w:num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auto"/>
          <w:sz w:val="24"/>
          <w:highlight w:val="none"/>
          <w:lang w:val="en-US" w:eastAsia="zh-CN"/>
        </w:rPr>
        <w:t xml:space="preserve">22. </w:t>
      </w:r>
      <w:r>
        <w:rPr>
          <w:rFonts w:hint="eastAsia" w:ascii="宋体" w:hAnsi="宋体" w:eastAsia="宋体"/>
          <w:b/>
          <w:color w:val="auto"/>
          <w:sz w:val="24"/>
          <w:highlight w:val="none"/>
        </w:rPr>
        <w:t>通知</w:t>
      </w:r>
    </w:p>
    <w:p w14:paraId="7F46EEC2">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22.1 本合同任何一方向对方发出的通知、信件、数据电文等，应当发送至本合同第一部分《合同协议书》所约定的通讯地址、联系人、联系电话或电子邮箱。</w:t>
      </w:r>
    </w:p>
    <w:p w14:paraId="2B83776D">
      <w:pPr>
        <w:autoSpaceDE w:val="0"/>
        <w:autoSpaceDN w:val="0"/>
        <w:adjustRightInd w:val="0"/>
        <w:spacing w:line="400" w:lineRule="exact"/>
        <w:ind w:firstLine="0" w:firstLineChars="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 xml:space="preserve">    22.2 一方当事人变更名称、住所、联系人、联系电话或电子邮箱等信息的，应当在变更后3日内及时书面通知对方，对方实际收到变更通知前的送达仍为有效送达。</w:t>
      </w:r>
    </w:p>
    <w:p w14:paraId="70D679AD">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本合同一方给另一方的通知均应采用书面形式，传真或快递送到本合同中规定的对方的地址和办理签收手续。</w:t>
      </w:r>
    </w:p>
    <w:p w14:paraId="068CAAB4">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通知以送达之日或通知书中规定的生效之日起生效，两者中以较迟之日为准。</w:t>
      </w:r>
    </w:p>
    <w:p w14:paraId="46703C54">
      <w:pPr>
        <w:numPr>
          <w:ilvl w:val="0"/>
          <w:numId w:val="15"/>
        </w:num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合同未尽事项</w:t>
      </w:r>
    </w:p>
    <w:p w14:paraId="5B583AC4">
      <w:pPr>
        <w:adjustRightInd w:val="0"/>
        <w:snapToGrid w:val="0"/>
        <w:spacing w:before="0" w:line="400" w:lineRule="exact"/>
        <w:ind w:firstLine="420" w:firstLineChars="200"/>
        <w:jc w:val="left"/>
        <w:rPr>
          <w:rFonts w:hint="eastAsia" w:ascii="宋体" w:hAnsi="宋体" w:eastAsia="宋体"/>
          <w:bCs/>
          <w:color w:val="auto"/>
          <w:szCs w:val="21"/>
          <w:highlight w:val="none"/>
        </w:rPr>
      </w:pPr>
      <w:r>
        <w:rPr>
          <w:rFonts w:hint="eastAsia" w:ascii="宋体" w:hAnsi="宋体" w:eastAsia="宋体"/>
          <w:bCs/>
          <w:color w:val="auto"/>
          <w:szCs w:val="21"/>
          <w:highlight w:val="none"/>
        </w:rPr>
        <w:t>2</w:t>
      </w:r>
      <w:r>
        <w:rPr>
          <w:rFonts w:hint="eastAsia" w:ascii="宋体" w:hAnsi="宋体" w:eastAsia="宋体"/>
          <w:bCs/>
          <w:color w:val="auto"/>
          <w:szCs w:val="21"/>
          <w:highlight w:val="none"/>
          <w:lang w:val="en-US" w:eastAsia="zh-CN"/>
        </w:rPr>
        <w:t>3</w:t>
      </w:r>
      <w:r>
        <w:rPr>
          <w:rFonts w:hint="eastAsia" w:ascii="宋体" w:hAnsi="宋体" w:eastAsia="宋体"/>
          <w:bCs/>
          <w:color w:val="auto"/>
          <w:szCs w:val="21"/>
          <w:highlight w:val="none"/>
        </w:rPr>
        <w:t>.1合同未尽事项见</w:t>
      </w:r>
      <w:r>
        <w:rPr>
          <w:rFonts w:hint="eastAsia" w:ascii="宋体" w:hAnsi="宋体" w:eastAsia="宋体"/>
          <w:b/>
          <w:color w:val="auto"/>
          <w:szCs w:val="21"/>
          <w:highlight w:val="none"/>
        </w:rPr>
        <w:t>【合同专用条款】</w:t>
      </w:r>
      <w:r>
        <w:rPr>
          <w:rFonts w:hint="eastAsia" w:ascii="宋体" w:hAnsi="宋体" w:eastAsia="宋体"/>
          <w:bCs/>
          <w:color w:val="auto"/>
          <w:szCs w:val="21"/>
          <w:highlight w:val="none"/>
        </w:rPr>
        <w:t>。</w:t>
      </w:r>
    </w:p>
    <w:p w14:paraId="0EC91C04">
      <w:pPr>
        <w:adjustRightInd w:val="0"/>
        <w:snapToGrid w:val="0"/>
        <w:spacing w:line="400" w:lineRule="exact"/>
        <w:ind w:firstLine="0" w:firstLineChars="0"/>
        <w:jc w:val="left"/>
        <w:rPr>
          <w:rFonts w:ascii="黑体" w:hAnsi="华文中宋" w:eastAsia="黑体"/>
          <w:color w:val="auto"/>
          <w:sz w:val="28"/>
          <w:szCs w:val="28"/>
        </w:rPr>
      </w:pPr>
      <w:r>
        <w:rPr>
          <w:rFonts w:hint="eastAsia" w:ascii="宋体" w:hAnsi="宋体" w:eastAsia="宋体"/>
          <w:bCs/>
          <w:color w:val="auto"/>
          <w:szCs w:val="21"/>
          <w:highlight w:val="none"/>
          <w:lang w:val="en-US" w:eastAsia="zh-CN"/>
        </w:rPr>
        <w:t xml:space="preserve">    23.2 合同附件与合同正文具有同等的法律效力。</w:t>
      </w:r>
      <w:bookmarkStart w:id="48" w:name="_Toc20313"/>
    </w:p>
    <w:p w14:paraId="2F81B1C9">
      <w:pPr>
        <w:adjustRightInd w:val="0"/>
        <w:snapToGrid w:val="0"/>
        <w:jc w:val="center"/>
        <w:rPr>
          <w:rFonts w:hint="eastAsia" w:ascii="黑体" w:hAnsi="华文中宋" w:eastAsia="黑体"/>
          <w:b w:val="0"/>
          <w:bCs w:val="0"/>
          <w:sz w:val="28"/>
          <w:szCs w:val="28"/>
        </w:rPr>
      </w:pPr>
      <w:r>
        <w:rPr>
          <w:rFonts w:hint="eastAsia" w:ascii="黑体" w:hAnsi="华文中宋" w:eastAsia="黑体"/>
          <w:b w:val="0"/>
          <w:bCs w:val="0"/>
          <w:sz w:val="28"/>
          <w:szCs w:val="28"/>
        </w:rPr>
        <w:br w:type="page"/>
      </w:r>
    </w:p>
    <w:p w14:paraId="247B8AD0">
      <w:pPr>
        <w:keepNext/>
        <w:keepLines/>
        <w:widowControl w:val="0"/>
        <w:adjustRightInd w:val="0"/>
        <w:snapToGrid w:val="0"/>
        <w:spacing w:line="360" w:lineRule="auto"/>
        <w:jc w:val="center"/>
        <w:outlineLvl w:val="1"/>
        <w:rPr>
          <w:rFonts w:ascii="黑体" w:hAnsi="华文中宋" w:eastAsia="黑体" w:cs="Times New Roman"/>
          <w:b w:val="0"/>
          <w:bCs w:val="0"/>
          <w:kern w:val="2"/>
          <w:sz w:val="28"/>
          <w:szCs w:val="28"/>
          <w:lang w:val="en-US" w:eastAsia="zh-CN" w:bidi="ar-SA"/>
        </w:rPr>
      </w:pPr>
      <w:r>
        <w:rPr>
          <w:rFonts w:hint="eastAsia" w:ascii="黑体" w:hAnsi="华文中宋" w:eastAsia="黑体" w:cs="Times New Roman"/>
          <w:b w:val="0"/>
          <w:bCs w:val="0"/>
          <w:kern w:val="2"/>
          <w:sz w:val="28"/>
          <w:szCs w:val="28"/>
          <w:lang w:val="en-US" w:eastAsia="zh-CN" w:bidi="ar-SA"/>
        </w:rPr>
        <w:t>第三节 合同专用条款</w:t>
      </w:r>
      <w:bookmarkEnd w:id="48"/>
    </w:p>
    <w:tbl>
      <w:tblPr>
        <w:tblStyle w:val="43"/>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346DDD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A79894D">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第二节</w:t>
            </w:r>
          </w:p>
          <w:p w14:paraId="1F8D44C8">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第1.2（</w:t>
            </w:r>
            <w:r>
              <w:rPr>
                <w:rFonts w:hint="eastAsia" w:ascii="宋体" w:hAnsi="宋体" w:eastAsia="宋体"/>
                <w:szCs w:val="21"/>
                <w:lang w:val="en-US" w:eastAsia="zh-CN"/>
              </w:rPr>
              <w:t>6</w:t>
            </w:r>
            <w:r>
              <w:rPr>
                <w:rFonts w:hint="eastAsia" w:ascii="宋体" w:hAnsi="宋体" w:eastAsia="宋体"/>
                <w:szCs w:val="21"/>
              </w:rPr>
              <w:t>）项</w:t>
            </w:r>
          </w:p>
        </w:tc>
        <w:tc>
          <w:tcPr>
            <w:tcW w:w="1742" w:type="dxa"/>
            <w:vAlign w:val="center"/>
          </w:tcPr>
          <w:p w14:paraId="2372117B">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rPr>
            </w:pPr>
            <w:r>
              <w:rPr>
                <w:rFonts w:hint="eastAsia" w:ascii="宋体" w:hAnsi="宋体" w:eastAsia="宋体"/>
                <w:szCs w:val="21"/>
                <w:lang w:eastAsia="zh-CN"/>
              </w:rPr>
              <w:t>联合体具体要求</w:t>
            </w:r>
          </w:p>
        </w:tc>
        <w:tc>
          <w:tcPr>
            <w:tcW w:w="5170" w:type="dxa"/>
            <w:vAlign w:val="center"/>
          </w:tcPr>
          <w:p w14:paraId="5D8F189A">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rPr>
            </w:pPr>
          </w:p>
        </w:tc>
      </w:tr>
      <w:tr w14:paraId="78F7E2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7DCE2F63">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第二节</w:t>
            </w:r>
          </w:p>
          <w:p w14:paraId="7480D4C7">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1"/>
                <w:lang w:val="en-US" w:eastAsia="zh-CN" w:bidi="ar-SA"/>
              </w:rPr>
            </w:pPr>
            <w:r>
              <w:rPr>
                <w:rFonts w:hint="eastAsia" w:ascii="宋体" w:hAnsi="宋体" w:eastAsia="宋体"/>
                <w:szCs w:val="21"/>
              </w:rPr>
              <w:t>第1.2（</w:t>
            </w:r>
            <w:r>
              <w:rPr>
                <w:rFonts w:hint="eastAsia" w:ascii="宋体" w:hAnsi="宋体" w:eastAsia="宋体"/>
                <w:szCs w:val="21"/>
                <w:lang w:val="en-US" w:eastAsia="zh-CN"/>
              </w:rPr>
              <w:t>7</w:t>
            </w:r>
            <w:r>
              <w:rPr>
                <w:rFonts w:hint="eastAsia" w:ascii="宋体" w:hAnsi="宋体" w:eastAsia="宋体"/>
                <w:szCs w:val="21"/>
              </w:rPr>
              <w:t>）项</w:t>
            </w:r>
          </w:p>
        </w:tc>
        <w:tc>
          <w:tcPr>
            <w:tcW w:w="1742" w:type="dxa"/>
            <w:vAlign w:val="center"/>
          </w:tcPr>
          <w:p w14:paraId="130A8AE7">
            <w:pPr>
              <w:keepNext w:val="0"/>
              <w:keepLines w:val="0"/>
              <w:suppressLineNumbers w:val="0"/>
              <w:adjustRightInd w:val="0"/>
              <w:snapToGrid w:val="0"/>
              <w:spacing w:before="0" w:beforeAutospacing="0" w:after="0" w:afterAutospacing="0"/>
              <w:ind w:left="0" w:right="0"/>
              <w:jc w:val="left"/>
              <w:rPr>
                <w:rFonts w:hint="eastAsia" w:ascii="宋体" w:hAnsi="宋体" w:eastAsia="宋体" w:cs="Times New Roman"/>
                <w:kern w:val="2"/>
                <w:sz w:val="21"/>
                <w:szCs w:val="21"/>
                <w:lang w:val="en-US" w:eastAsia="zh-CN" w:bidi="ar-SA"/>
              </w:rPr>
            </w:pPr>
            <w:r>
              <w:rPr>
                <w:rFonts w:hint="eastAsia" w:ascii="宋体" w:hAnsi="宋体" w:eastAsia="宋体"/>
                <w:szCs w:val="21"/>
              </w:rPr>
              <w:t>其他术语解释</w:t>
            </w:r>
          </w:p>
        </w:tc>
        <w:tc>
          <w:tcPr>
            <w:tcW w:w="5170" w:type="dxa"/>
            <w:vAlign w:val="center"/>
          </w:tcPr>
          <w:p w14:paraId="76FC05D3">
            <w:pPr>
              <w:keepNext w:val="0"/>
              <w:keepLines w:val="0"/>
              <w:suppressLineNumbers w:val="0"/>
              <w:adjustRightInd w:val="0"/>
              <w:snapToGrid w:val="0"/>
              <w:spacing w:before="0" w:beforeAutospacing="0" w:after="0" w:afterAutospacing="0"/>
              <w:ind w:left="0" w:right="0"/>
              <w:jc w:val="left"/>
              <w:rPr>
                <w:rFonts w:hint="default" w:ascii="宋体" w:hAnsi="宋体" w:eastAsia="宋体" w:cs="Times New Roman"/>
                <w:kern w:val="2"/>
                <w:sz w:val="21"/>
                <w:szCs w:val="21"/>
                <w:lang w:val="en-US" w:eastAsia="zh-CN" w:bidi="ar-SA"/>
              </w:rPr>
            </w:pPr>
          </w:p>
        </w:tc>
      </w:tr>
      <w:tr w14:paraId="4DC089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7A53BC4">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第二节</w:t>
            </w:r>
          </w:p>
          <w:p w14:paraId="5820B7E5">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lang w:val="en-US" w:eastAsia="zh-CN"/>
              </w:rPr>
            </w:pPr>
            <w:r>
              <w:rPr>
                <w:rFonts w:hint="eastAsia" w:ascii="宋体" w:hAnsi="宋体" w:eastAsia="宋体"/>
                <w:szCs w:val="21"/>
                <w:lang w:eastAsia="zh-CN"/>
              </w:rPr>
              <w:t>第</w:t>
            </w:r>
            <w:r>
              <w:rPr>
                <w:rFonts w:hint="eastAsia" w:ascii="宋体" w:hAnsi="宋体" w:eastAsia="宋体"/>
                <w:szCs w:val="21"/>
                <w:lang w:val="en-US" w:eastAsia="zh-CN"/>
              </w:rPr>
              <w:t>4.4款</w:t>
            </w:r>
          </w:p>
        </w:tc>
        <w:tc>
          <w:tcPr>
            <w:tcW w:w="1742" w:type="dxa"/>
            <w:vAlign w:val="center"/>
          </w:tcPr>
          <w:p w14:paraId="0726C0C2">
            <w:pPr>
              <w:keepNext w:val="0"/>
              <w:keepLines w:val="0"/>
              <w:suppressLineNumbers w:val="0"/>
              <w:adjustRightInd w:val="0"/>
              <w:snapToGrid w:val="0"/>
              <w:spacing w:before="0" w:beforeAutospacing="0" w:after="0" w:afterAutospacing="0"/>
              <w:ind w:left="0" w:right="0"/>
              <w:jc w:val="left"/>
              <w:rPr>
                <w:rFonts w:hint="eastAsia" w:ascii="宋体" w:hAnsi="宋体" w:eastAsia="宋体"/>
                <w:szCs w:val="21"/>
                <w:lang w:eastAsia="zh-CN"/>
              </w:rPr>
            </w:pPr>
            <w:r>
              <w:rPr>
                <w:rFonts w:hint="eastAsia" w:ascii="宋体" w:hAnsi="宋体" w:eastAsia="宋体"/>
                <w:szCs w:val="21"/>
                <w:lang w:eastAsia="zh-CN"/>
              </w:rPr>
              <w:t>履约验收中甲方提出异议或作出说明的期限</w:t>
            </w:r>
          </w:p>
        </w:tc>
        <w:tc>
          <w:tcPr>
            <w:tcW w:w="5170" w:type="dxa"/>
            <w:vAlign w:val="center"/>
          </w:tcPr>
          <w:p w14:paraId="5ABAB8E2">
            <w:pPr>
              <w:keepNext w:val="0"/>
              <w:keepLines w:val="0"/>
              <w:suppressLineNumbers w:val="0"/>
              <w:adjustRightInd w:val="0"/>
              <w:snapToGrid w:val="0"/>
              <w:spacing w:before="0" w:beforeAutospacing="0" w:after="0" w:afterAutospacing="0"/>
              <w:ind w:left="0" w:right="0"/>
              <w:jc w:val="left"/>
              <w:rPr>
                <w:rFonts w:hint="default" w:ascii="宋体" w:hAnsi="宋体" w:eastAsia="宋体" w:cs="Times New Roman"/>
                <w:kern w:val="2"/>
                <w:sz w:val="21"/>
                <w:szCs w:val="21"/>
                <w:lang w:val="en-US" w:eastAsia="zh-CN" w:bidi="ar-SA"/>
              </w:rPr>
            </w:pPr>
          </w:p>
        </w:tc>
      </w:tr>
      <w:tr w14:paraId="6758DF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2AC9F2A">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第二节</w:t>
            </w:r>
          </w:p>
          <w:p w14:paraId="19AB4AC3">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1"/>
              </w:rPr>
            </w:pPr>
            <w:r>
              <w:rPr>
                <w:rFonts w:hint="eastAsia" w:ascii="宋体" w:hAnsi="宋体" w:eastAsia="宋体"/>
                <w:szCs w:val="21"/>
                <w:lang w:eastAsia="zh-CN"/>
              </w:rPr>
              <w:t>第</w:t>
            </w:r>
            <w:r>
              <w:rPr>
                <w:rFonts w:hint="eastAsia" w:ascii="宋体" w:hAnsi="宋体" w:eastAsia="宋体"/>
                <w:szCs w:val="21"/>
                <w:lang w:val="en-US" w:eastAsia="zh-CN"/>
              </w:rPr>
              <w:t>4.6款</w:t>
            </w:r>
          </w:p>
        </w:tc>
        <w:tc>
          <w:tcPr>
            <w:tcW w:w="1742" w:type="dxa"/>
            <w:vAlign w:val="center"/>
          </w:tcPr>
          <w:p w14:paraId="1673FC49">
            <w:pPr>
              <w:keepNext w:val="0"/>
              <w:keepLines w:val="0"/>
              <w:suppressLineNumbers w:val="0"/>
              <w:adjustRightInd w:val="0"/>
              <w:snapToGrid w:val="0"/>
              <w:spacing w:before="0" w:beforeAutospacing="0" w:after="0" w:afterAutospacing="0"/>
              <w:ind w:left="0" w:right="0"/>
              <w:jc w:val="left"/>
              <w:rPr>
                <w:rFonts w:hint="eastAsia" w:ascii="宋体" w:hAnsi="宋体" w:eastAsia="宋体"/>
                <w:szCs w:val="21"/>
                <w:lang w:eastAsia="zh-CN"/>
              </w:rPr>
            </w:pPr>
            <w:r>
              <w:rPr>
                <w:rFonts w:hint="eastAsia" w:ascii="宋体" w:hAnsi="宋体" w:eastAsia="宋体"/>
                <w:szCs w:val="21"/>
                <w:lang w:eastAsia="zh-CN"/>
              </w:rPr>
              <w:t>约定甲方承担的其他义务和责任</w:t>
            </w:r>
          </w:p>
        </w:tc>
        <w:tc>
          <w:tcPr>
            <w:tcW w:w="5170" w:type="dxa"/>
            <w:vAlign w:val="center"/>
          </w:tcPr>
          <w:p w14:paraId="31F5151A">
            <w:pPr>
              <w:keepNext w:val="0"/>
              <w:keepLines w:val="0"/>
              <w:suppressLineNumbers w:val="0"/>
              <w:adjustRightInd w:val="0"/>
              <w:snapToGrid w:val="0"/>
              <w:spacing w:before="0" w:beforeAutospacing="0" w:after="0" w:afterAutospacing="0"/>
              <w:ind w:left="0" w:right="0"/>
              <w:jc w:val="left"/>
              <w:rPr>
                <w:rFonts w:hint="default" w:ascii="宋体" w:hAnsi="宋体" w:eastAsia="宋体" w:cs="Times New Roman"/>
                <w:kern w:val="2"/>
                <w:sz w:val="21"/>
                <w:szCs w:val="21"/>
                <w:lang w:val="en-US" w:eastAsia="zh-CN" w:bidi="ar-SA"/>
              </w:rPr>
            </w:pPr>
          </w:p>
        </w:tc>
      </w:tr>
      <w:tr w14:paraId="3AA061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7DAD02D">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1"/>
                <w:lang w:eastAsia="zh-CN"/>
              </w:rPr>
            </w:pPr>
            <w:r>
              <w:rPr>
                <w:rFonts w:hint="eastAsia" w:ascii="宋体" w:hAnsi="宋体" w:eastAsia="宋体"/>
                <w:szCs w:val="21"/>
                <w:lang w:eastAsia="zh-CN"/>
              </w:rPr>
              <w:t>第二节</w:t>
            </w:r>
          </w:p>
          <w:p w14:paraId="603A09AA">
            <w:pPr>
              <w:keepNext w:val="0"/>
              <w:keepLines w:val="0"/>
              <w:suppressLineNumbers w:val="0"/>
              <w:snapToGrid w:val="0"/>
              <w:spacing w:before="0" w:beforeAutospacing="0" w:after="0" w:afterAutospacing="0"/>
              <w:ind w:left="0" w:right="0"/>
              <w:jc w:val="center"/>
              <w:rPr>
                <w:rFonts w:hint="default" w:eastAsia="宋体"/>
                <w:lang w:val="en-US" w:eastAsia="zh-CN"/>
              </w:rPr>
            </w:pPr>
            <w:r>
              <w:rPr>
                <w:rFonts w:hint="eastAsia" w:ascii="宋体" w:hAnsi="宋体" w:eastAsia="宋体"/>
                <w:szCs w:val="21"/>
                <w:lang w:eastAsia="zh-CN"/>
              </w:rPr>
              <w:t>第</w:t>
            </w:r>
            <w:r>
              <w:rPr>
                <w:rFonts w:hint="eastAsia" w:ascii="宋体" w:hAnsi="宋体" w:eastAsia="宋体"/>
                <w:szCs w:val="21"/>
                <w:lang w:val="en-US" w:eastAsia="zh-CN"/>
              </w:rPr>
              <w:t>5.4款</w:t>
            </w:r>
          </w:p>
        </w:tc>
        <w:tc>
          <w:tcPr>
            <w:tcW w:w="1742" w:type="dxa"/>
            <w:vAlign w:val="center"/>
          </w:tcPr>
          <w:p w14:paraId="621639FF">
            <w:pPr>
              <w:keepNext w:val="0"/>
              <w:keepLines w:val="0"/>
              <w:suppressLineNumbers w:val="0"/>
              <w:adjustRightInd w:val="0"/>
              <w:snapToGrid w:val="0"/>
              <w:spacing w:before="0" w:beforeAutospacing="0" w:after="0" w:afterAutospacing="0"/>
              <w:ind w:left="0" w:right="0"/>
              <w:jc w:val="left"/>
              <w:rPr>
                <w:rFonts w:hint="eastAsia" w:ascii="宋体" w:hAnsi="宋体" w:eastAsia="宋体"/>
                <w:szCs w:val="21"/>
                <w:lang w:eastAsia="zh-CN"/>
              </w:rPr>
            </w:pPr>
            <w:r>
              <w:rPr>
                <w:rFonts w:hint="eastAsia" w:ascii="宋体" w:hAnsi="宋体" w:eastAsia="宋体"/>
                <w:szCs w:val="21"/>
                <w:lang w:eastAsia="zh-CN"/>
              </w:rPr>
              <w:t>约定乙方承担的其他义务和责任</w:t>
            </w:r>
          </w:p>
        </w:tc>
        <w:tc>
          <w:tcPr>
            <w:tcW w:w="5170" w:type="dxa"/>
            <w:vAlign w:val="center"/>
          </w:tcPr>
          <w:p w14:paraId="24B95629">
            <w:pPr>
              <w:keepNext w:val="0"/>
              <w:keepLines w:val="0"/>
              <w:suppressLineNumbers w:val="0"/>
              <w:adjustRightInd w:val="0"/>
              <w:snapToGrid w:val="0"/>
              <w:spacing w:before="0" w:beforeAutospacing="0" w:after="0" w:afterAutospacing="0"/>
              <w:ind w:left="0" w:right="0"/>
              <w:jc w:val="left"/>
              <w:rPr>
                <w:rFonts w:hint="default" w:ascii="宋体" w:hAnsi="宋体" w:eastAsia="宋体" w:cs="Times New Roman"/>
                <w:kern w:val="2"/>
                <w:sz w:val="21"/>
                <w:szCs w:val="21"/>
                <w:lang w:val="en-US" w:eastAsia="zh-CN" w:bidi="ar-SA"/>
              </w:rPr>
            </w:pPr>
          </w:p>
        </w:tc>
      </w:tr>
      <w:tr w14:paraId="1F5763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26C33D3">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1"/>
                <w:lang w:eastAsia="zh-CN"/>
              </w:rPr>
            </w:pPr>
            <w:r>
              <w:rPr>
                <w:rFonts w:hint="eastAsia" w:ascii="宋体" w:hAnsi="宋体" w:eastAsia="宋体"/>
                <w:szCs w:val="21"/>
                <w:lang w:eastAsia="zh-CN"/>
              </w:rPr>
              <w:t>第二节</w:t>
            </w:r>
          </w:p>
          <w:p w14:paraId="10AAF588">
            <w:pPr>
              <w:keepNext w:val="0"/>
              <w:keepLines w:val="0"/>
              <w:suppressLineNumbers w:val="0"/>
              <w:snapToGrid w:val="0"/>
              <w:spacing w:before="0" w:beforeAutospacing="0" w:after="0" w:afterAutospacing="0"/>
              <w:ind w:left="0" w:right="0"/>
              <w:jc w:val="center"/>
              <w:rPr>
                <w:rFonts w:hint="eastAsia" w:ascii="宋体" w:hAnsi="宋体" w:eastAsia="宋体"/>
                <w:szCs w:val="21"/>
                <w:lang w:eastAsia="zh-CN"/>
              </w:rPr>
            </w:pPr>
            <w:r>
              <w:rPr>
                <w:rFonts w:hint="eastAsia" w:ascii="宋体" w:hAnsi="宋体" w:eastAsia="宋体"/>
                <w:szCs w:val="21"/>
                <w:lang w:eastAsia="zh-CN"/>
              </w:rPr>
              <w:t>第</w:t>
            </w:r>
            <w:r>
              <w:rPr>
                <w:rFonts w:hint="eastAsia" w:ascii="宋体" w:hAnsi="宋体" w:eastAsia="宋体"/>
                <w:szCs w:val="21"/>
                <w:lang w:val="en-US" w:eastAsia="zh-CN"/>
              </w:rPr>
              <w:t>6.1款</w:t>
            </w:r>
          </w:p>
        </w:tc>
        <w:tc>
          <w:tcPr>
            <w:tcW w:w="1742" w:type="dxa"/>
            <w:vAlign w:val="center"/>
          </w:tcPr>
          <w:p w14:paraId="1A573506">
            <w:pPr>
              <w:keepNext w:val="0"/>
              <w:keepLines w:val="0"/>
              <w:suppressLineNumbers w:val="0"/>
              <w:adjustRightInd w:val="0"/>
              <w:snapToGrid w:val="0"/>
              <w:spacing w:before="0" w:beforeAutospacing="0" w:after="0" w:afterAutospacing="0"/>
              <w:ind w:left="0" w:right="0"/>
              <w:jc w:val="left"/>
              <w:rPr>
                <w:rFonts w:hint="eastAsia" w:ascii="宋体" w:hAnsi="宋体" w:eastAsia="宋体"/>
                <w:szCs w:val="21"/>
                <w:lang w:eastAsia="zh-CN"/>
              </w:rPr>
            </w:pPr>
            <w:r>
              <w:rPr>
                <w:rFonts w:hint="eastAsia" w:ascii="宋体" w:hAnsi="宋体" w:eastAsia="宋体"/>
                <w:szCs w:val="21"/>
                <w:lang w:eastAsia="zh-CN"/>
              </w:rPr>
              <w:t>履行合同义务的顺序</w:t>
            </w:r>
          </w:p>
        </w:tc>
        <w:tc>
          <w:tcPr>
            <w:tcW w:w="5170" w:type="dxa"/>
            <w:vAlign w:val="center"/>
          </w:tcPr>
          <w:p w14:paraId="3D2AB997">
            <w:pPr>
              <w:keepNext w:val="0"/>
              <w:keepLines w:val="0"/>
              <w:suppressLineNumbers w:val="0"/>
              <w:adjustRightInd w:val="0"/>
              <w:snapToGrid w:val="0"/>
              <w:spacing w:before="0" w:beforeAutospacing="0" w:after="0" w:afterAutospacing="0"/>
              <w:ind w:left="0" w:right="0"/>
              <w:jc w:val="left"/>
              <w:rPr>
                <w:rFonts w:hint="default" w:ascii="宋体" w:hAnsi="宋体" w:eastAsia="宋体" w:cs="Times New Roman"/>
                <w:kern w:val="2"/>
                <w:sz w:val="21"/>
                <w:szCs w:val="21"/>
                <w:lang w:val="en-US" w:eastAsia="zh-CN" w:bidi="ar-SA"/>
              </w:rPr>
            </w:pPr>
          </w:p>
        </w:tc>
      </w:tr>
      <w:tr w14:paraId="0C7E4C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04920837">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第二节</w:t>
            </w:r>
          </w:p>
          <w:p w14:paraId="4FFFC6D3">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.1</w:t>
            </w:r>
            <w:r>
              <w:rPr>
                <w:rFonts w:hint="eastAsia" w:ascii="宋体" w:hAnsi="宋体" w:eastAsia="宋体"/>
                <w:szCs w:val="21"/>
                <w:lang w:val="en-US" w:eastAsia="zh-CN"/>
              </w:rPr>
              <w:t>款</w:t>
            </w:r>
          </w:p>
        </w:tc>
        <w:tc>
          <w:tcPr>
            <w:tcW w:w="1742" w:type="dxa"/>
            <w:vAlign w:val="center"/>
          </w:tcPr>
          <w:p w14:paraId="1061264C">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rPr>
            </w:pPr>
            <w:r>
              <w:rPr>
                <w:rFonts w:hint="eastAsia" w:ascii="宋体" w:hAnsi="宋体" w:eastAsia="宋体"/>
                <w:szCs w:val="21"/>
              </w:rPr>
              <w:t>包装</w:t>
            </w:r>
            <w:r>
              <w:rPr>
                <w:rFonts w:hint="eastAsia" w:ascii="宋体" w:hAnsi="宋体" w:eastAsia="宋体"/>
                <w:szCs w:val="21"/>
                <w:lang w:eastAsia="zh-CN"/>
              </w:rPr>
              <w:t>特殊要求</w:t>
            </w:r>
          </w:p>
        </w:tc>
        <w:tc>
          <w:tcPr>
            <w:tcW w:w="5170" w:type="dxa"/>
            <w:vAlign w:val="center"/>
          </w:tcPr>
          <w:p w14:paraId="29D3B5E5">
            <w:pPr>
              <w:keepNext w:val="0"/>
              <w:keepLines w:val="0"/>
              <w:suppressLineNumbers w:val="0"/>
              <w:spacing w:before="0" w:beforeAutospacing="0" w:after="0" w:afterAutospacing="0"/>
              <w:ind w:left="0" w:right="0"/>
              <w:rPr>
                <w:rFonts w:hint="default" w:eastAsia="宋体"/>
              </w:rPr>
            </w:pPr>
          </w:p>
        </w:tc>
      </w:tr>
      <w:tr w14:paraId="55803E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4DCA9250">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1"/>
              </w:rPr>
            </w:pPr>
          </w:p>
        </w:tc>
        <w:tc>
          <w:tcPr>
            <w:tcW w:w="1742" w:type="dxa"/>
            <w:vAlign w:val="center"/>
          </w:tcPr>
          <w:p w14:paraId="17651045">
            <w:pPr>
              <w:keepNext w:val="0"/>
              <w:keepLines w:val="0"/>
              <w:suppressLineNumbers w:val="0"/>
              <w:adjustRightInd w:val="0"/>
              <w:snapToGrid w:val="0"/>
              <w:spacing w:before="0" w:beforeAutospacing="0" w:after="0" w:afterAutospacing="0"/>
              <w:ind w:left="0" w:right="0"/>
              <w:jc w:val="left"/>
              <w:rPr>
                <w:rFonts w:hint="eastAsia" w:ascii="宋体" w:hAnsi="宋体" w:eastAsia="宋体"/>
                <w:szCs w:val="21"/>
                <w:lang w:eastAsia="zh-CN"/>
              </w:rPr>
            </w:pPr>
            <w:r>
              <w:rPr>
                <w:rFonts w:hint="eastAsia" w:ascii="宋体" w:hAnsi="宋体" w:eastAsia="宋体"/>
                <w:szCs w:val="21"/>
                <w:lang w:eastAsia="zh-CN"/>
              </w:rPr>
              <w:t>指定现场</w:t>
            </w:r>
          </w:p>
        </w:tc>
        <w:tc>
          <w:tcPr>
            <w:tcW w:w="5170" w:type="dxa"/>
            <w:vAlign w:val="center"/>
          </w:tcPr>
          <w:p w14:paraId="42FFC697">
            <w:pPr>
              <w:keepNext w:val="0"/>
              <w:keepLines w:val="0"/>
              <w:suppressLineNumbers w:val="0"/>
              <w:spacing w:before="0" w:beforeAutospacing="0" w:after="0" w:afterAutospacing="0"/>
              <w:ind w:left="0" w:right="0"/>
              <w:rPr>
                <w:rFonts w:hint="eastAsia" w:eastAsia="宋体"/>
              </w:rPr>
            </w:pPr>
          </w:p>
        </w:tc>
      </w:tr>
      <w:tr w14:paraId="0C2802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5BB2B8EF">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第二节</w:t>
            </w:r>
          </w:p>
          <w:p w14:paraId="63B8FC43">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.2</w:t>
            </w:r>
            <w:r>
              <w:rPr>
                <w:rFonts w:hint="eastAsia" w:ascii="宋体" w:hAnsi="宋体" w:eastAsia="宋体"/>
                <w:szCs w:val="21"/>
                <w:lang w:val="en-US" w:eastAsia="zh-CN"/>
              </w:rPr>
              <w:t>款</w:t>
            </w:r>
          </w:p>
        </w:tc>
        <w:tc>
          <w:tcPr>
            <w:tcW w:w="1742" w:type="dxa"/>
            <w:vAlign w:val="center"/>
          </w:tcPr>
          <w:p w14:paraId="458CF4D5">
            <w:pPr>
              <w:keepNext w:val="0"/>
              <w:keepLines w:val="0"/>
              <w:suppressLineNumbers w:val="0"/>
              <w:adjustRightInd w:val="0"/>
              <w:snapToGrid w:val="0"/>
              <w:spacing w:before="0" w:beforeAutospacing="0" w:after="0" w:afterAutospacing="0"/>
              <w:ind w:left="0" w:right="0"/>
              <w:jc w:val="left"/>
              <w:rPr>
                <w:rFonts w:hint="eastAsia" w:ascii="宋体" w:hAnsi="宋体" w:eastAsia="宋体"/>
                <w:szCs w:val="21"/>
                <w:lang w:eastAsia="zh-CN"/>
              </w:rPr>
            </w:pPr>
            <w:r>
              <w:rPr>
                <w:rFonts w:hint="eastAsia" w:ascii="宋体" w:hAnsi="宋体" w:eastAsia="宋体"/>
                <w:szCs w:val="21"/>
                <w:lang w:eastAsia="zh-CN"/>
              </w:rPr>
              <w:t>运输特殊要求</w:t>
            </w:r>
          </w:p>
        </w:tc>
        <w:tc>
          <w:tcPr>
            <w:tcW w:w="5170" w:type="dxa"/>
            <w:vAlign w:val="center"/>
          </w:tcPr>
          <w:p w14:paraId="2C435B81">
            <w:pPr>
              <w:keepNext w:val="0"/>
              <w:keepLines w:val="0"/>
              <w:suppressLineNumbers w:val="0"/>
              <w:spacing w:before="0" w:beforeAutospacing="0" w:after="0" w:afterAutospacing="0"/>
              <w:ind w:left="0" w:right="0"/>
              <w:rPr>
                <w:rFonts w:hint="eastAsia" w:eastAsia="宋体"/>
              </w:rPr>
            </w:pPr>
          </w:p>
        </w:tc>
      </w:tr>
      <w:tr w14:paraId="7188D4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48A375D3">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第二节</w:t>
            </w:r>
          </w:p>
          <w:p w14:paraId="316B0404">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.3</w:t>
            </w:r>
            <w:r>
              <w:rPr>
                <w:rFonts w:hint="eastAsia" w:ascii="宋体" w:hAnsi="宋体" w:eastAsia="宋体"/>
                <w:szCs w:val="21"/>
                <w:lang w:val="en-US" w:eastAsia="zh-CN"/>
              </w:rPr>
              <w:t>款</w:t>
            </w:r>
          </w:p>
        </w:tc>
        <w:tc>
          <w:tcPr>
            <w:tcW w:w="1742" w:type="dxa"/>
            <w:vAlign w:val="center"/>
          </w:tcPr>
          <w:p w14:paraId="2CE224E1">
            <w:pPr>
              <w:keepNext w:val="0"/>
              <w:keepLines w:val="0"/>
              <w:suppressLineNumbers w:val="0"/>
              <w:adjustRightInd w:val="0"/>
              <w:snapToGrid w:val="0"/>
              <w:spacing w:before="0" w:beforeAutospacing="0" w:after="0" w:afterAutospacing="0"/>
              <w:ind w:left="0" w:right="0"/>
              <w:jc w:val="left"/>
              <w:rPr>
                <w:rFonts w:hint="eastAsia" w:ascii="宋体" w:hAnsi="宋体" w:eastAsia="宋体"/>
                <w:szCs w:val="21"/>
                <w:lang w:eastAsia="zh-CN"/>
              </w:rPr>
            </w:pPr>
            <w:r>
              <w:rPr>
                <w:rFonts w:hint="eastAsia" w:ascii="宋体" w:hAnsi="宋体" w:eastAsia="宋体"/>
                <w:szCs w:val="21"/>
                <w:lang w:eastAsia="zh-CN"/>
              </w:rPr>
              <w:t>保险要求</w:t>
            </w:r>
          </w:p>
        </w:tc>
        <w:tc>
          <w:tcPr>
            <w:tcW w:w="5170" w:type="dxa"/>
            <w:vAlign w:val="center"/>
          </w:tcPr>
          <w:p w14:paraId="6E35905B">
            <w:pPr>
              <w:keepNext w:val="0"/>
              <w:keepLines w:val="0"/>
              <w:suppressLineNumbers w:val="0"/>
              <w:spacing w:before="0" w:beforeAutospacing="0" w:after="0" w:afterAutospacing="0"/>
              <w:ind w:left="0" w:right="0"/>
              <w:rPr>
                <w:rFonts w:hint="eastAsia" w:eastAsia="宋体"/>
              </w:rPr>
            </w:pPr>
          </w:p>
        </w:tc>
      </w:tr>
      <w:tr w14:paraId="54308A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2DE7C7D">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第二节</w:t>
            </w:r>
          </w:p>
          <w:p w14:paraId="39A72965">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8</w:t>
            </w:r>
            <w:r>
              <w:rPr>
                <w:rFonts w:hint="eastAsia" w:ascii="宋体" w:hAnsi="宋体" w:eastAsia="宋体"/>
                <w:szCs w:val="21"/>
              </w:rPr>
              <w:t>.2（1）项</w:t>
            </w:r>
          </w:p>
        </w:tc>
        <w:tc>
          <w:tcPr>
            <w:tcW w:w="1742" w:type="dxa"/>
            <w:vAlign w:val="center"/>
          </w:tcPr>
          <w:p w14:paraId="76953C7F">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rPr>
            </w:pPr>
            <w:r>
              <w:rPr>
                <w:rFonts w:hint="eastAsia" w:ascii="宋体" w:hAnsi="宋体" w:eastAsia="宋体"/>
                <w:szCs w:val="21"/>
              </w:rPr>
              <w:t>质量保证期</w:t>
            </w:r>
          </w:p>
        </w:tc>
        <w:tc>
          <w:tcPr>
            <w:tcW w:w="5170" w:type="dxa"/>
            <w:vAlign w:val="center"/>
          </w:tcPr>
          <w:p w14:paraId="329698D9">
            <w:pPr>
              <w:keepNext w:val="0"/>
              <w:keepLines w:val="0"/>
              <w:suppressLineNumbers w:val="0"/>
              <w:autoSpaceDE w:val="0"/>
              <w:autoSpaceDN w:val="0"/>
              <w:adjustRightInd w:val="0"/>
              <w:snapToGrid w:val="0"/>
              <w:spacing w:before="0" w:beforeAutospacing="0" w:after="0" w:afterAutospacing="0"/>
              <w:ind w:left="0" w:right="0" w:firstLine="420" w:firstLineChars="200"/>
              <w:jc w:val="left"/>
              <w:rPr>
                <w:rFonts w:hint="default" w:ascii="宋体" w:hAnsi="宋体" w:eastAsia="宋体"/>
                <w:szCs w:val="21"/>
              </w:rPr>
            </w:pPr>
          </w:p>
        </w:tc>
      </w:tr>
      <w:tr w14:paraId="039F99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38AEA3A">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第二节</w:t>
            </w:r>
          </w:p>
          <w:p w14:paraId="3A623A98">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8</w:t>
            </w:r>
            <w:r>
              <w:rPr>
                <w:rFonts w:hint="eastAsia" w:ascii="宋体" w:hAnsi="宋体" w:eastAsia="宋体"/>
                <w:szCs w:val="21"/>
              </w:rPr>
              <w:t>.2（3）项</w:t>
            </w:r>
          </w:p>
        </w:tc>
        <w:tc>
          <w:tcPr>
            <w:tcW w:w="1742" w:type="dxa"/>
            <w:vAlign w:val="center"/>
          </w:tcPr>
          <w:p w14:paraId="022EEDAF">
            <w:pPr>
              <w:keepNext w:val="0"/>
              <w:keepLines w:val="0"/>
              <w:suppressLineNumbers w:val="0"/>
              <w:adjustRightInd w:val="0"/>
              <w:snapToGrid w:val="0"/>
              <w:spacing w:before="0" w:beforeAutospacing="0" w:after="0" w:afterAutospacing="0"/>
              <w:ind w:left="0" w:right="0"/>
              <w:jc w:val="left"/>
              <w:rPr>
                <w:rFonts w:hint="eastAsia" w:ascii="宋体" w:hAnsi="宋体" w:eastAsia="宋体"/>
                <w:szCs w:val="21"/>
                <w:lang w:eastAsia="zh-CN"/>
              </w:rPr>
            </w:pPr>
            <w:r>
              <w:rPr>
                <w:rFonts w:hint="eastAsia" w:ascii="宋体" w:hAnsi="宋体" w:eastAsia="宋体"/>
                <w:szCs w:val="21"/>
                <w:lang w:eastAsia="zh-CN"/>
              </w:rPr>
              <w:t>货物质量缺陷</w:t>
            </w:r>
          </w:p>
          <w:p w14:paraId="79174E59">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rPr>
            </w:pPr>
            <w:r>
              <w:rPr>
                <w:rFonts w:hint="eastAsia" w:ascii="宋体" w:hAnsi="宋体" w:eastAsia="宋体"/>
                <w:szCs w:val="21"/>
              </w:rPr>
              <w:t>响应时间</w:t>
            </w:r>
          </w:p>
        </w:tc>
        <w:tc>
          <w:tcPr>
            <w:tcW w:w="5170" w:type="dxa"/>
            <w:vAlign w:val="center"/>
          </w:tcPr>
          <w:p w14:paraId="72B519C1">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rPr>
            </w:pPr>
          </w:p>
        </w:tc>
      </w:tr>
      <w:tr w14:paraId="3E23E4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3DE2EB3">
            <w:pPr>
              <w:keepNext w:val="0"/>
              <w:keepLines w:val="0"/>
              <w:suppressLineNumbers w:val="0"/>
              <w:snapToGrid w:val="0"/>
              <w:spacing w:before="0" w:beforeAutospacing="0" w:after="0" w:afterAutospacing="0"/>
              <w:ind w:left="0" w:right="0"/>
              <w:jc w:val="center"/>
              <w:rPr>
                <w:rFonts w:hint="eastAsia" w:ascii="宋体" w:hAnsi="宋体" w:eastAsia="宋体" w:cs="宋体"/>
                <w:szCs w:val="21"/>
                <w:lang w:val="en-US" w:eastAsia="zh-CN"/>
              </w:rPr>
            </w:pPr>
            <w:r>
              <w:rPr>
                <w:rFonts w:hint="eastAsia" w:ascii="宋体" w:hAnsi="宋体" w:eastAsia="宋体" w:cs="宋体"/>
                <w:szCs w:val="21"/>
                <w:lang w:val="en-US" w:eastAsia="zh-CN"/>
              </w:rPr>
              <w:t>第二节</w:t>
            </w:r>
          </w:p>
          <w:p w14:paraId="52132611">
            <w:pPr>
              <w:keepNext w:val="0"/>
              <w:keepLines w:val="0"/>
              <w:suppressLineNumbers w:val="0"/>
              <w:autoSpaceDE w:val="0"/>
              <w:autoSpaceDN w:val="0"/>
              <w:adjustRightInd w:val="0"/>
              <w:spacing w:before="0" w:beforeAutospacing="0" w:after="0" w:afterAutospacing="0" w:line="400" w:lineRule="exact"/>
              <w:ind w:left="0" w:right="0" w:firstLine="0" w:firstLineChars="0"/>
              <w:jc w:val="center"/>
              <w:rPr>
                <w:rFonts w:hint="default" w:ascii="华文楷体" w:hAnsi="华文楷体" w:eastAsia="华文楷体" w:cs="华文楷体"/>
                <w:sz w:val="22"/>
                <w:szCs w:val="21"/>
                <w:lang w:val="en-US" w:eastAsia="zh-CN" w:bidi="ar-SA"/>
              </w:rPr>
            </w:pPr>
            <w:r>
              <w:rPr>
                <w:rFonts w:hint="eastAsia" w:ascii="宋体" w:hAnsi="宋体" w:eastAsia="宋体" w:cs="宋体"/>
                <w:sz w:val="22"/>
                <w:szCs w:val="21"/>
                <w:lang w:val="en-US" w:eastAsia="zh-CN" w:bidi="ar-SA"/>
              </w:rPr>
              <w:t>第11.1款</w:t>
            </w:r>
          </w:p>
        </w:tc>
        <w:tc>
          <w:tcPr>
            <w:tcW w:w="1742" w:type="dxa"/>
            <w:vAlign w:val="center"/>
          </w:tcPr>
          <w:p w14:paraId="45A589B6">
            <w:pPr>
              <w:keepNext w:val="0"/>
              <w:keepLines w:val="0"/>
              <w:suppressLineNumbers w:val="0"/>
              <w:adjustRightInd w:val="0"/>
              <w:snapToGrid w:val="0"/>
              <w:spacing w:before="0" w:beforeAutospacing="0" w:after="0" w:afterAutospacing="0"/>
              <w:ind w:left="0" w:right="0"/>
              <w:jc w:val="both"/>
              <w:rPr>
                <w:rFonts w:hint="default" w:ascii="宋体" w:hAnsi="宋体" w:eastAsia="宋体"/>
                <w:szCs w:val="21"/>
                <w:lang w:val="en-US" w:eastAsia="zh-CN"/>
              </w:rPr>
            </w:pPr>
            <w:r>
              <w:rPr>
                <w:rFonts w:hint="eastAsia" w:ascii="宋体" w:hAnsi="宋体" w:eastAsia="宋体"/>
                <w:szCs w:val="21"/>
                <w:lang w:val="en-US" w:eastAsia="zh-CN"/>
              </w:rPr>
              <w:t>其他应当保密的信息</w:t>
            </w:r>
          </w:p>
        </w:tc>
        <w:tc>
          <w:tcPr>
            <w:tcW w:w="5170" w:type="dxa"/>
            <w:vAlign w:val="center"/>
          </w:tcPr>
          <w:p w14:paraId="28BE094F">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rPr>
            </w:pPr>
          </w:p>
        </w:tc>
      </w:tr>
      <w:tr w14:paraId="4CE3BA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3EF3EABB">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第二节</w:t>
            </w:r>
          </w:p>
          <w:p w14:paraId="5E3BA06D">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2</w:t>
            </w:r>
            <w:r>
              <w:rPr>
                <w:rFonts w:hint="eastAsia" w:ascii="宋体" w:hAnsi="宋体" w:eastAsia="宋体"/>
                <w:szCs w:val="21"/>
              </w:rPr>
              <w:t>.2款</w:t>
            </w:r>
          </w:p>
        </w:tc>
        <w:tc>
          <w:tcPr>
            <w:tcW w:w="1742" w:type="dxa"/>
            <w:vAlign w:val="center"/>
          </w:tcPr>
          <w:p w14:paraId="39C87B89">
            <w:pPr>
              <w:keepNext w:val="0"/>
              <w:keepLines w:val="0"/>
              <w:suppressLineNumbers w:val="0"/>
              <w:adjustRightInd w:val="0"/>
              <w:snapToGrid w:val="0"/>
              <w:spacing w:before="0" w:beforeAutospacing="0" w:after="0" w:afterAutospacing="0"/>
              <w:ind w:left="0" w:right="0"/>
              <w:jc w:val="left"/>
              <w:rPr>
                <w:rFonts w:hint="eastAsia" w:ascii="宋体" w:hAnsi="宋体" w:eastAsia="宋体"/>
                <w:szCs w:val="21"/>
                <w:lang w:eastAsia="zh-CN"/>
              </w:rPr>
            </w:pPr>
            <w:r>
              <w:rPr>
                <w:rFonts w:hint="eastAsia" w:ascii="宋体" w:hAnsi="宋体" w:eastAsia="宋体"/>
                <w:szCs w:val="21"/>
              </w:rPr>
              <w:t>合同价款支付</w:t>
            </w:r>
            <w:r>
              <w:rPr>
                <w:rFonts w:hint="eastAsia" w:ascii="宋体" w:hAnsi="宋体" w:eastAsia="宋体"/>
                <w:szCs w:val="21"/>
                <w:lang w:eastAsia="zh-CN"/>
              </w:rPr>
              <w:t>时间</w:t>
            </w:r>
          </w:p>
        </w:tc>
        <w:tc>
          <w:tcPr>
            <w:tcW w:w="5170" w:type="dxa"/>
            <w:vAlign w:val="center"/>
          </w:tcPr>
          <w:p w14:paraId="69E47BBD">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rPr>
            </w:pPr>
          </w:p>
        </w:tc>
      </w:tr>
      <w:tr w14:paraId="7FB903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49B83A6B">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1"/>
              </w:rPr>
            </w:pPr>
            <w:r>
              <w:rPr>
                <w:rFonts w:hint="eastAsia" w:ascii="宋体" w:hAnsi="宋体" w:eastAsia="宋体"/>
                <w:szCs w:val="21"/>
              </w:rPr>
              <w:t>第二节</w:t>
            </w:r>
          </w:p>
          <w:p w14:paraId="038B9A76">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13.2</w:t>
            </w:r>
            <w:r>
              <w:rPr>
                <w:rFonts w:hint="eastAsia" w:ascii="宋体" w:hAnsi="宋体" w:eastAsia="宋体"/>
                <w:szCs w:val="21"/>
              </w:rPr>
              <w:t>款</w:t>
            </w:r>
          </w:p>
        </w:tc>
        <w:tc>
          <w:tcPr>
            <w:tcW w:w="1742" w:type="dxa"/>
            <w:vAlign w:val="center"/>
          </w:tcPr>
          <w:p w14:paraId="62EF3DE1">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lang w:val="en-US" w:eastAsia="zh-CN"/>
              </w:rPr>
            </w:pPr>
            <w:r>
              <w:rPr>
                <w:rFonts w:hint="eastAsia" w:ascii="宋体" w:hAnsi="宋体" w:eastAsia="宋体"/>
                <w:szCs w:val="21"/>
                <w:lang w:val="en-US" w:eastAsia="zh-CN"/>
              </w:rPr>
              <w:t>履约保证金不予退还的情形</w:t>
            </w:r>
          </w:p>
        </w:tc>
        <w:tc>
          <w:tcPr>
            <w:tcW w:w="5170" w:type="dxa"/>
            <w:vAlign w:val="center"/>
          </w:tcPr>
          <w:p w14:paraId="3E40E23E">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rPr>
            </w:pPr>
          </w:p>
        </w:tc>
      </w:tr>
      <w:tr w14:paraId="0DD243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F8CEDCB">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1"/>
              </w:rPr>
            </w:pPr>
            <w:r>
              <w:rPr>
                <w:rFonts w:hint="eastAsia" w:ascii="宋体" w:hAnsi="宋体" w:eastAsia="宋体"/>
                <w:szCs w:val="21"/>
              </w:rPr>
              <w:t>第二节</w:t>
            </w:r>
          </w:p>
          <w:p w14:paraId="3BC06647">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13.3</w:t>
            </w:r>
            <w:r>
              <w:rPr>
                <w:rFonts w:hint="eastAsia" w:ascii="宋体" w:hAnsi="宋体" w:eastAsia="宋体"/>
                <w:szCs w:val="21"/>
              </w:rPr>
              <w:t>款</w:t>
            </w:r>
          </w:p>
        </w:tc>
        <w:tc>
          <w:tcPr>
            <w:tcW w:w="1742" w:type="dxa"/>
            <w:vAlign w:val="center"/>
          </w:tcPr>
          <w:p w14:paraId="77548768">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rPr>
            </w:pPr>
            <w:r>
              <w:rPr>
                <w:rFonts w:hint="eastAsia" w:ascii="宋体" w:hAnsi="宋体" w:eastAsia="宋体"/>
                <w:szCs w:val="21"/>
              </w:rPr>
              <w:t>履约保证金退还时间及</w:t>
            </w:r>
            <w:r>
              <w:rPr>
                <w:rFonts w:hint="eastAsia" w:ascii="宋体" w:hAnsi="宋体" w:eastAsia="宋体"/>
                <w:szCs w:val="21"/>
                <w:lang w:eastAsia="zh-CN"/>
              </w:rPr>
              <w:t>逾期退还的</w:t>
            </w:r>
            <w:r>
              <w:rPr>
                <w:rFonts w:hint="eastAsia" w:ascii="宋体" w:hAnsi="宋体" w:eastAsia="宋体"/>
                <w:szCs w:val="21"/>
              </w:rPr>
              <w:t>违约金</w:t>
            </w:r>
          </w:p>
        </w:tc>
        <w:tc>
          <w:tcPr>
            <w:tcW w:w="5170" w:type="dxa"/>
            <w:vAlign w:val="center"/>
          </w:tcPr>
          <w:p w14:paraId="62FAC8FC">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rPr>
            </w:pPr>
          </w:p>
        </w:tc>
      </w:tr>
      <w:tr w14:paraId="7A0D5B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57C17D8F">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第二节</w:t>
            </w:r>
          </w:p>
          <w:p w14:paraId="6A4C229C">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3</w:t>
            </w:r>
            <w:r>
              <w:rPr>
                <w:rFonts w:hint="eastAsia" w:ascii="宋体" w:hAnsi="宋体" w:eastAsia="宋体"/>
                <w:szCs w:val="21"/>
              </w:rPr>
              <w:t>）项</w:t>
            </w:r>
          </w:p>
        </w:tc>
        <w:tc>
          <w:tcPr>
            <w:tcW w:w="1742" w:type="dxa"/>
            <w:vAlign w:val="center"/>
          </w:tcPr>
          <w:p w14:paraId="079C85B1">
            <w:pPr>
              <w:keepNext w:val="0"/>
              <w:keepLines w:val="0"/>
              <w:suppressLineNumbers w:val="0"/>
              <w:adjustRightInd w:val="0"/>
              <w:snapToGrid w:val="0"/>
              <w:spacing w:before="0" w:beforeAutospacing="0" w:after="0" w:afterAutospacing="0"/>
              <w:ind w:left="0" w:right="0"/>
              <w:jc w:val="left"/>
              <w:rPr>
                <w:rFonts w:hint="eastAsia" w:ascii="宋体" w:hAnsi="宋体" w:eastAsia="宋体"/>
                <w:szCs w:val="21"/>
                <w:lang w:val="en-US" w:eastAsia="zh-CN"/>
              </w:rPr>
            </w:pPr>
            <w:r>
              <w:rPr>
                <w:rFonts w:hint="eastAsia" w:ascii="宋体" w:hAnsi="宋体" w:eastAsia="宋体"/>
                <w:szCs w:val="21"/>
                <w:lang w:val="en-US" w:eastAsia="zh-CN"/>
              </w:rPr>
              <w:t>运行监督、维修期限</w:t>
            </w:r>
          </w:p>
        </w:tc>
        <w:tc>
          <w:tcPr>
            <w:tcW w:w="5170" w:type="dxa"/>
            <w:vAlign w:val="center"/>
          </w:tcPr>
          <w:p w14:paraId="60770168">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rPr>
            </w:pPr>
          </w:p>
        </w:tc>
      </w:tr>
      <w:tr w14:paraId="242D91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7AC2F51">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第二节</w:t>
            </w:r>
          </w:p>
          <w:p w14:paraId="6E3D0776">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5</w:t>
            </w:r>
            <w:r>
              <w:rPr>
                <w:rFonts w:hint="eastAsia" w:ascii="宋体" w:hAnsi="宋体" w:eastAsia="宋体"/>
                <w:szCs w:val="21"/>
              </w:rPr>
              <w:t>）项</w:t>
            </w:r>
          </w:p>
        </w:tc>
        <w:tc>
          <w:tcPr>
            <w:tcW w:w="1742" w:type="dxa"/>
            <w:vAlign w:val="center"/>
          </w:tcPr>
          <w:p w14:paraId="5502B078">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lang w:val="en-US" w:eastAsia="zh-CN"/>
              </w:rPr>
            </w:pPr>
            <w:r>
              <w:rPr>
                <w:rFonts w:hint="eastAsia" w:ascii="宋体" w:hAnsi="宋体" w:eastAsia="宋体"/>
                <w:szCs w:val="21"/>
                <w:lang w:val="en-US" w:eastAsia="zh-CN"/>
              </w:rPr>
              <w:t>货物回收的约定</w:t>
            </w:r>
          </w:p>
        </w:tc>
        <w:tc>
          <w:tcPr>
            <w:tcW w:w="5170" w:type="dxa"/>
            <w:vAlign w:val="center"/>
          </w:tcPr>
          <w:p w14:paraId="03651F8D">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rPr>
            </w:pPr>
          </w:p>
        </w:tc>
      </w:tr>
      <w:tr w14:paraId="43A7C9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0703D29">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第二节</w:t>
            </w:r>
          </w:p>
          <w:p w14:paraId="1503786C">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6</w:t>
            </w:r>
            <w:r>
              <w:rPr>
                <w:rFonts w:hint="eastAsia" w:ascii="宋体" w:hAnsi="宋体" w:eastAsia="宋体"/>
                <w:szCs w:val="21"/>
              </w:rPr>
              <w:t>）项</w:t>
            </w:r>
          </w:p>
        </w:tc>
        <w:tc>
          <w:tcPr>
            <w:tcW w:w="1742" w:type="dxa"/>
            <w:vAlign w:val="center"/>
          </w:tcPr>
          <w:p w14:paraId="0CADFD43">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rPr>
            </w:pPr>
            <w:r>
              <w:rPr>
                <w:rFonts w:hint="eastAsia" w:ascii="宋体" w:hAnsi="宋体" w:eastAsia="宋体"/>
                <w:szCs w:val="21"/>
              </w:rPr>
              <w:t>乙方提供的其他服务</w:t>
            </w:r>
          </w:p>
        </w:tc>
        <w:tc>
          <w:tcPr>
            <w:tcW w:w="5170" w:type="dxa"/>
            <w:vAlign w:val="center"/>
          </w:tcPr>
          <w:p w14:paraId="2FFB72F7">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rPr>
            </w:pPr>
          </w:p>
        </w:tc>
      </w:tr>
      <w:tr w14:paraId="11C008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625F93A">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第二节</w:t>
            </w:r>
          </w:p>
          <w:p w14:paraId="4E5C4D1A">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lang w:val="en-US" w:eastAsia="zh-CN"/>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w:t>
            </w:r>
            <w:r>
              <w:rPr>
                <w:rFonts w:hint="eastAsia" w:ascii="宋体" w:hAnsi="宋体" w:eastAsia="宋体"/>
                <w:szCs w:val="21"/>
                <w:lang w:val="en-US" w:eastAsia="zh-CN"/>
              </w:rPr>
              <w:t>1款</w:t>
            </w:r>
          </w:p>
        </w:tc>
        <w:tc>
          <w:tcPr>
            <w:tcW w:w="1742" w:type="dxa"/>
            <w:vAlign w:val="center"/>
          </w:tcPr>
          <w:p w14:paraId="029E7090">
            <w:pPr>
              <w:keepNext w:val="0"/>
              <w:keepLines w:val="0"/>
              <w:suppressLineNumbers w:val="0"/>
              <w:adjustRightInd w:val="0"/>
              <w:snapToGrid w:val="0"/>
              <w:spacing w:before="0" w:beforeAutospacing="0" w:after="0" w:afterAutospacing="0"/>
              <w:ind w:left="0" w:right="0"/>
              <w:jc w:val="left"/>
              <w:rPr>
                <w:rFonts w:hint="eastAsia" w:ascii="宋体" w:hAnsi="宋体" w:eastAsia="宋体"/>
                <w:szCs w:val="21"/>
              </w:rPr>
            </w:pPr>
            <w:r>
              <w:rPr>
                <w:rFonts w:hint="eastAsia" w:ascii="宋体" w:hAnsi="宋体" w:eastAsia="宋体"/>
                <w:color w:val="auto"/>
                <w:szCs w:val="21"/>
                <w:highlight w:val="none"/>
                <w:lang w:eastAsia="zh-CN"/>
              </w:rPr>
              <w:t>修理、重作、更换相关具体规定</w:t>
            </w:r>
          </w:p>
        </w:tc>
        <w:tc>
          <w:tcPr>
            <w:tcW w:w="5170" w:type="dxa"/>
            <w:vAlign w:val="center"/>
          </w:tcPr>
          <w:p w14:paraId="011B982F">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rPr>
            </w:pPr>
          </w:p>
        </w:tc>
      </w:tr>
      <w:tr w14:paraId="3BFC87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1EC1DCB">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第二节</w:t>
            </w:r>
          </w:p>
          <w:p w14:paraId="6484982E">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.2（2）项</w:t>
            </w:r>
          </w:p>
        </w:tc>
        <w:tc>
          <w:tcPr>
            <w:tcW w:w="1742" w:type="dxa"/>
            <w:vAlign w:val="center"/>
          </w:tcPr>
          <w:p w14:paraId="14D46F92">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rPr>
            </w:pPr>
            <w:r>
              <w:rPr>
                <w:rFonts w:hint="eastAsia" w:ascii="宋体" w:hAnsi="宋体" w:eastAsia="宋体"/>
                <w:szCs w:val="21"/>
              </w:rPr>
              <w:t>迟延交货赔偿费</w:t>
            </w:r>
          </w:p>
        </w:tc>
        <w:tc>
          <w:tcPr>
            <w:tcW w:w="5170" w:type="dxa"/>
            <w:vAlign w:val="center"/>
          </w:tcPr>
          <w:p w14:paraId="4E521403">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u w:val="single"/>
              </w:rPr>
            </w:pPr>
          </w:p>
        </w:tc>
      </w:tr>
      <w:tr w14:paraId="18A90D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939CE72">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第二节</w:t>
            </w:r>
          </w:p>
          <w:p w14:paraId="563D6C04">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w:t>
            </w:r>
            <w:r>
              <w:rPr>
                <w:rFonts w:hint="eastAsia" w:ascii="宋体" w:hAnsi="宋体" w:eastAsia="宋体"/>
                <w:szCs w:val="21"/>
                <w:lang w:val="en-US" w:eastAsia="zh-CN"/>
              </w:rPr>
              <w:t>3款</w:t>
            </w:r>
          </w:p>
        </w:tc>
        <w:tc>
          <w:tcPr>
            <w:tcW w:w="1742" w:type="dxa"/>
            <w:vAlign w:val="center"/>
          </w:tcPr>
          <w:p w14:paraId="15AB91C2">
            <w:pPr>
              <w:keepNext w:val="0"/>
              <w:keepLines w:val="0"/>
              <w:suppressLineNumbers w:val="0"/>
              <w:adjustRightInd w:val="0"/>
              <w:snapToGrid w:val="0"/>
              <w:spacing w:before="0" w:beforeAutospacing="0" w:after="0" w:afterAutospacing="0"/>
              <w:ind w:left="0" w:right="0"/>
              <w:jc w:val="left"/>
              <w:rPr>
                <w:rFonts w:hint="eastAsia" w:ascii="宋体" w:hAnsi="宋体" w:eastAsia="宋体"/>
                <w:szCs w:val="21"/>
              </w:rPr>
            </w:pPr>
            <w:r>
              <w:rPr>
                <w:rFonts w:hint="eastAsia" w:ascii="宋体" w:hAnsi="宋体" w:eastAsia="宋体"/>
                <w:szCs w:val="21"/>
              </w:rPr>
              <w:t>逾期付款利息</w:t>
            </w:r>
          </w:p>
        </w:tc>
        <w:tc>
          <w:tcPr>
            <w:tcW w:w="5170" w:type="dxa"/>
            <w:vAlign w:val="center"/>
          </w:tcPr>
          <w:p w14:paraId="4D76D43C">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u w:val="single"/>
              </w:rPr>
            </w:pPr>
          </w:p>
        </w:tc>
      </w:tr>
      <w:tr w14:paraId="5D2DB1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55D120D5">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第二节</w:t>
            </w:r>
          </w:p>
          <w:p w14:paraId="6FB00797">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.4</w:t>
            </w:r>
            <w:r>
              <w:rPr>
                <w:rFonts w:hint="eastAsia" w:ascii="宋体" w:hAnsi="宋体" w:eastAsia="宋体"/>
                <w:szCs w:val="21"/>
                <w:lang w:val="en-US" w:eastAsia="zh-CN"/>
              </w:rPr>
              <w:t>款</w:t>
            </w:r>
          </w:p>
        </w:tc>
        <w:tc>
          <w:tcPr>
            <w:tcW w:w="1742" w:type="dxa"/>
            <w:tcBorders>
              <w:left w:val="single" w:color="auto" w:sz="2" w:space="0"/>
              <w:bottom w:val="single" w:color="auto" w:sz="2" w:space="0"/>
              <w:right w:val="single" w:color="auto" w:sz="2" w:space="0"/>
            </w:tcBorders>
            <w:vAlign w:val="center"/>
          </w:tcPr>
          <w:p w14:paraId="592E7278">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rPr>
            </w:pPr>
            <w:r>
              <w:rPr>
                <w:rFonts w:hint="eastAsia" w:ascii="宋体" w:hAnsi="宋体" w:eastAsia="宋体"/>
                <w:szCs w:val="21"/>
              </w:rPr>
              <w:t>其他违约责任</w:t>
            </w:r>
          </w:p>
        </w:tc>
        <w:tc>
          <w:tcPr>
            <w:tcW w:w="5170" w:type="dxa"/>
            <w:tcBorders>
              <w:left w:val="single" w:color="auto" w:sz="2" w:space="0"/>
              <w:bottom w:val="single" w:color="auto" w:sz="2" w:space="0"/>
            </w:tcBorders>
            <w:vAlign w:val="center"/>
          </w:tcPr>
          <w:p w14:paraId="0E517D0C">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u w:val="single"/>
              </w:rPr>
            </w:pPr>
          </w:p>
        </w:tc>
      </w:tr>
      <w:tr w14:paraId="1454FA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15774F35">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第二节</w:t>
            </w:r>
          </w:p>
          <w:p w14:paraId="30AC1D8E">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19</w:t>
            </w:r>
            <w:r>
              <w:rPr>
                <w:rFonts w:hint="eastAsia" w:ascii="宋体" w:hAnsi="宋体" w:eastAsia="宋体"/>
                <w:szCs w:val="21"/>
              </w:rPr>
              <w:t>.2</w:t>
            </w:r>
            <w:r>
              <w:rPr>
                <w:rFonts w:hint="eastAsia" w:ascii="宋体" w:hAnsi="宋体" w:eastAsia="宋体"/>
                <w:szCs w:val="21"/>
                <w:lang w:val="en-US" w:eastAsia="zh-CN"/>
              </w:rPr>
              <w:t>款</w:t>
            </w:r>
          </w:p>
        </w:tc>
        <w:tc>
          <w:tcPr>
            <w:tcW w:w="1742" w:type="dxa"/>
            <w:tcBorders>
              <w:top w:val="single" w:color="auto" w:sz="2" w:space="0"/>
              <w:left w:val="single" w:color="auto" w:sz="2" w:space="0"/>
              <w:right w:val="single" w:color="auto" w:sz="2" w:space="0"/>
            </w:tcBorders>
            <w:vAlign w:val="center"/>
          </w:tcPr>
          <w:p w14:paraId="5ECB2E6F">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rPr>
            </w:pPr>
            <w:r>
              <w:rPr>
                <w:rFonts w:hint="eastAsia" w:ascii="宋体" w:hAnsi="宋体" w:eastAsia="宋体"/>
                <w:szCs w:val="21"/>
                <w:lang w:val="en-US" w:eastAsia="zh-CN"/>
              </w:rPr>
              <w:t>解决争议的方法</w:t>
            </w:r>
          </w:p>
        </w:tc>
        <w:tc>
          <w:tcPr>
            <w:tcW w:w="5170" w:type="dxa"/>
            <w:tcBorders>
              <w:top w:val="single" w:color="auto" w:sz="2" w:space="0"/>
              <w:left w:val="single" w:color="auto" w:sz="2" w:space="0"/>
            </w:tcBorders>
            <w:vAlign w:val="center"/>
          </w:tcPr>
          <w:p w14:paraId="7269640D">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宋体"/>
                <w:b w:val="0"/>
                <w:bCs w:val="0"/>
                <w:iCs/>
                <w:szCs w:val="21"/>
              </w:rPr>
            </w:pPr>
            <w:r>
              <w:rPr>
                <w:rFonts w:hint="eastAsia" w:ascii="宋体" w:hAnsi="宋体" w:eastAsia="宋体" w:cs="宋体"/>
                <w:b w:val="0"/>
                <w:bCs w:val="0"/>
                <w:iCs/>
                <w:szCs w:val="21"/>
              </w:rPr>
              <w:t>因本合同及合同有关事项发生的争议，按下列第</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种方式解决：</w:t>
            </w:r>
          </w:p>
          <w:p w14:paraId="01AAA808">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宋体"/>
                <w:b w:val="0"/>
                <w:bCs w:val="0"/>
                <w:iCs/>
                <w:szCs w:val="21"/>
              </w:rPr>
            </w:pPr>
            <w:r>
              <w:rPr>
                <w:rFonts w:hint="eastAsia" w:ascii="宋体" w:hAnsi="宋体" w:eastAsia="宋体" w:cs="宋体"/>
                <w:b w:val="0"/>
                <w:bCs w:val="0"/>
                <w:iCs/>
                <w:szCs w:val="21"/>
              </w:rPr>
              <w:t>（1）向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仲裁委员会申请仲裁，仲裁地点为</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w:t>
            </w:r>
          </w:p>
          <w:p w14:paraId="6540B244">
            <w:pPr>
              <w:keepNext w:val="0"/>
              <w:keepLines w:val="0"/>
              <w:suppressLineNumbers w:val="0"/>
              <w:adjustRightInd w:val="0"/>
              <w:snapToGrid w:val="0"/>
              <w:spacing w:before="0" w:beforeAutospacing="0" w:after="0" w:afterAutospacing="0"/>
              <w:ind w:left="0" w:right="0" w:firstLine="0" w:firstLineChars="0"/>
              <w:jc w:val="left"/>
              <w:rPr>
                <w:rFonts w:hint="default" w:ascii="宋体" w:hAnsi="宋体" w:eastAsia="宋体"/>
                <w:szCs w:val="21"/>
                <w:u w:val="single"/>
              </w:rPr>
            </w:pPr>
            <w:r>
              <w:rPr>
                <w:rFonts w:hint="eastAsia" w:ascii="宋体" w:hAnsi="宋体" w:eastAsia="宋体" w:cs="宋体"/>
                <w:b w:val="0"/>
                <w:bCs w:val="0"/>
                <w:iCs/>
                <w:szCs w:val="21"/>
              </w:rPr>
              <w:t>（2）向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人民法院起诉。</w:t>
            </w:r>
          </w:p>
        </w:tc>
      </w:tr>
      <w:tr w14:paraId="6FCCD4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203165DF">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第二节</w:t>
            </w:r>
          </w:p>
          <w:p w14:paraId="200367BC">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第2</w:t>
            </w:r>
            <w:r>
              <w:rPr>
                <w:rFonts w:hint="eastAsia" w:ascii="宋体" w:hAnsi="宋体" w:eastAsia="宋体"/>
                <w:szCs w:val="21"/>
                <w:lang w:val="en-US" w:eastAsia="zh-CN"/>
              </w:rPr>
              <w:t>3.1</w:t>
            </w:r>
            <w:r>
              <w:rPr>
                <w:rFonts w:hint="eastAsia" w:ascii="宋体" w:hAnsi="宋体" w:eastAsia="宋体"/>
                <w:szCs w:val="21"/>
                <w:lang w:eastAsia="zh-CN"/>
              </w:rPr>
              <w:t>款</w:t>
            </w:r>
          </w:p>
        </w:tc>
        <w:tc>
          <w:tcPr>
            <w:tcW w:w="1742" w:type="dxa"/>
            <w:vAlign w:val="center"/>
          </w:tcPr>
          <w:p w14:paraId="0C37370F">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rPr>
            </w:pPr>
            <w:r>
              <w:rPr>
                <w:rFonts w:hint="eastAsia" w:ascii="宋体" w:hAnsi="宋体" w:eastAsia="宋体"/>
                <w:bCs/>
                <w:color w:val="auto"/>
                <w:szCs w:val="21"/>
                <w:highlight w:val="none"/>
                <w:lang w:eastAsia="zh-CN"/>
              </w:rPr>
              <w:t>其他专用条款</w:t>
            </w:r>
          </w:p>
        </w:tc>
        <w:tc>
          <w:tcPr>
            <w:tcW w:w="5170" w:type="dxa"/>
            <w:vAlign w:val="center"/>
          </w:tcPr>
          <w:p w14:paraId="57D9EC46">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lang w:val="en-US" w:eastAsia="zh-CN"/>
              </w:rPr>
            </w:pPr>
          </w:p>
        </w:tc>
      </w:tr>
    </w:tbl>
    <w:p w14:paraId="37443B07">
      <w:pPr>
        <w:rPr>
          <w:rFonts w:eastAsia="宋体"/>
        </w:rPr>
      </w:pPr>
    </w:p>
    <w:p w14:paraId="00B34262">
      <w:pPr>
        <w:rPr>
          <w:rFonts w:eastAsia="宋体"/>
        </w:rPr>
      </w:pPr>
    </w:p>
    <w:p w14:paraId="46E38573">
      <w:pPr>
        <w:widowControl/>
        <w:jc w:val="left"/>
        <w:rPr>
          <w:rFonts w:ascii="宋体" w:hAnsi="宋体"/>
          <w:szCs w:val="21"/>
        </w:rPr>
      </w:pPr>
      <w:r>
        <w:rPr>
          <w:rFonts w:ascii="宋体" w:hAnsi="宋体"/>
          <w:szCs w:val="21"/>
        </w:rPr>
        <w:br w:type="page"/>
      </w:r>
    </w:p>
    <w:p w14:paraId="00266395">
      <w:pPr>
        <w:pStyle w:val="7"/>
        <w:spacing w:before="120" w:beforeLines="50" w:after="120" w:afterLines="50"/>
        <w:ind w:left="562"/>
        <w:rPr>
          <w:sz w:val="28"/>
          <w:szCs w:val="28"/>
        </w:rPr>
      </w:pPr>
      <w:r>
        <w:rPr>
          <w:rFonts w:hint="eastAsia"/>
          <w:sz w:val="28"/>
          <w:szCs w:val="28"/>
        </w:rPr>
        <w:t>第二册  通用条款（公开招标）</w:t>
      </w:r>
    </w:p>
    <w:p w14:paraId="6F24FA3B">
      <w:pPr>
        <w:pStyle w:val="81"/>
        <w:keepNext/>
        <w:keepLines/>
        <w:numPr>
          <w:ilvl w:val="0"/>
          <w:numId w:val="16"/>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bookmarkStart w:id="49" w:name="_Hlk72399513"/>
      <w:bookmarkStart w:id="50" w:name="_Hlk72439706"/>
      <w:r>
        <w:rPr>
          <w:rFonts w:hint="eastAsia" w:ascii="Cambria" w:hAnsi="Cambria" w:cs="宋体"/>
          <w:b/>
          <w:bCs/>
          <w:sz w:val="28"/>
          <w:szCs w:val="28"/>
        </w:rPr>
        <w:t>总则</w:t>
      </w:r>
    </w:p>
    <w:bookmarkEnd w:id="49"/>
    <w:p w14:paraId="45CEEC0E">
      <w:pPr>
        <w:ind w:firstLine="420" w:firstLineChars="200"/>
        <w:rPr>
          <w:rFonts w:ascii="黑体" w:hAnsi="宋体" w:eastAsia="黑体"/>
          <w:szCs w:val="21"/>
        </w:rPr>
      </w:pPr>
      <w:r>
        <w:rPr>
          <w:rFonts w:hint="eastAsia" w:ascii="黑体" w:hAnsi="宋体" w:eastAsia="黑体"/>
          <w:szCs w:val="21"/>
        </w:rPr>
        <w:t>1. 通用条款说明</w:t>
      </w:r>
    </w:p>
    <w:p w14:paraId="03C4970A">
      <w:pPr>
        <w:ind w:firstLine="420" w:firstLineChars="200"/>
        <w:rPr>
          <w:rFonts w:ascii="宋体" w:hAnsi="宋体"/>
          <w:szCs w:val="21"/>
        </w:rPr>
      </w:pPr>
      <w:r>
        <w:rPr>
          <w:rFonts w:hint="eastAsia" w:ascii="宋体" w:hAnsi="宋体"/>
          <w:szCs w:val="21"/>
        </w:rPr>
        <w:t>1.</w:t>
      </w:r>
      <w:r>
        <w:rPr>
          <w:rFonts w:hint="eastAsia" w:ascii="宋体" w:hAnsi="宋体"/>
          <w:szCs w:val="21"/>
          <w:highlight w:val="none"/>
        </w:rPr>
        <w:t>1采购代理机构发出招标文件通用条款版本，列出深圳市自行采购项目进行招标采购所适用的通用条款内容。</w:t>
      </w:r>
      <w:bookmarkStart w:id="51" w:name="_Hlk72399729"/>
      <w:r>
        <w:rPr>
          <w:rFonts w:hint="eastAsia" w:ascii="宋体" w:hAnsi="宋体"/>
          <w:szCs w:val="21"/>
          <w:highlight w:val="none"/>
        </w:rPr>
        <w:t>如有需要，采购代理机构可以对通用条款</w:t>
      </w:r>
      <w:r>
        <w:rPr>
          <w:rFonts w:hint="eastAsia" w:ascii="宋体" w:hAnsi="宋体"/>
          <w:szCs w:val="21"/>
        </w:rPr>
        <w:t>的内容进行补充。</w:t>
      </w:r>
      <w:bookmarkEnd w:id="51"/>
    </w:p>
    <w:p w14:paraId="4D18BBCF">
      <w:pPr>
        <w:ind w:firstLine="420" w:firstLineChars="200"/>
        <w:rPr>
          <w:rFonts w:ascii="宋体" w:hAnsi="宋体"/>
          <w:szCs w:val="21"/>
        </w:rPr>
      </w:pPr>
      <w:r>
        <w:rPr>
          <w:rFonts w:hint="eastAsia" w:ascii="宋体" w:hAnsi="宋体"/>
          <w:szCs w:val="21"/>
        </w:rPr>
        <w:t>1.2招标文件分为第一册“专用条款”和第二册“通用条款”。</w:t>
      </w:r>
    </w:p>
    <w:p w14:paraId="7B205A52">
      <w:pPr>
        <w:ind w:firstLine="420" w:firstLineChars="200"/>
        <w:rPr>
          <w:rFonts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14:paraId="05A6ABBA">
      <w:pPr>
        <w:ind w:firstLine="420" w:firstLineChars="200"/>
        <w:rPr>
          <w:rFonts w:ascii="宋体" w:hAnsi="宋体"/>
          <w:szCs w:val="21"/>
        </w:rPr>
      </w:pPr>
      <w:r>
        <w:rPr>
          <w:rFonts w:hint="eastAsia" w:ascii="宋体" w:hAnsi="宋体"/>
          <w:szCs w:val="21"/>
        </w:rPr>
        <w:t>1.4“通用条款”是适用于自行采购公开招标项目的基础性条款，具有普遍性和通用性。</w:t>
      </w:r>
    </w:p>
    <w:p w14:paraId="7849DD2A">
      <w:pPr>
        <w:ind w:firstLine="420" w:firstLineChars="200"/>
        <w:rPr>
          <w:rFonts w:ascii="宋体" w:hAnsi="宋体"/>
          <w:szCs w:val="21"/>
        </w:rPr>
      </w:pPr>
      <w:r>
        <w:rPr>
          <w:rFonts w:hint="eastAsia" w:ascii="宋体" w:hAnsi="宋体"/>
          <w:szCs w:val="21"/>
        </w:rPr>
        <w:t>1.5 “专用条款”和“通用条款”表述不一致或有冲突时，以“专用条款”为准。</w:t>
      </w:r>
    </w:p>
    <w:p w14:paraId="73294E1D">
      <w:pPr>
        <w:ind w:firstLine="420" w:firstLineChars="200"/>
        <w:rPr>
          <w:rFonts w:ascii="黑体" w:hAnsi="宋体" w:eastAsia="黑体"/>
          <w:szCs w:val="21"/>
        </w:rPr>
      </w:pPr>
      <w:r>
        <w:rPr>
          <w:rFonts w:hint="eastAsia" w:ascii="黑体" w:hAnsi="宋体" w:eastAsia="黑体"/>
          <w:szCs w:val="21"/>
        </w:rPr>
        <w:t>2．招标说明</w:t>
      </w:r>
    </w:p>
    <w:p w14:paraId="50AD94D4">
      <w:pPr>
        <w:ind w:firstLine="422" w:firstLineChars="200"/>
        <w:rPr>
          <w:rFonts w:ascii="宋体" w:hAnsi="宋体"/>
          <w:b/>
          <w:bCs/>
          <w:color w:val="FF0000"/>
          <w:szCs w:val="21"/>
        </w:rPr>
      </w:pPr>
      <w:r>
        <w:rPr>
          <w:rFonts w:hint="eastAsia" w:ascii="宋体" w:hAnsi="宋体"/>
          <w:b/>
          <w:bCs/>
          <w:color w:val="FF0000"/>
          <w:szCs w:val="21"/>
        </w:rPr>
        <w:t>本项目为自行采购项目，参照《深圳经济特区政府采购条例》、《深圳经济特区政府采购条例实施细则》及政府采购其他法律法规，通过公开招标方式确定中标供应商。</w:t>
      </w:r>
    </w:p>
    <w:p w14:paraId="09821FF2">
      <w:pPr>
        <w:ind w:firstLine="420" w:firstLineChars="200"/>
        <w:rPr>
          <w:rFonts w:ascii="黑体" w:hAnsi="宋体" w:eastAsia="黑体"/>
          <w:szCs w:val="21"/>
        </w:rPr>
      </w:pPr>
      <w:r>
        <w:rPr>
          <w:rFonts w:hint="eastAsia" w:ascii="黑体" w:hAnsi="宋体" w:eastAsia="黑体"/>
          <w:szCs w:val="21"/>
        </w:rPr>
        <w:t>3．定义</w:t>
      </w:r>
    </w:p>
    <w:p w14:paraId="422D139A">
      <w:pPr>
        <w:ind w:firstLine="420" w:firstLineChars="200"/>
        <w:rPr>
          <w:rFonts w:ascii="宋体" w:hAnsi="宋体"/>
          <w:szCs w:val="21"/>
        </w:rPr>
      </w:pPr>
      <w:r>
        <w:rPr>
          <w:rFonts w:hint="eastAsia" w:ascii="宋体" w:hAnsi="宋体"/>
          <w:szCs w:val="21"/>
        </w:rPr>
        <w:t>招标文件中下列术语应解释为：</w:t>
      </w:r>
    </w:p>
    <w:p w14:paraId="1287F3C7">
      <w:pPr>
        <w:ind w:firstLine="420" w:firstLineChars="200"/>
        <w:rPr>
          <w:rFonts w:ascii="宋体" w:hAnsi="宋体"/>
          <w:szCs w:val="21"/>
        </w:rPr>
      </w:pPr>
      <w:r>
        <w:rPr>
          <w:rFonts w:hint="eastAsia" w:ascii="宋体" w:hAnsi="宋体"/>
          <w:szCs w:val="21"/>
        </w:rPr>
        <w:t>3.1“采购人”：指依法进行</w:t>
      </w:r>
      <w:r>
        <w:rPr>
          <w:rFonts w:hint="eastAsia" w:ascii="宋体" w:hAnsi="宋体"/>
          <w:b/>
          <w:bCs/>
          <w:color w:val="FF0000"/>
          <w:szCs w:val="21"/>
        </w:rPr>
        <w:t>自行采购</w:t>
      </w:r>
      <w:r>
        <w:rPr>
          <w:rFonts w:hint="eastAsia" w:ascii="宋体" w:hAnsi="宋体"/>
          <w:szCs w:val="21"/>
        </w:rPr>
        <w:t xml:space="preserve">的国家机关、事业单位、团体组织； </w:t>
      </w:r>
    </w:p>
    <w:p w14:paraId="569381D4">
      <w:pPr>
        <w:ind w:firstLine="420" w:firstLineChars="200"/>
        <w:rPr>
          <w:rFonts w:ascii="宋体" w:hAnsi="宋体"/>
          <w:szCs w:val="21"/>
          <w:highlight w:val="none"/>
        </w:rPr>
      </w:pPr>
      <w:r>
        <w:rPr>
          <w:rFonts w:hint="eastAsia" w:ascii="宋体" w:hAnsi="宋体"/>
          <w:szCs w:val="21"/>
          <w:highlight w:val="none"/>
        </w:rPr>
        <w:t>3.2 “政府集中采购机构”</w:t>
      </w:r>
      <w:r>
        <w:rPr>
          <w:rFonts w:hint="eastAsia" w:ascii="Arial" w:hAnsi="Arial" w:cs="Arial"/>
          <w:szCs w:val="21"/>
          <w:highlight w:val="none"/>
          <w:shd w:val="clear" w:color="auto" w:fill="FFFFFF"/>
        </w:rPr>
        <w:t>是指市政府设立的，组织实施采购项目，并对采购活动提供服务的专门机构；</w:t>
      </w:r>
      <w:r>
        <w:rPr>
          <w:rFonts w:hint="eastAsia" w:ascii="宋体" w:hAnsi="宋体"/>
          <w:szCs w:val="21"/>
          <w:highlight w:val="none"/>
        </w:rPr>
        <w:t>本文件所述的“采购代理机构”指</w:t>
      </w:r>
      <w:r>
        <w:rPr>
          <w:rFonts w:hint="eastAsia" w:ascii="宋体" w:hAnsi="宋体"/>
          <w:b/>
          <w:bCs/>
          <w:szCs w:val="21"/>
          <w:highlight w:val="none"/>
        </w:rPr>
        <w:t>深圳公共资源交易中心</w:t>
      </w:r>
      <w:r>
        <w:rPr>
          <w:rFonts w:hint="eastAsia" w:ascii="宋体" w:hAnsi="宋体"/>
          <w:b/>
          <w:bCs/>
          <w:szCs w:val="21"/>
          <w:highlight w:val="none"/>
          <w:lang w:eastAsia="zh-CN"/>
        </w:rPr>
        <w:t>（</w:t>
      </w:r>
      <w:r>
        <w:rPr>
          <w:rFonts w:hint="eastAsia" w:asciiTheme="minorEastAsia" w:hAnsiTheme="minorEastAsia" w:eastAsiaTheme="minorEastAsia"/>
          <w:b/>
          <w:bCs/>
          <w:highlight w:val="none"/>
        </w:rPr>
        <w:t>深圳交易集团有限公司政府采购业务分公司）</w:t>
      </w:r>
      <w:r>
        <w:rPr>
          <w:rFonts w:hint="eastAsia" w:ascii="宋体" w:hAnsi="宋体"/>
          <w:szCs w:val="21"/>
          <w:highlight w:val="none"/>
        </w:rPr>
        <w:t>；</w:t>
      </w:r>
    </w:p>
    <w:p w14:paraId="5F8EB8C9">
      <w:pPr>
        <w:ind w:firstLine="420" w:firstLineChars="200"/>
        <w:rPr>
          <w:rFonts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14:paraId="451AD9D1">
      <w:pPr>
        <w:ind w:firstLine="420" w:firstLineChars="200"/>
        <w:rPr>
          <w:rFonts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14:paraId="0A8109F0">
      <w:pPr>
        <w:ind w:firstLine="420" w:firstLineChars="200"/>
        <w:rPr>
          <w:rFonts w:ascii="宋体" w:hAnsi="宋体"/>
          <w:szCs w:val="21"/>
        </w:rPr>
      </w:pPr>
      <w:r>
        <w:rPr>
          <w:rFonts w:hint="eastAsia" w:ascii="宋体" w:hAnsi="宋体"/>
          <w:szCs w:val="21"/>
        </w:rPr>
        <w:t>3.5“日期”指公历日；</w:t>
      </w:r>
    </w:p>
    <w:p w14:paraId="5ED54F2C">
      <w:pPr>
        <w:ind w:firstLine="420" w:firstLineChars="200"/>
        <w:rPr>
          <w:rFonts w:ascii="宋体" w:hAnsi="宋体"/>
          <w:szCs w:val="21"/>
        </w:rPr>
      </w:pPr>
      <w:r>
        <w:rPr>
          <w:rFonts w:hint="eastAsia" w:ascii="宋体" w:hAnsi="宋体"/>
          <w:szCs w:val="21"/>
        </w:rPr>
        <w:t>3.6“合同”指由本次招标所产生的合同或合约文件；</w:t>
      </w:r>
    </w:p>
    <w:p w14:paraId="64774CD2">
      <w:pPr>
        <w:ind w:firstLine="420" w:firstLineChars="200"/>
        <w:rPr>
          <w:rFonts w:ascii="宋体" w:hAnsi="宋体"/>
          <w:szCs w:val="21"/>
        </w:rPr>
      </w:pPr>
      <w:r>
        <w:rPr>
          <w:rFonts w:hint="eastAsia" w:ascii="宋体" w:hAnsi="宋体"/>
          <w:szCs w:val="21"/>
        </w:rPr>
        <w:t>3.7“电子投标文件”指利用</w:t>
      </w:r>
      <w:r>
        <w:rPr>
          <w:rFonts w:hint="eastAsia" w:ascii="宋体" w:hAnsi="宋体"/>
          <w:b/>
          <w:bCs/>
          <w:color w:val="auto"/>
          <w:szCs w:val="21"/>
        </w:rPr>
        <w:t>深圳公共资源交易中心（深圳交易集团有限公司政府采购业务分公司）</w:t>
      </w:r>
      <w:r>
        <w:rPr>
          <w:rFonts w:hint="eastAsia" w:ascii="宋体" w:hAnsi="宋体"/>
          <w:szCs w:val="21"/>
        </w:rPr>
        <w:t>网站提供的深圳市自行采购系统投标文件制作专用软件（以下简称：投标文件制作软件）制作的投标文件,适用于网上投标；（投标文件制作软件可从“下载地址：https://www.szggzy.com/jyfw/details.html?contentId=2053275深圳市自行采购系统投标文件编制工具”下载）</w:t>
      </w:r>
    </w:p>
    <w:p w14:paraId="76C22BC3">
      <w:pPr>
        <w:ind w:firstLine="420" w:firstLineChars="200"/>
        <w:rPr>
          <w:rFonts w:ascii="宋体" w:hAnsi="宋体"/>
          <w:szCs w:val="21"/>
        </w:rPr>
      </w:pPr>
      <w:r>
        <w:rPr>
          <w:rFonts w:hint="eastAsia" w:ascii="宋体" w:hAnsi="宋体"/>
          <w:szCs w:val="21"/>
        </w:rPr>
        <w:t>3.8“网上投标”指通过</w:t>
      </w:r>
      <w:r>
        <w:rPr>
          <w:rFonts w:hint="eastAsia" w:ascii="宋体" w:hAnsi="宋体"/>
          <w:b/>
          <w:bCs/>
          <w:color w:val="FF0000"/>
          <w:szCs w:val="21"/>
        </w:rPr>
        <w:t>深圳市自行采购系统</w:t>
      </w:r>
      <w:r>
        <w:rPr>
          <w:rFonts w:hint="eastAsia" w:ascii="宋体" w:hAnsi="宋体"/>
          <w:szCs w:val="21"/>
        </w:rPr>
        <w:t>网站上传电子投标文件；</w:t>
      </w:r>
    </w:p>
    <w:p w14:paraId="76BA1990">
      <w:pPr>
        <w:ind w:firstLine="420" w:firstLineChars="200"/>
        <w:rPr>
          <w:rFonts w:ascii="宋体" w:hAnsi="宋体"/>
          <w:szCs w:val="21"/>
        </w:rPr>
      </w:pPr>
      <w:r>
        <w:rPr>
          <w:rFonts w:hint="eastAsia" w:ascii="宋体" w:hAnsi="宋体"/>
          <w:szCs w:val="21"/>
        </w:rPr>
        <w:t>3.9招标文件中的标题或题名仅起引导作用，而不应视为对招标文件内容的理解和解释。</w:t>
      </w:r>
    </w:p>
    <w:p w14:paraId="50BEB882">
      <w:pPr>
        <w:ind w:firstLine="420" w:firstLineChars="200"/>
        <w:rPr>
          <w:rFonts w:ascii="黑体" w:hAnsi="宋体" w:eastAsia="黑体"/>
          <w:szCs w:val="21"/>
        </w:rPr>
      </w:pPr>
      <w:r>
        <w:rPr>
          <w:rFonts w:hint="eastAsia" w:ascii="黑体" w:hAnsi="宋体" w:eastAsia="黑体"/>
          <w:szCs w:val="21"/>
        </w:rPr>
        <w:t xml:space="preserve">4. </w:t>
      </w:r>
      <w:bookmarkStart w:id="52" w:name="_Hlk72398643"/>
      <w:r>
        <w:rPr>
          <w:rFonts w:hint="eastAsia" w:ascii="黑体" w:hAnsi="宋体" w:eastAsia="黑体"/>
          <w:szCs w:val="21"/>
        </w:rPr>
        <w:t>自行采购供应商责任</w:t>
      </w:r>
    </w:p>
    <w:p w14:paraId="4FDA63DD">
      <w:pPr>
        <w:ind w:firstLine="420" w:firstLineChars="200"/>
        <w:rPr>
          <w:rFonts w:ascii="宋体" w:hAnsi="宋体"/>
          <w:szCs w:val="21"/>
        </w:rPr>
      </w:pPr>
      <w:r>
        <w:rPr>
          <w:rFonts w:hint="eastAsia" w:ascii="宋体" w:hAnsi="宋体"/>
          <w:szCs w:val="21"/>
        </w:rPr>
        <w:t>4.1欢迎诚信、有实力和有社会责任心的供应商参与自行采购事业。</w:t>
      </w:r>
    </w:p>
    <w:p w14:paraId="105F7290">
      <w:pPr>
        <w:ind w:firstLine="420" w:firstLineChars="200"/>
        <w:rPr>
          <w:rFonts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1593A3BF">
      <w:pPr>
        <w:ind w:firstLine="420" w:firstLineChars="200"/>
        <w:rPr>
          <w:rFonts w:ascii="黑体" w:hAnsi="宋体" w:eastAsia="黑体"/>
          <w:szCs w:val="21"/>
        </w:rPr>
      </w:pPr>
      <w:r>
        <w:rPr>
          <w:rFonts w:hint="eastAsia" w:ascii="黑体" w:hAnsi="宋体" w:eastAsia="黑体"/>
          <w:szCs w:val="21"/>
        </w:rPr>
        <w:t>5．投标人参加自行采购的条件</w:t>
      </w:r>
    </w:p>
    <w:p w14:paraId="744A8183">
      <w:pPr>
        <w:ind w:firstLine="420" w:firstLineChars="200"/>
        <w:jc w:val="left"/>
        <w:rPr>
          <w:rFonts w:ascii="宋体" w:hAnsi="宋体"/>
          <w:szCs w:val="21"/>
        </w:rPr>
      </w:pPr>
      <w:r>
        <w:rPr>
          <w:rFonts w:hint="eastAsia" w:ascii="宋体" w:hAnsi="宋体"/>
          <w:szCs w:val="21"/>
        </w:rPr>
        <w:t>5.1投标人应在投标前到</w:t>
      </w:r>
      <w:r>
        <w:rPr>
          <w:rFonts w:hint="eastAsia" w:ascii="宋体" w:hAnsi="宋体"/>
          <w:b/>
          <w:bCs/>
          <w:szCs w:val="21"/>
        </w:rPr>
        <w:t>深圳市自行采购系统（具体在深圳交易集团有限公司政府采购业务分公司进行办理）</w:t>
      </w:r>
      <w:r>
        <w:rPr>
          <w:rFonts w:hint="eastAsia" w:ascii="宋体" w:hAnsi="宋体"/>
          <w:szCs w:val="21"/>
        </w:rPr>
        <w:t>进行注册并办理电子密钥。《深圳政府采购自行采购系统用户操作指引（供应商）》详见www.szggzy.com网站“交易服务指南-政府采购-资料下载”。</w:t>
      </w:r>
    </w:p>
    <w:p w14:paraId="6CDA071E">
      <w:pPr>
        <w:ind w:firstLine="420" w:firstLineChars="200"/>
        <w:rPr>
          <w:rFonts w:ascii="宋体" w:hAnsi="宋体"/>
          <w:szCs w:val="21"/>
        </w:rPr>
      </w:pPr>
      <w:r>
        <w:rPr>
          <w:rFonts w:hint="eastAsia" w:ascii="宋体" w:hAnsi="宋体"/>
          <w:szCs w:val="21"/>
        </w:rPr>
        <w:t>5.2投标人资格要求</w:t>
      </w:r>
    </w:p>
    <w:p w14:paraId="0EC249A8">
      <w:pPr>
        <w:ind w:firstLine="420" w:firstLineChars="200"/>
        <w:rPr>
          <w:rFonts w:ascii="宋体" w:hAnsi="宋体"/>
          <w:szCs w:val="21"/>
        </w:rPr>
      </w:pPr>
      <w:r>
        <w:rPr>
          <w:rFonts w:hint="eastAsia" w:ascii="宋体" w:hAnsi="宋体"/>
          <w:szCs w:val="21"/>
        </w:rPr>
        <w:t>参加本项目的投标人应具备的资格条件详见本项目招标公告中 “投标人资格要求”的内容。</w:t>
      </w:r>
    </w:p>
    <w:p w14:paraId="3F8FB0C3">
      <w:pPr>
        <w:ind w:firstLine="420" w:firstLineChars="200"/>
        <w:rPr>
          <w:rFonts w:ascii="宋体" w:hAnsi="宋体"/>
          <w:szCs w:val="21"/>
        </w:rPr>
      </w:pPr>
      <w:r>
        <w:rPr>
          <w:rFonts w:hint="eastAsia" w:ascii="宋体" w:hAnsi="宋体"/>
          <w:szCs w:val="21"/>
        </w:rPr>
        <w:t>5.3联合体投标</w:t>
      </w:r>
    </w:p>
    <w:p w14:paraId="27230809">
      <w:pPr>
        <w:ind w:firstLine="420" w:firstLineChars="200"/>
        <w:rPr>
          <w:rFonts w:ascii="宋体" w:hAnsi="宋体"/>
          <w:szCs w:val="21"/>
        </w:rPr>
      </w:pPr>
      <w:r>
        <w:rPr>
          <w:rFonts w:hint="eastAsia" w:ascii="宋体" w:hAnsi="宋体"/>
          <w:szCs w:val="21"/>
        </w:rPr>
        <w:t>5.3.1以下有关联合体投标的条款仅适用于允许投标人组成联合体投标的项目。</w:t>
      </w:r>
    </w:p>
    <w:p w14:paraId="13CDE3EC">
      <w:pPr>
        <w:ind w:firstLine="420" w:firstLineChars="200"/>
        <w:rPr>
          <w:rFonts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14:paraId="3D8D15DC">
      <w:pPr>
        <w:ind w:firstLine="420" w:firstLineChars="200"/>
        <w:rPr>
          <w:rFonts w:ascii="宋体" w:hAnsi="宋体"/>
          <w:szCs w:val="21"/>
        </w:rPr>
      </w:pPr>
      <w:r>
        <w:rPr>
          <w:rFonts w:hint="eastAsia" w:ascii="宋体" w:hAnsi="宋体"/>
          <w:szCs w:val="21"/>
        </w:rPr>
        <w:t xml:space="preserve">（1）投标联合体各方参加采购活动应当具备下列条件： </w:t>
      </w:r>
    </w:p>
    <w:p w14:paraId="70658CE8">
      <w:pPr>
        <w:ind w:firstLine="420" w:firstLineChars="200"/>
        <w:rPr>
          <w:rFonts w:ascii="宋体" w:hAnsi="宋体"/>
          <w:szCs w:val="21"/>
        </w:rPr>
      </w:pPr>
      <w:r>
        <w:rPr>
          <w:rFonts w:hint="eastAsia" w:ascii="宋体" w:hAnsi="宋体"/>
          <w:szCs w:val="21"/>
        </w:rPr>
        <w:t xml:space="preserve">1、具有独立承担民事责任的能力； </w:t>
      </w:r>
    </w:p>
    <w:p w14:paraId="227AEF9D">
      <w:pPr>
        <w:ind w:firstLine="420" w:firstLineChars="200"/>
        <w:rPr>
          <w:rFonts w:ascii="宋体" w:hAnsi="宋体"/>
          <w:szCs w:val="21"/>
        </w:rPr>
      </w:pPr>
      <w:r>
        <w:rPr>
          <w:rFonts w:hint="eastAsia" w:ascii="宋体" w:hAnsi="宋体"/>
          <w:szCs w:val="21"/>
        </w:rPr>
        <w:t xml:space="preserve">2、有良好的商业信誉和健全的财务会计制度； </w:t>
      </w:r>
    </w:p>
    <w:p w14:paraId="5889809D">
      <w:pPr>
        <w:ind w:firstLine="420" w:firstLineChars="200"/>
        <w:rPr>
          <w:rFonts w:ascii="宋体" w:hAnsi="宋体"/>
          <w:szCs w:val="21"/>
        </w:rPr>
      </w:pPr>
      <w:r>
        <w:rPr>
          <w:rFonts w:hint="eastAsia" w:ascii="宋体" w:hAnsi="宋体"/>
          <w:szCs w:val="21"/>
        </w:rPr>
        <w:t xml:space="preserve">3、具有履行合同所必需的设备和专业技术能力； </w:t>
      </w:r>
    </w:p>
    <w:p w14:paraId="45000D70">
      <w:pPr>
        <w:ind w:firstLine="420" w:firstLineChars="200"/>
        <w:rPr>
          <w:rFonts w:ascii="宋体" w:hAnsi="宋体"/>
          <w:szCs w:val="21"/>
        </w:rPr>
      </w:pPr>
      <w:r>
        <w:rPr>
          <w:rFonts w:hint="eastAsia" w:ascii="宋体" w:hAnsi="宋体"/>
          <w:szCs w:val="21"/>
        </w:rPr>
        <w:t xml:space="preserve">4、有依法缴纳税收和社会保障资金的良好记录； </w:t>
      </w:r>
    </w:p>
    <w:p w14:paraId="5C182F2B">
      <w:pPr>
        <w:ind w:firstLine="420" w:firstLineChars="200"/>
        <w:rPr>
          <w:rFonts w:ascii="宋体" w:hAnsi="宋体"/>
          <w:szCs w:val="21"/>
        </w:rPr>
      </w:pPr>
      <w:r>
        <w:rPr>
          <w:rFonts w:hint="eastAsia" w:ascii="宋体" w:hAnsi="宋体"/>
          <w:szCs w:val="21"/>
        </w:rPr>
        <w:t xml:space="preserve">5、参加采购活动前三年内，在经营活动中没有重大违法记录； </w:t>
      </w:r>
    </w:p>
    <w:p w14:paraId="76D46D28">
      <w:pPr>
        <w:ind w:firstLine="420" w:firstLineChars="200"/>
        <w:rPr>
          <w:rFonts w:ascii="宋体" w:hAnsi="宋体"/>
          <w:szCs w:val="21"/>
        </w:rPr>
      </w:pPr>
      <w:r>
        <w:rPr>
          <w:rFonts w:hint="eastAsia" w:ascii="宋体" w:hAnsi="宋体"/>
          <w:szCs w:val="21"/>
        </w:rPr>
        <w:t xml:space="preserve">6、法律、行政法规规定的其他条件。 </w:t>
      </w:r>
    </w:p>
    <w:p w14:paraId="35D4A580">
      <w:pPr>
        <w:ind w:firstLine="420" w:firstLineChars="200"/>
        <w:rPr>
          <w:rFonts w:ascii="宋体" w:hAnsi="宋体"/>
          <w:szCs w:val="21"/>
        </w:rPr>
      </w:pPr>
      <w:r>
        <w:rPr>
          <w:rFonts w:hint="eastAsia" w:ascii="宋体" w:hAnsi="宋体"/>
          <w:szCs w:val="21"/>
        </w:rPr>
        <w:t>（2）在投标截止前，投标联合体各方均应注册成</w:t>
      </w:r>
      <w:r>
        <w:rPr>
          <w:rFonts w:hint="eastAsia" w:ascii="宋体" w:hAnsi="宋体"/>
          <w:b/>
          <w:bCs/>
          <w:color w:val="FF0000"/>
          <w:szCs w:val="21"/>
        </w:rPr>
        <w:t>深圳市自行采购系统</w:t>
      </w:r>
      <w:r>
        <w:rPr>
          <w:rFonts w:hint="eastAsia" w:ascii="宋体" w:hAnsi="宋体"/>
          <w:szCs w:val="21"/>
        </w:rPr>
        <w:t>供应商；</w:t>
      </w:r>
    </w:p>
    <w:p w14:paraId="1435DA10">
      <w:pPr>
        <w:ind w:firstLine="420" w:firstLineChars="200"/>
        <w:rPr>
          <w:rFonts w:ascii="宋体" w:hAnsi="宋体"/>
          <w:szCs w:val="21"/>
        </w:rPr>
      </w:pPr>
      <w:r>
        <w:rPr>
          <w:rFonts w:hint="eastAsia" w:ascii="宋体" w:hAnsi="宋体"/>
          <w:szCs w:val="21"/>
        </w:rPr>
        <w:t>（3）联合体中有同类资质的供应商按照联合体分工承担相同工作的，应当按照资质等级较低的供应商确定资质等级；</w:t>
      </w:r>
    </w:p>
    <w:p w14:paraId="70974D59">
      <w:pPr>
        <w:ind w:firstLine="420" w:firstLineChars="200"/>
        <w:rPr>
          <w:szCs w:val="21"/>
        </w:rPr>
      </w:pPr>
      <w:r>
        <w:rPr>
          <w:rFonts w:hint="eastAsia"/>
          <w:szCs w:val="21"/>
        </w:rPr>
        <w:t>（</w:t>
      </w:r>
      <w:r>
        <w:rPr>
          <w:szCs w:val="21"/>
        </w:rPr>
        <w:t>4</w:t>
      </w:r>
      <w:r>
        <w:rPr>
          <w:rFonts w:hint="eastAsia"/>
          <w:szCs w:val="21"/>
        </w:rPr>
        <w:t>）是否允许联合体参加投标，应当由采购人和采购代理机构根据项目的实际情况和潜在供应商的数量自主决定，如果决定接受联合体投标则应当在招标公告中明示；</w:t>
      </w:r>
    </w:p>
    <w:p w14:paraId="2D2E088D">
      <w:pPr>
        <w:ind w:firstLine="420" w:firstLineChars="200"/>
        <w:rPr>
          <w:rFonts w:ascii="宋体" w:hAnsi="宋体"/>
          <w:szCs w:val="21"/>
        </w:rPr>
      </w:pPr>
      <w:r>
        <w:rPr>
          <w:rFonts w:hint="eastAsia" w:ascii="宋体" w:hAnsi="宋体"/>
          <w:szCs w:val="21"/>
        </w:rPr>
        <w:t>（5）投标人的投标文件及中标后签署的合同协议对联合体各方均具法律约束力；</w:t>
      </w:r>
    </w:p>
    <w:p w14:paraId="641731BD">
      <w:pPr>
        <w:ind w:firstLine="420" w:firstLineChars="200"/>
        <w:rPr>
          <w:rFonts w:ascii="宋体" w:hAnsi="宋体"/>
          <w:szCs w:val="21"/>
          <w:highlight w:val="none"/>
        </w:rPr>
      </w:pPr>
      <w:r>
        <w:rPr>
          <w:rFonts w:hint="eastAsia" w:ascii="宋体" w:hAnsi="宋体"/>
          <w:szCs w:val="21"/>
        </w:rPr>
        <w:t>（6）联合体各方应当签订联合体投标协议，明确约定各方拟承担的工作和责任，并将该协议随投标文件一并递交给</w:t>
      </w:r>
      <w:r>
        <w:rPr>
          <w:rFonts w:hint="eastAsia" w:ascii="宋体" w:hAnsi="宋体"/>
          <w:szCs w:val="21"/>
          <w:highlight w:val="none"/>
        </w:rPr>
        <w:t>采购代理机构；</w:t>
      </w:r>
    </w:p>
    <w:p w14:paraId="49E74AAD">
      <w:pPr>
        <w:ind w:firstLine="420" w:firstLineChars="200"/>
        <w:rPr>
          <w:rFonts w:ascii="宋体" w:hAnsi="宋体"/>
          <w:szCs w:val="21"/>
        </w:rPr>
      </w:pPr>
      <w:r>
        <w:rPr>
          <w:rFonts w:hint="eastAsia" w:ascii="宋体" w:hAnsi="宋体"/>
          <w:szCs w:val="21"/>
          <w:highlight w:val="none"/>
        </w:rPr>
        <w:t>（7）联合体中标后，联合体各方应</w:t>
      </w:r>
      <w:r>
        <w:rPr>
          <w:rFonts w:hint="eastAsia" w:ascii="宋体" w:hAnsi="宋体"/>
          <w:szCs w:val="21"/>
        </w:rPr>
        <w:t>当共同与采购人签订合同，就中标项目向采购人承担连带责任；</w:t>
      </w:r>
    </w:p>
    <w:p w14:paraId="5C6BA207">
      <w:pPr>
        <w:ind w:firstLine="420" w:firstLineChars="200"/>
        <w:rPr>
          <w:rFonts w:ascii="宋体" w:hAnsi="宋体"/>
          <w:szCs w:val="21"/>
        </w:rPr>
      </w:pPr>
      <w:r>
        <w:rPr>
          <w:rFonts w:hint="eastAsia" w:ascii="宋体" w:hAnsi="宋体"/>
          <w:szCs w:val="21"/>
        </w:rPr>
        <w:t>（8）以联合体形式参加采购活动的，联合体各方不得再单独参加或者与其他供应商另外组成联合体参加同一合同项下的采购活动，出现上述情况者，其投标和与此有关联合体、总包单位的投标将被拒绝；</w:t>
      </w:r>
    </w:p>
    <w:p w14:paraId="0E2EA99C">
      <w:pPr>
        <w:ind w:firstLine="420" w:firstLineChars="200"/>
        <w:rPr>
          <w:rFonts w:ascii="宋体" w:hAnsi="宋体"/>
          <w:szCs w:val="21"/>
        </w:rPr>
      </w:pPr>
      <w:r>
        <w:rPr>
          <w:rFonts w:hint="eastAsia" w:ascii="宋体" w:hAnsi="宋体"/>
          <w:szCs w:val="21"/>
        </w:rPr>
        <w:t>（9）本通用条款中“投标人”一词亦指联合体各方，专用条款另有规定或说明的除外。</w:t>
      </w:r>
    </w:p>
    <w:p w14:paraId="722317DD">
      <w:pPr>
        <w:ind w:firstLine="420" w:firstLineChars="200"/>
        <w:rPr>
          <w:rFonts w:ascii="黑体" w:hAnsi="宋体" w:eastAsia="黑体"/>
          <w:szCs w:val="21"/>
        </w:rPr>
      </w:pPr>
      <w:r>
        <w:rPr>
          <w:rFonts w:hint="eastAsia" w:ascii="黑体" w:hAnsi="宋体" w:eastAsia="黑体"/>
          <w:szCs w:val="21"/>
        </w:rPr>
        <w:t>6．政策导向</w:t>
      </w:r>
    </w:p>
    <w:p w14:paraId="01196B96">
      <w:pPr>
        <w:ind w:firstLine="411" w:firstLineChars="196"/>
        <w:rPr>
          <w:rFonts w:ascii="宋体" w:hAnsi="宋体"/>
          <w:szCs w:val="21"/>
        </w:rPr>
      </w:pPr>
      <w:r>
        <w:rPr>
          <w:rFonts w:hint="eastAsia" w:ascii="宋体" w:hAnsi="宋体"/>
          <w:szCs w:val="21"/>
        </w:rPr>
        <w:t>6.1</w:t>
      </w:r>
      <w:r>
        <w:rPr>
          <w:rFonts w:ascii="宋体" w:hAnsi="宋体"/>
        </w:rPr>
        <w:t xml:space="preserve"> </w:t>
      </w:r>
      <w:r>
        <w:rPr>
          <w:rFonts w:hint="eastAsia" w:ascii="宋体" w:hAnsi="宋体"/>
        </w:rPr>
        <w:t>支持本国产品、支持中小企业、监狱企业和残疾人福利性单位发展，支持乡村产业振兴，支持创新、节能减排、绿色环保等。</w:t>
      </w:r>
    </w:p>
    <w:p w14:paraId="69185D6D">
      <w:pPr>
        <w:ind w:firstLine="420" w:firstLineChars="200"/>
        <w:rPr>
          <w:szCs w:val="21"/>
          <w:shd w:val="clear" w:color="auto" w:fill="FFFFFF"/>
        </w:rPr>
      </w:pPr>
      <w:r>
        <w:rPr>
          <w:rFonts w:hint="eastAsia" w:ascii="宋体" w:hAnsi="宋体"/>
          <w:szCs w:val="21"/>
        </w:rPr>
        <w:t>6.2  本项目落实深圳市政府采购供应商诚信管理政策要求。</w:t>
      </w:r>
    </w:p>
    <w:p w14:paraId="0EB5D071">
      <w:pPr>
        <w:ind w:firstLine="420" w:firstLineChars="200"/>
        <w:rPr>
          <w:rFonts w:ascii="黑体" w:hAnsi="宋体" w:eastAsia="黑体"/>
          <w:szCs w:val="21"/>
        </w:rPr>
      </w:pPr>
      <w:r>
        <w:rPr>
          <w:rFonts w:hint="eastAsia" w:ascii="黑体" w:hAnsi="宋体" w:eastAsia="黑体"/>
          <w:szCs w:val="21"/>
        </w:rPr>
        <w:t>7. 本项目若涉及采购货物，则合格的货物及相应服务应满足以下要求：</w:t>
      </w:r>
    </w:p>
    <w:p w14:paraId="00D65B66">
      <w:pPr>
        <w:ind w:firstLine="420" w:firstLineChars="200"/>
        <w:rPr>
          <w:rFonts w:ascii="宋体" w:hAnsi="宋体"/>
          <w:szCs w:val="21"/>
        </w:rPr>
      </w:pPr>
      <w:r>
        <w:rPr>
          <w:rFonts w:hint="eastAsia" w:ascii="宋体" w:hAnsi="宋体"/>
          <w:szCs w:val="21"/>
        </w:rPr>
        <w:t>7.1  必须是全新、未使用过的原装合格正品（包括零部件），如安装或配置了软件的，须为正版软件。</w:t>
      </w:r>
    </w:p>
    <w:p w14:paraId="7B7E5F08">
      <w:pPr>
        <w:ind w:firstLine="420" w:firstLineChars="200"/>
        <w:rPr>
          <w:rFonts w:ascii="宋体" w:hAnsi="宋体"/>
          <w:szCs w:val="21"/>
        </w:rPr>
      </w:pPr>
      <w:r>
        <w:rPr>
          <w:rFonts w:hint="eastAsia" w:ascii="宋体" w:hAnsi="宋体"/>
          <w:szCs w:val="21"/>
        </w:rPr>
        <w:t>7.2  国产的货物及其有关服务必须符合中华人民共和国的设计、制造生产标准及行业标准。招标公告有其他要求的，亦应符合其要求。</w:t>
      </w:r>
    </w:p>
    <w:p w14:paraId="2ED18104">
      <w:pPr>
        <w:ind w:firstLine="420" w:firstLineChars="200"/>
        <w:rPr>
          <w:rFonts w:ascii="宋体" w:hAnsi="宋体"/>
          <w:szCs w:val="21"/>
        </w:rPr>
      </w:pPr>
      <w:r>
        <w:rPr>
          <w:rFonts w:hint="eastAsia" w:ascii="宋体" w:hAnsi="宋体"/>
          <w:szCs w:val="21"/>
        </w:rPr>
        <w:t>7.3  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0E35CBAB">
      <w:pPr>
        <w:ind w:firstLine="420" w:firstLineChars="200"/>
        <w:rPr>
          <w:rFonts w:ascii="宋体" w:hAnsi="宋体"/>
          <w:szCs w:val="21"/>
        </w:rPr>
      </w:pPr>
      <w:r>
        <w:rPr>
          <w:rFonts w:hint="eastAsia" w:ascii="宋体" w:hAnsi="宋体"/>
          <w:szCs w:val="21"/>
        </w:rPr>
        <w:t>7.4  投标人</w:t>
      </w:r>
      <w:bookmarkStart w:id="53" w:name="_Hlk72152753"/>
      <w:r>
        <w:rPr>
          <w:rFonts w:hint="eastAsia" w:ascii="宋体" w:hAnsi="宋体"/>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3"/>
    </w:p>
    <w:p w14:paraId="0746FDFB">
      <w:pPr>
        <w:ind w:firstLine="420" w:firstLineChars="200"/>
        <w:rPr>
          <w:rFonts w:ascii="宋体" w:hAnsi="宋体"/>
          <w:szCs w:val="21"/>
        </w:rPr>
      </w:pPr>
      <w:r>
        <w:rPr>
          <w:rFonts w:hint="eastAsia" w:ascii="宋体" w:hAnsi="宋体"/>
          <w:szCs w:val="21"/>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46416573">
      <w:pPr>
        <w:ind w:firstLine="420" w:firstLineChars="200"/>
        <w:rPr>
          <w:rFonts w:ascii="宋体" w:hAnsi="宋体"/>
          <w:szCs w:val="21"/>
        </w:rPr>
      </w:pPr>
      <w:r>
        <w:rPr>
          <w:rFonts w:hint="eastAsia" w:ascii="宋体" w:hAnsi="宋体"/>
          <w:szCs w:val="21"/>
        </w:rPr>
        <w:t>7.6  工期要求：投标人在投标时对其所投项目应提交交货进度、交货计划等，在合同规定的时间内完成项目实施工作。</w:t>
      </w:r>
    </w:p>
    <w:p w14:paraId="24F782F0">
      <w:pPr>
        <w:ind w:firstLine="420" w:firstLineChars="200"/>
        <w:rPr>
          <w:rFonts w:ascii="宋体" w:hAnsi="宋体"/>
          <w:szCs w:val="21"/>
        </w:rPr>
      </w:pPr>
      <w:r>
        <w:rPr>
          <w:rFonts w:hint="eastAsia" w:ascii="宋体" w:hAnsi="宋体"/>
          <w:szCs w:val="21"/>
        </w:rPr>
        <w:t>7.7  投标人必须承担的设备运输、安装调试、验收检测和提供设备操作说明书、图纸等其他相关及类似的义务。</w:t>
      </w:r>
    </w:p>
    <w:p w14:paraId="79DC48B9">
      <w:pPr>
        <w:ind w:firstLine="420" w:firstLineChars="200"/>
        <w:rPr>
          <w:rFonts w:ascii="黑体" w:hAnsi="宋体" w:eastAsia="黑体"/>
          <w:szCs w:val="21"/>
        </w:rPr>
      </w:pPr>
      <w:r>
        <w:rPr>
          <w:rFonts w:hint="eastAsia" w:ascii="黑体" w:hAnsi="宋体" w:eastAsia="黑体"/>
          <w:szCs w:val="21"/>
        </w:rPr>
        <w:t>8．投标费用</w:t>
      </w:r>
    </w:p>
    <w:p w14:paraId="2984AA14">
      <w:pPr>
        <w:ind w:firstLine="420" w:firstLineChars="200"/>
        <w:rPr>
          <w:rFonts w:ascii="宋体" w:hAnsi="宋体"/>
          <w:szCs w:val="21"/>
        </w:rPr>
      </w:pPr>
      <w:r>
        <w:rPr>
          <w:rFonts w:hint="eastAsia" w:ascii="宋体" w:hAnsi="宋体"/>
          <w:szCs w:val="21"/>
        </w:rPr>
        <w:t>不论投标结果如何，投标人应承担其编制投标文件与递交投标文件所涉及的一切费用。</w:t>
      </w:r>
    </w:p>
    <w:p w14:paraId="1CFBB159">
      <w:pPr>
        <w:ind w:firstLine="420" w:firstLineChars="200"/>
        <w:rPr>
          <w:rFonts w:ascii="黑体" w:hAnsi="宋体" w:eastAsia="黑体"/>
          <w:szCs w:val="21"/>
        </w:rPr>
      </w:pPr>
      <w:r>
        <w:rPr>
          <w:rFonts w:hint="eastAsia" w:ascii="黑体" w:hAnsi="宋体" w:eastAsia="黑体"/>
          <w:szCs w:val="21"/>
        </w:rPr>
        <w:t>9．踏勘现场</w:t>
      </w:r>
    </w:p>
    <w:p w14:paraId="606B1BDF">
      <w:pPr>
        <w:ind w:firstLine="420" w:firstLineChars="200"/>
        <w:rPr>
          <w:rFonts w:ascii="宋体" w:hAnsi="宋体"/>
          <w:szCs w:val="21"/>
          <w:highlight w:val="none"/>
        </w:rPr>
      </w:pPr>
      <w:r>
        <w:rPr>
          <w:rFonts w:hint="eastAsia" w:ascii="宋体" w:hAnsi="宋体"/>
          <w:szCs w:val="21"/>
        </w:rPr>
        <w:t>9.1如有需要（详见专用条款），</w:t>
      </w:r>
      <w:r>
        <w:rPr>
          <w:rFonts w:hint="eastAsia" w:ascii="宋体" w:hAnsi="宋体"/>
          <w:szCs w:val="21"/>
          <w:highlight w:val="none"/>
        </w:rPr>
        <w:t>采购人或</w:t>
      </w:r>
      <w:r>
        <w:rPr>
          <w:rFonts w:hint="eastAsia" w:ascii="宋体" w:hAnsi="宋体"/>
          <w:szCs w:val="21"/>
          <w:highlight w:val="none"/>
          <w:lang w:val="en-US" w:eastAsia="zh-CN"/>
        </w:rPr>
        <w:t>采购代理机构</w:t>
      </w:r>
      <w:r>
        <w:rPr>
          <w:rFonts w:hint="eastAsia" w:ascii="宋体" w:hAnsi="宋体"/>
          <w:szCs w:val="21"/>
          <w:highlight w:val="none"/>
        </w:rPr>
        <w:t>将组织投标人对项目现场及周围环境进行踏勘，以便投标人获取有关编制投标文件和签署合同所需的资料。踏勘现场所发生的费用由投标人自行承担。投标人应按招标文件所约定的时间、地点踏勘现场。</w:t>
      </w:r>
    </w:p>
    <w:p w14:paraId="0B41C006">
      <w:pPr>
        <w:ind w:firstLine="420" w:firstLineChars="200"/>
        <w:rPr>
          <w:rFonts w:ascii="宋体" w:hAnsi="宋体"/>
          <w:szCs w:val="21"/>
        </w:rPr>
      </w:pPr>
      <w:r>
        <w:rPr>
          <w:rFonts w:hint="eastAsia" w:ascii="宋体" w:hAnsi="宋体"/>
          <w:szCs w:val="21"/>
        </w:rPr>
        <w:t>9.2投标人及其人员经过采购人的允许，可以进入采购人的项目现场踏勘。若招标文件要求投标人于统一时间地点踏勘现场的，投标人应当按时前往。</w:t>
      </w:r>
    </w:p>
    <w:p w14:paraId="03A60F8F">
      <w:pPr>
        <w:ind w:firstLine="420" w:firstLineChars="200"/>
        <w:rPr>
          <w:rFonts w:ascii="宋体" w:hAnsi="宋体"/>
          <w:szCs w:val="21"/>
          <w:highlight w:val="none"/>
        </w:rPr>
      </w:pPr>
      <w:r>
        <w:rPr>
          <w:rFonts w:hint="eastAsia" w:ascii="宋体" w:hAnsi="宋体"/>
          <w:szCs w:val="21"/>
        </w:rPr>
        <w:t>9.3采购人</w:t>
      </w:r>
      <w:r>
        <w:rPr>
          <w:rFonts w:hint="eastAsia" w:ascii="宋体" w:hAnsi="宋体"/>
          <w:szCs w:val="21"/>
          <w:highlight w:val="none"/>
        </w:rPr>
        <w:t>应当通过</w:t>
      </w:r>
      <w:r>
        <w:rPr>
          <w:rFonts w:hint="eastAsia" w:ascii="宋体" w:hAnsi="宋体"/>
          <w:szCs w:val="21"/>
          <w:highlight w:val="none"/>
          <w:lang w:val="en-US" w:eastAsia="zh-CN"/>
        </w:rPr>
        <w:t>采购代理机构</w:t>
      </w:r>
      <w:r>
        <w:rPr>
          <w:rFonts w:hint="eastAsia" w:ascii="宋体" w:hAnsi="宋体"/>
          <w:szCs w:val="21"/>
          <w:highlight w:val="none"/>
        </w:rPr>
        <w:t>向投标人提供有关现场的书面资料和数据。</w:t>
      </w:r>
    </w:p>
    <w:p w14:paraId="38297B0A">
      <w:pPr>
        <w:ind w:firstLine="420" w:firstLineChars="200"/>
        <w:rPr>
          <w:rFonts w:ascii="宋体" w:hAnsi="宋体"/>
          <w:szCs w:val="21"/>
          <w:highlight w:val="none"/>
        </w:rPr>
      </w:pPr>
      <w:r>
        <w:rPr>
          <w:rFonts w:hint="eastAsia" w:ascii="宋体" w:hAnsi="宋体"/>
          <w:szCs w:val="21"/>
          <w:highlight w:val="none"/>
        </w:rPr>
        <w:t>9.4任何人或任何组织在踏勘现场时向投标人提供的任何书面资料或口头承诺，未经</w:t>
      </w:r>
      <w:r>
        <w:rPr>
          <w:rFonts w:hint="eastAsia" w:ascii="宋体" w:hAnsi="宋体"/>
          <w:szCs w:val="21"/>
          <w:highlight w:val="none"/>
          <w:lang w:val="en-US" w:eastAsia="zh-CN"/>
        </w:rPr>
        <w:t>采购代理机构</w:t>
      </w:r>
      <w:r>
        <w:rPr>
          <w:rFonts w:hint="eastAsia" w:ascii="宋体" w:hAnsi="宋体"/>
          <w:szCs w:val="21"/>
          <w:highlight w:val="none"/>
        </w:rPr>
        <w:t>在网上发布或书面通知，均作无效处理。</w:t>
      </w:r>
    </w:p>
    <w:p w14:paraId="559791C0">
      <w:pPr>
        <w:ind w:firstLine="420" w:firstLineChars="200"/>
        <w:rPr>
          <w:rFonts w:ascii="宋体" w:hAnsi="宋体"/>
          <w:szCs w:val="21"/>
          <w:highlight w:val="none"/>
        </w:rPr>
      </w:pPr>
      <w:r>
        <w:rPr>
          <w:rFonts w:hint="eastAsia" w:ascii="宋体" w:hAnsi="宋体"/>
          <w:szCs w:val="21"/>
          <w:highlight w:val="none"/>
        </w:rPr>
        <w:t>9.5未参与踏勘现场不作为否定投标人资格的理由。</w:t>
      </w:r>
    </w:p>
    <w:p w14:paraId="65BBC041">
      <w:pPr>
        <w:ind w:firstLine="420" w:firstLineChars="200"/>
        <w:rPr>
          <w:rFonts w:ascii="宋体" w:hAnsi="宋体"/>
          <w:szCs w:val="21"/>
          <w:highlight w:val="none"/>
        </w:rPr>
      </w:pPr>
      <w:r>
        <w:rPr>
          <w:rFonts w:hint="eastAsia" w:ascii="黑体" w:hAnsi="宋体" w:eastAsia="黑体"/>
          <w:szCs w:val="21"/>
          <w:highlight w:val="none"/>
        </w:rPr>
        <w:t>10．标前会议</w:t>
      </w:r>
    </w:p>
    <w:p w14:paraId="16881D0D">
      <w:pPr>
        <w:ind w:firstLine="420" w:firstLineChars="200"/>
        <w:rPr>
          <w:rFonts w:ascii="宋体" w:hAnsi="宋体"/>
          <w:szCs w:val="21"/>
          <w:highlight w:val="none"/>
        </w:rPr>
      </w:pPr>
      <w:r>
        <w:rPr>
          <w:rFonts w:hint="eastAsia" w:ascii="宋体" w:hAnsi="宋体"/>
          <w:szCs w:val="21"/>
          <w:highlight w:val="none"/>
        </w:rPr>
        <w:t>10.1如采购人或</w:t>
      </w:r>
      <w:r>
        <w:rPr>
          <w:rFonts w:hint="eastAsia" w:ascii="宋体" w:hAnsi="宋体"/>
          <w:szCs w:val="21"/>
          <w:highlight w:val="none"/>
          <w:lang w:val="en-US" w:eastAsia="zh-CN"/>
        </w:rPr>
        <w:t>采购代理机构</w:t>
      </w:r>
      <w:r>
        <w:rPr>
          <w:rFonts w:hint="eastAsia" w:ascii="宋体" w:hAnsi="宋体"/>
          <w:szCs w:val="21"/>
          <w:highlight w:val="none"/>
        </w:rPr>
        <w:t>认为有必要组织标前会议，投标人应按照招标文件规定的时间或</w:t>
      </w:r>
      <w:r>
        <w:rPr>
          <w:rFonts w:hint="eastAsia" w:ascii="宋体" w:hAnsi="宋体"/>
          <w:szCs w:val="21"/>
          <w:highlight w:val="none"/>
          <w:lang w:val="en-US" w:eastAsia="zh-CN"/>
        </w:rPr>
        <w:t>采购代理机构</w:t>
      </w:r>
      <w:r>
        <w:rPr>
          <w:rFonts w:hint="eastAsia" w:ascii="宋体" w:hAnsi="宋体"/>
          <w:szCs w:val="21"/>
          <w:highlight w:val="none"/>
        </w:rPr>
        <w:t>另行书面通知（包括</w:t>
      </w:r>
      <w:r>
        <w:rPr>
          <w:rFonts w:hint="eastAsia" w:ascii="宋体" w:hAnsi="宋体"/>
          <w:szCs w:val="21"/>
          <w:highlight w:val="none"/>
          <w:lang w:val="en-US" w:eastAsia="zh-CN"/>
        </w:rPr>
        <w:t>采购代理机构</w:t>
      </w:r>
      <w:r>
        <w:rPr>
          <w:rFonts w:hint="eastAsia" w:ascii="宋体" w:hAnsi="宋体"/>
          <w:szCs w:val="21"/>
          <w:highlight w:val="none"/>
        </w:rPr>
        <w:t>网站发布方式，如更正公告等）的时间和地点，参与标前会议。</w:t>
      </w:r>
    </w:p>
    <w:p w14:paraId="6ABE592D">
      <w:pPr>
        <w:ind w:firstLine="420" w:firstLineChars="200"/>
        <w:rPr>
          <w:rFonts w:ascii="宋体" w:hAnsi="宋体"/>
          <w:szCs w:val="21"/>
          <w:highlight w:val="none"/>
        </w:rPr>
      </w:pPr>
      <w:r>
        <w:rPr>
          <w:rFonts w:hint="eastAsia" w:ascii="宋体" w:hAnsi="宋体"/>
          <w:szCs w:val="21"/>
          <w:highlight w:val="none"/>
        </w:rPr>
        <w:t>10.2任何人或任何组织在标前会议时向投标人提供的任何书面资料或口头承诺，未经</w:t>
      </w:r>
      <w:r>
        <w:rPr>
          <w:rFonts w:hint="eastAsia" w:ascii="宋体" w:hAnsi="宋体"/>
          <w:szCs w:val="21"/>
          <w:highlight w:val="none"/>
          <w:lang w:val="en-US" w:eastAsia="zh-CN"/>
        </w:rPr>
        <w:t>采购代理机构</w:t>
      </w:r>
      <w:r>
        <w:rPr>
          <w:rFonts w:hint="eastAsia" w:ascii="宋体" w:hAnsi="宋体"/>
          <w:szCs w:val="21"/>
          <w:highlight w:val="none"/>
        </w:rPr>
        <w:t>在网上发布或书面通知，均作无效处理。</w:t>
      </w:r>
    </w:p>
    <w:p w14:paraId="3B3984DA">
      <w:pPr>
        <w:ind w:firstLine="420" w:firstLineChars="200"/>
        <w:rPr>
          <w:rFonts w:ascii="宋体" w:hAnsi="宋体"/>
          <w:szCs w:val="21"/>
          <w:highlight w:val="none"/>
        </w:rPr>
      </w:pPr>
      <w:r>
        <w:rPr>
          <w:rFonts w:hint="eastAsia" w:ascii="宋体" w:hAnsi="宋体"/>
          <w:szCs w:val="21"/>
          <w:highlight w:val="none"/>
        </w:rPr>
        <w:t>10.3未参与标前会议不作为否定投标人资格的理由。</w:t>
      </w:r>
    </w:p>
    <w:bookmarkEnd w:id="52"/>
    <w:p w14:paraId="4C23D099">
      <w:pPr>
        <w:ind w:firstLine="411" w:firstLineChars="196"/>
        <w:rPr>
          <w:rFonts w:ascii="宋体" w:hAnsi="宋体"/>
          <w:highlight w:val="none"/>
        </w:rPr>
      </w:pPr>
    </w:p>
    <w:p w14:paraId="42703A2D">
      <w:pPr>
        <w:pStyle w:val="81"/>
        <w:keepNext/>
        <w:keepLines/>
        <w:numPr>
          <w:ilvl w:val="0"/>
          <w:numId w:val="16"/>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highlight w:val="none"/>
        </w:rPr>
      </w:pPr>
      <w:r>
        <w:rPr>
          <w:rFonts w:hint="eastAsia" w:ascii="Cambria" w:hAnsi="Cambria" w:cs="宋体"/>
          <w:b/>
          <w:bCs/>
          <w:sz w:val="28"/>
          <w:szCs w:val="28"/>
          <w:highlight w:val="none"/>
        </w:rPr>
        <w:t>招标文件</w:t>
      </w:r>
    </w:p>
    <w:p w14:paraId="693FD62D">
      <w:pPr>
        <w:ind w:firstLine="420" w:firstLineChars="200"/>
        <w:rPr>
          <w:rFonts w:ascii="黑体" w:hAnsi="宋体" w:eastAsia="黑体"/>
          <w:szCs w:val="21"/>
        </w:rPr>
      </w:pPr>
      <w:r>
        <w:rPr>
          <w:rFonts w:hint="eastAsia" w:ascii="黑体" w:hAnsi="宋体" w:eastAsia="黑体"/>
          <w:szCs w:val="21"/>
        </w:rPr>
        <w:t>11．</w:t>
      </w:r>
      <w:bookmarkStart w:id="54" w:name="_Hlk72399819"/>
      <w:r>
        <w:rPr>
          <w:rFonts w:hint="eastAsia" w:ascii="黑体" w:hAnsi="宋体" w:eastAsia="黑体"/>
          <w:szCs w:val="21"/>
        </w:rPr>
        <w:t>招标文件的编制与组成</w:t>
      </w:r>
    </w:p>
    <w:p w14:paraId="7094410D">
      <w:pPr>
        <w:snapToGrid w:val="0"/>
        <w:ind w:firstLine="420" w:firstLineChars="200"/>
        <w:rPr>
          <w:rFonts w:ascii="宋体" w:hAnsi="宋体"/>
          <w:szCs w:val="21"/>
        </w:rPr>
      </w:pPr>
      <w:r>
        <w:rPr>
          <w:rFonts w:hint="eastAsia" w:ascii="宋体" w:hAnsi="宋体"/>
          <w:szCs w:val="21"/>
        </w:rPr>
        <w:t>11.1招标文件除以下内容</w:t>
      </w:r>
      <w:r>
        <w:rPr>
          <w:rFonts w:hint="eastAsia" w:ascii="宋体" w:hAnsi="宋体"/>
          <w:szCs w:val="21"/>
          <w:highlight w:val="none"/>
        </w:rPr>
        <w:t>外，</w:t>
      </w:r>
      <w:r>
        <w:rPr>
          <w:rFonts w:hint="eastAsia" w:ascii="宋体" w:hAnsi="宋体"/>
          <w:szCs w:val="21"/>
          <w:highlight w:val="none"/>
          <w:lang w:val="en-US" w:eastAsia="zh-CN"/>
        </w:rPr>
        <w:t>采购代理机构</w:t>
      </w:r>
      <w:r>
        <w:rPr>
          <w:rFonts w:hint="eastAsia" w:ascii="宋体" w:hAnsi="宋体"/>
          <w:szCs w:val="21"/>
          <w:highlight w:val="none"/>
        </w:rPr>
        <w:t>在招标期间发出的澄清或修改等相关公告或通知内容，均是招标文件的组成部分，对投标人起约束作用；</w:t>
      </w:r>
    </w:p>
    <w:p w14:paraId="5CD9F860">
      <w:pPr>
        <w:ind w:firstLine="420" w:firstLineChars="200"/>
        <w:rPr>
          <w:rFonts w:ascii="宋体" w:hAnsi="宋体"/>
          <w:szCs w:val="21"/>
        </w:rPr>
      </w:pPr>
      <w:r>
        <w:rPr>
          <w:rFonts w:hint="eastAsia" w:ascii="宋体" w:hAnsi="宋体"/>
          <w:szCs w:val="21"/>
        </w:rPr>
        <w:t>招标文件包括下列内容：</w:t>
      </w:r>
    </w:p>
    <w:p w14:paraId="419DBF75">
      <w:pPr>
        <w:ind w:firstLine="422" w:firstLineChars="200"/>
        <w:rPr>
          <w:rFonts w:ascii="宋体" w:hAnsi="宋体"/>
          <w:b/>
          <w:szCs w:val="21"/>
        </w:rPr>
      </w:pPr>
      <w:r>
        <w:rPr>
          <w:rFonts w:hint="eastAsia" w:ascii="宋体" w:hAnsi="宋体"/>
          <w:b/>
          <w:szCs w:val="21"/>
        </w:rPr>
        <w:t>第一册  专用条款</w:t>
      </w:r>
    </w:p>
    <w:p w14:paraId="5F621CB3">
      <w:pPr>
        <w:ind w:firstLine="422" w:firstLineChars="200"/>
        <w:rPr>
          <w:rFonts w:ascii="宋体" w:hAnsi="宋体"/>
          <w:b/>
          <w:szCs w:val="21"/>
        </w:rPr>
      </w:pPr>
      <w:r>
        <w:rPr>
          <w:rFonts w:hint="eastAsia" w:ascii="宋体" w:hAnsi="宋体"/>
          <w:b/>
          <w:szCs w:val="21"/>
        </w:rPr>
        <w:t>关键信息</w:t>
      </w:r>
    </w:p>
    <w:p w14:paraId="28C966AD">
      <w:pPr>
        <w:ind w:firstLine="420" w:firstLineChars="200"/>
        <w:rPr>
          <w:rFonts w:ascii="宋体" w:hAnsi="宋体"/>
          <w:szCs w:val="21"/>
        </w:rPr>
      </w:pPr>
      <w:r>
        <w:rPr>
          <w:rFonts w:hint="eastAsia" w:ascii="宋体" w:hAnsi="宋体"/>
          <w:szCs w:val="21"/>
        </w:rPr>
        <w:t>第一章  招标公告</w:t>
      </w:r>
    </w:p>
    <w:p w14:paraId="6467183A">
      <w:pPr>
        <w:ind w:firstLine="420" w:firstLineChars="200"/>
        <w:rPr>
          <w:rFonts w:ascii="宋体" w:hAnsi="宋体"/>
          <w:szCs w:val="21"/>
        </w:rPr>
      </w:pPr>
      <w:r>
        <w:rPr>
          <w:rFonts w:hint="eastAsia" w:ascii="宋体" w:hAnsi="宋体"/>
          <w:szCs w:val="21"/>
        </w:rPr>
        <w:t>第二章  对通用条款的补充内容及其他关键信息</w:t>
      </w:r>
    </w:p>
    <w:p w14:paraId="0ECBB114">
      <w:pPr>
        <w:ind w:firstLine="420" w:firstLineChars="200"/>
        <w:rPr>
          <w:rFonts w:ascii="宋体" w:hAnsi="宋体"/>
          <w:szCs w:val="21"/>
        </w:rPr>
      </w:pPr>
      <w:r>
        <w:rPr>
          <w:rFonts w:hint="eastAsia" w:ascii="宋体" w:hAnsi="宋体"/>
          <w:szCs w:val="21"/>
        </w:rPr>
        <w:t>第三章  用户需求书</w:t>
      </w:r>
    </w:p>
    <w:p w14:paraId="3BAE96D9">
      <w:pPr>
        <w:ind w:firstLine="420" w:firstLineChars="200"/>
        <w:rPr>
          <w:rFonts w:ascii="宋体" w:hAnsi="宋体"/>
          <w:szCs w:val="21"/>
        </w:rPr>
      </w:pPr>
      <w:r>
        <w:rPr>
          <w:rFonts w:hint="eastAsia"/>
          <w:szCs w:val="21"/>
        </w:rPr>
        <w:t>第四章</w:t>
      </w:r>
      <w:r>
        <w:rPr>
          <w:szCs w:val="21"/>
        </w:rPr>
        <w:t xml:space="preserve">  </w:t>
      </w:r>
      <w:r>
        <w:rPr>
          <w:rFonts w:hint="eastAsia"/>
          <w:szCs w:val="21"/>
        </w:rPr>
        <w:t>投标文件格式及附件</w:t>
      </w:r>
    </w:p>
    <w:p w14:paraId="1402C4FD">
      <w:pPr>
        <w:ind w:firstLine="420" w:firstLineChars="200"/>
        <w:rPr>
          <w:rFonts w:ascii="宋体" w:hAnsi="宋体"/>
          <w:szCs w:val="21"/>
        </w:rPr>
      </w:pPr>
      <w:r>
        <w:rPr>
          <w:rFonts w:hint="eastAsia" w:ascii="宋体" w:hAnsi="宋体"/>
          <w:szCs w:val="21"/>
        </w:rPr>
        <w:t>第五章  合同条款及格式</w:t>
      </w:r>
    </w:p>
    <w:p w14:paraId="30DA6841">
      <w:pPr>
        <w:ind w:firstLine="422" w:firstLineChars="200"/>
        <w:rPr>
          <w:rFonts w:ascii="宋体" w:hAnsi="宋体"/>
          <w:b/>
          <w:szCs w:val="21"/>
        </w:rPr>
      </w:pPr>
      <w:r>
        <w:rPr>
          <w:rFonts w:hint="eastAsia" w:ascii="宋体" w:hAnsi="宋体"/>
          <w:b/>
          <w:szCs w:val="21"/>
        </w:rPr>
        <w:t>第二册  通用条款</w:t>
      </w:r>
    </w:p>
    <w:p w14:paraId="3F09C322">
      <w:pPr>
        <w:ind w:firstLine="420" w:firstLineChars="200"/>
        <w:rPr>
          <w:rFonts w:ascii="宋体" w:hAnsi="宋体"/>
          <w:szCs w:val="21"/>
        </w:rPr>
      </w:pPr>
      <w:r>
        <w:rPr>
          <w:rFonts w:hint="eastAsia" w:ascii="宋体" w:hAnsi="宋体"/>
          <w:szCs w:val="21"/>
        </w:rPr>
        <w:t>第一章  总则</w:t>
      </w:r>
    </w:p>
    <w:p w14:paraId="3C8DB9A1">
      <w:pPr>
        <w:ind w:firstLine="420" w:firstLineChars="200"/>
        <w:rPr>
          <w:rFonts w:ascii="宋体" w:hAnsi="宋体"/>
          <w:szCs w:val="21"/>
        </w:rPr>
      </w:pPr>
      <w:r>
        <w:rPr>
          <w:rFonts w:hint="eastAsia" w:ascii="宋体" w:hAnsi="宋体"/>
          <w:szCs w:val="21"/>
        </w:rPr>
        <w:t>第二章  招标文件</w:t>
      </w:r>
    </w:p>
    <w:p w14:paraId="75F74A08">
      <w:pPr>
        <w:ind w:firstLine="420" w:firstLineChars="200"/>
        <w:rPr>
          <w:rFonts w:ascii="宋体" w:hAnsi="宋体"/>
          <w:szCs w:val="21"/>
        </w:rPr>
      </w:pPr>
      <w:r>
        <w:rPr>
          <w:rFonts w:hint="eastAsia" w:ascii="宋体" w:hAnsi="宋体"/>
          <w:szCs w:val="21"/>
        </w:rPr>
        <w:t>第三章  投标文件的编制</w:t>
      </w:r>
    </w:p>
    <w:p w14:paraId="09CC046F">
      <w:pPr>
        <w:ind w:firstLine="420" w:firstLineChars="200"/>
        <w:rPr>
          <w:rFonts w:ascii="宋体" w:hAnsi="宋体"/>
          <w:szCs w:val="21"/>
        </w:rPr>
      </w:pPr>
      <w:r>
        <w:rPr>
          <w:rFonts w:hint="eastAsia" w:ascii="宋体" w:hAnsi="宋体"/>
          <w:szCs w:val="21"/>
        </w:rPr>
        <w:t>第四章  投标文件的递交</w:t>
      </w:r>
    </w:p>
    <w:p w14:paraId="16479E9B">
      <w:pPr>
        <w:ind w:firstLine="420" w:firstLineChars="200"/>
        <w:rPr>
          <w:rFonts w:ascii="宋体" w:hAnsi="宋体"/>
          <w:szCs w:val="21"/>
        </w:rPr>
      </w:pPr>
      <w:r>
        <w:rPr>
          <w:rFonts w:hint="eastAsia" w:ascii="宋体" w:hAnsi="宋体"/>
          <w:szCs w:val="21"/>
        </w:rPr>
        <w:t>第五章  开标</w:t>
      </w:r>
    </w:p>
    <w:p w14:paraId="74224CA0">
      <w:pPr>
        <w:ind w:firstLine="420" w:firstLineChars="200"/>
        <w:rPr>
          <w:rFonts w:ascii="宋体" w:hAnsi="宋体"/>
          <w:szCs w:val="21"/>
        </w:rPr>
      </w:pPr>
      <w:r>
        <w:rPr>
          <w:rFonts w:hint="eastAsia" w:ascii="宋体" w:hAnsi="宋体"/>
          <w:szCs w:val="21"/>
        </w:rPr>
        <w:t>第六章  评审要求</w:t>
      </w:r>
    </w:p>
    <w:p w14:paraId="7F229408">
      <w:pPr>
        <w:ind w:firstLine="420" w:firstLineChars="200"/>
        <w:rPr>
          <w:rFonts w:ascii="宋体" w:hAnsi="宋体"/>
          <w:szCs w:val="21"/>
        </w:rPr>
      </w:pPr>
      <w:r>
        <w:rPr>
          <w:rFonts w:hint="eastAsia" w:ascii="宋体" w:hAnsi="宋体"/>
          <w:szCs w:val="21"/>
        </w:rPr>
        <w:t>第七章  评审程序及评审方法</w:t>
      </w:r>
    </w:p>
    <w:p w14:paraId="6F83DDEA">
      <w:pPr>
        <w:ind w:firstLine="420" w:firstLineChars="200"/>
        <w:rPr>
          <w:rFonts w:ascii="宋体" w:hAnsi="宋体"/>
          <w:szCs w:val="21"/>
        </w:rPr>
      </w:pPr>
      <w:r>
        <w:rPr>
          <w:rFonts w:hint="eastAsia" w:ascii="宋体" w:hAnsi="宋体"/>
          <w:szCs w:val="21"/>
        </w:rPr>
        <w:t>第八章  定标及公示</w:t>
      </w:r>
    </w:p>
    <w:p w14:paraId="2224E831">
      <w:pPr>
        <w:ind w:firstLine="420" w:firstLineChars="200"/>
        <w:rPr>
          <w:rFonts w:ascii="宋体" w:hAnsi="宋体"/>
          <w:szCs w:val="21"/>
        </w:rPr>
      </w:pPr>
      <w:r>
        <w:rPr>
          <w:rFonts w:hint="eastAsia" w:ascii="宋体" w:hAnsi="宋体"/>
          <w:szCs w:val="21"/>
        </w:rPr>
        <w:t>第九章  公开招标失败的后续处理</w:t>
      </w:r>
    </w:p>
    <w:p w14:paraId="7CA26661">
      <w:pPr>
        <w:ind w:firstLine="420" w:firstLineChars="200"/>
        <w:rPr>
          <w:rFonts w:ascii="宋体" w:hAnsi="宋体"/>
          <w:szCs w:val="21"/>
        </w:rPr>
      </w:pPr>
      <w:r>
        <w:rPr>
          <w:rFonts w:hint="eastAsia" w:ascii="宋体" w:hAnsi="宋体"/>
          <w:szCs w:val="21"/>
        </w:rPr>
        <w:t>第十章  合同的授予与备案</w:t>
      </w:r>
    </w:p>
    <w:p w14:paraId="4CF1A2FE">
      <w:pPr>
        <w:ind w:firstLine="420" w:firstLineChars="200"/>
        <w:rPr>
          <w:rFonts w:ascii="宋体" w:hAnsi="宋体"/>
          <w:szCs w:val="21"/>
        </w:rPr>
      </w:pPr>
      <w:r>
        <w:rPr>
          <w:rFonts w:hint="eastAsia" w:ascii="宋体" w:hAnsi="宋体"/>
          <w:szCs w:val="21"/>
        </w:rPr>
        <w:t>第十一章  质疑处理</w:t>
      </w:r>
    </w:p>
    <w:p w14:paraId="189C0664">
      <w:pPr>
        <w:ind w:firstLine="420" w:firstLineChars="200"/>
        <w:rPr>
          <w:rFonts w:ascii="宋体" w:hAnsi="宋体"/>
          <w:szCs w:val="21"/>
          <w:highlight w:val="none"/>
        </w:rPr>
      </w:pPr>
      <w:r>
        <w:rPr>
          <w:rFonts w:hint="eastAsia" w:ascii="宋体" w:hAnsi="宋体"/>
          <w:szCs w:val="21"/>
        </w:rPr>
        <w:t>11.2 投标</w:t>
      </w:r>
      <w:r>
        <w:rPr>
          <w:rFonts w:hint="eastAsia" w:ascii="宋体" w:hAnsi="宋体"/>
          <w:szCs w:val="21"/>
          <w:highlight w:val="none"/>
        </w:rPr>
        <w:t>人下载招标文件后，应仔细检查招标文件的所有内容，如有疑问应在答疑截止时间之前向</w:t>
      </w:r>
      <w:r>
        <w:rPr>
          <w:rFonts w:hint="eastAsia" w:ascii="宋体" w:hAnsi="宋体"/>
          <w:szCs w:val="21"/>
          <w:highlight w:val="none"/>
          <w:lang w:val="en-US" w:eastAsia="zh-CN"/>
        </w:rPr>
        <w:t>采购代理机构</w:t>
      </w:r>
      <w:r>
        <w:rPr>
          <w:rFonts w:hint="eastAsia" w:ascii="宋体" w:hAnsi="宋体"/>
          <w:szCs w:val="21"/>
          <w:highlight w:val="none"/>
        </w:rPr>
        <w:t>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1523E98B">
      <w:pPr>
        <w:ind w:firstLine="420" w:firstLineChars="200"/>
        <w:rPr>
          <w:rFonts w:hint="eastAsia" w:ascii="宋体" w:hAnsi="宋体"/>
          <w:szCs w:val="21"/>
          <w:highlight w:val="none"/>
        </w:rPr>
      </w:pPr>
      <w:r>
        <w:rPr>
          <w:rFonts w:hint="eastAsia" w:ascii="宋体" w:hAnsi="宋体"/>
          <w:szCs w:val="21"/>
          <w:highlight w:val="none"/>
        </w:rPr>
        <w:t>11.3任何人或任何组织向投标人提交的任何书面或口头资料，未经</w:t>
      </w:r>
      <w:r>
        <w:rPr>
          <w:rFonts w:hint="eastAsia" w:ascii="宋体" w:hAnsi="宋体"/>
          <w:szCs w:val="21"/>
          <w:highlight w:val="none"/>
          <w:lang w:val="en-US" w:eastAsia="zh-CN"/>
        </w:rPr>
        <w:t>采购代理机构</w:t>
      </w:r>
      <w:r>
        <w:rPr>
          <w:rFonts w:hint="eastAsia" w:ascii="宋体" w:hAnsi="宋体"/>
          <w:szCs w:val="21"/>
          <w:highlight w:val="none"/>
        </w:rPr>
        <w:t>在网上发布或书面通知，均作无效处理，不得作为招标文件的组成部分。</w:t>
      </w:r>
      <w:r>
        <w:rPr>
          <w:rFonts w:hint="eastAsia" w:ascii="宋体" w:hAnsi="宋体"/>
          <w:szCs w:val="21"/>
          <w:highlight w:val="none"/>
          <w:lang w:val="en-US" w:eastAsia="zh-CN"/>
        </w:rPr>
        <w:t>采购代理机构</w:t>
      </w:r>
      <w:r>
        <w:rPr>
          <w:rFonts w:hint="eastAsia" w:ascii="宋体" w:hAnsi="宋体"/>
          <w:szCs w:val="21"/>
          <w:highlight w:val="none"/>
        </w:rPr>
        <w:t>对投标人由此而做出的推论、理解和结论概不负责。</w:t>
      </w:r>
    </w:p>
    <w:p w14:paraId="677D91E9">
      <w:pPr>
        <w:ind w:firstLine="420" w:firstLineChars="200"/>
        <w:rPr>
          <w:rFonts w:ascii="宋体" w:hAnsi="宋体"/>
          <w:szCs w:val="21"/>
          <w:highlight w:val="none"/>
        </w:rPr>
      </w:pPr>
      <w:r>
        <w:rPr>
          <w:rFonts w:hint="eastAsia" w:ascii="宋体" w:hAnsi="宋体"/>
          <w:szCs w:val="21"/>
          <w:highlight w:val="none"/>
        </w:rPr>
        <w:t>11.4</w:t>
      </w:r>
      <w:r>
        <w:rPr>
          <w:rFonts w:hint="eastAsia" w:ascii="宋体" w:hAnsi="宋体"/>
          <w:szCs w:val="21"/>
          <w:highlight w:val="none"/>
          <w:lang w:val="en-US" w:eastAsia="zh-CN"/>
        </w:rPr>
        <w:t>在</w:t>
      </w:r>
      <w:r>
        <w:rPr>
          <w:rFonts w:hint="eastAsia" w:ascii="宋体" w:hAnsi="宋体"/>
          <w:szCs w:val="21"/>
          <w:highlight w:val="none"/>
        </w:rPr>
        <w:t>项目产生质疑、投诉等阶段，主管部门、采购人、代理机构、评审委员会等可以要求供应商提供原件进行核查。</w:t>
      </w:r>
    </w:p>
    <w:p w14:paraId="3B1F9072">
      <w:pPr>
        <w:ind w:firstLine="420" w:firstLineChars="200"/>
        <w:rPr>
          <w:rFonts w:ascii="黑体" w:hAnsi="宋体" w:eastAsia="黑体"/>
          <w:szCs w:val="21"/>
          <w:highlight w:val="none"/>
        </w:rPr>
      </w:pPr>
      <w:r>
        <w:rPr>
          <w:rFonts w:hint="eastAsia" w:ascii="黑体" w:hAnsi="宋体" w:eastAsia="黑体"/>
          <w:szCs w:val="21"/>
          <w:highlight w:val="none"/>
        </w:rPr>
        <w:t>12．招标文件的澄清</w:t>
      </w:r>
    </w:p>
    <w:p w14:paraId="0F699287">
      <w:pPr>
        <w:ind w:firstLine="420" w:firstLineChars="200"/>
        <w:rPr>
          <w:rFonts w:ascii="宋体" w:hAnsi="宋体"/>
          <w:szCs w:val="21"/>
          <w:highlight w:val="none"/>
        </w:rPr>
      </w:pPr>
      <w:r>
        <w:rPr>
          <w:rFonts w:hint="eastAsia" w:ascii="宋体" w:hAnsi="宋体"/>
          <w:szCs w:val="21"/>
          <w:highlight w:val="none"/>
        </w:rPr>
        <w:t>12.1招标文件澄清的目的是澄清、解答投标人在查阅招标文件后或现场踏勘中可能提出的与投标有关的疑问或询问。</w:t>
      </w:r>
    </w:p>
    <w:p w14:paraId="37255CC9">
      <w:pPr>
        <w:ind w:firstLine="420" w:firstLineChars="200"/>
        <w:rPr>
          <w:rFonts w:ascii="宋体" w:hAnsi="宋体"/>
          <w:color w:val="FF0000"/>
          <w:szCs w:val="21"/>
          <w:highlight w:val="none"/>
        </w:rPr>
      </w:pPr>
      <w:r>
        <w:rPr>
          <w:rFonts w:hint="eastAsia" w:ascii="宋体" w:hAnsi="宋体"/>
          <w:color w:val="FF0000"/>
          <w:szCs w:val="21"/>
          <w:highlight w:val="none"/>
        </w:rPr>
        <w:t>12.2投标人如对招标文件内容有疑问，应当在招标公告规定的澄清（提问）截止时间前将疑问内容加盖公章书面提交至</w:t>
      </w:r>
      <w:r>
        <w:rPr>
          <w:rFonts w:hint="eastAsia" w:ascii="宋体" w:hAnsi="宋体"/>
          <w:color w:val="FF0000"/>
          <w:szCs w:val="21"/>
          <w:highlight w:val="none"/>
          <w:lang w:val="en-US" w:eastAsia="zh-CN"/>
        </w:rPr>
        <w:t>采购代理机构</w:t>
      </w:r>
      <w:r>
        <w:rPr>
          <w:rFonts w:hint="eastAsia" w:ascii="宋体" w:hAnsi="宋体"/>
          <w:color w:val="FF0000"/>
          <w:szCs w:val="21"/>
          <w:highlight w:val="none"/>
        </w:rPr>
        <w:t>。</w:t>
      </w:r>
    </w:p>
    <w:p w14:paraId="0BE51A3B">
      <w:pPr>
        <w:ind w:firstLine="420" w:firstLineChars="200"/>
        <w:rPr>
          <w:rFonts w:ascii="宋体" w:hAnsi="宋体"/>
          <w:szCs w:val="21"/>
          <w:highlight w:val="none"/>
        </w:rPr>
      </w:pPr>
      <w:r>
        <w:rPr>
          <w:rFonts w:hint="eastAsia" w:ascii="宋体" w:hAnsi="宋体"/>
          <w:szCs w:val="21"/>
          <w:highlight w:val="none"/>
        </w:rPr>
        <w:t>12.3不论是</w:t>
      </w:r>
      <w:r>
        <w:rPr>
          <w:rFonts w:hint="eastAsia" w:ascii="宋体" w:hAnsi="宋体"/>
          <w:szCs w:val="21"/>
          <w:highlight w:val="none"/>
          <w:lang w:val="en-US" w:eastAsia="zh-CN"/>
        </w:rPr>
        <w:t>采购代理机构</w:t>
      </w:r>
      <w:r>
        <w:rPr>
          <w:rFonts w:hint="eastAsia" w:ascii="宋体" w:hAnsi="宋体"/>
          <w:szCs w:val="21"/>
          <w:highlight w:val="none"/>
        </w:rPr>
        <w:t>根据需要主动对招标文件进行必要的澄清或是根据投标人的要求对招标文件做出澄清，</w:t>
      </w:r>
      <w:r>
        <w:rPr>
          <w:rFonts w:hint="eastAsia" w:ascii="宋体" w:hAnsi="宋体"/>
          <w:szCs w:val="21"/>
          <w:highlight w:val="none"/>
          <w:lang w:val="en-US" w:eastAsia="zh-CN"/>
        </w:rPr>
        <w:t>采购代理机构</w:t>
      </w:r>
      <w:r>
        <w:rPr>
          <w:rFonts w:hint="eastAsia" w:ascii="宋体" w:hAnsi="宋体"/>
          <w:szCs w:val="21"/>
          <w:highlight w:val="none"/>
        </w:rPr>
        <w:t>都将在投标截止日期前以书面形式（包括</w:t>
      </w:r>
      <w:r>
        <w:rPr>
          <w:rFonts w:hint="eastAsia" w:ascii="宋体" w:hAnsi="宋体"/>
          <w:szCs w:val="21"/>
          <w:highlight w:val="none"/>
          <w:lang w:val="en-US" w:eastAsia="zh-CN"/>
        </w:rPr>
        <w:t>采购代理机构</w:t>
      </w:r>
      <w:r>
        <w:rPr>
          <w:rFonts w:hint="eastAsia" w:ascii="宋体" w:hAnsi="宋体"/>
          <w:szCs w:val="21"/>
          <w:highlight w:val="none"/>
        </w:rPr>
        <w:t>网站发布方式）答复或发送给所有投标人。答复内容是招标文件的组成部分，对投标人起约束作用，其有效性按照本通用条款第13.3、13.4款规定执行。</w:t>
      </w:r>
    </w:p>
    <w:p w14:paraId="27846873">
      <w:pPr>
        <w:ind w:firstLine="420" w:firstLineChars="200"/>
        <w:rPr>
          <w:rFonts w:ascii="黑体" w:hAnsi="宋体" w:eastAsia="黑体"/>
          <w:szCs w:val="21"/>
          <w:highlight w:val="none"/>
        </w:rPr>
      </w:pPr>
      <w:r>
        <w:rPr>
          <w:rFonts w:hint="eastAsia" w:ascii="黑体" w:hAnsi="宋体" w:eastAsia="黑体"/>
          <w:szCs w:val="21"/>
          <w:highlight w:val="none"/>
        </w:rPr>
        <w:t>13．招标文件的修改</w:t>
      </w:r>
    </w:p>
    <w:p w14:paraId="413CF562">
      <w:pPr>
        <w:ind w:firstLine="420" w:firstLineChars="200"/>
        <w:rPr>
          <w:rFonts w:ascii="宋体" w:hAnsi="宋体"/>
          <w:szCs w:val="21"/>
          <w:highlight w:val="none"/>
        </w:rPr>
      </w:pPr>
      <w:r>
        <w:rPr>
          <w:rFonts w:hint="eastAsia" w:ascii="宋体" w:hAnsi="宋体"/>
          <w:szCs w:val="21"/>
          <w:highlight w:val="none"/>
        </w:rPr>
        <w:t>13.1招标文件发出后，在投标截止日期前任何时候，确需要变更招标文件内容的，</w:t>
      </w:r>
      <w:r>
        <w:rPr>
          <w:rFonts w:hint="eastAsia" w:ascii="宋体" w:hAnsi="宋体"/>
          <w:szCs w:val="21"/>
          <w:highlight w:val="none"/>
          <w:lang w:val="en-US" w:eastAsia="zh-CN"/>
        </w:rPr>
        <w:t>采购代理机构</w:t>
      </w:r>
      <w:r>
        <w:rPr>
          <w:rFonts w:hint="eastAsia" w:ascii="宋体" w:hAnsi="宋体"/>
          <w:szCs w:val="21"/>
          <w:highlight w:val="none"/>
        </w:rPr>
        <w:t>可主动或在解答投标人提出的澄清问题时对招标文件进行修改。</w:t>
      </w:r>
    </w:p>
    <w:p w14:paraId="470B65AC">
      <w:pPr>
        <w:ind w:firstLine="420" w:firstLineChars="200"/>
        <w:rPr>
          <w:rFonts w:ascii="宋体" w:hAnsi="宋体"/>
          <w:szCs w:val="21"/>
          <w:highlight w:val="none"/>
        </w:rPr>
      </w:pPr>
      <w:r>
        <w:rPr>
          <w:rFonts w:hint="eastAsia" w:ascii="宋体" w:hAnsi="宋体"/>
          <w:szCs w:val="21"/>
          <w:highlight w:val="none"/>
        </w:rPr>
        <w:t>13.2招标文件的修改以书面形式（包括</w:t>
      </w:r>
      <w:r>
        <w:rPr>
          <w:rFonts w:hint="eastAsia" w:ascii="宋体" w:hAnsi="宋体"/>
          <w:szCs w:val="21"/>
          <w:highlight w:val="none"/>
          <w:lang w:val="en-US" w:eastAsia="zh-CN"/>
        </w:rPr>
        <w:t>采购代理机构</w:t>
      </w:r>
      <w:r>
        <w:rPr>
          <w:rFonts w:hint="eastAsia" w:ascii="宋体" w:hAnsi="宋体"/>
          <w:szCs w:val="21"/>
          <w:highlight w:val="none"/>
        </w:rPr>
        <w:t>网站发布方式，如更正公告等）发送给所有投标人，招标文件的修改内容作为招标文件的组成部分，并具有约束力。</w:t>
      </w:r>
    </w:p>
    <w:p w14:paraId="660D2001">
      <w:pPr>
        <w:ind w:firstLine="420" w:firstLineChars="200"/>
        <w:rPr>
          <w:rFonts w:ascii="宋体" w:hAnsi="宋体"/>
          <w:szCs w:val="21"/>
          <w:highlight w:val="none"/>
        </w:rPr>
      </w:pPr>
      <w:r>
        <w:rPr>
          <w:rFonts w:hint="eastAsia" w:ascii="宋体" w:hAnsi="宋体"/>
          <w:szCs w:val="21"/>
          <w:highlight w:val="none"/>
        </w:rPr>
        <w:t>13.3招标文件、招标文件澄清答复内容、招标文件修改补充内容均以书面形式（包括</w:t>
      </w:r>
      <w:r>
        <w:rPr>
          <w:rFonts w:hint="eastAsia" w:ascii="宋体" w:hAnsi="宋体"/>
          <w:szCs w:val="21"/>
          <w:highlight w:val="none"/>
          <w:lang w:val="en-US" w:eastAsia="zh-CN"/>
        </w:rPr>
        <w:t>采购代理机构</w:t>
      </w:r>
      <w:r>
        <w:rPr>
          <w:rFonts w:hint="eastAsia" w:ascii="宋体" w:hAnsi="宋体"/>
          <w:szCs w:val="21"/>
          <w:highlight w:val="none"/>
        </w:rPr>
        <w:t>网站公开发布方式，如更正公告等）明确的内容为准。当招标文件、修改补充通知、招标文件澄清答复内容相互矛盾时，以最后发出的内容为准。</w:t>
      </w:r>
    </w:p>
    <w:p w14:paraId="2B38F052">
      <w:pPr>
        <w:ind w:firstLine="420" w:firstLineChars="200"/>
        <w:rPr>
          <w:rFonts w:ascii="宋体" w:hAnsi="宋体"/>
          <w:szCs w:val="21"/>
          <w:highlight w:val="none"/>
        </w:rPr>
      </w:pPr>
      <w:r>
        <w:rPr>
          <w:rFonts w:hint="eastAsia" w:ascii="宋体" w:hAnsi="宋体"/>
          <w:szCs w:val="21"/>
          <w:highlight w:val="none"/>
        </w:rPr>
        <w:t>13.4</w:t>
      </w:r>
      <w:r>
        <w:rPr>
          <w:rFonts w:hint="eastAsia" w:ascii="宋体" w:hAnsi="宋体"/>
          <w:szCs w:val="21"/>
          <w:highlight w:val="none"/>
          <w:lang w:val="en-US" w:eastAsia="zh-CN"/>
        </w:rPr>
        <w:t>采购代理机构</w:t>
      </w:r>
      <w:r>
        <w:rPr>
          <w:rFonts w:hint="eastAsia" w:ascii="宋体" w:hAnsi="宋体"/>
          <w:szCs w:val="21"/>
          <w:highlight w:val="none"/>
        </w:rPr>
        <w:t>保证招标文件澄清答复内容和招标文件修改补充内容在投标截止时间前以书面形式（包括</w:t>
      </w:r>
      <w:r>
        <w:rPr>
          <w:rFonts w:hint="eastAsia" w:ascii="宋体" w:hAnsi="宋体"/>
          <w:szCs w:val="21"/>
          <w:highlight w:val="none"/>
          <w:lang w:val="en-US" w:eastAsia="zh-CN"/>
        </w:rPr>
        <w:t>采购代理机构</w:t>
      </w:r>
      <w:r>
        <w:rPr>
          <w:rFonts w:hint="eastAsia" w:ascii="宋体" w:hAnsi="宋体"/>
          <w:szCs w:val="21"/>
          <w:highlight w:val="none"/>
        </w:rPr>
        <w:t>网站发布方式，如更正公告等）发送给所有投标人。为使投标人在编制投标文件时有充分时间对招标文件的修改部分进行研究，</w:t>
      </w:r>
      <w:r>
        <w:rPr>
          <w:rFonts w:hint="eastAsia" w:ascii="宋体" w:hAnsi="宋体"/>
          <w:szCs w:val="21"/>
          <w:highlight w:val="none"/>
          <w:lang w:val="en-US" w:eastAsia="zh-CN"/>
        </w:rPr>
        <w:t>采购代理机构</w:t>
      </w:r>
      <w:r>
        <w:rPr>
          <w:rFonts w:hint="eastAsia" w:ascii="宋体" w:hAnsi="宋体"/>
          <w:szCs w:val="21"/>
          <w:highlight w:val="none"/>
        </w:rPr>
        <w:t>可以酌情延长递交投标文件的截止日期。</w:t>
      </w:r>
      <w:bookmarkEnd w:id="54"/>
    </w:p>
    <w:p w14:paraId="517EADA2">
      <w:pPr>
        <w:rPr>
          <w:rFonts w:ascii="宋体" w:hAnsi="宋体"/>
          <w:szCs w:val="21"/>
          <w:highlight w:val="none"/>
        </w:rPr>
      </w:pPr>
    </w:p>
    <w:p w14:paraId="1E7E8B43">
      <w:pPr>
        <w:pStyle w:val="81"/>
        <w:keepNext/>
        <w:keepLines/>
        <w:numPr>
          <w:ilvl w:val="0"/>
          <w:numId w:val="16"/>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highlight w:val="none"/>
        </w:rPr>
      </w:pPr>
      <w:r>
        <w:rPr>
          <w:rFonts w:hint="eastAsia" w:ascii="Cambria" w:hAnsi="Cambria" w:cs="宋体"/>
          <w:b/>
          <w:bCs/>
          <w:sz w:val="28"/>
          <w:szCs w:val="28"/>
          <w:highlight w:val="none"/>
        </w:rPr>
        <w:t>投标文件的编制</w:t>
      </w:r>
    </w:p>
    <w:p w14:paraId="72DDC19D">
      <w:pPr>
        <w:ind w:firstLine="420" w:firstLineChars="200"/>
        <w:rPr>
          <w:rFonts w:ascii="黑体" w:hAnsi="宋体" w:eastAsia="黑体"/>
          <w:szCs w:val="21"/>
          <w:highlight w:val="none"/>
        </w:rPr>
      </w:pPr>
      <w:r>
        <w:rPr>
          <w:rFonts w:hint="eastAsia" w:ascii="黑体" w:hAnsi="宋体" w:eastAsia="黑体"/>
          <w:szCs w:val="21"/>
          <w:highlight w:val="none"/>
        </w:rPr>
        <w:t>14．</w:t>
      </w:r>
      <w:bookmarkStart w:id="55" w:name="_Hlk72400236"/>
      <w:r>
        <w:rPr>
          <w:rFonts w:hint="eastAsia" w:ascii="黑体" w:hAnsi="宋体" w:eastAsia="黑体"/>
          <w:szCs w:val="21"/>
          <w:highlight w:val="none"/>
        </w:rPr>
        <w:t>投标文件的语言及度量单位</w:t>
      </w:r>
    </w:p>
    <w:p w14:paraId="1E03760E">
      <w:pPr>
        <w:ind w:firstLine="420" w:firstLineChars="200"/>
        <w:rPr>
          <w:rFonts w:ascii="宋体" w:hAnsi="宋体"/>
          <w:szCs w:val="21"/>
          <w:highlight w:val="none"/>
        </w:rPr>
      </w:pPr>
      <w:r>
        <w:rPr>
          <w:rFonts w:hint="eastAsia" w:ascii="宋体" w:hAnsi="宋体"/>
          <w:szCs w:val="21"/>
          <w:highlight w:val="none"/>
        </w:rPr>
        <w:t>14.1 投标人与</w:t>
      </w:r>
      <w:r>
        <w:rPr>
          <w:rFonts w:hint="eastAsia" w:ascii="宋体" w:hAnsi="宋体"/>
          <w:szCs w:val="21"/>
          <w:highlight w:val="none"/>
          <w:lang w:val="en-US" w:eastAsia="zh-CN"/>
        </w:rPr>
        <w:t>采购代理机构</w:t>
      </w:r>
      <w:r>
        <w:rPr>
          <w:rFonts w:hint="eastAsia" w:ascii="宋体" w:hAnsi="宋体"/>
          <w:szCs w:val="21"/>
          <w:highlight w:val="none"/>
        </w:rPr>
        <w:t>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20A91634">
      <w:pPr>
        <w:ind w:firstLine="420" w:firstLineChars="200"/>
        <w:rPr>
          <w:rFonts w:ascii="宋体" w:hAnsi="宋体"/>
          <w:szCs w:val="21"/>
          <w:highlight w:val="none"/>
        </w:rPr>
      </w:pPr>
      <w:r>
        <w:rPr>
          <w:rFonts w:hint="eastAsia" w:ascii="宋体" w:hAnsi="宋体"/>
          <w:szCs w:val="21"/>
          <w:highlight w:val="none"/>
        </w:rPr>
        <w:t>14.2 除技术规范另有规定外，投标文件使用的度量单位，均采用中华人民共和国法定计量单位。</w:t>
      </w:r>
    </w:p>
    <w:bookmarkEnd w:id="55"/>
    <w:p w14:paraId="1D924F40">
      <w:pPr>
        <w:ind w:firstLine="420" w:firstLineChars="200"/>
        <w:rPr>
          <w:rFonts w:ascii="黑体" w:hAnsi="宋体" w:eastAsia="黑体"/>
          <w:szCs w:val="21"/>
          <w:highlight w:val="none"/>
        </w:rPr>
      </w:pPr>
      <w:r>
        <w:rPr>
          <w:rFonts w:hint="eastAsia" w:ascii="黑体" w:hAnsi="宋体" w:eastAsia="黑体"/>
          <w:szCs w:val="21"/>
          <w:highlight w:val="none"/>
        </w:rPr>
        <w:t>15．</w:t>
      </w:r>
      <w:bookmarkStart w:id="56" w:name="_Hlk72401567"/>
      <w:r>
        <w:rPr>
          <w:rFonts w:hint="eastAsia" w:ascii="黑体" w:hAnsi="宋体" w:eastAsia="黑体"/>
          <w:szCs w:val="21"/>
          <w:highlight w:val="none"/>
        </w:rPr>
        <w:t>投标文件的组成</w:t>
      </w:r>
    </w:p>
    <w:p w14:paraId="46F704D4">
      <w:pPr>
        <w:ind w:firstLine="420" w:firstLineChars="200"/>
        <w:rPr>
          <w:rFonts w:ascii="宋体" w:hAnsi="宋体"/>
          <w:szCs w:val="21"/>
          <w:highlight w:val="none"/>
        </w:rPr>
      </w:pPr>
      <w:r>
        <w:rPr>
          <w:rFonts w:hint="eastAsia" w:ascii="宋体" w:hAnsi="宋体"/>
          <w:szCs w:val="21"/>
          <w:highlight w:val="none"/>
        </w:rPr>
        <w:t>具体内容在招标文件专用条款中进行规定。</w:t>
      </w:r>
    </w:p>
    <w:p w14:paraId="13B4D4C1">
      <w:pPr>
        <w:ind w:firstLine="420" w:firstLineChars="200"/>
        <w:rPr>
          <w:rFonts w:ascii="黑体" w:hAnsi="宋体" w:eastAsia="黑体"/>
          <w:szCs w:val="21"/>
          <w:highlight w:val="none"/>
        </w:rPr>
      </w:pPr>
      <w:r>
        <w:rPr>
          <w:rFonts w:hint="eastAsia" w:ascii="黑体" w:hAnsi="宋体" w:eastAsia="黑体"/>
          <w:szCs w:val="21"/>
          <w:highlight w:val="none"/>
        </w:rPr>
        <w:t>16．投标文件格式</w:t>
      </w:r>
    </w:p>
    <w:p w14:paraId="71E9D954">
      <w:pPr>
        <w:ind w:firstLine="420" w:firstLineChars="200"/>
        <w:rPr>
          <w:rFonts w:ascii="宋体" w:hAnsi="宋体"/>
          <w:szCs w:val="21"/>
          <w:highlight w:val="none"/>
        </w:rPr>
      </w:pPr>
      <w:r>
        <w:rPr>
          <w:rFonts w:hint="eastAsia" w:ascii="宋体" w:hAnsi="宋体"/>
          <w:szCs w:val="21"/>
          <w:highlight w:val="none"/>
        </w:rPr>
        <w:t>投标文件包括本通用条款第15条中规定的内容。如招标文件提供了投标文件格式，则</w:t>
      </w:r>
      <w:r>
        <w:rPr>
          <w:rFonts w:hint="eastAsia" w:ascii="宋体" w:hAnsi="宋体"/>
          <w:b/>
          <w:bCs/>
          <w:szCs w:val="21"/>
          <w:highlight w:val="none"/>
        </w:rPr>
        <w:t>投标人提交的投标文件应毫无例外地使用招标文件所提供的相应格式</w:t>
      </w:r>
      <w:r>
        <w:rPr>
          <w:rFonts w:hint="eastAsia" w:ascii="宋体" w:hAnsi="宋体"/>
          <w:szCs w:val="21"/>
          <w:highlight w:val="none"/>
        </w:rPr>
        <w:t>（表格均可按同样格式扩展）。</w:t>
      </w:r>
    </w:p>
    <w:p w14:paraId="69FCFF1E">
      <w:pPr>
        <w:ind w:firstLine="420" w:firstLineChars="200"/>
        <w:rPr>
          <w:rFonts w:ascii="黑体" w:hAnsi="宋体" w:eastAsia="黑体"/>
          <w:szCs w:val="21"/>
          <w:highlight w:val="none"/>
        </w:rPr>
      </w:pPr>
      <w:r>
        <w:rPr>
          <w:rFonts w:hint="eastAsia" w:ascii="黑体" w:hAnsi="宋体" w:eastAsia="黑体"/>
          <w:szCs w:val="21"/>
          <w:highlight w:val="none"/>
        </w:rPr>
        <w:t>17．投标货币</w:t>
      </w:r>
    </w:p>
    <w:p w14:paraId="6D2311EC">
      <w:pPr>
        <w:ind w:firstLine="420" w:firstLineChars="200"/>
        <w:rPr>
          <w:rFonts w:ascii="宋体" w:hAnsi="宋体"/>
          <w:szCs w:val="21"/>
          <w:highlight w:val="none"/>
        </w:rPr>
      </w:pPr>
      <w:r>
        <w:rPr>
          <w:rFonts w:hint="eastAsia" w:ascii="宋体" w:hAnsi="宋体"/>
          <w:szCs w:val="21"/>
          <w:highlight w:val="none"/>
        </w:rPr>
        <w:t>本项目的投标报价应以人民币计。</w:t>
      </w:r>
    </w:p>
    <w:bookmarkEnd w:id="56"/>
    <w:p w14:paraId="7D524030">
      <w:pPr>
        <w:ind w:firstLine="420" w:firstLineChars="200"/>
        <w:rPr>
          <w:rFonts w:ascii="黑体" w:hAnsi="宋体" w:eastAsia="黑体"/>
          <w:szCs w:val="21"/>
          <w:highlight w:val="none"/>
        </w:rPr>
      </w:pPr>
      <w:r>
        <w:rPr>
          <w:rFonts w:hint="eastAsia" w:ascii="黑体" w:hAnsi="宋体" w:eastAsia="黑体"/>
          <w:szCs w:val="21"/>
          <w:highlight w:val="none"/>
        </w:rPr>
        <w:t>18．</w:t>
      </w:r>
      <w:bookmarkStart w:id="57" w:name="_Hlk72401735"/>
      <w:r>
        <w:rPr>
          <w:rFonts w:hint="eastAsia" w:ascii="黑体" w:hAnsi="宋体" w:eastAsia="黑体"/>
          <w:szCs w:val="21"/>
          <w:highlight w:val="none"/>
        </w:rPr>
        <w:t>证明投标文件投标技术方案的合格性和符合招标文件规定的文件要求</w:t>
      </w:r>
    </w:p>
    <w:p w14:paraId="23022A57">
      <w:pPr>
        <w:ind w:firstLine="420" w:firstLineChars="200"/>
        <w:rPr>
          <w:rFonts w:ascii="宋体" w:hAnsi="宋体"/>
          <w:szCs w:val="21"/>
          <w:highlight w:val="none"/>
        </w:rPr>
      </w:pPr>
      <w:r>
        <w:rPr>
          <w:rFonts w:hint="eastAsia" w:ascii="宋体" w:hAnsi="宋体"/>
          <w:szCs w:val="21"/>
          <w:highlight w:val="none"/>
        </w:rPr>
        <w:t>18.1 投标人应提交证明文件，证明其投标技术方案项下的货物和服务的合格性符合招标文件规定。该投标技术方案及其证明文件均作为投标文件组成部分。</w:t>
      </w:r>
    </w:p>
    <w:p w14:paraId="73FC64E5">
      <w:pPr>
        <w:ind w:firstLine="420" w:firstLineChars="200"/>
        <w:rPr>
          <w:rFonts w:ascii="宋体" w:hAnsi="宋体"/>
          <w:szCs w:val="21"/>
          <w:highlight w:val="none"/>
        </w:rPr>
      </w:pPr>
      <w:r>
        <w:rPr>
          <w:rFonts w:hint="eastAsia" w:ascii="宋体" w:hAnsi="宋体"/>
          <w:szCs w:val="21"/>
          <w:highlight w:val="none"/>
        </w:rPr>
        <w:t>18.2 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0B571474">
      <w:pPr>
        <w:ind w:firstLine="420" w:firstLineChars="200"/>
        <w:rPr>
          <w:rFonts w:ascii="宋体" w:hAnsi="宋体"/>
          <w:szCs w:val="21"/>
          <w:highlight w:val="none"/>
        </w:rPr>
      </w:pPr>
      <w:r>
        <w:rPr>
          <w:rFonts w:hint="eastAsia" w:ascii="宋体" w:hAnsi="宋体"/>
          <w:szCs w:val="21"/>
          <w:highlight w:val="none"/>
        </w:rPr>
        <w:t>18.2.1主要技术指标和性能的详细说明。</w:t>
      </w:r>
    </w:p>
    <w:p w14:paraId="4748C4CB">
      <w:pPr>
        <w:ind w:firstLine="420" w:firstLineChars="200"/>
        <w:rPr>
          <w:rFonts w:ascii="宋体" w:hAnsi="宋体"/>
          <w:szCs w:val="21"/>
          <w:highlight w:val="none"/>
        </w:rPr>
      </w:pPr>
      <w:r>
        <w:rPr>
          <w:rFonts w:hint="eastAsia" w:ascii="宋体" w:hAnsi="宋体"/>
          <w:szCs w:val="21"/>
          <w:highlight w:val="none"/>
        </w:rPr>
        <w:t>18.2.2投标产品从采购人开始使用至招标文件中规定的周期内正常、连续地使用所必须的备件和专用工具清单，包括备件和专用工具的货源及现行价格。</w:t>
      </w:r>
    </w:p>
    <w:p w14:paraId="65AB3838">
      <w:pPr>
        <w:ind w:firstLine="420" w:firstLineChars="200"/>
        <w:rPr>
          <w:rFonts w:ascii="宋体" w:hAnsi="宋体"/>
          <w:szCs w:val="21"/>
          <w:highlight w:val="none"/>
        </w:rPr>
      </w:pPr>
      <w:r>
        <w:rPr>
          <w:rFonts w:hint="eastAsia" w:ascii="宋体" w:hAnsi="宋体"/>
          <w:szCs w:val="21"/>
          <w:highlight w:val="none"/>
        </w:rPr>
        <w:t>18.2.3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409B801C">
      <w:pPr>
        <w:ind w:firstLine="420" w:firstLineChars="200"/>
        <w:rPr>
          <w:rFonts w:ascii="宋体" w:hAnsi="宋体"/>
          <w:szCs w:val="21"/>
          <w:highlight w:val="none"/>
        </w:rPr>
      </w:pPr>
      <w:r>
        <w:rPr>
          <w:rFonts w:hint="eastAsia" w:ascii="宋体" w:hAnsi="宋体"/>
          <w:szCs w:val="21"/>
          <w:highlight w:val="none"/>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szCs w:val="21"/>
          <w:highlight w:val="none"/>
        </w:rPr>
        <w:t>清晰度要求能够使用电脑阅读、识别和判断</w:t>
      </w:r>
      <w:r>
        <w:rPr>
          <w:rFonts w:hint="eastAsia" w:ascii="宋体" w:hAnsi="宋体"/>
          <w:szCs w:val="21"/>
          <w:highlight w:val="none"/>
        </w:rPr>
        <w:t>；</w:t>
      </w:r>
    </w:p>
    <w:p w14:paraId="50DCD720">
      <w:pPr>
        <w:ind w:firstLine="420" w:firstLineChars="200"/>
        <w:rPr>
          <w:rFonts w:ascii="宋体" w:hAnsi="宋体"/>
          <w:szCs w:val="21"/>
          <w:highlight w:val="none"/>
        </w:rPr>
      </w:pPr>
      <w:r>
        <w:rPr>
          <w:rFonts w:hint="eastAsia" w:ascii="宋体" w:hAnsi="宋体"/>
          <w:szCs w:val="21"/>
          <w:highlight w:val="none"/>
        </w:rPr>
        <w:t>18.2.5我国政府机构出具的产品检验和核准证件应为证件正面、背面和附件标注的全部具体内容；产品检验和核准证件的尺寸和清晰度应该能够在电脑上被阅读、识别和判断，提供原件扫描件。</w:t>
      </w:r>
    </w:p>
    <w:p w14:paraId="704007BE">
      <w:pPr>
        <w:ind w:firstLine="420" w:firstLineChars="200"/>
        <w:rPr>
          <w:rFonts w:ascii="宋体" w:hAnsi="宋体"/>
          <w:szCs w:val="21"/>
          <w:highlight w:val="none"/>
        </w:rPr>
      </w:pPr>
      <w:r>
        <w:rPr>
          <w:rFonts w:hint="eastAsia" w:ascii="宋体" w:hAnsi="宋体"/>
          <w:szCs w:val="21"/>
          <w:highlight w:val="none"/>
        </w:rPr>
        <w:t>18.3相关资料不符合18.2款要求的，评审委员会有权认定为投标技术方案不合格响应，其相关分数予以扣减或作投标无效处理。</w:t>
      </w:r>
    </w:p>
    <w:p w14:paraId="13A516E4">
      <w:pPr>
        <w:ind w:firstLine="420" w:firstLineChars="200"/>
        <w:rPr>
          <w:rFonts w:ascii="宋体" w:hAnsi="宋体"/>
          <w:szCs w:val="21"/>
          <w:highlight w:val="none"/>
        </w:rPr>
      </w:pPr>
      <w:r>
        <w:rPr>
          <w:rFonts w:hint="eastAsia" w:ascii="宋体" w:hAnsi="宋体"/>
          <w:szCs w:val="21"/>
          <w:highlight w:val="none"/>
        </w:rPr>
        <w:t>18.4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szCs w:val="21"/>
          <w:highlight w:val="none"/>
        </w:rPr>
        <w:t>满足要求</w:t>
      </w:r>
      <w:r>
        <w:rPr>
          <w:rFonts w:hint="eastAsia" w:ascii="宋体" w:hAnsi="宋体"/>
          <w:szCs w:val="21"/>
          <w:highlight w:val="none"/>
        </w:rPr>
        <w:t>，由评审委员会来评判。</w:t>
      </w:r>
    </w:p>
    <w:p w14:paraId="49A96342">
      <w:pPr>
        <w:ind w:firstLine="420" w:firstLineChars="200"/>
        <w:rPr>
          <w:rFonts w:ascii="宋体" w:hAnsi="宋体"/>
          <w:szCs w:val="21"/>
          <w:highlight w:val="none"/>
        </w:rPr>
      </w:pPr>
      <w:r>
        <w:rPr>
          <w:rFonts w:hint="eastAsia" w:ascii="宋体" w:hAnsi="宋体"/>
          <w:szCs w:val="21"/>
          <w:highlight w:val="none"/>
        </w:rPr>
        <w:t>18.5除非另有规定或说明，投标人对同一项目投标时，不得同时提供两套或两套以上的投标方案。</w:t>
      </w:r>
    </w:p>
    <w:bookmarkEnd w:id="57"/>
    <w:p w14:paraId="26D8C009">
      <w:pPr>
        <w:ind w:firstLine="420" w:firstLineChars="200"/>
        <w:rPr>
          <w:rFonts w:ascii="黑体" w:hAnsi="宋体" w:eastAsia="黑体"/>
          <w:szCs w:val="21"/>
          <w:highlight w:val="none"/>
        </w:rPr>
      </w:pPr>
      <w:r>
        <w:rPr>
          <w:rFonts w:hint="eastAsia" w:ascii="黑体" w:hAnsi="宋体" w:eastAsia="黑体"/>
          <w:szCs w:val="21"/>
          <w:highlight w:val="none"/>
        </w:rPr>
        <w:t>19．</w:t>
      </w:r>
      <w:bookmarkStart w:id="58" w:name="_Hlk72402034"/>
      <w:r>
        <w:rPr>
          <w:rFonts w:hint="eastAsia" w:ascii="黑体" w:hAnsi="宋体" w:eastAsia="黑体"/>
          <w:szCs w:val="21"/>
          <w:highlight w:val="none"/>
        </w:rPr>
        <w:t>投标文件其他证明文件的要求</w:t>
      </w:r>
    </w:p>
    <w:p w14:paraId="17D70B8D">
      <w:pPr>
        <w:ind w:firstLine="420" w:firstLineChars="200"/>
        <w:rPr>
          <w:rFonts w:ascii="宋体" w:hAnsi="宋体"/>
          <w:color w:val="FF0000"/>
          <w:szCs w:val="21"/>
          <w:highlight w:val="none"/>
        </w:rPr>
      </w:pPr>
      <w:r>
        <w:rPr>
          <w:rFonts w:hint="eastAsia" w:ascii="宋体" w:hAnsi="宋体"/>
          <w:szCs w:val="21"/>
          <w:highlight w:val="none"/>
        </w:rPr>
        <w:t>19.1采用综合评分法的项目，对项目招标文件《评标信息》评分项中涉及的相关业绩、社保情况等内容以及《资格性审查表》和《符合性审查表》中涉及的证明材料，投标人应提供相关部门出具的证明材料扫描件或照片。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59" w:name="_Hlk71407299"/>
    </w:p>
    <w:bookmarkEnd w:id="59"/>
    <w:p w14:paraId="24DF53D7">
      <w:pPr>
        <w:ind w:firstLine="420" w:firstLineChars="200"/>
        <w:rPr>
          <w:rFonts w:ascii="宋体" w:hAnsi="宋体"/>
          <w:szCs w:val="21"/>
          <w:highlight w:val="none"/>
        </w:rPr>
      </w:pPr>
      <w:r>
        <w:rPr>
          <w:rFonts w:hint="eastAsia" w:ascii="宋体" w:hAnsi="宋体"/>
          <w:szCs w:val="21"/>
          <w:highlight w:val="none"/>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50B11991">
      <w:pPr>
        <w:ind w:firstLine="420" w:firstLineChars="200"/>
        <w:rPr>
          <w:rFonts w:ascii="黑体" w:hAnsi="宋体" w:eastAsia="黑体"/>
          <w:szCs w:val="21"/>
          <w:highlight w:val="none"/>
        </w:rPr>
      </w:pPr>
      <w:r>
        <w:rPr>
          <w:rFonts w:hint="eastAsia" w:ascii="黑体" w:hAnsi="宋体" w:eastAsia="黑体"/>
          <w:szCs w:val="21"/>
          <w:highlight w:val="none"/>
        </w:rPr>
        <w:t>20．投标有效期</w:t>
      </w:r>
    </w:p>
    <w:bookmarkEnd w:id="58"/>
    <w:p w14:paraId="0CBD9DD7">
      <w:pPr>
        <w:ind w:firstLine="420" w:firstLineChars="200"/>
        <w:rPr>
          <w:rFonts w:ascii="宋体" w:hAnsi="宋体"/>
          <w:szCs w:val="21"/>
          <w:highlight w:val="none"/>
        </w:rPr>
      </w:pPr>
      <w:bookmarkStart w:id="60" w:name="_Hlk72402214"/>
      <w:r>
        <w:rPr>
          <w:rFonts w:hint="eastAsia" w:ascii="宋体" w:hAnsi="宋体"/>
          <w:szCs w:val="21"/>
          <w:highlight w:val="none"/>
        </w:rPr>
        <w:t>20.1 投标有效期为</w:t>
      </w:r>
      <w:r>
        <w:rPr>
          <w:rFonts w:hint="eastAsia" w:ascii="Arial" w:hAnsi="Arial" w:cs="Arial"/>
          <w:szCs w:val="21"/>
          <w:highlight w:val="none"/>
        </w:rPr>
        <w:t>从投标截止之日算起的日历天数。</w:t>
      </w:r>
      <w:r>
        <w:rPr>
          <w:rFonts w:hint="eastAsia" w:ascii="宋体" w:hAnsi="宋体"/>
          <w:szCs w:val="21"/>
          <w:highlight w:val="none"/>
        </w:rPr>
        <w:t>在此期限内，所有投标文件均保持有效。</w:t>
      </w:r>
    </w:p>
    <w:p w14:paraId="196CA5FD">
      <w:pPr>
        <w:ind w:firstLine="420" w:firstLineChars="200"/>
        <w:rPr>
          <w:rFonts w:ascii="宋体" w:hAnsi="宋体"/>
          <w:szCs w:val="21"/>
          <w:highlight w:val="none"/>
        </w:rPr>
      </w:pPr>
      <w:r>
        <w:rPr>
          <w:rFonts w:hint="eastAsia" w:ascii="宋体" w:hAnsi="宋体"/>
          <w:szCs w:val="21"/>
          <w:highlight w:val="none"/>
        </w:rPr>
        <w:t>20.2 在特殊情况下，</w:t>
      </w:r>
      <w:r>
        <w:rPr>
          <w:rFonts w:hint="eastAsia" w:ascii="宋体" w:hAnsi="宋体"/>
          <w:szCs w:val="21"/>
          <w:highlight w:val="none"/>
          <w:lang w:val="en-US" w:eastAsia="zh-CN"/>
        </w:rPr>
        <w:t>采购代理机构</w:t>
      </w:r>
      <w:r>
        <w:rPr>
          <w:rFonts w:hint="eastAsia" w:ascii="宋体" w:hAnsi="宋体"/>
          <w:szCs w:val="21"/>
          <w:highlight w:val="none"/>
        </w:rPr>
        <w:t>在原定的投标有效期满之前，</w:t>
      </w:r>
      <w:r>
        <w:rPr>
          <w:rFonts w:hint="eastAsia" w:ascii="宋体" w:hAnsi="宋体"/>
          <w:szCs w:val="21"/>
          <w:highlight w:val="none"/>
          <w:lang w:val="en-US" w:eastAsia="zh-CN"/>
        </w:rPr>
        <w:t>采购代理机构</w:t>
      </w:r>
      <w:r>
        <w:rPr>
          <w:rFonts w:hint="eastAsia" w:ascii="宋体" w:hAnsi="宋体"/>
          <w:szCs w:val="21"/>
          <w:highlight w:val="none"/>
        </w:rPr>
        <w:t>可以根据需要以书面形式（包括</w:t>
      </w:r>
      <w:r>
        <w:rPr>
          <w:rFonts w:hint="eastAsia" w:ascii="宋体" w:hAnsi="宋体"/>
          <w:szCs w:val="21"/>
          <w:highlight w:val="none"/>
          <w:lang w:val="en-US" w:eastAsia="zh-CN"/>
        </w:rPr>
        <w:t>采购代理机构</w:t>
      </w:r>
      <w:r>
        <w:rPr>
          <w:rFonts w:hint="eastAsia" w:ascii="宋体" w:hAnsi="宋体"/>
          <w:szCs w:val="21"/>
          <w:highlight w:val="none"/>
        </w:rPr>
        <w:t>网站公开发布方式）向投标人提出延长投标有效期的要求，对此要求投标人须以书面形式予以答复，投标人可以拒绝</w:t>
      </w:r>
      <w:r>
        <w:rPr>
          <w:rFonts w:hint="eastAsia" w:ascii="宋体" w:hAnsi="宋体"/>
          <w:szCs w:val="21"/>
          <w:highlight w:val="none"/>
          <w:lang w:val="en-US" w:eastAsia="zh-CN"/>
        </w:rPr>
        <w:t>采购代理机构</w:t>
      </w:r>
      <w:r>
        <w:rPr>
          <w:rFonts w:hint="eastAsia" w:ascii="宋体" w:hAnsi="宋体"/>
          <w:szCs w:val="21"/>
          <w:highlight w:val="none"/>
        </w:rPr>
        <w:t>此项要求，其投标在原投标有效期满后不再有效。同意延长投标有效期的投标人不能要求也不允许修改其投标文件。</w:t>
      </w:r>
    </w:p>
    <w:p w14:paraId="0BACA056">
      <w:pPr>
        <w:ind w:firstLine="420" w:firstLineChars="200"/>
        <w:rPr>
          <w:rFonts w:ascii="宋体" w:hAnsi="宋体"/>
          <w:szCs w:val="21"/>
          <w:highlight w:val="none"/>
        </w:rPr>
      </w:pPr>
      <w:r>
        <w:rPr>
          <w:rFonts w:hint="eastAsia" w:ascii="宋体" w:hAnsi="宋体"/>
          <w:szCs w:val="21"/>
          <w:highlight w:val="none"/>
        </w:rPr>
        <w:t>20.3 中标供应商的投标文件有效期，截止于完成本招标文件规定的全部项目内容，并通过竣工验收及保修期结束。</w:t>
      </w:r>
    </w:p>
    <w:bookmarkEnd w:id="60"/>
    <w:p w14:paraId="48BC4936">
      <w:pPr>
        <w:ind w:firstLine="420" w:firstLineChars="200"/>
        <w:rPr>
          <w:rFonts w:ascii="黑体" w:hAnsi="宋体" w:eastAsia="黑体"/>
          <w:szCs w:val="21"/>
          <w:highlight w:val="none"/>
        </w:rPr>
      </w:pPr>
      <w:r>
        <w:rPr>
          <w:rFonts w:hint="eastAsia" w:ascii="黑体" w:hAnsi="宋体" w:eastAsia="黑体"/>
          <w:szCs w:val="21"/>
          <w:highlight w:val="none"/>
        </w:rPr>
        <w:t>21．</w:t>
      </w:r>
      <w:bookmarkStart w:id="61" w:name="_Hlk72402325"/>
      <w:r>
        <w:rPr>
          <w:rFonts w:hint="eastAsia" w:ascii="黑体" w:hAnsi="宋体" w:eastAsia="黑体"/>
          <w:szCs w:val="21"/>
          <w:highlight w:val="none"/>
        </w:rPr>
        <w:t xml:space="preserve">关于投标保证金 </w:t>
      </w:r>
    </w:p>
    <w:p w14:paraId="5C09E316">
      <w:pPr>
        <w:ind w:firstLine="420" w:firstLineChars="200"/>
        <w:rPr>
          <w:rFonts w:ascii="宋体" w:hAnsi="宋体"/>
          <w:szCs w:val="21"/>
          <w:highlight w:val="none"/>
        </w:rPr>
      </w:pPr>
      <w:r>
        <w:rPr>
          <w:rFonts w:hint="eastAsia" w:ascii="宋体" w:hAnsi="宋体"/>
          <w:szCs w:val="21"/>
          <w:highlight w:val="none"/>
        </w:rPr>
        <w:t>21.1</w:t>
      </w:r>
      <w:r>
        <w:rPr>
          <w:rFonts w:hint="eastAsia"/>
          <w:szCs w:val="21"/>
          <w:highlight w:val="none"/>
        </w:rPr>
        <w:t>根据《深圳市财政局关于调整政府采购投标（响应）保证金管理政策的通知》（深财购〔</w:t>
      </w:r>
      <w:r>
        <w:rPr>
          <w:szCs w:val="21"/>
          <w:highlight w:val="none"/>
        </w:rPr>
        <w:t>2021</w:t>
      </w:r>
      <w:r>
        <w:rPr>
          <w:rFonts w:hint="eastAsia"/>
          <w:szCs w:val="21"/>
          <w:highlight w:val="none"/>
        </w:rPr>
        <w:t>〕</w:t>
      </w:r>
      <w:r>
        <w:rPr>
          <w:szCs w:val="21"/>
          <w:highlight w:val="none"/>
        </w:rPr>
        <w:t>51</w:t>
      </w:r>
      <w:r>
        <w:rPr>
          <w:rFonts w:hint="eastAsia"/>
          <w:szCs w:val="21"/>
          <w:highlight w:val="none"/>
        </w:rPr>
        <w:t>号）文的规定，本项目不收取投标保证金。</w:t>
      </w:r>
    </w:p>
    <w:p w14:paraId="41563514">
      <w:pPr>
        <w:ind w:firstLine="420" w:firstLineChars="200"/>
        <w:rPr>
          <w:rFonts w:ascii="黑体" w:hAnsi="宋体" w:eastAsia="黑体"/>
          <w:szCs w:val="21"/>
          <w:highlight w:val="none"/>
        </w:rPr>
      </w:pPr>
      <w:r>
        <w:rPr>
          <w:rFonts w:hint="eastAsia" w:ascii="黑体" w:hAnsi="宋体" w:eastAsia="黑体"/>
          <w:szCs w:val="21"/>
          <w:highlight w:val="none"/>
        </w:rPr>
        <w:t>22．投标人的替代方案</w:t>
      </w:r>
    </w:p>
    <w:p w14:paraId="47740AF4">
      <w:pPr>
        <w:ind w:firstLine="420" w:firstLineChars="200"/>
        <w:rPr>
          <w:rFonts w:ascii="宋体" w:hAnsi="宋体"/>
          <w:szCs w:val="21"/>
          <w:highlight w:val="none"/>
        </w:rPr>
      </w:pPr>
      <w:r>
        <w:rPr>
          <w:rFonts w:hint="eastAsia" w:ascii="宋体" w:hAnsi="宋体"/>
          <w:szCs w:val="21"/>
          <w:highlight w:val="none"/>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1AFABC72">
      <w:pPr>
        <w:ind w:firstLine="420" w:firstLineChars="200"/>
        <w:rPr>
          <w:rFonts w:ascii="宋体" w:hAnsi="宋体"/>
          <w:szCs w:val="21"/>
          <w:highlight w:val="none"/>
        </w:rPr>
      </w:pPr>
      <w:r>
        <w:rPr>
          <w:rFonts w:hint="eastAsia" w:ascii="宋体" w:hAnsi="宋体"/>
          <w:szCs w:val="21"/>
          <w:highlight w:val="none"/>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61"/>
    <w:p w14:paraId="27E553FE">
      <w:pPr>
        <w:ind w:firstLine="420" w:firstLineChars="200"/>
        <w:rPr>
          <w:rFonts w:ascii="黑体" w:hAnsi="宋体" w:eastAsia="黑体"/>
          <w:szCs w:val="21"/>
          <w:highlight w:val="none"/>
        </w:rPr>
      </w:pPr>
      <w:r>
        <w:rPr>
          <w:rFonts w:hint="eastAsia" w:ascii="黑体" w:hAnsi="宋体" w:eastAsia="黑体"/>
          <w:szCs w:val="21"/>
          <w:highlight w:val="none"/>
        </w:rPr>
        <w:t>23．</w:t>
      </w:r>
      <w:bookmarkStart w:id="62" w:name="_Hlk72402860"/>
      <w:r>
        <w:rPr>
          <w:rFonts w:hint="eastAsia" w:ascii="黑体" w:hAnsi="宋体" w:eastAsia="黑体"/>
          <w:szCs w:val="21"/>
          <w:highlight w:val="none"/>
        </w:rPr>
        <w:t>投标文件的制作要求</w:t>
      </w:r>
    </w:p>
    <w:p w14:paraId="574DBD56">
      <w:pPr>
        <w:ind w:firstLine="420" w:firstLineChars="200"/>
        <w:rPr>
          <w:rFonts w:ascii="宋体" w:hAnsi="宋体"/>
          <w:szCs w:val="21"/>
          <w:highlight w:val="none"/>
        </w:rPr>
      </w:pPr>
      <w:r>
        <w:rPr>
          <w:rFonts w:hint="eastAsia" w:ascii="宋体" w:hAnsi="宋体"/>
          <w:szCs w:val="21"/>
          <w:highlight w:val="none"/>
        </w:rPr>
        <w:t>23.1投标人应准备所投项目的电子投标文件一份。</w:t>
      </w:r>
    </w:p>
    <w:p w14:paraId="4A31275C">
      <w:pPr>
        <w:ind w:firstLine="420" w:firstLineChars="200"/>
        <w:rPr>
          <w:rFonts w:ascii="宋体" w:hAnsi="宋体"/>
          <w:szCs w:val="21"/>
          <w:highlight w:val="none"/>
        </w:rPr>
      </w:pPr>
      <w:r>
        <w:rPr>
          <w:rFonts w:hint="eastAsia" w:ascii="宋体" w:hAnsi="宋体"/>
          <w:szCs w:val="21"/>
          <w:highlight w:val="none"/>
        </w:rPr>
        <w:t>23.2投标人在使用《投标书编制软件》编制投标书时须注意：</w:t>
      </w:r>
    </w:p>
    <w:p w14:paraId="33725182">
      <w:pPr>
        <w:ind w:firstLine="420" w:firstLineChars="200"/>
        <w:rPr>
          <w:rFonts w:ascii="宋体" w:hAnsi="宋体"/>
          <w:szCs w:val="21"/>
          <w:highlight w:val="none"/>
        </w:rPr>
      </w:pPr>
      <w:r>
        <w:rPr>
          <w:rFonts w:hint="eastAsia" w:ascii="宋体" w:hAnsi="宋体"/>
          <w:szCs w:val="21"/>
          <w:highlight w:val="none"/>
        </w:rPr>
        <w:t>23.2.1导入《投标书编制软件》的招标文件项目编号、包号应与以此制作的投标文件项目编号、包号一致。例如，不能将甲项目A包的招标书导入《投标书编制软件》，制作乙项目B包的投标书。</w:t>
      </w:r>
    </w:p>
    <w:p w14:paraId="31CBE914">
      <w:pPr>
        <w:ind w:firstLine="420" w:firstLineChars="200"/>
        <w:rPr>
          <w:rFonts w:ascii="宋体" w:hAnsi="宋体"/>
          <w:szCs w:val="21"/>
          <w:highlight w:val="none"/>
        </w:rPr>
      </w:pPr>
      <w:r>
        <w:rPr>
          <w:rFonts w:hint="eastAsia" w:ascii="宋体" w:hAnsi="宋体"/>
          <w:szCs w:val="21"/>
          <w:highlight w:val="none"/>
        </w:rPr>
        <w:t>23.2.2不能用非本公司的电子密钥加密本公司的投标文件，或者用其它公司的登录用户上传本公司的投标文件。</w:t>
      </w:r>
    </w:p>
    <w:p w14:paraId="75D93576">
      <w:pPr>
        <w:ind w:firstLine="420" w:firstLineChars="200"/>
        <w:rPr>
          <w:rFonts w:ascii="宋体" w:hAnsi="宋体"/>
          <w:szCs w:val="21"/>
          <w:highlight w:val="none"/>
        </w:rPr>
      </w:pPr>
      <w:r>
        <w:rPr>
          <w:rFonts w:hint="eastAsia" w:ascii="宋体" w:hAnsi="宋体"/>
          <w:szCs w:val="21"/>
          <w:highlight w:val="none"/>
        </w:rPr>
        <w:t>23.2.3要求用《投标书编制软件》编制投标书的包，不能用其它方式编制投标书。编制投标文件时，电脑须连通互联网。</w:t>
      </w:r>
    </w:p>
    <w:p w14:paraId="5D34E6A2">
      <w:pPr>
        <w:ind w:firstLine="420" w:firstLineChars="200"/>
        <w:rPr>
          <w:rFonts w:ascii="宋体" w:hAnsi="宋体"/>
          <w:szCs w:val="21"/>
          <w:highlight w:val="none"/>
        </w:rPr>
      </w:pPr>
      <w:r>
        <w:rPr>
          <w:rFonts w:hint="eastAsia" w:ascii="宋体" w:hAnsi="宋体"/>
          <w:szCs w:val="21"/>
          <w:highlight w:val="none"/>
        </w:rPr>
        <w:t>23.2.4投标文件不能带病毒。</w:t>
      </w:r>
      <w:r>
        <w:rPr>
          <w:rFonts w:hint="eastAsia" w:ascii="宋体" w:hAnsi="宋体"/>
          <w:szCs w:val="21"/>
          <w:highlight w:val="none"/>
          <w:lang w:val="en-US" w:eastAsia="zh-CN"/>
        </w:rPr>
        <w:t>采购代理机构</w:t>
      </w:r>
      <w:r>
        <w:rPr>
          <w:rFonts w:hint="eastAsia" w:ascii="宋体" w:hAnsi="宋体"/>
          <w:szCs w:val="21"/>
          <w:highlight w:val="none"/>
        </w:rPr>
        <w:t>将用专业杀毒软件对投标文件进行病毒检测，如果这两种软件均报告发现病毒，则</w:t>
      </w:r>
      <w:r>
        <w:rPr>
          <w:rFonts w:hint="eastAsia" w:ascii="宋体" w:hAnsi="宋体"/>
          <w:szCs w:val="21"/>
          <w:highlight w:val="none"/>
          <w:lang w:val="en-US" w:eastAsia="zh-CN"/>
        </w:rPr>
        <w:t>采购代理机构</w:t>
      </w:r>
      <w:r>
        <w:rPr>
          <w:rFonts w:hint="eastAsia" w:ascii="宋体" w:hAnsi="宋体"/>
          <w:szCs w:val="21"/>
          <w:highlight w:val="none"/>
        </w:rPr>
        <w:t>认为该投标文件带病毒。</w:t>
      </w:r>
    </w:p>
    <w:p w14:paraId="4C93F4CF">
      <w:pPr>
        <w:ind w:firstLine="420" w:firstLineChars="200"/>
        <w:rPr>
          <w:rFonts w:ascii="宋体" w:hAnsi="宋体"/>
          <w:szCs w:val="21"/>
          <w:highlight w:val="none"/>
        </w:rPr>
      </w:pPr>
      <w:r>
        <w:rPr>
          <w:rFonts w:hint="eastAsia" w:ascii="宋体" w:hAnsi="宋体"/>
          <w:szCs w:val="21"/>
          <w:highlight w:val="none"/>
        </w:rPr>
        <w:t>23.2.</w:t>
      </w:r>
      <w:r>
        <w:rPr>
          <w:rFonts w:hint="eastAsia" w:ascii="宋体" w:hAnsi="宋体"/>
          <w:szCs w:val="21"/>
          <w:highlight w:val="none"/>
          <w:lang w:val="en-US" w:eastAsia="zh-CN"/>
        </w:rPr>
        <w:t>5投标人在编辑投标文件时，在投标文件目录中属于本节点内容的需在对应节点中填写，填写到其他节点后果由供应商自行承担。</w:t>
      </w:r>
    </w:p>
    <w:p w14:paraId="586246AB">
      <w:pPr>
        <w:ind w:firstLine="420" w:firstLineChars="200"/>
        <w:rPr>
          <w:rFonts w:ascii="宋体" w:hAnsi="宋体"/>
          <w:szCs w:val="21"/>
          <w:highlight w:val="none"/>
        </w:rPr>
      </w:pPr>
      <w:r>
        <w:rPr>
          <w:rFonts w:hint="eastAsia" w:ascii="宋体" w:hAnsi="宋体"/>
          <w:szCs w:val="21"/>
          <w:highlight w:val="none"/>
        </w:rPr>
        <w:t>23.2.</w:t>
      </w:r>
      <w:r>
        <w:rPr>
          <w:rFonts w:hint="eastAsia" w:ascii="宋体" w:hAnsi="宋体"/>
          <w:szCs w:val="21"/>
          <w:highlight w:val="none"/>
          <w:lang w:val="en-US" w:eastAsia="zh-CN"/>
        </w:rPr>
        <w:t>6采购代理机构</w:t>
      </w:r>
      <w:r>
        <w:rPr>
          <w:rFonts w:hint="eastAsia" w:ascii="宋体" w:hAnsi="宋体"/>
          <w:szCs w:val="21"/>
          <w:highlight w:val="none"/>
        </w:rPr>
        <w:t>不接受投标截止时间后递交的纸质、电子、传真等所有形式的投标文件。由于对网上自行采购系统操作不熟悉或自身电脑、网络等原因导致不能在投标截止时间之前上传投标文件，</w:t>
      </w:r>
      <w:r>
        <w:rPr>
          <w:rFonts w:hint="eastAsia" w:ascii="宋体" w:hAnsi="宋体"/>
          <w:szCs w:val="21"/>
          <w:highlight w:val="none"/>
          <w:lang w:val="en-US" w:eastAsia="zh-CN"/>
        </w:rPr>
        <w:t>采购代理机构</w:t>
      </w:r>
      <w:r>
        <w:rPr>
          <w:rFonts w:hint="eastAsia" w:ascii="宋体" w:hAnsi="宋体"/>
          <w:szCs w:val="21"/>
          <w:highlight w:val="none"/>
        </w:rPr>
        <w:t>概不负责。建议于开标前一个工作日完成投标文件的制作与上传，如上传确有困难，请及时咨询。</w:t>
      </w:r>
    </w:p>
    <w:p w14:paraId="5C28A3CE">
      <w:pPr>
        <w:ind w:firstLine="420" w:firstLineChars="200"/>
        <w:rPr>
          <w:rFonts w:ascii="宋体" w:hAnsi="宋体"/>
          <w:szCs w:val="21"/>
          <w:highlight w:val="none"/>
        </w:rPr>
      </w:pPr>
      <w:r>
        <w:rPr>
          <w:rFonts w:hint="eastAsia" w:ascii="宋体" w:hAnsi="宋体"/>
          <w:szCs w:val="21"/>
          <w:highlight w:val="none"/>
        </w:rPr>
        <w:t>23.2.</w:t>
      </w:r>
      <w:r>
        <w:rPr>
          <w:rFonts w:hint="eastAsia" w:ascii="宋体" w:hAnsi="宋体"/>
          <w:szCs w:val="21"/>
          <w:highlight w:val="none"/>
          <w:lang w:val="en-US" w:eastAsia="zh-CN"/>
        </w:rPr>
        <w:t>7</w:t>
      </w:r>
      <w:r>
        <w:rPr>
          <w:rFonts w:hint="eastAsia" w:ascii="宋体" w:hAnsi="宋体"/>
          <w:szCs w:val="21"/>
          <w:highlight w:val="none"/>
        </w:rPr>
        <w:t>如果开标时出现网络故障、技术故障，影响了采购活动，</w:t>
      </w:r>
      <w:r>
        <w:rPr>
          <w:rFonts w:hint="eastAsia" w:ascii="宋体" w:hAnsi="宋体"/>
          <w:szCs w:val="21"/>
          <w:highlight w:val="none"/>
          <w:lang w:val="en-US" w:eastAsia="zh-CN"/>
        </w:rPr>
        <w:t>采购代理机构</w:t>
      </w:r>
      <w:r>
        <w:rPr>
          <w:rFonts w:hint="eastAsia" w:ascii="宋体" w:hAnsi="宋体"/>
          <w:szCs w:val="21"/>
          <w:highlight w:val="none"/>
        </w:rPr>
        <w:t>有权采取措施如延期、接受无法从网上上传的投标书等，以保障采购活动的公开、公平和公正。</w:t>
      </w:r>
    </w:p>
    <w:p w14:paraId="2CE33BA5">
      <w:pPr>
        <w:ind w:firstLine="420" w:firstLineChars="200"/>
        <w:rPr>
          <w:rFonts w:ascii="宋体" w:hAnsi="宋体"/>
          <w:szCs w:val="21"/>
          <w:highlight w:val="none"/>
        </w:rPr>
      </w:pPr>
      <w:r>
        <w:rPr>
          <w:rFonts w:hint="eastAsia" w:ascii="宋体" w:hAnsi="宋体"/>
          <w:szCs w:val="21"/>
          <w:highlight w:val="none"/>
        </w:rPr>
        <w:t>23.3电报、电话、传真形式的投标概不接受。</w:t>
      </w:r>
    </w:p>
    <w:p w14:paraId="3C83C8CE">
      <w:pPr>
        <w:ind w:firstLine="422" w:firstLineChars="200"/>
        <w:rPr>
          <w:rFonts w:ascii="宋体" w:hAnsi="宋体"/>
          <w:b/>
          <w:szCs w:val="21"/>
          <w:highlight w:val="none"/>
        </w:rPr>
      </w:pPr>
      <w:r>
        <w:rPr>
          <w:rFonts w:hint="eastAsia" w:ascii="宋体" w:hAnsi="宋体"/>
          <w:b/>
          <w:szCs w:val="21"/>
          <w:highlight w:val="none"/>
        </w:rPr>
        <w:t>23.4经投标人电子密钥加密的投标文件无须盖章或签字，</w:t>
      </w:r>
      <w:r>
        <w:rPr>
          <w:rFonts w:hint="eastAsia" w:ascii="宋体" w:hAnsi="宋体"/>
          <w:szCs w:val="21"/>
          <w:highlight w:val="none"/>
        </w:rPr>
        <w:t>专用条款另有要求的除外。</w:t>
      </w:r>
    </w:p>
    <w:p w14:paraId="6D04643A">
      <w:pPr>
        <w:ind w:firstLine="422" w:firstLineChars="200"/>
        <w:rPr>
          <w:rFonts w:ascii="宋体" w:hAnsi="宋体"/>
          <w:highlight w:val="none"/>
        </w:rPr>
      </w:pPr>
      <w:r>
        <w:rPr>
          <w:rFonts w:hint="eastAsia" w:ascii="宋体" w:hAnsi="宋体"/>
          <w:b/>
          <w:szCs w:val="21"/>
          <w:highlight w:val="none"/>
        </w:rPr>
        <w:t>23.5</w:t>
      </w:r>
      <w:r>
        <w:rPr>
          <w:rFonts w:hint="eastAsia" w:ascii="宋体" w:hAnsi="宋体"/>
          <w:szCs w:val="21"/>
          <w:highlight w:val="none"/>
        </w:rPr>
        <w:t xml:space="preserve"> 各类资格（资质）文件提供扫描件，专用条款另有要求的除外。</w:t>
      </w:r>
      <w:bookmarkEnd w:id="62"/>
    </w:p>
    <w:p w14:paraId="630CD496">
      <w:pPr>
        <w:ind w:firstLine="411" w:firstLineChars="196"/>
        <w:rPr>
          <w:rFonts w:ascii="宋体" w:hAnsi="宋体"/>
          <w:szCs w:val="21"/>
          <w:highlight w:val="none"/>
        </w:rPr>
      </w:pPr>
    </w:p>
    <w:p w14:paraId="20C24F93">
      <w:pPr>
        <w:pStyle w:val="81"/>
        <w:keepNext/>
        <w:keepLines/>
        <w:numPr>
          <w:ilvl w:val="0"/>
          <w:numId w:val="16"/>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highlight w:val="none"/>
        </w:rPr>
      </w:pPr>
      <w:r>
        <w:rPr>
          <w:rFonts w:hint="eastAsia" w:ascii="Cambria" w:hAnsi="Cambria" w:cs="宋体"/>
          <w:b/>
          <w:bCs/>
          <w:sz w:val="28"/>
          <w:szCs w:val="28"/>
          <w:highlight w:val="none"/>
        </w:rPr>
        <w:t>投标文件的递交</w:t>
      </w:r>
    </w:p>
    <w:p w14:paraId="5D954150">
      <w:pPr>
        <w:ind w:firstLine="420" w:firstLineChars="200"/>
        <w:rPr>
          <w:rFonts w:ascii="黑体" w:hAnsi="宋体" w:eastAsia="黑体"/>
          <w:szCs w:val="21"/>
          <w:highlight w:val="none"/>
        </w:rPr>
      </w:pPr>
      <w:bookmarkStart w:id="63" w:name="_Hlk72405459"/>
      <w:r>
        <w:rPr>
          <w:rFonts w:hint="eastAsia" w:ascii="黑体" w:hAnsi="宋体" w:eastAsia="黑体"/>
          <w:szCs w:val="21"/>
          <w:highlight w:val="none"/>
        </w:rPr>
        <w:t>24．投标文件的保密</w:t>
      </w:r>
    </w:p>
    <w:p w14:paraId="5DCB48E4">
      <w:pPr>
        <w:ind w:firstLine="420" w:firstLineChars="200"/>
        <w:rPr>
          <w:rFonts w:ascii="宋体" w:hAnsi="宋体"/>
          <w:szCs w:val="21"/>
          <w:highlight w:val="none"/>
        </w:rPr>
      </w:pPr>
      <w:r>
        <w:rPr>
          <w:rFonts w:hint="eastAsia" w:ascii="宋体" w:hAnsi="宋体"/>
          <w:szCs w:val="21"/>
          <w:highlight w:val="none"/>
        </w:rPr>
        <w:t>24.1在投标文件制作完成后，生成后会选择是否加密投标文件，如不加密则直接点击生成文件即可，如需加密请插入CA锁，点击加密后生成文件，需输入CA锁密码即可加密成功。加密后会提示文件生成成功！(注意：</w:t>
      </w:r>
      <w:r>
        <w:rPr>
          <w:rFonts w:hint="eastAsia" w:ascii="宋体" w:hAnsi="宋体"/>
          <w:szCs w:val="21"/>
          <w:highlight w:val="none"/>
          <w:lang w:val="en-US" w:eastAsia="zh-CN"/>
        </w:rPr>
        <w:t>如对投标文件加密的，则投标人必</w:t>
      </w:r>
      <w:r>
        <w:rPr>
          <w:rFonts w:hint="eastAsia" w:ascii="宋体" w:hAnsi="宋体"/>
          <w:szCs w:val="21"/>
          <w:highlight w:val="none"/>
        </w:rPr>
        <w:t>须</w:t>
      </w:r>
      <w:r>
        <w:rPr>
          <w:rFonts w:hint="eastAsia" w:ascii="宋体" w:hAnsi="宋体"/>
          <w:szCs w:val="21"/>
          <w:highlight w:val="none"/>
          <w:lang w:val="en-US" w:eastAsia="zh-CN"/>
        </w:rPr>
        <w:t>在开标当日</w:t>
      </w:r>
      <w:r>
        <w:rPr>
          <w:rFonts w:hint="eastAsia" w:ascii="宋体" w:hAnsi="宋体"/>
          <w:szCs w:val="21"/>
          <w:highlight w:val="none"/>
        </w:rPr>
        <w:t>用加密文件时使用的锁在项目规定时间内解密！逾期未解密的作投标无效处理。)</w:t>
      </w:r>
    </w:p>
    <w:p w14:paraId="054F21CB">
      <w:pPr>
        <w:ind w:firstLine="422" w:firstLineChars="200"/>
        <w:rPr>
          <w:rFonts w:ascii="宋体" w:hAnsi="宋体"/>
          <w:b/>
          <w:szCs w:val="21"/>
          <w:highlight w:val="none"/>
        </w:rPr>
      </w:pPr>
      <w:r>
        <w:rPr>
          <w:rFonts w:hint="eastAsia" w:ascii="宋体" w:hAnsi="宋体"/>
          <w:b/>
          <w:szCs w:val="21"/>
          <w:highlight w:val="none"/>
        </w:rPr>
        <w:t>24.2若采购项目出现延期情况：</w:t>
      </w:r>
    </w:p>
    <w:p w14:paraId="0D1FEF4B">
      <w:pPr>
        <w:ind w:firstLine="422" w:firstLineChars="200"/>
        <w:rPr>
          <w:rFonts w:ascii="黑体" w:hAnsi="宋体" w:eastAsia="黑体"/>
          <w:b/>
          <w:szCs w:val="21"/>
          <w:highlight w:val="none"/>
        </w:rPr>
      </w:pPr>
      <w:r>
        <w:rPr>
          <w:rFonts w:hint="eastAsia" w:ascii="宋体" w:hAnsi="宋体"/>
          <w:b/>
          <w:szCs w:val="21"/>
          <w:highlight w:val="none"/>
        </w:rPr>
        <w:t>如果供下载的招标文件有更新，投标人必须重新下载招标文件、重新制作投标文件、重新上传投标文件。</w:t>
      </w:r>
    </w:p>
    <w:p w14:paraId="7E52D8F9">
      <w:pPr>
        <w:ind w:firstLine="420" w:firstLineChars="200"/>
        <w:rPr>
          <w:rFonts w:ascii="黑体" w:hAnsi="宋体" w:eastAsia="黑体"/>
          <w:szCs w:val="21"/>
          <w:highlight w:val="none"/>
        </w:rPr>
      </w:pPr>
      <w:r>
        <w:rPr>
          <w:rFonts w:hint="eastAsia" w:ascii="黑体" w:hAnsi="宋体" w:eastAsia="黑体"/>
          <w:szCs w:val="21"/>
          <w:highlight w:val="none"/>
        </w:rPr>
        <w:t>25．上传投标文件及投标截止日期</w:t>
      </w:r>
    </w:p>
    <w:p w14:paraId="62F95C89">
      <w:pPr>
        <w:ind w:firstLine="420" w:firstLineChars="200"/>
        <w:rPr>
          <w:rFonts w:ascii="宋体" w:hAnsi="宋体"/>
          <w:szCs w:val="21"/>
          <w:highlight w:val="none"/>
        </w:rPr>
      </w:pPr>
      <w:r>
        <w:rPr>
          <w:rFonts w:hint="eastAsia" w:ascii="宋体" w:hAnsi="宋体"/>
          <w:szCs w:val="21"/>
          <w:highlight w:val="none"/>
        </w:rPr>
        <w:t>25.1实行网上投标，投标人必须在招标文件规定的投标截止时间前用电子密钥登录“深圳市自行采购系统（https://trade.szggzy.com/ggzy/center/#/login）”上传投标文件。如上传过程中遇到问题，可拨打采购公告中的技术支持电话。如多次上传均告失败，请在投标截止时间之前携带电子投标文件送达至</w:t>
      </w:r>
      <w:r>
        <w:rPr>
          <w:rFonts w:hint="eastAsia" w:ascii="宋体" w:hAnsi="宋体"/>
          <w:b/>
          <w:bCs/>
          <w:szCs w:val="21"/>
          <w:highlight w:val="none"/>
        </w:rPr>
        <w:t>深圳公共资源交易中心（深圳交易集团有限公司政府采购业务分公司）3楼服务大厅（地址：深圳市南山区沙河西路3185号南山智谷A座深圳交易集团总部大楼）协助上传，但上传过程中投标截止时间到达仍无法上传成功的，由投标人自行负责</w:t>
      </w:r>
      <w:r>
        <w:rPr>
          <w:rFonts w:hint="eastAsia" w:ascii="宋体" w:hAnsi="宋体"/>
          <w:szCs w:val="21"/>
          <w:highlight w:val="none"/>
        </w:rPr>
        <w:t>。</w:t>
      </w:r>
    </w:p>
    <w:p w14:paraId="7A38216C">
      <w:pPr>
        <w:ind w:firstLine="420" w:firstLineChars="200"/>
        <w:rPr>
          <w:rFonts w:ascii="宋体" w:hAnsi="宋体"/>
          <w:szCs w:val="21"/>
          <w:highlight w:val="none"/>
        </w:rPr>
      </w:pPr>
      <w:r>
        <w:rPr>
          <w:rFonts w:hint="eastAsia" w:ascii="宋体" w:hAnsi="宋体"/>
          <w:szCs w:val="21"/>
          <w:highlight w:val="none"/>
        </w:rPr>
        <w:t>25.2</w:t>
      </w:r>
      <w:r>
        <w:rPr>
          <w:rFonts w:hint="eastAsia" w:ascii="宋体" w:hAnsi="宋体"/>
          <w:szCs w:val="21"/>
          <w:highlight w:val="none"/>
          <w:lang w:val="en-US" w:eastAsia="zh-CN"/>
        </w:rPr>
        <w:t>采购代理机构</w:t>
      </w:r>
      <w:r>
        <w:rPr>
          <w:rFonts w:hint="eastAsia" w:ascii="宋体" w:hAnsi="宋体"/>
          <w:szCs w:val="21"/>
          <w:highlight w:val="none"/>
        </w:rPr>
        <w:t>可以按本通用条款第13条规定，通过修改招标文件自行决定酌情延长投标截止期。在此情况下，</w:t>
      </w:r>
      <w:r>
        <w:rPr>
          <w:rFonts w:hint="eastAsia" w:ascii="宋体" w:hAnsi="宋体"/>
          <w:szCs w:val="21"/>
          <w:highlight w:val="none"/>
          <w:lang w:val="en-US" w:eastAsia="zh-CN"/>
        </w:rPr>
        <w:t>采购代理机构</w:t>
      </w:r>
      <w:r>
        <w:rPr>
          <w:rFonts w:hint="eastAsia" w:ascii="宋体" w:hAnsi="宋体"/>
          <w:szCs w:val="21"/>
          <w:highlight w:val="none"/>
        </w:rPr>
        <w:t>、采购人和投标人受投标截止期制约的所有权利和义务均应延长至新的截止期。</w:t>
      </w:r>
    </w:p>
    <w:p w14:paraId="312EA070">
      <w:pPr>
        <w:ind w:firstLine="420" w:firstLineChars="200"/>
        <w:rPr>
          <w:rFonts w:ascii="宋体" w:hAnsi="宋体"/>
          <w:szCs w:val="21"/>
          <w:highlight w:val="none"/>
        </w:rPr>
      </w:pPr>
      <w:r>
        <w:rPr>
          <w:rFonts w:hint="eastAsia" w:ascii="宋体" w:hAnsi="宋体"/>
          <w:szCs w:val="21"/>
          <w:highlight w:val="none"/>
        </w:rPr>
        <w:t>25.3投标截止时间以后不得上传投标文件。</w:t>
      </w:r>
    </w:p>
    <w:bookmarkEnd w:id="63"/>
    <w:p w14:paraId="3D77DC94">
      <w:pPr>
        <w:ind w:firstLine="420" w:firstLineChars="200"/>
        <w:rPr>
          <w:rFonts w:ascii="黑体" w:hAnsi="宋体" w:eastAsia="黑体"/>
          <w:szCs w:val="21"/>
          <w:highlight w:val="none"/>
        </w:rPr>
      </w:pPr>
      <w:r>
        <w:rPr>
          <w:rFonts w:hint="eastAsia" w:ascii="黑体" w:hAnsi="宋体" w:eastAsia="黑体"/>
          <w:szCs w:val="21"/>
          <w:highlight w:val="none"/>
        </w:rPr>
        <w:t>26. 样品、现场演示、方案讲解</w:t>
      </w:r>
    </w:p>
    <w:p w14:paraId="1E5432D4">
      <w:pPr>
        <w:ind w:firstLine="420" w:firstLineChars="200"/>
        <w:rPr>
          <w:rFonts w:ascii="宋体" w:hAnsi="宋体"/>
          <w:szCs w:val="21"/>
          <w:highlight w:val="none"/>
        </w:rPr>
      </w:pPr>
      <w:r>
        <w:rPr>
          <w:rFonts w:hint="eastAsia" w:ascii="宋体" w:hAnsi="宋体"/>
          <w:szCs w:val="21"/>
          <w:highlight w:val="none"/>
        </w:rPr>
        <w:t>26.1 样品、现场演示、方案讲解等事项在招标文件专用条款中进行规定。</w:t>
      </w:r>
    </w:p>
    <w:p w14:paraId="0619CFD8">
      <w:pPr>
        <w:ind w:firstLine="420" w:firstLineChars="200"/>
        <w:rPr>
          <w:rFonts w:ascii="黑体" w:hAnsi="宋体" w:eastAsia="黑体"/>
          <w:szCs w:val="21"/>
          <w:highlight w:val="none"/>
        </w:rPr>
      </w:pPr>
      <w:bookmarkStart w:id="64" w:name="_Hlk72428346"/>
      <w:r>
        <w:rPr>
          <w:rFonts w:hint="eastAsia" w:ascii="黑体" w:hAnsi="宋体" w:eastAsia="黑体"/>
          <w:szCs w:val="21"/>
          <w:highlight w:val="none"/>
        </w:rPr>
        <w:t>27．投标文件的修改和撤销</w:t>
      </w:r>
    </w:p>
    <w:p w14:paraId="45C1FEF5">
      <w:pPr>
        <w:ind w:firstLine="420" w:firstLineChars="200"/>
        <w:rPr>
          <w:rFonts w:ascii="宋体" w:hAnsi="宋体"/>
          <w:szCs w:val="21"/>
          <w:highlight w:val="none"/>
        </w:rPr>
      </w:pPr>
      <w:r>
        <w:rPr>
          <w:rFonts w:hint="eastAsia" w:ascii="宋体" w:hAnsi="宋体"/>
          <w:szCs w:val="21"/>
          <w:highlight w:val="none"/>
        </w:rPr>
        <w:t>27.1投标方在提交投标文件后可对其投标文件进行修改并重新上传投标文件或在网上进行撤销投标的操作。</w:t>
      </w:r>
    </w:p>
    <w:p w14:paraId="285A1FE9">
      <w:pPr>
        <w:ind w:firstLine="420" w:firstLineChars="200"/>
        <w:rPr>
          <w:rFonts w:ascii="宋体" w:hAnsi="宋体"/>
          <w:szCs w:val="21"/>
          <w:highlight w:val="none"/>
        </w:rPr>
      </w:pPr>
      <w:r>
        <w:rPr>
          <w:rFonts w:hint="eastAsia" w:ascii="宋体" w:hAnsi="宋体"/>
          <w:szCs w:val="21"/>
          <w:highlight w:val="none"/>
        </w:rPr>
        <w:t>27.2投标截止时间以后不得修改投标文件。</w:t>
      </w:r>
    </w:p>
    <w:p w14:paraId="2FA78AB7">
      <w:pPr>
        <w:ind w:firstLine="420" w:firstLineChars="200"/>
        <w:rPr>
          <w:rFonts w:ascii="宋体" w:hAnsi="宋体"/>
          <w:szCs w:val="21"/>
          <w:highlight w:val="none"/>
        </w:rPr>
      </w:pPr>
      <w:r>
        <w:rPr>
          <w:rFonts w:hint="eastAsia" w:ascii="宋体" w:hAnsi="宋体"/>
          <w:szCs w:val="21"/>
          <w:highlight w:val="none"/>
        </w:rPr>
        <w:t>27.3从投标截止期至投标人在投标文件中确定的投标有效期之间的这段时间内，投标人不得撤回其投标。</w:t>
      </w:r>
    </w:p>
    <w:p w14:paraId="299C5200">
      <w:pPr>
        <w:ind w:firstLine="420" w:firstLineChars="200"/>
        <w:rPr>
          <w:rFonts w:ascii="宋体" w:hAnsi="宋体"/>
          <w:szCs w:val="21"/>
          <w:highlight w:val="none"/>
        </w:rPr>
      </w:pPr>
      <w:r>
        <w:rPr>
          <w:rFonts w:hint="eastAsia" w:ascii="宋体" w:hAnsi="宋体"/>
          <w:szCs w:val="21"/>
          <w:highlight w:val="none"/>
        </w:rPr>
        <w:t>27.4</w:t>
      </w:r>
      <w:r>
        <w:rPr>
          <w:rFonts w:hint="eastAsia" w:ascii="宋体" w:hAnsi="宋体"/>
          <w:szCs w:val="21"/>
          <w:highlight w:val="none"/>
          <w:lang w:val="en-US" w:eastAsia="zh-CN"/>
        </w:rPr>
        <w:t>采购代理机构</w:t>
      </w:r>
      <w:r>
        <w:rPr>
          <w:rFonts w:hint="eastAsia" w:ascii="宋体" w:hAnsi="宋体"/>
          <w:szCs w:val="21"/>
          <w:highlight w:val="none"/>
        </w:rPr>
        <w:t>不退还投标文件，专用条款另有规定的除外。</w:t>
      </w:r>
    </w:p>
    <w:bookmarkEnd w:id="64"/>
    <w:p w14:paraId="61FA3273">
      <w:pPr>
        <w:pStyle w:val="81"/>
        <w:keepNext/>
        <w:keepLines/>
        <w:numPr>
          <w:ilvl w:val="0"/>
          <w:numId w:val="16"/>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highlight w:val="none"/>
        </w:rPr>
      </w:pPr>
      <w:r>
        <w:rPr>
          <w:rFonts w:hint="eastAsia" w:ascii="Cambria" w:hAnsi="Cambria" w:cs="宋体"/>
          <w:b/>
          <w:bCs/>
          <w:sz w:val="28"/>
          <w:szCs w:val="28"/>
          <w:highlight w:val="none"/>
        </w:rPr>
        <w:t>开标</w:t>
      </w:r>
    </w:p>
    <w:p w14:paraId="2884268A">
      <w:pPr>
        <w:ind w:firstLine="420" w:firstLineChars="200"/>
        <w:rPr>
          <w:rFonts w:ascii="黑体" w:hAnsi="宋体" w:eastAsia="黑体"/>
          <w:szCs w:val="21"/>
          <w:highlight w:val="none"/>
        </w:rPr>
      </w:pPr>
      <w:r>
        <w:rPr>
          <w:rFonts w:hint="eastAsia" w:ascii="黑体" w:hAnsi="宋体" w:eastAsia="黑体"/>
          <w:szCs w:val="21"/>
          <w:highlight w:val="none"/>
        </w:rPr>
        <w:t>28．开标</w:t>
      </w:r>
    </w:p>
    <w:p w14:paraId="5C81C73B">
      <w:pPr>
        <w:ind w:firstLine="420" w:firstLineChars="200"/>
        <w:rPr>
          <w:rFonts w:ascii="宋体" w:hAnsi="宋体"/>
          <w:szCs w:val="21"/>
          <w:highlight w:val="none"/>
        </w:rPr>
      </w:pPr>
      <w:r>
        <w:rPr>
          <w:rFonts w:hint="eastAsia" w:ascii="宋体" w:hAnsi="宋体"/>
          <w:szCs w:val="21"/>
          <w:highlight w:val="none"/>
        </w:rPr>
        <w:t>28.1如</w:t>
      </w:r>
      <w:r>
        <w:rPr>
          <w:rFonts w:hint="eastAsia" w:ascii="宋体" w:hAnsi="宋体"/>
          <w:szCs w:val="21"/>
          <w:highlight w:val="none"/>
          <w:lang w:val="en-US" w:eastAsia="zh-CN"/>
        </w:rPr>
        <w:t>对</w:t>
      </w:r>
      <w:r>
        <w:rPr>
          <w:rFonts w:hint="eastAsia" w:ascii="宋体" w:hAnsi="宋体"/>
          <w:szCs w:val="21"/>
          <w:highlight w:val="none"/>
        </w:rPr>
        <w:t>投标文件加密的，则投标人须在开标当日的开标时间至解密截止时间内进行解密，逾期未解密的作</w:t>
      </w:r>
      <w:r>
        <w:rPr>
          <w:rFonts w:hint="eastAsia" w:ascii="宋体" w:hAnsi="宋体"/>
          <w:szCs w:val="21"/>
          <w:highlight w:val="none"/>
          <w:lang w:val="en-US" w:eastAsia="zh-CN"/>
        </w:rPr>
        <w:t>投标</w:t>
      </w:r>
      <w:r>
        <w:rPr>
          <w:rFonts w:hint="eastAsia" w:ascii="宋体" w:hAnsi="宋体"/>
          <w:szCs w:val="21"/>
          <w:highlight w:val="none"/>
        </w:rPr>
        <w:t>无效处理。解密方法：登录“深圳市自行采购系统（https://trade.szggzy.com/ggzy/center/#/login）”，使用本单位制作电子投标文件同一个电子密钥进行在线解密、查询开标情况。</w:t>
      </w:r>
    </w:p>
    <w:p w14:paraId="7E2DA71F">
      <w:pPr>
        <w:ind w:firstLine="420" w:firstLineChars="200"/>
        <w:rPr>
          <w:rFonts w:ascii="宋体" w:hAnsi="宋体"/>
          <w:szCs w:val="21"/>
          <w:highlight w:val="none"/>
        </w:rPr>
      </w:pPr>
      <w:r>
        <w:rPr>
          <w:rFonts w:hint="eastAsia" w:ascii="宋体" w:hAnsi="宋体"/>
          <w:szCs w:val="21"/>
          <w:highlight w:val="none"/>
        </w:rPr>
        <w:t>28.2</w:t>
      </w:r>
      <w:r>
        <w:rPr>
          <w:rFonts w:hint="eastAsia" w:ascii="宋体" w:hAnsi="宋体"/>
          <w:szCs w:val="21"/>
          <w:highlight w:val="none"/>
          <w:lang w:val="en-US" w:eastAsia="zh-CN"/>
        </w:rPr>
        <w:t>采购代理机构</w:t>
      </w:r>
      <w:r>
        <w:rPr>
          <w:rFonts w:hint="eastAsia" w:ascii="宋体" w:hAnsi="宋体"/>
          <w:szCs w:val="21"/>
          <w:highlight w:val="none"/>
        </w:rPr>
        <w:t>将在满足开标条件</w:t>
      </w:r>
      <w:r>
        <w:rPr>
          <w:rFonts w:hint="eastAsia" w:ascii="宋体" w:hAnsi="宋体"/>
          <w:szCs w:val="21"/>
          <w:highlight w:val="none"/>
          <w:lang w:eastAsia="zh-CN"/>
        </w:rPr>
        <w:t>【</w:t>
      </w:r>
      <w:r>
        <w:rPr>
          <w:rFonts w:hint="eastAsia" w:ascii="宋体" w:hAnsi="宋体"/>
          <w:szCs w:val="21"/>
          <w:highlight w:val="none"/>
        </w:rPr>
        <w:t>解密时间结束，</w:t>
      </w:r>
      <w:r>
        <w:rPr>
          <w:rFonts w:hint="eastAsia" w:ascii="宋体" w:hAnsi="宋体"/>
          <w:szCs w:val="21"/>
          <w:highlight w:val="none"/>
          <w:lang w:val="en-US" w:eastAsia="zh-CN"/>
        </w:rPr>
        <w:t>未对投标文件加密的供应商（未加密的投标文件无需解密）及对投标文件加密并在</w:t>
      </w:r>
      <w:r>
        <w:rPr>
          <w:rFonts w:hint="eastAsia" w:ascii="宋体" w:hAnsi="宋体"/>
          <w:szCs w:val="21"/>
          <w:highlight w:val="none"/>
        </w:rPr>
        <w:t>解密时间结束前</w:t>
      </w:r>
      <w:r>
        <w:rPr>
          <w:rFonts w:hint="eastAsia" w:ascii="宋体" w:hAnsi="宋体"/>
          <w:szCs w:val="21"/>
          <w:highlight w:val="none"/>
          <w:lang w:val="en-US" w:eastAsia="zh-CN"/>
        </w:rPr>
        <w:t>成功解密的</w:t>
      </w:r>
      <w:r>
        <w:rPr>
          <w:rFonts w:hint="eastAsia" w:ascii="宋体" w:hAnsi="宋体"/>
          <w:szCs w:val="21"/>
          <w:highlight w:val="none"/>
        </w:rPr>
        <w:t>投标供应商数量</w:t>
      </w:r>
      <w:r>
        <w:rPr>
          <w:rFonts w:hint="eastAsia" w:ascii="宋体" w:hAnsi="宋体"/>
          <w:szCs w:val="21"/>
          <w:highlight w:val="none"/>
          <w:lang w:val="en-US" w:eastAsia="zh-CN"/>
        </w:rPr>
        <w:t>满足开标条件</w:t>
      </w:r>
      <w:r>
        <w:rPr>
          <w:rFonts w:hint="eastAsia" w:ascii="宋体" w:hAnsi="宋体"/>
          <w:szCs w:val="21"/>
          <w:highlight w:val="none"/>
        </w:rPr>
        <w:t>后</w:t>
      </w:r>
      <w:r>
        <w:rPr>
          <w:rFonts w:hint="eastAsia" w:ascii="宋体" w:hAnsi="宋体"/>
          <w:szCs w:val="21"/>
          <w:highlight w:val="none"/>
          <w:lang w:eastAsia="zh-CN"/>
        </w:rPr>
        <w:t>】</w:t>
      </w:r>
      <w:r>
        <w:rPr>
          <w:rFonts w:hint="eastAsia" w:ascii="宋体" w:hAnsi="宋体"/>
          <w:szCs w:val="21"/>
          <w:highlight w:val="none"/>
        </w:rPr>
        <w:t>对投标文件进行开标，并在网上公布开标结果。</w:t>
      </w:r>
    </w:p>
    <w:p w14:paraId="7288956C">
      <w:pPr>
        <w:pStyle w:val="81"/>
        <w:keepNext/>
        <w:keepLines/>
        <w:numPr>
          <w:ilvl w:val="0"/>
          <w:numId w:val="16"/>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highlight w:val="none"/>
        </w:rPr>
      </w:pPr>
      <w:r>
        <w:rPr>
          <w:rFonts w:hint="eastAsia" w:ascii="Cambria" w:hAnsi="Cambria" w:cs="宋体"/>
          <w:b/>
          <w:bCs/>
          <w:sz w:val="28"/>
          <w:szCs w:val="28"/>
          <w:highlight w:val="none"/>
        </w:rPr>
        <w:t>评审要求</w:t>
      </w:r>
    </w:p>
    <w:p w14:paraId="25F55BF3">
      <w:pPr>
        <w:ind w:firstLine="420" w:firstLineChars="200"/>
        <w:rPr>
          <w:rFonts w:ascii="黑体" w:hAnsi="宋体" w:eastAsia="黑体"/>
          <w:szCs w:val="21"/>
        </w:rPr>
      </w:pPr>
      <w:r>
        <w:rPr>
          <w:rFonts w:hint="eastAsia" w:ascii="黑体" w:hAnsi="宋体" w:eastAsia="黑体"/>
          <w:szCs w:val="21"/>
        </w:rPr>
        <w:t>29．评审委员会组成</w:t>
      </w:r>
    </w:p>
    <w:p w14:paraId="5A1ADA62">
      <w:pPr>
        <w:ind w:firstLine="420" w:firstLineChars="200"/>
        <w:rPr>
          <w:rFonts w:ascii="宋体" w:hAnsi="宋体"/>
          <w:szCs w:val="21"/>
          <w:highlight w:val="none"/>
        </w:rPr>
      </w:pPr>
      <w:r>
        <w:rPr>
          <w:rFonts w:hint="eastAsia" w:ascii="宋体" w:hAnsi="宋体"/>
          <w:szCs w:val="21"/>
        </w:rPr>
        <w:t>29.1网上开标结束后召开评审会议，评审委</w:t>
      </w:r>
      <w:r>
        <w:rPr>
          <w:rFonts w:hint="eastAsia" w:ascii="宋体" w:hAnsi="宋体"/>
          <w:szCs w:val="21"/>
          <w:highlight w:val="none"/>
        </w:rPr>
        <w:t>员会由采购代理机构依法组建，负责评审活动。</w:t>
      </w:r>
    </w:p>
    <w:p w14:paraId="32642735">
      <w:pPr>
        <w:ind w:firstLine="420" w:firstLineChars="200"/>
        <w:rPr>
          <w:rFonts w:ascii="宋体" w:hAnsi="宋体"/>
          <w:color w:val="FF0000"/>
          <w:szCs w:val="21"/>
          <w:highlight w:val="none"/>
        </w:rPr>
      </w:pPr>
      <w:bookmarkStart w:id="65" w:name="_Hlk72436580"/>
      <w:r>
        <w:rPr>
          <w:rFonts w:hint="eastAsia" w:ascii="宋体" w:hAnsi="宋体"/>
          <w:szCs w:val="21"/>
          <w:highlight w:val="none"/>
        </w:rPr>
        <w:t>评审委员会由采购人代表和评审专家组成，成员人数应当为5人以上单数（部分条件下为7人以上单数），其中评审专家不得少于成员总数的三分之二。</w:t>
      </w:r>
      <w:bookmarkEnd w:id="65"/>
      <w:r>
        <w:rPr>
          <w:rFonts w:hint="eastAsia" w:ascii="宋体" w:hAnsi="宋体"/>
          <w:szCs w:val="21"/>
          <w:highlight w:val="none"/>
        </w:rPr>
        <w:t>评定</w:t>
      </w:r>
      <w:r>
        <w:rPr>
          <w:rFonts w:hint="eastAsia"/>
          <w:szCs w:val="21"/>
          <w:highlight w:val="none"/>
        </w:rPr>
        <w:t>分离项目评审专家均由评审专家组成。</w:t>
      </w:r>
      <w:r>
        <w:rPr>
          <w:rFonts w:hint="eastAsia" w:ascii="宋体" w:hAnsi="宋体"/>
          <w:szCs w:val="21"/>
          <w:highlight w:val="none"/>
        </w:rPr>
        <w:t>评审专家一般是从深圳市政府采购评审专家库中随机抽取。采购人代表须持本单位签发的《评审授权书》参加评审。</w:t>
      </w:r>
      <w:r>
        <w:rPr>
          <w:rFonts w:hint="eastAsia" w:ascii="宋体" w:hAnsi="宋体"/>
          <w:color w:val="FF0000"/>
          <w:szCs w:val="21"/>
          <w:highlight w:val="none"/>
        </w:rPr>
        <w:t>根据财政部门要求，将食材、物业管理、清扫保洁、保安服务、家具、窗帘、园林绿化、社工服务、“城市管家”九类采购项目作为严管项目，实行“通用品目+专业品目”组合抽取制。严管项目的范围由市财政部门根据监管需要适时调整。上述所称专业品目是指，与项目采购标的相对应的品目，具体由采购人商采购代理机构根据项目需求自主确定。通用品目具体由会计、审计、法律、人力资源管理、资产评估、金融服务品目下的所有专家合并组成。专业品目下产生的专家人数占抽取总人数的比例不得超过50%（含本数），除此之外的专家均从通用品目库中随机抽取。注：论证专家抽取规则无需按此要求执行，具体严管项目的范围由市财政部门根据监管需要适时调整。</w:t>
      </w:r>
    </w:p>
    <w:p w14:paraId="1B922E1F">
      <w:pPr>
        <w:ind w:firstLine="420" w:firstLineChars="200"/>
        <w:rPr>
          <w:rFonts w:ascii="宋体" w:hAnsi="宋体"/>
          <w:szCs w:val="21"/>
          <w:highlight w:val="none"/>
        </w:rPr>
      </w:pPr>
      <w:r>
        <w:rPr>
          <w:rFonts w:hint="eastAsia" w:ascii="宋体" w:hAnsi="宋体"/>
          <w:szCs w:val="21"/>
          <w:highlight w:val="none"/>
        </w:rPr>
        <w:t>29.2评审定标应当遵循公平、公正、科学、择优的原则。</w:t>
      </w:r>
    </w:p>
    <w:p w14:paraId="09528FA9">
      <w:pPr>
        <w:ind w:firstLine="420" w:firstLineChars="200"/>
        <w:rPr>
          <w:rFonts w:ascii="宋体" w:hAnsi="宋体"/>
          <w:szCs w:val="21"/>
          <w:highlight w:val="none"/>
        </w:rPr>
      </w:pPr>
      <w:r>
        <w:rPr>
          <w:rFonts w:hint="eastAsia" w:ascii="宋体" w:hAnsi="宋体"/>
          <w:szCs w:val="21"/>
          <w:highlight w:val="none"/>
        </w:rPr>
        <w:t>29.3评审活动依法进行，任何单位和个人不得非法干预评标过程和结果。</w:t>
      </w:r>
    </w:p>
    <w:p w14:paraId="5DF400C4">
      <w:pPr>
        <w:ind w:firstLine="420" w:firstLineChars="200"/>
        <w:rPr>
          <w:rFonts w:ascii="宋体" w:hAnsi="宋体"/>
          <w:szCs w:val="21"/>
        </w:rPr>
      </w:pPr>
      <w:r>
        <w:rPr>
          <w:rFonts w:hint="eastAsia" w:ascii="宋体" w:hAnsi="宋体"/>
          <w:szCs w:val="21"/>
          <w:highlight w:val="none"/>
        </w:rPr>
        <w:t>29.4评审过程中不允许违背评标程序或采用招标文件未载明的</w:t>
      </w:r>
      <w:r>
        <w:rPr>
          <w:rFonts w:hint="eastAsia" w:ascii="宋体" w:hAnsi="宋体"/>
          <w:szCs w:val="21"/>
        </w:rPr>
        <w:t>评标方法或评标因素进行评标。</w:t>
      </w:r>
    </w:p>
    <w:p w14:paraId="28FA697C">
      <w:pPr>
        <w:ind w:firstLine="420" w:firstLineChars="200"/>
        <w:rPr>
          <w:rFonts w:ascii="宋体" w:hAnsi="宋体"/>
          <w:bCs/>
          <w:szCs w:val="21"/>
        </w:rPr>
      </w:pPr>
      <w:r>
        <w:rPr>
          <w:rFonts w:hint="eastAsia" w:ascii="宋体" w:hAnsi="宋体"/>
          <w:bCs/>
          <w:szCs w:val="21"/>
        </w:rPr>
        <w:t>29.5 开标后，直到签订合同为止，凡属于对投标文件的审查、澄清、评价和比较的有关资料以及中标候选人的推荐情况、与评审有关的其他任何情况均严格保密（</w:t>
      </w:r>
      <w:r>
        <w:rPr>
          <w:rFonts w:hint="eastAsia"/>
          <w:szCs w:val="21"/>
        </w:rPr>
        <w:t>信息公开的内容除外</w:t>
      </w:r>
      <w:r>
        <w:rPr>
          <w:rFonts w:hint="eastAsia" w:ascii="宋体" w:hAnsi="宋体"/>
          <w:bCs/>
          <w:szCs w:val="21"/>
        </w:rPr>
        <w:t>）。</w:t>
      </w:r>
    </w:p>
    <w:p w14:paraId="22670CEB">
      <w:pPr>
        <w:ind w:firstLine="420" w:firstLineChars="200"/>
        <w:rPr>
          <w:rFonts w:ascii="黑体" w:hAnsi="宋体" w:eastAsia="黑体"/>
          <w:szCs w:val="21"/>
        </w:rPr>
      </w:pPr>
      <w:r>
        <w:rPr>
          <w:rFonts w:hint="eastAsia" w:ascii="黑体" w:hAnsi="宋体" w:eastAsia="黑体"/>
          <w:szCs w:val="21"/>
        </w:rPr>
        <w:t>30．向评审委员会提供的资料</w:t>
      </w:r>
    </w:p>
    <w:p w14:paraId="32887156">
      <w:pPr>
        <w:ind w:firstLine="420" w:firstLineChars="200"/>
        <w:rPr>
          <w:rFonts w:ascii="宋体" w:hAnsi="宋体"/>
          <w:szCs w:val="21"/>
        </w:rPr>
      </w:pPr>
      <w:r>
        <w:rPr>
          <w:rFonts w:hint="eastAsia" w:ascii="宋体" w:hAnsi="宋体"/>
          <w:szCs w:val="21"/>
        </w:rPr>
        <w:t>30.1公开发布的招标文件，包括图纸、服务清单、答疑文件等；</w:t>
      </w:r>
    </w:p>
    <w:p w14:paraId="0DC2D6F4">
      <w:pPr>
        <w:ind w:firstLine="420" w:firstLineChars="200"/>
        <w:rPr>
          <w:rFonts w:ascii="宋体" w:hAnsi="宋体"/>
          <w:szCs w:val="21"/>
        </w:rPr>
      </w:pPr>
      <w:r>
        <w:rPr>
          <w:rFonts w:hint="eastAsia" w:ascii="宋体" w:hAnsi="宋体"/>
          <w:szCs w:val="21"/>
        </w:rPr>
        <w:t>30.2其他评标必须的资料。</w:t>
      </w:r>
    </w:p>
    <w:p w14:paraId="465C19BF">
      <w:pPr>
        <w:ind w:firstLine="420" w:firstLineChars="200"/>
        <w:rPr>
          <w:rFonts w:ascii="宋体" w:hAnsi="宋体"/>
          <w:szCs w:val="21"/>
        </w:rPr>
      </w:pPr>
      <w:r>
        <w:rPr>
          <w:rFonts w:hint="eastAsia" w:ascii="宋体" w:hAnsi="宋体"/>
          <w:szCs w:val="21"/>
        </w:rPr>
        <w:t>30.3评审委员会应当认真研究招标文件，至少应了解熟悉以下内容：</w:t>
      </w:r>
    </w:p>
    <w:p w14:paraId="0AA9A345">
      <w:pPr>
        <w:ind w:firstLine="420" w:firstLineChars="200"/>
        <w:rPr>
          <w:rFonts w:ascii="宋体" w:hAnsi="宋体"/>
          <w:szCs w:val="21"/>
        </w:rPr>
      </w:pPr>
      <w:r>
        <w:rPr>
          <w:rFonts w:hint="eastAsia" w:ascii="宋体" w:hAnsi="宋体"/>
          <w:szCs w:val="21"/>
        </w:rPr>
        <w:t>（1）招标的目的；</w:t>
      </w:r>
    </w:p>
    <w:p w14:paraId="43295F18">
      <w:pPr>
        <w:ind w:firstLine="420" w:firstLineChars="200"/>
        <w:rPr>
          <w:rFonts w:ascii="宋体" w:hAnsi="宋体"/>
          <w:szCs w:val="21"/>
        </w:rPr>
      </w:pPr>
      <w:r>
        <w:rPr>
          <w:rFonts w:hint="eastAsia" w:ascii="宋体" w:hAnsi="宋体"/>
          <w:szCs w:val="21"/>
        </w:rPr>
        <w:t>（2）招标项目需求的范围和性质；</w:t>
      </w:r>
    </w:p>
    <w:p w14:paraId="381BABC5">
      <w:pPr>
        <w:ind w:firstLine="420" w:firstLineChars="200"/>
        <w:rPr>
          <w:rFonts w:ascii="宋体" w:hAnsi="宋体"/>
          <w:szCs w:val="21"/>
        </w:rPr>
      </w:pPr>
      <w:r>
        <w:rPr>
          <w:rFonts w:hint="eastAsia" w:ascii="宋体" w:hAnsi="宋体"/>
          <w:szCs w:val="21"/>
        </w:rPr>
        <w:t>（3）招标文件规定的投标人的资格、财政预算限额、商务条款；</w:t>
      </w:r>
    </w:p>
    <w:p w14:paraId="5962B252">
      <w:pPr>
        <w:ind w:firstLine="420" w:firstLineChars="200"/>
        <w:rPr>
          <w:rFonts w:ascii="宋体" w:hAnsi="宋体"/>
          <w:szCs w:val="21"/>
        </w:rPr>
      </w:pPr>
      <w:r>
        <w:rPr>
          <w:rFonts w:hint="eastAsia" w:ascii="宋体" w:hAnsi="宋体"/>
          <w:szCs w:val="21"/>
        </w:rPr>
        <w:t>（4）招标文件规定的评标程序、评标方法和评标因素；</w:t>
      </w:r>
    </w:p>
    <w:p w14:paraId="047F53B2">
      <w:pPr>
        <w:ind w:firstLine="420" w:firstLineChars="200"/>
        <w:rPr>
          <w:rFonts w:ascii="宋体" w:hAnsi="宋体"/>
          <w:szCs w:val="21"/>
        </w:rPr>
      </w:pPr>
      <w:r>
        <w:rPr>
          <w:rFonts w:hint="eastAsia" w:ascii="宋体" w:hAnsi="宋体"/>
          <w:szCs w:val="21"/>
        </w:rPr>
        <w:t>（5）招标文件所列示的资格性审查表及符合性审查表。</w:t>
      </w:r>
    </w:p>
    <w:p w14:paraId="01A0B098">
      <w:pPr>
        <w:ind w:firstLine="420" w:firstLineChars="200"/>
        <w:rPr>
          <w:rFonts w:ascii="黑体" w:hAnsi="宋体" w:eastAsia="黑体"/>
          <w:szCs w:val="21"/>
        </w:rPr>
      </w:pPr>
      <w:r>
        <w:rPr>
          <w:rFonts w:hint="eastAsia" w:ascii="黑体" w:hAnsi="宋体" w:eastAsia="黑体"/>
          <w:szCs w:val="21"/>
        </w:rPr>
        <w:t>31．独立评审</w:t>
      </w:r>
    </w:p>
    <w:p w14:paraId="63181C27">
      <w:pPr>
        <w:ind w:firstLine="420" w:firstLineChars="200"/>
        <w:rPr>
          <w:rFonts w:ascii="宋体" w:hAnsi="宋体"/>
          <w:bCs/>
          <w:szCs w:val="21"/>
        </w:rPr>
      </w:pPr>
      <w:r>
        <w:rPr>
          <w:rFonts w:hint="eastAsia" w:ascii="宋体" w:hAnsi="宋体"/>
          <w:bCs/>
          <w:szCs w:val="21"/>
        </w:rPr>
        <w:t>31.1</w:t>
      </w:r>
      <w:r>
        <w:rPr>
          <w:rFonts w:hint="eastAsia" w:ascii="宋体" w:hAnsi="宋体"/>
          <w:szCs w:val="21"/>
        </w:rPr>
        <w:t>评审委员会</w:t>
      </w:r>
      <w:r>
        <w:rPr>
          <w:rFonts w:hint="eastAsia" w:ascii="宋体" w:hAnsi="宋体"/>
          <w:bCs/>
          <w:szCs w:val="21"/>
        </w:rPr>
        <w:t>成员的评标活动应当独立进行，并应遵循投标文件初审、澄清有关问题、比较与评价、确定中标供应商、编写评审报告的工作程序。</w:t>
      </w:r>
    </w:p>
    <w:p w14:paraId="76E21620">
      <w:pPr>
        <w:ind w:firstLine="411" w:firstLineChars="196"/>
        <w:rPr>
          <w:rFonts w:ascii="宋体" w:hAnsi="宋体"/>
          <w:bCs/>
          <w:szCs w:val="21"/>
        </w:rPr>
      </w:pPr>
    </w:p>
    <w:p w14:paraId="0A5424CC">
      <w:pPr>
        <w:pStyle w:val="81"/>
        <w:keepNext/>
        <w:keepLines/>
        <w:numPr>
          <w:ilvl w:val="0"/>
          <w:numId w:val="16"/>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评审程序及评审方法</w:t>
      </w:r>
    </w:p>
    <w:p w14:paraId="734FBE81">
      <w:pPr>
        <w:ind w:firstLine="420" w:firstLineChars="200"/>
        <w:rPr>
          <w:rFonts w:ascii="黑体" w:hAnsi="宋体" w:eastAsia="黑体"/>
          <w:szCs w:val="21"/>
        </w:rPr>
      </w:pPr>
      <w:r>
        <w:rPr>
          <w:rFonts w:hint="eastAsia" w:ascii="黑体" w:hAnsi="宋体" w:eastAsia="黑体"/>
          <w:szCs w:val="21"/>
        </w:rPr>
        <w:t>32．投标文件初审</w:t>
      </w:r>
    </w:p>
    <w:p w14:paraId="68C92805">
      <w:pPr>
        <w:ind w:firstLine="420" w:firstLineChars="200"/>
        <w:rPr>
          <w:rFonts w:ascii="宋体" w:hAnsi="宋体"/>
          <w:szCs w:val="21"/>
        </w:rPr>
      </w:pPr>
      <w:r>
        <w:rPr>
          <w:rFonts w:hint="eastAsia" w:ascii="宋体" w:hAnsi="宋体"/>
          <w:szCs w:val="21"/>
        </w:rPr>
        <w:t>32.1投标文件初审包括资格性审查和符合性审查。</w:t>
      </w:r>
    </w:p>
    <w:p w14:paraId="40750F2B">
      <w:pPr>
        <w:ind w:firstLine="420" w:firstLineChars="200"/>
        <w:rPr>
          <w:rFonts w:ascii="宋体" w:hAnsi="宋体"/>
          <w:szCs w:val="21"/>
        </w:rPr>
      </w:pPr>
      <w:r>
        <w:rPr>
          <w:rFonts w:hint="eastAsia" w:ascii="宋体" w:hAnsi="宋体"/>
          <w:szCs w:val="21"/>
        </w:rPr>
        <w:t>资格性审查：依据法律法规和招标文件的规定，对投标文件中的资格证明等进行审查，以确定投标供应商是否具备投标资格。</w:t>
      </w:r>
    </w:p>
    <w:p w14:paraId="54942D23">
      <w:pPr>
        <w:ind w:firstLine="420" w:firstLineChars="200"/>
        <w:rPr>
          <w:rFonts w:ascii="宋体" w:hAnsi="宋体"/>
          <w:szCs w:val="21"/>
        </w:rPr>
      </w:pPr>
      <w:r>
        <w:rPr>
          <w:rFonts w:hint="eastAsia" w:ascii="宋体" w:hAnsi="宋体"/>
          <w:szCs w:val="21"/>
        </w:rPr>
        <w:t>符合性审查：依据招标文件的规定，对投标文件的有效性、完整性和对招标文件的响应程度进行审查，以确定是否满足符合性审查的要求。</w:t>
      </w:r>
    </w:p>
    <w:p w14:paraId="3E9E1F5B">
      <w:pPr>
        <w:ind w:firstLine="420" w:firstLineChars="200"/>
        <w:rPr>
          <w:rFonts w:ascii="宋体" w:hAnsi="宋体"/>
          <w:szCs w:val="21"/>
        </w:rPr>
      </w:pPr>
      <w:r>
        <w:rPr>
          <w:rFonts w:hint="eastAsia" w:ascii="宋体" w:hAnsi="宋体"/>
          <w:szCs w:val="21"/>
        </w:rPr>
        <w:t>32.2 投标文件初审内容请详见《资格性审查表》和《符合性审查表》部分。投标人若有一条审查不通过则按投标无效处理。</w:t>
      </w:r>
    </w:p>
    <w:p w14:paraId="27592688">
      <w:pPr>
        <w:ind w:firstLine="420" w:firstLineChars="200"/>
        <w:rPr>
          <w:rFonts w:ascii="宋体" w:hAnsi="宋体"/>
          <w:bCs/>
          <w:szCs w:val="21"/>
        </w:rPr>
      </w:pPr>
      <w:r>
        <w:rPr>
          <w:rFonts w:hint="eastAsia" w:ascii="宋体" w:hAnsi="宋体"/>
          <w:bCs/>
          <w:szCs w:val="21"/>
        </w:rPr>
        <w:t>32.3 投标文件初审中关于供应商家数的计算:</w:t>
      </w:r>
    </w:p>
    <w:p w14:paraId="23631F55">
      <w:pPr>
        <w:ind w:firstLine="420" w:firstLineChars="200"/>
        <w:rPr>
          <w:rFonts w:ascii="宋体" w:hAnsi="宋体"/>
          <w:bCs/>
          <w:szCs w:val="21"/>
        </w:rPr>
      </w:pPr>
      <w:r>
        <w:rPr>
          <w:rFonts w:hint="eastAsia" w:ascii="宋体" w:hAnsi="宋体"/>
          <w:bCs/>
          <w:szCs w:val="21"/>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585198B9">
      <w:pPr>
        <w:ind w:firstLine="420" w:firstLineChars="200"/>
        <w:rPr>
          <w:rFonts w:ascii="宋体" w:hAnsi="宋体"/>
          <w:bCs/>
          <w:szCs w:val="21"/>
        </w:rPr>
      </w:pPr>
      <w:r>
        <w:rPr>
          <w:rFonts w:hint="eastAsia" w:ascii="宋体" w:hAnsi="宋体"/>
          <w:bCs/>
          <w:szCs w:val="21"/>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08CB1833">
      <w:pPr>
        <w:ind w:firstLine="420" w:firstLineChars="200"/>
        <w:rPr>
          <w:rFonts w:ascii="宋体" w:hAnsi="宋体"/>
          <w:bCs/>
          <w:szCs w:val="21"/>
        </w:rPr>
      </w:pPr>
      <w:r>
        <w:rPr>
          <w:rFonts w:hint="eastAsia" w:ascii="宋体" w:hAnsi="宋体"/>
          <w:bCs/>
          <w:szCs w:val="21"/>
        </w:rPr>
        <w:t>32.3.3非单一产品采购项目，采购人应当根据采购项目技术构成、产品价格比重等合理确定核心产品，并在招标文件中载明。多家投标人提供的核心产品品牌相同的，按前两款规定处理。</w:t>
      </w:r>
    </w:p>
    <w:p w14:paraId="388B034B">
      <w:pPr>
        <w:ind w:firstLine="420" w:firstLineChars="200"/>
        <w:rPr>
          <w:rFonts w:ascii="宋体" w:hAnsi="宋体"/>
          <w:szCs w:val="21"/>
        </w:rPr>
      </w:pPr>
      <w:r>
        <w:rPr>
          <w:rFonts w:hint="eastAsia" w:ascii="宋体" w:hAnsi="宋体"/>
          <w:szCs w:val="21"/>
        </w:rPr>
        <w:t>32.4投标人投标文件作无效处理的情形，具体包括但不限于以下：</w:t>
      </w:r>
    </w:p>
    <w:p w14:paraId="57E0ED71">
      <w:pPr>
        <w:ind w:firstLine="420" w:firstLineChars="200"/>
        <w:rPr>
          <w:szCs w:val="21"/>
        </w:rPr>
      </w:pPr>
      <w:r>
        <w:rPr>
          <w:rFonts w:hint="eastAsia" w:ascii="宋体" w:hAnsi="宋体"/>
          <w:szCs w:val="21"/>
        </w:rPr>
        <w:t>32.4.1</w:t>
      </w:r>
      <w:r>
        <w:rPr>
          <w:rFonts w:hint="eastAsia"/>
          <w:szCs w:val="21"/>
        </w:rPr>
        <w:t>不同投标人的投标文件由同一单位或者同一个人编制，或者由同一个人分阶段参与编制；</w:t>
      </w:r>
    </w:p>
    <w:p w14:paraId="1610656A">
      <w:pPr>
        <w:ind w:firstLine="420" w:firstLineChars="200"/>
        <w:rPr>
          <w:szCs w:val="21"/>
        </w:rPr>
      </w:pPr>
      <w:r>
        <w:rPr>
          <w:rFonts w:hint="eastAsia" w:ascii="宋体" w:hAnsi="宋体"/>
          <w:szCs w:val="21"/>
        </w:rPr>
        <w:t>32.4.2</w:t>
      </w:r>
      <w:r>
        <w:rPr>
          <w:rFonts w:hint="eastAsia"/>
          <w:szCs w:val="21"/>
        </w:rPr>
        <w:t>不同投标人委托同一单位或者个人办理投标事宜；</w:t>
      </w:r>
    </w:p>
    <w:p w14:paraId="1CEE4F46">
      <w:pPr>
        <w:ind w:firstLine="420" w:firstLineChars="200"/>
        <w:rPr>
          <w:rFonts w:ascii="宋体" w:hAnsi="宋体"/>
          <w:szCs w:val="21"/>
        </w:rPr>
      </w:pPr>
      <w:r>
        <w:rPr>
          <w:rFonts w:hint="eastAsia" w:ascii="宋体" w:hAnsi="宋体"/>
          <w:szCs w:val="21"/>
        </w:rPr>
        <w:t>32.4.3不同投标人的投标文件载明的项目管理成员或者联系人员为同一人；</w:t>
      </w:r>
    </w:p>
    <w:p w14:paraId="303F8347">
      <w:pPr>
        <w:ind w:firstLine="420" w:firstLineChars="200"/>
        <w:rPr>
          <w:rFonts w:ascii="宋体" w:hAnsi="宋体"/>
          <w:szCs w:val="21"/>
        </w:rPr>
      </w:pPr>
      <w:r>
        <w:rPr>
          <w:rFonts w:hint="eastAsia" w:ascii="宋体" w:hAnsi="宋体"/>
          <w:szCs w:val="21"/>
        </w:rPr>
        <w:t>32.4.4不同投标人的投标文件异常一致或者投标报价呈规律性差异；</w:t>
      </w:r>
    </w:p>
    <w:p w14:paraId="016BB846">
      <w:pPr>
        <w:ind w:firstLine="420" w:firstLineChars="200"/>
        <w:rPr>
          <w:rFonts w:ascii="宋体" w:hAnsi="宋体"/>
          <w:szCs w:val="21"/>
        </w:rPr>
      </w:pPr>
      <w:r>
        <w:rPr>
          <w:rFonts w:hint="eastAsia" w:ascii="宋体" w:hAnsi="宋体"/>
          <w:szCs w:val="21"/>
        </w:rPr>
        <w:t>32.4.5不同投标供应商的投标文件或部分投标文件相互混装；</w:t>
      </w:r>
    </w:p>
    <w:p w14:paraId="6F046183">
      <w:pPr>
        <w:ind w:firstLine="420" w:firstLineChars="200"/>
        <w:rPr>
          <w:rFonts w:ascii="宋体" w:hAnsi="宋体"/>
          <w:szCs w:val="21"/>
        </w:rPr>
      </w:pPr>
      <w:r>
        <w:rPr>
          <w:rFonts w:hint="eastAsia" w:ascii="宋体" w:hAnsi="宋体"/>
          <w:szCs w:val="21"/>
        </w:rPr>
        <w:t>32.4.6投标供应商之间相互约定给予未中标的供应商利益补偿；</w:t>
      </w:r>
    </w:p>
    <w:p w14:paraId="231D8E6C">
      <w:pPr>
        <w:ind w:firstLine="420" w:firstLineChars="200"/>
        <w:rPr>
          <w:rFonts w:ascii="宋体" w:hAnsi="宋体"/>
          <w:szCs w:val="21"/>
        </w:rPr>
      </w:pPr>
      <w:r>
        <w:rPr>
          <w:rFonts w:hint="eastAsia" w:ascii="宋体" w:hAnsi="宋体"/>
          <w:szCs w:val="21"/>
        </w:rPr>
        <w:t>32.4.7不同投标供应商的法定代表人、主要经营负责人、项目投标授权代表人、项目负责人、主要技术人员为同一人、属同一单位或者同一单位缴纳社会保险；</w:t>
      </w:r>
    </w:p>
    <w:p w14:paraId="7C071EDA">
      <w:pPr>
        <w:ind w:firstLine="420" w:firstLineChars="200"/>
        <w:rPr>
          <w:rFonts w:ascii="宋体" w:hAnsi="宋体"/>
          <w:szCs w:val="21"/>
        </w:rPr>
      </w:pPr>
      <w:r>
        <w:rPr>
          <w:rFonts w:hint="eastAsia" w:ascii="宋体" w:hAnsi="宋体"/>
          <w:szCs w:val="21"/>
        </w:rPr>
        <w:t>32.4.8不同投标供应商的投标文件内容存在非正常一致；</w:t>
      </w:r>
    </w:p>
    <w:p w14:paraId="4F92679E">
      <w:pPr>
        <w:ind w:firstLine="420" w:firstLineChars="200"/>
        <w:rPr>
          <w:rFonts w:ascii="宋体" w:hAnsi="宋体"/>
          <w:szCs w:val="21"/>
        </w:rPr>
      </w:pPr>
      <w:r>
        <w:rPr>
          <w:rFonts w:hint="eastAsia" w:ascii="宋体" w:hAnsi="宋体"/>
          <w:szCs w:val="21"/>
        </w:rPr>
        <w:t>32.4.9在同一单位工作人员为两家以上（含两家）供应商进行同一项投标活动；</w:t>
      </w:r>
    </w:p>
    <w:p w14:paraId="4E7B59EE">
      <w:pPr>
        <w:ind w:firstLine="420" w:firstLineChars="200"/>
        <w:rPr>
          <w:rFonts w:ascii="宋体" w:hAnsi="宋体"/>
          <w:szCs w:val="21"/>
        </w:rPr>
      </w:pPr>
      <w:r>
        <w:rPr>
          <w:rFonts w:hint="eastAsia" w:ascii="宋体" w:hAnsi="宋体"/>
          <w:szCs w:val="21"/>
        </w:rPr>
        <w:t>32.4.10主管部门依照法律、法规认定的其他情形。</w:t>
      </w:r>
    </w:p>
    <w:p w14:paraId="651101F7">
      <w:pPr>
        <w:ind w:firstLine="420" w:firstLineChars="200"/>
        <w:rPr>
          <w:rFonts w:ascii="宋体" w:hAnsi="宋体"/>
          <w:szCs w:val="21"/>
        </w:rPr>
      </w:pPr>
      <w:r>
        <w:rPr>
          <w:rFonts w:hint="eastAsia" w:ascii="宋体" w:hAnsi="宋体"/>
          <w:szCs w:val="21"/>
        </w:rPr>
        <w:t>32.5对不属于《资格性审查表》和《符合性审查表》所列的其他情形，除专用条款另有规定和32.4条款所列情形外，不得作为投标无效的理由。</w:t>
      </w:r>
    </w:p>
    <w:p w14:paraId="2AFE2659">
      <w:pPr>
        <w:ind w:firstLine="420" w:firstLineChars="200"/>
        <w:rPr>
          <w:rFonts w:ascii="黑体" w:hAnsi="宋体" w:eastAsia="黑体"/>
          <w:szCs w:val="21"/>
        </w:rPr>
      </w:pPr>
      <w:r>
        <w:rPr>
          <w:rFonts w:hint="eastAsia" w:ascii="黑体" w:hAnsi="宋体" w:eastAsia="黑体"/>
          <w:szCs w:val="21"/>
        </w:rPr>
        <w:t>33．澄清有关问题</w:t>
      </w:r>
    </w:p>
    <w:p w14:paraId="32C27FE1">
      <w:pPr>
        <w:ind w:firstLine="420" w:firstLineChars="200"/>
        <w:rPr>
          <w:rFonts w:ascii="宋体" w:hAnsi="宋体"/>
          <w:szCs w:val="21"/>
        </w:rPr>
      </w:pPr>
      <w:bookmarkStart w:id="66" w:name="_Hlk71407321"/>
      <w:r>
        <w:rPr>
          <w:rFonts w:hint="eastAsia" w:ascii="宋体" w:hAnsi="宋体"/>
          <w:szCs w:val="21"/>
        </w:rPr>
        <w:t>33.1对招标文件中描述有歧义或前后不一致的地方（不含</w:t>
      </w:r>
      <w:r>
        <w:rPr>
          <w:rFonts w:hint="eastAsia"/>
          <w:szCs w:val="21"/>
        </w:rPr>
        <w:t>招标文件存在歧义、重大缺陷导致评审工作无法进行的情况）</w:t>
      </w:r>
      <w:r>
        <w:rPr>
          <w:rFonts w:hint="eastAsia" w:ascii="宋体" w:hAnsi="宋体"/>
          <w:szCs w:val="21"/>
        </w:rPr>
        <w:t>，评审委员会有权进行评判，但对同一条款的评判应适用于每个投标人。</w:t>
      </w:r>
      <w:bookmarkEnd w:id="66"/>
    </w:p>
    <w:p w14:paraId="53C04815">
      <w:pPr>
        <w:ind w:firstLine="420" w:firstLineChars="200"/>
        <w:rPr>
          <w:rFonts w:ascii="宋体" w:hAnsi="宋体"/>
          <w:szCs w:val="21"/>
        </w:rPr>
      </w:pPr>
      <w:r>
        <w:rPr>
          <w:rFonts w:hint="eastAsia" w:ascii="宋体" w:hAnsi="宋体"/>
          <w:szCs w:val="21"/>
        </w:rPr>
        <w:t>33.2</w:t>
      </w:r>
      <w:r>
        <w:rPr>
          <w:rFonts w:hint="eastAsia"/>
          <w:szCs w:val="21"/>
        </w:rPr>
        <w:t>评审委员会发现招标文件存在歧义、重大缺陷导致评审工作</w:t>
      </w:r>
      <w:r>
        <w:rPr>
          <w:rFonts w:hint="eastAsia"/>
          <w:szCs w:val="21"/>
          <w:highlight w:val="none"/>
        </w:rPr>
        <w:t>无法进行，或者招标文件内容违反国家有关强制性规定的，应当停止评审工作，与</w:t>
      </w:r>
      <w:r>
        <w:rPr>
          <w:rFonts w:hint="eastAsia" w:ascii="宋体" w:hAnsi="宋体"/>
          <w:szCs w:val="21"/>
          <w:highlight w:val="none"/>
        </w:rPr>
        <w:t>采购代理机构</w:t>
      </w:r>
      <w:r>
        <w:rPr>
          <w:rFonts w:hint="eastAsia"/>
          <w:szCs w:val="21"/>
          <w:highlight w:val="none"/>
        </w:rPr>
        <w:t>沟通并作书面记录。经确认后，项目应当修改招标文件，重新组织采购</w:t>
      </w:r>
      <w:r>
        <w:rPr>
          <w:rFonts w:hint="eastAsia"/>
          <w:szCs w:val="21"/>
        </w:rPr>
        <w:t>活动。</w:t>
      </w:r>
    </w:p>
    <w:p w14:paraId="4AEC0EB5">
      <w:pPr>
        <w:ind w:firstLine="420" w:firstLineChars="200"/>
        <w:rPr>
          <w:rFonts w:ascii="宋体" w:hAnsi="宋体"/>
          <w:szCs w:val="21"/>
        </w:rPr>
      </w:pPr>
      <w:r>
        <w:rPr>
          <w:rFonts w:hint="eastAsia" w:ascii="宋体" w:hAnsi="宋体"/>
          <w:szCs w:val="21"/>
        </w:rPr>
        <w:t>33.3对于投标文件中含义不明确、同类问题表述不一致或者有明显文字和计算错误的内容，评审委员会应当以书面形式要求投标人作出必要的澄清、说明或者补正。</w:t>
      </w:r>
    </w:p>
    <w:p w14:paraId="03A1D9ED">
      <w:pPr>
        <w:ind w:firstLine="420" w:firstLineChars="200"/>
        <w:rPr>
          <w:rFonts w:ascii="宋体" w:hAnsi="宋体"/>
          <w:szCs w:val="21"/>
        </w:rPr>
      </w:pPr>
      <w:r>
        <w:rPr>
          <w:rFonts w:hint="eastAsia" w:ascii="宋体" w:hAnsi="宋体"/>
          <w:szCs w:val="21"/>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6DC35574">
      <w:pPr>
        <w:ind w:firstLine="420" w:firstLineChars="200"/>
        <w:rPr>
          <w:rFonts w:ascii="宋体" w:hAnsi="宋体"/>
          <w:szCs w:val="21"/>
        </w:rPr>
      </w:pPr>
      <w:r>
        <w:rPr>
          <w:rFonts w:hint="eastAsia" w:ascii="宋体" w:hAnsi="宋体"/>
          <w:szCs w:val="21"/>
        </w:rPr>
        <w:t>根据本通用条款第34条，凡属于评审委员会在评审中发现的算术错误进行核实的修改不在此列。</w:t>
      </w:r>
    </w:p>
    <w:p w14:paraId="20FB6A48">
      <w:pPr>
        <w:ind w:firstLine="420" w:firstLineChars="200"/>
        <w:rPr>
          <w:rFonts w:ascii="黑体" w:hAnsi="宋体" w:eastAsia="黑体"/>
          <w:szCs w:val="21"/>
        </w:rPr>
      </w:pPr>
      <w:bookmarkStart w:id="67" w:name="_Toc100052400"/>
      <w:bookmarkStart w:id="68" w:name="_Toc73518151"/>
      <w:bookmarkStart w:id="69" w:name="_Toc73521581"/>
      <w:bookmarkStart w:id="70" w:name="_Toc73517673"/>
      <w:bookmarkStart w:id="71" w:name="_Toc73521669"/>
      <w:r>
        <w:rPr>
          <w:rFonts w:hint="eastAsia" w:ascii="黑体" w:hAnsi="宋体" w:eastAsia="黑体"/>
          <w:szCs w:val="21"/>
        </w:rPr>
        <w:t>34．错误的修正</w:t>
      </w:r>
      <w:bookmarkEnd w:id="67"/>
      <w:bookmarkEnd w:id="68"/>
      <w:bookmarkEnd w:id="69"/>
      <w:bookmarkEnd w:id="70"/>
      <w:bookmarkEnd w:id="71"/>
    </w:p>
    <w:p w14:paraId="59911861">
      <w:pPr>
        <w:ind w:firstLine="420" w:firstLineChars="200"/>
        <w:rPr>
          <w:rFonts w:ascii="宋体" w:hAnsi="宋体"/>
          <w:szCs w:val="21"/>
        </w:rPr>
      </w:pPr>
      <w:r>
        <w:rPr>
          <w:rFonts w:hint="eastAsia" w:ascii="宋体" w:hAnsi="宋体"/>
          <w:szCs w:val="21"/>
        </w:rPr>
        <w:t>投标文件报价出现前后不一致的，除专用条款另有规定外，按照下列规定修正：</w:t>
      </w:r>
    </w:p>
    <w:p w14:paraId="63BA480E">
      <w:pPr>
        <w:ind w:firstLine="420" w:firstLineChars="200"/>
        <w:rPr>
          <w:rFonts w:ascii="宋体" w:hAnsi="宋体"/>
          <w:szCs w:val="21"/>
        </w:rPr>
      </w:pPr>
      <w:r>
        <w:rPr>
          <w:rFonts w:hint="eastAsia" w:ascii="宋体" w:hAnsi="宋体"/>
          <w:szCs w:val="21"/>
        </w:rPr>
        <w:t>34.1投标文件中开标一览表投标报价内容与投标文件中投标报价相应内容不一致的，以开标一览表为准；</w:t>
      </w:r>
    </w:p>
    <w:p w14:paraId="505A9F2D">
      <w:pPr>
        <w:ind w:firstLine="420" w:firstLineChars="200"/>
        <w:rPr>
          <w:rFonts w:ascii="宋体" w:hAnsi="宋体"/>
          <w:szCs w:val="21"/>
        </w:rPr>
      </w:pPr>
      <w:r>
        <w:rPr>
          <w:rFonts w:hint="eastAsia" w:ascii="宋体" w:hAnsi="宋体"/>
          <w:szCs w:val="21"/>
        </w:rPr>
        <w:t>34.2大写金额和小写金额不一致的，以大写金额为准；</w:t>
      </w:r>
    </w:p>
    <w:p w14:paraId="1BA8E5CE">
      <w:pPr>
        <w:ind w:firstLine="420" w:firstLineChars="200"/>
        <w:rPr>
          <w:rFonts w:ascii="宋体" w:hAnsi="宋体"/>
          <w:szCs w:val="21"/>
        </w:rPr>
      </w:pPr>
      <w:r>
        <w:rPr>
          <w:rFonts w:hint="eastAsia" w:ascii="宋体" w:hAnsi="宋体"/>
          <w:szCs w:val="21"/>
        </w:rPr>
        <w:t>34.3单价金额小数点或者百分比有明显错位，以开标一览表的总价为准，并修改单价；</w:t>
      </w:r>
    </w:p>
    <w:p w14:paraId="53194654">
      <w:pPr>
        <w:ind w:firstLine="420" w:firstLineChars="200"/>
        <w:rPr>
          <w:rFonts w:ascii="宋体" w:hAnsi="宋体"/>
          <w:szCs w:val="21"/>
        </w:rPr>
      </w:pPr>
      <w:r>
        <w:rPr>
          <w:rFonts w:hint="eastAsia" w:ascii="宋体" w:hAnsi="宋体"/>
          <w:szCs w:val="21"/>
        </w:rPr>
        <w:t>34.4总价金额与按单价汇总金额不一致的，以单价金额计算结果为准。</w:t>
      </w:r>
    </w:p>
    <w:p w14:paraId="73936734">
      <w:pPr>
        <w:ind w:firstLine="420" w:firstLineChars="200"/>
        <w:rPr>
          <w:rFonts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1CFCD480">
      <w:pPr>
        <w:ind w:firstLine="420" w:firstLineChars="200"/>
        <w:rPr>
          <w:rFonts w:ascii="黑体" w:hAnsi="宋体" w:eastAsia="黑体"/>
          <w:szCs w:val="21"/>
        </w:rPr>
      </w:pPr>
      <w:r>
        <w:rPr>
          <w:rFonts w:hint="eastAsia" w:ascii="黑体" w:hAnsi="宋体" w:eastAsia="黑体"/>
          <w:szCs w:val="21"/>
        </w:rPr>
        <w:t>35．投标文件的比较与评价</w:t>
      </w:r>
    </w:p>
    <w:p w14:paraId="33276DF9">
      <w:pPr>
        <w:ind w:firstLine="420" w:firstLineChars="200"/>
        <w:rPr>
          <w:rFonts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06F4626A">
      <w:pPr>
        <w:ind w:firstLine="420" w:firstLineChars="200"/>
        <w:rPr>
          <w:rFonts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14:paraId="654D0267">
      <w:pPr>
        <w:ind w:firstLine="420" w:firstLineChars="200"/>
        <w:rPr>
          <w:rFonts w:ascii="黑体" w:hAnsi="宋体" w:eastAsia="黑体"/>
          <w:szCs w:val="21"/>
        </w:rPr>
      </w:pPr>
      <w:r>
        <w:rPr>
          <w:rFonts w:hint="eastAsia" w:ascii="黑体" w:hAnsi="宋体" w:eastAsia="黑体"/>
          <w:szCs w:val="21"/>
        </w:rPr>
        <w:t>36. 实地考察或资料查验</w:t>
      </w:r>
    </w:p>
    <w:p w14:paraId="19D5FBC9">
      <w:pPr>
        <w:ind w:firstLine="420" w:firstLineChars="200"/>
        <w:rPr>
          <w:rFonts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14:paraId="5FC204EF">
      <w:pPr>
        <w:ind w:firstLine="420" w:firstLineChars="200"/>
        <w:rPr>
          <w:rFonts w:ascii="黑体" w:hAnsi="宋体" w:eastAsia="黑体"/>
          <w:szCs w:val="21"/>
        </w:rPr>
      </w:pPr>
      <w:r>
        <w:rPr>
          <w:rFonts w:hint="eastAsia" w:ascii="黑体" w:hAnsi="宋体" w:eastAsia="黑体"/>
          <w:szCs w:val="21"/>
        </w:rPr>
        <w:t>37．评审方法</w:t>
      </w:r>
    </w:p>
    <w:p w14:paraId="186718C0">
      <w:pPr>
        <w:ind w:firstLine="413" w:firstLineChars="196"/>
        <w:rPr>
          <w:rFonts w:ascii="宋体" w:hAnsi="宋体"/>
          <w:b/>
          <w:bCs/>
          <w:szCs w:val="21"/>
        </w:rPr>
      </w:pPr>
      <w:r>
        <w:rPr>
          <w:rFonts w:hint="eastAsia" w:ascii="宋体" w:hAnsi="宋体"/>
          <w:b/>
          <w:bCs/>
          <w:szCs w:val="21"/>
        </w:rPr>
        <w:t>37.1.1最低价法</w:t>
      </w:r>
    </w:p>
    <w:p w14:paraId="4CAB6F50">
      <w:pPr>
        <w:ind w:firstLine="411" w:firstLineChars="196"/>
        <w:rPr>
          <w:rFonts w:hint="eastAsia" w:ascii="ˎ̥" w:hAnsi="ˎ̥"/>
          <w:lang w:eastAsia="zh-CN"/>
        </w:rPr>
      </w:pPr>
      <w:r>
        <w:rPr>
          <w:rFonts w:ascii="ˎ̥" w:hAnsi="ˎ̥"/>
        </w:rPr>
        <w:t>最低价法，</w:t>
      </w:r>
      <w:r>
        <w:rPr>
          <w:rFonts w:hint="eastAsia" w:ascii="ˎ̥" w:hAnsi="ˎ̥"/>
        </w:rPr>
        <w:t>是指投标文件满足招标文件全部实质性要求，且投标报价最低的投标人为中标候选人的评标方法</w:t>
      </w:r>
      <w:r>
        <w:rPr>
          <w:rFonts w:hint="eastAsia" w:ascii="ˎ̥" w:hAnsi="ˎ̥"/>
          <w:lang w:eastAsia="zh-CN"/>
        </w:rPr>
        <w:t>。</w:t>
      </w:r>
    </w:p>
    <w:p w14:paraId="500CCAA1">
      <w:pPr>
        <w:ind w:firstLine="411" w:firstLineChars="196"/>
        <w:rPr>
          <w:rFonts w:hint="eastAsia" w:ascii="ˎ̥" w:hAnsi="ˎ̥" w:eastAsia="宋体"/>
          <w:lang w:eastAsia="zh-CN"/>
        </w:rPr>
      </w:pPr>
      <w:r>
        <w:rPr>
          <w:rFonts w:hint="eastAsia" w:ascii="ˎ̥" w:hAnsi="ˎ̥"/>
          <w:lang w:eastAsia="zh-CN"/>
        </w:rPr>
        <w:t>采用最低价法的，评标结果按投标报价由低到高顺序排列。投标报价相同的并列。投标文件满足招标文件全部实质性要求且投标报价最低的投标人为排名第一的中标候选人。中标候选人并列的，由采购人或者采购人委托评标委员会按照招标文件规定的方式确定中标人；招标文件未规定的，采取随机抽取的方式确定。</w:t>
      </w:r>
    </w:p>
    <w:p w14:paraId="0F4F9CDE">
      <w:pPr>
        <w:ind w:firstLine="413" w:firstLineChars="196"/>
        <w:rPr>
          <w:rFonts w:ascii="宋体" w:hAnsi="宋体"/>
          <w:b/>
          <w:bCs/>
          <w:szCs w:val="21"/>
        </w:rPr>
      </w:pPr>
      <w:r>
        <w:rPr>
          <w:rFonts w:hint="eastAsia" w:ascii="宋体" w:hAnsi="宋体"/>
          <w:b/>
          <w:bCs/>
          <w:szCs w:val="21"/>
        </w:rPr>
        <w:t>37.1.2综合评分法</w:t>
      </w:r>
    </w:p>
    <w:p w14:paraId="30FEE16F">
      <w:pPr>
        <w:ind w:firstLine="411" w:firstLineChars="196"/>
        <w:rPr>
          <w:rFonts w:hint="eastAsia" w:ascii="ˎ̥" w:hAnsi="ˎ̥"/>
          <w:lang w:eastAsia="zh-CN"/>
        </w:rPr>
      </w:pPr>
      <w:r>
        <w:rPr>
          <w:rFonts w:ascii="ˎ̥" w:hAnsi="ˎ̥"/>
        </w:rPr>
        <w:t>综合评分法，是指</w:t>
      </w:r>
      <w:r>
        <w:rPr>
          <w:rFonts w:hint="eastAsia" w:ascii="ˎ̥" w:hAnsi="ˎ̥"/>
        </w:rPr>
        <w:t>在</w:t>
      </w:r>
      <w:r>
        <w:rPr>
          <w:rFonts w:ascii="ˎ̥" w:hAnsi="ˎ̥"/>
        </w:rPr>
        <w:t>满足招标文件全部实质性要求</w:t>
      </w:r>
      <w:r>
        <w:rPr>
          <w:rFonts w:hint="eastAsia" w:ascii="ˎ̥" w:hAnsi="ˎ̥"/>
        </w:rPr>
        <w:t>的前提下</w:t>
      </w:r>
      <w:r>
        <w:rPr>
          <w:rFonts w:ascii="ˎ̥" w:hAnsi="ˎ̥"/>
        </w:rPr>
        <w:t>，</w:t>
      </w:r>
      <w:r>
        <w:rPr>
          <w:rFonts w:hint="eastAsia" w:ascii="ˎ̥" w:hAnsi="ˎ̥"/>
        </w:rPr>
        <w:t>按照招标文件中规定的各项因素进行综合评审，评审总得分排名前列的投标人，作为推荐的候选中标供应商</w:t>
      </w:r>
      <w:r>
        <w:rPr>
          <w:rFonts w:hint="eastAsia" w:ascii="ˎ̥" w:hAnsi="ˎ̥"/>
          <w:lang w:eastAsia="zh-CN"/>
        </w:rPr>
        <w:t>。</w:t>
      </w:r>
    </w:p>
    <w:p w14:paraId="65467475">
      <w:pPr>
        <w:ind w:firstLine="420" w:firstLineChars="200"/>
        <w:rPr>
          <w:rFonts w:hint="eastAsia" w:ascii="ˎ̥" w:hAnsi="ˎ̥"/>
          <w:lang w:eastAsia="zh-CN"/>
        </w:rPr>
      </w:pPr>
      <w:r>
        <w:rPr>
          <w:rFonts w:hint="eastAsia" w:ascii="ˎ̥" w:hAnsi="ˎ̥"/>
          <w:lang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中标候选人并列的，由采购人或者采购人委托评标委员会按照招标文件规定的方式确定中标人；招标文件未规定的，采取随机抽取的方式确定。</w:t>
      </w:r>
    </w:p>
    <w:p w14:paraId="1567A9A5">
      <w:pPr>
        <w:ind w:firstLine="422" w:firstLineChars="200"/>
        <w:rPr>
          <w:rFonts w:ascii="宋体" w:hAnsi="宋体"/>
          <w:b/>
          <w:bCs/>
          <w:szCs w:val="21"/>
        </w:rPr>
      </w:pPr>
      <w:r>
        <w:rPr>
          <w:rFonts w:hint="eastAsia" w:ascii="宋体" w:hAnsi="宋体"/>
          <w:b/>
          <w:bCs/>
          <w:szCs w:val="21"/>
        </w:rPr>
        <w:t>37.2 本项目采用的评审方法见本项目招标文件第一册“专用条款”的相关内容。</w:t>
      </w:r>
    </w:p>
    <w:p w14:paraId="562AA51A">
      <w:pPr>
        <w:ind w:firstLine="422" w:firstLineChars="200"/>
        <w:rPr>
          <w:rFonts w:ascii="宋体" w:hAnsi="宋体"/>
          <w:b/>
          <w:bCs/>
          <w:szCs w:val="21"/>
        </w:rPr>
      </w:pPr>
      <w:r>
        <w:rPr>
          <w:rFonts w:hint="eastAsia" w:ascii="宋体" w:hAnsi="宋体"/>
          <w:b/>
          <w:bCs/>
          <w:szCs w:val="21"/>
        </w:rPr>
        <w:t>37.3重新评审的情形</w:t>
      </w:r>
    </w:p>
    <w:p w14:paraId="3A326CB4">
      <w:pPr>
        <w:ind w:firstLine="420" w:firstLineChars="200"/>
        <w:rPr>
          <w:rFonts w:ascii="宋体" w:hAnsi="宋体"/>
          <w:b/>
          <w:bCs/>
          <w:szCs w:val="21"/>
        </w:rPr>
      </w:pPr>
      <w:r>
        <w:rPr>
          <w:rFonts w:hint="eastAsia" w:ascii="宋体" w:hAnsi="宋体" w:cs="宋体"/>
          <w:kern w:val="0"/>
          <w:szCs w:val="21"/>
        </w:rPr>
        <w:t>评审结果汇总完成后，除下列情形外，任何人不得修改评审结果：</w:t>
      </w:r>
    </w:p>
    <w:p w14:paraId="09CEA4C7">
      <w:pPr>
        <w:ind w:firstLine="420" w:firstLineChars="200"/>
        <w:rPr>
          <w:rFonts w:ascii="宋体" w:hAnsi="宋体" w:cs="宋体"/>
          <w:kern w:val="0"/>
          <w:szCs w:val="21"/>
        </w:rPr>
      </w:pPr>
      <w:r>
        <w:rPr>
          <w:rFonts w:hint="eastAsia" w:ascii="宋体" w:hAnsi="宋体" w:cs="宋体"/>
          <w:kern w:val="0"/>
          <w:szCs w:val="21"/>
        </w:rPr>
        <w:t>37.3.1分值汇总计算错误的；</w:t>
      </w:r>
    </w:p>
    <w:p w14:paraId="5EB30320">
      <w:pPr>
        <w:ind w:firstLine="420" w:firstLineChars="200"/>
        <w:rPr>
          <w:rFonts w:ascii="宋体" w:hAnsi="宋体" w:cs="宋体"/>
          <w:kern w:val="0"/>
          <w:szCs w:val="21"/>
        </w:rPr>
      </w:pPr>
      <w:r>
        <w:rPr>
          <w:rFonts w:hint="eastAsia" w:ascii="宋体" w:hAnsi="宋体" w:cs="宋体"/>
          <w:kern w:val="0"/>
          <w:szCs w:val="21"/>
        </w:rPr>
        <w:t>37.3.2分项评分超出评分标准范围的；</w:t>
      </w:r>
    </w:p>
    <w:p w14:paraId="0B875394">
      <w:pPr>
        <w:ind w:firstLine="420" w:firstLineChars="200"/>
        <w:rPr>
          <w:rFonts w:ascii="宋体" w:hAnsi="宋体" w:cs="宋体"/>
          <w:kern w:val="0"/>
          <w:szCs w:val="21"/>
        </w:rPr>
      </w:pPr>
      <w:r>
        <w:rPr>
          <w:rFonts w:hint="eastAsia" w:ascii="宋体" w:hAnsi="宋体" w:cs="宋体"/>
          <w:kern w:val="0"/>
          <w:szCs w:val="21"/>
        </w:rPr>
        <w:t>37.3.3评审委员会成员对客观评审因素评分不一致的；</w:t>
      </w:r>
    </w:p>
    <w:p w14:paraId="3F2C1782">
      <w:pPr>
        <w:ind w:firstLine="420" w:firstLineChars="200"/>
        <w:rPr>
          <w:rFonts w:ascii="宋体" w:hAnsi="宋体" w:cs="宋体"/>
          <w:kern w:val="0"/>
          <w:szCs w:val="21"/>
        </w:rPr>
      </w:pPr>
      <w:r>
        <w:rPr>
          <w:rFonts w:hint="eastAsia" w:ascii="宋体" w:hAnsi="宋体" w:cs="宋体"/>
          <w:kern w:val="0"/>
          <w:szCs w:val="21"/>
        </w:rPr>
        <w:t>37.3.4经评审委员会认定评分畸高、畸低的。</w:t>
      </w:r>
    </w:p>
    <w:p w14:paraId="77F2BCAA">
      <w:pPr>
        <w:ind w:firstLine="420" w:firstLineChars="200"/>
        <w:rPr>
          <w:rFonts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33B11E75">
      <w:pPr>
        <w:ind w:firstLine="420" w:firstLineChars="200"/>
        <w:rPr>
          <w:rFonts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14:paraId="70EFDD24">
      <w:pPr>
        <w:ind w:firstLine="422" w:firstLineChars="200"/>
        <w:rPr>
          <w:rFonts w:ascii="宋体" w:hAnsi="宋体"/>
          <w:b/>
          <w:bCs/>
          <w:szCs w:val="21"/>
        </w:rPr>
      </w:pPr>
      <w:r>
        <w:rPr>
          <w:rFonts w:hint="eastAsia" w:ascii="宋体" w:hAnsi="宋体"/>
          <w:b/>
          <w:bCs/>
          <w:szCs w:val="21"/>
        </w:rPr>
        <w:t xml:space="preserve"> 37.4重新组建评审委员会的情形</w:t>
      </w:r>
    </w:p>
    <w:p w14:paraId="1BACD0BD">
      <w:pPr>
        <w:ind w:firstLine="420" w:firstLineChars="200"/>
        <w:rPr>
          <w:rFonts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14:paraId="31510B44">
      <w:pPr>
        <w:ind w:firstLine="420" w:firstLineChars="200"/>
        <w:rPr>
          <w:rFonts w:ascii="宋体" w:hAnsi="宋体" w:cs="宋体"/>
          <w:kern w:val="0"/>
          <w:szCs w:val="21"/>
        </w:rPr>
      </w:pPr>
      <w:r>
        <w:rPr>
          <w:rFonts w:hint="eastAsia" w:ascii="宋体" w:hAnsi="宋体" w:cs="宋体"/>
          <w:kern w:val="0"/>
          <w:szCs w:val="21"/>
        </w:rPr>
        <w:t>37.4.1评审委员会组成不符合《政府采购货物和服务招标投标管理办法》规定的；</w:t>
      </w:r>
    </w:p>
    <w:p w14:paraId="159BA5E5">
      <w:pPr>
        <w:ind w:firstLine="420" w:firstLineChars="200"/>
        <w:rPr>
          <w:rFonts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14:paraId="6113335B">
      <w:pPr>
        <w:ind w:firstLine="420" w:firstLineChars="200"/>
        <w:rPr>
          <w:rFonts w:ascii="宋体" w:hAnsi="宋体" w:cs="宋体"/>
          <w:kern w:val="0"/>
          <w:szCs w:val="21"/>
        </w:rPr>
      </w:pPr>
      <w:r>
        <w:rPr>
          <w:rFonts w:hint="eastAsia" w:ascii="宋体" w:hAnsi="宋体" w:cs="宋体"/>
          <w:kern w:val="0"/>
          <w:szCs w:val="21"/>
        </w:rPr>
        <w:t>37.4.3评审委员会及其成员独立评标受到非法干预的；</w:t>
      </w:r>
    </w:p>
    <w:p w14:paraId="4A5867C1">
      <w:pPr>
        <w:ind w:firstLine="420" w:firstLineChars="200"/>
        <w:rPr>
          <w:rFonts w:ascii="宋体" w:hAnsi="宋体" w:cs="宋体"/>
          <w:kern w:val="0"/>
          <w:szCs w:val="21"/>
        </w:rPr>
      </w:pPr>
      <w:r>
        <w:rPr>
          <w:rFonts w:hint="eastAsia" w:ascii="宋体" w:hAnsi="宋体" w:cs="宋体"/>
          <w:kern w:val="0"/>
          <w:szCs w:val="21"/>
        </w:rPr>
        <w:t>37.4.4有政府采购法实施条例第七十五条规定的违法行为的。</w:t>
      </w:r>
    </w:p>
    <w:p w14:paraId="69DE2828">
      <w:pPr>
        <w:ind w:firstLine="420" w:firstLineChars="200"/>
        <w:rPr>
          <w:rFonts w:ascii="宋体" w:hAnsi="宋体" w:cs="宋体"/>
          <w:kern w:val="0"/>
          <w:szCs w:val="21"/>
        </w:rPr>
      </w:pPr>
      <w:r>
        <w:rPr>
          <w:rFonts w:hint="eastAsia" w:ascii="宋体" w:hAnsi="宋体" w:cs="宋体"/>
          <w:kern w:val="0"/>
          <w:szCs w:val="21"/>
        </w:rPr>
        <w:t>有违法违规行为的原评审委员会成员不得参加重新组建的评审委员会。</w:t>
      </w:r>
    </w:p>
    <w:p w14:paraId="1884269E">
      <w:pPr>
        <w:ind w:firstLine="411" w:firstLineChars="196"/>
        <w:rPr>
          <w:rFonts w:ascii="宋体" w:hAnsi="宋体"/>
          <w:szCs w:val="21"/>
        </w:rPr>
      </w:pPr>
    </w:p>
    <w:p w14:paraId="3CE7BB83">
      <w:pPr>
        <w:pStyle w:val="81"/>
        <w:keepNext/>
        <w:keepLines/>
        <w:numPr>
          <w:ilvl w:val="0"/>
          <w:numId w:val="16"/>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定标及公示</w:t>
      </w:r>
    </w:p>
    <w:p w14:paraId="29C025A5">
      <w:pPr>
        <w:ind w:firstLine="420" w:firstLineChars="200"/>
        <w:rPr>
          <w:rFonts w:ascii="黑体" w:hAnsi="宋体" w:eastAsia="黑体"/>
          <w:szCs w:val="21"/>
        </w:rPr>
      </w:pPr>
      <w:r>
        <w:rPr>
          <w:rFonts w:hint="eastAsia" w:ascii="黑体" w:hAnsi="宋体" w:eastAsia="黑体"/>
          <w:szCs w:val="21"/>
        </w:rPr>
        <w:t>38．定标方法</w:t>
      </w:r>
    </w:p>
    <w:p w14:paraId="6F18CEE4">
      <w:pPr>
        <w:ind w:firstLine="420" w:firstLineChars="200"/>
        <w:rPr>
          <w:rFonts w:ascii="宋体" w:hAnsi="宋体"/>
          <w:szCs w:val="21"/>
        </w:rPr>
      </w:pPr>
      <w:bookmarkStart w:id="72" w:name="_Hlk73782795"/>
      <w:r>
        <w:rPr>
          <w:rFonts w:hint="eastAsia" w:ascii="宋体" w:hAnsi="宋体"/>
          <w:szCs w:val="21"/>
        </w:rPr>
        <w:t>38.1非评定分离项目定标方法</w:t>
      </w:r>
    </w:p>
    <w:p w14:paraId="45D4151C">
      <w:pPr>
        <w:ind w:firstLine="420" w:firstLineChars="200"/>
        <w:rPr>
          <w:rFonts w:ascii="宋体" w:hAnsi="宋体"/>
          <w:szCs w:val="21"/>
          <w:highlight w:val="none"/>
        </w:rPr>
      </w:pPr>
      <w:r>
        <w:rPr>
          <w:rFonts w:hint="eastAsia" w:ascii="宋体" w:hAnsi="宋体"/>
          <w:szCs w:val="21"/>
        </w:rPr>
        <w:t>38.1.1评审委员会依据本项目招标文件所约定的评审方法进行评审</w:t>
      </w:r>
      <w:r>
        <w:rPr>
          <w:rFonts w:hint="eastAsia" w:ascii="宋体" w:hAnsi="宋体"/>
          <w:szCs w:val="21"/>
          <w:highlight w:val="none"/>
        </w:rPr>
        <w:t>和比较，向</w:t>
      </w:r>
      <w:r>
        <w:rPr>
          <w:rFonts w:hint="eastAsia" w:ascii="宋体" w:hAnsi="宋体"/>
          <w:szCs w:val="21"/>
          <w:highlight w:val="none"/>
          <w:lang w:val="en-US" w:eastAsia="zh-CN"/>
        </w:rPr>
        <w:t>采购代理机构</w:t>
      </w:r>
      <w:r>
        <w:rPr>
          <w:rFonts w:hint="eastAsia" w:ascii="宋体" w:hAnsi="宋体"/>
          <w:szCs w:val="21"/>
          <w:highlight w:val="none"/>
        </w:rPr>
        <w:t>提交书面评审报告，并根据评审方法比较评价结果从优到劣进行排序，确定候选中标供应商。</w:t>
      </w:r>
    </w:p>
    <w:p w14:paraId="6BC80739">
      <w:pPr>
        <w:ind w:firstLine="420" w:firstLineChars="200"/>
        <w:rPr>
          <w:rFonts w:ascii="ˎ̥" w:hAnsi="ˎ̥"/>
          <w:szCs w:val="21"/>
        </w:rPr>
      </w:pPr>
      <w:r>
        <w:rPr>
          <w:rFonts w:hint="eastAsia" w:ascii="宋体" w:hAnsi="宋体"/>
          <w:szCs w:val="21"/>
        </w:rPr>
        <w:t>38.1.2</w:t>
      </w:r>
      <w:r>
        <w:rPr>
          <w:rFonts w:ascii="ˎ̥" w:hAnsi="ˎ̥"/>
        </w:rPr>
        <w:t>采用最低价法的，评</w:t>
      </w:r>
      <w:r>
        <w:rPr>
          <w:rFonts w:hint="eastAsia" w:ascii="ˎ̥" w:hAnsi="ˎ̥"/>
        </w:rPr>
        <w:t>审</w:t>
      </w:r>
      <w:r>
        <w:rPr>
          <w:rFonts w:ascii="ˎ̥" w:hAnsi="ˎ̥"/>
        </w:rPr>
        <w:t>结果按投标报价由低到高顺序排列。投标报价相同的并列。投标文件满足招标文件全部实质性要求且投标报价最低的</w:t>
      </w:r>
      <w:r>
        <w:rPr>
          <w:rFonts w:hint="eastAsia" w:ascii="ˎ̥" w:hAnsi="ˎ̥"/>
        </w:rPr>
        <w:t>投标人为中标供应商</w:t>
      </w:r>
      <w:r>
        <w:rPr>
          <w:rFonts w:hint="eastAsia" w:ascii="ˎ̥" w:hAnsi="ˎ̥"/>
          <w:szCs w:val="21"/>
        </w:rPr>
        <w:t>。</w:t>
      </w:r>
    </w:p>
    <w:p w14:paraId="7856B531">
      <w:pPr>
        <w:ind w:firstLine="420" w:firstLineChars="200"/>
        <w:rPr>
          <w:rFonts w:hint="eastAsia" w:ascii="ˎ̥" w:hAnsi="ˎ̥"/>
          <w:szCs w:val="21"/>
        </w:rPr>
      </w:pPr>
      <w:r>
        <w:rPr>
          <w:rFonts w:hint="eastAsia" w:ascii="宋体" w:hAnsi="宋体"/>
          <w:szCs w:val="21"/>
        </w:rPr>
        <w:t>38.1.3采</w:t>
      </w:r>
      <w:r>
        <w:rPr>
          <w:rFonts w:hint="eastAsia" w:ascii="ˎ̥" w:hAnsi="ˎ̥"/>
          <w:szCs w:val="21"/>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供应商。出现得分且投标报价相同的并列情况时，采取随机抽取的方式确定，具体操作办法及流程由评审委员会确定（如“专用条款”中另有规定的以“专用条款”相关规定内容为准）。</w:t>
      </w:r>
    </w:p>
    <w:p w14:paraId="2A2E13C4">
      <w:pPr>
        <w:ind w:firstLine="420" w:firstLineChars="200"/>
        <w:rPr>
          <w:rFonts w:ascii="宋体" w:hAnsi="宋体"/>
          <w:szCs w:val="21"/>
        </w:rPr>
      </w:pPr>
      <w:r>
        <w:rPr>
          <w:rFonts w:hint="eastAsia" w:ascii="宋体" w:hAnsi="宋体"/>
          <w:szCs w:val="21"/>
        </w:rPr>
        <w:t>38.2评定分离项目定标方法</w:t>
      </w:r>
    </w:p>
    <w:p w14:paraId="3D3384C7">
      <w:pPr>
        <w:ind w:firstLine="420" w:firstLineChars="200"/>
        <w:rPr>
          <w:rFonts w:ascii="宋体" w:hAnsi="宋体"/>
          <w:szCs w:val="21"/>
        </w:rPr>
      </w:pPr>
      <w:r>
        <w:rPr>
          <w:rFonts w:hint="eastAsia" w:ascii="宋体" w:hAnsi="宋体"/>
          <w:szCs w:val="21"/>
        </w:rPr>
        <w:t>38.2.1评定分离是指在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64613E22">
      <w:pPr>
        <w:ind w:firstLine="420" w:firstLineChars="200"/>
        <w:rPr>
          <w:szCs w:val="21"/>
        </w:rPr>
      </w:pPr>
      <w:r>
        <w:rPr>
          <w:rFonts w:hint="eastAsia" w:ascii="宋体" w:hAnsi="宋体"/>
          <w:szCs w:val="21"/>
        </w:rPr>
        <w:t xml:space="preserve">38.2.2 </w:t>
      </w:r>
      <w:bookmarkStart w:id="73" w:name="_Hlk71469733"/>
      <w:r>
        <w:rPr>
          <w:rFonts w:hint="eastAsia"/>
          <w:szCs w:val="21"/>
        </w:rPr>
        <w:t>适用评定分离的采购项目，采用综合评分法评审。</w:t>
      </w:r>
      <w:r>
        <w:rPr>
          <w:rFonts w:hint="eastAsia" w:ascii="宋体" w:hAnsi="宋体"/>
          <w:szCs w:val="21"/>
        </w:rPr>
        <w:t>评审委员会按照评审结果，推荐</w:t>
      </w:r>
      <w:r>
        <w:rPr>
          <w:rFonts w:hint="eastAsia"/>
          <w:szCs w:val="21"/>
        </w:rPr>
        <w:t>三个合格的候选中标供应商。</w:t>
      </w:r>
    </w:p>
    <w:p w14:paraId="05774380">
      <w:pPr>
        <w:ind w:firstLine="420" w:firstLineChars="200"/>
        <w:rPr>
          <w:rFonts w:ascii="宋体" w:hAnsi="宋体"/>
          <w:szCs w:val="21"/>
          <w:highlight w:val="none"/>
        </w:rPr>
      </w:pPr>
      <w:r>
        <w:rPr>
          <w:rFonts w:hint="eastAsia" w:ascii="宋体" w:hAnsi="宋体"/>
          <w:szCs w:val="21"/>
        </w:rPr>
        <w:t>38.2</w:t>
      </w:r>
      <w:r>
        <w:rPr>
          <w:rFonts w:hint="eastAsia" w:ascii="宋体" w:hAnsi="宋体"/>
          <w:szCs w:val="21"/>
          <w:highlight w:val="none"/>
        </w:rPr>
        <w:t>.3</w:t>
      </w:r>
      <w:bookmarkStart w:id="74" w:name="_Hlk71469688"/>
      <w:r>
        <w:rPr>
          <w:rFonts w:hint="eastAsia"/>
          <w:szCs w:val="21"/>
          <w:highlight w:val="none"/>
        </w:rPr>
        <w:t>适用评定分离的采购项目，</w:t>
      </w:r>
      <w:r>
        <w:rPr>
          <w:rFonts w:hint="eastAsia" w:ascii="宋体" w:hAnsi="宋体"/>
          <w:szCs w:val="21"/>
          <w:highlight w:val="none"/>
        </w:rPr>
        <w:t>按照自定法确定中标供应商：自定法是指采购人组织定标委员会，由定标委员会在三家候选中标供应商中确定中标供应商。</w:t>
      </w:r>
      <w:bookmarkEnd w:id="73"/>
      <w:bookmarkEnd w:id="74"/>
    </w:p>
    <w:p w14:paraId="138270B6">
      <w:pPr>
        <w:ind w:firstLine="420" w:firstLineChars="200"/>
        <w:rPr>
          <w:rFonts w:ascii="宋体" w:hAnsi="宋体"/>
          <w:szCs w:val="21"/>
          <w:highlight w:val="none"/>
        </w:rPr>
      </w:pPr>
      <w:r>
        <w:rPr>
          <w:rFonts w:hint="eastAsia" w:ascii="宋体" w:hAnsi="宋体"/>
          <w:szCs w:val="21"/>
          <w:highlight w:val="none"/>
        </w:rPr>
        <w:t>38.2.4</w:t>
      </w:r>
      <w:r>
        <w:rPr>
          <w:rFonts w:hint="eastAsia" w:ascii="宋体" w:hAnsi="宋体"/>
          <w:szCs w:val="21"/>
          <w:highlight w:val="none"/>
          <w:lang w:val="en-US" w:eastAsia="zh-CN"/>
        </w:rPr>
        <w:t>采购代理机构</w:t>
      </w:r>
      <w:r>
        <w:rPr>
          <w:rFonts w:hint="eastAsia"/>
          <w:szCs w:val="21"/>
          <w:highlight w:val="none"/>
        </w:rPr>
        <w:t>应当自评审结束之日起两个工作日内将候选中标供应商名单及其投标文件、评审报告送交采购人</w:t>
      </w:r>
      <w:r>
        <w:rPr>
          <w:rFonts w:hint="eastAsia" w:ascii="宋体" w:hAnsi="宋体"/>
          <w:szCs w:val="21"/>
          <w:highlight w:val="none"/>
        </w:rPr>
        <w:t>。</w:t>
      </w:r>
      <w:r>
        <w:rPr>
          <w:rFonts w:hint="eastAsia"/>
          <w:szCs w:val="21"/>
          <w:highlight w:val="none"/>
        </w:rPr>
        <w:t>采购人应当安排专人对定标过程进行书面记录，形成定标报告，作为采购文件的组成部分存档，并及时将定标结果反馈</w:t>
      </w:r>
      <w:r>
        <w:rPr>
          <w:rFonts w:hint="eastAsia" w:ascii="宋体" w:hAnsi="宋体"/>
          <w:szCs w:val="21"/>
          <w:highlight w:val="none"/>
          <w:lang w:val="en-US" w:eastAsia="zh-CN"/>
        </w:rPr>
        <w:t>采购代理机构</w:t>
      </w:r>
      <w:r>
        <w:rPr>
          <w:rFonts w:hint="eastAsia"/>
          <w:szCs w:val="21"/>
          <w:highlight w:val="none"/>
        </w:rPr>
        <w:t>。具体定标程序及相关要求以参照《深圳市财政局关于印发</w:t>
      </w:r>
      <w:r>
        <w:rPr>
          <w:rFonts w:hint="eastAsia" w:ascii="宋体" w:hAnsi="宋体"/>
          <w:szCs w:val="21"/>
          <w:highlight w:val="none"/>
        </w:rPr>
        <w:t>〈</w:t>
      </w:r>
      <w:r>
        <w:rPr>
          <w:rFonts w:hint="eastAsia"/>
          <w:szCs w:val="21"/>
          <w:highlight w:val="none"/>
        </w:rPr>
        <w:t>深圳市政府采购评标定标分离管理办法</w:t>
      </w:r>
      <w:r>
        <w:rPr>
          <w:rFonts w:hint="eastAsia" w:ascii="宋体" w:hAnsi="宋体"/>
          <w:szCs w:val="21"/>
          <w:highlight w:val="none"/>
        </w:rPr>
        <w:t>〉</w:t>
      </w:r>
      <w:r>
        <w:rPr>
          <w:rFonts w:hint="eastAsia"/>
          <w:szCs w:val="21"/>
          <w:highlight w:val="none"/>
        </w:rPr>
        <w:t>的通知》（深财规【</w:t>
      </w:r>
      <w:r>
        <w:rPr>
          <w:szCs w:val="21"/>
          <w:highlight w:val="none"/>
        </w:rPr>
        <w:t>2020</w:t>
      </w:r>
      <w:r>
        <w:rPr>
          <w:rFonts w:hint="eastAsia"/>
          <w:szCs w:val="21"/>
          <w:highlight w:val="none"/>
        </w:rPr>
        <w:t>】</w:t>
      </w:r>
      <w:r>
        <w:rPr>
          <w:szCs w:val="21"/>
          <w:highlight w:val="none"/>
        </w:rPr>
        <w:t>1</w:t>
      </w:r>
      <w:r>
        <w:rPr>
          <w:rFonts w:hint="eastAsia"/>
          <w:szCs w:val="21"/>
          <w:highlight w:val="none"/>
        </w:rPr>
        <w:t>号）执行。</w:t>
      </w:r>
    </w:p>
    <w:p w14:paraId="52ACD0F5">
      <w:pPr>
        <w:ind w:firstLine="420" w:firstLineChars="200"/>
        <w:rPr>
          <w:rFonts w:ascii="宋体" w:hAnsi="宋体"/>
          <w:szCs w:val="21"/>
        </w:rPr>
      </w:pPr>
      <w:r>
        <w:rPr>
          <w:rFonts w:hint="eastAsia" w:ascii="宋体" w:hAnsi="宋体"/>
          <w:szCs w:val="21"/>
          <w:highlight w:val="none"/>
        </w:rPr>
        <w:t>说明：采购人及投标供应商应按照上述方法提前做好</w:t>
      </w:r>
      <w:r>
        <w:rPr>
          <w:rFonts w:hint="eastAsia" w:ascii="宋体" w:hAnsi="宋体"/>
          <w:szCs w:val="21"/>
        </w:rPr>
        <w:t>相关准备。</w:t>
      </w:r>
    </w:p>
    <w:p w14:paraId="6E5F6493">
      <w:pPr>
        <w:ind w:firstLine="420" w:firstLineChars="200"/>
        <w:rPr>
          <w:rFonts w:ascii="宋体" w:hAnsi="宋体"/>
          <w:szCs w:val="21"/>
        </w:rPr>
      </w:pPr>
      <w:r>
        <w:rPr>
          <w:rFonts w:hint="eastAsia" w:ascii="宋体" w:hAnsi="宋体"/>
          <w:szCs w:val="21"/>
        </w:rPr>
        <w:t>38.3专用条款另有规定的，按专用条款相关要求定标。</w:t>
      </w:r>
      <w:bookmarkEnd w:id="72"/>
    </w:p>
    <w:p w14:paraId="393405A1">
      <w:pPr>
        <w:ind w:firstLine="420" w:firstLineChars="200"/>
        <w:rPr>
          <w:rFonts w:ascii="黑体" w:hAnsi="宋体" w:eastAsia="黑体"/>
          <w:szCs w:val="21"/>
        </w:rPr>
      </w:pPr>
      <w:r>
        <w:rPr>
          <w:rFonts w:hint="eastAsia" w:ascii="黑体" w:hAnsi="宋体" w:eastAsia="黑体"/>
          <w:szCs w:val="21"/>
        </w:rPr>
        <w:t>39．编写评审报告</w:t>
      </w:r>
    </w:p>
    <w:p w14:paraId="2494371A">
      <w:pPr>
        <w:ind w:firstLine="420" w:firstLineChars="200"/>
        <w:rPr>
          <w:rFonts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27BD1886">
      <w:pPr>
        <w:ind w:firstLine="420" w:firstLineChars="200"/>
        <w:rPr>
          <w:rFonts w:ascii="黑体" w:hAnsi="宋体" w:eastAsia="黑体"/>
          <w:szCs w:val="21"/>
        </w:rPr>
      </w:pPr>
      <w:r>
        <w:rPr>
          <w:rFonts w:hint="eastAsia" w:ascii="黑体" w:hAnsi="宋体" w:eastAsia="黑体"/>
          <w:szCs w:val="21"/>
        </w:rPr>
        <w:t>40．中标公告</w:t>
      </w:r>
    </w:p>
    <w:p w14:paraId="6A25805B">
      <w:pPr>
        <w:ind w:firstLine="420" w:firstLineChars="200"/>
        <w:rPr>
          <w:rFonts w:ascii="宋体" w:hAnsi="宋体"/>
          <w:szCs w:val="21"/>
          <w:highlight w:val="none"/>
        </w:rPr>
      </w:pPr>
      <w:r>
        <w:rPr>
          <w:rFonts w:hint="eastAsia" w:ascii="宋体" w:hAnsi="宋体"/>
          <w:szCs w:val="21"/>
        </w:rPr>
        <w:t>40.1</w:t>
      </w:r>
      <w:bookmarkStart w:id="75" w:name="_Hlk72438709"/>
      <w:r>
        <w:rPr>
          <w:rFonts w:hint="eastAsia" w:ascii="宋体" w:hAnsi="宋体"/>
          <w:szCs w:val="21"/>
        </w:rPr>
        <w:t>为体现“公开、公</w:t>
      </w:r>
      <w:r>
        <w:rPr>
          <w:rFonts w:hint="eastAsia" w:ascii="宋体" w:hAnsi="宋体"/>
          <w:szCs w:val="21"/>
          <w:highlight w:val="none"/>
        </w:rPr>
        <w:t>平、公正”的原则，评审结束后经采购人确认（确定）评审结果，</w:t>
      </w:r>
      <w:r>
        <w:rPr>
          <w:rFonts w:hint="eastAsia" w:ascii="宋体" w:hAnsi="宋体"/>
          <w:szCs w:val="21"/>
          <w:highlight w:val="none"/>
          <w:lang w:val="en-US" w:eastAsia="zh-CN"/>
        </w:rPr>
        <w:t>采购代理机构</w:t>
      </w:r>
      <w:r>
        <w:rPr>
          <w:rFonts w:hint="eastAsia" w:ascii="宋体" w:hAnsi="宋体"/>
          <w:szCs w:val="21"/>
          <w:highlight w:val="none"/>
        </w:rPr>
        <w:t>将在深圳交易集团（深圳公共资源交易中心）官网</w:t>
      </w:r>
      <w:r>
        <w:rPr>
          <w:rFonts w:hint="eastAsia" w:ascii="宋体" w:hAnsi="宋体"/>
          <w:b/>
          <w:bCs/>
          <w:szCs w:val="21"/>
          <w:highlight w:val="none"/>
        </w:rPr>
        <w:t>https://www.szexgrp.com/jyfw/zfcg-view.html?id=zfcg</w:t>
      </w:r>
      <w:r>
        <w:rPr>
          <w:rFonts w:hint="eastAsia" w:ascii="宋体" w:hAnsi="宋体"/>
          <w:szCs w:val="21"/>
          <w:highlight w:val="none"/>
        </w:rPr>
        <w:t>上发布中标结果公告。</w:t>
      </w:r>
      <w:bookmarkEnd w:id="75"/>
      <w:bookmarkStart w:id="76" w:name="_Hlk72438751"/>
      <w:r>
        <w:rPr>
          <w:rFonts w:hint="eastAsia" w:ascii="宋体" w:hAnsi="宋体"/>
          <w:szCs w:val="21"/>
          <w:highlight w:val="none"/>
        </w:rPr>
        <w:t>供应商如对评审结果有异议，可在发布公示日期起七个工作日内向采购代理机构提出。监督电话：0755-86500050。若在公示期内未提出质疑，则视为认同该评审结果。</w:t>
      </w:r>
    </w:p>
    <w:bookmarkEnd w:id="76"/>
    <w:p w14:paraId="38F2C721">
      <w:pPr>
        <w:ind w:firstLine="420" w:firstLineChars="200"/>
        <w:rPr>
          <w:rFonts w:ascii="宋体" w:hAnsi="宋体"/>
          <w:szCs w:val="21"/>
          <w:highlight w:val="none"/>
        </w:rPr>
      </w:pPr>
      <w:r>
        <w:rPr>
          <w:rFonts w:hint="eastAsia" w:ascii="宋体" w:hAnsi="宋体"/>
          <w:szCs w:val="21"/>
          <w:highlight w:val="none"/>
        </w:rPr>
        <w:t>40.2质疑、投诉供应商应保证质疑、投诉内容的真实性和可靠性，并承担相应的法律责任。</w:t>
      </w:r>
    </w:p>
    <w:p w14:paraId="6A11F8F7">
      <w:pPr>
        <w:ind w:firstLine="420" w:firstLineChars="200"/>
        <w:rPr>
          <w:rFonts w:ascii="黑体" w:hAnsi="宋体" w:eastAsia="黑体"/>
          <w:szCs w:val="21"/>
          <w:highlight w:val="none"/>
        </w:rPr>
      </w:pPr>
      <w:r>
        <w:rPr>
          <w:rFonts w:hint="eastAsia" w:ascii="黑体" w:hAnsi="宋体" w:eastAsia="黑体"/>
          <w:szCs w:val="21"/>
          <w:highlight w:val="none"/>
        </w:rPr>
        <w:t>41．中标通知书</w:t>
      </w:r>
    </w:p>
    <w:p w14:paraId="49A334E6">
      <w:pPr>
        <w:ind w:firstLine="420" w:firstLineChars="200"/>
        <w:rPr>
          <w:rFonts w:ascii="宋体" w:hAnsi="宋体"/>
          <w:szCs w:val="21"/>
          <w:highlight w:val="none"/>
        </w:rPr>
      </w:pPr>
      <w:r>
        <w:rPr>
          <w:rFonts w:hint="eastAsia" w:ascii="宋体" w:hAnsi="宋体"/>
          <w:szCs w:val="21"/>
          <w:highlight w:val="none"/>
        </w:rPr>
        <w:t>41.1</w:t>
      </w:r>
      <w:bookmarkStart w:id="77" w:name="_Hlk72438863"/>
      <w:r>
        <w:rPr>
          <w:rFonts w:hint="eastAsia" w:ascii="宋体" w:hAnsi="宋体"/>
          <w:szCs w:val="21"/>
          <w:highlight w:val="none"/>
        </w:rPr>
        <w:t>中标公告公布以后无异常的情况下,中标供应商和采购人可自行在</w:t>
      </w:r>
      <w:r>
        <w:rPr>
          <w:rFonts w:hint="eastAsia" w:ascii="宋体" w:hAnsi="宋体"/>
          <w:b/>
          <w:bCs/>
          <w:szCs w:val="21"/>
          <w:highlight w:val="none"/>
        </w:rPr>
        <w:t>“</w:t>
      </w:r>
      <w:r>
        <w:rPr>
          <w:rFonts w:hint="eastAsia" w:ascii="宋体" w:hAnsi="宋体"/>
          <w:szCs w:val="21"/>
          <w:highlight w:val="none"/>
        </w:rPr>
        <w:t>深圳市自行采购系统（https://trade.szggzy.com/ggzy/center/#/login）</w:t>
      </w:r>
      <w:r>
        <w:rPr>
          <w:rFonts w:hint="eastAsia" w:ascii="宋体" w:hAnsi="宋体"/>
          <w:b/>
          <w:bCs/>
          <w:szCs w:val="21"/>
          <w:highlight w:val="none"/>
        </w:rPr>
        <w:t>”</w:t>
      </w:r>
      <w:r>
        <w:rPr>
          <w:rFonts w:hint="eastAsia" w:ascii="宋体" w:hAnsi="宋体"/>
          <w:szCs w:val="21"/>
          <w:highlight w:val="none"/>
        </w:rPr>
        <w:t>上打印</w:t>
      </w:r>
      <w:r>
        <w:rPr>
          <w:rFonts w:hint="eastAsia" w:ascii="宋体" w:hAnsi="宋体"/>
          <w:b/>
          <w:szCs w:val="21"/>
          <w:highlight w:val="none"/>
        </w:rPr>
        <w:t>《数字中标通知书》</w:t>
      </w:r>
      <w:r>
        <w:rPr>
          <w:rFonts w:hint="eastAsia" w:ascii="宋体" w:hAnsi="宋体"/>
          <w:szCs w:val="21"/>
          <w:highlight w:val="none"/>
        </w:rPr>
        <w:t>。</w:t>
      </w:r>
      <w:bookmarkEnd w:id="77"/>
    </w:p>
    <w:p w14:paraId="4AF5C217">
      <w:pPr>
        <w:ind w:firstLine="420" w:firstLineChars="200"/>
        <w:rPr>
          <w:rFonts w:ascii="宋体" w:hAnsi="宋体"/>
          <w:szCs w:val="21"/>
          <w:highlight w:val="none"/>
        </w:rPr>
      </w:pPr>
      <w:r>
        <w:rPr>
          <w:rFonts w:hint="eastAsia" w:ascii="宋体" w:hAnsi="宋体"/>
          <w:szCs w:val="21"/>
          <w:highlight w:val="none"/>
        </w:rPr>
        <w:t>41.2中标通知书是合同的重要组成部分。</w:t>
      </w:r>
    </w:p>
    <w:p w14:paraId="61B84B1A">
      <w:pPr>
        <w:ind w:firstLine="420" w:firstLineChars="200"/>
        <w:rPr>
          <w:rFonts w:ascii="宋体" w:hAnsi="宋体"/>
          <w:szCs w:val="21"/>
        </w:rPr>
      </w:pPr>
      <w:bookmarkStart w:id="78" w:name="_Hlk71407340"/>
      <w:r>
        <w:rPr>
          <w:rFonts w:hint="eastAsia" w:ascii="宋体" w:hAnsi="宋体"/>
          <w:szCs w:val="21"/>
          <w:highlight w:val="none"/>
        </w:rPr>
        <w:t>41.3因质疑投诉或其它原因导致项目结果变更或采购终止的，</w:t>
      </w:r>
      <w:r>
        <w:rPr>
          <w:rFonts w:hint="eastAsia" w:ascii="宋体" w:hAnsi="宋体"/>
          <w:szCs w:val="21"/>
          <w:highlight w:val="none"/>
          <w:lang w:val="en-US" w:eastAsia="zh-CN"/>
        </w:rPr>
        <w:t>采购代理机构</w:t>
      </w:r>
      <w:r>
        <w:rPr>
          <w:rFonts w:hint="eastAsia" w:ascii="宋体" w:hAnsi="宋体"/>
          <w:szCs w:val="21"/>
          <w:highlight w:val="none"/>
        </w:rPr>
        <w:t>有权</w:t>
      </w:r>
      <w:r>
        <w:rPr>
          <w:rFonts w:hint="eastAsia" w:ascii="宋体" w:hAnsi="宋体"/>
          <w:szCs w:val="21"/>
        </w:rPr>
        <w:t>吊销中标通知书。</w:t>
      </w:r>
      <w:bookmarkEnd w:id="78"/>
    </w:p>
    <w:p w14:paraId="60F1418B">
      <w:pPr>
        <w:pStyle w:val="81"/>
        <w:keepNext/>
        <w:keepLines/>
        <w:numPr>
          <w:ilvl w:val="0"/>
          <w:numId w:val="16"/>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公开招标失败的后续处理</w:t>
      </w:r>
    </w:p>
    <w:p w14:paraId="46EAB3AF">
      <w:pPr>
        <w:ind w:firstLine="420" w:firstLineChars="200"/>
        <w:rPr>
          <w:rFonts w:ascii="黑体" w:hAnsi="宋体" w:eastAsia="黑体"/>
          <w:szCs w:val="21"/>
        </w:rPr>
      </w:pPr>
      <w:r>
        <w:rPr>
          <w:rFonts w:hint="eastAsia" w:ascii="黑体" w:hAnsi="宋体" w:eastAsia="黑体"/>
          <w:szCs w:val="21"/>
        </w:rPr>
        <w:t>42．公开招标失败的处理</w:t>
      </w:r>
    </w:p>
    <w:p w14:paraId="3841A5C3">
      <w:pPr>
        <w:ind w:firstLine="411" w:firstLineChars="196"/>
        <w:rPr>
          <w:rFonts w:ascii="宋体" w:hAnsi="宋体"/>
          <w:highlight w:val="none"/>
        </w:rPr>
      </w:pPr>
      <w:r>
        <w:rPr>
          <w:rFonts w:hint="eastAsia" w:ascii="宋体" w:hAnsi="宋体"/>
          <w:szCs w:val="21"/>
        </w:rPr>
        <w:t>42.1本项目公开招标过程中若由于投标</w:t>
      </w:r>
      <w:r>
        <w:rPr>
          <w:rFonts w:hint="eastAsia" w:ascii="宋体" w:hAnsi="宋体"/>
          <w:szCs w:val="21"/>
          <w:highlight w:val="none"/>
        </w:rPr>
        <w:t>截止后</w:t>
      </w:r>
      <w:r>
        <w:rPr>
          <w:rFonts w:hint="eastAsia" w:ascii="宋体" w:hAnsi="宋体"/>
          <w:highlight w:val="none"/>
        </w:rPr>
        <w:t>实际递交投标文件的供应商数量不足、经</w:t>
      </w:r>
      <w:r>
        <w:rPr>
          <w:rFonts w:hint="eastAsia" w:ascii="宋体" w:hAnsi="宋体"/>
          <w:szCs w:val="21"/>
          <w:highlight w:val="none"/>
        </w:rPr>
        <w:t>评审委员会</w:t>
      </w:r>
      <w:r>
        <w:rPr>
          <w:rFonts w:hint="eastAsia" w:ascii="宋体" w:hAnsi="宋体"/>
          <w:highlight w:val="none"/>
        </w:rPr>
        <w:t>评审对招标文件作实质响应的供应商不足等原因造成公开招标失败，可由</w:t>
      </w:r>
      <w:r>
        <w:rPr>
          <w:rFonts w:hint="eastAsia" w:ascii="宋体" w:hAnsi="宋体"/>
          <w:szCs w:val="21"/>
          <w:highlight w:val="none"/>
          <w:lang w:val="en-US" w:eastAsia="zh-CN"/>
        </w:rPr>
        <w:t>采购代理机构</w:t>
      </w:r>
      <w:r>
        <w:rPr>
          <w:rFonts w:hint="eastAsia" w:ascii="宋体" w:hAnsi="宋体"/>
          <w:highlight w:val="none"/>
        </w:rPr>
        <w:t>重新组织采购。</w:t>
      </w:r>
    </w:p>
    <w:p w14:paraId="569D5D20">
      <w:pPr>
        <w:ind w:firstLine="411" w:firstLineChars="196"/>
        <w:rPr>
          <w:rFonts w:ascii="宋体" w:hAnsi="宋体"/>
          <w:szCs w:val="21"/>
          <w:highlight w:val="none"/>
        </w:rPr>
      </w:pPr>
      <w:r>
        <w:rPr>
          <w:rFonts w:hint="eastAsia" w:ascii="宋体" w:hAnsi="宋体"/>
          <w:szCs w:val="21"/>
          <w:highlight w:val="none"/>
        </w:rPr>
        <w:t>42.2对公开招标失败的项目，评审委员会在出具该项目招标失败结论的同时，可以提出重新采购组织形式的建议，以及进一步完善招标文件的资格、技术、商务要求的修改建议。</w:t>
      </w:r>
    </w:p>
    <w:p w14:paraId="02D20DF9">
      <w:pPr>
        <w:ind w:firstLine="411" w:firstLineChars="196"/>
        <w:rPr>
          <w:rFonts w:ascii="宋体" w:hAnsi="宋体"/>
          <w:szCs w:val="21"/>
          <w:highlight w:val="none"/>
        </w:rPr>
      </w:pPr>
      <w:r>
        <w:rPr>
          <w:rFonts w:hint="eastAsia" w:ascii="宋体" w:hAnsi="宋体"/>
          <w:szCs w:val="21"/>
          <w:highlight w:val="none"/>
        </w:rPr>
        <w:t>42.3重新组织采购有以下两种组织形式：</w:t>
      </w:r>
    </w:p>
    <w:p w14:paraId="141AAE86">
      <w:pPr>
        <w:ind w:firstLine="411" w:firstLineChars="196"/>
        <w:rPr>
          <w:rFonts w:ascii="宋体" w:hAnsi="宋体"/>
          <w:highlight w:val="none"/>
        </w:rPr>
      </w:pPr>
      <w:r>
        <w:rPr>
          <w:rFonts w:hint="eastAsia" w:ascii="宋体" w:hAnsi="宋体"/>
          <w:highlight w:val="none"/>
        </w:rPr>
        <w:t>（1）由</w:t>
      </w:r>
      <w:r>
        <w:rPr>
          <w:rFonts w:hint="eastAsia" w:ascii="宋体" w:hAnsi="宋体"/>
          <w:szCs w:val="21"/>
          <w:highlight w:val="none"/>
          <w:lang w:val="en-US" w:eastAsia="zh-CN"/>
        </w:rPr>
        <w:t>采购代理机构</w:t>
      </w:r>
      <w:r>
        <w:rPr>
          <w:rFonts w:hint="eastAsia" w:ascii="宋体" w:hAnsi="宋体"/>
          <w:highlight w:val="none"/>
        </w:rPr>
        <w:t>重新组织公开招标；</w:t>
      </w:r>
    </w:p>
    <w:p w14:paraId="542A44BF">
      <w:pPr>
        <w:ind w:firstLine="411" w:firstLineChars="196"/>
        <w:rPr>
          <w:rFonts w:ascii="宋体" w:hAnsi="宋体"/>
          <w:highlight w:val="none"/>
        </w:rPr>
      </w:pPr>
      <w:r>
        <w:rPr>
          <w:rFonts w:hint="eastAsia" w:ascii="宋体" w:hAnsi="宋体"/>
          <w:highlight w:val="none"/>
        </w:rPr>
        <w:t>（2）</w:t>
      </w:r>
      <w:r>
        <w:rPr>
          <w:rFonts w:hint="eastAsia" w:ascii="宋体" w:hAnsi="宋体"/>
          <w:highlight w:val="none"/>
          <w:lang w:val="en-US" w:eastAsia="zh-CN"/>
        </w:rPr>
        <w:t>如需要</w:t>
      </w:r>
      <w:r>
        <w:rPr>
          <w:rFonts w:hint="eastAsia" w:ascii="宋体" w:hAnsi="宋体"/>
          <w:highlight w:val="none"/>
        </w:rPr>
        <w:t>根据实际情况向采购人主管部门提出非公开招标方式申请</w:t>
      </w:r>
      <w:r>
        <w:rPr>
          <w:rFonts w:hint="eastAsia" w:ascii="宋体" w:hAnsi="宋体"/>
          <w:highlight w:val="none"/>
          <w:lang w:val="en-US" w:eastAsia="zh-CN"/>
        </w:rPr>
        <w:t>的</w:t>
      </w:r>
      <w:r>
        <w:rPr>
          <w:rFonts w:hint="eastAsia" w:ascii="宋体" w:hAnsi="宋体"/>
          <w:highlight w:val="none"/>
        </w:rPr>
        <w:t>，经采购人主管部门批准，公开招标失败采购项目可转为竞争性谈判或单一来源谈判方式采购。</w:t>
      </w:r>
    </w:p>
    <w:p w14:paraId="5E8988E3">
      <w:pPr>
        <w:ind w:firstLine="411" w:firstLineChars="196"/>
        <w:rPr>
          <w:rFonts w:ascii="宋体" w:hAnsi="宋体"/>
          <w:highlight w:val="none"/>
        </w:rPr>
      </w:pPr>
      <w:r>
        <w:rPr>
          <w:rFonts w:hint="eastAsia" w:ascii="宋体" w:hAnsi="宋体"/>
          <w:highlight w:val="none"/>
        </w:rPr>
        <w:t>42.4公开招标失败的采购项目重新组织公开招标，由</w:t>
      </w:r>
      <w:r>
        <w:rPr>
          <w:rFonts w:hint="eastAsia" w:ascii="宋体" w:hAnsi="宋体"/>
          <w:szCs w:val="21"/>
          <w:highlight w:val="none"/>
          <w:lang w:val="en-US" w:eastAsia="zh-CN"/>
        </w:rPr>
        <w:t>采购代理机构</w:t>
      </w:r>
      <w:r>
        <w:rPr>
          <w:rFonts w:hint="eastAsia" w:ascii="宋体" w:hAnsi="宋体"/>
          <w:highlight w:val="none"/>
        </w:rPr>
        <w:t>重新按公开招标流程组织采购活动。</w:t>
      </w:r>
    </w:p>
    <w:p w14:paraId="50B3A951">
      <w:pPr>
        <w:ind w:firstLine="420" w:firstLineChars="200"/>
        <w:rPr>
          <w:rFonts w:ascii="黑体" w:hAnsi="宋体" w:eastAsia="黑体"/>
          <w:sz w:val="24"/>
          <w:highlight w:val="none"/>
        </w:rPr>
      </w:pPr>
      <w:r>
        <w:rPr>
          <w:rFonts w:hint="eastAsia" w:ascii="宋体" w:hAnsi="宋体"/>
          <w:highlight w:val="none"/>
        </w:rPr>
        <w:t>42.5公开招标失败的采购项目转为竞争性谈判或单一来源谈判方式采购的，按规定要求组织自行采购工作。</w:t>
      </w:r>
    </w:p>
    <w:p w14:paraId="39428B19">
      <w:pPr>
        <w:pStyle w:val="81"/>
        <w:keepNext/>
        <w:keepLines/>
        <w:numPr>
          <w:ilvl w:val="0"/>
          <w:numId w:val="16"/>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highlight w:val="none"/>
        </w:rPr>
      </w:pPr>
      <w:bookmarkStart w:id="79" w:name="_Hlk72439043"/>
      <w:r>
        <w:rPr>
          <w:rFonts w:hint="eastAsia" w:ascii="Cambria" w:hAnsi="Cambria" w:cs="宋体"/>
          <w:b/>
          <w:bCs/>
          <w:sz w:val="28"/>
          <w:szCs w:val="28"/>
          <w:highlight w:val="none"/>
        </w:rPr>
        <w:t>合同的授予与备案</w:t>
      </w:r>
      <w:bookmarkEnd w:id="79"/>
    </w:p>
    <w:p w14:paraId="1274F88B">
      <w:pPr>
        <w:ind w:firstLine="420" w:firstLineChars="200"/>
        <w:rPr>
          <w:rFonts w:ascii="黑体" w:hAnsi="宋体" w:eastAsia="黑体"/>
          <w:szCs w:val="21"/>
          <w:highlight w:val="none"/>
        </w:rPr>
      </w:pPr>
      <w:bookmarkStart w:id="80" w:name="_Toc73521674"/>
      <w:bookmarkStart w:id="81" w:name="_Toc73521586"/>
      <w:bookmarkStart w:id="82" w:name="_Toc73517679"/>
      <w:bookmarkStart w:id="83" w:name="_Toc100052408"/>
      <w:bookmarkStart w:id="84" w:name="_Toc73518157"/>
      <w:bookmarkStart w:id="85" w:name="_Hlk72439088"/>
      <w:r>
        <w:rPr>
          <w:rFonts w:hint="eastAsia" w:ascii="黑体" w:hAnsi="宋体" w:eastAsia="黑体"/>
          <w:szCs w:val="21"/>
          <w:highlight w:val="none"/>
        </w:rPr>
        <w:t>43．合同授予标准</w:t>
      </w:r>
      <w:bookmarkEnd w:id="80"/>
      <w:bookmarkEnd w:id="81"/>
      <w:bookmarkEnd w:id="82"/>
      <w:bookmarkEnd w:id="83"/>
      <w:bookmarkEnd w:id="84"/>
    </w:p>
    <w:p w14:paraId="7BE04C4D">
      <w:pPr>
        <w:ind w:firstLine="420" w:firstLineChars="200"/>
        <w:rPr>
          <w:rFonts w:ascii="宋体" w:hAnsi="宋体"/>
          <w:szCs w:val="21"/>
          <w:highlight w:val="none"/>
        </w:rPr>
      </w:pPr>
      <w:r>
        <w:rPr>
          <w:rFonts w:hint="eastAsia" w:ascii="宋体" w:hAnsi="宋体"/>
          <w:szCs w:val="21"/>
          <w:highlight w:val="none"/>
        </w:rPr>
        <w:t>本项目的合同将授予经本招标文件规定评审确定的中标供应商。</w:t>
      </w:r>
    </w:p>
    <w:p w14:paraId="21E8898C">
      <w:pPr>
        <w:ind w:firstLine="420" w:firstLineChars="200"/>
        <w:rPr>
          <w:rFonts w:ascii="黑体" w:hAnsi="宋体" w:eastAsia="黑体"/>
          <w:szCs w:val="21"/>
          <w:highlight w:val="none"/>
        </w:rPr>
      </w:pPr>
      <w:bookmarkStart w:id="86" w:name="_Toc100052409"/>
      <w:bookmarkStart w:id="87" w:name="_Toc73521675"/>
      <w:bookmarkStart w:id="88" w:name="_Toc73517680"/>
      <w:bookmarkStart w:id="89" w:name="_Toc73518158"/>
      <w:bookmarkStart w:id="90" w:name="_Toc73521587"/>
      <w:r>
        <w:rPr>
          <w:rFonts w:hint="eastAsia" w:ascii="黑体" w:hAnsi="宋体" w:eastAsia="黑体"/>
          <w:szCs w:val="21"/>
          <w:highlight w:val="none"/>
        </w:rPr>
        <w:t>44．</w:t>
      </w:r>
      <w:bookmarkEnd w:id="86"/>
      <w:bookmarkEnd w:id="87"/>
      <w:bookmarkEnd w:id="88"/>
      <w:bookmarkEnd w:id="89"/>
      <w:bookmarkEnd w:id="90"/>
      <w:r>
        <w:rPr>
          <w:rFonts w:hint="eastAsia" w:ascii="黑体" w:hAnsi="宋体" w:eastAsia="黑体"/>
          <w:szCs w:val="21"/>
          <w:highlight w:val="none"/>
        </w:rPr>
        <w:t>接受和拒绝任何或所有投标的权力</w:t>
      </w:r>
    </w:p>
    <w:p w14:paraId="267834F2">
      <w:pPr>
        <w:ind w:firstLine="420" w:firstLineChars="200"/>
        <w:rPr>
          <w:rFonts w:ascii="宋体" w:hAnsi="宋体"/>
          <w:szCs w:val="21"/>
          <w:highlight w:val="none"/>
        </w:rPr>
      </w:pPr>
      <w:r>
        <w:rPr>
          <w:rFonts w:hint="eastAsia" w:ascii="宋体" w:hAnsi="宋体"/>
          <w:szCs w:val="21"/>
          <w:highlight w:val="none"/>
          <w:lang w:val="en-US" w:eastAsia="zh-CN"/>
        </w:rPr>
        <w:t>采购代理机构</w:t>
      </w:r>
      <w:r>
        <w:rPr>
          <w:rFonts w:hint="eastAsia" w:ascii="宋体" w:hAnsi="宋体"/>
          <w:szCs w:val="21"/>
          <w:highlight w:val="none"/>
        </w:rPr>
        <w:t>和采购人保留在投标之前任何时候接受或拒绝任何投标或所有投标，以及宣布招标无效的权力，对受影响的投标人不承担任何责任，也无义务向受影响的投标人解释采取这一行动的理由。</w:t>
      </w:r>
    </w:p>
    <w:p w14:paraId="099D0308">
      <w:pPr>
        <w:ind w:firstLine="420" w:firstLineChars="200"/>
        <w:rPr>
          <w:rFonts w:ascii="黑体" w:hAnsi="宋体" w:eastAsia="黑体"/>
          <w:szCs w:val="21"/>
          <w:highlight w:val="none"/>
        </w:rPr>
      </w:pPr>
      <w:bookmarkStart w:id="91" w:name="_Toc73517682"/>
      <w:bookmarkStart w:id="92" w:name="_Toc73521589"/>
      <w:bookmarkStart w:id="93" w:name="_Toc100052410"/>
      <w:bookmarkStart w:id="94" w:name="_Toc73518160"/>
      <w:bookmarkStart w:id="95" w:name="_Toc73521677"/>
      <w:r>
        <w:rPr>
          <w:rFonts w:hint="eastAsia" w:ascii="黑体" w:hAnsi="宋体" w:eastAsia="黑体"/>
          <w:szCs w:val="21"/>
          <w:highlight w:val="none"/>
        </w:rPr>
        <w:t>45．合同的签订</w:t>
      </w:r>
      <w:bookmarkEnd w:id="91"/>
      <w:bookmarkEnd w:id="92"/>
      <w:bookmarkEnd w:id="93"/>
      <w:bookmarkEnd w:id="94"/>
      <w:bookmarkEnd w:id="95"/>
    </w:p>
    <w:p w14:paraId="2F3A67C9">
      <w:pPr>
        <w:ind w:firstLine="420" w:firstLineChars="200"/>
        <w:rPr>
          <w:rFonts w:ascii="宋体" w:hAnsi="宋体"/>
          <w:szCs w:val="21"/>
          <w:highlight w:val="none"/>
        </w:rPr>
      </w:pPr>
      <w:r>
        <w:rPr>
          <w:rFonts w:hint="eastAsia" w:ascii="宋体" w:hAnsi="宋体"/>
          <w:szCs w:val="21"/>
          <w:highlight w:val="none"/>
        </w:rPr>
        <w:t>45.1中标人将于中标通知书发出之日起十个工作日内，按照采购文件（招标文件和投标文件等）内容与采购人签订采购合同；合同的实质性内容应当符合招标文件的规定；</w:t>
      </w:r>
    </w:p>
    <w:p w14:paraId="5E046A80">
      <w:pPr>
        <w:ind w:firstLine="420" w:firstLineChars="200"/>
        <w:rPr>
          <w:rFonts w:ascii="宋体" w:hAnsi="宋体"/>
          <w:szCs w:val="21"/>
          <w:highlight w:val="none"/>
        </w:rPr>
      </w:pPr>
      <w:r>
        <w:rPr>
          <w:rFonts w:hint="eastAsia" w:ascii="宋体" w:hAnsi="宋体"/>
          <w:szCs w:val="21"/>
          <w:highlight w:val="none"/>
        </w:rPr>
        <w:t>45.2中标人如不按本通用条款第45.1款的规定与采购人签订合同，</w:t>
      </w:r>
      <w:r>
        <w:rPr>
          <w:rFonts w:hint="eastAsia" w:ascii="宋体" w:hAnsi="宋体" w:cs="宋体"/>
          <w:kern w:val="0"/>
          <w:szCs w:val="21"/>
          <w:highlight w:val="none"/>
        </w:rPr>
        <w:t>情节严重的，由同级财政部门记入供应商诚信档案，予以通报</w:t>
      </w:r>
      <w:r>
        <w:rPr>
          <w:rFonts w:hint="eastAsia" w:ascii="宋体" w:hAnsi="宋体"/>
          <w:szCs w:val="21"/>
          <w:highlight w:val="none"/>
        </w:rPr>
        <w:t>；</w:t>
      </w:r>
    </w:p>
    <w:p w14:paraId="321B4B00">
      <w:pPr>
        <w:ind w:firstLine="420" w:firstLineChars="200"/>
        <w:rPr>
          <w:rFonts w:ascii="宋体" w:hAnsi="宋体"/>
          <w:szCs w:val="21"/>
          <w:highlight w:val="none"/>
        </w:rPr>
      </w:pPr>
      <w:r>
        <w:rPr>
          <w:rFonts w:hint="eastAsia" w:ascii="宋体" w:hAnsi="宋体"/>
          <w:szCs w:val="21"/>
          <w:highlight w:val="none"/>
        </w:rPr>
        <w:t>45.3中标人应当按照合同约定履行义务，完成中标项目，不得将中标项目转让（转包）给他人。</w:t>
      </w:r>
    </w:p>
    <w:p w14:paraId="66BB9485">
      <w:pPr>
        <w:ind w:firstLine="420" w:firstLineChars="200"/>
        <w:rPr>
          <w:rFonts w:ascii="黑体" w:hAnsi="宋体" w:eastAsia="黑体"/>
          <w:szCs w:val="21"/>
          <w:highlight w:val="none"/>
        </w:rPr>
      </w:pPr>
      <w:bookmarkStart w:id="96" w:name="_Toc73521678"/>
      <w:bookmarkStart w:id="97" w:name="_Toc100052411"/>
      <w:bookmarkStart w:id="98" w:name="_Toc73517683"/>
      <w:bookmarkStart w:id="99" w:name="_Toc73521590"/>
      <w:bookmarkStart w:id="100" w:name="_Toc73518161"/>
      <w:r>
        <w:rPr>
          <w:rFonts w:hint="eastAsia" w:ascii="黑体" w:hAnsi="宋体" w:eastAsia="黑体"/>
          <w:szCs w:val="21"/>
          <w:highlight w:val="none"/>
        </w:rPr>
        <w:t>46．履约担保</w:t>
      </w:r>
      <w:bookmarkEnd w:id="96"/>
      <w:bookmarkEnd w:id="97"/>
      <w:bookmarkEnd w:id="98"/>
      <w:bookmarkEnd w:id="99"/>
      <w:bookmarkEnd w:id="100"/>
    </w:p>
    <w:p w14:paraId="2D12CE29">
      <w:pPr>
        <w:ind w:firstLine="420" w:firstLineChars="200"/>
        <w:rPr>
          <w:rFonts w:ascii="宋体" w:hAnsi="宋体"/>
          <w:szCs w:val="21"/>
          <w:highlight w:val="none"/>
        </w:rPr>
      </w:pPr>
      <w:r>
        <w:rPr>
          <w:rFonts w:hint="eastAsia" w:ascii="宋体" w:hAnsi="宋体"/>
          <w:szCs w:val="21"/>
          <w:highlight w:val="none"/>
        </w:rPr>
        <w:t>46.1在签订项目合同的同时，中标人应按“对通用条款的补充内容”中规定的金额向采购人提交履约担保；</w:t>
      </w:r>
    </w:p>
    <w:p w14:paraId="50DFD030">
      <w:pPr>
        <w:ind w:firstLine="420" w:firstLineChars="200"/>
        <w:rPr>
          <w:rFonts w:ascii="宋体" w:hAnsi="宋体"/>
          <w:szCs w:val="21"/>
          <w:highlight w:val="none"/>
        </w:rPr>
      </w:pPr>
      <w:r>
        <w:rPr>
          <w:rFonts w:hint="eastAsia" w:ascii="宋体" w:hAnsi="宋体"/>
          <w:szCs w:val="21"/>
          <w:highlight w:val="none"/>
        </w:rPr>
        <w:t>46.2，允许供应商自主选择以支票、汇票、本票、保函等非现金方式提交履约担保；</w:t>
      </w:r>
      <w:r>
        <w:rPr>
          <w:rFonts w:hint="eastAsia"/>
          <w:szCs w:val="21"/>
          <w:highlight w:val="none"/>
        </w:rPr>
        <w:t>中标人提交履约担保不是合同签订的前提条件，不要求中标人提供除法律、法规明确规定外的其他担保。</w:t>
      </w:r>
    </w:p>
    <w:p w14:paraId="0FA6E07A">
      <w:pPr>
        <w:ind w:firstLine="420" w:firstLineChars="200"/>
        <w:rPr>
          <w:rFonts w:ascii="黑体" w:hAnsi="宋体" w:eastAsia="黑体"/>
          <w:szCs w:val="21"/>
          <w:highlight w:val="none"/>
        </w:rPr>
      </w:pPr>
      <w:r>
        <w:rPr>
          <w:rFonts w:hint="eastAsia" w:ascii="黑体" w:hAnsi="宋体" w:eastAsia="黑体"/>
          <w:szCs w:val="21"/>
          <w:highlight w:val="none"/>
        </w:rPr>
        <w:t>47. 合同备案</w:t>
      </w:r>
    </w:p>
    <w:p w14:paraId="13C3184B">
      <w:pPr>
        <w:ind w:firstLine="420" w:firstLineChars="200"/>
        <w:rPr>
          <w:rFonts w:hint="eastAsia" w:ascii="黑体" w:hAnsi="宋体" w:eastAsia="黑体"/>
          <w:szCs w:val="21"/>
          <w:highlight w:val="none"/>
          <w:lang w:eastAsia="zh-CN"/>
        </w:rPr>
      </w:pPr>
      <w:r>
        <w:rPr>
          <w:rFonts w:hint="eastAsia" w:ascii="黑体" w:hAnsi="宋体" w:eastAsia="黑体"/>
          <w:szCs w:val="21"/>
          <w:highlight w:val="none"/>
        </w:rPr>
        <w:t>自行采购项目，无需办理政府采购合同备案</w:t>
      </w:r>
      <w:r>
        <w:rPr>
          <w:rFonts w:hint="eastAsia" w:ascii="黑体" w:hAnsi="宋体" w:eastAsia="黑体"/>
          <w:szCs w:val="21"/>
          <w:highlight w:val="none"/>
          <w:lang w:eastAsia="zh-CN"/>
        </w:rPr>
        <w:t>。</w:t>
      </w:r>
    </w:p>
    <w:p w14:paraId="085E37F2">
      <w:pPr>
        <w:ind w:firstLine="420" w:firstLineChars="200"/>
        <w:rPr>
          <w:rFonts w:ascii="黑体" w:hAnsi="宋体" w:eastAsia="黑体"/>
          <w:szCs w:val="21"/>
          <w:highlight w:val="none"/>
        </w:rPr>
      </w:pPr>
      <w:r>
        <w:rPr>
          <w:rFonts w:hint="eastAsia" w:ascii="黑体" w:hAnsi="宋体" w:eastAsia="黑体"/>
          <w:szCs w:val="21"/>
          <w:highlight w:val="none"/>
        </w:rPr>
        <w:t>48. 合同变更</w:t>
      </w:r>
    </w:p>
    <w:p w14:paraId="0492B479">
      <w:pPr>
        <w:ind w:firstLine="420" w:firstLineChars="200"/>
        <w:rPr>
          <w:rFonts w:ascii="宋体" w:hAnsi="宋体"/>
          <w:szCs w:val="21"/>
          <w:highlight w:val="none"/>
        </w:rPr>
      </w:pPr>
      <w:r>
        <w:rPr>
          <w:rFonts w:hint="eastAsia" w:ascii="宋体" w:hAnsi="宋体"/>
          <w:szCs w:val="21"/>
          <w:highlight w:val="none"/>
        </w:rPr>
        <w:t>合同变更事宜参照《深圳市财政局关于优化政府采购合同备案的通知》（深财发保〔2022〕2号）相关规定，按采购人内控制度执行。</w:t>
      </w:r>
    </w:p>
    <w:p w14:paraId="7B7FE6C9">
      <w:pPr>
        <w:ind w:firstLine="420" w:firstLineChars="200"/>
        <w:rPr>
          <w:rFonts w:ascii="黑体" w:hAnsi="宋体" w:eastAsia="黑体"/>
          <w:szCs w:val="21"/>
          <w:highlight w:val="none"/>
        </w:rPr>
      </w:pPr>
      <w:r>
        <w:rPr>
          <w:rFonts w:hint="eastAsia" w:ascii="黑体" w:hAnsi="宋体" w:eastAsia="黑体"/>
          <w:szCs w:val="21"/>
          <w:highlight w:val="none"/>
        </w:rPr>
        <w:t>49. 项目验收</w:t>
      </w:r>
    </w:p>
    <w:p w14:paraId="2385E70E">
      <w:pPr>
        <w:widowControl/>
        <w:ind w:firstLine="420" w:firstLineChars="200"/>
        <w:jc w:val="left"/>
        <w:rPr>
          <w:rFonts w:ascii="宋体" w:hAnsi="宋体"/>
          <w:szCs w:val="21"/>
          <w:highlight w:val="none"/>
        </w:rPr>
      </w:pPr>
      <w:r>
        <w:rPr>
          <w:rFonts w:hint="eastAsia" w:ascii="宋体" w:hAnsi="宋体"/>
          <w:szCs w:val="21"/>
          <w:highlight w:val="none"/>
        </w:rPr>
        <w:t xml:space="preserve">49.1采购人应当按照招标文件和合同规定的标准和方法，及时组织验收。 </w:t>
      </w:r>
    </w:p>
    <w:p w14:paraId="78E699EA">
      <w:pPr>
        <w:ind w:firstLine="420" w:firstLineChars="200"/>
        <w:rPr>
          <w:rFonts w:ascii="黑体" w:hAnsi="宋体" w:eastAsia="黑体"/>
          <w:szCs w:val="21"/>
          <w:highlight w:val="none"/>
        </w:rPr>
      </w:pPr>
      <w:r>
        <w:rPr>
          <w:rFonts w:hint="eastAsia" w:ascii="黑体" w:hAnsi="宋体" w:eastAsia="黑体"/>
          <w:szCs w:val="21"/>
          <w:highlight w:val="none"/>
        </w:rPr>
        <w:t>50. 宣传</w:t>
      </w:r>
    </w:p>
    <w:p w14:paraId="02116F47">
      <w:pPr>
        <w:ind w:firstLine="420" w:firstLineChars="200"/>
        <w:rPr>
          <w:rFonts w:ascii="宋体" w:hAnsi="宋体"/>
          <w:szCs w:val="21"/>
          <w:highlight w:val="none"/>
        </w:rPr>
      </w:pPr>
      <w:r>
        <w:rPr>
          <w:rFonts w:hint="eastAsia" w:ascii="宋体" w:hAnsi="宋体"/>
          <w:szCs w:val="21"/>
          <w:highlight w:val="none"/>
        </w:rPr>
        <w:t>凡与采购活动有关的宣传或广告，若当中提及本项目采购，必须事先将具体对外宣传方案报采购人预算主管部门，并征得其同意。对外市场宣传包括但不限于以下形式：</w:t>
      </w:r>
    </w:p>
    <w:p w14:paraId="03D4090A">
      <w:pPr>
        <w:ind w:firstLine="420" w:firstLineChars="200"/>
        <w:rPr>
          <w:rFonts w:ascii="宋体" w:hAnsi="宋体"/>
          <w:szCs w:val="21"/>
          <w:highlight w:val="none"/>
        </w:rPr>
      </w:pPr>
      <w:r>
        <w:rPr>
          <w:rFonts w:hint="eastAsia" w:ascii="宋体" w:hAnsi="宋体"/>
          <w:szCs w:val="21"/>
          <w:highlight w:val="none"/>
        </w:rPr>
        <w:t>a.名片、宣传册、广告标语等；</w:t>
      </w:r>
    </w:p>
    <w:p w14:paraId="3A319AE5">
      <w:pPr>
        <w:ind w:firstLine="420" w:firstLineChars="200"/>
        <w:rPr>
          <w:rFonts w:ascii="宋体" w:hAnsi="宋体"/>
          <w:szCs w:val="21"/>
          <w:highlight w:val="none"/>
        </w:rPr>
      </w:pPr>
      <w:r>
        <w:rPr>
          <w:rFonts w:hint="eastAsia" w:ascii="宋体" w:hAnsi="宋体"/>
          <w:szCs w:val="21"/>
          <w:highlight w:val="none"/>
        </w:rPr>
        <w:t>b.案例介绍、推广等；</w:t>
      </w:r>
    </w:p>
    <w:p w14:paraId="0A9B9230">
      <w:pPr>
        <w:ind w:firstLine="420" w:firstLineChars="200"/>
        <w:rPr>
          <w:rFonts w:ascii="宋体" w:hAnsi="宋体"/>
          <w:szCs w:val="21"/>
          <w:highlight w:val="none"/>
        </w:rPr>
      </w:pPr>
      <w:r>
        <w:rPr>
          <w:rFonts w:hint="eastAsia" w:ascii="宋体" w:hAnsi="宋体"/>
          <w:szCs w:val="21"/>
          <w:highlight w:val="none"/>
        </w:rPr>
        <w:t>c.工作人员向其他消费群体宣传。</w:t>
      </w:r>
    </w:p>
    <w:p w14:paraId="56ACCD48">
      <w:pPr>
        <w:ind w:firstLine="420" w:firstLineChars="200"/>
        <w:rPr>
          <w:rFonts w:ascii="黑体" w:hAnsi="宋体" w:eastAsia="黑体"/>
          <w:szCs w:val="21"/>
          <w:highlight w:val="none"/>
        </w:rPr>
      </w:pPr>
      <w:r>
        <w:rPr>
          <w:rFonts w:hint="eastAsia" w:ascii="黑体" w:hAnsi="宋体" w:eastAsia="黑体"/>
          <w:szCs w:val="21"/>
          <w:highlight w:val="none"/>
        </w:rPr>
        <w:t>51. 供应商违法责任</w:t>
      </w:r>
    </w:p>
    <w:p w14:paraId="0EE5CB4D">
      <w:pPr>
        <w:ind w:firstLine="420" w:firstLineChars="200"/>
        <w:rPr>
          <w:rFonts w:ascii="宋体" w:hAnsi="宋体"/>
          <w:szCs w:val="21"/>
          <w:highlight w:val="none"/>
        </w:rPr>
      </w:pPr>
      <w:r>
        <w:rPr>
          <w:rFonts w:hint="eastAsia" w:ascii="宋体" w:hAnsi="宋体"/>
          <w:szCs w:val="21"/>
          <w:highlight w:val="none"/>
        </w:rPr>
        <w:t>51.1《深圳经济特区政府采购条例》第五十七条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50AD97FE">
      <w:pPr>
        <w:ind w:firstLine="420" w:firstLineChars="200"/>
        <w:rPr>
          <w:rFonts w:ascii="宋体" w:hAnsi="宋体"/>
          <w:szCs w:val="21"/>
          <w:highlight w:val="none"/>
        </w:rPr>
      </w:pPr>
      <w:r>
        <w:rPr>
          <w:rFonts w:hint="eastAsia" w:ascii="宋体" w:hAnsi="宋体"/>
          <w:szCs w:val="21"/>
          <w:highlight w:val="none"/>
        </w:rPr>
        <w:t>（1）在采购活动中应当回避而未回避的；</w:t>
      </w:r>
    </w:p>
    <w:p w14:paraId="3D0F7AB2">
      <w:pPr>
        <w:ind w:firstLine="420" w:firstLineChars="200"/>
        <w:rPr>
          <w:rFonts w:ascii="宋体" w:hAnsi="宋体"/>
          <w:szCs w:val="21"/>
          <w:highlight w:val="none"/>
        </w:rPr>
      </w:pPr>
      <w:r>
        <w:rPr>
          <w:rFonts w:hint="eastAsia" w:ascii="宋体" w:hAnsi="宋体"/>
          <w:szCs w:val="21"/>
          <w:highlight w:val="none"/>
        </w:rPr>
        <w:t>（2）未按本条例规定签订、履行采购合同，造成严重后果的；</w:t>
      </w:r>
    </w:p>
    <w:p w14:paraId="5B756255">
      <w:pPr>
        <w:ind w:firstLine="420" w:firstLineChars="200"/>
        <w:rPr>
          <w:rFonts w:ascii="宋体" w:hAnsi="宋体"/>
          <w:szCs w:val="21"/>
          <w:highlight w:val="none"/>
        </w:rPr>
      </w:pPr>
      <w:r>
        <w:rPr>
          <w:rFonts w:hint="eastAsia" w:ascii="宋体" w:hAnsi="宋体"/>
          <w:szCs w:val="21"/>
          <w:highlight w:val="none"/>
        </w:rPr>
        <w:t>（3）隐瞒真实情况，提供虚假资料的；</w:t>
      </w:r>
    </w:p>
    <w:p w14:paraId="5BFFB02F">
      <w:pPr>
        <w:ind w:firstLine="420" w:firstLineChars="200"/>
        <w:rPr>
          <w:rFonts w:ascii="宋体" w:hAnsi="宋体"/>
          <w:szCs w:val="21"/>
          <w:highlight w:val="none"/>
        </w:rPr>
      </w:pPr>
      <w:r>
        <w:rPr>
          <w:rFonts w:hint="eastAsia" w:ascii="宋体" w:hAnsi="宋体"/>
          <w:szCs w:val="21"/>
          <w:highlight w:val="none"/>
        </w:rPr>
        <w:t>（4）以非法手段排斥其他供应商参与竞争的；</w:t>
      </w:r>
    </w:p>
    <w:p w14:paraId="46741D26">
      <w:pPr>
        <w:ind w:firstLine="420" w:firstLineChars="200"/>
        <w:rPr>
          <w:rFonts w:ascii="宋体" w:hAnsi="宋体"/>
          <w:szCs w:val="21"/>
          <w:highlight w:val="none"/>
        </w:rPr>
      </w:pPr>
      <w:r>
        <w:rPr>
          <w:rFonts w:hint="eastAsia" w:ascii="宋体" w:hAnsi="宋体"/>
          <w:szCs w:val="21"/>
          <w:highlight w:val="none"/>
        </w:rPr>
        <w:t>（5）与其他采购参加人串通投标的；</w:t>
      </w:r>
    </w:p>
    <w:p w14:paraId="39BE07BE">
      <w:pPr>
        <w:ind w:firstLine="420" w:firstLineChars="200"/>
        <w:rPr>
          <w:rFonts w:ascii="宋体" w:hAnsi="宋体"/>
          <w:szCs w:val="21"/>
          <w:highlight w:val="none"/>
        </w:rPr>
      </w:pPr>
      <w:r>
        <w:rPr>
          <w:rFonts w:hint="eastAsia" w:ascii="宋体" w:hAnsi="宋体"/>
          <w:szCs w:val="21"/>
          <w:highlight w:val="none"/>
        </w:rPr>
        <w:t>（6）恶意投诉的；</w:t>
      </w:r>
    </w:p>
    <w:p w14:paraId="043E282F">
      <w:pPr>
        <w:ind w:firstLine="420" w:firstLineChars="200"/>
        <w:rPr>
          <w:rFonts w:ascii="宋体" w:hAnsi="宋体"/>
          <w:szCs w:val="21"/>
          <w:highlight w:val="none"/>
        </w:rPr>
      </w:pPr>
      <w:r>
        <w:rPr>
          <w:rFonts w:hint="eastAsia" w:ascii="宋体" w:hAnsi="宋体"/>
          <w:szCs w:val="21"/>
          <w:highlight w:val="none"/>
        </w:rPr>
        <w:t>（7）向采购项目相关人行贿或者提供其他不当利益的；</w:t>
      </w:r>
    </w:p>
    <w:p w14:paraId="0CB3D9BA">
      <w:pPr>
        <w:ind w:firstLine="420" w:firstLineChars="200"/>
        <w:rPr>
          <w:rFonts w:ascii="宋体" w:hAnsi="宋体"/>
          <w:szCs w:val="21"/>
          <w:highlight w:val="none"/>
        </w:rPr>
      </w:pPr>
      <w:r>
        <w:rPr>
          <w:rFonts w:hint="eastAsia" w:ascii="宋体" w:hAnsi="宋体"/>
          <w:szCs w:val="21"/>
          <w:highlight w:val="none"/>
        </w:rPr>
        <w:t>（8）阻碍、抗拒主管部门监督检查的；</w:t>
      </w:r>
    </w:p>
    <w:p w14:paraId="64DB64D8">
      <w:pPr>
        <w:ind w:firstLine="420" w:firstLineChars="200"/>
        <w:rPr>
          <w:rFonts w:ascii="宋体" w:hAnsi="宋体"/>
          <w:szCs w:val="21"/>
          <w:highlight w:val="none"/>
        </w:rPr>
      </w:pPr>
      <w:r>
        <w:rPr>
          <w:rFonts w:hint="eastAsia" w:ascii="宋体" w:hAnsi="宋体"/>
          <w:szCs w:val="21"/>
          <w:highlight w:val="none"/>
        </w:rPr>
        <w:t>（9）其他违反本条例规定的行为。</w:t>
      </w:r>
    </w:p>
    <w:p w14:paraId="17A3AC9C">
      <w:pPr>
        <w:ind w:firstLine="420" w:firstLineChars="200"/>
        <w:rPr>
          <w:rFonts w:ascii="宋体" w:hAnsi="宋体"/>
          <w:szCs w:val="21"/>
          <w:highlight w:val="none"/>
        </w:rPr>
      </w:pPr>
      <w:r>
        <w:rPr>
          <w:rFonts w:hint="eastAsia" w:ascii="宋体" w:hAnsi="宋体"/>
          <w:szCs w:val="21"/>
          <w:highlight w:val="none"/>
        </w:rPr>
        <w:t>51.2 根据《深圳市财政局关于调整政府采购投标（响应）保证金管理政策的通知 》（深财购〔2021〕51 号）的要求，供应商在采购活动中出现《深圳经济特区政府采购条例实施细则》第八十条所列情形的，</w:t>
      </w:r>
      <w:bookmarkStart w:id="101" w:name="_Hlk72440769"/>
      <w:r>
        <w:rPr>
          <w:rFonts w:hint="eastAsia" w:ascii="宋体" w:hAnsi="宋体"/>
          <w:szCs w:val="21"/>
          <w:highlight w:val="none"/>
          <w:lang w:val="en-US" w:eastAsia="zh-CN"/>
        </w:rPr>
        <w:t>采购代理机构</w:t>
      </w:r>
      <w:r>
        <w:rPr>
          <w:rFonts w:hint="eastAsia" w:ascii="宋体" w:hAnsi="宋体"/>
          <w:szCs w:val="21"/>
          <w:highlight w:val="none"/>
        </w:rPr>
        <w:t>或采购人不予退还其交纳的谈判保证金，情节严重的，并由主管部门</w:t>
      </w:r>
      <w:bookmarkEnd w:id="101"/>
      <w:r>
        <w:rPr>
          <w:rFonts w:hint="eastAsia" w:ascii="宋体" w:hAnsi="宋体"/>
          <w:szCs w:val="21"/>
          <w:highlight w:val="none"/>
        </w:rPr>
        <w:t>记入供应商诚信档案，予以通报：</w:t>
      </w:r>
    </w:p>
    <w:p w14:paraId="3C516F4C">
      <w:pPr>
        <w:ind w:firstLine="420" w:firstLineChars="200"/>
        <w:rPr>
          <w:rFonts w:ascii="宋体" w:hAnsi="宋体"/>
          <w:szCs w:val="21"/>
          <w:highlight w:val="none"/>
        </w:rPr>
      </w:pPr>
      <w:r>
        <w:rPr>
          <w:rFonts w:hint="eastAsia" w:ascii="宋体" w:hAnsi="宋体"/>
          <w:szCs w:val="21"/>
          <w:highlight w:val="none"/>
        </w:rPr>
        <w:t>（1）投标截止后，撤销投标的；</w:t>
      </w:r>
    </w:p>
    <w:p w14:paraId="5547D74F">
      <w:pPr>
        <w:ind w:firstLine="420" w:firstLineChars="200"/>
        <w:rPr>
          <w:rFonts w:ascii="宋体" w:hAnsi="宋体"/>
          <w:szCs w:val="21"/>
          <w:highlight w:val="none"/>
        </w:rPr>
      </w:pPr>
      <w:r>
        <w:rPr>
          <w:rFonts w:hint="eastAsia" w:ascii="宋体" w:hAnsi="宋体"/>
          <w:szCs w:val="21"/>
          <w:highlight w:val="none"/>
        </w:rPr>
        <w:t>（2）中标后无正当理由未在规定期限内签订合同的；</w:t>
      </w:r>
    </w:p>
    <w:p w14:paraId="546B4D53">
      <w:pPr>
        <w:ind w:firstLine="420" w:firstLineChars="200"/>
        <w:rPr>
          <w:rFonts w:ascii="宋体" w:hAnsi="宋体"/>
          <w:szCs w:val="21"/>
          <w:highlight w:val="none"/>
        </w:rPr>
      </w:pPr>
      <w:r>
        <w:rPr>
          <w:rFonts w:hint="eastAsia" w:ascii="宋体" w:hAnsi="宋体"/>
          <w:szCs w:val="21"/>
          <w:highlight w:val="none"/>
        </w:rPr>
        <w:t>（3）将中标项目转让给他人、或者在投标文件中未说明且未经采购人、采购招标机构同意，将中标项目分包给他人的；</w:t>
      </w:r>
    </w:p>
    <w:p w14:paraId="387FEC3F">
      <w:pPr>
        <w:ind w:firstLine="420" w:firstLineChars="200"/>
        <w:rPr>
          <w:highlight w:val="none"/>
        </w:rPr>
      </w:pPr>
      <w:r>
        <w:rPr>
          <w:rFonts w:hint="eastAsia" w:ascii="宋体" w:hAnsi="宋体"/>
          <w:szCs w:val="21"/>
          <w:highlight w:val="none"/>
        </w:rPr>
        <w:t>（4）拒绝履行合同义务的。</w:t>
      </w:r>
    </w:p>
    <w:bookmarkEnd w:id="85"/>
    <w:p w14:paraId="78DF6493">
      <w:pPr>
        <w:pStyle w:val="81"/>
        <w:keepNext/>
        <w:keepLines/>
        <w:numPr>
          <w:ilvl w:val="0"/>
          <w:numId w:val="16"/>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质疑处理</w:t>
      </w:r>
    </w:p>
    <w:p w14:paraId="6C695CC3">
      <w:pPr>
        <w:ind w:firstLine="420" w:firstLineChars="200"/>
        <w:rPr>
          <w:rFonts w:ascii="黑体" w:hAnsi="宋体" w:eastAsia="黑体"/>
          <w:szCs w:val="21"/>
        </w:rPr>
      </w:pPr>
      <w:r>
        <w:rPr>
          <w:rFonts w:hint="eastAsia" w:ascii="黑体" w:hAnsi="宋体" w:eastAsia="黑体"/>
          <w:szCs w:val="21"/>
        </w:rPr>
        <w:t>52.质疑提出与答复</w:t>
      </w:r>
    </w:p>
    <w:p w14:paraId="7CEE3FC0">
      <w:pPr>
        <w:ind w:firstLine="420" w:firstLineChars="200"/>
        <w:rPr>
          <w:rFonts w:ascii="宋体" w:hAnsi="宋体"/>
          <w:szCs w:val="21"/>
        </w:rPr>
      </w:pPr>
      <w:r>
        <w:rPr>
          <w:rFonts w:hint="eastAsia" w:ascii="宋体" w:hAnsi="宋体"/>
          <w:szCs w:val="21"/>
        </w:rPr>
        <w:t>52.1提出质疑</w:t>
      </w:r>
    </w:p>
    <w:p w14:paraId="63F933CD">
      <w:pPr>
        <w:ind w:firstLine="420" w:firstLineChars="200"/>
        <w:rPr>
          <w:rFonts w:ascii="宋体" w:hAnsi="宋体"/>
          <w:szCs w:val="21"/>
        </w:rPr>
      </w:pPr>
      <w:r>
        <w:rPr>
          <w:rFonts w:hint="eastAsia" w:ascii="宋体" w:hAnsi="宋体"/>
          <w:szCs w:val="21"/>
        </w:rPr>
        <w:t>参与采购活动的供应商认为自己的权益在采购活动中受到损害的，应当自知道或者应当知道其权益受到损害之日起七个工作日内向采</w:t>
      </w:r>
      <w:r>
        <w:rPr>
          <w:rFonts w:hint="eastAsia" w:ascii="宋体" w:hAnsi="宋体"/>
          <w:szCs w:val="21"/>
          <w:highlight w:val="none"/>
        </w:rPr>
        <w:t>购人、</w:t>
      </w:r>
      <w:r>
        <w:rPr>
          <w:rFonts w:hint="eastAsia" w:ascii="宋体" w:hAnsi="宋体"/>
          <w:szCs w:val="21"/>
          <w:highlight w:val="none"/>
          <w:lang w:val="en-US" w:eastAsia="zh-CN"/>
        </w:rPr>
        <w:t>采购代理机构</w:t>
      </w:r>
      <w:r>
        <w:rPr>
          <w:rFonts w:hint="eastAsia" w:ascii="宋体" w:hAnsi="宋体"/>
          <w:szCs w:val="21"/>
          <w:highlight w:val="none"/>
        </w:rPr>
        <w:t>以书面形式提</w:t>
      </w:r>
      <w:r>
        <w:rPr>
          <w:rFonts w:hint="eastAsia" w:ascii="宋体" w:hAnsi="宋体"/>
          <w:szCs w:val="21"/>
        </w:rPr>
        <w:t>出质疑。</w:t>
      </w:r>
    </w:p>
    <w:p w14:paraId="687A1FC9">
      <w:pPr>
        <w:ind w:firstLine="420" w:firstLineChars="200"/>
        <w:rPr>
          <w:rFonts w:ascii="宋体" w:hAnsi="宋体"/>
          <w:szCs w:val="21"/>
        </w:rPr>
      </w:pPr>
      <w:r>
        <w:rPr>
          <w:rFonts w:hint="eastAsia" w:ascii="宋体" w:hAnsi="宋体"/>
          <w:szCs w:val="21"/>
        </w:rPr>
        <w:t>52.2法律依据</w:t>
      </w:r>
    </w:p>
    <w:p w14:paraId="12BDB7FA">
      <w:pPr>
        <w:ind w:firstLine="420" w:firstLineChars="200"/>
        <w:rPr>
          <w:rFonts w:ascii="宋体" w:hAnsi="宋体"/>
          <w:szCs w:val="21"/>
        </w:rPr>
      </w:pPr>
      <w:r>
        <w:rPr>
          <w:rFonts w:hint="eastAsia" w:ascii="宋体" w:hAnsi="宋体"/>
          <w:szCs w:val="21"/>
        </w:rPr>
        <w:t>《中华人民共和国政府采购法》、《中华人民共和国政府采购法实施条例》、《深圳经济特区政府采购条例》、《深圳经济特区政府采购条例实施细则》、《政府采购质疑和投诉办法》（财政部令第94号）和其他有关法律法规规定。</w:t>
      </w:r>
    </w:p>
    <w:p w14:paraId="5187B530">
      <w:pPr>
        <w:ind w:firstLine="420" w:firstLineChars="200"/>
        <w:rPr>
          <w:rFonts w:ascii="宋体" w:hAnsi="宋体"/>
          <w:szCs w:val="21"/>
        </w:rPr>
      </w:pPr>
      <w:r>
        <w:rPr>
          <w:rFonts w:hint="eastAsia" w:ascii="宋体" w:hAnsi="宋体"/>
          <w:szCs w:val="21"/>
        </w:rPr>
        <w:t>52.3质疑条件</w:t>
      </w:r>
    </w:p>
    <w:p w14:paraId="6F716D76">
      <w:pPr>
        <w:ind w:firstLine="420" w:firstLineChars="200"/>
        <w:rPr>
          <w:rFonts w:ascii="宋体" w:hAnsi="宋体"/>
          <w:szCs w:val="21"/>
        </w:rPr>
      </w:pPr>
      <w:r>
        <w:rPr>
          <w:rFonts w:hint="eastAsia" w:ascii="宋体" w:hAnsi="宋体"/>
          <w:szCs w:val="21"/>
        </w:rPr>
        <w:t>52.3.1提出质疑的供应商应当是参与所质疑项目采购活动的供应商；</w:t>
      </w:r>
      <w:bookmarkStart w:id="102" w:name="_Hlk75374941"/>
      <w:r>
        <w:rPr>
          <w:rFonts w:hint="eastAsia" w:ascii="宋体" w:hAnsi="宋体"/>
          <w:szCs w:val="21"/>
        </w:rPr>
        <w:t>以联合体形式参与的，质疑应当由组成联合体的所有成员共同提出</w:t>
      </w:r>
      <w:bookmarkEnd w:id="102"/>
      <w:r>
        <w:rPr>
          <w:rFonts w:hint="eastAsia" w:ascii="宋体" w:hAnsi="宋体"/>
          <w:szCs w:val="21"/>
        </w:rPr>
        <w:t>；</w:t>
      </w:r>
    </w:p>
    <w:p w14:paraId="54FD36BE">
      <w:pPr>
        <w:ind w:firstLine="420" w:firstLineChars="200"/>
        <w:rPr>
          <w:rFonts w:hint="eastAsia" w:ascii="宋体" w:hAnsi="宋体"/>
          <w:szCs w:val="21"/>
        </w:rPr>
      </w:pPr>
      <w:r>
        <w:rPr>
          <w:rFonts w:hint="eastAsia" w:ascii="宋体" w:hAnsi="宋体"/>
          <w:szCs w:val="21"/>
        </w:rPr>
        <w:t>52.3.2应当在法定质疑期内一次性提出针对同一采购程序环节的质疑，法定质疑期为自知道或应当知道权益受到损害之日起7个工作日内。应当知道其权益受到损害之日是指：对采购文件的质疑，为采购文件公布之日；对采购过程的质疑，为各采购程序环节结束之日；对中标（成交）结果以及评审委员会组成人员的质疑，为中标（成交）结果公示之日；</w:t>
      </w:r>
    </w:p>
    <w:p w14:paraId="6274CF3D">
      <w:pPr>
        <w:ind w:firstLine="420" w:firstLineChars="200"/>
        <w:rPr>
          <w:rFonts w:ascii="宋体" w:hAnsi="宋体"/>
          <w:szCs w:val="21"/>
        </w:rPr>
      </w:pPr>
      <w:r>
        <w:rPr>
          <w:rFonts w:hint="eastAsia" w:ascii="宋体" w:hAnsi="宋体"/>
          <w:szCs w:val="21"/>
        </w:rPr>
        <w:t xml:space="preserve">52.3.3应提交书面质疑函，质疑函应当包括以下内容： </w:t>
      </w:r>
    </w:p>
    <w:p w14:paraId="0081909A">
      <w:pPr>
        <w:ind w:firstLine="420" w:firstLineChars="200"/>
        <w:rPr>
          <w:rFonts w:ascii="宋体" w:hAnsi="宋体"/>
          <w:szCs w:val="21"/>
        </w:rPr>
      </w:pPr>
      <w:r>
        <w:rPr>
          <w:rFonts w:hint="eastAsia" w:ascii="宋体" w:hAnsi="宋体"/>
          <w:szCs w:val="21"/>
        </w:rPr>
        <w:t>（1）供应商的名称（或者姓名）、地址、邮编、邮箱、联系人及联系电话；</w:t>
      </w:r>
    </w:p>
    <w:p w14:paraId="4D5330B0">
      <w:pPr>
        <w:ind w:firstLine="420" w:firstLineChars="200"/>
        <w:rPr>
          <w:rFonts w:ascii="宋体" w:hAnsi="宋体"/>
          <w:szCs w:val="21"/>
        </w:rPr>
      </w:pPr>
      <w:r>
        <w:rPr>
          <w:rFonts w:hint="eastAsia" w:ascii="宋体" w:hAnsi="宋体"/>
          <w:szCs w:val="21"/>
        </w:rPr>
        <w:t>（2）质疑项目的名称、编号；</w:t>
      </w:r>
    </w:p>
    <w:p w14:paraId="2910450D">
      <w:pPr>
        <w:ind w:firstLine="420" w:firstLineChars="200"/>
        <w:rPr>
          <w:rFonts w:ascii="宋体" w:hAnsi="宋体"/>
          <w:szCs w:val="21"/>
        </w:rPr>
      </w:pPr>
      <w:r>
        <w:rPr>
          <w:rFonts w:hint="eastAsia" w:ascii="宋体" w:hAnsi="宋体"/>
          <w:szCs w:val="21"/>
        </w:rPr>
        <w:t>（3）具体、明确的质疑对象、质疑事项和质疑请求；</w:t>
      </w:r>
    </w:p>
    <w:p w14:paraId="6F658E92">
      <w:pPr>
        <w:ind w:firstLine="420" w:firstLineChars="200"/>
        <w:rPr>
          <w:rFonts w:ascii="宋体" w:hAnsi="宋体"/>
          <w:szCs w:val="21"/>
        </w:rPr>
      </w:pPr>
      <w:r>
        <w:rPr>
          <w:rFonts w:hint="eastAsia" w:ascii="宋体" w:hAnsi="宋体"/>
          <w:szCs w:val="21"/>
        </w:rPr>
        <w:t>（4）因质疑事项而受损害的权益；</w:t>
      </w:r>
    </w:p>
    <w:p w14:paraId="08C40EF0">
      <w:pPr>
        <w:ind w:firstLine="420" w:firstLineChars="200"/>
        <w:rPr>
          <w:rFonts w:ascii="宋体" w:hAnsi="宋体"/>
          <w:szCs w:val="21"/>
        </w:rPr>
      </w:pPr>
      <w:r>
        <w:rPr>
          <w:rFonts w:hint="eastAsia" w:ascii="宋体" w:hAnsi="宋体"/>
          <w:szCs w:val="21"/>
        </w:rPr>
        <w:t>（5）事实依据；</w:t>
      </w:r>
    </w:p>
    <w:p w14:paraId="52DC0263">
      <w:pPr>
        <w:ind w:firstLine="420" w:firstLineChars="200"/>
        <w:rPr>
          <w:rFonts w:ascii="宋体" w:hAnsi="宋体"/>
          <w:szCs w:val="21"/>
        </w:rPr>
      </w:pPr>
      <w:r>
        <w:rPr>
          <w:rFonts w:hint="eastAsia" w:ascii="宋体" w:hAnsi="宋体"/>
          <w:szCs w:val="21"/>
        </w:rPr>
        <w:t>（6）必要的法律依据；</w:t>
      </w:r>
    </w:p>
    <w:p w14:paraId="51A823CA">
      <w:pPr>
        <w:ind w:firstLine="420" w:firstLineChars="200"/>
        <w:rPr>
          <w:rFonts w:ascii="宋体" w:hAnsi="宋体"/>
          <w:szCs w:val="21"/>
        </w:rPr>
      </w:pPr>
      <w:r>
        <w:rPr>
          <w:rFonts w:hint="eastAsia" w:ascii="宋体" w:hAnsi="宋体"/>
          <w:szCs w:val="21"/>
        </w:rPr>
        <w:t>（7）提出质疑的日期。</w:t>
      </w:r>
    </w:p>
    <w:p w14:paraId="0D579B3C">
      <w:pPr>
        <w:ind w:firstLine="420" w:firstLineChars="200"/>
        <w:rPr>
          <w:rFonts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0738AA64">
      <w:pPr>
        <w:ind w:firstLine="420" w:firstLineChars="200"/>
        <w:rPr>
          <w:rFonts w:ascii="宋体" w:hAnsi="宋体"/>
          <w:szCs w:val="21"/>
        </w:rPr>
      </w:pPr>
      <w:r>
        <w:rPr>
          <w:rFonts w:hint="eastAsia" w:ascii="宋体" w:hAnsi="宋体"/>
          <w:szCs w:val="21"/>
        </w:rPr>
        <w:t>52.4提交材料</w:t>
      </w:r>
    </w:p>
    <w:p w14:paraId="1574C593">
      <w:pPr>
        <w:ind w:firstLine="420" w:firstLineChars="200"/>
        <w:rPr>
          <w:rFonts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57E9F68C">
      <w:pPr>
        <w:ind w:firstLine="420" w:firstLineChars="200"/>
        <w:rPr>
          <w:rFonts w:ascii="宋体" w:hAnsi="宋体"/>
          <w:szCs w:val="21"/>
        </w:rPr>
      </w:pPr>
      <w:r>
        <w:rPr>
          <w:rFonts w:hint="eastAsia" w:ascii="宋体" w:hAnsi="宋体"/>
          <w:szCs w:val="21"/>
        </w:rPr>
        <w:t>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2716405">
      <w:pPr>
        <w:ind w:firstLine="420" w:firstLineChars="200"/>
        <w:rPr>
          <w:rFonts w:ascii="宋体" w:hAnsi="宋体"/>
          <w:szCs w:val="21"/>
        </w:rPr>
      </w:pPr>
      <w:r>
        <w:rPr>
          <w:rFonts w:hint="eastAsia" w:ascii="宋体" w:hAnsi="宋体"/>
          <w:szCs w:val="21"/>
        </w:rPr>
        <w:t>52.5收文地点</w:t>
      </w:r>
    </w:p>
    <w:p w14:paraId="477A5A6F">
      <w:pPr>
        <w:ind w:firstLine="422" w:firstLineChars="200"/>
        <w:rPr>
          <w:rFonts w:ascii="宋体" w:hAnsi="宋体"/>
          <w:b/>
          <w:bCs/>
          <w:szCs w:val="21"/>
        </w:rPr>
      </w:pPr>
      <w:r>
        <w:rPr>
          <w:rFonts w:hint="eastAsia" w:ascii="宋体" w:hAnsi="宋体"/>
          <w:b/>
          <w:bCs/>
          <w:szCs w:val="21"/>
        </w:rPr>
        <w:t>地址：深圳公共资源交易中心（深圳交易集团有限公司政府采购业务分公司）深圳市南山区沙河西路3185号南山智谷A座（深圳交易集团总部大楼）27楼，质疑咨询电话：0755-</w:t>
      </w:r>
      <w:r>
        <w:rPr>
          <w:rFonts w:hint="eastAsia" w:ascii="宋体" w:hAnsi="宋体"/>
          <w:b/>
        </w:rPr>
        <w:t>86500050</w:t>
      </w:r>
      <w:r>
        <w:rPr>
          <w:rFonts w:hint="eastAsia" w:ascii="宋体" w:hAnsi="宋体"/>
          <w:b/>
          <w:bCs/>
          <w:szCs w:val="21"/>
        </w:rPr>
        <w:t>。</w:t>
      </w:r>
    </w:p>
    <w:p w14:paraId="21CA6E54">
      <w:pPr>
        <w:ind w:firstLine="420" w:firstLineChars="200"/>
        <w:rPr>
          <w:rFonts w:ascii="宋体" w:hAnsi="宋体"/>
          <w:szCs w:val="21"/>
        </w:rPr>
      </w:pPr>
      <w:r>
        <w:rPr>
          <w:rFonts w:hint="eastAsia" w:ascii="宋体" w:hAnsi="宋体"/>
          <w:szCs w:val="21"/>
        </w:rPr>
        <w:t>52.6收文办理程序</w:t>
      </w:r>
    </w:p>
    <w:p w14:paraId="66641C8A">
      <w:pPr>
        <w:ind w:firstLine="420" w:firstLineChars="200"/>
        <w:rPr>
          <w:rFonts w:ascii="宋体" w:hAnsi="宋体"/>
          <w:szCs w:val="21"/>
          <w:highlight w:val="none"/>
        </w:rPr>
      </w:pPr>
      <w:r>
        <w:rPr>
          <w:rFonts w:hint="eastAsia" w:ascii="宋体" w:hAnsi="宋体"/>
          <w:szCs w:val="21"/>
        </w:rPr>
        <w:t>52.6.1供应商提交的质疑符合受理条</w:t>
      </w:r>
      <w:r>
        <w:rPr>
          <w:rFonts w:hint="eastAsia" w:ascii="宋体" w:hAnsi="宋体"/>
          <w:szCs w:val="21"/>
          <w:highlight w:val="none"/>
        </w:rPr>
        <w:t>件的，</w:t>
      </w:r>
      <w:r>
        <w:rPr>
          <w:rFonts w:hint="eastAsia" w:ascii="宋体" w:hAnsi="宋体"/>
          <w:szCs w:val="21"/>
          <w:highlight w:val="none"/>
          <w:lang w:val="en-US" w:eastAsia="zh-CN"/>
        </w:rPr>
        <w:t>采购代理机构</w:t>
      </w:r>
      <w:r>
        <w:rPr>
          <w:rFonts w:hint="eastAsia" w:ascii="宋体" w:hAnsi="宋体"/>
          <w:szCs w:val="21"/>
          <w:highlight w:val="none"/>
        </w:rPr>
        <w:t>自收到质疑材料之日起即为受理，应当向供应商出具质疑函收文回执并可以要求其递交质疑的法定代表人（负责人）或者授权代理人签署质疑文书送达地址确认书。</w:t>
      </w:r>
    </w:p>
    <w:p w14:paraId="5AC23BAE">
      <w:pPr>
        <w:ind w:firstLine="420" w:firstLineChars="200"/>
        <w:rPr>
          <w:rFonts w:ascii="仿宋" w:hAnsi="仿宋" w:eastAsia="仿宋"/>
          <w:szCs w:val="21"/>
          <w:highlight w:val="none"/>
        </w:rPr>
      </w:pPr>
      <w:r>
        <w:rPr>
          <w:rFonts w:hint="eastAsia" w:ascii="宋体" w:hAnsi="宋体"/>
          <w:szCs w:val="21"/>
          <w:highlight w:val="none"/>
        </w:rPr>
        <w:t>52.6.2供应商提交的质疑材料不符合质疑条件的，视情况处理：</w:t>
      </w:r>
    </w:p>
    <w:p w14:paraId="1DBA4814">
      <w:pPr>
        <w:ind w:firstLine="420" w:firstLineChars="200"/>
        <w:rPr>
          <w:rFonts w:ascii="宋体" w:hAnsi="宋体"/>
          <w:szCs w:val="21"/>
          <w:highlight w:val="none"/>
        </w:rPr>
      </w:pPr>
      <w:r>
        <w:rPr>
          <w:rFonts w:hint="eastAsia" w:ascii="宋体" w:hAnsi="宋体"/>
          <w:szCs w:val="21"/>
          <w:highlight w:val="none"/>
        </w:rPr>
        <w:t>供应商提交的质疑材料不全或者未按要求签字或者盖章的，</w:t>
      </w:r>
      <w:r>
        <w:rPr>
          <w:rFonts w:hint="eastAsia" w:ascii="宋体" w:hAnsi="宋体"/>
          <w:szCs w:val="21"/>
          <w:highlight w:val="none"/>
          <w:lang w:val="en-US" w:eastAsia="zh-CN"/>
        </w:rPr>
        <w:t>采购代理机构</w:t>
      </w:r>
      <w:r>
        <w:rPr>
          <w:rFonts w:hint="eastAsia" w:ascii="宋体" w:hAnsi="宋体"/>
          <w:szCs w:val="21"/>
          <w:highlight w:val="none"/>
        </w:rPr>
        <w:t>应当一次性告知供应商需补正的内容和补正期限。</w:t>
      </w:r>
    </w:p>
    <w:p w14:paraId="03FBB86F">
      <w:pPr>
        <w:ind w:firstLine="420" w:firstLineChars="200"/>
        <w:rPr>
          <w:rFonts w:ascii="宋体" w:hAnsi="宋体"/>
          <w:szCs w:val="21"/>
          <w:highlight w:val="none"/>
        </w:rPr>
      </w:pPr>
      <w:r>
        <w:rPr>
          <w:rFonts w:hint="eastAsia" w:ascii="宋体" w:hAnsi="宋体"/>
          <w:szCs w:val="21"/>
          <w:highlight w:val="none"/>
        </w:rPr>
        <w:t>供应商提交的质疑存在下列情形之一的，不予受理：</w:t>
      </w:r>
    </w:p>
    <w:p w14:paraId="24910D70">
      <w:pPr>
        <w:ind w:firstLine="420" w:firstLineChars="200"/>
        <w:rPr>
          <w:rFonts w:ascii="宋体" w:hAnsi="宋体"/>
          <w:szCs w:val="21"/>
          <w:highlight w:val="none"/>
        </w:rPr>
      </w:pPr>
      <w:r>
        <w:rPr>
          <w:rFonts w:hint="eastAsia" w:ascii="宋体" w:hAnsi="宋体"/>
          <w:szCs w:val="21"/>
          <w:highlight w:val="none"/>
        </w:rPr>
        <w:t>（1）质疑主体不满足要求的；</w:t>
      </w:r>
    </w:p>
    <w:p w14:paraId="1A4F7C17">
      <w:pPr>
        <w:ind w:firstLine="420" w:firstLineChars="200"/>
        <w:rPr>
          <w:rFonts w:ascii="宋体" w:hAnsi="宋体"/>
          <w:szCs w:val="21"/>
          <w:highlight w:val="none"/>
        </w:rPr>
      </w:pPr>
      <w:r>
        <w:rPr>
          <w:rFonts w:hint="eastAsia" w:ascii="宋体" w:hAnsi="宋体"/>
          <w:szCs w:val="21"/>
          <w:highlight w:val="none"/>
        </w:rPr>
        <w:t>（2）供应商自身权益未受到损害的；</w:t>
      </w:r>
    </w:p>
    <w:p w14:paraId="44823410">
      <w:pPr>
        <w:ind w:firstLine="420" w:firstLineChars="200"/>
        <w:rPr>
          <w:rFonts w:ascii="宋体" w:hAnsi="宋体"/>
          <w:szCs w:val="21"/>
          <w:highlight w:val="none"/>
        </w:rPr>
      </w:pPr>
      <w:r>
        <w:rPr>
          <w:rFonts w:hint="eastAsia" w:ascii="宋体" w:hAnsi="宋体"/>
          <w:szCs w:val="21"/>
          <w:highlight w:val="none"/>
        </w:rPr>
        <w:t>（3）供应商未在法定质疑期限内提出质疑的；</w:t>
      </w:r>
    </w:p>
    <w:p w14:paraId="38581EF9">
      <w:pPr>
        <w:ind w:firstLine="420" w:firstLineChars="200"/>
        <w:rPr>
          <w:rFonts w:ascii="宋体" w:hAnsi="宋体"/>
          <w:szCs w:val="21"/>
          <w:highlight w:val="none"/>
        </w:rPr>
      </w:pPr>
      <w:r>
        <w:rPr>
          <w:rFonts w:hint="eastAsia" w:ascii="宋体" w:hAnsi="宋体"/>
          <w:szCs w:val="21"/>
          <w:highlight w:val="none"/>
        </w:rPr>
        <w:t>（4）质疑材料不全或者未按要求签字或者盖章的情况下，要求补正后，逾期未补正或者补正后仍不符合规定的；</w:t>
      </w:r>
    </w:p>
    <w:p w14:paraId="54822062">
      <w:pPr>
        <w:ind w:firstLine="420" w:firstLineChars="200"/>
        <w:rPr>
          <w:rFonts w:ascii="宋体" w:hAnsi="宋体"/>
          <w:szCs w:val="21"/>
          <w:highlight w:val="none"/>
        </w:rPr>
      </w:pPr>
      <w:r>
        <w:rPr>
          <w:rFonts w:hint="eastAsia" w:ascii="宋体" w:hAnsi="宋体"/>
          <w:szCs w:val="21"/>
          <w:highlight w:val="none"/>
        </w:rPr>
        <w:t>（5）其他不符合受理条件情形的。</w:t>
      </w:r>
    </w:p>
    <w:p w14:paraId="003192CA">
      <w:pPr>
        <w:ind w:firstLine="420" w:firstLineChars="200"/>
        <w:rPr>
          <w:rFonts w:ascii="宋体" w:hAnsi="宋体"/>
          <w:szCs w:val="21"/>
        </w:rPr>
      </w:pPr>
      <w:r>
        <w:rPr>
          <w:rFonts w:hint="eastAsia" w:ascii="宋体" w:hAnsi="宋体"/>
          <w:szCs w:val="21"/>
          <w:highlight w:val="none"/>
        </w:rPr>
        <w:t>质疑事项不予受理的，</w:t>
      </w:r>
      <w:r>
        <w:rPr>
          <w:rFonts w:hint="eastAsia" w:ascii="宋体" w:hAnsi="宋体"/>
          <w:szCs w:val="21"/>
          <w:highlight w:val="none"/>
          <w:lang w:val="en-US" w:eastAsia="zh-CN"/>
        </w:rPr>
        <w:t>采购代理机构</w:t>
      </w:r>
      <w:r>
        <w:rPr>
          <w:rFonts w:hint="eastAsia" w:ascii="宋体" w:hAnsi="宋体"/>
          <w:szCs w:val="21"/>
          <w:highlight w:val="none"/>
        </w:rPr>
        <w:t>应当向供应商出具不符</w:t>
      </w:r>
      <w:r>
        <w:rPr>
          <w:rFonts w:hint="eastAsia" w:ascii="宋体" w:hAnsi="宋体"/>
          <w:szCs w:val="21"/>
        </w:rPr>
        <w:t>合质疑条件告知书。</w:t>
      </w:r>
    </w:p>
    <w:p w14:paraId="0C80C2EE">
      <w:pPr>
        <w:ind w:firstLine="420" w:firstLineChars="200"/>
        <w:rPr>
          <w:rFonts w:ascii="宋体" w:hAnsi="宋体"/>
          <w:szCs w:val="21"/>
        </w:rPr>
      </w:pPr>
      <w:r>
        <w:rPr>
          <w:rFonts w:hint="eastAsia" w:ascii="宋体" w:hAnsi="宋体"/>
          <w:szCs w:val="21"/>
        </w:rPr>
        <w:t>52.7质疑答复时限</w:t>
      </w:r>
    </w:p>
    <w:p w14:paraId="6AF13B61">
      <w:pPr>
        <w:ind w:firstLine="420" w:firstLineChars="200"/>
        <w:rPr>
          <w:rFonts w:ascii="宋体" w:hAnsi="宋体"/>
          <w:szCs w:val="21"/>
        </w:rPr>
      </w:pPr>
      <w:r>
        <w:rPr>
          <w:rFonts w:hint="eastAsia" w:ascii="宋体" w:hAnsi="宋体"/>
          <w:szCs w:val="21"/>
        </w:rPr>
        <w:t>自收文之日起七个工作日内。</w:t>
      </w:r>
    </w:p>
    <w:p w14:paraId="050EDB88">
      <w:pPr>
        <w:ind w:firstLine="420" w:firstLineChars="200"/>
        <w:rPr>
          <w:rFonts w:ascii="宋体" w:hAnsi="宋体"/>
          <w:szCs w:val="21"/>
        </w:rPr>
      </w:pPr>
      <w:r>
        <w:rPr>
          <w:rFonts w:hint="eastAsia" w:ascii="宋体" w:hAnsi="宋体"/>
          <w:szCs w:val="21"/>
        </w:rPr>
        <w:t>52.8投诉</w:t>
      </w:r>
    </w:p>
    <w:p w14:paraId="7A133F28">
      <w:pPr>
        <w:ind w:firstLine="420" w:firstLineChars="200"/>
        <w:rPr>
          <w:rFonts w:ascii="宋体" w:hAnsi="宋体"/>
          <w:szCs w:val="21"/>
          <w:highlight w:val="none"/>
        </w:rPr>
      </w:pPr>
      <w:r>
        <w:rPr>
          <w:rFonts w:hint="eastAsia" w:ascii="宋体" w:hAnsi="宋体"/>
          <w:szCs w:val="21"/>
          <w:highlight w:val="none"/>
        </w:rPr>
        <w:t>对质疑答复不满意或者未在规定时间内答复的，提出质疑的供应商可以在答复期满后15个工作日内向</w:t>
      </w:r>
      <w:r>
        <w:rPr>
          <w:rFonts w:hint="eastAsia" w:ascii="宋体" w:hAnsi="宋体"/>
          <w:szCs w:val="21"/>
          <w:highlight w:val="none"/>
          <w:lang w:eastAsia="zh-CN"/>
        </w:rPr>
        <w:t>采购文件第一册专用条款，第二章 对通用条款的补充内容及其他关键信息，一、对通用条款的补充内容中规定的单位</w:t>
      </w:r>
      <w:r>
        <w:rPr>
          <w:rFonts w:hint="eastAsia" w:ascii="宋体" w:hAnsi="宋体"/>
          <w:szCs w:val="21"/>
          <w:highlight w:val="none"/>
        </w:rPr>
        <w:t>投诉。</w:t>
      </w:r>
    </w:p>
    <w:p w14:paraId="17ABBEDD">
      <w:pPr>
        <w:ind w:firstLine="420" w:firstLineChars="200"/>
        <w:rPr>
          <w:rFonts w:ascii="黑体" w:hAnsi="宋体" w:eastAsia="黑体"/>
          <w:szCs w:val="21"/>
          <w:highlight w:val="none"/>
        </w:rPr>
      </w:pPr>
      <w:r>
        <w:rPr>
          <w:rFonts w:hint="eastAsia" w:ascii="黑体" w:hAnsi="宋体" w:eastAsia="黑体"/>
          <w:szCs w:val="21"/>
          <w:highlight w:val="none"/>
        </w:rPr>
        <w:t>53.质疑后续处理</w:t>
      </w:r>
    </w:p>
    <w:p w14:paraId="3494A2D8">
      <w:pPr>
        <w:ind w:firstLine="420" w:firstLineChars="200"/>
        <w:rPr>
          <w:rFonts w:ascii="宋体" w:hAnsi="宋体"/>
          <w:szCs w:val="21"/>
        </w:rPr>
      </w:pPr>
      <w:r>
        <w:rPr>
          <w:rFonts w:hint="eastAsia" w:ascii="宋体" w:hAnsi="宋体"/>
          <w:szCs w:val="21"/>
        </w:rPr>
        <w:t>53.1供应商质疑不成立，或者成立但未对中标、成交结果构成影响的，继续开展采购活动。</w:t>
      </w:r>
    </w:p>
    <w:p w14:paraId="27E5E111">
      <w:pPr>
        <w:ind w:firstLine="420" w:firstLineChars="200"/>
        <w:jc w:val="left"/>
        <w:rPr>
          <w:rFonts w:ascii="宋体" w:hAnsi="宋体"/>
          <w:szCs w:val="21"/>
        </w:rPr>
      </w:pPr>
      <w:r>
        <w:rPr>
          <w:rFonts w:hint="eastAsia" w:ascii="宋体" w:hAnsi="宋体"/>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361C4D19">
      <w:pPr>
        <w:ind w:firstLine="420" w:firstLineChars="200"/>
        <w:jc w:val="left"/>
        <w:rPr>
          <w:szCs w:val="21"/>
        </w:rPr>
      </w:pPr>
      <w:r>
        <w:rPr>
          <w:rFonts w:hint="eastAsia" w:ascii="宋体" w:hAnsi="宋体"/>
          <w:szCs w:val="21"/>
        </w:rPr>
        <w:t>53.3被质疑供应商应配合提供质疑答辩意见,并提供相关证据材料,逾期不作书面答辩的,视同放弃答辩权利,依法承担由此可能产生的不利法律后果。</w:t>
      </w:r>
    </w:p>
    <w:p w14:paraId="5CB02891">
      <w:pPr>
        <w:jc w:val="center"/>
      </w:pPr>
      <w:r>
        <w:t>---- END ----</w:t>
      </w:r>
      <w:bookmarkEnd w:id="50"/>
    </w:p>
    <w:p w14:paraId="400B384B">
      <w:pPr>
        <w:rPr>
          <w:rFonts w:ascii="宋体" w:hAnsi="宋体"/>
          <w:szCs w:val="21"/>
        </w:rPr>
      </w:pPr>
    </w:p>
    <w:p w14:paraId="6D4C5946">
      <w:pPr>
        <w:pStyle w:val="7"/>
        <w:rPr>
          <w:szCs w:val="21"/>
        </w:rPr>
      </w:pPr>
    </w:p>
    <w:sectPr>
      <w:headerReference r:id="rId6" w:type="first"/>
      <w:headerReference r:id="rId5" w:type="default"/>
      <w:footerReference r:id="rId7" w:type="default"/>
      <w:footerReference r:id="rId8" w:type="even"/>
      <w:pgSz w:w="11907" w:h="16840"/>
      <w:pgMar w:top="1361" w:right="1417" w:bottom="1417" w:left="141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87C91811-8BFD-4C83-B36A-7EF5F9B5FA0D}"/>
  </w:font>
  <w:font w:name="Arial">
    <w:panose1 w:val="020B0604020202020204"/>
    <w:charset w:val="01"/>
    <w:family w:val="swiss"/>
    <w:pitch w:val="default"/>
    <w:sig w:usb0="E0002EFF" w:usb1="C000785B" w:usb2="00000009" w:usb3="00000000" w:csb0="400001FF" w:csb1="FFFF0000"/>
    <w:embedRegular r:id="rId2" w:fontKey="{4987BEF0-D7A8-4875-A290-DE3FF23E18D3}"/>
  </w:font>
  <w:font w:name="黑体">
    <w:panose1 w:val="02010609060101010101"/>
    <w:charset w:val="86"/>
    <w:family w:val="auto"/>
    <w:pitch w:val="default"/>
    <w:sig w:usb0="800002BF" w:usb1="38CF7CFA" w:usb2="00000016" w:usb3="00000000" w:csb0="00040001" w:csb1="00000000"/>
    <w:embedRegular r:id="rId3" w:fontKey="{9D8E03A0-3CDF-4D37-A9E0-31D7A5D79C3A}"/>
  </w:font>
  <w:font w:name="Courier New">
    <w:panose1 w:val="02070309020205020404"/>
    <w:charset w:val="01"/>
    <w:family w:val="modern"/>
    <w:pitch w:val="default"/>
    <w:sig w:usb0="E0002EFF" w:usb1="C0007843" w:usb2="00000009" w:usb3="00000000" w:csb0="400001FF" w:csb1="FFFF0000"/>
    <w:embedRegular r:id="rId4" w:fontKey="{89BCAB1A-7A0C-431C-967D-DC94231B55EE}"/>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5" w:fontKey="{AB28E9F0-ECF8-4D0F-B430-E53BD644AC2D}"/>
  </w:font>
  <w:font w:name="Arial Unicode MS">
    <w:altName w:val="宋体"/>
    <w:panose1 w:val="020B0604020202020204"/>
    <w:charset w:val="86"/>
    <w:family w:val="swiss"/>
    <w:pitch w:val="default"/>
    <w:sig w:usb0="00000000" w:usb1="00000000" w:usb2="0000007F" w:usb3="00000000" w:csb0="203F01FF" w:csb1="DFFF0000"/>
  </w:font>
  <w:font w:name="隶书">
    <w:panose1 w:val="0201050906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embedRegular r:id="rId6" w:fontKey="{FBF0AC6B-26AC-4F02-8C0B-E6C4C184D4D2}"/>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7" w:fontKey="{16FABF92-F257-4572-A7CE-154C3575BB8B}"/>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embedRegular r:id="rId8" w:fontKey="{B2D4EDF2-57F2-4F50-B469-4D80726BA40D}"/>
  </w:font>
  <w:font w:name="ˎ̥">
    <w:altName w:val="Times New Roman"/>
    <w:panose1 w:val="00000000000000000000"/>
    <w:charset w:val="00"/>
    <w:family w:val="roman"/>
    <w:pitch w:val="default"/>
    <w:sig w:usb0="00000000" w:usb1="00000000" w:usb2="00000000" w:usb3="00000000" w:csb0="00040001" w:csb1="00000000"/>
    <w:embedRegular r:id="rId9" w:fontKey="{591EAEDD-B2A9-4565-BB7B-529D7C68A8AA}"/>
  </w:font>
  <w:font w:name="??">
    <w:altName w:val="Times New Roman"/>
    <w:panose1 w:val="00000000000000000000"/>
    <w:charset w:val="01"/>
    <w:family w:val="auto"/>
    <w:pitch w:val="default"/>
    <w:sig w:usb0="00000000" w:usb1="00000000" w:usb2="00000000" w:usb3="00000000" w:csb0="00040001" w:csb1="00000000"/>
  </w:font>
  <w:font w:name="汉仪细等线简">
    <w:panose1 w:val="00020600040101010101"/>
    <w:charset w:val="86"/>
    <w:family w:val="modern"/>
    <w:pitch w:val="default"/>
    <w:sig w:usb0="800002BF" w:usb1="1A4F6CF8" w:usb2="00000012" w:usb3="00000000" w:csb0="0004009F" w:csb1="DFD7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10" w:fontKey="{7B75D470-9717-4B6F-8C71-ACB383BB50A6}"/>
  </w:font>
  <w:font w:name="华文中宋">
    <w:panose1 w:val="02010600040101010101"/>
    <w:charset w:val="86"/>
    <w:family w:val="auto"/>
    <w:pitch w:val="default"/>
    <w:sig w:usb0="00000287" w:usb1="080F0000" w:usb2="00000000" w:usb3="00000000" w:csb0="0004009F" w:csb1="DFD70000"/>
    <w:embedRegular r:id="rId11" w:fontKey="{1CC6EFD3-55B1-4D77-A170-03304C2AD826}"/>
  </w:font>
  <w:font w:name="汉仪书宋二S">
    <w:altName w:val="宋体"/>
    <w:panose1 w:val="00000000000000000000"/>
    <w:charset w:val="00"/>
    <w:family w:val="auto"/>
    <w:pitch w:val="default"/>
    <w:sig w:usb0="00000000" w:usb1="00000000" w:usb2="00000000" w:usb3="00000000" w:csb0="00000000" w:csb1="00000000"/>
    <w:embedRegular r:id="rId12" w:fontKey="{96FD3EF0-291F-4DAF-8834-787B31893FDF}"/>
  </w:font>
  <w:font w:name="华文楷体">
    <w:panose1 w:val="02010600040101010101"/>
    <w:charset w:val="86"/>
    <w:family w:val="auto"/>
    <w:pitch w:val="default"/>
    <w:sig w:usb0="00000287" w:usb1="080F0000" w:usb2="00000000" w:usb3="00000000" w:csb0="0004009F" w:csb1="DFD70000"/>
    <w:embedRegular r:id="rId13" w:fontKey="{476B1E6B-E5A2-4345-A61F-76D67ED60D51}"/>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167AC">
    <w:pPr>
      <w:widowControl w:val="0"/>
      <w:tabs>
        <w:tab w:val="center" w:pos="4153"/>
        <w:tab w:val="right" w:pos="8306"/>
      </w:tabs>
      <w:snapToGrid w:val="0"/>
      <w:jc w:val="left"/>
      <w:rPr>
        <w:rFonts w:ascii="Times New Roman" w:hAnsi="Times New Roman" w:eastAsia="宋体" w:cs="Times New Roman"/>
        <w:kern w:val="2"/>
        <w:sz w:val="18"/>
        <w:szCs w:val="24"/>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22497">
    <w:pPr>
      <w:pStyle w:val="29"/>
      <w:framePr w:wrap="around" w:vAnchor="text" w:hAnchor="margin" w:xAlign="center" w:y="1"/>
      <w:rPr>
        <w:rStyle w:val="47"/>
      </w:rPr>
    </w:pPr>
    <w:r>
      <w:t xml:space="preserve">- </w:t>
    </w:r>
    <w:r>
      <w:fldChar w:fldCharType="begin"/>
    </w:r>
    <w:r>
      <w:instrText xml:space="preserve"> PAGE </w:instrText>
    </w:r>
    <w:r>
      <w:fldChar w:fldCharType="separate"/>
    </w:r>
    <w:r>
      <w:t>46</w:t>
    </w:r>
    <w:r>
      <w:fldChar w:fldCharType="end"/>
    </w:r>
    <w:r>
      <w:t xml:space="preserve"> -</w:t>
    </w:r>
  </w:p>
  <w:p w14:paraId="5FAE86B2">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83EAB">
    <w:pPr>
      <w:pStyle w:val="29"/>
      <w:framePr w:wrap="around" w:vAnchor="text" w:hAnchor="margin" w:xAlign="center" w:y="1"/>
      <w:rPr>
        <w:rStyle w:val="47"/>
      </w:rPr>
    </w:pPr>
    <w:r>
      <w:rPr>
        <w:rStyle w:val="47"/>
      </w:rPr>
      <w:fldChar w:fldCharType="begin"/>
    </w:r>
    <w:r>
      <w:rPr>
        <w:rStyle w:val="47"/>
      </w:rPr>
      <w:instrText xml:space="preserve">PAGE  </w:instrText>
    </w:r>
    <w:r>
      <w:rPr>
        <w:rStyle w:val="47"/>
      </w:rPr>
      <w:fldChar w:fldCharType="separate"/>
    </w:r>
    <w:r>
      <w:rPr>
        <w:rStyle w:val="47"/>
      </w:rPr>
      <w:t>10</w:t>
    </w:r>
    <w:r>
      <w:rPr>
        <w:rStyle w:val="47"/>
      </w:rPr>
      <w:fldChar w:fldCharType="end"/>
    </w:r>
  </w:p>
  <w:p w14:paraId="7E28DE70">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72CD7">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ascii="Times New Roman" w:hAnsi="Times New Roman" w:eastAsia="宋体" w:cs="Times New Roman"/>
        <w:kern w:val="2"/>
        <w:sz w:val="18"/>
        <w:szCs w:val="24"/>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547F6">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AABE5">
    <w:pPr>
      <w:pStyle w:val="3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BBF41D"/>
    <w:multiLevelType w:val="multilevel"/>
    <w:tmpl w:val="A7BBF41D"/>
    <w:lvl w:ilvl="0" w:tentative="0">
      <w:start w:val="2"/>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B609221C"/>
    <w:multiLevelType w:val="singleLevel"/>
    <w:tmpl w:val="B609221C"/>
    <w:lvl w:ilvl="0" w:tentative="0">
      <w:start w:val="1"/>
      <w:numFmt w:val="decimal"/>
      <w:suff w:val="nothing"/>
      <w:lvlText w:val="%1、"/>
      <w:lvlJc w:val="left"/>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FFFFFF7C"/>
    <w:multiLevelType w:val="singleLevel"/>
    <w:tmpl w:val="FFFFFF7C"/>
    <w:lvl w:ilvl="0" w:tentative="0">
      <w:start w:val="1"/>
      <w:numFmt w:val="decimal"/>
      <w:pStyle w:val="67"/>
      <w:lvlText w:val="%1."/>
      <w:lvlJc w:val="left"/>
      <w:pPr>
        <w:tabs>
          <w:tab w:val="left" w:pos="2040"/>
        </w:tabs>
        <w:ind w:left="2040" w:leftChars="800" w:hanging="360" w:hangingChars="200"/>
      </w:pPr>
    </w:lvl>
  </w:abstractNum>
  <w:abstractNum w:abstractNumId="9">
    <w:nsid w:val="FFFFFF89"/>
    <w:multiLevelType w:val="singleLevel"/>
    <w:tmpl w:val="FFFFFF89"/>
    <w:lvl w:ilvl="0" w:tentative="0">
      <w:start w:val="1"/>
      <w:numFmt w:val="bullet"/>
      <w:pStyle w:val="16"/>
      <w:lvlText w:val=""/>
      <w:lvlJc w:val="left"/>
      <w:pPr>
        <w:tabs>
          <w:tab w:val="left" w:pos="360"/>
        </w:tabs>
        <w:ind w:left="360" w:hanging="360" w:hangingChars="200"/>
      </w:pPr>
      <w:rPr>
        <w:rFonts w:hint="default" w:ascii="Wingdings" w:hAnsi="Wingdings"/>
      </w:rPr>
    </w:lvl>
  </w:abstractNum>
  <w:abstractNum w:abstractNumId="10">
    <w:nsid w:val="0000000B"/>
    <w:multiLevelType w:val="multilevel"/>
    <w:tmpl w:val="0000000B"/>
    <w:lvl w:ilvl="0" w:tentative="0">
      <w:start w:val="1"/>
      <w:numFmt w:val="japaneseCounting"/>
      <w:lvlText w:val="第%1章"/>
      <w:lvlJc w:val="left"/>
      <w:pPr>
        <w:ind w:left="1080" w:hanging="108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2503483"/>
    <w:multiLevelType w:val="multilevel"/>
    <w:tmpl w:val="12503483"/>
    <w:lvl w:ilvl="0" w:tentative="0">
      <w:start w:val="1"/>
      <w:numFmt w:val="bullet"/>
      <w:pStyle w:val="115"/>
      <w:lvlText w:val=""/>
      <w:lvlJc w:val="left"/>
      <w:pPr>
        <w:tabs>
          <w:tab w:val="left" w:pos="420"/>
        </w:tabs>
        <w:ind w:left="420" w:hanging="420"/>
      </w:pPr>
      <w:rPr>
        <w:rFonts w:hint="default" w:ascii="Wingdings" w:hAnsi="Wingdings"/>
      </w:rPr>
    </w:lvl>
    <w:lvl w:ilvl="1" w:tentative="0">
      <w:start w:val="1"/>
      <w:numFmt w:val="bullet"/>
      <w:pStyle w:val="114"/>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160D20D0"/>
    <w:multiLevelType w:val="multilevel"/>
    <w:tmpl w:val="160D20D0"/>
    <w:lvl w:ilvl="0" w:tentative="0">
      <w:start w:val="1"/>
      <w:numFmt w:val="bullet"/>
      <w:pStyle w:val="83"/>
      <w:lvlText w:val=""/>
      <w:lvlJc w:val="left"/>
      <w:pPr>
        <w:tabs>
          <w:tab w:val="left" w:pos="840"/>
        </w:tabs>
        <w:ind w:left="840" w:hanging="420"/>
      </w:pPr>
      <w:rPr>
        <w:rFonts w:hint="default" w:ascii="Wingdings" w:hAnsi="Wingdings"/>
      </w:rPr>
    </w:lvl>
    <w:lvl w:ilvl="1" w:tentative="0">
      <w:start w:val="1"/>
      <w:numFmt w:val="bullet"/>
      <w:pStyle w:val="84"/>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3">
    <w:nsid w:val="2F395B7B"/>
    <w:multiLevelType w:val="multilevel"/>
    <w:tmpl w:val="2F395B7B"/>
    <w:lvl w:ilvl="0" w:tentative="0">
      <w:start w:val="1"/>
      <w:numFmt w:val="bullet"/>
      <w:pStyle w:val="175"/>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4">
    <w:nsid w:val="7A0F6431"/>
    <w:multiLevelType w:val="singleLevel"/>
    <w:tmpl w:val="7A0F6431"/>
    <w:lvl w:ilvl="0" w:tentative="0">
      <w:start w:val="1"/>
      <w:numFmt w:val="decimal"/>
      <w:suff w:val="space"/>
      <w:lvlText w:val="%1."/>
      <w:lvlJc w:val="left"/>
    </w:lvl>
  </w:abstractNum>
  <w:abstractNum w:abstractNumId="15">
    <w:nsid w:val="7AEF7716"/>
    <w:multiLevelType w:val="multilevel"/>
    <w:tmpl w:val="7AEF7716"/>
    <w:lvl w:ilvl="0" w:tentative="0">
      <w:start w:val="1"/>
      <w:numFmt w:val="chineseCountingThousand"/>
      <w:pStyle w:val="128"/>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9"/>
  </w:num>
  <w:num w:numId="2">
    <w:abstractNumId w:val="8"/>
  </w:num>
  <w:num w:numId="3">
    <w:abstractNumId w:val="12"/>
  </w:num>
  <w:num w:numId="4">
    <w:abstractNumId w:val="11"/>
  </w:num>
  <w:num w:numId="5">
    <w:abstractNumId w:val="15"/>
  </w:num>
  <w:num w:numId="6">
    <w:abstractNumId w:val="13"/>
  </w:num>
  <w:num w:numId="7">
    <w:abstractNumId w:val="1"/>
  </w:num>
  <w:num w:numId="8">
    <w:abstractNumId w:val="0"/>
  </w:num>
  <w:num w:numId="9">
    <w:abstractNumId w:val="14"/>
  </w:num>
  <w:num w:numId="10">
    <w:abstractNumId w:val="3"/>
  </w:num>
  <w:num w:numId="11">
    <w:abstractNumId w:val="7"/>
  </w:num>
  <w:num w:numId="12">
    <w:abstractNumId w:val="5"/>
  </w:num>
  <w:num w:numId="13">
    <w:abstractNumId w:val="4"/>
  </w:num>
  <w:num w:numId="14">
    <w:abstractNumId w:val="2"/>
  </w:num>
  <w:num w:numId="15">
    <w:abstractNumId w:val="6"/>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政府采购业务部吴工">
    <w15:presenceInfo w15:providerId="None" w15:userId="政府采购业务部吴工"/>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xNTA3MDZhNmI3YTFlMGJlZjIxYzIwZTdjOGQ4YWQ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1EA6"/>
    <w:rsid w:val="00012B21"/>
    <w:rsid w:val="00012CCE"/>
    <w:rsid w:val="0001300F"/>
    <w:rsid w:val="00013262"/>
    <w:rsid w:val="0001480D"/>
    <w:rsid w:val="00014A5C"/>
    <w:rsid w:val="00015388"/>
    <w:rsid w:val="00015BDD"/>
    <w:rsid w:val="00015C88"/>
    <w:rsid w:val="000162DC"/>
    <w:rsid w:val="000169F2"/>
    <w:rsid w:val="00016D97"/>
    <w:rsid w:val="0001716B"/>
    <w:rsid w:val="00017F81"/>
    <w:rsid w:val="00020691"/>
    <w:rsid w:val="000211EA"/>
    <w:rsid w:val="00021953"/>
    <w:rsid w:val="000234B2"/>
    <w:rsid w:val="00025AE4"/>
    <w:rsid w:val="0002684B"/>
    <w:rsid w:val="000269F0"/>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817"/>
    <w:rsid w:val="00035CD1"/>
    <w:rsid w:val="00036A2B"/>
    <w:rsid w:val="000377D2"/>
    <w:rsid w:val="00040D3C"/>
    <w:rsid w:val="00040E5A"/>
    <w:rsid w:val="000417D2"/>
    <w:rsid w:val="00042897"/>
    <w:rsid w:val="00042C84"/>
    <w:rsid w:val="00043739"/>
    <w:rsid w:val="00043A89"/>
    <w:rsid w:val="00045739"/>
    <w:rsid w:val="00046D30"/>
    <w:rsid w:val="000510B6"/>
    <w:rsid w:val="00051133"/>
    <w:rsid w:val="00051EB5"/>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2D0D"/>
    <w:rsid w:val="0006335B"/>
    <w:rsid w:val="00063C25"/>
    <w:rsid w:val="00064231"/>
    <w:rsid w:val="000647AF"/>
    <w:rsid w:val="00064892"/>
    <w:rsid w:val="00064C7A"/>
    <w:rsid w:val="00066026"/>
    <w:rsid w:val="000661FF"/>
    <w:rsid w:val="00066537"/>
    <w:rsid w:val="0006660A"/>
    <w:rsid w:val="0006670C"/>
    <w:rsid w:val="00067960"/>
    <w:rsid w:val="0007003A"/>
    <w:rsid w:val="00070210"/>
    <w:rsid w:val="000707BF"/>
    <w:rsid w:val="000722CF"/>
    <w:rsid w:val="0007277D"/>
    <w:rsid w:val="00072C34"/>
    <w:rsid w:val="000734CD"/>
    <w:rsid w:val="00074403"/>
    <w:rsid w:val="00074CF0"/>
    <w:rsid w:val="000750DC"/>
    <w:rsid w:val="00075735"/>
    <w:rsid w:val="0007583C"/>
    <w:rsid w:val="00076057"/>
    <w:rsid w:val="000770EC"/>
    <w:rsid w:val="00081E95"/>
    <w:rsid w:val="00082667"/>
    <w:rsid w:val="00082AD2"/>
    <w:rsid w:val="00083DC6"/>
    <w:rsid w:val="000840D4"/>
    <w:rsid w:val="00084857"/>
    <w:rsid w:val="00084F26"/>
    <w:rsid w:val="0008503C"/>
    <w:rsid w:val="000850AF"/>
    <w:rsid w:val="0008517A"/>
    <w:rsid w:val="000852EB"/>
    <w:rsid w:val="00086539"/>
    <w:rsid w:val="000869D8"/>
    <w:rsid w:val="00086CA6"/>
    <w:rsid w:val="00090213"/>
    <w:rsid w:val="000903AC"/>
    <w:rsid w:val="000904F3"/>
    <w:rsid w:val="00092FC7"/>
    <w:rsid w:val="00093133"/>
    <w:rsid w:val="0009395E"/>
    <w:rsid w:val="00094603"/>
    <w:rsid w:val="000954D5"/>
    <w:rsid w:val="00095723"/>
    <w:rsid w:val="0009618D"/>
    <w:rsid w:val="0009709B"/>
    <w:rsid w:val="000975E3"/>
    <w:rsid w:val="00097B87"/>
    <w:rsid w:val="00097DDA"/>
    <w:rsid w:val="000A1DD1"/>
    <w:rsid w:val="000A21A5"/>
    <w:rsid w:val="000A2A76"/>
    <w:rsid w:val="000A3908"/>
    <w:rsid w:val="000A4C29"/>
    <w:rsid w:val="000A5EA4"/>
    <w:rsid w:val="000A69DB"/>
    <w:rsid w:val="000A6E2B"/>
    <w:rsid w:val="000A79D3"/>
    <w:rsid w:val="000A7F0F"/>
    <w:rsid w:val="000B05E2"/>
    <w:rsid w:val="000B0C99"/>
    <w:rsid w:val="000B0F8B"/>
    <w:rsid w:val="000B2213"/>
    <w:rsid w:val="000B2568"/>
    <w:rsid w:val="000B41BB"/>
    <w:rsid w:val="000B5357"/>
    <w:rsid w:val="000B5853"/>
    <w:rsid w:val="000B5918"/>
    <w:rsid w:val="000B597F"/>
    <w:rsid w:val="000B634D"/>
    <w:rsid w:val="000B7465"/>
    <w:rsid w:val="000B7E42"/>
    <w:rsid w:val="000C14CB"/>
    <w:rsid w:val="000C18BC"/>
    <w:rsid w:val="000C1EE4"/>
    <w:rsid w:val="000C1FF9"/>
    <w:rsid w:val="000C21C4"/>
    <w:rsid w:val="000C4151"/>
    <w:rsid w:val="000C4425"/>
    <w:rsid w:val="000C4B12"/>
    <w:rsid w:val="000C4FCB"/>
    <w:rsid w:val="000C5EA0"/>
    <w:rsid w:val="000C5FA7"/>
    <w:rsid w:val="000C65E4"/>
    <w:rsid w:val="000C7E71"/>
    <w:rsid w:val="000D16AA"/>
    <w:rsid w:val="000D1A7D"/>
    <w:rsid w:val="000D2309"/>
    <w:rsid w:val="000D2CCA"/>
    <w:rsid w:val="000D366B"/>
    <w:rsid w:val="000D38F9"/>
    <w:rsid w:val="000D4664"/>
    <w:rsid w:val="000D5D6B"/>
    <w:rsid w:val="000D62C8"/>
    <w:rsid w:val="000D7A20"/>
    <w:rsid w:val="000E0BFC"/>
    <w:rsid w:val="000E161C"/>
    <w:rsid w:val="000E266E"/>
    <w:rsid w:val="000E2B61"/>
    <w:rsid w:val="000E470B"/>
    <w:rsid w:val="000E4A66"/>
    <w:rsid w:val="000E4DE8"/>
    <w:rsid w:val="000E50F5"/>
    <w:rsid w:val="000E5906"/>
    <w:rsid w:val="000E5E99"/>
    <w:rsid w:val="000E73D9"/>
    <w:rsid w:val="000F0C3B"/>
    <w:rsid w:val="000F0E9F"/>
    <w:rsid w:val="000F151A"/>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35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5689"/>
    <w:rsid w:val="00125C8A"/>
    <w:rsid w:val="001261FC"/>
    <w:rsid w:val="00126CD7"/>
    <w:rsid w:val="001306FE"/>
    <w:rsid w:val="00130827"/>
    <w:rsid w:val="001308A2"/>
    <w:rsid w:val="00131140"/>
    <w:rsid w:val="001312D1"/>
    <w:rsid w:val="00132FD3"/>
    <w:rsid w:val="00133A61"/>
    <w:rsid w:val="001341E8"/>
    <w:rsid w:val="001362BD"/>
    <w:rsid w:val="0013673A"/>
    <w:rsid w:val="00137F86"/>
    <w:rsid w:val="001410EB"/>
    <w:rsid w:val="00141B41"/>
    <w:rsid w:val="0014335A"/>
    <w:rsid w:val="00143554"/>
    <w:rsid w:val="00143653"/>
    <w:rsid w:val="00143934"/>
    <w:rsid w:val="00143B3A"/>
    <w:rsid w:val="00143E43"/>
    <w:rsid w:val="00143FFC"/>
    <w:rsid w:val="001453B3"/>
    <w:rsid w:val="00146ABB"/>
    <w:rsid w:val="00147338"/>
    <w:rsid w:val="00147A48"/>
    <w:rsid w:val="00150143"/>
    <w:rsid w:val="0015073C"/>
    <w:rsid w:val="001509AB"/>
    <w:rsid w:val="001529F9"/>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C26"/>
    <w:rsid w:val="00164E23"/>
    <w:rsid w:val="0016595F"/>
    <w:rsid w:val="00166A2C"/>
    <w:rsid w:val="00166BF2"/>
    <w:rsid w:val="00166CC3"/>
    <w:rsid w:val="00166F71"/>
    <w:rsid w:val="00167DF2"/>
    <w:rsid w:val="001709DE"/>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099E"/>
    <w:rsid w:val="00181A71"/>
    <w:rsid w:val="0018261B"/>
    <w:rsid w:val="0018274C"/>
    <w:rsid w:val="001834A7"/>
    <w:rsid w:val="0018373B"/>
    <w:rsid w:val="00183B40"/>
    <w:rsid w:val="00183C79"/>
    <w:rsid w:val="00183C8B"/>
    <w:rsid w:val="00183E75"/>
    <w:rsid w:val="001845CF"/>
    <w:rsid w:val="00185A98"/>
    <w:rsid w:val="001865BB"/>
    <w:rsid w:val="00187518"/>
    <w:rsid w:val="00187743"/>
    <w:rsid w:val="00187CEC"/>
    <w:rsid w:val="0019046F"/>
    <w:rsid w:val="0019096C"/>
    <w:rsid w:val="00191EA7"/>
    <w:rsid w:val="00192164"/>
    <w:rsid w:val="001928BD"/>
    <w:rsid w:val="00193EB7"/>
    <w:rsid w:val="00193F48"/>
    <w:rsid w:val="001944F0"/>
    <w:rsid w:val="00194ACA"/>
    <w:rsid w:val="00194C98"/>
    <w:rsid w:val="00194FB7"/>
    <w:rsid w:val="00196357"/>
    <w:rsid w:val="00196B4E"/>
    <w:rsid w:val="001975A1"/>
    <w:rsid w:val="001A027A"/>
    <w:rsid w:val="001A08E4"/>
    <w:rsid w:val="001A0D2C"/>
    <w:rsid w:val="001A11D8"/>
    <w:rsid w:val="001A12B5"/>
    <w:rsid w:val="001A174B"/>
    <w:rsid w:val="001A1C72"/>
    <w:rsid w:val="001A2976"/>
    <w:rsid w:val="001A3980"/>
    <w:rsid w:val="001A3B1B"/>
    <w:rsid w:val="001A3D2F"/>
    <w:rsid w:val="001A422B"/>
    <w:rsid w:val="001A440A"/>
    <w:rsid w:val="001A47C6"/>
    <w:rsid w:val="001A4A55"/>
    <w:rsid w:val="001A5C6F"/>
    <w:rsid w:val="001A6A4F"/>
    <w:rsid w:val="001A76B7"/>
    <w:rsid w:val="001B015C"/>
    <w:rsid w:val="001B1339"/>
    <w:rsid w:val="001B1B58"/>
    <w:rsid w:val="001B1D3B"/>
    <w:rsid w:val="001B1F55"/>
    <w:rsid w:val="001B2049"/>
    <w:rsid w:val="001B2934"/>
    <w:rsid w:val="001B4A37"/>
    <w:rsid w:val="001B4BB2"/>
    <w:rsid w:val="001B6FAD"/>
    <w:rsid w:val="001C04B2"/>
    <w:rsid w:val="001C13DE"/>
    <w:rsid w:val="001C1FDE"/>
    <w:rsid w:val="001C2063"/>
    <w:rsid w:val="001C21E1"/>
    <w:rsid w:val="001C3426"/>
    <w:rsid w:val="001C4768"/>
    <w:rsid w:val="001C5839"/>
    <w:rsid w:val="001C583F"/>
    <w:rsid w:val="001C6431"/>
    <w:rsid w:val="001C6AF6"/>
    <w:rsid w:val="001C7129"/>
    <w:rsid w:val="001C77E1"/>
    <w:rsid w:val="001C7ADA"/>
    <w:rsid w:val="001D0FD3"/>
    <w:rsid w:val="001D121D"/>
    <w:rsid w:val="001D1C29"/>
    <w:rsid w:val="001D1E1B"/>
    <w:rsid w:val="001D3543"/>
    <w:rsid w:val="001D35FD"/>
    <w:rsid w:val="001D3B85"/>
    <w:rsid w:val="001D3DF1"/>
    <w:rsid w:val="001D4151"/>
    <w:rsid w:val="001D4BB9"/>
    <w:rsid w:val="001D501B"/>
    <w:rsid w:val="001D58E5"/>
    <w:rsid w:val="001D5EAE"/>
    <w:rsid w:val="001E07AA"/>
    <w:rsid w:val="001E0FAB"/>
    <w:rsid w:val="001E1880"/>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35BF"/>
    <w:rsid w:val="001F41B9"/>
    <w:rsid w:val="001F4BE8"/>
    <w:rsid w:val="001F4EB8"/>
    <w:rsid w:val="001F560A"/>
    <w:rsid w:val="001F5FF7"/>
    <w:rsid w:val="001F6318"/>
    <w:rsid w:val="001F65B1"/>
    <w:rsid w:val="001F6B83"/>
    <w:rsid w:val="001F6F6A"/>
    <w:rsid w:val="001F7595"/>
    <w:rsid w:val="001F7C3B"/>
    <w:rsid w:val="001F7FE7"/>
    <w:rsid w:val="002000B8"/>
    <w:rsid w:val="00200B4C"/>
    <w:rsid w:val="00201D62"/>
    <w:rsid w:val="00203267"/>
    <w:rsid w:val="00203897"/>
    <w:rsid w:val="0020391D"/>
    <w:rsid w:val="00205AE4"/>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2E6"/>
    <w:rsid w:val="0021667D"/>
    <w:rsid w:val="002166A1"/>
    <w:rsid w:val="002166A6"/>
    <w:rsid w:val="00216BB6"/>
    <w:rsid w:val="002170F0"/>
    <w:rsid w:val="00217BA3"/>
    <w:rsid w:val="0022048B"/>
    <w:rsid w:val="002207F8"/>
    <w:rsid w:val="0022175C"/>
    <w:rsid w:val="00222261"/>
    <w:rsid w:val="00222773"/>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2209"/>
    <w:rsid w:val="00244711"/>
    <w:rsid w:val="00244AE4"/>
    <w:rsid w:val="00245EBE"/>
    <w:rsid w:val="00246305"/>
    <w:rsid w:val="00246C63"/>
    <w:rsid w:val="002472C1"/>
    <w:rsid w:val="00247343"/>
    <w:rsid w:val="002473F4"/>
    <w:rsid w:val="00250600"/>
    <w:rsid w:val="002506E1"/>
    <w:rsid w:val="00250F42"/>
    <w:rsid w:val="00252934"/>
    <w:rsid w:val="00252EBA"/>
    <w:rsid w:val="0025361A"/>
    <w:rsid w:val="002545EF"/>
    <w:rsid w:val="00254B44"/>
    <w:rsid w:val="00254E99"/>
    <w:rsid w:val="00255B9B"/>
    <w:rsid w:val="00256596"/>
    <w:rsid w:val="0025705E"/>
    <w:rsid w:val="0026027A"/>
    <w:rsid w:val="00260533"/>
    <w:rsid w:val="002605CE"/>
    <w:rsid w:val="00261367"/>
    <w:rsid w:val="00261A54"/>
    <w:rsid w:val="00261C21"/>
    <w:rsid w:val="00261D37"/>
    <w:rsid w:val="00262D6B"/>
    <w:rsid w:val="00262ED0"/>
    <w:rsid w:val="00263607"/>
    <w:rsid w:val="002638EE"/>
    <w:rsid w:val="00263F9C"/>
    <w:rsid w:val="00264965"/>
    <w:rsid w:val="00264EB5"/>
    <w:rsid w:val="002656E1"/>
    <w:rsid w:val="00265CFF"/>
    <w:rsid w:val="002662AC"/>
    <w:rsid w:val="00267D21"/>
    <w:rsid w:val="00267F98"/>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2D7B"/>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3CFB"/>
    <w:rsid w:val="00293EB5"/>
    <w:rsid w:val="0029449E"/>
    <w:rsid w:val="0029488D"/>
    <w:rsid w:val="00294E82"/>
    <w:rsid w:val="002951FD"/>
    <w:rsid w:val="0029530C"/>
    <w:rsid w:val="002955E3"/>
    <w:rsid w:val="00296020"/>
    <w:rsid w:val="0029693F"/>
    <w:rsid w:val="002969C6"/>
    <w:rsid w:val="00296F46"/>
    <w:rsid w:val="00296F8A"/>
    <w:rsid w:val="00297AD1"/>
    <w:rsid w:val="00297CCD"/>
    <w:rsid w:val="002A11CE"/>
    <w:rsid w:val="002A13E2"/>
    <w:rsid w:val="002A180F"/>
    <w:rsid w:val="002A199B"/>
    <w:rsid w:val="002A1B36"/>
    <w:rsid w:val="002A211A"/>
    <w:rsid w:val="002A2BC2"/>
    <w:rsid w:val="002A37E6"/>
    <w:rsid w:val="002A409A"/>
    <w:rsid w:val="002A4BFA"/>
    <w:rsid w:val="002A4D7B"/>
    <w:rsid w:val="002A4DFC"/>
    <w:rsid w:val="002A7EEA"/>
    <w:rsid w:val="002B0660"/>
    <w:rsid w:val="002B18D6"/>
    <w:rsid w:val="002B1B98"/>
    <w:rsid w:val="002B22D4"/>
    <w:rsid w:val="002B3259"/>
    <w:rsid w:val="002B3984"/>
    <w:rsid w:val="002B4595"/>
    <w:rsid w:val="002B45EE"/>
    <w:rsid w:val="002B4BF3"/>
    <w:rsid w:val="002B55C8"/>
    <w:rsid w:val="002B5E4B"/>
    <w:rsid w:val="002B660D"/>
    <w:rsid w:val="002B6C0C"/>
    <w:rsid w:val="002B723D"/>
    <w:rsid w:val="002B7969"/>
    <w:rsid w:val="002B7C07"/>
    <w:rsid w:val="002B7D1C"/>
    <w:rsid w:val="002C0031"/>
    <w:rsid w:val="002C0485"/>
    <w:rsid w:val="002C0762"/>
    <w:rsid w:val="002C0C86"/>
    <w:rsid w:val="002C1397"/>
    <w:rsid w:val="002C257A"/>
    <w:rsid w:val="002C2BEC"/>
    <w:rsid w:val="002C30C0"/>
    <w:rsid w:val="002C4F4B"/>
    <w:rsid w:val="002C5836"/>
    <w:rsid w:val="002C6EC0"/>
    <w:rsid w:val="002C7A58"/>
    <w:rsid w:val="002D0356"/>
    <w:rsid w:val="002D07C0"/>
    <w:rsid w:val="002D08AE"/>
    <w:rsid w:val="002D0F98"/>
    <w:rsid w:val="002D18D7"/>
    <w:rsid w:val="002D1DFB"/>
    <w:rsid w:val="002D2F66"/>
    <w:rsid w:val="002D3196"/>
    <w:rsid w:val="002D45BF"/>
    <w:rsid w:val="002D4A85"/>
    <w:rsid w:val="002D4B65"/>
    <w:rsid w:val="002D5AFC"/>
    <w:rsid w:val="002D6162"/>
    <w:rsid w:val="002D64DF"/>
    <w:rsid w:val="002D71EF"/>
    <w:rsid w:val="002D7F4C"/>
    <w:rsid w:val="002E00F3"/>
    <w:rsid w:val="002E242E"/>
    <w:rsid w:val="002E255F"/>
    <w:rsid w:val="002E2CED"/>
    <w:rsid w:val="002E2FEC"/>
    <w:rsid w:val="002E38DB"/>
    <w:rsid w:val="002E4AB1"/>
    <w:rsid w:val="002E4F8A"/>
    <w:rsid w:val="002E505D"/>
    <w:rsid w:val="002E73B8"/>
    <w:rsid w:val="002F0823"/>
    <w:rsid w:val="002F113B"/>
    <w:rsid w:val="002F2471"/>
    <w:rsid w:val="002F2B7A"/>
    <w:rsid w:val="002F3105"/>
    <w:rsid w:val="002F4864"/>
    <w:rsid w:val="002F5E6C"/>
    <w:rsid w:val="002F6DD7"/>
    <w:rsid w:val="002F72FF"/>
    <w:rsid w:val="002F75CC"/>
    <w:rsid w:val="002F7987"/>
    <w:rsid w:val="002F79D4"/>
    <w:rsid w:val="003005C9"/>
    <w:rsid w:val="00300BF3"/>
    <w:rsid w:val="0030143F"/>
    <w:rsid w:val="00301894"/>
    <w:rsid w:val="00301BCD"/>
    <w:rsid w:val="003024C7"/>
    <w:rsid w:val="00302CD4"/>
    <w:rsid w:val="00303636"/>
    <w:rsid w:val="00303ACF"/>
    <w:rsid w:val="00303C6B"/>
    <w:rsid w:val="0030463E"/>
    <w:rsid w:val="003047AB"/>
    <w:rsid w:val="00304ED6"/>
    <w:rsid w:val="0030661C"/>
    <w:rsid w:val="00306D5D"/>
    <w:rsid w:val="00306FF4"/>
    <w:rsid w:val="003074C6"/>
    <w:rsid w:val="0030757F"/>
    <w:rsid w:val="00307A08"/>
    <w:rsid w:val="0031060A"/>
    <w:rsid w:val="00310B78"/>
    <w:rsid w:val="00310EE1"/>
    <w:rsid w:val="003110CD"/>
    <w:rsid w:val="003122B0"/>
    <w:rsid w:val="00312390"/>
    <w:rsid w:val="003138EB"/>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071E"/>
    <w:rsid w:val="003318A6"/>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80C"/>
    <w:rsid w:val="00346B62"/>
    <w:rsid w:val="00346E40"/>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3E5"/>
    <w:rsid w:val="00360494"/>
    <w:rsid w:val="00360C00"/>
    <w:rsid w:val="00360E7E"/>
    <w:rsid w:val="00361935"/>
    <w:rsid w:val="0036239D"/>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DD6"/>
    <w:rsid w:val="00374FA4"/>
    <w:rsid w:val="003756C6"/>
    <w:rsid w:val="00375EF9"/>
    <w:rsid w:val="00375EFF"/>
    <w:rsid w:val="00376E35"/>
    <w:rsid w:val="003773E4"/>
    <w:rsid w:val="00377F6C"/>
    <w:rsid w:val="00380094"/>
    <w:rsid w:val="00380256"/>
    <w:rsid w:val="0038165D"/>
    <w:rsid w:val="003817CA"/>
    <w:rsid w:val="00381812"/>
    <w:rsid w:val="00382BE9"/>
    <w:rsid w:val="00382D6B"/>
    <w:rsid w:val="00383071"/>
    <w:rsid w:val="00383BBC"/>
    <w:rsid w:val="0038418D"/>
    <w:rsid w:val="003849DF"/>
    <w:rsid w:val="00384F0A"/>
    <w:rsid w:val="00385444"/>
    <w:rsid w:val="00385717"/>
    <w:rsid w:val="00385F39"/>
    <w:rsid w:val="00386070"/>
    <w:rsid w:val="003863FD"/>
    <w:rsid w:val="003900A5"/>
    <w:rsid w:val="00390941"/>
    <w:rsid w:val="00390C0A"/>
    <w:rsid w:val="003917AD"/>
    <w:rsid w:val="00391FAB"/>
    <w:rsid w:val="00392539"/>
    <w:rsid w:val="00392677"/>
    <w:rsid w:val="00393431"/>
    <w:rsid w:val="00393633"/>
    <w:rsid w:val="003939C4"/>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304"/>
    <w:rsid w:val="003A3551"/>
    <w:rsid w:val="003A38F0"/>
    <w:rsid w:val="003A443D"/>
    <w:rsid w:val="003A4708"/>
    <w:rsid w:val="003A4BAB"/>
    <w:rsid w:val="003A6A5A"/>
    <w:rsid w:val="003A72E9"/>
    <w:rsid w:val="003B06AD"/>
    <w:rsid w:val="003B06B9"/>
    <w:rsid w:val="003B0979"/>
    <w:rsid w:val="003B1033"/>
    <w:rsid w:val="003B15E9"/>
    <w:rsid w:val="003B175A"/>
    <w:rsid w:val="003B2FC6"/>
    <w:rsid w:val="003B3231"/>
    <w:rsid w:val="003B357A"/>
    <w:rsid w:val="003B4714"/>
    <w:rsid w:val="003B499C"/>
    <w:rsid w:val="003B4CCD"/>
    <w:rsid w:val="003B522D"/>
    <w:rsid w:val="003B53D4"/>
    <w:rsid w:val="003B599F"/>
    <w:rsid w:val="003B7298"/>
    <w:rsid w:val="003C0036"/>
    <w:rsid w:val="003C0FF8"/>
    <w:rsid w:val="003C18C4"/>
    <w:rsid w:val="003C4333"/>
    <w:rsid w:val="003C43DA"/>
    <w:rsid w:val="003C4FD5"/>
    <w:rsid w:val="003C5585"/>
    <w:rsid w:val="003C5740"/>
    <w:rsid w:val="003C57DD"/>
    <w:rsid w:val="003C582B"/>
    <w:rsid w:val="003C614D"/>
    <w:rsid w:val="003C77E9"/>
    <w:rsid w:val="003C7C63"/>
    <w:rsid w:val="003D152F"/>
    <w:rsid w:val="003D19EE"/>
    <w:rsid w:val="003D2333"/>
    <w:rsid w:val="003D2374"/>
    <w:rsid w:val="003D2B3A"/>
    <w:rsid w:val="003D3241"/>
    <w:rsid w:val="003D4419"/>
    <w:rsid w:val="003D4804"/>
    <w:rsid w:val="003D5413"/>
    <w:rsid w:val="003D73E4"/>
    <w:rsid w:val="003D7685"/>
    <w:rsid w:val="003D7E9A"/>
    <w:rsid w:val="003E0366"/>
    <w:rsid w:val="003E100C"/>
    <w:rsid w:val="003E1678"/>
    <w:rsid w:val="003E2C1D"/>
    <w:rsid w:val="003E2FFE"/>
    <w:rsid w:val="003E37AA"/>
    <w:rsid w:val="003E37BB"/>
    <w:rsid w:val="003E3871"/>
    <w:rsid w:val="003E411A"/>
    <w:rsid w:val="003E4310"/>
    <w:rsid w:val="003E47DE"/>
    <w:rsid w:val="003E4FFA"/>
    <w:rsid w:val="003E6E11"/>
    <w:rsid w:val="003E72DC"/>
    <w:rsid w:val="003E7BA8"/>
    <w:rsid w:val="003F04B3"/>
    <w:rsid w:val="003F0536"/>
    <w:rsid w:val="003F10D3"/>
    <w:rsid w:val="003F1548"/>
    <w:rsid w:val="003F2B3D"/>
    <w:rsid w:val="003F2EDF"/>
    <w:rsid w:val="003F3105"/>
    <w:rsid w:val="003F3BBA"/>
    <w:rsid w:val="003F3C44"/>
    <w:rsid w:val="003F4091"/>
    <w:rsid w:val="003F4172"/>
    <w:rsid w:val="003F4249"/>
    <w:rsid w:val="003F4E3B"/>
    <w:rsid w:val="003F5086"/>
    <w:rsid w:val="003F5108"/>
    <w:rsid w:val="003F57AA"/>
    <w:rsid w:val="003F5D2C"/>
    <w:rsid w:val="003F64BC"/>
    <w:rsid w:val="003F6CAF"/>
    <w:rsid w:val="003F7679"/>
    <w:rsid w:val="003F78A0"/>
    <w:rsid w:val="004001D3"/>
    <w:rsid w:val="00400C13"/>
    <w:rsid w:val="00400F3A"/>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2D"/>
    <w:rsid w:val="00406896"/>
    <w:rsid w:val="00411B37"/>
    <w:rsid w:val="004125ED"/>
    <w:rsid w:val="00412B4D"/>
    <w:rsid w:val="00413B39"/>
    <w:rsid w:val="00413D4D"/>
    <w:rsid w:val="0041450E"/>
    <w:rsid w:val="0041456E"/>
    <w:rsid w:val="00414BE5"/>
    <w:rsid w:val="00415370"/>
    <w:rsid w:val="00415781"/>
    <w:rsid w:val="00415F31"/>
    <w:rsid w:val="00416485"/>
    <w:rsid w:val="00416D6F"/>
    <w:rsid w:val="00416F40"/>
    <w:rsid w:val="00417769"/>
    <w:rsid w:val="004177B0"/>
    <w:rsid w:val="00417F0D"/>
    <w:rsid w:val="00417FE4"/>
    <w:rsid w:val="0042049A"/>
    <w:rsid w:val="00421795"/>
    <w:rsid w:val="00421EF2"/>
    <w:rsid w:val="00422668"/>
    <w:rsid w:val="00423C6D"/>
    <w:rsid w:val="004252CD"/>
    <w:rsid w:val="0042602D"/>
    <w:rsid w:val="00427004"/>
    <w:rsid w:val="0042772E"/>
    <w:rsid w:val="00430CF3"/>
    <w:rsid w:val="00431AC1"/>
    <w:rsid w:val="00431DE1"/>
    <w:rsid w:val="004329C9"/>
    <w:rsid w:val="00432B8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47B"/>
    <w:rsid w:val="00444A7F"/>
    <w:rsid w:val="00444FA3"/>
    <w:rsid w:val="00446553"/>
    <w:rsid w:val="004466DA"/>
    <w:rsid w:val="00446A92"/>
    <w:rsid w:val="00446CEB"/>
    <w:rsid w:val="00447664"/>
    <w:rsid w:val="00447719"/>
    <w:rsid w:val="0045016B"/>
    <w:rsid w:val="004501B4"/>
    <w:rsid w:val="0045082F"/>
    <w:rsid w:val="00450C00"/>
    <w:rsid w:val="0045135E"/>
    <w:rsid w:val="004522E5"/>
    <w:rsid w:val="00452434"/>
    <w:rsid w:val="0045273C"/>
    <w:rsid w:val="00452C53"/>
    <w:rsid w:val="004539C7"/>
    <w:rsid w:val="00453F8A"/>
    <w:rsid w:val="00454597"/>
    <w:rsid w:val="004548E6"/>
    <w:rsid w:val="0045543A"/>
    <w:rsid w:val="00455880"/>
    <w:rsid w:val="00455D1D"/>
    <w:rsid w:val="004561F9"/>
    <w:rsid w:val="0045637C"/>
    <w:rsid w:val="004569A3"/>
    <w:rsid w:val="00456A7F"/>
    <w:rsid w:val="004578ED"/>
    <w:rsid w:val="00457B0C"/>
    <w:rsid w:val="004611B6"/>
    <w:rsid w:val="004615A1"/>
    <w:rsid w:val="00461997"/>
    <w:rsid w:val="00462CE0"/>
    <w:rsid w:val="00463F8B"/>
    <w:rsid w:val="004649AD"/>
    <w:rsid w:val="004650E7"/>
    <w:rsid w:val="0046687B"/>
    <w:rsid w:val="004674FB"/>
    <w:rsid w:val="00470418"/>
    <w:rsid w:val="004704DA"/>
    <w:rsid w:val="004704EA"/>
    <w:rsid w:val="00470567"/>
    <w:rsid w:val="0047056A"/>
    <w:rsid w:val="0047071D"/>
    <w:rsid w:val="00471464"/>
    <w:rsid w:val="004727C4"/>
    <w:rsid w:val="00473579"/>
    <w:rsid w:val="00474E5A"/>
    <w:rsid w:val="004754AE"/>
    <w:rsid w:val="0047558F"/>
    <w:rsid w:val="0047561A"/>
    <w:rsid w:val="00475FD5"/>
    <w:rsid w:val="0047770B"/>
    <w:rsid w:val="00477AFC"/>
    <w:rsid w:val="00477EA3"/>
    <w:rsid w:val="004812F4"/>
    <w:rsid w:val="0048231B"/>
    <w:rsid w:val="00482BD9"/>
    <w:rsid w:val="004838D4"/>
    <w:rsid w:val="004845AC"/>
    <w:rsid w:val="00484C31"/>
    <w:rsid w:val="004850AC"/>
    <w:rsid w:val="00485E3C"/>
    <w:rsid w:val="00486F09"/>
    <w:rsid w:val="004877FB"/>
    <w:rsid w:val="00487B3A"/>
    <w:rsid w:val="004906DB"/>
    <w:rsid w:val="00490B57"/>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2DA3"/>
    <w:rsid w:val="004A3EB3"/>
    <w:rsid w:val="004A4377"/>
    <w:rsid w:val="004A4A51"/>
    <w:rsid w:val="004A57EB"/>
    <w:rsid w:val="004A5824"/>
    <w:rsid w:val="004A59D3"/>
    <w:rsid w:val="004A6D7C"/>
    <w:rsid w:val="004A6F11"/>
    <w:rsid w:val="004A74DD"/>
    <w:rsid w:val="004A7855"/>
    <w:rsid w:val="004B00D1"/>
    <w:rsid w:val="004B0B57"/>
    <w:rsid w:val="004B1245"/>
    <w:rsid w:val="004B1278"/>
    <w:rsid w:val="004B1CAB"/>
    <w:rsid w:val="004B2FF9"/>
    <w:rsid w:val="004B3506"/>
    <w:rsid w:val="004B36ED"/>
    <w:rsid w:val="004B3D73"/>
    <w:rsid w:val="004B40DB"/>
    <w:rsid w:val="004B47BC"/>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0842"/>
    <w:rsid w:val="004D1240"/>
    <w:rsid w:val="004D133B"/>
    <w:rsid w:val="004D49EE"/>
    <w:rsid w:val="004D4AE0"/>
    <w:rsid w:val="004D4C0B"/>
    <w:rsid w:val="004D512D"/>
    <w:rsid w:val="004D6042"/>
    <w:rsid w:val="004D62C0"/>
    <w:rsid w:val="004D69FC"/>
    <w:rsid w:val="004D77BD"/>
    <w:rsid w:val="004D77DE"/>
    <w:rsid w:val="004D7BF4"/>
    <w:rsid w:val="004D7C92"/>
    <w:rsid w:val="004E0356"/>
    <w:rsid w:val="004E0D46"/>
    <w:rsid w:val="004E295C"/>
    <w:rsid w:val="004E38B2"/>
    <w:rsid w:val="004E3936"/>
    <w:rsid w:val="004E4277"/>
    <w:rsid w:val="004E490B"/>
    <w:rsid w:val="004E57F7"/>
    <w:rsid w:val="004E5D9C"/>
    <w:rsid w:val="004E6707"/>
    <w:rsid w:val="004E6985"/>
    <w:rsid w:val="004E6B8E"/>
    <w:rsid w:val="004E7DEE"/>
    <w:rsid w:val="004F0543"/>
    <w:rsid w:val="004F126D"/>
    <w:rsid w:val="004F22C9"/>
    <w:rsid w:val="004F2385"/>
    <w:rsid w:val="004F326E"/>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3ADB"/>
    <w:rsid w:val="0051405F"/>
    <w:rsid w:val="0051444F"/>
    <w:rsid w:val="005148C5"/>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39C6"/>
    <w:rsid w:val="00544853"/>
    <w:rsid w:val="00544CA5"/>
    <w:rsid w:val="005450E2"/>
    <w:rsid w:val="005459FD"/>
    <w:rsid w:val="00545B19"/>
    <w:rsid w:val="005462D7"/>
    <w:rsid w:val="005470DD"/>
    <w:rsid w:val="005476CE"/>
    <w:rsid w:val="00547BCB"/>
    <w:rsid w:val="0055035F"/>
    <w:rsid w:val="005507FD"/>
    <w:rsid w:val="005511C0"/>
    <w:rsid w:val="005518FE"/>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081F"/>
    <w:rsid w:val="00561923"/>
    <w:rsid w:val="005622F8"/>
    <w:rsid w:val="0056310A"/>
    <w:rsid w:val="00563236"/>
    <w:rsid w:val="0056336F"/>
    <w:rsid w:val="005636C6"/>
    <w:rsid w:val="00565366"/>
    <w:rsid w:val="00565AF7"/>
    <w:rsid w:val="005663EB"/>
    <w:rsid w:val="00570C34"/>
    <w:rsid w:val="00571020"/>
    <w:rsid w:val="0057189C"/>
    <w:rsid w:val="005719D3"/>
    <w:rsid w:val="00571BD2"/>
    <w:rsid w:val="00571CD7"/>
    <w:rsid w:val="00571D59"/>
    <w:rsid w:val="00572338"/>
    <w:rsid w:val="00572E3E"/>
    <w:rsid w:val="005732E0"/>
    <w:rsid w:val="005738F7"/>
    <w:rsid w:val="0057420B"/>
    <w:rsid w:val="005756C1"/>
    <w:rsid w:val="0057593B"/>
    <w:rsid w:val="0057799B"/>
    <w:rsid w:val="00580280"/>
    <w:rsid w:val="00580B9E"/>
    <w:rsid w:val="0058135A"/>
    <w:rsid w:val="00583358"/>
    <w:rsid w:val="00583726"/>
    <w:rsid w:val="005839BF"/>
    <w:rsid w:val="00584058"/>
    <w:rsid w:val="005844A5"/>
    <w:rsid w:val="005846B4"/>
    <w:rsid w:val="0058483F"/>
    <w:rsid w:val="005850E5"/>
    <w:rsid w:val="005851E0"/>
    <w:rsid w:val="00585571"/>
    <w:rsid w:val="005856F9"/>
    <w:rsid w:val="00585B91"/>
    <w:rsid w:val="00586BF1"/>
    <w:rsid w:val="00587DC4"/>
    <w:rsid w:val="005903E4"/>
    <w:rsid w:val="005907D5"/>
    <w:rsid w:val="005913EE"/>
    <w:rsid w:val="00592461"/>
    <w:rsid w:val="00592B29"/>
    <w:rsid w:val="00592B43"/>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C14"/>
    <w:rsid w:val="005A7C48"/>
    <w:rsid w:val="005A7DBE"/>
    <w:rsid w:val="005A7E1A"/>
    <w:rsid w:val="005B0476"/>
    <w:rsid w:val="005B0DE9"/>
    <w:rsid w:val="005B1482"/>
    <w:rsid w:val="005B152C"/>
    <w:rsid w:val="005B1C64"/>
    <w:rsid w:val="005B1DE8"/>
    <w:rsid w:val="005B2590"/>
    <w:rsid w:val="005B25BC"/>
    <w:rsid w:val="005B2807"/>
    <w:rsid w:val="005B3606"/>
    <w:rsid w:val="005B3BFF"/>
    <w:rsid w:val="005B3DCC"/>
    <w:rsid w:val="005B3E08"/>
    <w:rsid w:val="005B49B6"/>
    <w:rsid w:val="005B56EE"/>
    <w:rsid w:val="005B672C"/>
    <w:rsid w:val="005B747D"/>
    <w:rsid w:val="005B7733"/>
    <w:rsid w:val="005B7A22"/>
    <w:rsid w:val="005C0602"/>
    <w:rsid w:val="005C0D5D"/>
    <w:rsid w:val="005C0D70"/>
    <w:rsid w:val="005C191A"/>
    <w:rsid w:val="005C2AA9"/>
    <w:rsid w:val="005C330D"/>
    <w:rsid w:val="005C40C7"/>
    <w:rsid w:val="005C4114"/>
    <w:rsid w:val="005C4B98"/>
    <w:rsid w:val="005C4EFF"/>
    <w:rsid w:val="005C4F43"/>
    <w:rsid w:val="005D0189"/>
    <w:rsid w:val="005D0B55"/>
    <w:rsid w:val="005D160D"/>
    <w:rsid w:val="005D356C"/>
    <w:rsid w:val="005D4A04"/>
    <w:rsid w:val="005D4ABA"/>
    <w:rsid w:val="005D4CF7"/>
    <w:rsid w:val="005D5347"/>
    <w:rsid w:val="005D5CC5"/>
    <w:rsid w:val="005D5F31"/>
    <w:rsid w:val="005D5FE6"/>
    <w:rsid w:val="005D61EA"/>
    <w:rsid w:val="005D6759"/>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4E3A"/>
    <w:rsid w:val="005F5573"/>
    <w:rsid w:val="005F5D1D"/>
    <w:rsid w:val="005F60C9"/>
    <w:rsid w:val="005F64C6"/>
    <w:rsid w:val="005F6F05"/>
    <w:rsid w:val="006008F1"/>
    <w:rsid w:val="00601714"/>
    <w:rsid w:val="00601735"/>
    <w:rsid w:val="00601A07"/>
    <w:rsid w:val="00602BD2"/>
    <w:rsid w:val="00604980"/>
    <w:rsid w:val="00605BDB"/>
    <w:rsid w:val="0060614D"/>
    <w:rsid w:val="00607C27"/>
    <w:rsid w:val="00607E54"/>
    <w:rsid w:val="0061005A"/>
    <w:rsid w:val="006101C5"/>
    <w:rsid w:val="00610871"/>
    <w:rsid w:val="00610E48"/>
    <w:rsid w:val="0061160D"/>
    <w:rsid w:val="0061286C"/>
    <w:rsid w:val="00612E83"/>
    <w:rsid w:val="00613C47"/>
    <w:rsid w:val="00615086"/>
    <w:rsid w:val="00615B0A"/>
    <w:rsid w:val="00615D40"/>
    <w:rsid w:val="00616201"/>
    <w:rsid w:val="00616225"/>
    <w:rsid w:val="00616917"/>
    <w:rsid w:val="0061705E"/>
    <w:rsid w:val="00617A8B"/>
    <w:rsid w:val="00620C43"/>
    <w:rsid w:val="00621904"/>
    <w:rsid w:val="00622248"/>
    <w:rsid w:val="00622FEA"/>
    <w:rsid w:val="0062344F"/>
    <w:rsid w:val="00623CDF"/>
    <w:rsid w:val="00623DB1"/>
    <w:rsid w:val="00623DB4"/>
    <w:rsid w:val="006245F3"/>
    <w:rsid w:val="00624DBE"/>
    <w:rsid w:val="00625450"/>
    <w:rsid w:val="0062624F"/>
    <w:rsid w:val="006319C1"/>
    <w:rsid w:val="006319CA"/>
    <w:rsid w:val="00632D91"/>
    <w:rsid w:val="00633B3E"/>
    <w:rsid w:val="00634B64"/>
    <w:rsid w:val="00634EC0"/>
    <w:rsid w:val="006351C3"/>
    <w:rsid w:val="0063627F"/>
    <w:rsid w:val="0063642A"/>
    <w:rsid w:val="0063736E"/>
    <w:rsid w:val="006376C4"/>
    <w:rsid w:val="006378DC"/>
    <w:rsid w:val="0064009E"/>
    <w:rsid w:val="006403E7"/>
    <w:rsid w:val="00642D72"/>
    <w:rsid w:val="006443CB"/>
    <w:rsid w:val="006448B8"/>
    <w:rsid w:val="00644F80"/>
    <w:rsid w:val="00645874"/>
    <w:rsid w:val="006458E5"/>
    <w:rsid w:val="00646E5D"/>
    <w:rsid w:val="006472B4"/>
    <w:rsid w:val="00650B30"/>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3F6"/>
    <w:rsid w:val="00662A5A"/>
    <w:rsid w:val="0066335C"/>
    <w:rsid w:val="006636D0"/>
    <w:rsid w:val="00663834"/>
    <w:rsid w:val="006647D7"/>
    <w:rsid w:val="00664F1B"/>
    <w:rsid w:val="006653D7"/>
    <w:rsid w:val="00665BFF"/>
    <w:rsid w:val="006665BA"/>
    <w:rsid w:val="00666A4F"/>
    <w:rsid w:val="00666B7F"/>
    <w:rsid w:val="00666DEC"/>
    <w:rsid w:val="00667477"/>
    <w:rsid w:val="00670094"/>
    <w:rsid w:val="006703D9"/>
    <w:rsid w:val="00670ADE"/>
    <w:rsid w:val="006714B8"/>
    <w:rsid w:val="00671C51"/>
    <w:rsid w:val="00672DFC"/>
    <w:rsid w:val="00672F5B"/>
    <w:rsid w:val="00673BD7"/>
    <w:rsid w:val="00673DEE"/>
    <w:rsid w:val="006744F6"/>
    <w:rsid w:val="006745F8"/>
    <w:rsid w:val="00674E69"/>
    <w:rsid w:val="0067553E"/>
    <w:rsid w:val="00675A33"/>
    <w:rsid w:val="0067602A"/>
    <w:rsid w:val="00676070"/>
    <w:rsid w:val="006763ED"/>
    <w:rsid w:val="00676433"/>
    <w:rsid w:val="0067720F"/>
    <w:rsid w:val="0067738E"/>
    <w:rsid w:val="00677F23"/>
    <w:rsid w:val="00680936"/>
    <w:rsid w:val="00680BBE"/>
    <w:rsid w:val="00680D8C"/>
    <w:rsid w:val="00680D99"/>
    <w:rsid w:val="00680E4E"/>
    <w:rsid w:val="006821B2"/>
    <w:rsid w:val="00682725"/>
    <w:rsid w:val="00682A1B"/>
    <w:rsid w:val="00682D73"/>
    <w:rsid w:val="00682ED3"/>
    <w:rsid w:val="006843F8"/>
    <w:rsid w:val="006846E8"/>
    <w:rsid w:val="0068541E"/>
    <w:rsid w:val="00685E9D"/>
    <w:rsid w:val="00685EBD"/>
    <w:rsid w:val="0068605C"/>
    <w:rsid w:val="006861AC"/>
    <w:rsid w:val="006861C3"/>
    <w:rsid w:val="0068639D"/>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9796F"/>
    <w:rsid w:val="006A01FB"/>
    <w:rsid w:val="006A1093"/>
    <w:rsid w:val="006A1D3D"/>
    <w:rsid w:val="006A2150"/>
    <w:rsid w:val="006A2216"/>
    <w:rsid w:val="006A241D"/>
    <w:rsid w:val="006A3288"/>
    <w:rsid w:val="006A43E6"/>
    <w:rsid w:val="006A4442"/>
    <w:rsid w:val="006A4AEE"/>
    <w:rsid w:val="006A526F"/>
    <w:rsid w:val="006A70BE"/>
    <w:rsid w:val="006A7934"/>
    <w:rsid w:val="006B0001"/>
    <w:rsid w:val="006B04AF"/>
    <w:rsid w:val="006B059F"/>
    <w:rsid w:val="006B0939"/>
    <w:rsid w:val="006B0A56"/>
    <w:rsid w:val="006B2048"/>
    <w:rsid w:val="006B20A6"/>
    <w:rsid w:val="006B32D5"/>
    <w:rsid w:val="006B342E"/>
    <w:rsid w:val="006B3812"/>
    <w:rsid w:val="006B3B80"/>
    <w:rsid w:val="006B6870"/>
    <w:rsid w:val="006B6F32"/>
    <w:rsid w:val="006B7130"/>
    <w:rsid w:val="006B73CC"/>
    <w:rsid w:val="006B7695"/>
    <w:rsid w:val="006B7C0F"/>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4"/>
    <w:rsid w:val="006D1416"/>
    <w:rsid w:val="006D1D3F"/>
    <w:rsid w:val="006D253B"/>
    <w:rsid w:val="006D325A"/>
    <w:rsid w:val="006D407B"/>
    <w:rsid w:val="006D4242"/>
    <w:rsid w:val="006D44E6"/>
    <w:rsid w:val="006D45F0"/>
    <w:rsid w:val="006D4C8F"/>
    <w:rsid w:val="006D52A0"/>
    <w:rsid w:val="006D57CB"/>
    <w:rsid w:val="006D5819"/>
    <w:rsid w:val="006D5E6F"/>
    <w:rsid w:val="006D693F"/>
    <w:rsid w:val="006D6CDD"/>
    <w:rsid w:val="006D7604"/>
    <w:rsid w:val="006D765E"/>
    <w:rsid w:val="006E03D1"/>
    <w:rsid w:val="006E0455"/>
    <w:rsid w:val="006E150D"/>
    <w:rsid w:val="006E3289"/>
    <w:rsid w:val="006E33E4"/>
    <w:rsid w:val="006E4238"/>
    <w:rsid w:val="006E5F01"/>
    <w:rsid w:val="006E5F88"/>
    <w:rsid w:val="006E7404"/>
    <w:rsid w:val="006E7A36"/>
    <w:rsid w:val="006E7B97"/>
    <w:rsid w:val="006F12C8"/>
    <w:rsid w:val="006F1DE7"/>
    <w:rsid w:val="006F1EA3"/>
    <w:rsid w:val="006F2627"/>
    <w:rsid w:val="006F2BF8"/>
    <w:rsid w:val="006F31E2"/>
    <w:rsid w:val="006F3568"/>
    <w:rsid w:val="006F40AD"/>
    <w:rsid w:val="006F4A5F"/>
    <w:rsid w:val="006F4D7B"/>
    <w:rsid w:val="006F524D"/>
    <w:rsid w:val="006F6360"/>
    <w:rsid w:val="006F6436"/>
    <w:rsid w:val="006F65C5"/>
    <w:rsid w:val="006F687A"/>
    <w:rsid w:val="006F68EF"/>
    <w:rsid w:val="006F6D38"/>
    <w:rsid w:val="006F6D4C"/>
    <w:rsid w:val="006F6E67"/>
    <w:rsid w:val="006F7157"/>
    <w:rsid w:val="006F78E0"/>
    <w:rsid w:val="00701210"/>
    <w:rsid w:val="00702428"/>
    <w:rsid w:val="00702B1B"/>
    <w:rsid w:val="00702ED6"/>
    <w:rsid w:val="007032B3"/>
    <w:rsid w:val="00703C62"/>
    <w:rsid w:val="00704164"/>
    <w:rsid w:val="007044BF"/>
    <w:rsid w:val="00706388"/>
    <w:rsid w:val="00706A58"/>
    <w:rsid w:val="00707517"/>
    <w:rsid w:val="007078ED"/>
    <w:rsid w:val="00710187"/>
    <w:rsid w:val="007110E1"/>
    <w:rsid w:val="007115CE"/>
    <w:rsid w:val="00711B18"/>
    <w:rsid w:val="00714394"/>
    <w:rsid w:val="00714ED6"/>
    <w:rsid w:val="007151B7"/>
    <w:rsid w:val="007153FC"/>
    <w:rsid w:val="00715E8D"/>
    <w:rsid w:val="0071648F"/>
    <w:rsid w:val="00716D8A"/>
    <w:rsid w:val="00717854"/>
    <w:rsid w:val="00720CCE"/>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27C5E"/>
    <w:rsid w:val="00734510"/>
    <w:rsid w:val="00734887"/>
    <w:rsid w:val="00736530"/>
    <w:rsid w:val="007365B6"/>
    <w:rsid w:val="007373C8"/>
    <w:rsid w:val="007401E2"/>
    <w:rsid w:val="00740205"/>
    <w:rsid w:val="00740D67"/>
    <w:rsid w:val="007411E5"/>
    <w:rsid w:val="00741605"/>
    <w:rsid w:val="00742AD3"/>
    <w:rsid w:val="00742F72"/>
    <w:rsid w:val="00743319"/>
    <w:rsid w:val="007436F2"/>
    <w:rsid w:val="0074436D"/>
    <w:rsid w:val="007446DA"/>
    <w:rsid w:val="007462C2"/>
    <w:rsid w:val="00746772"/>
    <w:rsid w:val="00746951"/>
    <w:rsid w:val="00746F65"/>
    <w:rsid w:val="00746FFF"/>
    <w:rsid w:val="007472C3"/>
    <w:rsid w:val="0074791E"/>
    <w:rsid w:val="0075028E"/>
    <w:rsid w:val="00750948"/>
    <w:rsid w:val="0075115D"/>
    <w:rsid w:val="00751A33"/>
    <w:rsid w:val="00751F77"/>
    <w:rsid w:val="00752C5F"/>
    <w:rsid w:val="00753890"/>
    <w:rsid w:val="007555DF"/>
    <w:rsid w:val="007569DC"/>
    <w:rsid w:val="00756D6A"/>
    <w:rsid w:val="0075711E"/>
    <w:rsid w:val="007579F2"/>
    <w:rsid w:val="007602CB"/>
    <w:rsid w:val="00761434"/>
    <w:rsid w:val="00761FD5"/>
    <w:rsid w:val="007620C9"/>
    <w:rsid w:val="00762372"/>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47C"/>
    <w:rsid w:val="0077270D"/>
    <w:rsid w:val="00773874"/>
    <w:rsid w:val="007738D5"/>
    <w:rsid w:val="00774B47"/>
    <w:rsid w:val="00775D3B"/>
    <w:rsid w:val="0077615A"/>
    <w:rsid w:val="00777483"/>
    <w:rsid w:val="007806A0"/>
    <w:rsid w:val="00782346"/>
    <w:rsid w:val="007828DB"/>
    <w:rsid w:val="007838CD"/>
    <w:rsid w:val="007840F3"/>
    <w:rsid w:val="00784EC7"/>
    <w:rsid w:val="00785491"/>
    <w:rsid w:val="007858C0"/>
    <w:rsid w:val="00785C4E"/>
    <w:rsid w:val="00786128"/>
    <w:rsid w:val="00786550"/>
    <w:rsid w:val="0078679A"/>
    <w:rsid w:val="007871FE"/>
    <w:rsid w:val="007902AD"/>
    <w:rsid w:val="00790606"/>
    <w:rsid w:val="007908ED"/>
    <w:rsid w:val="00790F74"/>
    <w:rsid w:val="007912E8"/>
    <w:rsid w:val="00792288"/>
    <w:rsid w:val="00792447"/>
    <w:rsid w:val="007928C6"/>
    <w:rsid w:val="007929C0"/>
    <w:rsid w:val="007951F4"/>
    <w:rsid w:val="00795BF6"/>
    <w:rsid w:val="0079694C"/>
    <w:rsid w:val="00796F99"/>
    <w:rsid w:val="00797AF9"/>
    <w:rsid w:val="00797FBD"/>
    <w:rsid w:val="007A0187"/>
    <w:rsid w:val="007A19AC"/>
    <w:rsid w:val="007A2640"/>
    <w:rsid w:val="007A268F"/>
    <w:rsid w:val="007A4A53"/>
    <w:rsid w:val="007A4C93"/>
    <w:rsid w:val="007A4E17"/>
    <w:rsid w:val="007A5936"/>
    <w:rsid w:val="007A5AC6"/>
    <w:rsid w:val="007A6A01"/>
    <w:rsid w:val="007A7D0A"/>
    <w:rsid w:val="007A7F6D"/>
    <w:rsid w:val="007B04A8"/>
    <w:rsid w:val="007B0799"/>
    <w:rsid w:val="007B0FBD"/>
    <w:rsid w:val="007B1BAF"/>
    <w:rsid w:val="007B2393"/>
    <w:rsid w:val="007B2FE8"/>
    <w:rsid w:val="007B30DB"/>
    <w:rsid w:val="007B30F2"/>
    <w:rsid w:val="007B35F7"/>
    <w:rsid w:val="007B4DD5"/>
    <w:rsid w:val="007B4F72"/>
    <w:rsid w:val="007B5148"/>
    <w:rsid w:val="007B5A16"/>
    <w:rsid w:val="007B64D8"/>
    <w:rsid w:val="007B660D"/>
    <w:rsid w:val="007B7219"/>
    <w:rsid w:val="007C03FE"/>
    <w:rsid w:val="007C0E04"/>
    <w:rsid w:val="007C17D3"/>
    <w:rsid w:val="007C1E98"/>
    <w:rsid w:val="007C1FA2"/>
    <w:rsid w:val="007C2823"/>
    <w:rsid w:val="007C2827"/>
    <w:rsid w:val="007C3536"/>
    <w:rsid w:val="007C3A26"/>
    <w:rsid w:val="007C4032"/>
    <w:rsid w:val="007C4CE1"/>
    <w:rsid w:val="007C537A"/>
    <w:rsid w:val="007C563F"/>
    <w:rsid w:val="007C57D1"/>
    <w:rsid w:val="007C6B3E"/>
    <w:rsid w:val="007C6F13"/>
    <w:rsid w:val="007C7130"/>
    <w:rsid w:val="007C74E5"/>
    <w:rsid w:val="007C7DAB"/>
    <w:rsid w:val="007C7F57"/>
    <w:rsid w:val="007D0348"/>
    <w:rsid w:val="007D0E43"/>
    <w:rsid w:val="007D13E7"/>
    <w:rsid w:val="007D153B"/>
    <w:rsid w:val="007D1E37"/>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3EE9"/>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A15"/>
    <w:rsid w:val="007F2D90"/>
    <w:rsid w:val="007F321F"/>
    <w:rsid w:val="007F3D9B"/>
    <w:rsid w:val="007F3F6F"/>
    <w:rsid w:val="007F48A9"/>
    <w:rsid w:val="007F4A1F"/>
    <w:rsid w:val="007F4E28"/>
    <w:rsid w:val="007F4E6E"/>
    <w:rsid w:val="007F4F82"/>
    <w:rsid w:val="007F6D96"/>
    <w:rsid w:val="007F7CFA"/>
    <w:rsid w:val="0080033E"/>
    <w:rsid w:val="00801D7A"/>
    <w:rsid w:val="008020F2"/>
    <w:rsid w:val="00802462"/>
    <w:rsid w:val="008036FC"/>
    <w:rsid w:val="00803F74"/>
    <w:rsid w:val="00804653"/>
    <w:rsid w:val="00804C48"/>
    <w:rsid w:val="0080505A"/>
    <w:rsid w:val="00805478"/>
    <w:rsid w:val="00806639"/>
    <w:rsid w:val="008066AC"/>
    <w:rsid w:val="00806A84"/>
    <w:rsid w:val="008073A4"/>
    <w:rsid w:val="00807C6C"/>
    <w:rsid w:val="00807C7A"/>
    <w:rsid w:val="008101E4"/>
    <w:rsid w:val="008115ED"/>
    <w:rsid w:val="00811A42"/>
    <w:rsid w:val="0081254B"/>
    <w:rsid w:val="008132BB"/>
    <w:rsid w:val="0081340B"/>
    <w:rsid w:val="00813788"/>
    <w:rsid w:val="00813F40"/>
    <w:rsid w:val="00814FED"/>
    <w:rsid w:val="00815822"/>
    <w:rsid w:val="00815B93"/>
    <w:rsid w:val="00815BA2"/>
    <w:rsid w:val="00816585"/>
    <w:rsid w:val="00816AD2"/>
    <w:rsid w:val="00817364"/>
    <w:rsid w:val="00817BB4"/>
    <w:rsid w:val="00817E4F"/>
    <w:rsid w:val="00820667"/>
    <w:rsid w:val="00820F5B"/>
    <w:rsid w:val="00821021"/>
    <w:rsid w:val="00821251"/>
    <w:rsid w:val="008214BB"/>
    <w:rsid w:val="00821B58"/>
    <w:rsid w:val="00822136"/>
    <w:rsid w:val="00822D4E"/>
    <w:rsid w:val="00822FBA"/>
    <w:rsid w:val="0082398C"/>
    <w:rsid w:val="00824FAD"/>
    <w:rsid w:val="00824FF1"/>
    <w:rsid w:val="00825196"/>
    <w:rsid w:val="008256AC"/>
    <w:rsid w:val="00826173"/>
    <w:rsid w:val="00826F4C"/>
    <w:rsid w:val="008302D6"/>
    <w:rsid w:val="008305FD"/>
    <w:rsid w:val="00831573"/>
    <w:rsid w:val="008318E5"/>
    <w:rsid w:val="00833946"/>
    <w:rsid w:val="00833C51"/>
    <w:rsid w:val="008349A6"/>
    <w:rsid w:val="00835271"/>
    <w:rsid w:val="00835679"/>
    <w:rsid w:val="008360DF"/>
    <w:rsid w:val="008365D4"/>
    <w:rsid w:val="0083731C"/>
    <w:rsid w:val="008377DA"/>
    <w:rsid w:val="00837BD7"/>
    <w:rsid w:val="008403A7"/>
    <w:rsid w:val="00840591"/>
    <w:rsid w:val="0084119A"/>
    <w:rsid w:val="00841F21"/>
    <w:rsid w:val="00842991"/>
    <w:rsid w:val="008429B0"/>
    <w:rsid w:val="00843900"/>
    <w:rsid w:val="00844C5B"/>
    <w:rsid w:val="00845083"/>
    <w:rsid w:val="0084581F"/>
    <w:rsid w:val="00845898"/>
    <w:rsid w:val="00845A15"/>
    <w:rsid w:val="0084632F"/>
    <w:rsid w:val="00851810"/>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0AF"/>
    <w:rsid w:val="008751C1"/>
    <w:rsid w:val="00876C1B"/>
    <w:rsid w:val="00876E70"/>
    <w:rsid w:val="008804E1"/>
    <w:rsid w:val="00880ABB"/>
    <w:rsid w:val="00880E30"/>
    <w:rsid w:val="008815B6"/>
    <w:rsid w:val="008818F6"/>
    <w:rsid w:val="00881D45"/>
    <w:rsid w:val="008829F8"/>
    <w:rsid w:val="0088398E"/>
    <w:rsid w:val="00885182"/>
    <w:rsid w:val="0088647E"/>
    <w:rsid w:val="00887E02"/>
    <w:rsid w:val="00890382"/>
    <w:rsid w:val="0089046A"/>
    <w:rsid w:val="00891106"/>
    <w:rsid w:val="008916CB"/>
    <w:rsid w:val="0089189B"/>
    <w:rsid w:val="00892833"/>
    <w:rsid w:val="00893479"/>
    <w:rsid w:val="0089375D"/>
    <w:rsid w:val="008943CB"/>
    <w:rsid w:val="008946B9"/>
    <w:rsid w:val="008960A2"/>
    <w:rsid w:val="00896376"/>
    <w:rsid w:val="00896E62"/>
    <w:rsid w:val="008979BC"/>
    <w:rsid w:val="008A056E"/>
    <w:rsid w:val="008A0882"/>
    <w:rsid w:val="008A10C1"/>
    <w:rsid w:val="008A181A"/>
    <w:rsid w:val="008A1A6F"/>
    <w:rsid w:val="008A1C47"/>
    <w:rsid w:val="008A2289"/>
    <w:rsid w:val="008A26F5"/>
    <w:rsid w:val="008A3766"/>
    <w:rsid w:val="008A3F08"/>
    <w:rsid w:val="008A4F66"/>
    <w:rsid w:val="008A525C"/>
    <w:rsid w:val="008A5290"/>
    <w:rsid w:val="008A593A"/>
    <w:rsid w:val="008A6A60"/>
    <w:rsid w:val="008A6B89"/>
    <w:rsid w:val="008A6C5A"/>
    <w:rsid w:val="008A6CCA"/>
    <w:rsid w:val="008B1417"/>
    <w:rsid w:val="008B1B85"/>
    <w:rsid w:val="008B1B8C"/>
    <w:rsid w:val="008B2170"/>
    <w:rsid w:val="008B25B1"/>
    <w:rsid w:val="008B2C59"/>
    <w:rsid w:val="008B2DF3"/>
    <w:rsid w:val="008B353B"/>
    <w:rsid w:val="008B3761"/>
    <w:rsid w:val="008B376A"/>
    <w:rsid w:val="008B444E"/>
    <w:rsid w:val="008B569F"/>
    <w:rsid w:val="008B71B6"/>
    <w:rsid w:val="008B7220"/>
    <w:rsid w:val="008C0669"/>
    <w:rsid w:val="008C08A5"/>
    <w:rsid w:val="008C1DD7"/>
    <w:rsid w:val="008C26FA"/>
    <w:rsid w:val="008C36BB"/>
    <w:rsid w:val="008C38A4"/>
    <w:rsid w:val="008C4566"/>
    <w:rsid w:val="008C46B6"/>
    <w:rsid w:val="008C46C3"/>
    <w:rsid w:val="008C522A"/>
    <w:rsid w:val="008C5E71"/>
    <w:rsid w:val="008C64E3"/>
    <w:rsid w:val="008C6A8B"/>
    <w:rsid w:val="008C7409"/>
    <w:rsid w:val="008C77F7"/>
    <w:rsid w:val="008D00EA"/>
    <w:rsid w:val="008D0D1E"/>
    <w:rsid w:val="008D1175"/>
    <w:rsid w:val="008D13C7"/>
    <w:rsid w:val="008D1627"/>
    <w:rsid w:val="008D1DA0"/>
    <w:rsid w:val="008D284E"/>
    <w:rsid w:val="008D3E1A"/>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0377"/>
    <w:rsid w:val="008F0E38"/>
    <w:rsid w:val="008F2A60"/>
    <w:rsid w:val="008F310D"/>
    <w:rsid w:val="008F3758"/>
    <w:rsid w:val="008F3888"/>
    <w:rsid w:val="008F3A90"/>
    <w:rsid w:val="008F3B22"/>
    <w:rsid w:val="008F43C7"/>
    <w:rsid w:val="008F4823"/>
    <w:rsid w:val="008F551B"/>
    <w:rsid w:val="008F606D"/>
    <w:rsid w:val="008F6597"/>
    <w:rsid w:val="008F7150"/>
    <w:rsid w:val="008F71CC"/>
    <w:rsid w:val="008F721C"/>
    <w:rsid w:val="008F757D"/>
    <w:rsid w:val="00900662"/>
    <w:rsid w:val="00900BFF"/>
    <w:rsid w:val="00901953"/>
    <w:rsid w:val="00901DF8"/>
    <w:rsid w:val="00902166"/>
    <w:rsid w:val="00902A0C"/>
    <w:rsid w:val="009040A1"/>
    <w:rsid w:val="009043AA"/>
    <w:rsid w:val="0090473B"/>
    <w:rsid w:val="0090487F"/>
    <w:rsid w:val="00904A1E"/>
    <w:rsid w:val="00905282"/>
    <w:rsid w:val="0090574B"/>
    <w:rsid w:val="00905908"/>
    <w:rsid w:val="00905F22"/>
    <w:rsid w:val="00906C96"/>
    <w:rsid w:val="009075A4"/>
    <w:rsid w:val="009101AF"/>
    <w:rsid w:val="00910400"/>
    <w:rsid w:val="00911808"/>
    <w:rsid w:val="00911DF3"/>
    <w:rsid w:val="00912F37"/>
    <w:rsid w:val="009131C8"/>
    <w:rsid w:val="009145FB"/>
    <w:rsid w:val="00914811"/>
    <w:rsid w:val="00915283"/>
    <w:rsid w:val="00915786"/>
    <w:rsid w:val="00917141"/>
    <w:rsid w:val="0091746C"/>
    <w:rsid w:val="00917D06"/>
    <w:rsid w:val="009207DB"/>
    <w:rsid w:val="00921879"/>
    <w:rsid w:val="00922024"/>
    <w:rsid w:val="00922A45"/>
    <w:rsid w:val="009233CE"/>
    <w:rsid w:val="00923C3F"/>
    <w:rsid w:val="00924853"/>
    <w:rsid w:val="009252E0"/>
    <w:rsid w:val="00925501"/>
    <w:rsid w:val="00926982"/>
    <w:rsid w:val="00926B5A"/>
    <w:rsid w:val="00926D4C"/>
    <w:rsid w:val="009270C4"/>
    <w:rsid w:val="00931743"/>
    <w:rsid w:val="00931AF8"/>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1D3B"/>
    <w:rsid w:val="00942120"/>
    <w:rsid w:val="009425F7"/>
    <w:rsid w:val="00943827"/>
    <w:rsid w:val="00943BC0"/>
    <w:rsid w:val="00943E23"/>
    <w:rsid w:val="00944BF0"/>
    <w:rsid w:val="00944F29"/>
    <w:rsid w:val="00946136"/>
    <w:rsid w:val="00946CD9"/>
    <w:rsid w:val="00947046"/>
    <w:rsid w:val="00947A00"/>
    <w:rsid w:val="009505F4"/>
    <w:rsid w:val="00951216"/>
    <w:rsid w:val="0095279B"/>
    <w:rsid w:val="00953006"/>
    <w:rsid w:val="0095316C"/>
    <w:rsid w:val="00954282"/>
    <w:rsid w:val="00954427"/>
    <w:rsid w:val="009545B9"/>
    <w:rsid w:val="009564ED"/>
    <w:rsid w:val="00956CA2"/>
    <w:rsid w:val="00960310"/>
    <w:rsid w:val="00960385"/>
    <w:rsid w:val="0096079B"/>
    <w:rsid w:val="00960CA9"/>
    <w:rsid w:val="00961D3A"/>
    <w:rsid w:val="0096218D"/>
    <w:rsid w:val="00964509"/>
    <w:rsid w:val="00964525"/>
    <w:rsid w:val="0096501B"/>
    <w:rsid w:val="0096627F"/>
    <w:rsid w:val="0096662B"/>
    <w:rsid w:val="009666AF"/>
    <w:rsid w:val="00966D65"/>
    <w:rsid w:val="00967180"/>
    <w:rsid w:val="0096797D"/>
    <w:rsid w:val="00967B7F"/>
    <w:rsid w:val="00970704"/>
    <w:rsid w:val="00970B65"/>
    <w:rsid w:val="00971127"/>
    <w:rsid w:val="0097119E"/>
    <w:rsid w:val="00971E87"/>
    <w:rsid w:val="00971EB0"/>
    <w:rsid w:val="0097272C"/>
    <w:rsid w:val="009734B8"/>
    <w:rsid w:val="00973514"/>
    <w:rsid w:val="009741E7"/>
    <w:rsid w:val="00974EEC"/>
    <w:rsid w:val="00975B47"/>
    <w:rsid w:val="00975C75"/>
    <w:rsid w:val="00975E5B"/>
    <w:rsid w:val="0097681E"/>
    <w:rsid w:val="00977506"/>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0B6"/>
    <w:rsid w:val="00994B5F"/>
    <w:rsid w:val="00995768"/>
    <w:rsid w:val="00996326"/>
    <w:rsid w:val="00996B7D"/>
    <w:rsid w:val="00996F95"/>
    <w:rsid w:val="009976A3"/>
    <w:rsid w:val="00997745"/>
    <w:rsid w:val="00997EA5"/>
    <w:rsid w:val="009A07D5"/>
    <w:rsid w:val="009A1BC9"/>
    <w:rsid w:val="009A1FE7"/>
    <w:rsid w:val="009A28D9"/>
    <w:rsid w:val="009A2967"/>
    <w:rsid w:val="009A36B7"/>
    <w:rsid w:val="009A3720"/>
    <w:rsid w:val="009A42CF"/>
    <w:rsid w:val="009A44E8"/>
    <w:rsid w:val="009A4A49"/>
    <w:rsid w:val="009A581E"/>
    <w:rsid w:val="009A679E"/>
    <w:rsid w:val="009B0460"/>
    <w:rsid w:val="009B1DA5"/>
    <w:rsid w:val="009B1E1D"/>
    <w:rsid w:val="009B2602"/>
    <w:rsid w:val="009B28FD"/>
    <w:rsid w:val="009B2AD6"/>
    <w:rsid w:val="009B3172"/>
    <w:rsid w:val="009B32D0"/>
    <w:rsid w:val="009B4575"/>
    <w:rsid w:val="009B45C7"/>
    <w:rsid w:val="009B461D"/>
    <w:rsid w:val="009B5594"/>
    <w:rsid w:val="009B59ED"/>
    <w:rsid w:val="009B6EE8"/>
    <w:rsid w:val="009B729E"/>
    <w:rsid w:val="009B7498"/>
    <w:rsid w:val="009C0191"/>
    <w:rsid w:val="009C264B"/>
    <w:rsid w:val="009C34F1"/>
    <w:rsid w:val="009C381A"/>
    <w:rsid w:val="009C3B80"/>
    <w:rsid w:val="009C3D84"/>
    <w:rsid w:val="009C42E2"/>
    <w:rsid w:val="009C48C6"/>
    <w:rsid w:val="009C5D76"/>
    <w:rsid w:val="009C5DFB"/>
    <w:rsid w:val="009C5FDE"/>
    <w:rsid w:val="009C6C9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393"/>
    <w:rsid w:val="009E04BB"/>
    <w:rsid w:val="009E0525"/>
    <w:rsid w:val="009E05A9"/>
    <w:rsid w:val="009E1370"/>
    <w:rsid w:val="009E20A6"/>
    <w:rsid w:val="009E233F"/>
    <w:rsid w:val="009E2F30"/>
    <w:rsid w:val="009E323A"/>
    <w:rsid w:val="009E328B"/>
    <w:rsid w:val="009E396A"/>
    <w:rsid w:val="009E4130"/>
    <w:rsid w:val="009E441E"/>
    <w:rsid w:val="009E6122"/>
    <w:rsid w:val="009E6DD0"/>
    <w:rsid w:val="009E6DEE"/>
    <w:rsid w:val="009E6E87"/>
    <w:rsid w:val="009E700C"/>
    <w:rsid w:val="009E7491"/>
    <w:rsid w:val="009F082A"/>
    <w:rsid w:val="009F0BD9"/>
    <w:rsid w:val="009F12B4"/>
    <w:rsid w:val="009F33FA"/>
    <w:rsid w:val="009F347C"/>
    <w:rsid w:val="009F4A46"/>
    <w:rsid w:val="009F4D19"/>
    <w:rsid w:val="009F54D7"/>
    <w:rsid w:val="009F6619"/>
    <w:rsid w:val="009F68FF"/>
    <w:rsid w:val="009F6FEE"/>
    <w:rsid w:val="009F768E"/>
    <w:rsid w:val="009F7F88"/>
    <w:rsid w:val="00A00E77"/>
    <w:rsid w:val="00A01A4C"/>
    <w:rsid w:val="00A01C1F"/>
    <w:rsid w:val="00A01C98"/>
    <w:rsid w:val="00A04B6F"/>
    <w:rsid w:val="00A054CB"/>
    <w:rsid w:val="00A05DF4"/>
    <w:rsid w:val="00A05E8F"/>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747"/>
    <w:rsid w:val="00A26E5D"/>
    <w:rsid w:val="00A276A6"/>
    <w:rsid w:val="00A276FF"/>
    <w:rsid w:val="00A30164"/>
    <w:rsid w:val="00A30C82"/>
    <w:rsid w:val="00A31A01"/>
    <w:rsid w:val="00A31B33"/>
    <w:rsid w:val="00A321B3"/>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2310"/>
    <w:rsid w:val="00A4350C"/>
    <w:rsid w:val="00A43644"/>
    <w:rsid w:val="00A4383B"/>
    <w:rsid w:val="00A44BB6"/>
    <w:rsid w:val="00A45734"/>
    <w:rsid w:val="00A45B90"/>
    <w:rsid w:val="00A461B1"/>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1AB"/>
    <w:rsid w:val="00A62757"/>
    <w:rsid w:val="00A639E0"/>
    <w:rsid w:val="00A63D89"/>
    <w:rsid w:val="00A64368"/>
    <w:rsid w:val="00A64393"/>
    <w:rsid w:val="00A647EC"/>
    <w:rsid w:val="00A6526E"/>
    <w:rsid w:val="00A65DA4"/>
    <w:rsid w:val="00A66E04"/>
    <w:rsid w:val="00A67194"/>
    <w:rsid w:val="00A671B3"/>
    <w:rsid w:val="00A6735F"/>
    <w:rsid w:val="00A676F1"/>
    <w:rsid w:val="00A67968"/>
    <w:rsid w:val="00A7040E"/>
    <w:rsid w:val="00A70D5A"/>
    <w:rsid w:val="00A71E1C"/>
    <w:rsid w:val="00A734F2"/>
    <w:rsid w:val="00A73DEE"/>
    <w:rsid w:val="00A74254"/>
    <w:rsid w:val="00A74678"/>
    <w:rsid w:val="00A75AEA"/>
    <w:rsid w:val="00A75EA3"/>
    <w:rsid w:val="00A76063"/>
    <w:rsid w:val="00A767EB"/>
    <w:rsid w:val="00A771BF"/>
    <w:rsid w:val="00A77299"/>
    <w:rsid w:val="00A803C1"/>
    <w:rsid w:val="00A805F1"/>
    <w:rsid w:val="00A815B6"/>
    <w:rsid w:val="00A81953"/>
    <w:rsid w:val="00A82067"/>
    <w:rsid w:val="00A827C9"/>
    <w:rsid w:val="00A83BF3"/>
    <w:rsid w:val="00A85B31"/>
    <w:rsid w:val="00A860FD"/>
    <w:rsid w:val="00A861F3"/>
    <w:rsid w:val="00A866EA"/>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1AF"/>
    <w:rsid w:val="00A97A16"/>
    <w:rsid w:val="00A97B61"/>
    <w:rsid w:val="00A97C2E"/>
    <w:rsid w:val="00A97CE3"/>
    <w:rsid w:val="00A97E0C"/>
    <w:rsid w:val="00AA01DA"/>
    <w:rsid w:val="00AA0925"/>
    <w:rsid w:val="00AA11BA"/>
    <w:rsid w:val="00AA182B"/>
    <w:rsid w:val="00AA2394"/>
    <w:rsid w:val="00AA2D62"/>
    <w:rsid w:val="00AA2E2C"/>
    <w:rsid w:val="00AA2E90"/>
    <w:rsid w:val="00AA3077"/>
    <w:rsid w:val="00AA36B9"/>
    <w:rsid w:val="00AA375B"/>
    <w:rsid w:val="00AA38AF"/>
    <w:rsid w:val="00AA41DE"/>
    <w:rsid w:val="00AA450C"/>
    <w:rsid w:val="00AA4B62"/>
    <w:rsid w:val="00AA571A"/>
    <w:rsid w:val="00AA5EB3"/>
    <w:rsid w:val="00AA6916"/>
    <w:rsid w:val="00AB022F"/>
    <w:rsid w:val="00AB110E"/>
    <w:rsid w:val="00AB11CF"/>
    <w:rsid w:val="00AB1287"/>
    <w:rsid w:val="00AB1CE8"/>
    <w:rsid w:val="00AB2470"/>
    <w:rsid w:val="00AB3EC9"/>
    <w:rsid w:val="00AB3FCD"/>
    <w:rsid w:val="00AB43FC"/>
    <w:rsid w:val="00AB4506"/>
    <w:rsid w:val="00AB5190"/>
    <w:rsid w:val="00AB5513"/>
    <w:rsid w:val="00AB6DFC"/>
    <w:rsid w:val="00AB6E0F"/>
    <w:rsid w:val="00AB7354"/>
    <w:rsid w:val="00AB75DD"/>
    <w:rsid w:val="00AB7C46"/>
    <w:rsid w:val="00AC071C"/>
    <w:rsid w:val="00AC2076"/>
    <w:rsid w:val="00AC3637"/>
    <w:rsid w:val="00AC3D4F"/>
    <w:rsid w:val="00AC3D5B"/>
    <w:rsid w:val="00AC3DB7"/>
    <w:rsid w:val="00AC4699"/>
    <w:rsid w:val="00AC57CD"/>
    <w:rsid w:val="00AC59DF"/>
    <w:rsid w:val="00AC63A8"/>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071"/>
    <w:rsid w:val="00AE2330"/>
    <w:rsid w:val="00AE27D6"/>
    <w:rsid w:val="00AE3354"/>
    <w:rsid w:val="00AE55BC"/>
    <w:rsid w:val="00AE56D1"/>
    <w:rsid w:val="00AE5A99"/>
    <w:rsid w:val="00AE62E7"/>
    <w:rsid w:val="00AE686D"/>
    <w:rsid w:val="00AE6B27"/>
    <w:rsid w:val="00AE77AC"/>
    <w:rsid w:val="00AF0DC0"/>
    <w:rsid w:val="00AF0F96"/>
    <w:rsid w:val="00AF17E4"/>
    <w:rsid w:val="00AF1CE6"/>
    <w:rsid w:val="00AF21D7"/>
    <w:rsid w:val="00AF282C"/>
    <w:rsid w:val="00AF28EB"/>
    <w:rsid w:val="00AF31BA"/>
    <w:rsid w:val="00AF36B6"/>
    <w:rsid w:val="00AF42CB"/>
    <w:rsid w:val="00AF4803"/>
    <w:rsid w:val="00AF4D10"/>
    <w:rsid w:val="00AF58CB"/>
    <w:rsid w:val="00AF5DB8"/>
    <w:rsid w:val="00AF7217"/>
    <w:rsid w:val="00AF726F"/>
    <w:rsid w:val="00AF783F"/>
    <w:rsid w:val="00B00506"/>
    <w:rsid w:val="00B005E2"/>
    <w:rsid w:val="00B00673"/>
    <w:rsid w:val="00B00AE7"/>
    <w:rsid w:val="00B00ED5"/>
    <w:rsid w:val="00B02315"/>
    <w:rsid w:val="00B02BF0"/>
    <w:rsid w:val="00B034DD"/>
    <w:rsid w:val="00B03AB4"/>
    <w:rsid w:val="00B04C3C"/>
    <w:rsid w:val="00B05B91"/>
    <w:rsid w:val="00B06ED4"/>
    <w:rsid w:val="00B077CC"/>
    <w:rsid w:val="00B07A28"/>
    <w:rsid w:val="00B07C8A"/>
    <w:rsid w:val="00B1123F"/>
    <w:rsid w:val="00B11A4E"/>
    <w:rsid w:val="00B13397"/>
    <w:rsid w:val="00B1400D"/>
    <w:rsid w:val="00B144AA"/>
    <w:rsid w:val="00B147C9"/>
    <w:rsid w:val="00B15BB2"/>
    <w:rsid w:val="00B1666B"/>
    <w:rsid w:val="00B16B5D"/>
    <w:rsid w:val="00B16CEE"/>
    <w:rsid w:val="00B16EBE"/>
    <w:rsid w:val="00B20655"/>
    <w:rsid w:val="00B20BD6"/>
    <w:rsid w:val="00B21443"/>
    <w:rsid w:val="00B21D0E"/>
    <w:rsid w:val="00B22C57"/>
    <w:rsid w:val="00B23C76"/>
    <w:rsid w:val="00B23EEE"/>
    <w:rsid w:val="00B25E1E"/>
    <w:rsid w:val="00B267F7"/>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53E"/>
    <w:rsid w:val="00B426B6"/>
    <w:rsid w:val="00B42C20"/>
    <w:rsid w:val="00B43AD9"/>
    <w:rsid w:val="00B443D5"/>
    <w:rsid w:val="00B44482"/>
    <w:rsid w:val="00B4498A"/>
    <w:rsid w:val="00B44CAB"/>
    <w:rsid w:val="00B45012"/>
    <w:rsid w:val="00B450D9"/>
    <w:rsid w:val="00B45D36"/>
    <w:rsid w:val="00B46FF2"/>
    <w:rsid w:val="00B539EB"/>
    <w:rsid w:val="00B53D7D"/>
    <w:rsid w:val="00B54B76"/>
    <w:rsid w:val="00B55AE3"/>
    <w:rsid w:val="00B560E5"/>
    <w:rsid w:val="00B576E1"/>
    <w:rsid w:val="00B6088D"/>
    <w:rsid w:val="00B608F1"/>
    <w:rsid w:val="00B60A96"/>
    <w:rsid w:val="00B60F79"/>
    <w:rsid w:val="00B617E2"/>
    <w:rsid w:val="00B6252C"/>
    <w:rsid w:val="00B62653"/>
    <w:rsid w:val="00B62819"/>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2B7F"/>
    <w:rsid w:val="00B73D1E"/>
    <w:rsid w:val="00B74530"/>
    <w:rsid w:val="00B74E4D"/>
    <w:rsid w:val="00B75D3F"/>
    <w:rsid w:val="00B75D4C"/>
    <w:rsid w:val="00B76F2C"/>
    <w:rsid w:val="00B774EE"/>
    <w:rsid w:val="00B77723"/>
    <w:rsid w:val="00B77863"/>
    <w:rsid w:val="00B80008"/>
    <w:rsid w:val="00B801AC"/>
    <w:rsid w:val="00B809E2"/>
    <w:rsid w:val="00B815D3"/>
    <w:rsid w:val="00B81BB3"/>
    <w:rsid w:val="00B8270D"/>
    <w:rsid w:val="00B827E7"/>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8E8"/>
    <w:rsid w:val="00B94BE5"/>
    <w:rsid w:val="00B9556B"/>
    <w:rsid w:val="00B96069"/>
    <w:rsid w:val="00B968F3"/>
    <w:rsid w:val="00B96E78"/>
    <w:rsid w:val="00BA0A76"/>
    <w:rsid w:val="00BA11A9"/>
    <w:rsid w:val="00BA30C2"/>
    <w:rsid w:val="00BA31C6"/>
    <w:rsid w:val="00BA4B0A"/>
    <w:rsid w:val="00BA699B"/>
    <w:rsid w:val="00BA76AB"/>
    <w:rsid w:val="00BA7A5F"/>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560"/>
    <w:rsid w:val="00BC06FE"/>
    <w:rsid w:val="00BC1765"/>
    <w:rsid w:val="00BC1FD6"/>
    <w:rsid w:val="00BC25D7"/>
    <w:rsid w:val="00BC320C"/>
    <w:rsid w:val="00BC43C2"/>
    <w:rsid w:val="00BC464D"/>
    <w:rsid w:val="00BC4883"/>
    <w:rsid w:val="00BC5454"/>
    <w:rsid w:val="00BC5F7F"/>
    <w:rsid w:val="00BC74EE"/>
    <w:rsid w:val="00BC777E"/>
    <w:rsid w:val="00BC7E23"/>
    <w:rsid w:val="00BD219A"/>
    <w:rsid w:val="00BD2C42"/>
    <w:rsid w:val="00BD2EF9"/>
    <w:rsid w:val="00BD2F1D"/>
    <w:rsid w:val="00BD3997"/>
    <w:rsid w:val="00BD5081"/>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34A"/>
    <w:rsid w:val="00BE5A5B"/>
    <w:rsid w:val="00BE5B7C"/>
    <w:rsid w:val="00BE61C4"/>
    <w:rsid w:val="00BE72FD"/>
    <w:rsid w:val="00BE733C"/>
    <w:rsid w:val="00BE73D4"/>
    <w:rsid w:val="00BE791F"/>
    <w:rsid w:val="00BE7AF2"/>
    <w:rsid w:val="00BF1EF8"/>
    <w:rsid w:val="00BF25A9"/>
    <w:rsid w:val="00BF2DE5"/>
    <w:rsid w:val="00BF39B7"/>
    <w:rsid w:val="00BF4111"/>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3C4E"/>
    <w:rsid w:val="00C044E4"/>
    <w:rsid w:val="00C047A4"/>
    <w:rsid w:val="00C05013"/>
    <w:rsid w:val="00C053B5"/>
    <w:rsid w:val="00C067AD"/>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078"/>
    <w:rsid w:val="00C16439"/>
    <w:rsid w:val="00C20336"/>
    <w:rsid w:val="00C206DC"/>
    <w:rsid w:val="00C2092E"/>
    <w:rsid w:val="00C20F37"/>
    <w:rsid w:val="00C211AE"/>
    <w:rsid w:val="00C213FD"/>
    <w:rsid w:val="00C21C42"/>
    <w:rsid w:val="00C22441"/>
    <w:rsid w:val="00C23520"/>
    <w:rsid w:val="00C23FE1"/>
    <w:rsid w:val="00C24AE3"/>
    <w:rsid w:val="00C24F88"/>
    <w:rsid w:val="00C25082"/>
    <w:rsid w:val="00C2570A"/>
    <w:rsid w:val="00C25B91"/>
    <w:rsid w:val="00C265D4"/>
    <w:rsid w:val="00C26DC6"/>
    <w:rsid w:val="00C27447"/>
    <w:rsid w:val="00C275FC"/>
    <w:rsid w:val="00C2772B"/>
    <w:rsid w:val="00C3030F"/>
    <w:rsid w:val="00C30615"/>
    <w:rsid w:val="00C30715"/>
    <w:rsid w:val="00C30D84"/>
    <w:rsid w:val="00C3131B"/>
    <w:rsid w:val="00C317A7"/>
    <w:rsid w:val="00C31B0E"/>
    <w:rsid w:val="00C33383"/>
    <w:rsid w:val="00C33614"/>
    <w:rsid w:val="00C33AEC"/>
    <w:rsid w:val="00C35493"/>
    <w:rsid w:val="00C35C8E"/>
    <w:rsid w:val="00C361E9"/>
    <w:rsid w:val="00C3671E"/>
    <w:rsid w:val="00C36B1D"/>
    <w:rsid w:val="00C36EED"/>
    <w:rsid w:val="00C3742C"/>
    <w:rsid w:val="00C37661"/>
    <w:rsid w:val="00C37F81"/>
    <w:rsid w:val="00C410D2"/>
    <w:rsid w:val="00C411E0"/>
    <w:rsid w:val="00C41363"/>
    <w:rsid w:val="00C42209"/>
    <w:rsid w:val="00C429D5"/>
    <w:rsid w:val="00C42A78"/>
    <w:rsid w:val="00C42AD9"/>
    <w:rsid w:val="00C42DC9"/>
    <w:rsid w:val="00C437D6"/>
    <w:rsid w:val="00C45897"/>
    <w:rsid w:val="00C4601D"/>
    <w:rsid w:val="00C470F6"/>
    <w:rsid w:val="00C47B1C"/>
    <w:rsid w:val="00C504EF"/>
    <w:rsid w:val="00C509D2"/>
    <w:rsid w:val="00C51CCA"/>
    <w:rsid w:val="00C52FDA"/>
    <w:rsid w:val="00C53131"/>
    <w:rsid w:val="00C54473"/>
    <w:rsid w:val="00C55693"/>
    <w:rsid w:val="00C55945"/>
    <w:rsid w:val="00C55D94"/>
    <w:rsid w:val="00C55DCB"/>
    <w:rsid w:val="00C55FBB"/>
    <w:rsid w:val="00C56DCE"/>
    <w:rsid w:val="00C57582"/>
    <w:rsid w:val="00C5787F"/>
    <w:rsid w:val="00C608EF"/>
    <w:rsid w:val="00C60E9C"/>
    <w:rsid w:val="00C612BB"/>
    <w:rsid w:val="00C612BF"/>
    <w:rsid w:val="00C61338"/>
    <w:rsid w:val="00C6207E"/>
    <w:rsid w:val="00C62A28"/>
    <w:rsid w:val="00C6324D"/>
    <w:rsid w:val="00C64FAE"/>
    <w:rsid w:val="00C653CC"/>
    <w:rsid w:val="00C65B09"/>
    <w:rsid w:val="00C66344"/>
    <w:rsid w:val="00C66EDC"/>
    <w:rsid w:val="00C674F7"/>
    <w:rsid w:val="00C67D05"/>
    <w:rsid w:val="00C714EE"/>
    <w:rsid w:val="00C731E1"/>
    <w:rsid w:val="00C7335A"/>
    <w:rsid w:val="00C741A7"/>
    <w:rsid w:val="00C745D7"/>
    <w:rsid w:val="00C74DFB"/>
    <w:rsid w:val="00C74F7C"/>
    <w:rsid w:val="00C75F87"/>
    <w:rsid w:val="00C7702A"/>
    <w:rsid w:val="00C773C8"/>
    <w:rsid w:val="00C773CE"/>
    <w:rsid w:val="00C806B8"/>
    <w:rsid w:val="00C80A25"/>
    <w:rsid w:val="00C80E5E"/>
    <w:rsid w:val="00C81C07"/>
    <w:rsid w:val="00C82930"/>
    <w:rsid w:val="00C82C9E"/>
    <w:rsid w:val="00C83945"/>
    <w:rsid w:val="00C83DB7"/>
    <w:rsid w:val="00C83EE2"/>
    <w:rsid w:val="00C841BF"/>
    <w:rsid w:val="00C84BF3"/>
    <w:rsid w:val="00C8531E"/>
    <w:rsid w:val="00C85560"/>
    <w:rsid w:val="00C85A50"/>
    <w:rsid w:val="00C85B6C"/>
    <w:rsid w:val="00C85ECE"/>
    <w:rsid w:val="00C85F1C"/>
    <w:rsid w:val="00C86BFE"/>
    <w:rsid w:val="00C86D8A"/>
    <w:rsid w:val="00C86FF3"/>
    <w:rsid w:val="00C8757D"/>
    <w:rsid w:val="00C87E2F"/>
    <w:rsid w:val="00C900B0"/>
    <w:rsid w:val="00C900ED"/>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4D2"/>
    <w:rsid w:val="00CD6525"/>
    <w:rsid w:val="00CD652E"/>
    <w:rsid w:val="00CD68DD"/>
    <w:rsid w:val="00CD6A0A"/>
    <w:rsid w:val="00CD6EF2"/>
    <w:rsid w:val="00CD786B"/>
    <w:rsid w:val="00CD7B8B"/>
    <w:rsid w:val="00CE01F8"/>
    <w:rsid w:val="00CE08BB"/>
    <w:rsid w:val="00CE0D51"/>
    <w:rsid w:val="00CE1657"/>
    <w:rsid w:val="00CE24B9"/>
    <w:rsid w:val="00CE2ADD"/>
    <w:rsid w:val="00CE2B04"/>
    <w:rsid w:val="00CE2C27"/>
    <w:rsid w:val="00CE2C87"/>
    <w:rsid w:val="00CE3E8B"/>
    <w:rsid w:val="00CE47DC"/>
    <w:rsid w:val="00CE5298"/>
    <w:rsid w:val="00CE5322"/>
    <w:rsid w:val="00CE58EB"/>
    <w:rsid w:val="00CE69E4"/>
    <w:rsid w:val="00CF0041"/>
    <w:rsid w:val="00CF02F9"/>
    <w:rsid w:val="00CF0D4B"/>
    <w:rsid w:val="00CF2605"/>
    <w:rsid w:val="00CF2804"/>
    <w:rsid w:val="00CF35B2"/>
    <w:rsid w:val="00CF38D4"/>
    <w:rsid w:val="00CF395A"/>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4CA"/>
    <w:rsid w:val="00D07A1B"/>
    <w:rsid w:val="00D07ACD"/>
    <w:rsid w:val="00D07DE3"/>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7BC"/>
    <w:rsid w:val="00D21820"/>
    <w:rsid w:val="00D21F48"/>
    <w:rsid w:val="00D2255E"/>
    <w:rsid w:val="00D226B9"/>
    <w:rsid w:val="00D23437"/>
    <w:rsid w:val="00D2372E"/>
    <w:rsid w:val="00D2373E"/>
    <w:rsid w:val="00D239F4"/>
    <w:rsid w:val="00D2459A"/>
    <w:rsid w:val="00D248D9"/>
    <w:rsid w:val="00D24CD7"/>
    <w:rsid w:val="00D259E0"/>
    <w:rsid w:val="00D27131"/>
    <w:rsid w:val="00D27DDD"/>
    <w:rsid w:val="00D31AD0"/>
    <w:rsid w:val="00D31B9E"/>
    <w:rsid w:val="00D31BBD"/>
    <w:rsid w:val="00D3214E"/>
    <w:rsid w:val="00D3251C"/>
    <w:rsid w:val="00D32658"/>
    <w:rsid w:val="00D34E83"/>
    <w:rsid w:val="00D35189"/>
    <w:rsid w:val="00D352D0"/>
    <w:rsid w:val="00D35F44"/>
    <w:rsid w:val="00D3701D"/>
    <w:rsid w:val="00D37354"/>
    <w:rsid w:val="00D404B1"/>
    <w:rsid w:val="00D40C33"/>
    <w:rsid w:val="00D4104F"/>
    <w:rsid w:val="00D41EE5"/>
    <w:rsid w:val="00D4313E"/>
    <w:rsid w:val="00D43988"/>
    <w:rsid w:val="00D4707E"/>
    <w:rsid w:val="00D47238"/>
    <w:rsid w:val="00D4761E"/>
    <w:rsid w:val="00D4762C"/>
    <w:rsid w:val="00D47867"/>
    <w:rsid w:val="00D47EAF"/>
    <w:rsid w:val="00D50B2A"/>
    <w:rsid w:val="00D5132A"/>
    <w:rsid w:val="00D51517"/>
    <w:rsid w:val="00D52D7F"/>
    <w:rsid w:val="00D52FE8"/>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2A88"/>
    <w:rsid w:val="00D654F8"/>
    <w:rsid w:val="00D66697"/>
    <w:rsid w:val="00D6732B"/>
    <w:rsid w:val="00D676B3"/>
    <w:rsid w:val="00D6787A"/>
    <w:rsid w:val="00D67ACA"/>
    <w:rsid w:val="00D67F69"/>
    <w:rsid w:val="00D71103"/>
    <w:rsid w:val="00D71213"/>
    <w:rsid w:val="00D713E4"/>
    <w:rsid w:val="00D72BF9"/>
    <w:rsid w:val="00D72FAD"/>
    <w:rsid w:val="00D7314F"/>
    <w:rsid w:val="00D73259"/>
    <w:rsid w:val="00D73AF1"/>
    <w:rsid w:val="00D73E64"/>
    <w:rsid w:val="00D74504"/>
    <w:rsid w:val="00D74639"/>
    <w:rsid w:val="00D74926"/>
    <w:rsid w:val="00D74E38"/>
    <w:rsid w:val="00D75449"/>
    <w:rsid w:val="00D770D5"/>
    <w:rsid w:val="00D809B7"/>
    <w:rsid w:val="00D81004"/>
    <w:rsid w:val="00D812A9"/>
    <w:rsid w:val="00D813B0"/>
    <w:rsid w:val="00D8141C"/>
    <w:rsid w:val="00D81A57"/>
    <w:rsid w:val="00D82664"/>
    <w:rsid w:val="00D8269A"/>
    <w:rsid w:val="00D82962"/>
    <w:rsid w:val="00D82A4C"/>
    <w:rsid w:val="00D83A65"/>
    <w:rsid w:val="00D846CF"/>
    <w:rsid w:val="00D85498"/>
    <w:rsid w:val="00D85683"/>
    <w:rsid w:val="00D86320"/>
    <w:rsid w:val="00D86D21"/>
    <w:rsid w:val="00D86D72"/>
    <w:rsid w:val="00D8772B"/>
    <w:rsid w:val="00D90114"/>
    <w:rsid w:val="00D90679"/>
    <w:rsid w:val="00D90F20"/>
    <w:rsid w:val="00D90F8A"/>
    <w:rsid w:val="00D91621"/>
    <w:rsid w:val="00D916E9"/>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7A2"/>
    <w:rsid w:val="00D9787B"/>
    <w:rsid w:val="00D97BA1"/>
    <w:rsid w:val="00D97F28"/>
    <w:rsid w:val="00DA09FC"/>
    <w:rsid w:val="00DA28A7"/>
    <w:rsid w:val="00DA2BB0"/>
    <w:rsid w:val="00DA2BCC"/>
    <w:rsid w:val="00DA2FCA"/>
    <w:rsid w:val="00DA348E"/>
    <w:rsid w:val="00DA373A"/>
    <w:rsid w:val="00DA456A"/>
    <w:rsid w:val="00DA5162"/>
    <w:rsid w:val="00DA59D2"/>
    <w:rsid w:val="00DA5A9C"/>
    <w:rsid w:val="00DA5F60"/>
    <w:rsid w:val="00DA60A9"/>
    <w:rsid w:val="00DA6E30"/>
    <w:rsid w:val="00DA6E9D"/>
    <w:rsid w:val="00DA6FF3"/>
    <w:rsid w:val="00DA7525"/>
    <w:rsid w:val="00DB1595"/>
    <w:rsid w:val="00DB2329"/>
    <w:rsid w:val="00DB297D"/>
    <w:rsid w:val="00DB2B7E"/>
    <w:rsid w:val="00DB2BA7"/>
    <w:rsid w:val="00DB2F6C"/>
    <w:rsid w:val="00DB345D"/>
    <w:rsid w:val="00DB53A2"/>
    <w:rsid w:val="00DB5719"/>
    <w:rsid w:val="00DB624E"/>
    <w:rsid w:val="00DB7C6B"/>
    <w:rsid w:val="00DC02EA"/>
    <w:rsid w:val="00DC0860"/>
    <w:rsid w:val="00DC1309"/>
    <w:rsid w:val="00DC1343"/>
    <w:rsid w:val="00DC16F9"/>
    <w:rsid w:val="00DC1CA6"/>
    <w:rsid w:val="00DC20CF"/>
    <w:rsid w:val="00DC27E3"/>
    <w:rsid w:val="00DC3472"/>
    <w:rsid w:val="00DC4B44"/>
    <w:rsid w:val="00DC5C38"/>
    <w:rsid w:val="00DC5C39"/>
    <w:rsid w:val="00DC61A3"/>
    <w:rsid w:val="00DC6EB6"/>
    <w:rsid w:val="00DC7E69"/>
    <w:rsid w:val="00DD0467"/>
    <w:rsid w:val="00DD15EF"/>
    <w:rsid w:val="00DD1738"/>
    <w:rsid w:val="00DD190E"/>
    <w:rsid w:val="00DD2547"/>
    <w:rsid w:val="00DD3316"/>
    <w:rsid w:val="00DD3E02"/>
    <w:rsid w:val="00DD5654"/>
    <w:rsid w:val="00DD594C"/>
    <w:rsid w:val="00DD5E57"/>
    <w:rsid w:val="00DD5E97"/>
    <w:rsid w:val="00DD5F57"/>
    <w:rsid w:val="00DD60E3"/>
    <w:rsid w:val="00DD667B"/>
    <w:rsid w:val="00DD7F9B"/>
    <w:rsid w:val="00DE18A9"/>
    <w:rsid w:val="00DE2E1E"/>
    <w:rsid w:val="00DE3385"/>
    <w:rsid w:val="00DE3503"/>
    <w:rsid w:val="00DE396F"/>
    <w:rsid w:val="00DE3CA1"/>
    <w:rsid w:val="00DE4007"/>
    <w:rsid w:val="00DE4638"/>
    <w:rsid w:val="00DE4651"/>
    <w:rsid w:val="00DE47B6"/>
    <w:rsid w:val="00DE534A"/>
    <w:rsid w:val="00DE55FD"/>
    <w:rsid w:val="00DE7265"/>
    <w:rsid w:val="00DE7525"/>
    <w:rsid w:val="00DF2247"/>
    <w:rsid w:val="00DF225E"/>
    <w:rsid w:val="00DF2353"/>
    <w:rsid w:val="00DF387D"/>
    <w:rsid w:val="00DF3AB2"/>
    <w:rsid w:val="00DF5784"/>
    <w:rsid w:val="00DF58B8"/>
    <w:rsid w:val="00DF5FF8"/>
    <w:rsid w:val="00DF6EE5"/>
    <w:rsid w:val="00E0077B"/>
    <w:rsid w:val="00E00898"/>
    <w:rsid w:val="00E01BEF"/>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5D99"/>
    <w:rsid w:val="00E174FE"/>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83E"/>
    <w:rsid w:val="00E44CD4"/>
    <w:rsid w:val="00E45B91"/>
    <w:rsid w:val="00E46804"/>
    <w:rsid w:val="00E46C57"/>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3AD"/>
    <w:rsid w:val="00E66F49"/>
    <w:rsid w:val="00E67F4F"/>
    <w:rsid w:val="00E721A9"/>
    <w:rsid w:val="00E727F8"/>
    <w:rsid w:val="00E73549"/>
    <w:rsid w:val="00E73EB9"/>
    <w:rsid w:val="00E74861"/>
    <w:rsid w:val="00E748DD"/>
    <w:rsid w:val="00E74EC9"/>
    <w:rsid w:val="00E750A5"/>
    <w:rsid w:val="00E75733"/>
    <w:rsid w:val="00E75A9D"/>
    <w:rsid w:val="00E76B19"/>
    <w:rsid w:val="00E80CF7"/>
    <w:rsid w:val="00E81581"/>
    <w:rsid w:val="00E81B8E"/>
    <w:rsid w:val="00E81ED7"/>
    <w:rsid w:val="00E82742"/>
    <w:rsid w:val="00E82FC0"/>
    <w:rsid w:val="00E8369B"/>
    <w:rsid w:val="00E8377F"/>
    <w:rsid w:val="00E83850"/>
    <w:rsid w:val="00E85244"/>
    <w:rsid w:val="00E86159"/>
    <w:rsid w:val="00E86741"/>
    <w:rsid w:val="00E86DCB"/>
    <w:rsid w:val="00E87AE4"/>
    <w:rsid w:val="00E90C1F"/>
    <w:rsid w:val="00E9124A"/>
    <w:rsid w:val="00E91A8F"/>
    <w:rsid w:val="00E9222C"/>
    <w:rsid w:val="00E92AA5"/>
    <w:rsid w:val="00E9314A"/>
    <w:rsid w:val="00E9558B"/>
    <w:rsid w:val="00E957C5"/>
    <w:rsid w:val="00E95D1B"/>
    <w:rsid w:val="00E9735C"/>
    <w:rsid w:val="00EA233A"/>
    <w:rsid w:val="00EA234B"/>
    <w:rsid w:val="00EA267F"/>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13"/>
    <w:rsid w:val="00EB55AF"/>
    <w:rsid w:val="00EB57BD"/>
    <w:rsid w:val="00EB623E"/>
    <w:rsid w:val="00EB6502"/>
    <w:rsid w:val="00EB6787"/>
    <w:rsid w:val="00EB7271"/>
    <w:rsid w:val="00EB7D9C"/>
    <w:rsid w:val="00EC1076"/>
    <w:rsid w:val="00EC1406"/>
    <w:rsid w:val="00EC1526"/>
    <w:rsid w:val="00EC16C0"/>
    <w:rsid w:val="00EC1B26"/>
    <w:rsid w:val="00EC1E52"/>
    <w:rsid w:val="00EC23F3"/>
    <w:rsid w:val="00EC2677"/>
    <w:rsid w:val="00EC2AB5"/>
    <w:rsid w:val="00EC36F2"/>
    <w:rsid w:val="00EC46CC"/>
    <w:rsid w:val="00EC4856"/>
    <w:rsid w:val="00EC4B79"/>
    <w:rsid w:val="00EC4F33"/>
    <w:rsid w:val="00EC5115"/>
    <w:rsid w:val="00EC74BA"/>
    <w:rsid w:val="00EC79C5"/>
    <w:rsid w:val="00EC7E82"/>
    <w:rsid w:val="00EC7E91"/>
    <w:rsid w:val="00ED0B81"/>
    <w:rsid w:val="00ED166B"/>
    <w:rsid w:val="00ED172E"/>
    <w:rsid w:val="00ED1A64"/>
    <w:rsid w:val="00ED28DD"/>
    <w:rsid w:val="00ED2E31"/>
    <w:rsid w:val="00ED3133"/>
    <w:rsid w:val="00ED35A0"/>
    <w:rsid w:val="00ED43A6"/>
    <w:rsid w:val="00ED468B"/>
    <w:rsid w:val="00ED4965"/>
    <w:rsid w:val="00ED5F66"/>
    <w:rsid w:val="00ED69B3"/>
    <w:rsid w:val="00ED6FB9"/>
    <w:rsid w:val="00ED7371"/>
    <w:rsid w:val="00ED7E2F"/>
    <w:rsid w:val="00ED7EA8"/>
    <w:rsid w:val="00EE02A3"/>
    <w:rsid w:val="00EE0650"/>
    <w:rsid w:val="00EE1313"/>
    <w:rsid w:val="00EE1F82"/>
    <w:rsid w:val="00EE2126"/>
    <w:rsid w:val="00EE3363"/>
    <w:rsid w:val="00EE4C7E"/>
    <w:rsid w:val="00EE556D"/>
    <w:rsid w:val="00EE5E81"/>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36B0"/>
    <w:rsid w:val="00F0441A"/>
    <w:rsid w:val="00F07063"/>
    <w:rsid w:val="00F11635"/>
    <w:rsid w:val="00F12D86"/>
    <w:rsid w:val="00F131AA"/>
    <w:rsid w:val="00F131FD"/>
    <w:rsid w:val="00F1350B"/>
    <w:rsid w:val="00F13B05"/>
    <w:rsid w:val="00F13B5A"/>
    <w:rsid w:val="00F13BAF"/>
    <w:rsid w:val="00F13EA5"/>
    <w:rsid w:val="00F13EED"/>
    <w:rsid w:val="00F14263"/>
    <w:rsid w:val="00F15AF2"/>
    <w:rsid w:val="00F162CA"/>
    <w:rsid w:val="00F1673D"/>
    <w:rsid w:val="00F1674C"/>
    <w:rsid w:val="00F17C70"/>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318"/>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8B1"/>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1D85"/>
    <w:rsid w:val="00F721EF"/>
    <w:rsid w:val="00F72AAF"/>
    <w:rsid w:val="00F72AC2"/>
    <w:rsid w:val="00F72F17"/>
    <w:rsid w:val="00F731F6"/>
    <w:rsid w:val="00F73923"/>
    <w:rsid w:val="00F73D91"/>
    <w:rsid w:val="00F74168"/>
    <w:rsid w:val="00F742F1"/>
    <w:rsid w:val="00F7470C"/>
    <w:rsid w:val="00F74942"/>
    <w:rsid w:val="00F75B33"/>
    <w:rsid w:val="00F76037"/>
    <w:rsid w:val="00F76171"/>
    <w:rsid w:val="00F761E0"/>
    <w:rsid w:val="00F76832"/>
    <w:rsid w:val="00F76B53"/>
    <w:rsid w:val="00F7761D"/>
    <w:rsid w:val="00F77724"/>
    <w:rsid w:val="00F77839"/>
    <w:rsid w:val="00F77AF3"/>
    <w:rsid w:val="00F77CE6"/>
    <w:rsid w:val="00F77DD1"/>
    <w:rsid w:val="00F77E8E"/>
    <w:rsid w:val="00F8023F"/>
    <w:rsid w:val="00F81349"/>
    <w:rsid w:val="00F82021"/>
    <w:rsid w:val="00F82080"/>
    <w:rsid w:val="00F82566"/>
    <w:rsid w:val="00F82A7B"/>
    <w:rsid w:val="00F8476C"/>
    <w:rsid w:val="00F84D67"/>
    <w:rsid w:val="00F850A1"/>
    <w:rsid w:val="00F855B8"/>
    <w:rsid w:val="00F85CBD"/>
    <w:rsid w:val="00F86B84"/>
    <w:rsid w:val="00F905B8"/>
    <w:rsid w:val="00F91164"/>
    <w:rsid w:val="00F9181F"/>
    <w:rsid w:val="00F91D47"/>
    <w:rsid w:val="00F92B0F"/>
    <w:rsid w:val="00F9354E"/>
    <w:rsid w:val="00F941FC"/>
    <w:rsid w:val="00F96365"/>
    <w:rsid w:val="00F96D24"/>
    <w:rsid w:val="00F97093"/>
    <w:rsid w:val="00F97FF3"/>
    <w:rsid w:val="00FA0091"/>
    <w:rsid w:val="00FA0426"/>
    <w:rsid w:val="00FA0DC9"/>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5119"/>
    <w:rsid w:val="00FB6970"/>
    <w:rsid w:val="00FB6AEE"/>
    <w:rsid w:val="00FC02BF"/>
    <w:rsid w:val="00FC072E"/>
    <w:rsid w:val="00FC1C02"/>
    <w:rsid w:val="00FC3497"/>
    <w:rsid w:val="00FC4323"/>
    <w:rsid w:val="00FC51AE"/>
    <w:rsid w:val="00FC550A"/>
    <w:rsid w:val="00FC551E"/>
    <w:rsid w:val="00FC5790"/>
    <w:rsid w:val="00FC5C41"/>
    <w:rsid w:val="00FC6275"/>
    <w:rsid w:val="00FD039F"/>
    <w:rsid w:val="00FD053B"/>
    <w:rsid w:val="00FD0AF0"/>
    <w:rsid w:val="00FD0D5E"/>
    <w:rsid w:val="00FD1234"/>
    <w:rsid w:val="00FD18F3"/>
    <w:rsid w:val="00FD194F"/>
    <w:rsid w:val="00FD1995"/>
    <w:rsid w:val="00FD2333"/>
    <w:rsid w:val="00FD25C9"/>
    <w:rsid w:val="00FD25E1"/>
    <w:rsid w:val="00FD31B5"/>
    <w:rsid w:val="00FD5688"/>
    <w:rsid w:val="00FD5725"/>
    <w:rsid w:val="00FD5E1C"/>
    <w:rsid w:val="00FD5F36"/>
    <w:rsid w:val="00FD7F6B"/>
    <w:rsid w:val="00FE0948"/>
    <w:rsid w:val="00FE0E33"/>
    <w:rsid w:val="00FE1880"/>
    <w:rsid w:val="00FE2032"/>
    <w:rsid w:val="00FE2B7B"/>
    <w:rsid w:val="00FE3256"/>
    <w:rsid w:val="00FE3990"/>
    <w:rsid w:val="00FE3B9B"/>
    <w:rsid w:val="00FE3F8E"/>
    <w:rsid w:val="00FE47ED"/>
    <w:rsid w:val="00FE5101"/>
    <w:rsid w:val="00FE61DC"/>
    <w:rsid w:val="00FE67D0"/>
    <w:rsid w:val="00FE689B"/>
    <w:rsid w:val="00FE79CE"/>
    <w:rsid w:val="00FE7E56"/>
    <w:rsid w:val="00FF02D0"/>
    <w:rsid w:val="00FF081E"/>
    <w:rsid w:val="00FF1406"/>
    <w:rsid w:val="00FF145C"/>
    <w:rsid w:val="00FF26EE"/>
    <w:rsid w:val="00FF28EC"/>
    <w:rsid w:val="00FF47A3"/>
    <w:rsid w:val="00FF4B3F"/>
    <w:rsid w:val="00FF4B43"/>
    <w:rsid w:val="00FF574F"/>
    <w:rsid w:val="00FF6146"/>
    <w:rsid w:val="00FF7956"/>
    <w:rsid w:val="01415CD2"/>
    <w:rsid w:val="01453A14"/>
    <w:rsid w:val="014D28C9"/>
    <w:rsid w:val="01687703"/>
    <w:rsid w:val="017D31AE"/>
    <w:rsid w:val="01826A17"/>
    <w:rsid w:val="018C1643"/>
    <w:rsid w:val="01AF0E8E"/>
    <w:rsid w:val="01B70F10"/>
    <w:rsid w:val="01D84888"/>
    <w:rsid w:val="021967E1"/>
    <w:rsid w:val="021B4775"/>
    <w:rsid w:val="02671768"/>
    <w:rsid w:val="03062D2F"/>
    <w:rsid w:val="030D7E3E"/>
    <w:rsid w:val="03100052"/>
    <w:rsid w:val="03192A63"/>
    <w:rsid w:val="03231B33"/>
    <w:rsid w:val="03321D76"/>
    <w:rsid w:val="0334205E"/>
    <w:rsid w:val="033755DF"/>
    <w:rsid w:val="034321D6"/>
    <w:rsid w:val="034856A5"/>
    <w:rsid w:val="037E320E"/>
    <w:rsid w:val="03BE7AAE"/>
    <w:rsid w:val="03D07714"/>
    <w:rsid w:val="03D80B70"/>
    <w:rsid w:val="03F236B0"/>
    <w:rsid w:val="03F3534A"/>
    <w:rsid w:val="041B280B"/>
    <w:rsid w:val="041F679F"/>
    <w:rsid w:val="04212517"/>
    <w:rsid w:val="04441D61"/>
    <w:rsid w:val="045F4DED"/>
    <w:rsid w:val="046248DD"/>
    <w:rsid w:val="04A86794"/>
    <w:rsid w:val="04AB5476"/>
    <w:rsid w:val="04D550AF"/>
    <w:rsid w:val="04E470A0"/>
    <w:rsid w:val="05031C1C"/>
    <w:rsid w:val="05157BA2"/>
    <w:rsid w:val="05237BC9"/>
    <w:rsid w:val="05834B0B"/>
    <w:rsid w:val="05D11D1B"/>
    <w:rsid w:val="05D435B9"/>
    <w:rsid w:val="05EB2641"/>
    <w:rsid w:val="05EF21A1"/>
    <w:rsid w:val="05FA7789"/>
    <w:rsid w:val="05FE0636"/>
    <w:rsid w:val="060774EA"/>
    <w:rsid w:val="060A2B37"/>
    <w:rsid w:val="060C4B01"/>
    <w:rsid w:val="06141C07"/>
    <w:rsid w:val="06224324"/>
    <w:rsid w:val="062C51A3"/>
    <w:rsid w:val="062E2CC9"/>
    <w:rsid w:val="067D4F9E"/>
    <w:rsid w:val="06A72A7B"/>
    <w:rsid w:val="06D53145"/>
    <w:rsid w:val="070B300A"/>
    <w:rsid w:val="07230354"/>
    <w:rsid w:val="075229E7"/>
    <w:rsid w:val="0757624F"/>
    <w:rsid w:val="078608E3"/>
    <w:rsid w:val="079E5C2C"/>
    <w:rsid w:val="07AF301F"/>
    <w:rsid w:val="07D93108"/>
    <w:rsid w:val="080D690E"/>
    <w:rsid w:val="08204893"/>
    <w:rsid w:val="08444A26"/>
    <w:rsid w:val="086F7E62"/>
    <w:rsid w:val="08A059D4"/>
    <w:rsid w:val="08C07E24"/>
    <w:rsid w:val="08C276F9"/>
    <w:rsid w:val="08CB2A51"/>
    <w:rsid w:val="08E27D9B"/>
    <w:rsid w:val="092C7268"/>
    <w:rsid w:val="09300B06"/>
    <w:rsid w:val="093A1D5C"/>
    <w:rsid w:val="09905A49"/>
    <w:rsid w:val="0992531D"/>
    <w:rsid w:val="099512B1"/>
    <w:rsid w:val="09AB2883"/>
    <w:rsid w:val="09AD65FB"/>
    <w:rsid w:val="09B5725D"/>
    <w:rsid w:val="09BE4364"/>
    <w:rsid w:val="09E55D95"/>
    <w:rsid w:val="09EA6F07"/>
    <w:rsid w:val="09F07824"/>
    <w:rsid w:val="0A287A2F"/>
    <w:rsid w:val="0A375EC4"/>
    <w:rsid w:val="0A40746F"/>
    <w:rsid w:val="0A5371A2"/>
    <w:rsid w:val="0A5B1BB3"/>
    <w:rsid w:val="0A6D18E6"/>
    <w:rsid w:val="0A786C09"/>
    <w:rsid w:val="0A9926DB"/>
    <w:rsid w:val="0AC57974"/>
    <w:rsid w:val="0AE147AE"/>
    <w:rsid w:val="0AE778EA"/>
    <w:rsid w:val="0AFD2C6A"/>
    <w:rsid w:val="0B0104DC"/>
    <w:rsid w:val="0B093D05"/>
    <w:rsid w:val="0B362BF0"/>
    <w:rsid w:val="0B5C3E34"/>
    <w:rsid w:val="0B60651B"/>
    <w:rsid w:val="0B835865"/>
    <w:rsid w:val="0B9340C0"/>
    <w:rsid w:val="0BA94BA0"/>
    <w:rsid w:val="0BB26C18"/>
    <w:rsid w:val="0BB43C70"/>
    <w:rsid w:val="0BBF2615"/>
    <w:rsid w:val="0BDE0CED"/>
    <w:rsid w:val="0BDF6813"/>
    <w:rsid w:val="0C060244"/>
    <w:rsid w:val="0C2801BA"/>
    <w:rsid w:val="0C8C699B"/>
    <w:rsid w:val="0CB87790"/>
    <w:rsid w:val="0CBA3508"/>
    <w:rsid w:val="0CC779D3"/>
    <w:rsid w:val="0D054058"/>
    <w:rsid w:val="0D1077DD"/>
    <w:rsid w:val="0D32334D"/>
    <w:rsid w:val="0D470B14"/>
    <w:rsid w:val="0D4B4161"/>
    <w:rsid w:val="0D4F196D"/>
    <w:rsid w:val="0D646E2A"/>
    <w:rsid w:val="0D7F3E0A"/>
    <w:rsid w:val="0DAD6BC9"/>
    <w:rsid w:val="0DE16873"/>
    <w:rsid w:val="0DEE2D3E"/>
    <w:rsid w:val="0DF04D08"/>
    <w:rsid w:val="0E146C48"/>
    <w:rsid w:val="0E3966AF"/>
    <w:rsid w:val="0E455054"/>
    <w:rsid w:val="0E4A266A"/>
    <w:rsid w:val="0E4D3F08"/>
    <w:rsid w:val="0E567261"/>
    <w:rsid w:val="0EA578A0"/>
    <w:rsid w:val="0EAA135B"/>
    <w:rsid w:val="0EB36461"/>
    <w:rsid w:val="0ECD6BB9"/>
    <w:rsid w:val="0F1D7D7F"/>
    <w:rsid w:val="0F3F1AA3"/>
    <w:rsid w:val="0F474DFC"/>
    <w:rsid w:val="0F5170F1"/>
    <w:rsid w:val="0F56503F"/>
    <w:rsid w:val="0F7F6343"/>
    <w:rsid w:val="0F8C280E"/>
    <w:rsid w:val="0FD7617F"/>
    <w:rsid w:val="0FDF64A1"/>
    <w:rsid w:val="0FE34B24"/>
    <w:rsid w:val="0FF860F6"/>
    <w:rsid w:val="10042CED"/>
    <w:rsid w:val="10156CA8"/>
    <w:rsid w:val="10247488"/>
    <w:rsid w:val="10294501"/>
    <w:rsid w:val="102A1CBB"/>
    <w:rsid w:val="106043C7"/>
    <w:rsid w:val="107C061C"/>
    <w:rsid w:val="10944070"/>
    <w:rsid w:val="109C2F25"/>
    <w:rsid w:val="10E2302E"/>
    <w:rsid w:val="10E5667A"/>
    <w:rsid w:val="10E87F18"/>
    <w:rsid w:val="10ED3781"/>
    <w:rsid w:val="10F863AD"/>
    <w:rsid w:val="110A60E1"/>
    <w:rsid w:val="111451B1"/>
    <w:rsid w:val="11205904"/>
    <w:rsid w:val="113676AF"/>
    <w:rsid w:val="114A0BD3"/>
    <w:rsid w:val="114A387E"/>
    <w:rsid w:val="11543BAC"/>
    <w:rsid w:val="115630D4"/>
    <w:rsid w:val="117417AC"/>
    <w:rsid w:val="117D2D56"/>
    <w:rsid w:val="11A5684D"/>
    <w:rsid w:val="11C4082F"/>
    <w:rsid w:val="11C95F9C"/>
    <w:rsid w:val="11D861DF"/>
    <w:rsid w:val="11DC5CCF"/>
    <w:rsid w:val="12042B30"/>
    <w:rsid w:val="120E7E09"/>
    <w:rsid w:val="1218482D"/>
    <w:rsid w:val="122B630F"/>
    <w:rsid w:val="123478B9"/>
    <w:rsid w:val="123D4E07"/>
    <w:rsid w:val="12443874"/>
    <w:rsid w:val="124B075F"/>
    <w:rsid w:val="125735A8"/>
    <w:rsid w:val="126A5144"/>
    <w:rsid w:val="126E2D03"/>
    <w:rsid w:val="12957C2C"/>
    <w:rsid w:val="12D60970"/>
    <w:rsid w:val="12DC3AAD"/>
    <w:rsid w:val="13201BEB"/>
    <w:rsid w:val="13765CAF"/>
    <w:rsid w:val="13CC58CF"/>
    <w:rsid w:val="13F74556"/>
    <w:rsid w:val="13FB7F63"/>
    <w:rsid w:val="140E7C96"/>
    <w:rsid w:val="1424570B"/>
    <w:rsid w:val="143F2545"/>
    <w:rsid w:val="144B713C"/>
    <w:rsid w:val="145C4EA5"/>
    <w:rsid w:val="148A7C64"/>
    <w:rsid w:val="14A16D5C"/>
    <w:rsid w:val="14AF76CB"/>
    <w:rsid w:val="14B85A81"/>
    <w:rsid w:val="14BF71E2"/>
    <w:rsid w:val="14D07641"/>
    <w:rsid w:val="14D94748"/>
    <w:rsid w:val="14D964F6"/>
    <w:rsid w:val="14ED3D4F"/>
    <w:rsid w:val="14F72E20"/>
    <w:rsid w:val="14F75F2A"/>
    <w:rsid w:val="14F90946"/>
    <w:rsid w:val="151469B7"/>
    <w:rsid w:val="152850C5"/>
    <w:rsid w:val="155618F4"/>
    <w:rsid w:val="156D4E90"/>
    <w:rsid w:val="15956C4F"/>
    <w:rsid w:val="159F2DAC"/>
    <w:rsid w:val="15CE1DD3"/>
    <w:rsid w:val="15DA1A99"/>
    <w:rsid w:val="1609105D"/>
    <w:rsid w:val="16331C36"/>
    <w:rsid w:val="163360DA"/>
    <w:rsid w:val="1635775C"/>
    <w:rsid w:val="16493207"/>
    <w:rsid w:val="16A668AC"/>
    <w:rsid w:val="16B25250"/>
    <w:rsid w:val="16B94475"/>
    <w:rsid w:val="16BF34C9"/>
    <w:rsid w:val="16CF5E02"/>
    <w:rsid w:val="16D01B7A"/>
    <w:rsid w:val="16E15B36"/>
    <w:rsid w:val="16F74B8C"/>
    <w:rsid w:val="1706559C"/>
    <w:rsid w:val="17123F41"/>
    <w:rsid w:val="171C091C"/>
    <w:rsid w:val="17375756"/>
    <w:rsid w:val="174C1F50"/>
    <w:rsid w:val="176D1177"/>
    <w:rsid w:val="178070FD"/>
    <w:rsid w:val="17853B61"/>
    <w:rsid w:val="179606CE"/>
    <w:rsid w:val="17BE3B06"/>
    <w:rsid w:val="17CA481C"/>
    <w:rsid w:val="17DD62FD"/>
    <w:rsid w:val="17E21B65"/>
    <w:rsid w:val="17E70F2A"/>
    <w:rsid w:val="186500A0"/>
    <w:rsid w:val="186B1B5B"/>
    <w:rsid w:val="18722EE9"/>
    <w:rsid w:val="189015C1"/>
    <w:rsid w:val="1890336F"/>
    <w:rsid w:val="18B76B4E"/>
    <w:rsid w:val="18E40145"/>
    <w:rsid w:val="18EE0096"/>
    <w:rsid w:val="19006747"/>
    <w:rsid w:val="19212219"/>
    <w:rsid w:val="192B12EA"/>
    <w:rsid w:val="19341F4D"/>
    <w:rsid w:val="19404D95"/>
    <w:rsid w:val="19434886"/>
    <w:rsid w:val="195048A6"/>
    <w:rsid w:val="19662322"/>
    <w:rsid w:val="19866520"/>
    <w:rsid w:val="19B17A41"/>
    <w:rsid w:val="19BD0194"/>
    <w:rsid w:val="19CF1C75"/>
    <w:rsid w:val="19E35721"/>
    <w:rsid w:val="19EA2F53"/>
    <w:rsid w:val="19EA6260"/>
    <w:rsid w:val="1A4474E8"/>
    <w:rsid w:val="1A7F369B"/>
    <w:rsid w:val="1A8E1B30"/>
    <w:rsid w:val="1A96278C"/>
    <w:rsid w:val="1AAB26E2"/>
    <w:rsid w:val="1AC11F06"/>
    <w:rsid w:val="1ACD08AB"/>
    <w:rsid w:val="1AD339E7"/>
    <w:rsid w:val="1AFB05F2"/>
    <w:rsid w:val="1B0B72D0"/>
    <w:rsid w:val="1B100797"/>
    <w:rsid w:val="1B2304CB"/>
    <w:rsid w:val="1B245FF1"/>
    <w:rsid w:val="1B9E5DA3"/>
    <w:rsid w:val="1BB90E2F"/>
    <w:rsid w:val="1BCE272A"/>
    <w:rsid w:val="1BCF2401"/>
    <w:rsid w:val="1C13053F"/>
    <w:rsid w:val="1C24274C"/>
    <w:rsid w:val="1C2A3ADB"/>
    <w:rsid w:val="1C3B7A96"/>
    <w:rsid w:val="1C672639"/>
    <w:rsid w:val="1C6F7740"/>
    <w:rsid w:val="1C7B7E93"/>
    <w:rsid w:val="1C850D11"/>
    <w:rsid w:val="1CA7512B"/>
    <w:rsid w:val="1CA92C52"/>
    <w:rsid w:val="1CB533A4"/>
    <w:rsid w:val="1CC17F9B"/>
    <w:rsid w:val="1CD81789"/>
    <w:rsid w:val="1CFF2872"/>
    <w:rsid w:val="1D083E1C"/>
    <w:rsid w:val="1D1327C1"/>
    <w:rsid w:val="1D2B1804"/>
    <w:rsid w:val="1DAD49C3"/>
    <w:rsid w:val="1DE008F5"/>
    <w:rsid w:val="1DEF28E6"/>
    <w:rsid w:val="1E0068A1"/>
    <w:rsid w:val="1E3173A3"/>
    <w:rsid w:val="1E334EC9"/>
    <w:rsid w:val="1E3950C5"/>
    <w:rsid w:val="1E4808ED"/>
    <w:rsid w:val="1E766B63"/>
    <w:rsid w:val="1E984D2C"/>
    <w:rsid w:val="1E9B3AFC"/>
    <w:rsid w:val="1EAC6A29"/>
    <w:rsid w:val="1EB53B30"/>
    <w:rsid w:val="1F182311"/>
    <w:rsid w:val="1F43738D"/>
    <w:rsid w:val="1F536EA5"/>
    <w:rsid w:val="1F7E03C6"/>
    <w:rsid w:val="1F8E612F"/>
    <w:rsid w:val="1F9000F9"/>
    <w:rsid w:val="1FA0658E"/>
    <w:rsid w:val="1FAB6CE1"/>
    <w:rsid w:val="1FE46AA9"/>
    <w:rsid w:val="1FF468DA"/>
    <w:rsid w:val="1FF70178"/>
    <w:rsid w:val="201A79C2"/>
    <w:rsid w:val="20322F5E"/>
    <w:rsid w:val="20476A09"/>
    <w:rsid w:val="20631369"/>
    <w:rsid w:val="2063580D"/>
    <w:rsid w:val="207B2B57"/>
    <w:rsid w:val="20C55B80"/>
    <w:rsid w:val="20C75D9C"/>
    <w:rsid w:val="20DD736E"/>
    <w:rsid w:val="20EA55E7"/>
    <w:rsid w:val="210E39CB"/>
    <w:rsid w:val="21132D8F"/>
    <w:rsid w:val="211F1734"/>
    <w:rsid w:val="212E1977"/>
    <w:rsid w:val="21696E53"/>
    <w:rsid w:val="217001E2"/>
    <w:rsid w:val="218E68BA"/>
    <w:rsid w:val="21A67760"/>
    <w:rsid w:val="21CA5B44"/>
    <w:rsid w:val="21F77FBB"/>
    <w:rsid w:val="21F91F85"/>
    <w:rsid w:val="21FC7CC7"/>
    <w:rsid w:val="220646A2"/>
    <w:rsid w:val="22123047"/>
    <w:rsid w:val="22146DBF"/>
    <w:rsid w:val="22396826"/>
    <w:rsid w:val="225C42C2"/>
    <w:rsid w:val="22DD3655"/>
    <w:rsid w:val="22E26EBD"/>
    <w:rsid w:val="22E67766"/>
    <w:rsid w:val="2318643B"/>
    <w:rsid w:val="23286980"/>
    <w:rsid w:val="23486984"/>
    <w:rsid w:val="234C07DB"/>
    <w:rsid w:val="23621DAC"/>
    <w:rsid w:val="237D0994"/>
    <w:rsid w:val="237F295E"/>
    <w:rsid w:val="23AA1DA8"/>
    <w:rsid w:val="23E7405F"/>
    <w:rsid w:val="23ED1676"/>
    <w:rsid w:val="23F30C56"/>
    <w:rsid w:val="23F41E93"/>
    <w:rsid w:val="23FF13A9"/>
    <w:rsid w:val="2403533D"/>
    <w:rsid w:val="24172B97"/>
    <w:rsid w:val="242751B3"/>
    <w:rsid w:val="242A0B1C"/>
    <w:rsid w:val="242E1C8E"/>
    <w:rsid w:val="244B2840"/>
    <w:rsid w:val="245E4A59"/>
    <w:rsid w:val="246833F2"/>
    <w:rsid w:val="24771887"/>
    <w:rsid w:val="24860315"/>
    <w:rsid w:val="25184241"/>
    <w:rsid w:val="25292B82"/>
    <w:rsid w:val="253909CD"/>
    <w:rsid w:val="25457290"/>
    <w:rsid w:val="256C2A6E"/>
    <w:rsid w:val="257638ED"/>
    <w:rsid w:val="25B54415"/>
    <w:rsid w:val="25CD5C03"/>
    <w:rsid w:val="25E22D55"/>
    <w:rsid w:val="260E1D77"/>
    <w:rsid w:val="260E7FC9"/>
    <w:rsid w:val="26284DDB"/>
    <w:rsid w:val="262D48F3"/>
    <w:rsid w:val="268B33C8"/>
    <w:rsid w:val="269B7AAF"/>
    <w:rsid w:val="26BE554B"/>
    <w:rsid w:val="26E825C8"/>
    <w:rsid w:val="26EA4592"/>
    <w:rsid w:val="27127645"/>
    <w:rsid w:val="272F01F7"/>
    <w:rsid w:val="27BA5D13"/>
    <w:rsid w:val="27BD1CA7"/>
    <w:rsid w:val="27BF3329"/>
    <w:rsid w:val="27CC2E58"/>
    <w:rsid w:val="27D72D69"/>
    <w:rsid w:val="27E45486"/>
    <w:rsid w:val="284321AC"/>
    <w:rsid w:val="28771E56"/>
    <w:rsid w:val="28C768EF"/>
    <w:rsid w:val="28DD6E23"/>
    <w:rsid w:val="28F90ABD"/>
    <w:rsid w:val="2903193C"/>
    <w:rsid w:val="29422464"/>
    <w:rsid w:val="29564161"/>
    <w:rsid w:val="295761E2"/>
    <w:rsid w:val="29785E86"/>
    <w:rsid w:val="29C70BBB"/>
    <w:rsid w:val="29EB2AFB"/>
    <w:rsid w:val="2A31206B"/>
    <w:rsid w:val="2A614B6C"/>
    <w:rsid w:val="2A720B27"/>
    <w:rsid w:val="2A830F86"/>
    <w:rsid w:val="2AA35184"/>
    <w:rsid w:val="2ACE1AD5"/>
    <w:rsid w:val="2AD52E64"/>
    <w:rsid w:val="2B177920"/>
    <w:rsid w:val="2B193698"/>
    <w:rsid w:val="2B2D2CA0"/>
    <w:rsid w:val="2B481888"/>
    <w:rsid w:val="2B9C7E34"/>
    <w:rsid w:val="2BA7222F"/>
    <w:rsid w:val="2BA96061"/>
    <w:rsid w:val="2BC74EA2"/>
    <w:rsid w:val="2BC90C1A"/>
    <w:rsid w:val="2C29790B"/>
    <w:rsid w:val="2CA174A1"/>
    <w:rsid w:val="2CED6C3A"/>
    <w:rsid w:val="2CFA3055"/>
    <w:rsid w:val="2D0C788F"/>
    <w:rsid w:val="2D295F9A"/>
    <w:rsid w:val="2D314CC9"/>
    <w:rsid w:val="2D35408E"/>
    <w:rsid w:val="2D3E73E6"/>
    <w:rsid w:val="2D510EC7"/>
    <w:rsid w:val="2D8F19F0"/>
    <w:rsid w:val="2DA21723"/>
    <w:rsid w:val="2DCF003E"/>
    <w:rsid w:val="2DE03FF9"/>
    <w:rsid w:val="2E0E0B66"/>
    <w:rsid w:val="2E2959A0"/>
    <w:rsid w:val="2E2B27AB"/>
    <w:rsid w:val="2E627104"/>
    <w:rsid w:val="2E642E7C"/>
    <w:rsid w:val="2E903C71"/>
    <w:rsid w:val="2E921DA5"/>
    <w:rsid w:val="2E9372BE"/>
    <w:rsid w:val="2EA65243"/>
    <w:rsid w:val="2EB84F76"/>
    <w:rsid w:val="2EBB09DD"/>
    <w:rsid w:val="2EC97183"/>
    <w:rsid w:val="2EDF69A7"/>
    <w:rsid w:val="2F0B32F8"/>
    <w:rsid w:val="2F0D0E1E"/>
    <w:rsid w:val="2F320885"/>
    <w:rsid w:val="2F34284F"/>
    <w:rsid w:val="2F5A0F01"/>
    <w:rsid w:val="2F603644"/>
    <w:rsid w:val="2F904782"/>
    <w:rsid w:val="2FCD4A51"/>
    <w:rsid w:val="2FE34275"/>
    <w:rsid w:val="2FF43D8C"/>
    <w:rsid w:val="30006A18"/>
    <w:rsid w:val="30045057"/>
    <w:rsid w:val="300E30A0"/>
    <w:rsid w:val="302C5C1C"/>
    <w:rsid w:val="302D729E"/>
    <w:rsid w:val="303A20E7"/>
    <w:rsid w:val="303B3430"/>
    <w:rsid w:val="30667B76"/>
    <w:rsid w:val="307410C2"/>
    <w:rsid w:val="30B26121"/>
    <w:rsid w:val="30D75B88"/>
    <w:rsid w:val="30E327D8"/>
    <w:rsid w:val="311C359A"/>
    <w:rsid w:val="31376626"/>
    <w:rsid w:val="313C5E2A"/>
    <w:rsid w:val="31603DCF"/>
    <w:rsid w:val="31701B38"/>
    <w:rsid w:val="31813D45"/>
    <w:rsid w:val="319A0963"/>
    <w:rsid w:val="31A812D2"/>
    <w:rsid w:val="31AD68E8"/>
    <w:rsid w:val="31DB5204"/>
    <w:rsid w:val="32170BF7"/>
    <w:rsid w:val="322F72FD"/>
    <w:rsid w:val="323668DE"/>
    <w:rsid w:val="324E1E79"/>
    <w:rsid w:val="325B6344"/>
    <w:rsid w:val="32C043F9"/>
    <w:rsid w:val="32CA640C"/>
    <w:rsid w:val="32D3237F"/>
    <w:rsid w:val="32D3412D"/>
    <w:rsid w:val="33044C2E"/>
    <w:rsid w:val="33052E4F"/>
    <w:rsid w:val="33150BE9"/>
    <w:rsid w:val="33264BA4"/>
    <w:rsid w:val="33694A91"/>
    <w:rsid w:val="33707BCD"/>
    <w:rsid w:val="339E0BDF"/>
    <w:rsid w:val="33CD330B"/>
    <w:rsid w:val="33DE547F"/>
    <w:rsid w:val="34060532"/>
    <w:rsid w:val="340F5638"/>
    <w:rsid w:val="341D7D55"/>
    <w:rsid w:val="343B642D"/>
    <w:rsid w:val="3474193F"/>
    <w:rsid w:val="347656B7"/>
    <w:rsid w:val="348E3839"/>
    <w:rsid w:val="34A43FD3"/>
    <w:rsid w:val="34CC3529"/>
    <w:rsid w:val="34CC52D7"/>
    <w:rsid w:val="34D523DE"/>
    <w:rsid w:val="34EE16F2"/>
    <w:rsid w:val="34FF745B"/>
    <w:rsid w:val="35373099"/>
    <w:rsid w:val="354B08F2"/>
    <w:rsid w:val="3566572C"/>
    <w:rsid w:val="359A53D6"/>
    <w:rsid w:val="35AF558A"/>
    <w:rsid w:val="35B20971"/>
    <w:rsid w:val="35CB1A33"/>
    <w:rsid w:val="364A5420"/>
    <w:rsid w:val="3667175C"/>
    <w:rsid w:val="366C4FC4"/>
    <w:rsid w:val="366E68DA"/>
    <w:rsid w:val="36806379"/>
    <w:rsid w:val="373D24BC"/>
    <w:rsid w:val="374B4BD9"/>
    <w:rsid w:val="376637C1"/>
    <w:rsid w:val="376712E7"/>
    <w:rsid w:val="377D6D5D"/>
    <w:rsid w:val="37D42E21"/>
    <w:rsid w:val="37FA3B07"/>
    <w:rsid w:val="37FC4126"/>
    <w:rsid w:val="3801173C"/>
    <w:rsid w:val="380D1E8F"/>
    <w:rsid w:val="38125841"/>
    <w:rsid w:val="384A6C3F"/>
    <w:rsid w:val="38926838"/>
    <w:rsid w:val="38AA5930"/>
    <w:rsid w:val="38AC5B4C"/>
    <w:rsid w:val="38AD5420"/>
    <w:rsid w:val="38B844F1"/>
    <w:rsid w:val="38C70290"/>
    <w:rsid w:val="38CA4224"/>
    <w:rsid w:val="393435C0"/>
    <w:rsid w:val="39534219"/>
    <w:rsid w:val="396E2E01"/>
    <w:rsid w:val="39B76556"/>
    <w:rsid w:val="39BA7DF4"/>
    <w:rsid w:val="39C26CA9"/>
    <w:rsid w:val="39D0586A"/>
    <w:rsid w:val="3A0472C2"/>
    <w:rsid w:val="3A085004"/>
    <w:rsid w:val="3A17143A"/>
    <w:rsid w:val="3A1A4D37"/>
    <w:rsid w:val="3A1F5EA9"/>
    <w:rsid w:val="3A2F2590"/>
    <w:rsid w:val="3A4B6C9E"/>
    <w:rsid w:val="3A5C0EAC"/>
    <w:rsid w:val="3A5F274A"/>
    <w:rsid w:val="3A660185"/>
    <w:rsid w:val="3B331C0C"/>
    <w:rsid w:val="3B5129DA"/>
    <w:rsid w:val="3B660234"/>
    <w:rsid w:val="3B762441"/>
    <w:rsid w:val="3BB05953"/>
    <w:rsid w:val="3BC1190E"/>
    <w:rsid w:val="3BDD4E74"/>
    <w:rsid w:val="3BE92C13"/>
    <w:rsid w:val="3BF16943"/>
    <w:rsid w:val="3BF70E8C"/>
    <w:rsid w:val="3C254167"/>
    <w:rsid w:val="3C54617F"/>
    <w:rsid w:val="3CD613E9"/>
    <w:rsid w:val="3CDB69FF"/>
    <w:rsid w:val="3CE5162C"/>
    <w:rsid w:val="3CEA09F1"/>
    <w:rsid w:val="3CEA279F"/>
    <w:rsid w:val="3D171F98"/>
    <w:rsid w:val="3D4C3459"/>
    <w:rsid w:val="3D540560"/>
    <w:rsid w:val="3D673DEF"/>
    <w:rsid w:val="3D9C10CD"/>
    <w:rsid w:val="3DB37034"/>
    <w:rsid w:val="3DC6005E"/>
    <w:rsid w:val="3DCE75E8"/>
    <w:rsid w:val="3DF02037"/>
    <w:rsid w:val="3DF633C5"/>
    <w:rsid w:val="3E021D6A"/>
    <w:rsid w:val="3E2672E7"/>
    <w:rsid w:val="3E734A16"/>
    <w:rsid w:val="3E7A3FF6"/>
    <w:rsid w:val="3E80785E"/>
    <w:rsid w:val="3EA64DEB"/>
    <w:rsid w:val="3ECB6600"/>
    <w:rsid w:val="3EDE4585"/>
    <w:rsid w:val="3EDE6333"/>
    <w:rsid w:val="3F1C50AD"/>
    <w:rsid w:val="3F367F1D"/>
    <w:rsid w:val="3F5C54AA"/>
    <w:rsid w:val="3F634A8A"/>
    <w:rsid w:val="3F6820A1"/>
    <w:rsid w:val="3F7D78FA"/>
    <w:rsid w:val="3F830C89"/>
    <w:rsid w:val="3F892743"/>
    <w:rsid w:val="3FA34647"/>
    <w:rsid w:val="3FE23C01"/>
    <w:rsid w:val="400022D9"/>
    <w:rsid w:val="4013200C"/>
    <w:rsid w:val="40532D51"/>
    <w:rsid w:val="40580367"/>
    <w:rsid w:val="40CA3013"/>
    <w:rsid w:val="40E340D5"/>
    <w:rsid w:val="40F2256A"/>
    <w:rsid w:val="40F63E08"/>
    <w:rsid w:val="410127AD"/>
    <w:rsid w:val="411529FB"/>
    <w:rsid w:val="41362456"/>
    <w:rsid w:val="413B5CBF"/>
    <w:rsid w:val="414E1930"/>
    <w:rsid w:val="415C79E3"/>
    <w:rsid w:val="41652D3C"/>
    <w:rsid w:val="41676AB4"/>
    <w:rsid w:val="41CA2D0D"/>
    <w:rsid w:val="41CA7043"/>
    <w:rsid w:val="41CF23DC"/>
    <w:rsid w:val="41DB399D"/>
    <w:rsid w:val="41E41EB2"/>
    <w:rsid w:val="41E77BF5"/>
    <w:rsid w:val="42073DF3"/>
    <w:rsid w:val="421E187C"/>
    <w:rsid w:val="4246491B"/>
    <w:rsid w:val="4250579A"/>
    <w:rsid w:val="426E5C20"/>
    <w:rsid w:val="42707BEA"/>
    <w:rsid w:val="427B20EB"/>
    <w:rsid w:val="428611BC"/>
    <w:rsid w:val="42A11473"/>
    <w:rsid w:val="42B86E9B"/>
    <w:rsid w:val="42CD2946"/>
    <w:rsid w:val="42F500EF"/>
    <w:rsid w:val="4315253F"/>
    <w:rsid w:val="433230F1"/>
    <w:rsid w:val="43664B49"/>
    <w:rsid w:val="436A288B"/>
    <w:rsid w:val="438F22F2"/>
    <w:rsid w:val="43931DE2"/>
    <w:rsid w:val="439711A6"/>
    <w:rsid w:val="43B458B4"/>
    <w:rsid w:val="43B9736F"/>
    <w:rsid w:val="43F16B09"/>
    <w:rsid w:val="44316195"/>
    <w:rsid w:val="443A04B0"/>
    <w:rsid w:val="446077EA"/>
    <w:rsid w:val="44676DCB"/>
    <w:rsid w:val="446C43E1"/>
    <w:rsid w:val="44827761"/>
    <w:rsid w:val="448B4867"/>
    <w:rsid w:val="449F0313"/>
    <w:rsid w:val="44A26055"/>
    <w:rsid w:val="44AC2A30"/>
    <w:rsid w:val="44B02520"/>
    <w:rsid w:val="44D73F50"/>
    <w:rsid w:val="45322F35"/>
    <w:rsid w:val="454B2248"/>
    <w:rsid w:val="454C7069"/>
    <w:rsid w:val="455530C7"/>
    <w:rsid w:val="45596713"/>
    <w:rsid w:val="45886FF9"/>
    <w:rsid w:val="458F0387"/>
    <w:rsid w:val="45905EAD"/>
    <w:rsid w:val="45D40490"/>
    <w:rsid w:val="45E17242"/>
    <w:rsid w:val="462211FB"/>
    <w:rsid w:val="462F3918"/>
    <w:rsid w:val="465313B5"/>
    <w:rsid w:val="465515D1"/>
    <w:rsid w:val="46583362"/>
    <w:rsid w:val="465E7D59"/>
    <w:rsid w:val="46634A89"/>
    <w:rsid w:val="466C2476"/>
    <w:rsid w:val="466E2692"/>
    <w:rsid w:val="469D0882"/>
    <w:rsid w:val="46A2058E"/>
    <w:rsid w:val="46B05036"/>
    <w:rsid w:val="46BE3798"/>
    <w:rsid w:val="46C95B1B"/>
    <w:rsid w:val="46F506BE"/>
    <w:rsid w:val="47022DDB"/>
    <w:rsid w:val="471843AC"/>
    <w:rsid w:val="47462CC7"/>
    <w:rsid w:val="4764220C"/>
    <w:rsid w:val="4780267D"/>
    <w:rsid w:val="47833F1C"/>
    <w:rsid w:val="479E48B1"/>
    <w:rsid w:val="47B6656B"/>
    <w:rsid w:val="47CF7161"/>
    <w:rsid w:val="48360F8E"/>
    <w:rsid w:val="483F42E6"/>
    <w:rsid w:val="488F68F0"/>
    <w:rsid w:val="48A00AFD"/>
    <w:rsid w:val="48DF3CF4"/>
    <w:rsid w:val="48E1539E"/>
    <w:rsid w:val="48FF3A76"/>
    <w:rsid w:val="490B41C9"/>
    <w:rsid w:val="490E670B"/>
    <w:rsid w:val="49155047"/>
    <w:rsid w:val="492C413F"/>
    <w:rsid w:val="492E7EB7"/>
    <w:rsid w:val="494D47E1"/>
    <w:rsid w:val="49521DF7"/>
    <w:rsid w:val="49867CF3"/>
    <w:rsid w:val="49A81A17"/>
    <w:rsid w:val="49F76548"/>
    <w:rsid w:val="4A1E7F2C"/>
    <w:rsid w:val="4A2512BA"/>
    <w:rsid w:val="4A25750C"/>
    <w:rsid w:val="4A325785"/>
    <w:rsid w:val="4A6E0EB3"/>
    <w:rsid w:val="4A8907BB"/>
    <w:rsid w:val="4A8A3813"/>
    <w:rsid w:val="4A9D52F4"/>
    <w:rsid w:val="4AF34F14"/>
    <w:rsid w:val="4B110B90"/>
    <w:rsid w:val="4B1F21AD"/>
    <w:rsid w:val="4B3D2633"/>
    <w:rsid w:val="4B63653E"/>
    <w:rsid w:val="4B7D0C82"/>
    <w:rsid w:val="4B9A1834"/>
    <w:rsid w:val="4BA12BC2"/>
    <w:rsid w:val="4BF47196"/>
    <w:rsid w:val="4C123AC0"/>
    <w:rsid w:val="4C2149E6"/>
    <w:rsid w:val="4C251A45"/>
    <w:rsid w:val="4C2F4672"/>
    <w:rsid w:val="4C3103EA"/>
    <w:rsid w:val="4C43011D"/>
    <w:rsid w:val="4C650094"/>
    <w:rsid w:val="4C6A56AA"/>
    <w:rsid w:val="4C8C73CE"/>
    <w:rsid w:val="4CA961D2"/>
    <w:rsid w:val="4CD60F91"/>
    <w:rsid w:val="4D043409"/>
    <w:rsid w:val="4D07739D"/>
    <w:rsid w:val="4D16138E"/>
    <w:rsid w:val="4D1F46E6"/>
    <w:rsid w:val="4D317F76"/>
    <w:rsid w:val="4D3637DE"/>
    <w:rsid w:val="4D3B2BA3"/>
    <w:rsid w:val="4D494ED3"/>
    <w:rsid w:val="4D7A7B6F"/>
    <w:rsid w:val="4D986247"/>
    <w:rsid w:val="4DAD0AEE"/>
    <w:rsid w:val="4DBC1F35"/>
    <w:rsid w:val="4DC96B69"/>
    <w:rsid w:val="4DE33966"/>
    <w:rsid w:val="4DF711BF"/>
    <w:rsid w:val="4E067654"/>
    <w:rsid w:val="4E2A50F1"/>
    <w:rsid w:val="4E375A60"/>
    <w:rsid w:val="4E5008D0"/>
    <w:rsid w:val="4E524648"/>
    <w:rsid w:val="4E65437B"/>
    <w:rsid w:val="4E683E6B"/>
    <w:rsid w:val="4E8135B3"/>
    <w:rsid w:val="4E8D38D2"/>
    <w:rsid w:val="4E93713A"/>
    <w:rsid w:val="4EC45545"/>
    <w:rsid w:val="4F267444"/>
    <w:rsid w:val="4F4026F2"/>
    <w:rsid w:val="4F652159"/>
    <w:rsid w:val="4F7A3E56"/>
    <w:rsid w:val="4F870321"/>
    <w:rsid w:val="4F8E7901"/>
    <w:rsid w:val="4F9D5D96"/>
    <w:rsid w:val="4FB530E0"/>
    <w:rsid w:val="4FBF7ABB"/>
    <w:rsid w:val="4FC45FF2"/>
    <w:rsid w:val="4FDD43E5"/>
    <w:rsid w:val="4FE13ED5"/>
    <w:rsid w:val="4FE85264"/>
    <w:rsid w:val="502A587C"/>
    <w:rsid w:val="50395ABF"/>
    <w:rsid w:val="503C40AD"/>
    <w:rsid w:val="50834F8C"/>
    <w:rsid w:val="508D27A6"/>
    <w:rsid w:val="51165E00"/>
    <w:rsid w:val="51C15D6C"/>
    <w:rsid w:val="51C4760A"/>
    <w:rsid w:val="51E952C3"/>
    <w:rsid w:val="5268443A"/>
    <w:rsid w:val="527821A3"/>
    <w:rsid w:val="52C8137C"/>
    <w:rsid w:val="52D23FA9"/>
    <w:rsid w:val="52E066C6"/>
    <w:rsid w:val="52F263F9"/>
    <w:rsid w:val="53083749"/>
    <w:rsid w:val="5334431C"/>
    <w:rsid w:val="53373E0C"/>
    <w:rsid w:val="536410A5"/>
    <w:rsid w:val="53803A05"/>
    <w:rsid w:val="539179C0"/>
    <w:rsid w:val="53A94D0A"/>
    <w:rsid w:val="53B01CA3"/>
    <w:rsid w:val="53CC27A6"/>
    <w:rsid w:val="53CE29C2"/>
    <w:rsid w:val="53D0673A"/>
    <w:rsid w:val="53D578AD"/>
    <w:rsid w:val="53E53868"/>
    <w:rsid w:val="53EC4BF7"/>
    <w:rsid w:val="53F51CFD"/>
    <w:rsid w:val="542645AC"/>
    <w:rsid w:val="54280D1A"/>
    <w:rsid w:val="54420CBA"/>
    <w:rsid w:val="544B5DC1"/>
    <w:rsid w:val="545C7FCE"/>
    <w:rsid w:val="5474356A"/>
    <w:rsid w:val="5486329D"/>
    <w:rsid w:val="548E5CAE"/>
    <w:rsid w:val="54971006"/>
    <w:rsid w:val="54A35BFD"/>
    <w:rsid w:val="54AF6350"/>
    <w:rsid w:val="54B43966"/>
    <w:rsid w:val="54D9161F"/>
    <w:rsid w:val="54F46459"/>
    <w:rsid w:val="555869E7"/>
    <w:rsid w:val="55603AEE"/>
    <w:rsid w:val="556F1F83"/>
    <w:rsid w:val="55A35789"/>
    <w:rsid w:val="55B84EAE"/>
    <w:rsid w:val="55DD6EED"/>
    <w:rsid w:val="562C1C22"/>
    <w:rsid w:val="56382C47"/>
    <w:rsid w:val="56496330"/>
    <w:rsid w:val="567D5FDA"/>
    <w:rsid w:val="56C02A96"/>
    <w:rsid w:val="57014E5D"/>
    <w:rsid w:val="57623B4D"/>
    <w:rsid w:val="57723665"/>
    <w:rsid w:val="57EF1159"/>
    <w:rsid w:val="57FD3876"/>
    <w:rsid w:val="581F1A3E"/>
    <w:rsid w:val="583D3C73"/>
    <w:rsid w:val="584B45E2"/>
    <w:rsid w:val="588C0756"/>
    <w:rsid w:val="589715D5"/>
    <w:rsid w:val="58C85C32"/>
    <w:rsid w:val="58E42340"/>
    <w:rsid w:val="58F76517"/>
    <w:rsid w:val="58FF717A"/>
    <w:rsid w:val="59012EF2"/>
    <w:rsid w:val="59142C25"/>
    <w:rsid w:val="59171178"/>
    <w:rsid w:val="595E20F3"/>
    <w:rsid w:val="597638E0"/>
    <w:rsid w:val="597933D0"/>
    <w:rsid w:val="597B4491"/>
    <w:rsid w:val="59A57D21"/>
    <w:rsid w:val="59AF0332"/>
    <w:rsid w:val="59D16D68"/>
    <w:rsid w:val="59F34F31"/>
    <w:rsid w:val="5A056A12"/>
    <w:rsid w:val="5A144EA7"/>
    <w:rsid w:val="5A1D1FAE"/>
    <w:rsid w:val="5A2450EA"/>
    <w:rsid w:val="5A470DD9"/>
    <w:rsid w:val="5A494B51"/>
    <w:rsid w:val="5A4E03B9"/>
    <w:rsid w:val="5A5D05FC"/>
    <w:rsid w:val="5A731BCE"/>
    <w:rsid w:val="5A9B6510"/>
    <w:rsid w:val="5ABF6998"/>
    <w:rsid w:val="5ACE14FA"/>
    <w:rsid w:val="5B0D2022"/>
    <w:rsid w:val="5B386973"/>
    <w:rsid w:val="5B411CCC"/>
    <w:rsid w:val="5B9242D5"/>
    <w:rsid w:val="5BBC1352"/>
    <w:rsid w:val="5BC30933"/>
    <w:rsid w:val="5BD62414"/>
    <w:rsid w:val="5C1B17B8"/>
    <w:rsid w:val="5C2C64D8"/>
    <w:rsid w:val="5C3A25B5"/>
    <w:rsid w:val="5C423F4D"/>
    <w:rsid w:val="5C8A1451"/>
    <w:rsid w:val="5C983B6D"/>
    <w:rsid w:val="5CB84210"/>
    <w:rsid w:val="5CCB5CF1"/>
    <w:rsid w:val="5CE35E2B"/>
    <w:rsid w:val="5D0A42CB"/>
    <w:rsid w:val="5D2D075A"/>
    <w:rsid w:val="5D4810F0"/>
    <w:rsid w:val="5DB20C5F"/>
    <w:rsid w:val="5DB76275"/>
    <w:rsid w:val="5DE057CC"/>
    <w:rsid w:val="5DED1C97"/>
    <w:rsid w:val="5DED7EE9"/>
    <w:rsid w:val="5DFB0858"/>
    <w:rsid w:val="5E0E058B"/>
    <w:rsid w:val="5E1D07CE"/>
    <w:rsid w:val="5E385608"/>
    <w:rsid w:val="5E40626B"/>
    <w:rsid w:val="5E4E4E2C"/>
    <w:rsid w:val="5EAA5DDA"/>
    <w:rsid w:val="5EC155FD"/>
    <w:rsid w:val="5ED8763C"/>
    <w:rsid w:val="5EDD61AF"/>
    <w:rsid w:val="5EE035AA"/>
    <w:rsid w:val="5EF86B45"/>
    <w:rsid w:val="5F0E70B0"/>
    <w:rsid w:val="5F313E05"/>
    <w:rsid w:val="5F6D308F"/>
    <w:rsid w:val="5F881C77"/>
    <w:rsid w:val="5FB54A36"/>
    <w:rsid w:val="5FD50C35"/>
    <w:rsid w:val="5FD72BFF"/>
    <w:rsid w:val="5FFC7D0A"/>
    <w:rsid w:val="5FFE1F39"/>
    <w:rsid w:val="5FFE3589"/>
    <w:rsid w:val="60003F04"/>
    <w:rsid w:val="60200102"/>
    <w:rsid w:val="60365B77"/>
    <w:rsid w:val="60515EE8"/>
    <w:rsid w:val="606A75CF"/>
    <w:rsid w:val="60736193"/>
    <w:rsid w:val="60795A64"/>
    <w:rsid w:val="608B14A0"/>
    <w:rsid w:val="60CC028A"/>
    <w:rsid w:val="61135EB8"/>
    <w:rsid w:val="611A0FF5"/>
    <w:rsid w:val="61250170"/>
    <w:rsid w:val="61475B62"/>
    <w:rsid w:val="615564D1"/>
    <w:rsid w:val="615C785F"/>
    <w:rsid w:val="61603C1A"/>
    <w:rsid w:val="6166423A"/>
    <w:rsid w:val="6171498D"/>
    <w:rsid w:val="617C1CB0"/>
    <w:rsid w:val="61910E2C"/>
    <w:rsid w:val="61CD42B9"/>
    <w:rsid w:val="61E67129"/>
    <w:rsid w:val="622D6B06"/>
    <w:rsid w:val="62324D67"/>
    <w:rsid w:val="623C4F9B"/>
    <w:rsid w:val="62467BC8"/>
    <w:rsid w:val="62487DE4"/>
    <w:rsid w:val="62854069"/>
    <w:rsid w:val="628E2F58"/>
    <w:rsid w:val="62946B85"/>
    <w:rsid w:val="62A241F2"/>
    <w:rsid w:val="62A3501A"/>
    <w:rsid w:val="62C0797A"/>
    <w:rsid w:val="62D13935"/>
    <w:rsid w:val="63251ED3"/>
    <w:rsid w:val="63331D15"/>
    <w:rsid w:val="63676048"/>
    <w:rsid w:val="63892462"/>
    <w:rsid w:val="63984453"/>
    <w:rsid w:val="63B03E93"/>
    <w:rsid w:val="63BD3EBA"/>
    <w:rsid w:val="63C416EC"/>
    <w:rsid w:val="63D27752"/>
    <w:rsid w:val="63DF2082"/>
    <w:rsid w:val="63FD1B44"/>
    <w:rsid w:val="64220BB4"/>
    <w:rsid w:val="64267CB1"/>
    <w:rsid w:val="64C25C2B"/>
    <w:rsid w:val="64C95594"/>
    <w:rsid w:val="64D8544F"/>
    <w:rsid w:val="64F40429"/>
    <w:rsid w:val="64F97173"/>
    <w:rsid w:val="651D7306"/>
    <w:rsid w:val="651E6376"/>
    <w:rsid w:val="6530528B"/>
    <w:rsid w:val="65384752"/>
    <w:rsid w:val="656C3DE9"/>
    <w:rsid w:val="65842EE1"/>
    <w:rsid w:val="658A426F"/>
    <w:rsid w:val="659D21F5"/>
    <w:rsid w:val="65B0017A"/>
    <w:rsid w:val="65D025CA"/>
    <w:rsid w:val="65DC2D1D"/>
    <w:rsid w:val="660D7080"/>
    <w:rsid w:val="66263F98"/>
    <w:rsid w:val="6658788B"/>
    <w:rsid w:val="66886A01"/>
    <w:rsid w:val="66A852F5"/>
    <w:rsid w:val="66B21CD0"/>
    <w:rsid w:val="66FD119D"/>
    <w:rsid w:val="6707201B"/>
    <w:rsid w:val="67281F92"/>
    <w:rsid w:val="67297071"/>
    <w:rsid w:val="672A3F5C"/>
    <w:rsid w:val="672E75A8"/>
    <w:rsid w:val="6739419F"/>
    <w:rsid w:val="675B2367"/>
    <w:rsid w:val="67656D42"/>
    <w:rsid w:val="67694A84"/>
    <w:rsid w:val="67786A75"/>
    <w:rsid w:val="677F7E04"/>
    <w:rsid w:val="67BD6B7E"/>
    <w:rsid w:val="67E1648C"/>
    <w:rsid w:val="6808604B"/>
    <w:rsid w:val="681D761D"/>
    <w:rsid w:val="682B1D3A"/>
    <w:rsid w:val="68336E40"/>
    <w:rsid w:val="683E1A6D"/>
    <w:rsid w:val="6841330B"/>
    <w:rsid w:val="689A0C6D"/>
    <w:rsid w:val="68B83154"/>
    <w:rsid w:val="68C83A2C"/>
    <w:rsid w:val="68E5013A"/>
    <w:rsid w:val="68F0088D"/>
    <w:rsid w:val="68F71C1C"/>
    <w:rsid w:val="691722BE"/>
    <w:rsid w:val="692C7B17"/>
    <w:rsid w:val="694110E9"/>
    <w:rsid w:val="69431305"/>
    <w:rsid w:val="69581096"/>
    <w:rsid w:val="69584DB0"/>
    <w:rsid w:val="69A9410F"/>
    <w:rsid w:val="69AD360D"/>
    <w:rsid w:val="69CF4947"/>
    <w:rsid w:val="6A1F767C"/>
    <w:rsid w:val="6A217DF6"/>
    <w:rsid w:val="6A371DEF"/>
    <w:rsid w:val="6A4E1D0F"/>
    <w:rsid w:val="6A5437CA"/>
    <w:rsid w:val="6A70612A"/>
    <w:rsid w:val="6A9736B6"/>
    <w:rsid w:val="6A9811DC"/>
    <w:rsid w:val="6A9C0CCD"/>
    <w:rsid w:val="6AB44268"/>
    <w:rsid w:val="6B100175"/>
    <w:rsid w:val="6B122952"/>
    <w:rsid w:val="6B37721A"/>
    <w:rsid w:val="6B431148"/>
    <w:rsid w:val="6B6F1F3D"/>
    <w:rsid w:val="6B9B0F84"/>
    <w:rsid w:val="6BA02A3F"/>
    <w:rsid w:val="6BAF67DE"/>
    <w:rsid w:val="6BC73B27"/>
    <w:rsid w:val="6BEB3CFE"/>
    <w:rsid w:val="6BF07522"/>
    <w:rsid w:val="6C0279BB"/>
    <w:rsid w:val="6C044D7B"/>
    <w:rsid w:val="6C07661A"/>
    <w:rsid w:val="6C2E1DF8"/>
    <w:rsid w:val="6C662F7C"/>
    <w:rsid w:val="6C6B4119"/>
    <w:rsid w:val="6C804AB4"/>
    <w:rsid w:val="6C9F2CF6"/>
    <w:rsid w:val="6CB73B9C"/>
    <w:rsid w:val="6CDC7AA6"/>
    <w:rsid w:val="6CE4695B"/>
    <w:rsid w:val="6D154D66"/>
    <w:rsid w:val="6D194857"/>
    <w:rsid w:val="6D4F64CA"/>
    <w:rsid w:val="6D5238C5"/>
    <w:rsid w:val="6D655CEE"/>
    <w:rsid w:val="6D9C0FE4"/>
    <w:rsid w:val="6DCA5B51"/>
    <w:rsid w:val="6DD644F6"/>
    <w:rsid w:val="6DE55656"/>
    <w:rsid w:val="6DFB0400"/>
    <w:rsid w:val="6E261BA7"/>
    <w:rsid w:val="6E5A3E2A"/>
    <w:rsid w:val="6E657628"/>
    <w:rsid w:val="6E8B52E0"/>
    <w:rsid w:val="6EF74724"/>
    <w:rsid w:val="6F176B74"/>
    <w:rsid w:val="6F5778B8"/>
    <w:rsid w:val="6F5E29F5"/>
    <w:rsid w:val="6F806E0F"/>
    <w:rsid w:val="6FB24AEE"/>
    <w:rsid w:val="6FB62831"/>
    <w:rsid w:val="6FBB1BF5"/>
    <w:rsid w:val="6FC54822"/>
    <w:rsid w:val="6FE4739E"/>
    <w:rsid w:val="6FED5B27"/>
    <w:rsid w:val="70691651"/>
    <w:rsid w:val="70903082"/>
    <w:rsid w:val="709D754D"/>
    <w:rsid w:val="70A00DEB"/>
    <w:rsid w:val="70AE175A"/>
    <w:rsid w:val="70BA3537"/>
    <w:rsid w:val="70BF3836"/>
    <w:rsid w:val="70C26FB3"/>
    <w:rsid w:val="70D07922"/>
    <w:rsid w:val="70F3716D"/>
    <w:rsid w:val="710D6480"/>
    <w:rsid w:val="714B246D"/>
    <w:rsid w:val="71502811"/>
    <w:rsid w:val="71844269"/>
    <w:rsid w:val="71900E5F"/>
    <w:rsid w:val="719E357C"/>
    <w:rsid w:val="71A05546"/>
    <w:rsid w:val="71AB5C99"/>
    <w:rsid w:val="72192C03"/>
    <w:rsid w:val="721D6DF3"/>
    <w:rsid w:val="722241AD"/>
    <w:rsid w:val="72536115"/>
    <w:rsid w:val="725B76BF"/>
    <w:rsid w:val="72C963D7"/>
    <w:rsid w:val="72CB00B4"/>
    <w:rsid w:val="72D51220"/>
    <w:rsid w:val="72FB055A"/>
    <w:rsid w:val="73245D03"/>
    <w:rsid w:val="732E2E41"/>
    <w:rsid w:val="73375A36"/>
    <w:rsid w:val="734B14E2"/>
    <w:rsid w:val="73552361"/>
    <w:rsid w:val="73571C35"/>
    <w:rsid w:val="735E1215"/>
    <w:rsid w:val="73762E92"/>
    <w:rsid w:val="737F118B"/>
    <w:rsid w:val="738467A2"/>
    <w:rsid w:val="73AF7CC3"/>
    <w:rsid w:val="73D03795"/>
    <w:rsid w:val="73D94D40"/>
    <w:rsid w:val="740873D3"/>
    <w:rsid w:val="743326A2"/>
    <w:rsid w:val="746565D3"/>
    <w:rsid w:val="74827185"/>
    <w:rsid w:val="74992ED5"/>
    <w:rsid w:val="749F1AE5"/>
    <w:rsid w:val="74B75416"/>
    <w:rsid w:val="74D6302D"/>
    <w:rsid w:val="74F636CF"/>
    <w:rsid w:val="74FA6D1C"/>
    <w:rsid w:val="750C3049"/>
    <w:rsid w:val="751050E8"/>
    <w:rsid w:val="75151DA7"/>
    <w:rsid w:val="75422471"/>
    <w:rsid w:val="75575F1C"/>
    <w:rsid w:val="7568637B"/>
    <w:rsid w:val="75DC28C5"/>
    <w:rsid w:val="76326989"/>
    <w:rsid w:val="7657019E"/>
    <w:rsid w:val="766905FD"/>
    <w:rsid w:val="766C1E9B"/>
    <w:rsid w:val="766C3C49"/>
    <w:rsid w:val="768865A9"/>
    <w:rsid w:val="768C6099"/>
    <w:rsid w:val="76A96C4B"/>
    <w:rsid w:val="76BD26F7"/>
    <w:rsid w:val="76E47C83"/>
    <w:rsid w:val="773D3837"/>
    <w:rsid w:val="774626EC"/>
    <w:rsid w:val="77736FF8"/>
    <w:rsid w:val="778E7BEF"/>
    <w:rsid w:val="779C67B0"/>
    <w:rsid w:val="779D7E32"/>
    <w:rsid w:val="77D01FB6"/>
    <w:rsid w:val="77F9150C"/>
    <w:rsid w:val="780103C1"/>
    <w:rsid w:val="780879A1"/>
    <w:rsid w:val="781520BE"/>
    <w:rsid w:val="782567A5"/>
    <w:rsid w:val="784576F8"/>
    <w:rsid w:val="78564BB1"/>
    <w:rsid w:val="785901FD"/>
    <w:rsid w:val="78767A5E"/>
    <w:rsid w:val="787B63C5"/>
    <w:rsid w:val="788F3C1F"/>
    <w:rsid w:val="78917997"/>
    <w:rsid w:val="78B35B5F"/>
    <w:rsid w:val="78E0447A"/>
    <w:rsid w:val="78E75809"/>
    <w:rsid w:val="78F61EF0"/>
    <w:rsid w:val="79004B1D"/>
    <w:rsid w:val="79030169"/>
    <w:rsid w:val="79095F2D"/>
    <w:rsid w:val="79515378"/>
    <w:rsid w:val="798017B9"/>
    <w:rsid w:val="79960562"/>
    <w:rsid w:val="79B3393D"/>
    <w:rsid w:val="79BC54A3"/>
    <w:rsid w:val="79FA5A10"/>
    <w:rsid w:val="7A1C14E2"/>
    <w:rsid w:val="7A2307C6"/>
    <w:rsid w:val="7A54626B"/>
    <w:rsid w:val="7AA00365"/>
    <w:rsid w:val="7AA240DD"/>
    <w:rsid w:val="7ABB6F4D"/>
    <w:rsid w:val="7AD85D51"/>
    <w:rsid w:val="7AE83ABA"/>
    <w:rsid w:val="7AFB1A3F"/>
    <w:rsid w:val="7B607AF4"/>
    <w:rsid w:val="7B705F89"/>
    <w:rsid w:val="7B821819"/>
    <w:rsid w:val="7BA23C69"/>
    <w:rsid w:val="7BAC2D3A"/>
    <w:rsid w:val="7BC10593"/>
    <w:rsid w:val="7BDF4EBD"/>
    <w:rsid w:val="7BF02C60"/>
    <w:rsid w:val="7C050DEC"/>
    <w:rsid w:val="7C411B8B"/>
    <w:rsid w:val="7C8B294F"/>
    <w:rsid w:val="7C8D66C7"/>
    <w:rsid w:val="7C923CDE"/>
    <w:rsid w:val="7CAF663E"/>
    <w:rsid w:val="7CE54755"/>
    <w:rsid w:val="7D0050EB"/>
    <w:rsid w:val="7D1868D9"/>
    <w:rsid w:val="7D39684F"/>
    <w:rsid w:val="7D586CD5"/>
    <w:rsid w:val="7D6C452F"/>
    <w:rsid w:val="7D6E64F9"/>
    <w:rsid w:val="7D7D498E"/>
    <w:rsid w:val="7D8F021D"/>
    <w:rsid w:val="7D9341B1"/>
    <w:rsid w:val="7DA0242A"/>
    <w:rsid w:val="7DBF6D54"/>
    <w:rsid w:val="7DDA593C"/>
    <w:rsid w:val="7DE642E1"/>
    <w:rsid w:val="7DFD76C5"/>
    <w:rsid w:val="7DFF53A3"/>
    <w:rsid w:val="7E062BD5"/>
    <w:rsid w:val="7E1A3F8B"/>
    <w:rsid w:val="7E413C0D"/>
    <w:rsid w:val="7E5356EF"/>
    <w:rsid w:val="7E816BC7"/>
    <w:rsid w:val="7E9C0E44"/>
    <w:rsid w:val="7E9E4BBC"/>
    <w:rsid w:val="7E9F26E2"/>
    <w:rsid w:val="7ECA59B1"/>
    <w:rsid w:val="7EED78F1"/>
    <w:rsid w:val="7F052E8D"/>
    <w:rsid w:val="7F0D7F93"/>
    <w:rsid w:val="7F1C1F84"/>
    <w:rsid w:val="7F587460"/>
    <w:rsid w:val="7F6776A3"/>
    <w:rsid w:val="7F6C2EA6"/>
    <w:rsid w:val="7F7818B1"/>
    <w:rsid w:val="7F8B6823"/>
    <w:rsid w:val="7FD52A46"/>
    <w:rsid w:val="7FD558D4"/>
    <w:rsid w:val="7FEC7BA9"/>
    <w:rsid w:val="7FFB29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link w:val="64"/>
    <w:qFormat/>
    <w:uiPriority w:val="0"/>
    <w:pPr>
      <w:spacing w:before="340" w:after="330" w:line="360" w:lineRule="auto"/>
      <w:jc w:val="center"/>
      <w:outlineLvl w:val="0"/>
    </w:pPr>
    <w:rPr>
      <w:rFonts w:eastAsia="黑体"/>
      <w:kern w:val="44"/>
      <w:szCs w:val="44"/>
    </w:rPr>
  </w:style>
  <w:style w:type="paragraph" w:styleId="7">
    <w:name w:val="heading 2"/>
    <w:basedOn w:val="5"/>
    <w:next w:val="6"/>
    <w:link w:val="79"/>
    <w:qFormat/>
    <w:uiPriority w:val="0"/>
    <w:pPr>
      <w:adjustRightInd w:val="0"/>
      <w:jc w:val="center"/>
      <w:textAlignment w:val="baseline"/>
      <w:outlineLvl w:val="1"/>
    </w:pPr>
    <w:rPr>
      <w:kern w:val="0"/>
      <w:sz w:val="24"/>
      <w:szCs w:val="20"/>
    </w:rPr>
  </w:style>
  <w:style w:type="paragraph" w:styleId="5">
    <w:name w:val="heading 3"/>
    <w:basedOn w:val="6"/>
    <w:next w:val="1"/>
    <w:link w:val="63"/>
    <w:qFormat/>
    <w:uiPriority w:val="9"/>
    <w:pPr>
      <w:spacing w:before="260" w:after="260" w:line="240" w:lineRule="auto"/>
      <w:outlineLvl w:val="2"/>
    </w:pPr>
    <w:rPr>
      <w:rFonts w:ascii="宋体" w:hAnsi="宋体" w:eastAsia="宋体"/>
      <w:szCs w:val="32"/>
    </w:rPr>
  </w:style>
  <w:style w:type="paragraph" w:styleId="6">
    <w:name w:val="heading 4"/>
    <w:basedOn w:val="1"/>
    <w:next w:val="1"/>
    <w:link w:val="61"/>
    <w:qFormat/>
    <w:uiPriority w:val="9"/>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88"/>
    <w:qFormat/>
    <w:uiPriority w:val="0"/>
    <w:pPr>
      <w:keepNext/>
      <w:keepLines/>
      <w:spacing w:before="280" w:after="290" w:line="376" w:lineRule="auto"/>
      <w:outlineLvl w:val="4"/>
    </w:pPr>
    <w:rPr>
      <w:b/>
      <w:sz w:val="28"/>
      <w:szCs w:val="20"/>
    </w:rPr>
  </w:style>
  <w:style w:type="paragraph" w:styleId="10">
    <w:name w:val="heading 6"/>
    <w:basedOn w:val="1"/>
    <w:next w:val="9"/>
    <w:link w:val="91"/>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9"/>
    <w:link w:val="92"/>
    <w:qFormat/>
    <w:uiPriority w:val="0"/>
    <w:pPr>
      <w:keepNext/>
      <w:keepLines/>
      <w:spacing w:before="240" w:after="64" w:line="320" w:lineRule="auto"/>
      <w:outlineLvl w:val="6"/>
    </w:pPr>
    <w:rPr>
      <w:b/>
      <w:sz w:val="24"/>
      <w:szCs w:val="20"/>
    </w:rPr>
  </w:style>
  <w:style w:type="paragraph" w:styleId="12">
    <w:name w:val="heading 8"/>
    <w:basedOn w:val="1"/>
    <w:next w:val="9"/>
    <w:link w:val="93"/>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9"/>
    <w:link w:val="94"/>
    <w:qFormat/>
    <w:uiPriority w:val="0"/>
    <w:pPr>
      <w:keepNext/>
      <w:keepLines/>
      <w:spacing w:before="240" w:after="64" w:line="320" w:lineRule="auto"/>
      <w:outlineLvl w:val="8"/>
    </w:pPr>
    <w:rPr>
      <w:rFonts w:ascii="Arial" w:hAnsi="Arial" w:eastAsia="黑体"/>
      <w:szCs w:val="20"/>
    </w:rPr>
  </w:style>
  <w:style w:type="character" w:default="1" w:styleId="45">
    <w:name w:val="Default Paragraph Font"/>
    <w:semiHidden/>
    <w:unhideWhenUsed/>
    <w:qFormat/>
    <w:uiPriority w:val="1"/>
  </w:style>
  <w:style w:type="table" w:default="1" w:styleId="4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link w:val="100"/>
    <w:qFormat/>
    <w:uiPriority w:val="0"/>
    <w:pPr>
      <w:spacing w:line="360" w:lineRule="auto"/>
    </w:pPr>
    <w:rPr>
      <w:b/>
      <w:bCs/>
      <w:sz w:val="24"/>
    </w:rPr>
  </w:style>
  <w:style w:type="paragraph" w:styleId="3">
    <w:name w:val="Body Text 2"/>
    <w:basedOn w:val="1"/>
    <w:link w:val="104"/>
    <w:qFormat/>
    <w:uiPriority w:val="0"/>
    <w:pPr>
      <w:spacing w:line="360" w:lineRule="auto"/>
    </w:pPr>
    <w:rPr>
      <w:sz w:val="24"/>
    </w:rPr>
  </w:style>
  <w:style w:type="paragraph" w:styleId="9">
    <w:name w:val="Normal Indent"/>
    <w:basedOn w:val="1"/>
    <w:link w:val="65"/>
    <w:qFormat/>
    <w:uiPriority w:val="0"/>
    <w:pPr>
      <w:ind w:firstLine="420"/>
    </w:pPr>
    <w:rPr>
      <w:szCs w:val="20"/>
    </w:rPr>
  </w:style>
  <w:style w:type="paragraph" w:styleId="14">
    <w:name w:val="toc 7"/>
    <w:basedOn w:val="1"/>
    <w:next w:val="1"/>
    <w:semiHidden/>
    <w:qFormat/>
    <w:uiPriority w:val="0"/>
    <w:pPr>
      <w:ind w:left="1260"/>
      <w:jc w:val="left"/>
    </w:pPr>
    <w:rPr>
      <w:szCs w:val="21"/>
    </w:rPr>
  </w:style>
  <w:style w:type="paragraph" w:styleId="15">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6">
    <w:name w:val="List Bullet"/>
    <w:basedOn w:val="1"/>
    <w:qFormat/>
    <w:uiPriority w:val="0"/>
    <w:pPr>
      <w:numPr>
        <w:ilvl w:val="0"/>
        <w:numId w:val="1"/>
      </w:numPr>
    </w:pPr>
    <w:rPr>
      <w:szCs w:val="20"/>
    </w:rPr>
  </w:style>
  <w:style w:type="paragraph" w:styleId="17">
    <w:name w:val="Document Map"/>
    <w:basedOn w:val="1"/>
    <w:semiHidden/>
    <w:qFormat/>
    <w:uiPriority w:val="0"/>
    <w:pPr>
      <w:shd w:val="clear" w:color="auto" w:fill="000080"/>
    </w:pPr>
  </w:style>
  <w:style w:type="paragraph" w:styleId="18">
    <w:name w:val="annotation text"/>
    <w:basedOn w:val="1"/>
    <w:link w:val="192"/>
    <w:qFormat/>
    <w:uiPriority w:val="99"/>
    <w:pPr>
      <w:autoSpaceDE w:val="0"/>
      <w:autoSpaceDN w:val="0"/>
      <w:adjustRightInd w:val="0"/>
      <w:jc w:val="left"/>
      <w:textAlignment w:val="baseline"/>
    </w:pPr>
    <w:rPr>
      <w:rFonts w:ascii="宋体"/>
      <w:kern w:val="0"/>
      <w:sz w:val="34"/>
      <w:szCs w:val="20"/>
    </w:rPr>
  </w:style>
  <w:style w:type="paragraph" w:styleId="19">
    <w:name w:val="Body Text 3"/>
    <w:basedOn w:val="1"/>
    <w:link w:val="106"/>
    <w:qFormat/>
    <w:uiPriority w:val="0"/>
    <w:pPr>
      <w:spacing w:after="120"/>
    </w:pPr>
    <w:rPr>
      <w:sz w:val="16"/>
      <w:szCs w:val="16"/>
    </w:rPr>
  </w:style>
  <w:style w:type="paragraph" w:styleId="20">
    <w:name w:val="Body Text Indent"/>
    <w:basedOn w:val="1"/>
    <w:link w:val="87"/>
    <w:qFormat/>
    <w:uiPriority w:val="0"/>
    <w:pPr>
      <w:spacing w:line="360" w:lineRule="auto"/>
      <w:ind w:firstLine="420" w:firstLineChars="200"/>
    </w:pPr>
  </w:style>
  <w:style w:type="paragraph" w:styleId="21">
    <w:name w:val="toc 5"/>
    <w:basedOn w:val="1"/>
    <w:next w:val="1"/>
    <w:semiHidden/>
    <w:qFormat/>
    <w:uiPriority w:val="0"/>
    <w:pPr>
      <w:ind w:left="840"/>
      <w:jc w:val="left"/>
    </w:pPr>
    <w:rPr>
      <w:szCs w:val="21"/>
    </w:rPr>
  </w:style>
  <w:style w:type="paragraph" w:styleId="22">
    <w:name w:val="toc 3"/>
    <w:basedOn w:val="1"/>
    <w:next w:val="1"/>
    <w:semiHidden/>
    <w:qFormat/>
    <w:uiPriority w:val="0"/>
    <w:pPr>
      <w:ind w:left="420"/>
      <w:jc w:val="left"/>
    </w:pPr>
    <w:rPr>
      <w:i/>
      <w:iCs/>
    </w:rPr>
  </w:style>
  <w:style w:type="paragraph" w:styleId="23">
    <w:name w:val="Plain Text"/>
    <w:basedOn w:val="1"/>
    <w:link w:val="98"/>
    <w:qFormat/>
    <w:uiPriority w:val="0"/>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96"/>
    <w:qFormat/>
    <w:uiPriority w:val="0"/>
    <w:rPr>
      <w:rFonts w:ascii="宋体" w:hAnsi="Courier New"/>
      <w:sz w:val="32"/>
      <w:szCs w:val="20"/>
    </w:rPr>
  </w:style>
  <w:style w:type="paragraph" w:styleId="26">
    <w:name w:val="Body Text Indent 2"/>
    <w:basedOn w:val="1"/>
    <w:link w:val="101"/>
    <w:qFormat/>
    <w:uiPriority w:val="0"/>
    <w:pPr>
      <w:spacing w:beforeLines="50" w:afterLines="50" w:line="120" w:lineRule="auto"/>
      <w:ind w:firstLine="840" w:firstLineChars="400"/>
      <w:jc w:val="left"/>
    </w:pPr>
    <w:rPr>
      <w:rFonts w:ascii="宋体" w:hAnsi="宋体"/>
    </w:rPr>
  </w:style>
  <w:style w:type="paragraph" w:styleId="27">
    <w:name w:val="endnote text"/>
    <w:basedOn w:val="1"/>
    <w:qFormat/>
    <w:uiPriority w:val="0"/>
    <w:pPr>
      <w:snapToGrid w:val="0"/>
      <w:jc w:val="left"/>
    </w:pPr>
    <w:rPr>
      <w:rFonts w:ascii="宋体" w:hAnsi="宋体"/>
      <w:kern w:val="0"/>
      <w:sz w:val="28"/>
    </w:rPr>
  </w:style>
  <w:style w:type="paragraph" w:styleId="28">
    <w:name w:val="Balloon Text"/>
    <w:basedOn w:val="1"/>
    <w:link w:val="107"/>
    <w:semiHidden/>
    <w:qFormat/>
    <w:uiPriority w:val="99"/>
    <w:rPr>
      <w:sz w:val="18"/>
      <w:szCs w:val="18"/>
    </w:rPr>
  </w:style>
  <w:style w:type="paragraph" w:styleId="29">
    <w:name w:val="footer"/>
    <w:basedOn w:val="1"/>
    <w:link w:val="105"/>
    <w:qFormat/>
    <w:uiPriority w:val="0"/>
    <w:pPr>
      <w:tabs>
        <w:tab w:val="center" w:pos="4153"/>
        <w:tab w:val="right" w:pos="8306"/>
      </w:tabs>
      <w:snapToGrid w:val="0"/>
      <w:jc w:val="left"/>
    </w:pPr>
    <w:rPr>
      <w:sz w:val="18"/>
      <w:szCs w:val="18"/>
    </w:rPr>
  </w:style>
  <w:style w:type="paragraph" w:styleId="30">
    <w:name w:val="header"/>
    <w:basedOn w:val="1"/>
    <w:link w:val="102"/>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semiHidden/>
    <w:qFormat/>
    <w:uiPriority w:val="0"/>
    <w:pPr>
      <w:spacing w:before="120" w:after="120"/>
      <w:jc w:val="left"/>
    </w:pPr>
    <w:rPr>
      <w:b/>
      <w:bCs/>
      <w:caps/>
    </w:rPr>
  </w:style>
  <w:style w:type="paragraph" w:styleId="32">
    <w:name w:val="toc 4"/>
    <w:basedOn w:val="1"/>
    <w:next w:val="1"/>
    <w:semiHidden/>
    <w:qFormat/>
    <w:uiPriority w:val="0"/>
    <w:pPr>
      <w:ind w:left="630"/>
      <w:jc w:val="left"/>
    </w:pPr>
    <w:rPr>
      <w:szCs w:val="21"/>
    </w:rPr>
  </w:style>
  <w:style w:type="paragraph" w:styleId="33">
    <w:name w:val="toc 6"/>
    <w:basedOn w:val="1"/>
    <w:next w:val="1"/>
    <w:semiHidden/>
    <w:qFormat/>
    <w:uiPriority w:val="0"/>
    <w:pPr>
      <w:ind w:left="1050"/>
      <w:jc w:val="left"/>
    </w:pPr>
    <w:rPr>
      <w:szCs w:val="21"/>
    </w:rPr>
  </w:style>
  <w:style w:type="paragraph" w:styleId="34">
    <w:name w:val="Body Text Indent 3"/>
    <w:basedOn w:val="1"/>
    <w:link w:val="103"/>
    <w:qFormat/>
    <w:uiPriority w:val="0"/>
    <w:pPr>
      <w:spacing w:line="360" w:lineRule="auto"/>
      <w:ind w:firstLine="482" w:firstLineChars="200"/>
    </w:pPr>
    <w:rPr>
      <w:rFonts w:ascii="宋体"/>
      <w:b/>
      <w:bCs/>
      <w:sz w:val="24"/>
    </w:rPr>
  </w:style>
  <w:style w:type="paragraph" w:styleId="35">
    <w:name w:val="toc 2"/>
    <w:basedOn w:val="1"/>
    <w:next w:val="1"/>
    <w:semiHidden/>
    <w:qFormat/>
    <w:uiPriority w:val="0"/>
    <w:pPr>
      <w:tabs>
        <w:tab w:val="right" w:leader="dot" w:pos="8296"/>
      </w:tabs>
      <w:ind w:left="210"/>
      <w:jc w:val="left"/>
    </w:pPr>
    <w:rPr>
      <w:smallCaps/>
    </w:rPr>
  </w:style>
  <w:style w:type="paragraph" w:styleId="36">
    <w:name w:val="toc 9"/>
    <w:basedOn w:val="1"/>
    <w:next w:val="1"/>
    <w:semiHidden/>
    <w:qFormat/>
    <w:uiPriority w:val="0"/>
    <w:pPr>
      <w:ind w:left="1680"/>
      <w:jc w:val="left"/>
    </w:pPr>
    <w:rPr>
      <w:szCs w:val="21"/>
    </w:rPr>
  </w:style>
  <w:style w:type="paragraph" w:styleId="37">
    <w:name w:val="HTML Preformatted"/>
    <w:basedOn w:val="1"/>
    <w:link w:val="9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8">
    <w:name w:val="Normal (Web)"/>
    <w:basedOn w:val="1"/>
    <w:link w:val="198"/>
    <w:qFormat/>
    <w:uiPriority w:val="99"/>
    <w:pPr>
      <w:spacing w:before="0" w:beforeAutospacing="1" w:after="0" w:afterAutospacing="1"/>
      <w:ind w:left="0" w:right="0"/>
      <w:jc w:val="left"/>
    </w:pPr>
    <w:rPr>
      <w:kern w:val="0"/>
      <w:sz w:val="24"/>
      <w:lang w:val="en-US" w:eastAsia="zh-CN" w:bidi="ar"/>
    </w:rPr>
  </w:style>
  <w:style w:type="paragraph" w:styleId="39">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0">
    <w:name w:val="Title"/>
    <w:basedOn w:val="1"/>
    <w:link w:val="95"/>
    <w:qFormat/>
    <w:uiPriority w:val="0"/>
    <w:pPr>
      <w:spacing w:before="240" w:after="60"/>
      <w:jc w:val="center"/>
      <w:outlineLvl w:val="0"/>
    </w:pPr>
    <w:rPr>
      <w:rFonts w:ascii="Arial" w:hAnsi="Arial" w:eastAsia="隶书" w:cs="Arial"/>
      <w:b/>
      <w:bCs/>
      <w:sz w:val="32"/>
      <w:szCs w:val="32"/>
    </w:rPr>
  </w:style>
  <w:style w:type="paragraph" w:styleId="41">
    <w:name w:val="annotation subject"/>
    <w:basedOn w:val="18"/>
    <w:next w:val="18"/>
    <w:link w:val="193"/>
    <w:qFormat/>
    <w:uiPriority w:val="99"/>
    <w:pPr>
      <w:autoSpaceDE/>
      <w:autoSpaceDN/>
      <w:adjustRightInd/>
      <w:textAlignment w:val="auto"/>
    </w:pPr>
    <w:rPr>
      <w:rFonts w:ascii="Times New Roman"/>
      <w:b/>
      <w:bCs/>
      <w:kern w:val="2"/>
      <w:sz w:val="21"/>
      <w:szCs w:val="24"/>
    </w:rPr>
  </w:style>
  <w:style w:type="paragraph" w:styleId="42">
    <w:name w:val="Body Text First Indent"/>
    <w:basedOn w:val="2"/>
    <w:link w:val="138"/>
    <w:qFormat/>
    <w:uiPriority w:val="0"/>
    <w:pPr>
      <w:spacing w:after="120" w:line="240" w:lineRule="auto"/>
      <w:ind w:firstLine="420" w:firstLineChars="100"/>
    </w:pPr>
    <w:rPr>
      <w:sz w:val="21"/>
    </w:rPr>
  </w:style>
  <w:style w:type="table" w:styleId="44">
    <w:name w:val="Table Grid"/>
    <w:basedOn w:val="43"/>
    <w:qFormat/>
    <w:uiPriority w:val="39"/>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basedOn w:val="45"/>
    <w:qFormat/>
    <w:uiPriority w:val="0"/>
  </w:style>
  <w:style w:type="character" w:styleId="50">
    <w:name w:val="HTML Definition"/>
    <w:basedOn w:val="45"/>
    <w:semiHidden/>
    <w:unhideWhenUsed/>
    <w:qFormat/>
    <w:uiPriority w:val="0"/>
  </w:style>
  <w:style w:type="character" w:styleId="51">
    <w:name w:val="HTML Typewriter"/>
    <w:basedOn w:val="45"/>
    <w:semiHidden/>
    <w:unhideWhenUsed/>
    <w:qFormat/>
    <w:uiPriority w:val="0"/>
    <w:rPr>
      <w:rFonts w:hint="default" w:ascii="monospace" w:hAnsi="monospace" w:eastAsia="monospace" w:cs="monospace"/>
      <w:sz w:val="20"/>
    </w:rPr>
  </w:style>
  <w:style w:type="character" w:styleId="52">
    <w:name w:val="HTML Acronym"/>
    <w:basedOn w:val="45"/>
    <w:semiHidden/>
    <w:unhideWhenUsed/>
    <w:qFormat/>
    <w:uiPriority w:val="0"/>
  </w:style>
  <w:style w:type="character" w:styleId="53">
    <w:name w:val="HTML Variable"/>
    <w:basedOn w:val="45"/>
    <w:semiHidden/>
    <w:unhideWhenUsed/>
    <w:qFormat/>
    <w:uiPriority w:val="0"/>
  </w:style>
  <w:style w:type="character" w:styleId="54">
    <w:name w:val="Hyperlink"/>
    <w:qFormat/>
    <w:uiPriority w:val="0"/>
    <w:rPr>
      <w:color w:val="0000FF"/>
      <w:u w:val="single"/>
    </w:rPr>
  </w:style>
  <w:style w:type="character" w:styleId="55">
    <w:name w:val="HTML Code"/>
    <w:basedOn w:val="45"/>
    <w:semiHidden/>
    <w:unhideWhenUsed/>
    <w:qFormat/>
    <w:uiPriority w:val="0"/>
    <w:rPr>
      <w:rFonts w:hint="default" w:ascii="monospace" w:hAnsi="monospace" w:eastAsia="monospace" w:cs="monospace"/>
      <w:sz w:val="20"/>
    </w:rPr>
  </w:style>
  <w:style w:type="character" w:styleId="56">
    <w:name w:val="annotation reference"/>
    <w:basedOn w:val="45"/>
    <w:qFormat/>
    <w:uiPriority w:val="99"/>
    <w:rPr>
      <w:sz w:val="21"/>
      <w:szCs w:val="21"/>
    </w:rPr>
  </w:style>
  <w:style w:type="character" w:styleId="57">
    <w:name w:val="HTML Cite"/>
    <w:basedOn w:val="45"/>
    <w:semiHidden/>
    <w:unhideWhenUsed/>
    <w:qFormat/>
    <w:uiPriority w:val="0"/>
  </w:style>
  <w:style w:type="character" w:styleId="58">
    <w:name w:val="HTML Keyboard"/>
    <w:basedOn w:val="45"/>
    <w:semiHidden/>
    <w:unhideWhenUsed/>
    <w:qFormat/>
    <w:uiPriority w:val="0"/>
    <w:rPr>
      <w:rFonts w:hint="default" w:ascii="monospace" w:hAnsi="monospace" w:eastAsia="monospace" w:cs="monospace"/>
      <w:sz w:val="20"/>
    </w:rPr>
  </w:style>
  <w:style w:type="character" w:styleId="59">
    <w:name w:val="HTML Sample"/>
    <w:basedOn w:val="45"/>
    <w:semiHidden/>
    <w:unhideWhenUsed/>
    <w:qFormat/>
    <w:uiPriority w:val="0"/>
    <w:rPr>
      <w:rFonts w:ascii="monospace" w:hAnsi="monospace" w:eastAsia="monospace" w:cs="monospace"/>
    </w:rPr>
  </w:style>
  <w:style w:type="paragraph" w:styleId="60">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61">
    <w:name w:val="标题 4 Char"/>
    <w:link w:val="6"/>
    <w:qFormat/>
    <w:uiPriority w:val="9"/>
    <w:rPr>
      <w:rFonts w:ascii="Arial" w:hAnsi="Arial" w:eastAsia="黑体"/>
      <w:b/>
      <w:bCs/>
      <w:kern w:val="2"/>
      <w:sz w:val="28"/>
      <w:szCs w:val="28"/>
      <w:lang w:val="en-US" w:eastAsia="zh-CN" w:bidi="ar-SA"/>
    </w:rPr>
  </w:style>
  <w:style w:type="paragraph" w:customStyle="1" w:styleId="62">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63">
    <w:name w:val="标题 3 Char1"/>
    <w:link w:val="5"/>
    <w:qFormat/>
    <w:uiPriority w:val="9"/>
    <w:rPr>
      <w:rFonts w:ascii="宋体" w:hAnsi="宋体" w:eastAsia="宋体"/>
      <w:b/>
      <w:bCs/>
      <w:kern w:val="2"/>
      <w:sz w:val="28"/>
      <w:szCs w:val="32"/>
      <w:lang w:val="en-US" w:eastAsia="zh-CN" w:bidi="ar-SA"/>
    </w:rPr>
  </w:style>
  <w:style w:type="character" w:customStyle="1" w:styleId="64">
    <w:name w:val="标题 1 Char"/>
    <w:link w:val="4"/>
    <w:qFormat/>
    <w:uiPriority w:val="0"/>
    <w:rPr>
      <w:rFonts w:ascii="宋体" w:hAnsi="宋体" w:eastAsia="黑体"/>
      <w:b/>
      <w:bCs/>
      <w:kern w:val="44"/>
      <w:sz w:val="28"/>
      <w:szCs w:val="44"/>
      <w:lang w:val="en-US" w:eastAsia="zh-CN" w:bidi="ar-SA"/>
    </w:rPr>
  </w:style>
  <w:style w:type="character" w:customStyle="1" w:styleId="65">
    <w:name w:val="正文缩进 Char"/>
    <w:link w:val="9"/>
    <w:qFormat/>
    <w:uiPriority w:val="0"/>
    <w:rPr>
      <w:rFonts w:eastAsia="宋体"/>
      <w:kern w:val="2"/>
      <w:sz w:val="21"/>
      <w:lang w:val="en-US" w:eastAsia="zh-CN" w:bidi="ar-SA"/>
    </w:rPr>
  </w:style>
  <w:style w:type="character" w:customStyle="1" w:styleId="66">
    <w:name w:val="标题 3 Char"/>
    <w:qFormat/>
    <w:uiPriority w:val="0"/>
    <w:rPr>
      <w:rFonts w:ascii="黑体" w:eastAsia="黑体"/>
      <w:bCs/>
      <w:sz w:val="30"/>
    </w:rPr>
  </w:style>
  <w:style w:type="paragraph" w:customStyle="1" w:styleId="67">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8">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9">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70">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1">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2">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74">
    <w:name w:val="自定义正文"/>
    <w:basedOn w:val="1"/>
    <w:qFormat/>
    <w:uiPriority w:val="0"/>
    <w:pPr>
      <w:spacing w:afterLines="50"/>
      <w:ind w:left="600" w:leftChars="600"/>
    </w:pPr>
  </w:style>
  <w:style w:type="paragraph" w:customStyle="1" w:styleId="75">
    <w:name w:val="Char Char Char Char Char"/>
    <w:basedOn w:val="1"/>
    <w:qFormat/>
    <w:uiPriority w:val="0"/>
    <w:rPr>
      <w:rFonts w:ascii="Tahoma" w:hAnsi="Tahoma"/>
      <w:sz w:val="24"/>
      <w:szCs w:val="20"/>
    </w:rPr>
  </w:style>
  <w:style w:type="paragraph" w:customStyle="1" w:styleId="76">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7">
    <w:name w:val="Char Char"/>
    <w:basedOn w:val="1"/>
    <w:qFormat/>
    <w:uiPriority w:val="0"/>
    <w:rPr>
      <w:rFonts w:ascii="Tahoma" w:hAnsi="Tahoma"/>
      <w:sz w:val="24"/>
      <w:szCs w:val="20"/>
    </w:rPr>
  </w:style>
  <w:style w:type="paragraph" w:customStyle="1" w:styleId="78">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9">
    <w:name w:val="标题 2 Char"/>
    <w:link w:val="7"/>
    <w:qFormat/>
    <w:uiPriority w:val="0"/>
    <w:rPr>
      <w:rFonts w:ascii="宋体" w:hAnsi="宋体" w:eastAsia="宋体"/>
      <w:b/>
      <w:bCs/>
      <w:sz w:val="24"/>
      <w:lang w:val="en-US" w:eastAsia="zh-CN" w:bidi="ar-SA"/>
    </w:rPr>
  </w:style>
  <w:style w:type="paragraph" w:customStyle="1" w:styleId="8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81">
    <w:name w:val="List Paragraph"/>
    <w:basedOn w:val="1"/>
    <w:qFormat/>
    <w:uiPriority w:val="34"/>
    <w:pPr>
      <w:ind w:firstLine="420" w:firstLineChars="200"/>
    </w:pPr>
    <w:rPr>
      <w:rFonts w:ascii="Calibri" w:hAnsi="Calibri"/>
      <w:szCs w:val="22"/>
    </w:rPr>
  </w:style>
  <w:style w:type="paragraph" w:customStyle="1" w:styleId="82">
    <w:name w:val="USE 1"/>
    <w:basedOn w:val="1"/>
    <w:qFormat/>
    <w:uiPriority w:val="0"/>
    <w:pPr>
      <w:spacing w:line="200" w:lineRule="atLeast"/>
      <w:jc w:val="left"/>
    </w:pPr>
    <w:rPr>
      <w:rFonts w:ascii="宋体" w:hAnsi="宋体"/>
      <w:b/>
      <w:sz w:val="24"/>
      <w:szCs w:val="28"/>
    </w:rPr>
  </w:style>
  <w:style w:type="paragraph" w:customStyle="1" w:styleId="83">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84">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85">
    <w:name w:val="样式 标题 2 + 段前: 13 磅 段后: 13 磅 行距: 单倍行距"/>
    <w:basedOn w:val="7"/>
    <w:qFormat/>
    <w:uiPriority w:val="0"/>
    <w:pPr>
      <w:adjustRightInd/>
      <w:jc w:val="both"/>
      <w:textAlignment w:val="auto"/>
    </w:pPr>
    <w:rPr>
      <w:rFonts w:ascii="Cambria" w:hAnsi="Cambria" w:cs="宋体"/>
      <w:kern w:val="2"/>
      <w:sz w:val="32"/>
    </w:rPr>
  </w:style>
  <w:style w:type="character" w:customStyle="1" w:styleId="86">
    <w:name w:val="H4 Char2"/>
    <w:qFormat/>
    <w:uiPriority w:val="0"/>
    <w:rPr>
      <w:rFonts w:ascii="Arial" w:hAnsi="Arial" w:eastAsia="黑体"/>
      <w:b/>
      <w:bCs/>
      <w:kern w:val="2"/>
      <w:sz w:val="28"/>
      <w:szCs w:val="28"/>
      <w:lang w:val="en-US" w:eastAsia="zh-CN" w:bidi="ar-SA"/>
    </w:rPr>
  </w:style>
  <w:style w:type="character" w:customStyle="1" w:styleId="87">
    <w:name w:val="正文文本缩进 Char"/>
    <w:link w:val="20"/>
    <w:qFormat/>
    <w:uiPriority w:val="0"/>
    <w:rPr>
      <w:rFonts w:eastAsia="宋体"/>
      <w:kern w:val="2"/>
      <w:sz w:val="21"/>
      <w:szCs w:val="24"/>
      <w:lang w:val="en-US" w:eastAsia="zh-CN" w:bidi="ar-SA"/>
    </w:rPr>
  </w:style>
  <w:style w:type="character" w:customStyle="1" w:styleId="88">
    <w:name w:val="标题 5 Char"/>
    <w:link w:val="8"/>
    <w:qFormat/>
    <w:uiPriority w:val="0"/>
    <w:rPr>
      <w:rFonts w:eastAsia="宋体"/>
      <w:b/>
      <w:kern w:val="2"/>
      <w:sz w:val="28"/>
      <w:lang w:val="en-US" w:eastAsia="zh-CN" w:bidi="ar-SA"/>
    </w:rPr>
  </w:style>
  <w:style w:type="character" w:customStyle="1" w:styleId="89">
    <w:name w:val="第*章 Char"/>
    <w:qFormat/>
    <w:uiPriority w:val="0"/>
    <w:rPr>
      <w:rFonts w:ascii="Arial" w:hAnsi="Arial" w:eastAsia="黑体"/>
      <w:b/>
      <w:bCs/>
      <w:kern w:val="2"/>
      <w:sz w:val="32"/>
      <w:szCs w:val="32"/>
    </w:rPr>
  </w:style>
  <w:style w:type="character" w:customStyle="1" w:styleId="90">
    <w:name w:val="章标题1 Char"/>
    <w:qFormat/>
    <w:uiPriority w:val="0"/>
    <w:rPr>
      <w:rFonts w:eastAsia="宋体"/>
      <w:b/>
      <w:bCs/>
      <w:kern w:val="2"/>
      <w:sz w:val="32"/>
      <w:szCs w:val="32"/>
      <w:lang w:val="en-US" w:eastAsia="zh-CN" w:bidi="ar-SA"/>
    </w:rPr>
  </w:style>
  <w:style w:type="character" w:customStyle="1" w:styleId="91">
    <w:name w:val="标题 6 Char"/>
    <w:link w:val="10"/>
    <w:qFormat/>
    <w:uiPriority w:val="0"/>
    <w:rPr>
      <w:rFonts w:ascii="Arial" w:hAnsi="Arial" w:eastAsia="黑体"/>
      <w:b/>
      <w:kern w:val="2"/>
      <w:sz w:val="24"/>
      <w:lang w:val="en-US" w:eastAsia="zh-CN" w:bidi="ar-SA"/>
    </w:rPr>
  </w:style>
  <w:style w:type="character" w:customStyle="1" w:styleId="92">
    <w:name w:val="标题 7 Char"/>
    <w:link w:val="11"/>
    <w:qFormat/>
    <w:uiPriority w:val="0"/>
    <w:rPr>
      <w:rFonts w:eastAsia="宋体"/>
      <w:b/>
      <w:kern w:val="2"/>
      <w:sz w:val="24"/>
      <w:lang w:val="en-US" w:eastAsia="zh-CN" w:bidi="ar-SA"/>
    </w:rPr>
  </w:style>
  <w:style w:type="character" w:customStyle="1" w:styleId="93">
    <w:name w:val="标题 8 Char"/>
    <w:link w:val="12"/>
    <w:qFormat/>
    <w:uiPriority w:val="0"/>
    <w:rPr>
      <w:rFonts w:ascii="Arial" w:hAnsi="Arial" w:eastAsia="黑体"/>
      <w:kern w:val="2"/>
      <w:sz w:val="24"/>
      <w:lang w:val="en-US" w:eastAsia="zh-CN" w:bidi="ar-SA"/>
    </w:rPr>
  </w:style>
  <w:style w:type="character" w:customStyle="1" w:styleId="94">
    <w:name w:val="标题 9 Char"/>
    <w:link w:val="13"/>
    <w:qFormat/>
    <w:uiPriority w:val="0"/>
    <w:rPr>
      <w:rFonts w:ascii="Arial" w:hAnsi="Arial" w:eastAsia="黑体"/>
      <w:kern w:val="2"/>
      <w:sz w:val="21"/>
      <w:lang w:val="en-US" w:eastAsia="zh-CN" w:bidi="ar-SA"/>
    </w:rPr>
  </w:style>
  <w:style w:type="character" w:customStyle="1" w:styleId="95">
    <w:name w:val="标题 Char"/>
    <w:link w:val="40"/>
    <w:qFormat/>
    <w:uiPriority w:val="0"/>
    <w:rPr>
      <w:rFonts w:ascii="Arial" w:hAnsi="Arial" w:eastAsia="隶书" w:cs="Arial"/>
      <w:b/>
      <w:bCs/>
      <w:kern w:val="2"/>
      <w:sz w:val="32"/>
      <w:szCs w:val="32"/>
      <w:lang w:val="en-US" w:eastAsia="zh-CN" w:bidi="ar-SA"/>
    </w:rPr>
  </w:style>
  <w:style w:type="character" w:customStyle="1" w:styleId="96">
    <w:name w:val="日期 Char"/>
    <w:link w:val="25"/>
    <w:qFormat/>
    <w:uiPriority w:val="0"/>
    <w:rPr>
      <w:rFonts w:ascii="宋体" w:hAnsi="Courier New" w:eastAsia="宋体"/>
      <w:kern w:val="2"/>
      <w:sz w:val="32"/>
      <w:lang w:val="en-US" w:eastAsia="zh-CN" w:bidi="ar-SA"/>
    </w:rPr>
  </w:style>
  <w:style w:type="character" w:customStyle="1" w:styleId="97">
    <w:name w:val="HTML 预设格式 Char"/>
    <w:link w:val="37"/>
    <w:qFormat/>
    <w:uiPriority w:val="0"/>
    <w:rPr>
      <w:rFonts w:ascii="Arial Unicode MS" w:hAnsi="Arial Unicode MS" w:eastAsia="Arial Unicode MS"/>
      <w:color w:val="000000"/>
      <w:lang w:val="en-US" w:eastAsia="zh-CN" w:bidi="ar-SA"/>
    </w:rPr>
  </w:style>
  <w:style w:type="character" w:customStyle="1" w:styleId="98">
    <w:name w:val="纯文本 Char"/>
    <w:link w:val="23"/>
    <w:qFormat/>
    <w:uiPriority w:val="0"/>
    <w:rPr>
      <w:rFonts w:ascii="宋体" w:hAnsi="Courier New" w:eastAsia="宋体"/>
      <w:kern w:val="2"/>
      <w:sz w:val="21"/>
      <w:lang w:val="en-US" w:eastAsia="zh-CN" w:bidi="ar-SA"/>
    </w:rPr>
  </w:style>
  <w:style w:type="character" w:customStyle="1" w:styleId="99">
    <w:name w:val="正文文字首行缩进 Char"/>
    <w:qFormat/>
    <w:uiPriority w:val="0"/>
    <w:rPr>
      <w:kern w:val="2"/>
      <w:sz w:val="21"/>
      <w:szCs w:val="24"/>
    </w:rPr>
  </w:style>
  <w:style w:type="character" w:customStyle="1" w:styleId="100">
    <w:name w:val="正文文本 Char"/>
    <w:link w:val="2"/>
    <w:qFormat/>
    <w:uiPriority w:val="0"/>
    <w:rPr>
      <w:rFonts w:eastAsia="宋体"/>
      <w:b/>
      <w:bCs/>
      <w:kern w:val="2"/>
      <w:sz w:val="24"/>
      <w:szCs w:val="24"/>
      <w:lang w:val="en-US" w:eastAsia="zh-CN" w:bidi="ar-SA"/>
    </w:rPr>
  </w:style>
  <w:style w:type="character" w:customStyle="1" w:styleId="101">
    <w:name w:val="正文文本缩进 2 Char"/>
    <w:link w:val="26"/>
    <w:qFormat/>
    <w:uiPriority w:val="0"/>
    <w:rPr>
      <w:rFonts w:ascii="宋体" w:hAnsi="宋体" w:eastAsia="宋体"/>
      <w:kern w:val="2"/>
      <w:sz w:val="21"/>
      <w:szCs w:val="24"/>
      <w:lang w:val="en-US" w:eastAsia="zh-CN" w:bidi="ar-SA"/>
    </w:rPr>
  </w:style>
  <w:style w:type="character" w:customStyle="1" w:styleId="102">
    <w:name w:val="页眉 Char"/>
    <w:link w:val="30"/>
    <w:qFormat/>
    <w:uiPriority w:val="99"/>
    <w:rPr>
      <w:rFonts w:eastAsia="宋体"/>
      <w:kern w:val="2"/>
      <w:sz w:val="18"/>
      <w:szCs w:val="18"/>
      <w:lang w:val="en-US" w:eastAsia="zh-CN" w:bidi="ar-SA"/>
    </w:rPr>
  </w:style>
  <w:style w:type="character" w:customStyle="1" w:styleId="103">
    <w:name w:val="正文文本缩进 3 Char"/>
    <w:link w:val="34"/>
    <w:qFormat/>
    <w:uiPriority w:val="0"/>
    <w:rPr>
      <w:rFonts w:ascii="宋体" w:eastAsia="宋体"/>
      <w:b/>
      <w:bCs/>
      <w:kern w:val="2"/>
      <w:sz w:val="24"/>
      <w:szCs w:val="24"/>
      <w:lang w:val="en-US" w:eastAsia="zh-CN" w:bidi="ar-SA"/>
    </w:rPr>
  </w:style>
  <w:style w:type="character" w:customStyle="1" w:styleId="104">
    <w:name w:val="正文文本 2 Char"/>
    <w:link w:val="3"/>
    <w:qFormat/>
    <w:uiPriority w:val="0"/>
    <w:rPr>
      <w:rFonts w:eastAsia="宋体"/>
      <w:kern w:val="2"/>
      <w:sz w:val="24"/>
      <w:szCs w:val="24"/>
      <w:lang w:val="en-US" w:eastAsia="zh-CN" w:bidi="ar-SA"/>
    </w:rPr>
  </w:style>
  <w:style w:type="character" w:customStyle="1" w:styleId="105">
    <w:name w:val="页脚 Char"/>
    <w:link w:val="29"/>
    <w:qFormat/>
    <w:uiPriority w:val="0"/>
    <w:rPr>
      <w:rFonts w:eastAsia="宋体"/>
      <w:kern w:val="2"/>
      <w:sz w:val="18"/>
      <w:szCs w:val="18"/>
      <w:lang w:val="en-US" w:eastAsia="zh-CN" w:bidi="ar-SA"/>
    </w:rPr>
  </w:style>
  <w:style w:type="character" w:customStyle="1" w:styleId="106">
    <w:name w:val="正文文本 3 Char"/>
    <w:link w:val="19"/>
    <w:qFormat/>
    <w:uiPriority w:val="0"/>
    <w:rPr>
      <w:rFonts w:eastAsia="宋体"/>
      <w:kern w:val="2"/>
      <w:sz w:val="16"/>
      <w:szCs w:val="16"/>
      <w:lang w:val="en-US" w:eastAsia="zh-CN" w:bidi="ar-SA"/>
    </w:rPr>
  </w:style>
  <w:style w:type="character" w:customStyle="1" w:styleId="107">
    <w:name w:val="批注框文本 Char"/>
    <w:link w:val="28"/>
    <w:semiHidden/>
    <w:qFormat/>
    <w:uiPriority w:val="99"/>
    <w:rPr>
      <w:rFonts w:eastAsia="宋体"/>
      <w:kern w:val="2"/>
      <w:sz w:val="18"/>
      <w:szCs w:val="18"/>
      <w:lang w:val="en-US" w:eastAsia="zh-CN" w:bidi="ar-SA"/>
    </w:rPr>
  </w:style>
  <w:style w:type="paragraph" w:customStyle="1" w:styleId="108">
    <w:name w:val="样式1"/>
    <w:basedOn w:val="40"/>
    <w:qFormat/>
    <w:uiPriority w:val="0"/>
    <w:pPr>
      <w:spacing w:before="120" w:after="120"/>
    </w:pPr>
    <w:rPr>
      <w:rFonts w:eastAsia="黑体"/>
      <w:b w:val="0"/>
      <w:sz w:val="30"/>
      <w:szCs w:val="21"/>
    </w:rPr>
  </w:style>
  <w:style w:type="paragraph" w:customStyle="1" w:styleId="109">
    <w:name w:val="样式2"/>
    <w:basedOn w:val="40"/>
    <w:next w:val="108"/>
    <w:qFormat/>
    <w:uiPriority w:val="0"/>
    <w:pPr>
      <w:spacing w:before="120" w:after="120"/>
    </w:pPr>
    <w:rPr>
      <w:rFonts w:eastAsia="黑体"/>
      <w:b w:val="0"/>
      <w:sz w:val="30"/>
      <w:szCs w:val="30"/>
    </w:rPr>
  </w:style>
  <w:style w:type="character" w:customStyle="1" w:styleId="110">
    <w:name w:val="标题 3 Char Char"/>
    <w:qFormat/>
    <w:uiPriority w:val="0"/>
    <w:rPr>
      <w:rFonts w:eastAsia="宋体"/>
      <w:b/>
      <w:bCs/>
      <w:kern w:val="2"/>
      <w:sz w:val="32"/>
      <w:szCs w:val="32"/>
      <w:lang w:val="en-US" w:eastAsia="zh-CN" w:bidi="ar-SA"/>
    </w:rPr>
  </w:style>
  <w:style w:type="paragraph" w:customStyle="1" w:styleId="111">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2">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13">
    <w:name w:val="--规划正文"/>
    <w:basedOn w:val="1"/>
    <w:qFormat/>
    <w:uiPriority w:val="0"/>
    <w:pPr>
      <w:spacing w:line="360" w:lineRule="auto"/>
      <w:ind w:firstLine="200" w:firstLineChars="200"/>
    </w:pPr>
    <w:rPr>
      <w:szCs w:val="20"/>
    </w:rPr>
  </w:style>
  <w:style w:type="paragraph" w:customStyle="1" w:styleId="114">
    <w:name w:val="设计依据"/>
    <w:basedOn w:val="2"/>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15">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16">
    <w:name w:val="样式4"/>
    <w:basedOn w:val="1"/>
    <w:qFormat/>
    <w:uiPriority w:val="0"/>
    <w:pPr>
      <w:tabs>
        <w:tab w:val="left" w:pos="842"/>
      </w:tabs>
      <w:spacing w:line="360" w:lineRule="auto"/>
      <w:ind w:left="842" w:hanging="420"/>
    </w:pPr>
    <w:rPr>
      <w:sz w:val="24"/>
    </w:rPr>
  </w:style>
  <w:style w:type="paragraph" w:customStyle="1" w:styleId="117">
    <w:name w:val="文字"/>
    <w:basedOn w:val="1"/>
    <w:qFormat/>
    <w:uiPriority w:val="0"/>
    <w:pPr>
      <w:tabs>
        <w:tab w:val="left" w:pos="8520"/>
      </w:tabs>
      <w:spacing w:line="312" w:lineRule="auto"/>
      <w:ind w:right="-210" w:firstLine="556"/>
    </w:pPr>
    <w:rPr>
      <w:rFonts w:ascii="宋体"/>
      <w:sz w:val="28"/>
      <w:szCs w:val="20"/>
    </w:rPr>
  </w:style>
  <w:style w:type="paragraph" w:customStyle="1" w:styleId="118">
    <w:name w:val="--规划-表格-居左"/>
    <w:basedOn w:val="113"/>
    <w:qFormat/>
    <w:uiPriority w:val="0"/>
    <w:pPr>
      <w:spacing w:line="240" w:lineRule="auto"/>
      <w:ind w:firstLine="0" w:firstLineChars="0"/>
    </w:pPr>
    <w:rPr>
      <w:sz w:val="20"/>
    </w:rPr>
  </w:style>
  <w:style w:type="paragraph" w:customStyle="1" w:styleId="119">
    <w:name w:val="--规划-表格-居中"/>
    <w:basedOn w:val="113"/>
    <w:qFormat/>
    <w:uiPriority w:val="0"/>
    <w:pPr>
      <w:spacing w:line="240" w:lineRule="auto"/>
      <w:ind w:firstLine="0" w:firstLineChars="0"/>
      <w:jc w:val="center"/>
    </w:pPr>
    <w:rPr>
      <w:sz w:val="20"/>
    </w:rPr>
  </w:style>
  <w:style w:type="paragraph" w:customStyle="1" w:styleId="120">
    <w:name w:val="--编号内缩进"/>
    <w:basedOn w:val="1"/>
    <w:qFormat/>
    <w:uiPriority w:val="0"/>
    <w:pPr>
      <w:spacing w:line="360" w:lineRule="auto"/>
      <w:ind w:left="420" w:firstLine="200" w:firstLineChars="200"/>
    </w:pPr>
    <w:rPr>
      <w:szCs w:val="21"/>
    </w:rPr>
  </w:style>
  <w:style w:type="paragraph" w:customStyle="1" w:styleId="121">
    <w:name w:val="--规划-题注"/>
    <w:basedOn w:val="1"/>
    <w:next w:val="113"/>
    <w:qFormat/>
    <w:uiPriority w:val="0"/>
    <w:pPr>
      <w:spacing w:line="360" w:lineRule="auto"/>
      <w:jc w:val="center"/>
    </w:pPr>
    <w:rPr>
      <w:rFonts w:eastAsia="黑体"/>
    </w:rPr>
  </w:style>
  <w:style w:type="paragraph" w:customStyle="1" w:styleId="122">
    <w:name w:val="--规划-图和表"/>
    <w:next w:val="113"/>
    <w:qFormat/>
    <w:uiPriority w:val="0"/>
    <w:pPr>
      <w:jc w:val="center"/>
    </w:pPr>
    <w:rPr>
      <w:rFonts w:ascii="Times New Roman" w:hAnsi="Times New Roman" w:eastAsia="宋体" w:cs="Times New Roman"/>
      <w:kern w:val="2"/>
      <w:sz w:val="21"/>
      <w:lang w:val="en-US" w:eastAsia="zh-CN" w:bidi="ar-SA"/>
    </w:rPr>
  </w:style>
  <w:style w:type="paragraph" w:customStyle="1" w:styleId="123">
    <w:name w:val="--规划-小标题"/>
    <w:basedOn w:val="1"/>
    <w:next w:val="113"/>
    <w:qFormat/>
    <w:uiPriority w:val="0"/>
    <w:pPr>
      <w:keepNext/>
      <w:keepLines/>
      <w:spacing w:line="360" w:lineRule="auto"/>
      <w:outlineLvl w:val="4"/>
    </w:pPr>
    <w:rPr>
      <w:rFonts w:eastAsia="黑体"/>
    </w:rPr>
  </w:style>
  <w:style w:type="paragraph" w:customStyle="1" w:styleId="124">
    <w:name w:val="--规划正文 Char"/>
    <w:basedOn w:val="1"/>
    <w:qFormat/>
    <w:uiPriority w:val="0"/>
    <w:pPr>
      <w:spacing w:line="360" w:lineRule="auto"/>
      <w:ind w:firstLine="200" w:firstLineChars="200"/>
    </w:pPr>
    <w:rPr>
      <w:sz w:val="24"/>
    </w:rPr>
  </w:style>
  <w:style w:type="paragraph" w:customStyle="1" w:styleId="125">
    <w:name w:val="缺省文本"/>
    <w:basedOn w:val="1"/>
    <w:qFormat/>
    <w:uiPriority w:val="0"/>
    <w:pPr>
      <w:autoSpaceDE w:val="0"/>
      <w:autoSpaceDN w:val="0"/>
      <w:adjustRightInd w:val="0"/>
      <w:jc w:val="left"/>
    </w:pPr>
    <w:rPr>
      <w:kern w:val="0"/>
    </w:rPr>
  </w:style>
  <w:style w:type="paragraph" w:customStyle="1" w:styleId="126">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27">
    <w:name w:val="--规划正文 Char Char"/>
    <w:qFormat/>
    <w:uiPriority w:val="0"/>
    <w:rPr>
      <w:rFonts w:eastAsia="宋体"/>
      <w:kern w:val="2"/>
      <w:sz w:val="24"/>
      <w:szCs w:val="24"/>
      <w:lang w:val="en-US" w:eastAsia="zh-CN" w:bidi="ar-SA"/>
    </w:rPr>
  </w:style>
  <w:style w:type="paragraph" w:customStyle="1" w:styleId="128">
    <w:name w:val="样式3"/>
    <w:basedOn w:val="4"/>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9">
    <w:name w:val="--规划正文 Char1"/>
    <w:qFormat/>
    <w:uiPriority w:val="0"/>
    <w:rPr>
      <w:rFonts w:eastAsia="宋体"/>
      <w:kern w:val="2"/>
      <w:sz w:val="21"/>
      <w:lang w:val="en-US" w:eastAsia="zh-CN" w:bidi="ar-SA"/>
    </w:rPr>
  </w:style>
  <w:style w:type="paragraph" w:customStyle="1" w:styleId="130">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31">
    <w:name w:val="列表项目"/>
    <w:basedOn w:val="1"/>
    <w:qFormat/>
    <w:uiPriority w:val="0"/>
    <w:pPr>
      <w:tabs>
        <w:tab w:val="left" w:pos="420"/>
        <w:tab w:val="left" w:pos="1080"/>
      </w:tabs>
      <w:spacing w:line="288" w:lineRule="auto"/>
      <w:ind w:left="1080" w:hanging="360"/>
    </w:pPr>
    <w:rPr>
      <w:sz w:val="24"/>
      <w:szCs w:val="20"/>
    </w:rPr>
  </w:style>
  <w:style w:type="character" w:customStyle="1" w:styleId="132">
    <w:name w:val="content1"/>
    <w:qFormat/>
    <w:uiPriority w:val="0"/>
    <w:rPr>
      <w:rFonts w:hint="default" w:ascii="??" w:hAnsi="??"/>
      <w:sz w:val="16"/>
      <w:szCs w:val="16"/>
      <w:u w:val="none"/>
    </w:rPr>
  </w:style>
  <w:style w:type="character" w:customStyle="1" w:styleId="133">
    <w:name w:val="unnamed4"/>
    <w:basedOn w:val="45"/>
    <w:qFormat/>
    <w:uiPriority w:val="0"/>
  </w:style>
  <w:style w:type="character" w:customStyle="1" w:styleId="134">
    <w:name w:val="font2"/>
    <w:basedOn w:val="45"/>
    <w:qFormat/>
    <w:uiPriority w:val="0"/>
  </w:style>
  <w:style w:type="character" w:customStyle="1" w:styleId="135">
    <w:name w:val="font41"/>
    <w:qFormat/>
    <w:uiPriority w:val="0"/>
    <w:rPr>
      <w:color w:val="000000"/>
      <w:spacing w:val="260"/>
      <w:sz w:val="18"/>
      <w:szCs w:val="18"/>
      <w:u w:val="none"/>
    </w:rPr>
  </w:style>
  <w:style w:type="paragraph" w:customStyle="1" w:styleId="136">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7">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38">
    <w:name w:val="正文首行缩进 Char"/>
    <w:link w:val="42"/>
    <w:qFormat/>
    <w:uiPriority w:val="0"/>
    <w:rPr>
      <w:rFonts w:eastAsia="宋体"/>
      <w:b/>
      <w:bCs/>
      <w:kern w:val="2"/>
      <w:sz w:val="21"/>
      <w:szCs w:val="24"/>
      <w:lang w:val="en-US" w:eastAsia="zh-CN" w:bidi="ar-SA"/>
    </w:rPr>
  </w:style>
  <w:style w:type="paragraph" w:customStyle="1" w:styleId="139">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40">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41">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42">
    <w:name w:val="mode"/>
    <w:basedOn w:val="45"/>
    <w:qFormat/>
    <w:uiPriority w:val="0"/>
  </w:style>
  <w:style w:type="paragraph" w:customStyle="1" w:styleId="143">
    <w:name w:val="9"/>
    <w:basedOn w:val="1"/>
    <w:next w:val="9"/>
    <w:qFormat/>
    <w:uiPriority w:val="0"/>
    <w:pPr>
      <w:autoSpaceDE w:val="0"/>
      <w:autoSpaceDN w:val="0"/>
      <w:adjustRightInd w:val="0"/>
      <w:ind w:firstLine="420"/>
      <w:jc w:val="left"/>
      <w:textAlignment w:val="baseline"/>
    </w:pPr>
    <w:rPr>
      <w:rFonts w:ascii="宋体"/>
      <w:kern w:val="0"/>
      <w:sz w:val="34"/>
      <w:szCs w:val="20"/>
    </w:rPr>
  </w:style>
  <w:style w:type="character" w:customStyle="1" w:styleId="144">
    <w:name w:val="unnamed3"/>
    <w:basedOn w:val="45"/>
    <w:qFormat/>
    <w:uiPriority w:val="0"/>
  </w:style>
  <w:style w:type="paragraph" w:customStyle="1" w:styleId="145">
    <w:name w:val="8"/>
    <w:basedOn w:val="1"/>
    <w:next w:val="20"/>
    <w:qFormat/>
    <w:uiPriority w:val="0"/>
    <w:pPr>
      <w:spacing w:after="120"/>
      <w:ind w:left="420" w:leftChars="200"/>
    </w:pPr>
  </w:style>
  <w:style w:type="paragraph" w:customStyle="1" w:styleId="146">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47">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48">
    <w:name w:val="5"/>
    <w:basedOn w:val="1"/>
    <w:qFormat/>
    <w:uiPriority w:val="0"/>
    <w:pPr>
      <w:autoSpaceDE w:val="0"/>
      <w:autoSpaceDN w:val="0"/>
      <w:adjustRightInd w:val="0"/>
      <w:jc w:val="left"/>
    </w:pPr>
    <w:rPr>
      <w:rFonts w:ascii="宋体"/>
      <w:b/>
      <w:bCs/>
      <w:kern w:val="0"/>
      <w:sz w:val="18"/>
      <w:szCs w:val="18"/>
    </w:rPr>
  </w:style>
  <w:style w:type="paragraph" w:customStyle="1" w:styleId="149">
    <w:name w:val="6"/>
    <w:basedOn w:val="148"/>
    <w:qFormat/>
    <w:uiPriority w:val="0"/>
    <w:pPr>
      <w:spacing w:line="270" w:lineRule="atLeast"/>
      <w:jc w:val="both"/>
    </w:pPr>
    <w:rPr>
      <w:b w:val="0"/>
      <w:bCs w:val="0"/>
    </w:rPr>
  </w:style>
  <w:style w:type="paragraph" w:customStyle="1" w:styleId="150">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51">
    <w:name w:val="姜文清定义的正文"/>
    <w:basedOn w:val="1"/>
    <w:qFormat/>
    <w:uiPriority w:val="0"/>
    <w:pPr>
      <w:spacing w:line="240" w:lineRule="atLeast"/>
      <w:ind w:firstLine="567"/>
    </w:pPr>
    <w:rPr>
      <w:szCs w:val="20"/>
    </w:rPr>
  </w:style>
  <w:style w:type="paragraph" w:customStyle="1" w:styleId="152">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53">
    <w:name w:val="CM2"/>
    <w:basedOn w:val="152"/>
    <w:next w:val="152"/>
    <w:qFormat/>
    <w:uiPriority w:val="0"/>
    <w:pPr>
      <w:spacing w:line="200" w:lineRule="atLeast"/>
    </w:pPr>
    <w:rPr>
      <w:rFonts w:ascii="Arial" w:hAnsi="Arial" w:eastAsia="宋体" w:cs="Times New Roman"/>
      <w:color w:val="auto"/>
    </w:rPr>
  </w:style>
  <w:style w:type="paragraph" w:customStyle="1" w:styleId="154">
    <w:name w:val="Normal Paragraph"/>
    <w:basedOn w:val="1"/>
    <w:qFormat/>
    <w:uiPriority w:val="0"/>
    <w:pPr>
      <w:widowControl/>
      <w:spacing w:before="120" w:line="360" w:lineRule="auto"/>
      <w:ind w:firstLine="425"/>
    </w:pPr>
    <w:rPr>
      <w:kern w:val="0"/>
      <w:sz w:val="24"/>
    </w:rPr>
  </w:style>
  <w:style w:type="character" w:customStyle="1" w:styleId="155">
    <w:name w:val="blue"/>
    <w:basedOn w:val="45"/>
    <w:qFormat/>
    <w:uiPriority w:val="0"/>
  </w:style>
  <w:style w:type="paragraph" w:customStyle="1" w:styleId="156">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7">
    <w:name w:val="font"/>
    <w:basedOn w:val="45"/>
    <w:qFormat/>
    <w:uiPriority w:val="0"/>
  </w:style>
  <w:style w:type="character" w:customStyle="1" w:styleId="158">
    <w:name w:val="font11"/>
    <w:qFormat/>
    <w:uiPriority w:val="0"/>
    <w:rPr>
      <w:rFonts w:hint="default" w:ascii="ˎ̥" w:hAnsi="ˎ̥"/>
    </w:rPr>
  </w:style>
  <w:style w:type="paragraph" w:customStyle="1" w:styleId="159">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60">
    <w:name w:val="proddescription"/>
    <w:basedOn w:val="45"/>
    <w:qFormat/>
    <w:uiPriority w:val="0"/>
  </w:style>
  <w:style w:type="character" w:customStyle="1" w:styleId="161">
    <w:name w:val="prodheadlines"/>
    <w:basedOn w:val="45"/>
    <w:qFormat/>
    <w:uiPriority w:val="0"/>
  </w:style>
  <w:style w:type="character" w:customStyle="1" w:styleId="162">
    <w:name w:val="text"/>
    <w:basedOn w:val="45"/>
    <w:qFormat/>
    <w:uiPriority w:val="0"/>
  </w:style>
  <w:style w:type="paragraph" w:customStyle="1" w:styleId="163">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4">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65">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66">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7">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8">
    <w:name w:val="段落正文"/>
    <w:basedOn w:val="23"/>
    <w:qFormat/>
    <w:uiPriority w:val="0"/>
    <w:pPr>
      <w:ind w:firstLine="560" w:firstLineChars="200"/>
    </w:pPr>
    <w:rPr>
      <w:sz w:val="28"/>
    </w:rPr>
  </w:style>
  <w:style w:type="character" w:customStyle="1" w:styleId="169">
    <w:name w:val="gray6"/>
    <w:basedOn w:val="45"/>
    <w:qFormat/>
    <w:uiPriority w:val="0"/>
  </w:style>
  <w:style w:type="character" w:customStyle="1" w:styleId="170">
    <w:name w:val="style9"/>
    <w:basedOn w:val="45"/>
    <w:qFormat/>
    <w:uiPriority w:val="0"/>
  </w:style>
  <w:style w:type="paragraph" w:customStyle="1" w:styleId="171">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72">
    <w:name w:val="grame"/>
    <w:basedOn w:val="45"/>
    <w:qFormat/>
    <w:uiPriority w:val="0"/>
  </w:style>
  <w:style w:type="paragraph" w:customStyle="1" w:styleId="173">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4">
    <w:name w:val="Char1"/>
    <w:basedOn w:val="1"/>
    <w:qFormat/>
    <w:uiPriority w:val="0"/>
    <w:pPr>
      <w:jc w:val="left"/>
    </w:pPr>
    <w:rPr>
      <w:rFonts w:ascii="Tahoma" w:hAnsi="Tahoma"/>
      <w:sz w:val="24"/>
      <w:szCs w:val="20"/>
    </w:rPr>
  </w:style>
  <w:style w:type="paragraph" w:customStyle="1" w:styleId="175">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76">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7">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8">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9">
    <w:name w:val="font6"/>
    <w:basedOn w:val="1"/>
    <w:qFormat/>
    <w:uiPriority w:val="0"/>
    <w:pPr>
      <w:widowControl/>
      <w:spacing w:before="100" w:beforeAutospacing="1" w:after="100" w:afterAutospacing="1"/>
      <w:jc w:val="left"/>
    </w:pPr>
    <w:rPr>
      <w:kern w:val="0"/>
      <w:sz w:val="24"/>
    </w:rPr>
  </w:style>
  <w:style w:type="paragraph" w:customStyle="1" w:styleId="18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8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82">
    <w:name w:val="表格字"/>
    <w:basedOn w:val="1"/>
    <w:qFormat/>
    <w:uiPriority w:val="0"/>
    <w:pPr>
      <w:adjustRightInd w:val="0"/>
      <w:jc w:val="center"/>
    </w:pPr>
    <w:rPr>
      <w:rFonts w:ascii="宋体"/>
      <w:sz w:val="24"/>
      <w:szCs w:val="20"/>
    </w:rPr>
  </w:style>
  <w:style w:type="character" w:customStyle="1" w:styleId="183">
    <w:name w:val="样式 小三 加粗"/>
    <w:qFormat/>
    <w:uiPriority w:val="0"/>
    <w:rPr>
      <w:rFonts w:eastAsia="宋体"/>
      <w:b/>
      <w:bCs/>
      <w:sz w:val="32"/>
    </w:rPr>
  </w:style>
  <w:style w:type="paragraph" w:customStyle="1" w:styleId="18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5">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6">
    <w:name w:val="Char Char Char"/>
    <w:basedOn w:val="1"/>
    <w:qFormat/>
    <w:uiPriority w:val="0"/>
    <w:rPr>
      <w:rFonts w:ascii="Tahoma" w:hAnsi="Tahoma"/>
      <w:sz w:val="24"/>
      <w:szCs w:val="20"/>
    </w:rPr>
  </w:style>
  <w:style w:type="paragraph" w:customStyle="1" w:styleId="187">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8">
    <w:name w:val="info4"/>
    <w:basedOn w:val="45"/>
    <w:qFormat/>
    <w:uiPriority w:val="0"/>
  </w:style>
  <w:style w:type="paragraph" w:customStyle="1" w:styleId="189">
    <w:name w:val="缩进正文"/>
    <w:basedOn w:val="1"/>
    <w:link w:val="190"/>
    <w:qFormat/>
    <w:uiPriority w:val="0"/>
    <w:pPr>
      <w:ind w:firstLine="560" w:firstLineChars="200"/>
    </w:pPr>
    <w:rPr>
      <w:rFonts w:eastAsia="仿宋_GB2312" w:cs="宋体"/>
      <w:sz w:val="28"/>
      <w:szCs w:val="20"/>
    </w:rPr>
  </w:style>
  <w:style w:type="character" w:customStyle="1" w:styleId="190">
    <w:name w:val="缩进正文 Char"/>
    <w:link w:val="189"/>
    <w:qFormat/>
    <w:uiPriority w:val="0"/>
    <w:rPr>
      <w:rFonts w:eastAsia="仿宋_GB2312" w:cs="宋体"/>
      <w:kern w:val="2"/>
      <w:sz w:val="28"/>
      <w:lang w:val="en-US" w:eastAsia="zh-CN" w:bidi="ar-SA"/>
    </w:rPr>
  </w:style>
  <w:style w:type="paragraph" w:customStyle="1" w:styleId="191">
    <w:name w:val="列出段落1"/>
    <w:basedOn w:val="1"/>
    <w:qFormat/>
    <w:uiPriority w:val="0"/>
    <w:pPr>
      <w:ind w:firstLine="420" w:firstLineChars="200"/>
    </w:pPr>
    <w:rPr>
      <w:rFonts w:ascii="Calibri" w:hAnsi="Calibri" w:cs="Calibri"/>
      <w:szCs w:val="21"/>
    </w:rPr>
  </w:style>
  <w:style w:type="character" w:customStyle="1" w:styleId="192">
    <w:name w:val="批注文字 Char"/>
    <w:basedOn w:val="45"/>
    <w:link w:val="18"/>
    <w:qFormat/>
    <w:uiPriority w:val="99"/>
    <w:rPr>
      <w:rFonts w:ascii="宋体"/>
      <w:sz w:val="34"/>
    </w:rPr>
  </w:style>
  <w:style w:type="character" w:customStyle="1" w:styleId="193">
    <w:name w:val="批注主题 Char"/>
    <w:basedOn w:val="192"/>
    <w:link w:val="41"/>
    <w:qFormat/>
    <w:uiPriority w:val="99"/>
    <w:rPr>
      <w:rFonts w:ascii="宋体"/>
      <w:sz w:val="34"/>
    </w:rPr>
  </w:style>
  <w:style w:type="paragraph" w:customStyle="1" w:styleId="194">
    <w:name w:val="评价"/>
    <w:basedOn w:val="1"/>
    <w:qFormat/>
    <w:uiPriority w:val="0"/>
    <w:pPr>
      <w:spacing w:afterLines="20"/>
      <w:ind w:firstLine="1446" w:firstLineChars="200"/>
    </w:pPr>
    <w:rPr>
      <w:rFonts w:ascii="Calibri" w:hAnsi="Calibri"/>
      <w:sz w:val="24"/>
    </w:rPr>
  </w:style>
  <w:style w:type="paragraph" w:customStyle="1" w:styleId="195">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96">
    <w:name w:val="alt-edited1"/>
    <w:qFormat/>
    <w:uiPriority w:val="0"/>
    <w:rPr>
      <w:color w:val="4D90F0"/>
    </w:rPr>
  </w:style>
  <w:style w:type="character" w:customStyle="1" w:styleId="197">
    <w:name w:val="body text Char1"/>
    <w:qFormat/>
    <w:uiPriority w:val="0"/>
    <w:rPr>
      <w:rFonts w:eastAsia="宋体"/>
      <w:kern w:val="2"/>
      <w:sz w:val="21"/>
      <w:lang w:val="en-US" w:eastAsia="zh-CN" w:bidi="ar-SA"/>
    </w:rPr>
  </w:style>
  <w:style w:type="character" w:customStyle="1" w:styleId="198">
    <w:name w:val="普通(网站) Char"/>
    <w:link w:val="38"/>
    <w:qFormat/>
    <w:uiPriority w:val="0"/>
    <w:rPr>
      <w:kern w:val="2"/>
      <w:sz w:val="24"/>
      <w:szCs w:val="24"/>
    </w:rPr>
  </w:style>
  <w:style w:type="character" w:customStyle="1" w:styleId="199">
    <w:name w:val="批注文字 Char1"/>
    <w:qFormat/>
    <w:uiPriority w:val="99"/>
    <w:rPr>
      <w:rFonts w:ascii="宋体"/>
      <w:sz w:val="34"/>
    </w:rPr>
  </w:style>
  <w:style w:type="character" w:customStyle="1" w:styleId="200">
    <w:name w:val="正文缩进 Char1"/>
    <w:qFormat/>
    <w:uiPriority w:val="0"/>
    <w:rPr>
      <w:rFonts w:eastAsia="宋体"/>
      <w:kern w:val="2"/>
      <w:sz w:val="21"/>
      <w:lang w:val="en-US" w:eastAsia="zh-CN" w:bidi="ar-SA"/>
    </w:rPr>
  </w:style>
  <w:style w:type="character" w:customStyle="1" w:styleId="201">
    <w:name w:val="layui-this"/>
    <w:basedOn w:val="45"/>
    <w:qFormat/>
    <w:uiPriority w:val="0"/>
    <w:rPr>
      <w:bdr w:val="single" w:color="EEEEEE" w:sz="4" w:space="0"/>
      <w:shd w:val="clear" w:color="auto" w:fill="FFFFFF"/>
    </w:rPr>
  </w:style>
  <w:style w:type="character" w:customStyle="1" w:styleId="202">
    <w:name w:val="first-child"/>
    <w:basedOn w:val="45"/>
    <w:qFormat/>
    <w:uiPriority w:val="0"/>
  </w:style>
  <w:style w:type="paragraph" w:customStyle="1" w:styleId="203">
    <w:name w:val="修订2"/>
    <w:hidden/>
    <w:semiHidden/>
    <w:qFormat/>
    <w:uiPriority w:val="99"/>
    <w:rPr>
      <w:rFonts w:ascii="Times New Roman" w:hAnsi="Times New Roman" w:eastAsia="宋体" w:cs="Times New Roman"/>
      <w:kern w:val="2"/>
      <w:sz w:val="21"/>
      <w:szCs w:val="24"/>
      <w:lang w:val="en-US" w:eastAsia="zh-CN" w:bidi="ar-SA"/>
    </w:rPr>
  </w:style>
  <w:style w:type="table" w:customStyle="1" w:styleId="204">
    <w:name w:val="网格型1"/>
    <w:basedOn w:val="43"/>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05">
    <w:name w:val="msonospacing"/>
    <w:basedOn w:val="1"/>
    <w:qFormat/>
    <w:uiPriority w:val="0"/>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61A89-930E-4F08-8F9E-78D97BC26B6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81</Pages>
  <Words>1939</Words>
  <Characters>1955</Characters>
  <Lines>360</Lines>
  <Paragraphs>101</Paragraphs>
  <TotalTime>0</TotalTime>
  <ScaleCrop>false</ScaleCrop>
  <LinksUpToDate>false</LinksUpToDate>
  <CharactersWithSpaces>1959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2025-03-12T09:13:00Z</dcterms:created>
  <dc:creator>thsware</dc:creator>
  <cp:lastModifiedBy>lxq</cp:lastModifiedBy>
  <cp:lastPrinted>2021-05-09T08:02:00Z</cp:lastPrinted>
  <dcterms:modified xsi:type="dcterms:W3CDTF">2025-07-29T01:02:36Z</dcterms:modified>
  <dc:title>招  标　文　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DED11B3D190546989DDD0FFE2889935F_13</vt:lpwstr>
  </property>
  <property fmtid="{D5CDD505-2E9C-101B-9397-08002B2CF9AE}" pid="4" name="KSOTemplateDocerSaveRecord">
    <vt:lpwstr>eyJoZGlkIjoiMTY0NGJhN2YxNjhjOTEwYTJiNmE1ZmZjMjYxZDU0YjAiLCJ1c2VySWQiOiIxODk4MjY3NTAifQ==</vt:lpwstr>
  </property>
</Properties>
</file>