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SZZXCG-2025-00412</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eastAsia" w:eastAsia="宋体"/>
                <w:sz w:val="30"/>
                <w:szCs w:val="30"/>
                <w:lang w:val="en-US" w:eastAsia="zh-CN"/>
              </w:rPr>
            </w:pPr>
            <w:r>
              <w:rPr>
                <w:rFonts w:hint="eastAsia"/>
                <w:sz w:val="30"/>
                <w:szCs w:val="30"/>
                <w:lang w:eastAsia="zh-CN"/>
              </w:rPr>
              <w:t>深圳清华大学研究院河套分院（粤港澳大湾区（广东）国创中心国际总部）跨境加速项目服务</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9"/>
        <w:jc w:val="center"/>
        <w:outlineLvl w:val="1"/>
        <w:rPr>
          <w:rFonts w:ascii="黑体" w:hAnsi="黑体" w:eastAsia="黑体"/>
          <w:sz w:val="40"/>
          <w:szCs w:val="40"/>
        </w:rPr>
      </w:pPr>
    </w:p>
    <w:p w14:paraId="40594077">
      <w:pPr>
        <w:pStyle w:val="18"/>
      </w:pPr>
      <w:r>
        <w:br w:type="page"/>
      </w:r>
    </w:p>
    <w:p w14:paraId="5907D210">
      <w:pPr>
        <w:pStyle w:val="3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9"/>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9"/>
        <w:jc w:val="center"/>
        <w:outlineLvl w:val="1"/>
        <w:rPr>
          <w:rFonts w:ascii="黑体" w:hAnsi="黑体" w:eastAsia="黑体"/>
          <w:sz w:val="40"/>
          <w:szCs w:val="40"/>
        </w:rPr>
      </w:pPr>
    </w:p>
    <w:p w14:paraId="77C7D8E6">
      <w:pPr>
        <w:pStyle w:val="18"/>
      </w:pPr>
      <w:r>
        <w:br w:type="page"/>
      </w:r>
    </w:p>
    <w:p w14:paraId="5EC88375">
      <w:pPr>
        <w:pStyle w:val="39"/>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pPr w:leftFromText="180" w:rightFromText="180" w:vertAnchor="text" w:tblpX="-10" w:tblpY="1"/>
        <w:tblOverlap w:val="never"/>
        <w:tblW w:w="907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24"/>
        <w:gridCol w:w="446"/>
        <w:gridCol w:w="547"/>
        <w:gridCol w:w="1782"/>
        <w:gridCol w:w="982"/>
        <w:gridCol w:w="5291"/>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9072" w:type="dxa"/>
            <w:gridSpan w:val="6"/>
            <w:vAlign w:val="center"/>
          </w:tcPr>
          <w:p w14:paraId="66A3D8B2">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9072" w:type="dxa"/>
            <w:gridSpan w:val="6"/>
            <w:vAlign w:val="center"/>
          </w:tcPr>
          <w:p w14:paraId="23DDA576">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hint="default"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hint="default" w:asciiTheme="minorEastAsia" w:hAnsiTheme="minorEastAsia" w:eastAsiaTheme="minorEastAsia"/>
                <w:szCs w:val="21"/>
              </w:rPr>
              <w:t>的投标人为中标候选人的评标方法。</w:t>
            </w:r>
          </w:p>
          <w:p w14:paraId="21898553">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p>
          <w:p w14:paraId="2957557C">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价格分计算方法：</w:t>
            </w:r>
          </w:p>
          <w:p w14:paraId="3D604D7B">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default"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投标报价得分=(评标基准价／投标报价)×100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评标总得分＝F1×A1＋F2×A2＋……＋Fn×An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F1、F2……Fn分别为各项评审因素的得分；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A1、A2、……An 分别为各项评审因素所占的权重(A1＋A2＋……＋An＝1)。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评标过程中，不得去掉报价中的最高报价和最低报价。</w:t>
            </w:r>
          </w:p>
          <w:p w14:paraId="6A82B2B9">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kern w:val="0"/>
                <w:sz w:val="24"/>
              </w:rPr>
            </w:pPr>
          </w:p>
          <w:p w14:paraId="4D86AD8D">
            <w:pPr>
              <w:pStyle w:val="18"/>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r w14:paraId="4F16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blCellSpacing w:w="0" w:type="dxa"/>
        </w:trPr>
        <w:tc>
          <w:tcPr>
            <w:tcW w:w="446" w:type="dxa"/>
            <w:tcBorders>
              <w:top w:val="single" w:color="auto" w:sz="4" w:space="0"/>
              <w:left w:val="single" w:color="auto" w:sz="4" w:space="0"/>
              <w:bottom w:val="single" w:color="auto" w:sz="4" w:space="0"/>
              <w:right w:val="single" w:color="auto" w:sz="4" w:space="0"/>
            </w:tcBorders>
          </w:tcPr>
          <w:p w14:paraId="07F831AA">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序号</w:t>
            </w:r>
          </w:p>
        </w:tc>
        <w:tc>
          <w:tcPr>
            <w:tcW w:w="3311" w:type="dxa"/>
            <w:gridSpan w:val="3"/>
            <w:tcBorders>
              <w:top w:val="single" w:color="auto" w:sz="4" w:space="0"/>
              <w:left w:val="single" w:color="auto" w:sz="4" w:space="0"/>
              <w:bottom w:val="single" w:color="auto" w:sz="4" w:space="0"/>
              <w:right w:val="single" w:color="auto" w:sz="4" w:space="0"/>
            </w:tcBorders>
          </w:tcPr>
          <w:p w14:paraId="5F6445AB">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评分项</w:t>
            </w:r>
          </w:p>
        </w:tc>
        <w:tc>
          <w:tcPr>
            <w:tcW w:w="5291" w:type="dxa"/>
            <w:tcBorders>
              <w:top w:val="single" w:color="auto" w:sz="4" w:space="0"/>
              <w:left w:val="single" w:color="auto" w:sz="4" w:space="0"/>
              <w:bottom w:val="single" w:color="auto" w:sz="4" w:space="0"/>
              <w:right w:val="single" w:color="auto" w:sz="4" w:space="0"/>
            </w:tcBorders>
          </w:tcPr>
          <w:p w14:paraId="2B55164B">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权重(%)</w:t>
            </w:r>
          </w:p>
        </w:tc>
      </w:tr>
      <w:tr w14:paraId="2703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blCellSpacing w:w="0" w:type="dxa"/>
        </w:trPr>
        <w:tc>
          <w:tcPr>
            <w:tcW w:w="446" w:type="dxa"/>
            <w:tcBorders>
              <w:top w:val="single" w:color="auto" w:sz="4" w:space="0"/>
              <w:left w:val="single" w:color="auto" w:sz="4" w:space="0"/>
              <w:right w:val="single" w:color="auto" w:sz="4" w:space="0"/>
            </w:tcBorders>
          </w:tcPr>
          <w:p w14:paraId="61A1B5B2">
            <w:pPr>
              <w:keepNext w:val="0"/>
              <w:keepLines w:val="0"/>
              <w:suppressLineNumbers w:val="0"/>
              <w:spacing w:before="0" w:beforeAutospacing="0" w:after="0" w:afterAutospacing="0"/>
              <w:ind w:left="0" w:right="0"/>
              <w:jc w:val="center"/>
              <w:rPr>
                <w:rFonts w:hint="eastAsia" w:ascii="宋体" w:hAnsi="宋体"/>
                <w:szCs w:val="21"/>
              </w:rPr>
            </w:pPr>
            <w:r>
              <w:rPr>
                <w:rFonts w:hint="default" w:ascii="宋体" w:hAnsi="宋体"/>
                <w:szCs w:val="21"/>
              </w:rPr>
              <w:t>1</w:t>
            </w:r>
          </w:p>
        </w:tc>
        <w:tc>
          <w:tcPr>
            <w:tcW w:w="3311" w:type="dxa"/>
            <w:gridSpan w:val="3"/>
            <w:tcBorders>
              <w:top w:val="single" w:color="auto" w:sz="4" w:space="0"/>
              <w:left w:val="single" w:color="auto" w:sz="4" w:space="0"/>
              <w:bottom w:val="single" w:color="auto" w:sz="4" w:space="0"/>
              <w:right w:val="single" w:color="auto" w:sz="4" w:space="0"/>
            </w:tcBorders>
          </w:tcPr>
          <w:p w14:paraId="042254F1">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价格</w:t>
            </w:r>
          </w:p>
        </w:tc>
        <w:tc>
          <w:tcPr>
            <w:tcW w:w="5291" w:type="dxa"/>
            <w:tcBorders>
              <w:top w:val="single" w:color="auto" w:sz="4" w:space="0"/>
              <w:left w:val="single" w:color="auto" w:sz="4" w:space="0"/>
              <w:bottom w:val="single" w:color="auto" w:sz="4" w:space="0"/>
              <w:right w:val="single" w:color="auto" w:sz="4" w:space="0"/>
            </w:tcBorders>
          </w:tcPr>
          <w:p w14:paraId="57FEFE2C">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20</w:t>
            </w:r>
          </w:p>
        </w:tc>
      </w:tr>
      <w:tr w14:paraId="51AC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blCellSpacing w:w="0" w:type="dxa"/>
        </w:trPr>
        <w:tc>
          <w:tcPr>
            <w:tcW w:w="446" w:type="dxa"/>
            <w:tcBorders>
              <w:top w:val="single" w:color="auto" w:sz="4" w:space="0"/>
              <w:left w:val="single" w:color="auto" w:sz="4" w:space="0"/>
              <w:bottom w:val="single" w:color="auto" w:sz="4" w:space="0"/>
              <w:right w:val="single" w:color="auto" w:sz="4" w:space="0"/>
            </w:tcBorders>
          </w:tcPr>
          <w:p w14:paraId="40DFAAE1">
            <w:pPr>
              <w:keepNext w:val="0"/>
              <w:keepLines w:val="0"/>
              <w:suppressLineNumbers w:val="0"/>
              <w:spacing w:before="0" w:beforeAutospacing="0" w:after="0" w:afterAutospacing="0"/>
              <w:ind w:left="0" w:right="0"/>
              <w:jc w:val="center"/>
              <w:rPr>
                <w:rFonts w:hint="eastAsia" w:ascii="宋体" w:hAnsi="宋体"/>
                <w:szCs w:val="21"/>
              </w:rPr>
            </w:pPr>
            <w:r>
              <w:rPr>
                <w:rFonts w:hint="default" w:ascii="宋体" w:hAnsi="宋体"/>
                <w:szCs w:val="21"/>
              </w:rPr>
              <w:t>2</w:t>
            </w:r>
          </w:p>
        </w:tc>
        <w:tc>
          <w:tcPr>
            <w:tcW w:w="3311" w:type="dxa"/>
            <w:gridSpan w:val="3"/>
            <w:tcBorders>
              <w:top w:val="single" w:color="auto" w:sz="4" w:space="0"/>
              <w:left w:val="single" w:color="auto" w:sz="4" w:space="0"/>
              <w:bottom w:val="single" w:color="auto" w:sz="4" w:space="0"/>
              <w:right w:val="single" w:color="auto" w:sz="4" w:space="0"/>
            </w:tcBorders>
          </w:tcPr>
          <w:p w14:paraId="2C5BDF19">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技术</w:t>
            </w:r>
          </w:p>
        </w:tc>
        <w:tc>
          <w:tcPr>
            <w:tcW w:w="5291" w:type="dxa"/>
            <w:tcBorders>
              <w:top w:val="single" w:color="auto" w:sz="4" w:space="0"/>
              <w:left w:val="single" w:color="auto" w:sz="4" w:space="0"/>
              <w:bottom w:val="single" w:color="auto" w:sz="4" w:space="0"/>
              <w:right w:val="single" w:color="auto" w:sz="4" w:space="0"/>
            </w:tcBorders>
          </w:tcPr>
          <w:p w14:paraId="65DBC0BA">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45</w:t>
            </w:r>
          </w:p>
        </w:tc>
      </w:tr>
      <w:tr w14:paraId="7E25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63" w:hRule="atLeast"/>
          <w:tblCellSpacing w:w="0" w:type="dxa"/>
        </w:trPr>
        <w:tc>
          <w:tcPr>
            <w:tcW w:w="446" w:type="dxa"/>
            <w:vMerge w:val="restart"/>
            <w:tcBorders>
              <w:top w:val="single" w:color="auto" w:sz="4" w:space="0"/>
              <w:left w:val="single" w:color="auto" w:sz="4" w:space="0"/>
              <w:right w:val="single" w:color="auto" w:sz="4" w:space="0"/>
            </w:tcBorders>
          </w:tcPr>
          <w:p w14:paraId="29B02415">
            <w:pPr>
              <w:keepNext w:val="0"/>
              <w:keepLines w:val="0"/>
              <w:suppressLineNumbers w:val="0"/>
              <w:spacing w:before="0" w:beforeAutospacing="0" w:after="0" w:afterAutospacing="0"/>
              <w:ind w:left="0" w:right="0"/>
              <w:jc w:val="center"/>
              <w:rPr>
                <w:rFonts w:hint="eastAsia" w:ascii="宋体" w:hAnsi="宋体"/>
                <w:szCs w:val="21"/>
              </w:rPr>
            </w:pPr>
          </w:p>
        </w:tc>
        <w:tc>
          <w:tcPr>
            <w:tcW w:w="547" w:type="dxa"/>
            <w:tcBorders>
              <w:top w:val="single" w:color="auto" w:sz="4" w:space="0"/>
              <w:left w:val="single" w:color="auto" w:sz="4" w:space="0"/>
              <w:bottom w:val="single" w:color="auto" w:sz="4" w:space="0"/>
              <w:right w:val="single" w:color="auto" w:sz="4" w:space="0"/>
            </w:tcBorders>
            <w:vAlign w:val="center"/>
          </w:tcPr>
          <w:p w14:paraId="0004293F">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序号</w:t>
            </w:r>
          </w:p>
        </w:tc>
        <w:tc>
          <w:tcPr>
            <w:tcW w:w="1782" w:type="dxa"/>
            <w:tcBorders>
              <w:top w:val="single" w:color="auto" w:sz="4" w:space="0"/>
              <w:left w:val="single" w:color="auto" w:sz="4" w:space="0"/>
              <w:bottom w:val="single" w:color="auto" w:sz="4" w:space="0"/>
              <w:right w:val="single" w:color="auto" w:sz="4" w:space="0"/>
            </w:tcBorders>
            <w:vAlign w:val="center"/>
          </w:tcPr>
          <w:p w14:paraId="7A58EA79">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评分因素</w:t>
            </w:r>
          </w:p>
        </w:tc>
        <w:tc>
          <w:tcPr>
            <w:tcW w:w="982" w:type="dxa"/>
            <w:tcBorders>
              <w:top w:val="single" w:color="auto" w:sz="4" w:space="0"/>
              <w:left w:val="single" w:color="auto" w:sz="4" w:space="0"/>
              <w:bottom w:val="single" w:color="auto" w:sz="4" w:space="0"/>
              <w:right w:val="single" w:color="auto" w:sz="4" w:space="0"/>
            </w:tcBorders>
            <w:vAlign w:val="center"/>
          </w:tcPr>
          <w:p w14:paraId="19DCF8A1">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权重</w:t>
            </w:r>
          </w:p>
          <w:p w14:paraId="32364D3A">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w:t>
            </w:r>
          </w:p>
        </w:tc>
        <w:tc>
          <w:tcPr>
            <w:tcW w:w="5291" w:type="dxa"/>
            <w:tcBorders>
              <w:top w:val="single" w:color="auto" w:sz="4" w:space="0"/>
              <w:left w:val="single" w:color="auto" w:sz="4" w:space="0"/>
              <w:bottom w:val="single" w:color="auto" w:sz="4" w:space="0"/>
              <w:right w:val="single" w:color="auto" w:sz="4" w:space="0"/>
            </w:tcBorders>
            <w:vAlign w:val="center"/>
          </w:tcPr>
          <w:p w14:paraId="403F809D">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评分准则</w:t>
            </w:r>
          </w:p>
        </w:tc>
      </w:tr>
      <w:tr w14:paraId="3E61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1998" w:hRule="atLeast"/>
          <w:tblCellSpacing w:w="0" w:type="dxa"/>
        </w:trPr>
        <w:tc>
          <w:tcPr>
            <w:tcW w:w="446" w:type="dxa"/>
            <w:vMerge w:val="continue"/>
            <w:tcBorders>
              <w:left w:val="single" w:color="auto" w:sz="4" w:space="0"/>
              <w:right w:val="single" w:color="auto" w:sz="4" w:space="0"/>
            </w:tcBorders>
            <w:vAlign w:val="center"/>
          </w:tcPr>
          <w:p w14:paraId="04BF508B">
            <w:pPr>
              <w:keepNext w:val="0"/>
              <w:keepLines w:val="0"/>
              <w:widowControl/>
              <w:suppressLineNumbers w:val="0"/>
              <w:spacing w:before="0" w:beforeAutospacing="0" w:after="0" w:afterAutospacing="0"/>
              <w:ind w:left="0" w:right="0"/>
              <w:jc w:val="left"/>
              <w:rPr>
                <w:rFonts w:hint="eastAsia" w:ascii="宋体" w:hAnsi="宋体"/>
                <w:szCs w:val="21"/>
              </w:rPr>
            </w:pPr>
          </w:p>
        </w:tc>
        <w:tc>
          <w:tcPr>
            <w:tcW w:w="547" w:type="dxa"/>
            <w:tcBorders>
              <w:top w:val="single" w:color="auto" w:sz="4" w:space="0"/>
              <w:left w:val="single" w:color="auto" w:sz="4" w:space="0"/>
              <w:bottom w:val="single" w:color="auto" w:sz="4" w:space="0"/>
              <w:right w:val="single" w:color="auto" w:sz="4" w:space="0"/>
            </w:tcBorders>
            <w:vAlign w:val="center"/>
          </w:tcPr>
          <w:p w14:paraId="690C9541">
            <w:pPr>
              <w:keepNext w:val="0"/>
              <w:keepLines w:val="0"/>
              <w:suppressLineNumbers w:val="0"/>
              <w:spacing w:before="0" w:beforeAutospacing="0" w:after="0" w:afterAutospacing="0"/>
              <w:ind w:left="0" w:right="0"/>
              <w:jc w:val="center"/>
              <w:rPr>
                <w:rFonts w:hint="eastAsia" w:ascii="宋体" w:hAnsi="宋体"/>
                <w:szCs w:val="21"/>
              </w:rPr>
            </w:pPr>
            <w:r>
              <w:rPr>
                <w:rFonts w:hint="default" w:ascii="宋体" w:hAnsi="宋体"/>
                <w:szCs w:val="21"/>
              </w:rPr>
              <w:t>1</w:t>
            </w:r>
          </w:p>
        </w:tc>
        <w:tc>
          <w:tcPr>
            <w:tcW w:w="1782" w:type="dxa"/>
            <w:tcBorders>
              <w:top w:val="single" w:color="auto" w:sz="4" w:space="0"/>
              <w:left w:val="single" w:color="auto" w:sz="4" w:space="0"/>
              <w:bottom w:val="single" w:color="auto" w:sz="4" w:space="0"/>
              <w:right w:val="single" w:color="auto" w:sz="4" w:space="0"/>
            </w:tcBorders>
            <w:vAlign w:val="center"/>
          </w:tcPr>
          <w:p w14:paraId="45C706A8">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实施方案</w:t>
            </w:r>
          </w:p>
        </w:tc>
        <w:tc>
          <w:tcPr>
            <w:tcW w:w="982" w:type="dxa"/>
            <w:tcBorders>
              <w:top w:val="single" w:color="auto" w:sz="4" w:space="0"/>
              <w:left w:val="single" w:color="auto" w:sz="4" w:space="0"/>
              <w:bottom w:val="single" w:color="auto" w:sz="4" w:space="0"/>
              <w:right w:val="single" w:color="auto" w:sz="4" w:space="0"/>
            </w:tcBorders>
            <w:vAlign w:val="center"/>
          </w:tcPr>
          <w:p w14:paraId="1D70418B">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15</w:t>
            </w:r>
          </w:p>
        </w:tc>
        <w:tc>
          <w:tcPr>
            <w:tcW w:w="5291" w:type="dxa"/>
            <w:tcBorders>
              <w:top w:val="single" w:color="auto" w:sz="4" w:space="0"/>
              <w:left w:val="single" w:color="auto" w:sz="4" w:space="0"/>
              <w:bottom w:val="single" w:color="auto" w:sz="4" w:space="0"/>
              <w:right w:val="single" w:color="auto" w:sz="4" w:space="0"/>
            </w:tcBorders>
          </w:tcPr>
          <w:p w14:paraId="2EECB12A">
            <w:pPr>
              <w:keepNext w:val="0"/>
              <w:keepLines w:val="0"/>
              <w:suppressLineNumbers w:val="0"/>
              <w:spacing w:before="0" w:beforeAutospacing="0" w:after="0" w:afterAutospacing="0" w:line="240" w:lineRule="auto"/>
              <w:ind w:left="0" w:right="0"/>
              <w:jc w:val="left"/>
              <w:rPr>
                <w:rFonts w:hint="default" w:ascii="宋体" w:hAnsi="宋体"/>
                <w:b/>
                <w:bCs/>
                <w:szCs w:val="21"/>
              </w:rPr>
            </w:pPr>
            <w:r>
              <w:rPr>
                <w:rFonts w:hint="eastAsia" w:ascii="宋体" w:hAnsi="宋体"/>
                <w:b/>
                <w:bCs/>
                <w:szCs w:val="21"/>
              </w:rPr>
              <w:t>（一）评分内容：</w:t>
            </w:r>
          </w:p>
          <w:p w14:paraId="17359072">
            <w:pPr>
              <w:keepNext w:val="0"/>
              <w:keepLines w:val="0"/>
              <w:suppressLineNumbers w:val="0"/>
              <w:spacing w:before="0" w:beforeAutospacing="0" w:after="0" w:afterAutospacing="0" w:line="240" w:lineRule="auto"/>
              <w:ind w:left="0" w:right="0"/>
              <w:jc w:val="left"/>
              <w:rPr>
                <w:rFonts w:hint="default" w:ascii="宋体" w:hAnsi="宋体"/>
                <w:szCs w:val="21"/>
              </w:rPr>
            </w:pPr>
            <w:r>
              <w:rPr>
                <w:rFonts w:hint="eastAsia" w:ascii="宋体" w:hAnsi="宋体"/>
                <w:szCs w:val="21"/>
              </w:rPr>
              <w:t>投标人需提供项目具体实施方案，包含但不限于：</w:t>
            </w:r>
          </w:p>
          <w:p w14:paraId="5198E27D">
            <w:pPr>
              <w:keepNext w:val="0"/>
              <w:keepLines w:val="0"/>
              <w:suppressLineNumbers w:val="0"/>
              <w:spacing w:before="0" w:beforeAutospacing="0" w:after="0" w:afterAutospacing="0" w:line="240" w:lineRule="auto"/>
              <w:ind w:left="0" w:right="0" w:firstLine="210" w:firstLineChars="100"/>
              <w:jc w:val="left"/>
              <w:rPr>
                <w:rFonts w:hint="eastAsia" w:eastAsia="宋体"/>
                <w:szCs w:val="21"/>
                <w:lang w:val="en-US" w:eastAsia="zh-CN"/>
              </w:rPr>
            </w:pPr>
            <w:r>
              <w:rPr>
                <w:rFonts w:hint="default"/>
                <w:szCs w:val="21"/>
              </w:rPr>
              <w:t>1.</w:t>
            </w:r>
            <w:r>
              <w:rPr>
                <w:rFonts w:hint="eastAsia" w:ascii="宋体" w:hAnsi="宋体" w:eastAsia="宋体" w:cs="宋体"/>
                <w:sz w:val="21"/>
                <w:szCs w:val="21"/>
              </w:rPr>
              <w:t>商务对接</w:t>
            </w:r>
            <w:r>
              <w:rPr>
                <w:rFonts w:hint="eastAsia" w:ascii="宋体" w:hAnsi="宋体" w:cs="宋体"/>
                <w:sz w:val="21"/>
                <w:szCs w:val="21"/>
                <w:lang w:val="en-US" w:eastAsia="zh-CN"/>
              </w:rPr>
              <w:t>方案；</w:t>
            </w:r>
          </w:p>
          <w:p w14:paraId="1B29E8D3">
            <w:pPr>
              <w:keepNext w:val="0"/>
              <w:keepLines w:val="0"/>
              <w:suppressLineNumbers w:val="0"/>
              <w:spacing w:before="0" w:beforeAutospacing="0" w:after="0" w:afterAutospacing="0" w:line="240" w:lineRule="auto"/>
              <w:ind w:left="0" w:right="0" w:firstLine="210" w:firstLineChars="100"/>
              <w:jc w:val="left"/>
              <w:rPr>
                <w:rFonts w:hint="eastAsia" w:eastAsia="宋体"/>
                <w:szCs w:val="21"/>
                <w:lang w:val="en-US" w:eastAsia="zh-CN"/>
              </w:rPr>
            </w:pPr>
            <w:r>
              <w:rPr>
                <w:rFonts w:hint="default"/>
                <w:szCs w:val="21"/>
              </w:rPr>
              <w:t>2.</w:t>
            </w:r>
            <w:r>
              <w:rPr>
                <w:rFonts w:hint="eastAsia" w:ascii="宋体" w:hAnsi="宋体" w:eastAsia="宋体" w:cs="宋体"/>
                <w:sz w:val="21"/>
                <w:szCs w:val="21"/>
              </w:rPr>
              <w:t>全流程行程设计与协调</w:t>
            </w:r>
            <w:r>
              <w:rPr>
                <w:rFonts w:hint="eastAsia" w:ascii="宋体" w:hAnsi="宋体" w:cs="宋体"/>
                <w:sz w:val="21"/>
                <w:szCs w:val="21"/>
                <w:lang w:val="en-US" w:eastAsia="zh-CN"/>
              </w:rPr>
              <w:t>方案；</w:t>
            </w:r>
          </w:p>
          <w:p w14:paraId="6EEDFDBD">
            <w:pPr>
              <w:keepNext w:val="0"/>
              <w:keepLines w:val="0"/>
              <w:suppressLineNumbers w:val="0"/>
              <w:spacing w:before="0" w:beforeAutospacing="0" w:after="0" w:afterAutospacing="0" w:line="240" w:lineRule="auto"/>
              <w:ind w:left="0" w:right="0" w:firstLine="210" w:firstLineChars="100"/>
              <w:jc w:val="left"/>
              <w:rPr>
                <w:rFonts w:hint="eastAsia" w:eastAsia="宋体"/>
                <w:szCs w:val="21"/>
                <w:lang w:val="en-US" w:eastAsia="zh-CN"/>
              </w:rPr>
            </w:pPr>
            <w:r>
              <w:rPr>
                <w:rFonts w:hint="default"/>
                <w:szCs w:val="21"/>
              </w:rPr>
              <w:t>3.</w:t>
            </w:r>
            <w:r>
              <w:rPr>
                <w:rFonts w:hint="eastAsia"/>
                <w:szCs w:val="21"/>
              </w:rPr>
              <w:t>学习、交流、研讨、辅导活动设计</w:t>
            </w:r>
            <w:r>
              <w:rPr>
                <w:rFonts w:hint="eastAsia"/>
                <w:szCs w:val="21"/>
                <w:lang w:val="en-US" w:eastAsia="zh-CN"/>
              </w:rPr>
              <w:t>方案；</w:t>
            </w:r>
          </w:p>
          <w:p w14:paraId="174721B0">
            <w:pPr>
              <w:keepNext w:val="0"/>
              <w:keepLines w:val="0"/>
              <w:suppressLineNumbers w:val="0"/>
              <w:spacing w:before="0" w:beforeAutospacing="0" w:after="0" w:afterAutospacing="0" w:line="240" w:lineRule="auto"/>
              <w:ind w:left="0" w:right="0" w:firstLine="210" w:firstLineChars="100"/>
              <w:jc w:val="left"/>
              <w:rPr>
                <w:rFonts w:hint="eastAsia" w:eastAsia="宋体"/>
                <w:szCs w:val="21"/>
                <w:lang w:val="en-US" w:eastAsia="zh-CN"/>
              </w:rPr>
            </w:pPr>
            <w:r>
              <w:rPr>
                <w:rFonts w:hint="default"/>
                <w:szCs w:val="21"/>
              </w:rPr>
              <w:t>4.</w:t>
            </w:r>
            <w:r>
              <w:rPr>
                <w:rFonts w:hint="eastAsia"/>
                <w:szCs w:val="21"/>
              </w:rPr>
              <w:t>专家、讲师、导师及研讨嘉宾邀请与对接</w:t>
            </w:r>
            <w:r>
              <w:rPr>
                <w:rFonts w:hint="eastAsia"/>
                <w:szCs w:val="21"/>
                <w:lang w:val="en-US" w:eastAsia="zh-CN"/>
              </w:rPr>
              <w:t>方案；</w:t>
            </w:r>
          </w:p>
          <w:p w14:paraId="1B916398">
            <w:pPr>
              <w:keepNext w:val="0"/>
              <w:keepLines w:val="0"/>
              <w:suppressLineNumbers w:val="0"/>
              <w:spacing w:before="0" w:beforeAutospacing="0" w:after="0" w:afterAutospacing="0" w:line="240" w:lineRule="auto"/>
              <w:ind w:left="0" w:right="0" w:firstLine="210" w:firstLineChars="100"/>
              <w:jc w:val="left"/>
              <w:rPr>
                <w:rFonts w:hint="eastAsia"/>
                <w:szCs w:val="21"/>
                <w:lang w:val="en-US" w:eastAsia="zh-CN"/>
              </w:rPr>
            </w:pPr>
            <w:r>
              <w:rPr>
                <w:rFonts w:hint="default"/>
                <w:szCs w:val="21"/>
              </w:rPr>
              <w:t>5.</w:t>
            </w:r>
            <w:r>
              <w:rPr>
                <w:rFonts w:hint="eastAsia"/>
              </w:rPr>
              <w:t>大湾区科技企业、机构、高校的参访及高管交流对接</w:t>
            </w:r>
            <w:r>
              <w:rPr>
                <w:rFonts w:hint="eastAsia"/>
                <w:lang w:val="en-US" w:eastAsia="zh-CN"/>
              </w:rPr>
              <w:t>方</w:t>
            </w:r>
            <w:r>
              <w:rPr>
                <w:rFonts w:hint="eastAsia"/>
                <w:szCs w:val="21"/>
                <w:lang w:val="en-US" w:eastAsia="zh-CN"/>
              </w:rPr>
              <w:t>案；</w:t>
            </w:r>
          </w:p>
          <w:p w14:paraId="1639AB8A">
            <w:pPr>
              <w:keepNext w:val="0"/>
              <w:keepLines w:val="0"/>
              <w:suppressLineNumbers w:val="0"/>
              <w:spacing w:before="0" w:beforeAutospacing="0" w:after="0" w:afterAutospacing="0" w:line="240" w:lineRule="auto"/>
              <w:ind w:left="0" w:right="0" w:firstLine="210" w:firstLineChars="100"/>
              <w:jc w:val="left"/>
              <w:rPr>
                <w:rFonts w:hint="eastAsia"/>
                <w:szCs w:val="21"/>
              </w:rPr>
            </w:pPr>
            <w:r>
              <w:rPr>
                <w:rFonts w:hint="eastAsia"/>
                <w:szCs w:val="21"/>
              </w:rPr>
              <w:t>6.开营仪式与闭幕路演活动设计及执行；</w:t>
            </w:r>
          </w:p>
          <w:p w14:paraId="6128FDED">
            <w:pPr>
              <w:keepNext w:val="0"/>
              <w:keepLines w:val="0"/>
              <w:suppressLineNumbers w:val="0"/>
              <w:spacing w:before="0" w:beforeAutospacing="0" w:after="0" w:afterAutospacing="0" w:line="240" w:lineRule="auto"/>
              <w:ind w:left="0" w:right="0" w:firstLine="210" w:firstLineChars="100"/>
              <w:jc w:val="left"/>
              <w:rPr>
                <w:rFonts w:hint="eastAsia"/>
                <w:szCs w:val="21"/>
              </w:rPr>
            </w:pPr>
            <w:r>
              <w:rPr>
                <w:rFonts w:hint="eastAsia"/>
                <w:szCs w:val="21"/>
              </w:rPr>
              <w:t>7.投资人见面会与资源对接服务；</w:t>
            </w:r>
          </w:p>
          <w:p w14:paraId="64878D36">
            <w:pPr>
              <w:keepNext w:val="0"/>
              <w:keepLines w:val="0"/>
              <w:suppressLineNumbers w:val="0"/>
              <w:spacing w:before="0" w:beforeAutospacing="0" w:after="0" w:afterAutospacing="0" w:line="240" w:lineRule="auto"/>
              <w:ind w:left="0" w:right="0" w:firstLine="210" w:firstLineChars="100"/>
              <w:jc w:val="left"/>
              <w:rPr>
                <w:rFonts w:hint="eastAsia"/>
                <w:szCs w:val="21"/>
              </w:rPr>
            </w:pPr>
            <w:r>
              <w:rPr>
                <w:rFonts w:hint="eastAsia"/>
                <w:szCs w:val="21"/>
              </w:rPr>
              <w:t>8.配套中国文化体验与代表性参访活动。</w:t>
            </w:r>
          </w:p>
          <w:p w14:paraId="0A1B4695">
            <w:pPr>
              <w:keepNext w:val="0"/>
              <w:keepLines w:val="0"/>
              <w:suppressLineNumbers w:val="0"/>
              <w:spacing w:before="0" w:beforeAutospacing="0" w:after="0" w:afterAutospacing="0" w:line="240" w:lineRule="auto"/>
              <w:ind w:left="0" w:right="0" w:firstLine="211" w:firstLineChars="100"/>
              <w:jc w:val="left"/>
              <w:rPr>
                <w:rFonts w:hint="default" w:ascii="宋体" w:hAnsi="宋体"/>
                <w:szCs w:val="21"/>
              </w:rPr>
            </w:pPr>
            <w:r>
              <w:rPr>
                <w:rFonts w:hint="eastAsia" w:ascii="宋体" w:hAnsi="宋体"/>
                <w:b/>
                <w:bCs/>
                <w:szCs w:val="21"/>
              </w:rPr>
              <w:t>（二）评分依据：</w:t>
            </w:r>
          </w:p>
          <w:p w14:paraId="60653F3E">
            <w:pPr>
              <w:keepNext w:val="0"/>
              <w:keepLines w:val="0"/>
              <w:numPr>
                <w:ilvl w:val="255"/>
                <w:numId w:val="0"/>
              </w:numPr>
              <w:suppressLineNumbers w:val="0"/>
              <w:spacing w:before="0" w:beforeAutospacing="0" w:after="0" w:afterAutospacing="0" w:line="240" w:lineRule="auto"/>
              <w:ind w:left="0" w:right="0" w:firstLine="210" w:firstLineChars="100"/>
              <w:jc w:val="left"/>
              <w:rPr>
                <w:rFonts w:hint="default"/>
                <w:szCs w:val="21"/>
              </w:rPr>
            </w:pPr>
            <w:r>
              <w:rPr>
                <w:rFonts w:hint="eastAsia" w:ascii="宋体" w:hAnsi="宋体"/>
                <w:szCs w:val="21"/>
              </w:rPr>
              <w:t>满足以上</w:t>
            </w:r>
            <w:r>
              <w:rPr>
                <w:rFonts w:hint="eastAsia" w:ascii="宋体" w:hAnsi="宋体"/>
                <w:szCs w:val="21"/>
                <w:lang w:val="en-US" w:eastAsia="zh-CN"/>
              </w:rPr>
              <w:t>任意一点得10分，满分80分</w:t>
            </w:r>
            <w:r>
              <w:rPr>
                <w:rFonts w:hint="eastAsia" w:ascii="宋体" w:hAnsi="宋体"/>
                <w:szCs w:val="21"/>
              </w:rPr>
              <w:t>，其余</w:t>
            </w:r>
            <w:r>
              <w:rPr>
                <w:rFonts w:hint="default" w:ascii="宋体" w:hAnsi="宋体"/>
                <w:szCs w:val="21"/>
              </w:rPr>
              <w:t>不得分。</w:t>
            </w:r>
          </w:p>
          <w:p w14:paraId="77EA2DAA">
            <w:pPr>
              <w:keepNext w:val="0"/>
              <w:keepLines w:val="0"/>
              <w:suppressLineNumbers w:val="0"/>
              <w:spacing w:before="0" w:beforeAutospacing="0" w:after="0" w:afterAutospacing="0" w:line="240" w:lineRule="auto"/>
              <w:ind w:left="0" w:right="0" w:firstLine="210" w:firstLineChars="100"/>
              <w:rPr>
                <w:rFonts w:hint="default"/>
                <w:szCs w:val="21"/>
              </w:rPr>
            </w:pPr>
            <w:r>
              <w:rPr>
                <w:rFonts w:hint="eastAsia"/>
                <w:szCs w:val="21"/>
              </w:rPr>
              <w:t>在此基础上，专家根据各供应商的具体响应内容按照量化的评审因素指标进一步评审：</w:t>
            </w:r>
          </w:p>
          <w:p w14:paraId="588AB128">
            <w:pPr>
              <w:keepNext w:val="0"/>
              <w:keepLines w:val="0"/>
              <w:suppressLineNumbers w:val="0"/>
              <w:spacing w:before="0" w:beforeAutospacing="0" w:after="0" w:afterAutospacing="0" w:line="240" w:lineRule="auto"/>
              <w:ind w:left="0" w:right="0" w:firstLine="210" w:firstLineChars="100"/>
              <w:rPr>
                <w:rFonts w:hint="default" w:ascii="宋体" w:hAnsi="宋体"/>
                <w:szCs w:val="21"/>
              </w:rPr>
            </w:pPr>
            <w:r>
              <w:rPr>
                <w:rFonts w:hint="default" w:ascii="宋体" w:hAnsi="宋体"/>
                <w:szCs w:val="21"/>
              </w:rPr>
              <w:t>1</w:t>
            </w:r>
            <w:r>
              <w:rPr>
                <w:rFonts w:hint="eastAsia" w:ascii="宋体" w:hAnsi="宋体"/>
                <w:szCs w:val="21"/>
              </w:rPr>
              <w:t>.</w:t>
            </w:r>
            <w:r>
              <w:rPr>
                <w:rFonts w:hint="default" w:ascii="宋体" w:hAnsi="宋体"/>
                <w:szCs w:val="21"/>
              </w:rPr>
              <w:t>评审为优：思路清晰明确，方案合理可行，针对性强，得</w:t>
            </w:r>
            <w:r>
              <w:rPr>
                <w:rFonts w:hint="eastAsia" w:ascii="宋体" w:hAnsi="宋体"/>
                <w:szCs w:val="21"/>
              </w:rPr>
              <w:t>20</w:t>
            </w:r>
            <w:r>
              <w:rPr>
                <w:rFonts w:hint="default" w:ascii="宋体" w:hAnsi="宋体"/>
                <w:szCs w:val="21"/>
              </w:rPr>
              <w:t xml:space="preserve">分； </w:t>
            </w:r>
          </w:p>
          <w:p w14:paraId="2EB9A753">
            <w:pPr>
              <w:keepNext w:val="0"/>
              <w:keepLines w:val="0"/>
              <w:suppressLineNumbers w:val="0"/>
              <w:spacing w:before="0" w:beforeAutospacing="0" w:after="0" w:afterAutospacing="0" w:line="240" w:lineRule="auto"/>
              <w:ind w:left="0" w:right="0" w:firstLine="210" w:firstLineChars="100"/>
              <w:rPr>
                <w:rFonts w:hint="default" w:ascii="宋体" w:hAnsi="宋体"/>
                <w:szCs w:val="21"/>
              </w:rPr>
            </w:pPr>
            <w:r>
              <w:rPr>
                <w:rFonts w:hint="default" w:ascii="宋体" w:hAnsi="宋体"/>
                <w:szCs w:val="21"/>
              </w:rPr>
              <w:t>2</w:t>
            </w:r>
            <w:r>
              <w:rPr>
                <w:rFonts w:hint="eastAsia" w:ascii="宋体" w:hAnsi="宋体"/>
                <w:szCs w:val="21"/>
              </w:rPr>
              <w:t>.</w:t>
            </w:r>
            <w:r>
              <w:rPr>
                <w:rFonts w:hint="default" w:ascii="宋体" w:hAnsi="宋体"/>
                <w:szCs w:val="21"/>
              </w:rPr>
              <w:t>评审为良：思路比较清晰，方案比较合理可行，得</w:t>
            </w:r>
            <w:r>
              <w:rPr>
                <w:rFonts w:hint="eastAsia" w:ascii="宋体" w:hAnsi="宋体"/>
                <w:szCs w:val="21"/>
              </w:rPr>
              <w:t>15</w:t>
            </w:r>
            <w:r>
              <w:rPr>
                <w:rFonts w:hint="default" w:ascii="宋体" w:hAnsi="宋体"/>
                <w:szCs w:val="21"/>
              </w:rPr>
              <w:t xml:space="preserve">分； </w:t>
            </w:r>
          </w:p>
          <w:p w14:paraId="38E5991C">
            <w:pPr>
              <w:keepNext w:val="0"/>
              <w:keepLines w:val="0"/>
              <w:suppressLineNumbers w:val="0"/>
              <w:spacing w:before="0" w:beforeAutospacing="0" w:after="0" w:afterAutospacing="0" w:line="240" w:lineRule="auto"/>
              <w:ind w:left="0" w:right="0" w:firstLine="210" w:firstLineChars="100"/>
              <w:rPr>
                <w:rFonts w:hint="default" w:ascii="宋体" w:hAnsi="宋体"/>
                <w:szCs w:val="21"/>
              </w:rPr>
            </w:pPr>
            <w:r>
              <w:rPr>
                <w:rFonts w:hint="default" w:ascii="宋体" w:hAnsi="宋体"/>
                <w:szCs w:val="21"/>
              </w:rPr>
              <w:t>3</w:t>
            </w:r>
            <w:r>
              <w:rPr>
                <w:rFonts w:hint="eastAsia" w:ascii="宋体" w:hAnsi="宋体"/>
                <w:szCs w:val="21"/>
              </w:rPr>
              <w:t>.</w:t>
            </w:r>
            <w:r>
              <w:rPr>
                <w:rFonts w:hint="default" w:ascii="宋体" w:hAnsi="宋体"/>
                <w:szCs w:val="21"/>
              </w:rPr>
              <w:t xml:space="preserve">评审为中：思路基本清晰，方案基本合理可行，得10分； </w:t>
            </w:r>
          </w:p>
          <w:p w14:paraId="2F83B216">
            <w:pPr>
              <w:keepNext w:val="0"/>
              <w:keepLines w:val="0"/>
              <w:suppressLineNumbers w:val="0"/>
              <w:spacing w:before="0" w:beforeAutospacing="0" w:after="0" w:afterAutospacing="0" w:line="240" w:lineRule="auto"/>
              <w:ind w:left="0" w:right="0" w:firstLine="210" w:firstLineChars="100"/>
              <w:jc w:val="left"/>
              <w:rPr>
                <w:rFonts w:hint="default" w:ascii="宋体" w:hAnsi="宋体"/>
                <w:szCs w:val="21"/>
              </w:rPr>
            </w:pPr>
            <w:r>
              <w:rPr>
                <w:rFonts w:hint="default" w:ascii="宋体" w:hAnsi="宋体"/>
                <w:szCs w:val="21"/>
              </w:rPr>
              <w:t>4</w:t>
            </w:r>
            <w:r>
              <w:rPr>
                <w:rFonts w:hint="eastAsia" w:ascii="宋体" w:hAnsi="宋体"/>
                <w:szCs w:val="21"/>
              </w:rPr>
              <w:t>.</w:t>
            </w:r>
            <w:r>
              <w:rPr>
                <w:rFonts w:hint="default" w:ascii="宋体" w:hAnsi="宋体"/>
                <w:szCs w:val="21"/>
              </w:rPr>
              <w:t>评审为差：思路不清晰，方案不完整，不得分。</w:t>
            </w:r>
          </w:p>
          <w:p w14:paraId="3089259B">
            <w:pPr>
              <w:keepNext w:val="0"/>
              <w:keepLines w:val="0"/>
              <w:suppressLineNumbers w:val="0"/>
              <w:spacing w:before="0" w:beforeAutospacing="0" w:after="0" w:afterAutospacing="0" w:line="240" w:lineRule="auto"/>
              <w:ind w:left="0" w:right="0" w:firstLine="210" w:firstLineChars="100"/>
              <w:jc w:val="left"/>
              <w:rPr>
                <w:rFonts w:hint="eastAsia" w:ascii="宋体" w:hAnsi="宋体"/>
                <w:b/>
                <w:i/>
                <w:szCs w:val="21"/>
                <w:u w:val="single"/>
              </w:rPr>
            </w:pPr>
            <w:r>
              <w:rPr>
                <w:rFonts w:hint="eastAsia"/>
                <w:szCs w:val="21"/>
              </w:rPr>
              <w:t>如果评审为差，要求专家书面说明理由，并记录在档。</w:t>
            </w:r>
          </w:p>
        </w:tc>
      </w:tr>
      <w:tr w14:paraId="1A40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63" w:hRule="atLeast"/>
          <w:tblCellSpacing w:w="0" w:type="dxa"/>
        </w:trPr>
        <w:tc>
          <w:tcPr>
            <w:tcW w:w="446" w:type="dxa"/>
            <w:vMerge w:val="restart"/>
            <w:tcBorders>
              <w:left w:val="single" w:color="auto" w:sz="4" w:space="0"/>
              <w:right w:val="single" w:color="auto" w:sz="4" w:space="0"/>
            </w:tcBorders>
            <w:vAlign w:val="center"/>
          </w:tcPr>
          <w:p w14:paraId="1E0C13A1">
            <w:pPr>
              <w:keepNext w:val="0"/>
              <w:keepLines w:val="0"/>
              <w:widowControl/>
              <w:suppressLineNumbers w:val="0"/>
              <w:spacing w:before="0" w:beforeAutospacing="0" w:after="0" w:afterAutospacing="0"/>
              <w:ind w:left="0" w:right="0"/>
              <w:jc w:val="left"/>
              <w:rPr>
                <w:rFonts w:hint="eastAsia" w:ascii="宋体" w:hAnsi="宋体"/>
                <w:szCs w:val="21"/>
              </w:rPr>
            </w:pPr>
          </w:p>
        </w:tc>
        <w:tc>
          <w:tcPr>
            <w:tcW w:w="547" w:type="dxa"/>
            <w:tcBorders>
              <w:top w:val="single" w:color="auto" w:sz="4" w:space="0"/>
              <w:left w:val="single" w:color="auto" w:sz="4" w:space="0"/>
              <w:bottom w:val="single" w:color="auto" w:sz="4" w:space="0"/>
              <w:right w:val="single" w:color="auto" w:sz="4" w:space="0"/>
            </w:tcBorders>
            <w:vAlign w:val="center"/>
          </w:tcPr>
          <w:p w14:paraId="437D0979">
            <w:pPr>
              <w:keepNext w:val="0"/>
              <w:keepLines w:val="0"/>
              <w:suppressLineNumbers w:val="0"/>
              <w:spacing w:before="0" w:beforeAutospacing="0" w:after="0" w:afterAutospacing="0"/>
              <w:ind w:left="0" w:right="0"/>
              <w:jc w:val="center"/>
              <w:rPr>
                <w:rFonts w:hint="eastAsia" w:ascii="宋体" w:hAnsi="宋体"/>
                <w:szCs w:val="21"/>
              </w:rPr>
            </w:pPr>
            <w:r>
              <w:rPr>
                <w:rFonts w:hint="default" w:ascii="宋体" w:hAnsi="宋体"/>
                <w:szCs w:val="21"/>
              </w:rPr>
              <w:t>2</w:t>
            </w:r>
          </w:p>
        </w:tc>
        <w:tc>
          <w:tcPr>
            <w:tcW w:w="1782" w:type="dxa"/>
            <w:tcBorders>
              <w:top w:val="single" w:color="auto" w:sz="4" w:space="0"/>
              <w:left w:val="single" w:color="auto" w:sz="4" w:space="0"/>
              <w:bottom w:val="single" w:color="auto" w:sz="4" w:space="0"/>
              <w:right w:val="single" w:color="auto" w:sz="4" w:space="0"/>
            </w:tcBorders>
            <w:vAlign w:val="center"/>
          </w:tcPr>
          <w:p w14:paraId="3774EAF1">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项目重点难点分析、应对措施及相关的合理化建议</w:t>
            </w:r>
          </w:p>
        </w:tc>
        <w:tc>
          <w:tcPr>
            <w:tcW w:w="982" w:type="dxa"/>
            <w:tcBorders>
              <w:top w:val="single" w:color="auto" w:sz="4" w:space="0"/>
              <w:left w:val="single" w:color="auto" w:sz="4" w:space="0"/>
              <w:bottom w:val="single" w:color="auto" w:sz="4" w:space="0"/>
              <w:right w:val="single" w:color="auto" w:sz="4" w:space="0"/>
            </w:tcBorders>
            <w:vAlign w:val="center"/>
          </w:tcPr>
          <w:p w14:paraId="45E92B7A">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15</w:t>
            </w:r>
          </w:p>
        </w:tc>
        <w:tc>
          <w:tcPr>
            <w:tcW w:w="5291" w:type="dxa"/>
            <w:tcBorders>
              <w:top w:val="single" w:color="auto" w:sz="4" w:space="0"/>
              <w:left w:val="single" w:color="auto" w:sz="4" w:space="0"/>
              <w:bottom w:val="single" w:color="auto" w:sz="4" w:space="0"/>
              <w:right w:val="single" w:color="auto" w:sz="4" w:space="0"/>
            </w:tcBorders>
          </w:tcPr>
          <w:p w14:paraId="27504450">
            <w:pPr>
              <w:keepNext w:val="0"/>
              <w:keepLines w:val="0"/>
              <w:suppressLineNumbers w:val="0"/>
              <w:spacing w:before="0" w:beforeAutospacing="0" w:after="0" w:afterAutospacing="0"/>
              <w:ind w:left="0" w:right="0"/>
              <w:jc w:val="left"/>
              <w:rPr>
                <w:rFonts w:hint="default" w:ascii="宋体" w:hAnsi="宋体"/>
                <w:b/>
                <w:bCs/>
                <w:szCs w:val="21"/>
              </w:rPr>
            </w:pPr>
            <w:r>
              <w:rPr>
                <w:rFonts w:hint="eastAsia" w:ascii="宋体" w:hAnsi="宋体"/>
                <w:b/>
                <w:bCs/>
                <w:szCs w:val="21"/>
              </w:rPr>
              <w:t>（一）评分内容：</w:t>
            </w:r>
          </w:p>
          <w:p w14:paraId="1CB28DF0">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投标人需提供项目重点难点分析、应对措施及相关的合理化建议，包含但不限于：</w:t>
            </w:r>
          </w:p>
          <w:p w14:paraId="4BC69535">
            <w:pPr>
              <w:keepNext w:val="0"/>
              <w:keepLines w:val="0"/>
              <w:suppressLineNumbers w:val="0"/>
              <w:spacing w:before="0" w:beforeAutospacing="0" w:after="0" w:afterAutospacing="0"/>
              <w:ind w:left="0" w:right="0" w:firstLine="210" w:firstLineChars="100"/>
              <w:jc w:val="left"/>
              <w:rPr>
                <w:rFonts w:hint="eastAsia" w:eastAsia="宋体"/>
                <w:szCs w:val="21"/>
                <w:lang w:eastAsia="zh-CN"/>
              </w:rPr>
            </w:pPr>
            <w:r>
              <w:rPr>
                <w:rFonts w:hint="default"/>
                <w:szCs w:val="21"/>
              </w:rPr>
              <w:t>1.</w:t>
            </w:r>
            <w:r>
              <w:rPr>
                <w:rFonts w:hint="eastAsia" w:ascii="宋体" w:hAnsi="宋体"/>
                <w:szCs w:val="21"/>
              </w:rPr>
              <w:t>重点难点分析</w:t>
            </w:r>
            <w:r>
              <w:rPr>
                <w:rFonts w:hint="eastAsia" w:ascii="宋体" w:hAnsi="宋体"/>
                <w:szCs w:val="21"/>
                <w:lang w:eastAsia="zh-CN"/>
              </w:rPr>
              <w:t>；</w:t>
            </w:r>
          </w:p>
          <w:p w14:paraId="598063B8">
            <w:pPr>
              <w:keepNext w:val="0"/>
              <w:keepLines w:val="0"/>
              <w:suppressLineNumbers w:val="0"/>
              <w:spacing w:before="0" w:beforeAutospacing="0" w:after="0" w:afterAutospacing="0"/>
              <w:ind w:left="0" w:right="0" w:firstLine="210" w:firstLineChars="100"/>
              <w:jc w:val="left"/>
              <w:rPr>
                <w:rFonts w:hint="eastAsia" w:eastAsia="宋体"/>
                <w:szCs w:val="21"/>
                <w:lang w:eastAsia="zh-CN"/>
              </w:rPr>
            </w:pPr>
            <w:r>
              <w:rPr>
                <w:rFonts w:hint="default"/>
                <w:szCs w:val="21"/>
              </w:rPr>
              <w:t>2.</w:t>
            </w:r>
            <w:r>
              <w:rPr>
                <w:rFonts w:hint="eastAsia" w:ascii="宋体" w:hAnsi="宋体"/>
                <w:szCs w:val="21"/>
              </w:rPr>
              <w:t>应对措施</w:t>
            </w:r>
            <w:r>
              <w:rPr>
                <w:rFonts w:hint="eastAsia" w:ascii="宋体" w:hAnsi="宋体"/>
                <w:szCs w:val="21"/>
                <w:lang w:eastAsia="zh-CN"/>
              </w:rPr>
              <w:t>；</w:t>
            </w:r>
          </w:p>
          <w:p w14:paraId="5C51F76A">
            <w:pPr>
              <w:keepNext w:val="0"/>
              <w:keepLines w:val="0"/>
              <w:suppressLineNumbers w:val="0"/>
              <w:spacing w:before="0" w:beforeAutospacing="0" w:after="0" w:afterAutospacing="0"/>
              <w:ind w:left="0" w:right="0" w:firstLine="210" w:firstLineChars="100"/>
              <w:jc w:val="left"/>
              <w:rPr>
                <w:rFonts w:hint="eastAsia" w:eastAsia="宋体"/>
                <w:szCs w:val="21"/>
                <w:lang w:eastAsia="zh-CN"/>
              </w:rPr>
            </w:pPr>
            <w:r>
              <w:rPr>
                <w:rFonts w:hint="default"/>
                <w:szCs w:val="21"/>
              </w:rPr>
              <w:t>3.</w:t>
            </w:r>
            <w:r>
              <w:rPr>
                <w:rFonts w:hint="eastAsia" w:ascii="宋体" w:hAnsi="宋体"/>
                <w:szCs w:val="21"/>
              </w:rPr>
              <w:t>相关的合理化建议</w:t>
            </w:r>
            <w:r>
              <w:rPr>
                <w:rFonts w:hint="eastAsia" w:ascii="宋体" w:hAnsi="宋体"/>
                <w:szCs w:val="21"/>
                <w:lang w:eastAsia="zh-CN"/>
              </w:rPr>
              <w:t>。</w:t>
            </w:r>
          </w:p>
          <w:p w14:paraId="6C736B9F">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b/>
                <w:bCs/>
                <w:szCs w:val="21"/>
              </w:rPr>
              <w:t>（二）评分依据：</w:t>
            </w:r>
          </w:p>
          <w:p w14:paraId="51AE9BF4">
            <w:pPr>
              <w:keepNext w:val="0"/>
              <w:keepLines w:val="0"/>
              <w:numPr>
                <w:ilvl w:val="255"/>
                <w:numId w:val="0"/>
              </w:numPr>
              <w:suppressLineNumbers w:val="0"/>
              <w:spacing w:before="0" w:beforeAutospacing="0" w:after="0" w:afterAutospacing="0"/>
              <w:ind w:left="0" w:right="0" w:firstLine="210" w:firstLineChars="100"/>
              <w:jc w:val="left"/>
              <w:rPr>
                <w:rFonts w:hint="default"/>
                <w:szCs w:val="21"/>
              </w:rPr>
            </w:pPr>
            <w:r>
              <w:rPr>
                <w:rFonts w:hint="eastAsia" w:ascii="宋体" w:hAnsi="宋体"/>
                <w:szCs w:val="21"/>
              </w:rPr>
              <w:t>满足以上</w:t>
            </w:r>
            <w:r>
              <w:rPr>
                <w:rFonts w:hint="eastAsia" w:ascii="宋体" w:hAnsi="宋体"/>
                <w:szCs w:val="21"/>
                <w:lang w:val="en-US" w:eastAsia="zh-CN"/>
              </w:rPr>
              <w:t>任意一点得20分，满分60分</w:t>
            </w:r>
            <w:r>
              <w:rPr>
                <w:rFonts w:hint="eastAsia" w:ascii="宋体" w:hAnsi="宋体"/>
                <w:szCs w:val="21"/>
              </w:rPr>
              <w:t>，其余</w:t>
            </w:r>
            <w:r>
              <w:rPr>
                <w:rFonts w:hint="default" w:ascii="宋体" w:hAnsi="宋体"/>
                <w:szCs w:val="21"/>
              </w:rPr>
              <w:t>不得分。</w:t>
            </w:r>
          </w:p>
          <w:p w14:paraId="33F53D0B">
            <w:pPr>
              <w:keepNext w:val="0"/>
              <w:keepLines w:val="0"/>
              <w:suppressLineNumbers w:val="0"/>
              <w:spacing w:before="0" w:beforeAutospacing="0" w:after="0" w:afterAutospacing="0"/>
              <w:ind w:left="0" w:right="0" w:firstLine="210" w:firstLineChars="100"/>
              <w:rPr>
                <w:rFonts w:hint="default"/>
                <w:szCs w:val="21"/>
              </w:rPr>
            </w:pPr>
            <w:r>
              <w:rPr>
                <w:rFonts w:hint="eastAsia"/>
                <w:szCs w:val="21"/>
              </w:rPr>
              <w:t>在此基础上，专家根据各供应商的具体响应内容按照量化的评审因素指标进一步评审：</w:t>
            </w:r>
          </w:p>
          <w:p w14:paraId="573D28DE">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default" w:ascii="宋体" w:hAnsi="宋体"/>
                <w:szCs w:val="21"/>
              </w:rPr>
              <w:t>1</w:t>
            </w:r>
            <w:r>
              <w:rPr>
                <w:rFonts w:hint="eastAsia" w:ascii="宋体" w:hAnsi="宋体"/>
                <w:szCs w:val="21"/>
              </w:rPr>
              <w:t>.</w:t>
            </w:r>
            <w:r>
              <w:rPr>
                <w:rFonts w:hint="default" w:ascii="宋体" w:hAnsi="宋体"/>
                <w:szCs w:val="21"/>
              </w:rPr>
              <w:t>评审为优：思路清晰明确，方案合理可行，针对性强，得</w:t>
            </w:r>
            <w:r>
              <w:rPr>
                <w:rFonts w:hint="eastAsia" w:ascii="宋体" w:hAnsi="宋体"/>
                <w:szCs w:val="21"/>
                <w:lang w:val="en-US" w:eastAsia="zh-CN"/>
              </w:rPr>
              <w:t>40</w:t>
            </w:r>
            <w:r>
              <w:rPr>
                <w:rFonts w:hint="default" w:ascii="宋体" w:hAnsi="宋体"/>
                <w:szCs w:val="21"/>
              </w:rPr>
              <w:t xml:space="preserve">分； </w:t>
            </w:r>
          </w:p>
          <w:p w14:paraId="2AD47858">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default" w:ascii="宋体" w:hAnsi="宋体"/>
                <w:szCs w:val="21"/>
              </w:rPr>
              <w:t>2</w:t>
            </w:r>
            <w:r>
              <w:rPr>
                <w:rFonts w:hint="eastAsia" w:ascii="宋体" w:hAnsi="宋体"/>
                <w:szCs w:val="21"/>
              </w:rPr>
              <w:t>.</w:t>
            </w:r>
            <w:r>
              <w:rPr>
                <w:rFonts w:hint="default" w:ascii="宋体" w:hAnsi="宋体"/>
                <w:szCs w:val="21"/>
              </w:rPr>
              <w:t>评审为良：思路比较清晰，方案比较合理可行，得</w:t>
            </w:r>
            <w:r>
              <w:rPr>
                <w:rFonts w:hint="eastAsia" w:ascii="宋体" w:hAnsi="宋体"/>
                <w:szCs w:val="21"/>
                <w:lang w:val="en-US" w:eastAsia="zh-CN"/>
              </w:rPr>
              <w:t>30</w:t>
            </w:r>
            <w:r>
              <w:rPr>
                <w:rFonts w:hint="default" w:ascii="宋体" w:hAnsi="宋体"/>
                <w:szCs w:val="21"/>
              </w:rPr>
              <w:t xml:space="preserve">分； </w:t>
            </w:r>
          </w:p>
          <w:p w14:paraId="3EC7A9E8">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default" w:ascii="宋体" w:hAnsi="宋体"/>
                <w:szCs w:val="21"/>
              </w:rPr>
              <w:t>3</w:t>
            </w:r>
            <w:r>
              <w:rPr>
                <w:rFonts w:hint="eastAsia" w:ascii="宋体" w:hAnsi="宋体"/>
                <w:szCs w:val="21"/>
              </w:rPr>
              <w:t>.</w:t>
            </w:r>
            <w:r>
              <w:rPr>
                <w:rFonts w:hint="default" w:ascii="宋体" w:hAnsi="宋体"/>
                <w:szCs w:val="21"/>
              </w:rPr>
              <w:t>评审为中：思路基本清晰，方案基本合理可行，得</w:t>
            </w:r>
            <w:r>
              <w:rPr>
                <w:rFonts w:hint="eastAsia" w:ascii="宋体" w:hAnsi="宋体"/>
                <w:szCs w:val="21"/>
                <w:lang w:val="en-US" w:eastAsia="zh-CN"/>
              </w:rPr>
              <w:t>15</w:t>
            </w:r>
            <w:r>
              <w:rPr>
                <w:rFonts w:hint="default" w:ascii="宋体" w:hAnsi="宋体"/>
                <w:szCs w:val="21"/>
              </w:rPr>
              <w:t xml:space="preserve">分； </w:t>
            </w:r>
          </w:p>
          <w:p w14:paraId="37DC5BFC">
            <w:pPr>
              <w:keepNext w:val="0"/>
              <w:keepLines w:val="0"/>
              <w:suppressLineNumbers w:val="0"/>
              <w:spacing w:before="0" w:beforeAutospacing="0" w:after="0" w:afterAutospacing="0"/>
              <w:ind w:left="0" w:right="0" w:firstLine="210" w:firstLineChars="100"/>
              <w:jc w:val="left"/>
              <w:rPr>
                <w:rFonts w:hint="default" w:ascii="宋体" w:hAnsi="宋体"/>
                <w:szCs w:val="21"/>
              </w:rPr>
            </w:pPr>
            <w:r>
              <w:rPr>
                <w:rFonts w:hint="default" w:ascii="宋体" w:hAnsi="宋体"/>
                <w:szCs w:val="21"/>
              </w:rPr>
              <w:t>4</w:t>
            </w:r>
            <w:r>
              <w:rPr>
                <w:rFonts w:hint="eastAsia" w:ascii="宋体" w:hAnsi="宋体"/>
                <w:szCs w:val="21"/>
              </w:rPr>
              <w:t>.</w:t>
            </w:r>
            <w:r>
              <w:rPr>
                <w:rFonts w:hint="default" w:ascii="宋体" w:hAnsi="宋体"/>
                <w:szCs w:val="21"/>
              </w:rPr>
              <w:t>评审为差：思路不清晰，方案不完整，不得分。</w:t>
            </w:r>
          </w:p>
          <w:p w14:paraId="20944A12">
            <w:pPr>
              <w:keepNext w:val="0"/>
              <w:keepLines w:val="0"/>
              <w:suppressLineNumbers w:val="0"/>
              <w:spacing w:before="0" w:beforeAutospacing="0" w:after="0" w:afterAutospacing="0"/>
              <w:ind w:left="0" w:right="0" w:firstLine="210" w:firstLineChars="100"/>
              <w:jc w:val="left"/>
              <w:rPr>
                <w:rFonts w:hint="eastAsia" w:ascii="宋体" w:hAnsi="宋体"/>
                <w:szCs w:val="21"/>
              </w:rPr>
            </w:pPr>
            <w:r>
              <w:rPr>
                <w:rFonts w:hint="eastAsia"/>
                <w:szCs w:val="21"/>
              </w:rPr>
              <w:t>如果评审为差，要求专家书面说明理由，并记录在档。</w:t>
            </w:r>
          </w:p>
        </w:tc>
      </w:tr>
      <w:tr w14:paraId="0E79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63" w:hRule="atLeast"/>
          <w:tblCellSpacing w:w="0" w:type="dxa"/>
        </w:trPr>
        <w:tc>
          <w:tcPr>
            <w:tcW w:w="446" w:type="dxa"/>
            <w:vMerge w:val="continue"/>
            <w:tcBorders>
              <w:left w:val="single" w:color="auto" w:sz="4" w:space="0"/>
              <w:right w:val="single" w:color="auto" w:sz="4" w:space="0"/>
            </w:tcBorders>
            <w:vAlign w:val="center"/>
          </w:tcPr>
          <w:p w14:paraId="0F5A57AB">
            <w:pPr>
              <w:keepNext w:val="0"/>
              <w:keepLines w:val="0"/>
              <w:widowControl/>
              <w:suppressLineNumbers w:val="0"/>
              <w:spacing w:before="0" w:beforeAutospacing="0" w:after="0" w:afterAutospacing="0"/>
              <w:ind w:left="0" w:right="0"/>
              <w:jc w:val="left"/>
              <w:rPr>
                <w:rFonts w:hint="eastAsia" w:ascii="宋体" w:hAnsi="宋体"/>
                <w:szCs w:val="21"/>
              </w:rPr>
            </w:pPr>
          </w:p>
        </w:tc>
        <w:tc>
          <w:tcPr>
            <w:tcW w:w="547" w:type="dxa"/>
            <w:tcBorders>
              <w:top w:val="single" w:color="auto" w:sz="4" w:space="0"/>
              <w:left w:val="single" w:color="auto" w:sz="4" w:space="0"/>
              <w:bottom w:val="single" w:color="auto" w:sz="4" w:space="0"/>
              <w:right w:val="single" w:color="auto" w:sz="4" w:space="0"/>
            </w:tcBorders>
            <w:vAlign w:val="center"/>
          </w:tcPr>
          <w:p w14:paraId="0DB57E27">
            <w:pPr>
              <w:keepNext w:val="0"/>
              <w:keepLines w:val="0"/>
              <w:suppressLineNumbers w:val="0"/>
              <w:spacing w:before="0" w:beforeAutospacing="0" w:after="0" w:afterAutospacing="0"/>
              <w:ind w:left="0" w:right="0"/>
              <w:jc w:val="center"/>
              <w:rPr>
                <w:rFonts w:hint="eastAsia" w:ascii="宋体" w:hAnsi="宋体"/>
                <w:szCs w:val="21"/>
              </w:rPr>
            </w:pPr>
            <w:r>
              <w:rPr>
                <w:rFonts w:hint="default" w:ascii="宋体" w:hAnsi="宋体"/>
                <w:szCs w:val="21"/>
              </w:rPr>
              <w:t>3</w:t>
            </w:r>
          </w:p>
        </w:tc>
        <w:tc>
          <w:tcPr>
            <w:tcW w:w="1782" w:type="dxa"/>
            <w:tcBorders>
              <w:top w:val="single" w:color="auto" w:sz="4" w:space="0"/>
              <w:left w:val="single" w:color="auto" w:sz="4" w:space="0"/>
              <w:bottom w:val="single" w:color="auto" w:sz="4" w:space="0"/>
              <w:right w:val="single" w:color="auto" w:sz="4" w:space="0"/>
            </w:tcBorders>
            <w:vAlign w:val="center"/>
          </w:tcPr>
          <w:p w14:paraId="75A1BF1E">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质量（完成时间、安全、环保）保障措施及方案</w:t>
            </w:r>
          </w:p>
        </w:tc>
        <w:tc>
          <w:tcPr>
            <w:tcW w:w="982" w:type="dxa"/>
            <w:tcBorders>
              <w:top w:val="single" w:color="auto" w:sz="4" w:space="0"/>
              <w:left w:val="single" w:color="auto" w:sz="4" w:space="0"/>
              <w:bottom w:val="single" w:color="auto" w:sz="4" w:space="0"/>
              <w:right w:val="single" w:color="auto" w:sz="4" w:space="0"/>
            </w:tcBorders>
            <w:vAlign w:val="center"/>
          </w:tcPr>
          <w:p w14:paraId="61B12394">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15</w:t>
            </w:r>
          </w:p>
        </w:tc>
        <w:tc>
          <w:tcPr>
            <w:tcW w:w="5291" w:type="dxa"/>
            <w:tcBorders>
              <w:top w:val="single" w:color="auto" w:sz="4" w:space="0"/>
              <w:left w:val="single" w:color="auto" w:sz="4" w:space="0"/>
              <w:bottom w:val="single" w:color="auto" w:sz="4" w:space="0"/>
              <w:right w:val="single" w:color="auto" w:sz="4" w:space="0"/>
            </w:tcBorders>
          </w:tcPr>
          <w:p w14:paraId="69F3F02A">
            <w:pPr>
              <w:keepNext w:val="0"/>
              <w:keepLines w:val="0"/>
              <w:suppressLineNumbers w:val="0"/>
              <w:spacing w:before="0" w:beforeAutospacing="0" w:after="0" w:afterAutospacing="0"/>
              <w:ind w:left="0" w:right="0"/>
              <w:jc w:val="left"/>
              <w:rPr>
                <w:rFonts w:hint="default" w:ascii="宋体" w:hAnsi="宋体"/>
                <w:b/>
                <w:bCs/>
                <w:szCs w:val="21"/>
              </w:rPr>
            </w:pPr>
            <w:r>
              <w:rPr>
                <w:rFonts w:hint="eastAsia" w:ascii="宋体" w:hAnsi="宋体"/>
                <w:b/>
                <w:bCs/>
                <w:szCs w:val="21"/>
              </w:rPr>
              <w:t>（一）评分内容：</w:t>
            </w:r>
          </w:p>
          <w:p w14:paraId="49C16819">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投标人需提供项目质量（完成时间、安全、环保）保障措施及方案，包含但不限于：</w:t>
            </w:r>
          </w:p>
          <w:p w14:paraId="60B4348B">
            <w:pPr>
              <w:keepNext w:val="0"/>
              <w:keepLines w:val="0"/>
              <w:suppressLineNumbers w:val="0"/>
              <w:spacing w:before="0" w:beforeAutospacing="0" w:after="0" w:afterAutospacing="0"/>
              <w:ind w:left="0" w:right="0" w:firstLine="210" w:firstLineChars="100"/>
              <w:jc w:val="left"/>
              <w:rPr>
                <w:rFonts w:hint="default" w:eastAsia="宋体"/>
                <w:szCs w:val="21"/>
                <w:lang w:val="en-US" w:eastAsia="zh-CN"/>
              </w:rPr>
            </w:pPr>
            <w:r>
              <w:rPr>
                <w:rFonts w:hint="default"/>
                <w:szCs w:val="21"/>
              </w:rPr>
              <w:t>1.</w:t>
            </w:r>
            <w:r>
              <w:rPr>
                <w:rFonts w:hint="eastAsia" w:ascii="宋体" w:hAnsi="宋体"/>
                <w:szCs w:val="21"/>
              </w:rPr>
              <w:t>完成时间</w:t>
            </w:r>
            <w:r>
              <w:rPr>
                <w:rFonts w:hint="eastAsia" w:ascii="宋体" w:hAnsi="宋体"/>
                <w:szCs w:val="21"/>
                <w:lang w:val="en-US" w:eastAsia="zh-CN"/>
              </w:rPr>
              <w:t>保障方案；</w:t>
            </w:r>
          </w:p>
          <w:p w14:paraId="6A1719B4">
            <w:pPr>
              <w:keepNext w:val="0"/>
              <w:keepLines w:val="0"/>
              <w:suppressLineNumbers w:val="0"/>
              <w:spacing w:before="0" w:beforeAutospacing="0" w:after="0" w:afterAutospacing="0"/>
              <w:ind w:left="0" w:right="0" w:firstLine="210" w:firstLineChars="100"/>
              <w:jc w:val="left"/>
              <w:rPr>
                <w:rFonts w:hint="default" w:eastAsia="宋体"/>
                <w:szCs w:val="21"/>
                <w:lang w:val="en-US" w:eastAsia="zh-CN"/>
              </w:rPr>
            </w:pPr>
            <w:r>
              <w:rPr>
                <w:rFonts w:hint="default"/>
                <w:szCs w:val="21"/>
              </w:rPr>
              <w:t>2.</w:t>
            </w:r>
            <w:r>
              <w:rPr>
                <w:rFonts w:hint="eastAsia"/>
                <w:szCs w:val="21"/>
                <w:lang w:val="en-US" w:eastAsia="zh-CN"/>
              </w:rPr>
              <w:t>安全保障方案（境内、境外）。</w:t>
            </w:r>
          </w:p>
          <w:p w14:paraId="48757D85">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b/>
                <w:bCs/>
                <w:szCs w:val="21"/>
              </w:rPr>
              <w:t>（二）评分依据：</w:t>
            </w:r>
          </w:p>
          <w:p w14:paraId="49AF63BD">
            <w:pPr>
              <w:keepNext w:val="0"/>
              <w:keepLines w:val="0"/>
              <w:suppressLineNumbers w:val="0"/>
              <w:spacing w:before="0" w:beforeAutospacing="0" w:after="0" w:afterAutospacing="0"/>
              <w:ind w:left="0" w:right="0" w:firstLine="210" w:firstLineChars="100"/>
              <w:rPr>
                <w:rFonts w:hint="default"/>
                <w:szCs w:val="21"/>
              </w:rPr>
            </w:pPr>
            <w:r>
              <w:rPr>
                <w:rFonts w:hint="eastAsia" w:ascii="宋体" w:hAnsi="宋体"/>
                <w:szCs w:val="21"/>
              </w:rPr>
              <w:t>满足以上</w:t>
            </w:r>
            <w:r>
              <w:rPr>
                <w:rFonts w:hint="eastAsia" w:ascii="宋体" w:hAnsi="宋体"/>
                <w:szCs w:val="21"/>
                <w:lang w:val="en-US" w:eastAsia="zh-CN"/>
              </w:rPr>
              <w:t>任意一点得30分，满分60分</w:t>
            </w:r>
            <w:r>
              <w:rPr>
                <w:rFonts w:hint="eastAsia" w:ascii="宋体" w:hAnsi="宋体"/>
                <w:szCs w:val="21"/>
              </w:rPr>
              <w:t>，其余</w:t>
            </w:r>
            <w:r>
              <w:rPr>
                <w:rFonts w:hint="default" w:ascii="宋体" w:hAnsi="宋体"/>
                <w:szCs w:val="21"/>
              </w:rPr>
              <w:t>不得分。</w:t>
            </w:r>
            <w:r>
              <w:rPr>
                <w:rFonts w:hint="eastAsia"/>
                <w:szCs w:val="21"/>
              </w:rPr>
              <w:t>在此基础上，专家根据各供应商的具体响应内容按照量化的评审因素指标进一步评审：</w:t>
            </w:r>
          </w:p>
          <w:p w14:paraId="1B46F471">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default" w:ascii="宋体" w:hAnsi="宋体"/>
                <w:szCs w:val="21"/>
              </w:rPr>
              <w:t>1</w:t>
            </w:r>
            <w:r>
              <w:rPr>
                <w:rFonts w:hint="eastAsia" w:ascii="宋体" w:hAnsi="宋体"/>
                <w:szCs w:val="21"/>
              </w:rPr>
              <w:t>.</w:t>
            </w:r>
            <w:r>
              <w:rPr>
                <w:rFonts w:hint="default" w:ascii="宋体" w:hAnsi="宋体"/>
                <w:szCs w:val="21"/>
              </w:rPr>
              <w:t>评审为优：思路清晰明确，方案合理可行，针对性强，得</w:t>
            </w:r>
            <w:r>
              <w:rPr>
                <w:rFonts w:hint="eastAsia" w:ascii="宋体" w:hAnsi="宋体"/>
                <w:szCs w:val="21"/>
                <w:lang w:val="en-US" w:eastAsia="zh-CN"/>
              </w:rPr>
              <w:t>40</w:t>
            </w:r>
            <w:r>
              <w:rPr>
                <w:rFonts w:hint="default" w:ascii="宋体" w:hAnsi="宋体"/>
                <w:szCs w:val="21"/>
              </w:rPr>
              <w:t xml:space="preserve">分； </w:t>
            </w:r>
          </w:p>
          <w:p w14:paraId="2E0476B7">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default" w:ascii="宋体" w:hAnsi="宋体"/>
                <w:szCs w:val="21"/>
              </w:rPr>
              <w:t>2</w:t>
            </w:r>
            <w:r>
              <w:rPr>
                <w:rFonts w:hint="eastAsia" w:ascii="宋体" w:hAnsi="宋体"/>
                <w:szCs w:val="21"/>
              </w:rPr>
              <w:t>.</w:t>
            </w:r>
            <w:r>
              <w:rPr>
                <w:rFonts w:hint="default" w:ascii="宋体" w:hAnsi="宋体"/>
                <w:szCs w:val="21"/>
              </w:rPr>
              <w:t>评审为良：思路比较清晰，方案比较合理可行，得</w:t>
            </w:r>
            <w:r>
              <w:rPr>
                <w:rFonts w:hint="eastAsia" w:ascii="宋体" w:hAnsi="宋体"/>
                <w:szCs w:val="21"/>
                <w:lang w:val="en-US" w:eastAsia="zh-CN"/>
              </w:rPr>
              <w:t>30</w:t>
            </w:r>
            <w:r>
              <w:rPr>
                <w:rFonts w:hint="default" w:ascii="宋体" w:hAnsi="宋体"/>
                <w:szCs w:val="21"/>
              </w:rPr>
              <w:t xml:space="preserve">分； </w:t>
            </w:r>
          </w:p>
          <w:p w14:paraId="695296AF">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default" w:ascii="宋体" w:hAnsi="宋体"/>
                <w:szCs w:val="21"/>
              </w:rPr>
              <w:t>3</w:t>
            </w:r>
            <w:r>
              <w:rPr>
                <w:rFonts w:hint="eastAsia" w:ascii="宋体" w:hAnsi="宋体"/>
                <w:szCs w:val="21"/>
              </w:rPr>
              <w:t>.</w:t>
            </w:r>
            <w:r>
              <w:rPr>
                <w:rFonts w:hint="default" w:ascii="宋体" w:hAnsi="宋体"/>
                <w:szCs w:val="21"/>
              </w:rPr>
              <w:t>评审为中：思路基本清晰，方案基本合理可行，得1</w:t>
            </w:r>
            <w:r>
              <w:rPr>
                <w:rFonts w:hint="eastAsia" w:ascii="宋体" w:hAnsi="宋体"/>
                <w:szCs w:val="21"/>
                <w:lang w:val="en-US" w:eastAsia="zh-CN"/>
              </w:rPr>
              <w:t>5</w:t>
            </w:r>
            <w:r>
              <w:rPr>
                <w:rFonts w:hint="default" w:ascii="宋体" w:hAnsi="宋体"/>
                <w:szCs w:val="21"/>
              </w:rPr>
              <w:t xml:space="preserve">分； </w:t>
            </w:r>
          </w:p>
          <w:p w14:paraId="52EFD0B5">
            <w:pPr>
              <w:keepNext w:val="0"/>
              <w:keepLines w:val="0"/>
              <w:suppressLineNumbers w:val="0"/>
              <w:spacing w:before="0" w:beforeAutospacing="0" w:after="0" w:afterAutospacing="0"/>
              <w:ind w:left="0" w:right="0" w:firstLine="210" w:firstLineChars="100"/>
              <w:jc w:val="left"/>
              <w:rPr>
                <w:rFonts w:hint="default" w:ascii="宋体" w:hAnsi="宋体"/>
                <w:szCs w:val="21"/>
              </w:rPr>
            </w:pPr>
            <w:r>
              <w:rPr>
                <w:rFonts w:hint="default" w:ascii="宋体" w:hAnsi="宋体"/>
                <w:szCs w:val="21"/>
              </w:rPr>
              <w:t>4</w:t>
            </w:r>
            <w:r>
              <w:rPr>
                <w:rFonts w:hint="eastAsia" w:ascii="宋体" w:hAnsi="宋体"/>
                <w:szCs w:val="21"/>
              </w:rPr>
              <w:t>.</w:t>
            </w:r>
            <w:r>
              <w:rPr>
                <w:rFonts w:hint="default" w:ascii="宋体" w:hAnsi="宋体"/>
                <w:szCs w:val="21"/>
              </w:rPr>
              <w:t>评审为差：思路不清晰，方案不完整，不得分。</w:t>
            </w:r>
          </w:p>
          <w:p w14:paraId="1CEBBBCD">
            <w:pPr>
              <w:keepNext w:val="0"/>
              <w:keepLines w:val="0"/>
              <w:suppressLineNumbers w:val="0"/>
              <w:spacing w:before="0" w:beforeAutospacing="0" w:after="0" w:afterAutospacing="0"/>
              <w:ind w:left="0" w:right="0" w:firstLine="210" w:firstLineChars="100"/>
              <w:jc w:val="left"/>
              <w:rPr>
                <w:rFonts w:hint="eastAsia" w:ascii="宋体" w:hAnsi="宋体"/>
                <w:szCs w:val="21"/>
              </w:rPr>
            </w:pPr>
            <w:r>
              <w:rPr>
                <w:rFonts w:hint="eastAsia"/>
                <w:szCs w:val="21"/>
              </w:rPr>
              <w:t>如果评审为差，要求专家书面说明理由，并记录在档。</w:t>
            </w:r>
          </w:p>
        </w:tc>
      </w:tr>
      <w:tr w14:paraId="7E73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cantSplit/>
          <w:trHeight w:val="269" w:hRule="atLeast"/>
          <w:tblCellSpacing w:w="0" w:type="dxa"/>
        </w:trPr>
        <w:tc>
          <w:tcPr>
            <w:tcW w:w="446" w:type="dxa"/>
            <w:tcBorders>
              <w:top w:val="single" w:color="auto" w:sz="4" w:space="0"/>
              <w:left w:val="single" w:color="auto" w:sz="4" w:space="0"/>
              <w:bottom w:val="single" w:color="auto" w:sz="4" w:space="0"/>
              <w:right w:val="single" w:color="auto" w:sz="4" w:space="0"/>
            </w:tcBorders>
          </w:tcPr>
          <w:p w14:paraId="1D2AA533">
            <w:pPr>
              <w:keepNext w:val="0"/>
              <w:keepLines w:val="0"/>
              <w:suppressLineNumbers w:val="0"/>
              <w:spacing w:before="0" w:beforeAutospacing="0" w:after="0" w:afterAutospacing="0"/>
              <w:ind w:left="0" w:right="0"/>
              <w:jc w:val="center"/>
              <w:rPr>
                <w:rFonts w:hint="eastAsia" w:ascii="宋体" w:hAnsi="宋体"/>
                <w:szCs w:val="21"/>
              </w:rPr>
            </w:pPr>
            <w:r>
              <w:rPr>
                <w:rFonts w:hint="default" w:ascii="宋体" w:hAnsi="宋体"/>
                <w:szCs w:val="21"/>
              </w:rPr>
              <w:t>3</w:t>
            </w:r>
          </w:p>
        </w:tc>
        <w:tc>
          <w:tcPr>
            <w:tcW w:w="3311" w:type="dxa"/>
            <w:gridSpan w:val="3"/>
            <w:tcBorders>
              <w:top w:val="single" w:color="auto" w:sz="4" w:space="0"/>
              <w:left w:val="single" w:color="auto" w:sz="4" w:space="0"/>
              <w:bottom w:val="single" w:color="auto" w:sz="4" w:space="0"/>
              <w:right w:val="single" w:color="auto" w:sz="4" w:space="0"/>
            </w:tcBorders>
          </w:tcPr>
          <w:p w14:paraId="2D2355D6">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综合实力</w:t>
            </w:r>
          </w:p>
        </w:tc>
        <w:tc>
          <w:tcPr>
            <w:tcW w:w="5291" w:type="dxa"/>
            <w:tcBorders>
              <w:top w:val="single" w:color="auto" w:sz="4" w:space="0"/>
              <w:left w:val="single" w:color="auto" w:sz="4" w:space="0"/>
              <w:bottom w:val="single" w:color="auto" w:sz="4" w:space="0"/>
              <w:right w:val="single" w:color="auto" w:sz="4" w:space="0"/>
            </w:tcBorders>
          </w:tcPr>
          <w:p w14:paraId="557BA249">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30</w:t>
            </w:r>
          </w:p>
        </w:tc>
      </w:tr>
      <w:tr w14:paraId="1CF3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cantSplit/>
          <w:trHeight w:val="81" w:hRule="atLeast"/>
          <w:tblCellSpacing w:w="0" w:type="dxa"/>
        </w:trPr>
        <w:tc>
          <w:tcPr>
            <w:tcW w:w="446" w:type="dxa"/>
            <w:vMerge w:val="restart"/>
            <w:tcBorders>
              <w:top w:val="single" w:color="auto" w:sz="4" w:space="0"/>
              <w:left w:val="single" w:color="auto" w:sz="4" w:space="0"/>
              <w:right w:val="single" w:color="auto" w:sz="4" w:space="0"/>
            </w:tcBorders>
          </w:tcPr>
          <w:p w14:paraId="1A7A8229">
            <w:pPr>
              <w:keepNext w:val="0"/>
              <w:keepLines w:val="0"/>
              <w:suppressLineNumbers w:val="0"/>
              <w:spacing w:before="0" w:beforeAutospacing="0" w:after="0" w:afterAutospacing="0"/>
              <w:ind w:left="0" w:right="0"/>
              <w:jc w:val="center"/>
              <w:rPr>
                <w:rFonts w:hint="eastAsia" w:ascii="宋体" w:hAnsi="宋体"/>
                <w:szCs w:val="21"/>
              </w:rPr>
            </w:pPr>
          </w:p>
        </w:tc>
        <w:tc>
          <w:tcPr>
            <w:tcW w:w="547" w:type="dxa"/>
            <w:tcBorders>
              <w:top w:val="single" w:color="auto" w:sz="4" w:space="0"/>
              <w:left w:val="single" w:color="auto" w:sz="4" w:space="0"/>
              <w:bottom w:val="single" w:color="auto" w:sz="4" w:space="0"/>
              <w:right w:val="single" w:color="auto" w:sz="4" w:space="0"/>
            </w:tcBorders>
          </w:tcPr>
          <w:p w14:paraId="3C2B20AF">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序号</w:t>
            </w:r>
          </w:p>
        </w:tc>
        <w:tc>
          <w:tcPr>
            <w:tcW w:w="1782" w:type="dxa"/>
            <w:tcBorders>
              <w:top w:val="single" w:color="auto" w:sz="4" w:space="0"/>
              <w:left w:val="single" w:color="auto" w:sz="4" w:space="0"/>
              <w:bottom w:val="single" w:color="auto" w:sz="4" w:space="0"/>
              <w:right w:val="single" w:color="auto" w:sz="4" w:space="0"/>
            </w:tcBorders>
          </w:tcPr>
          <w:p w14:paraId="55C87D6C">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评分因素</w:t>
            </w:r>
          </w:p>
        </w:tc>
        <w:tc>
          <w:tcPr>
            <w:tcW w:w="982" w:type="dxa"/>
            <w:tcBorders>
              <w:top w:val="single" w:color="auto" w:sz="4" w:space="0"/>
              <w:left w:val="single" w:color="auto" w:sz="4" w:space="0"/>
              <w:bottom w:val="single" w:color="auto" w:sz="4" w:space="0"/>
              <w:right w:val="single" w:color="auto" w:sz="4" w:space="0"/>
            </w:tcBorders>
          </w:tcPr>
          <w:p w14:paraId="0F238139">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权重</w:t>
            </w:r>
          </w:p>
        </w:tc>
        <w:tc>
          <w:tcPr>
            <w:tcW w:w="5291" w:type="dxa"/>
            <w:tcBorders>
              <w:top w:val="single" w:color="auto" w:sz="4" w:space="0"/>
              <w:left w:val="single" w:color="auto" w:sz="4" w:space="0"/>
              <w:bottom w:val="single" w:color="auto" w:sz="4" w:space="0"/>
              <w:right w:val="single" w:color="auto" w:sz="4" w:space="0"/>
            </w:tcBorders>
          </w:tcPr>
          <w:p w14:paraId="76D89370">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评分准则</w:t>
            </w:r>
          </w:p>
        </w:tc>
      </w:tr>
      <w:tr w14:paraId="1A98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cantSplit/>
          <w:trHeight w:val="78" w:hRule="atLeast"/>
          <w:tblCellSpacing w:w="0" w:type="dxa"/>
        </w:trPr>
        <w:tc>
          <w:tcPr>
            <w:tcW w:w="446" w:type="dxa"/>
            <w:vMerge w:val="continue"/>
            <w:tcBorders>
              <w:left w:val="single" w:color="auto" w:sz="4" w:space="0"/>
              <w:right w:val="single" w:color="auto" w:sz="4" w:space="0"/>
            </w:tcBorders>
            <w:vAlign w:val="center"/>
          </w:tcPr>
          <w:p w14:paraId="0A4557B9">
            <w:pPr>
              <w:keepNext w:val="0"/>
              <w:keepLines w:val="0"/>
              <w:widowControl/>
              <w:suppressLineNumbers w:val="0"/>
              <w:spacing w:before="0" w:beforeAutospacing="0" w:after="0" w:afterAutospacing="0"/>
              <w:ind w:left="0" w:right="0"/>
              <w:jc w:val="left"/>
              <w:rPr>
                <w:rFonts w:hint="eastAsia" w:ascii="宋体" w:hAnsi="宋体"/>
                <w:szCs w:val="21"/>
              </w:rPr>
            </w:pPr>
          </w:p>
        </w:tc>
        <w:tc>
          <w:tcPr>
            <w:tcW w:w="547" w:type="dxa"/>
            <w:tcBorders>
              <w:top w:val="single" w:color="auto" w:sz="4" w:space="0"/>
              <w:left w:val="single" w:color="auto" w:sz="4" w:space="0"/>
              <w:bottom w:val="single" w:color="auto" w:sz="4" w:space="0"/>
              <w:right w:val="single" w:color="auto" w:sz="4" w:space="0"/>
            </w:tcBorders>
            <w:vAlign w:val="center"/>
          </w:tcPr>
          <w:p w14:paraId="260F16F2">
            <w:pPr>
              <w:keepNext w:val="0"/>
              <w:keepLines w:val="0"/>
              <w:suppressLineNumbers w:val="0"/>
              <w:spacing w:before="0" w:beforeAutospacing="0" w:after="0" w:afterAutospacing="0"/>
              <w:ind w:left="0" w:right="0"/>
              <w:jc w:val="center"/>
              <w:rPr>
                <w:rFonts w:hint="eastAsia" w:ascii="宋体" w:hAnsi="宋体"/>
                <w:szCs w:val="21"/>
              </w:rPr>
            </w:pPr>
            <w:r>
              <w:rPr>
                <w:rFonts w:hint="default" w:ascii="宋体" w:hAnsi="宋体"/>
                <w:szCs w:val="21"/>
              </w:rPr>
              <w:t>1</w:t>
            </w:r>
          </w:p>
        </w:tc>
        <w:tc>
          <w:tcPr>
            <w:tcW w:w="1782" w:type="dxa"/>
            <w:tcBorders>
              <w:top w:val="single" w:color="auto" w:sz="4" w:space="0"/>
              <w:left w:val="single" w:color="auto" w:sz="4" w:space="0"/>
              <w:bottom w:val="single" w:color="auto" w:sz="4" w:space="0"/>
              <w:right w:val="single" w:color="auto" w:sz="4" w:space="0"/>
            </w:tcBorders>
            <w:vAlign w:val="center"/>
          </w:tcPr>
          <w:p w14:paraId="3AEB65E7">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拟安排的项目负责人情况（仅限一人）</w:t>
            </w:r>
          </w:p>
        </w:tc>
        <w:tc>
          <w:tcPr>
            <w:tcW w:w="982" w:type="dxa"/>
            <w:tcBorders>
              <w:top w:val="single" w:color="auto" w:sz="4" w:space="0"/>
              <w:left w:val="single" w:color="auto" w:sz="4" w:space="0"/>
              <w:bottom w:val="single" w:color="auto" w:sz="4" w:space="0"/>
              <w:right w:val="single" w:color="auto" w:sz="4" w:space="0"/>
            </w:tcBorders>
            <w:vAlign w:val="center"/>
          </w:tcPr>
          <w:p w14:paraId="5FEF7BA8">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default" w:ascii="宋体" w:hAnsi="宋体"/>
                <w:szCs w:val="21"/>
                <w:lang w:val="en-US" w:eastAsia="zh-CN"/>
              </w:rPr>
              <w:t>5</w:t>
            </w:r>
          </w:p>
        </w:tc>
        <w:tc>
          <w:tcPr>
            <w:tcW w:w="5291" w:type="dxa"/>
            <w:tcBorders>
              <w:top w:val="single" w:color="auto" w:sz="4" w:space="0"/>
              <w:left w:val="single" w:color="auto" w:sz="4" w:space="0"/>
              <w:bottom w:val="single" w:color="auto" w:sz="4" w:space="0"/>
              <w:right w:val="single" w:color="auto" w:sz="4" w:space="0"/>
            </w:tcBorders>
          </w:tcPr>
          <w:p w14:paraId="18B5A2E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szCs w:val="21"/>
              </w:rPr>
            </w:pPr>
            <w:r>
              <w:rPr>
                <w:rFonts w:hint="eastAsia" w:ascii="宋体" w:hAnsi="宋体"/>
                <w:szCs w:val="21"/>
              </w:rPr>
              <w:t>（一）项目负责人须是投标人的正式聘任员工。在此基础上，评分内容：</w:t>
            </w:r>
          </w:p>
          <w:p w14:paraId="64CD1A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szCs w:val="21"/>
              </w:rPr>
            </w:pPr>
            <w:r>
              <w:rPr>
                <w:rFonts w:hint="eastAsia" w:ascii="宋体" w:hAnsi="宋体"/>
                <w:szCs w:val="21"/>
              </w:rPr>
              <w:t>1.项目负责人具有理工科</w:t>
            </w:r>
            <w:r>
              <w:rPr>
                <w:rFonts w:hint="eastAsia" w:ascii="宋体" w:hAnsi="宋体"/>
                <w:szCs w:val="21"/>
                <w:lang w:val="en-US" w:eastAsia="zh-CN"/>
              </w:rPr>
              <w:t>研究生</w:t>
            </w:r>
            <w:r>
              <w:rPr>
                <w:rFonts w:hint="eastAsia" w:ascii="宋体" w:hAnsi="宋体"/>
                <w:szCs w:val="21"/>
              </w:rPr>
              <w:t>及以上学历的</w:t>
            </w:r>
            <w:r>
              <w:rPr>
                <w:rFonts w:hint="eastAsia" w:ascii="宋体" w:hAnsi="宋体"/>
                <w:szCs w:val="21"/>
                <w:lang w:eastAsia="zh-CN"/>
              </w:rPr>
              <w:t>，</w:t>
            </w:r>
            <w:r>
              <w:rPr>
                <w:rFonts w:hint="eastAsia" w:ascii="宋体" w:hAnsi="宋体"/>
                <w:szCs w:val="21"/>
              </w:rPr>
              <w:t>得</w:t>
            </w:r>
            <w:r>
              <w:rPr>
                <w:rFonts w:hint="eastAsia" w:ascii="宋体" w:hAnsi="宋体"/>
                <w:szCs w:val="21"/>
                <w:lang w:val="en-US" w:eastAsia="zh-CN"/>
              </w:rPr>
              <w:t>50</w:t>
            </w:r>
            <w:r>
              <w:rPr>
                <w:rFonts w:hint="eastAsia" w:ascii="宋体" w:hAnsi="宋体"/>
                <w:szCs w:val="21"/>
              </w:rPr>
              <w:t>分。</w:t>
            </w:r>
          </w:p>
          <w:p w14:paraId="1F2C2A24">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项目负责人具有</w:t>
            </w:r>
            <w:r>
              <w:rPr>
                <w:rFonts w:hint="eastAsia" w:ascii="宋体" w:hAnsi="宋体" w:eastAsia="宋体" w:cs="宋体"/>
                <w:sz w:val="21"/>
                <w:szCs w:val="21"/>
              </w:rPr>
              <w:t>国际</w:t>
            </w:r>
            <w:r>
              <w:rPr>
                <w:rFonts w:hint="eastAsia" w:ascii="宋体" w:hAnsi="宋体" w:cs="宋体"/>
                <w:sz w:val="21"/>
                <w:szCs w:val="21"/>
                <w:lang w:eastAsia="zh-CN"/>
              </w:rPr>
              <w:t>（</w:t>
            </w:r>
            <w:r>
              <w:rPr>
                <w:rFonts w:hint="eastAsia" w:ascii="宋体" w:hAnsi="宋体" w:cs="宋体"/>
                <w:sz w:val="21"/>
                <w:szCs w:val="21"/>
                <w:lang w:val="en-US" w:eastAsia="zh-CN"/>
              </w:rPr>
              <w:t>跨境</w:t>
            </w:r>
            <w:r>
              <w:rPr>
                <w:rFonts w:hint="eastAsia" w:ascii="宋体" w:hAnsi="宋体" w:cs="宋体"/>
                <w:sz w:val="21"/>
                <w:szCs w:val="21"/>
                <w:lang w:eastAsia="zh-CN"/>
              </w:rPr>
              <w:t>）</w:t>
            </w:r>
            <w:r>
              <w:rPr>
                <w:rFonts w:hint="eastAsia" w:ascii="宋体" w:hAnsi="宋体" w:eastAsia="宋体" w:cs="宋体"/>
                <w:sz w:val="21"/>
                <w:szCs w:val="21"/>
              </w:rPr>
              <w:t>商务活动组织经验</w:t>
            </w:r>
            <w:r>
              <w:rPr>
                <w:rFonts w:hint="eastAsia" w:ascii="宋体" w:hAnsi="宋体" w:cs="宋体"/>
                <w:sz w:val="21"/>
                <w:szCs w:val="21"/>
                <w:lang w:val="en-US" w:eastAsia="zh-CN"/>
              </w:rPr>
              <w:t>的，得50分。</w:t>
            </w:r>
          </w:p>
          <w:p w14:paraId="148222E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szCs w:val="21"/>
              </w:rPr>
            </w:pPr>
            <w:r>
              <w:rPr>
                <w:rFonts w:hint="eastAsia" w:ascii="宋体" w:hAnsi="宋体"/>
                <w:szCs w:val="21"/>
              </w:rPr>
              <w:t>（二）评分依据：</w:t>
            </w:r>
          </w:p>
          <w:p w14:paraId="720397D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szCs w:val="21"/>
              </w:rPr>
            </w:pPr>
            <w:r>
              <w:rPr>
                <w:rFonts w:hint="eastAsia" w:ascii="宋体" w:hAnsi="宋体"/>
                <w:szCs w:val="21"/>
              </w:rPr>
              <w:t>1.要求提供投标人相关证明资料作为得分依据。</w:t>
            </w:r>
          </w:p>
          <w:p w14:paraId="7026342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提供学历证书扫描件以及学历信息在学信网查询结果截图（https://www.chsi.com.cn/xlcx/index.jsp）查询截图，由于日期较早无法查询的，需提供毕业院校或者人社部门出具的证明，国外学历证书提供教育部留学服务中心出具的国外学历学位认证书以及教育部留学服务中心官网查询截图（查询网址：http://zwfw.cscse.edu.cn/）。</w:t>
            </w:r>
          </w:p>
          <w:p w14:paraId="03E475A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.通过投标人缴纳的近三个月的任意一个月的社保证明作为本单位员工的证明依据，如供应商成立不足一个月</w:t>
            </w:r>
            <w:r>
              <w:rPr>
                <w:rFonts w:hint="eastAsia" w:ascii="宋体" w:hAnsi="宋体" w:eastAsia="宋体" w:cs="Times New Roman"/>
                <w:szCs w:val="21"/>
                <w:lang w:eastAsia="zh-CN"/>
              </w:rPr>
              <w:t>，</w:t>
            </w:r>
            <w:r>
              <w:rPr>
                <w:rFonts w:hint="eastAsia" w:ascii="宋体" w:hAnsi="宋体" w:eastAsia="宋体" w:cs="Times New Roman"/>
                <w:szCs w:val="21"/>
              </w:rPr>
              <w:t>提供情况说明函（格式自拟），无需提供相关人员社保，亦可得分。</w:t>
            </w:r>
          </w:p>
          <w:p w14:paraId="2C8D14E8">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eastAsia="宋体" w:cs="Times New Roman"/>
                <w:szCs w:val="21"/>
                <w:highlight w:val="none"/>
                <w:lang w:eastAsia="zh-CN"/>
              </w:rPr>
              <w:t>如涉及考察人员工作经验，要求提供项目合同关键信息作为得分依据，通过合同关键信息无法判断是否得分的，还须同时提供投标人承诺</w:t>
            </w:r>
            <w:r>
              <w:rPr>
                <w:rFonts w:hint="eastAsia" w:ascii="宋体" w:hAnsi="宋体" w:eastAsia="宋体" w:cs="Times New Roman"/>
                <w:szCs w:val="21"/>
                <w:highlight w:val="none"/>
              </w:rPr>
              <w:t>。</w:t>
            </w:r>
          </w:p>
          <w:p w14:paraId="0621FC3A">
            <w:pPr>
              <w:keepNext w:val="0"/>
              <w:keepLines w:val="0"/>
              <w:suppressLineNumbers w:val="0"/>
              <w:adjustRightInd w:val="0"/>
              <w:snapToGrid w:val="0"/>
              <w:spacing w:before="0" w:beforeAutospacing="0" w:after="0" w:afterAutospacing="0" w:line="360" w:lineRule="auto"/>
              <w:ind w:left="0" w:right="0"/>
              <w:jc w:val="left"/>
              <w:rPr>
                <w:rFonts w:hint="eastAsia"/>
              </w:rPr>
            </w:pPr>
            <w:r>
              <w:rPr>
                <w:rFonts w:hint="eastAsia" w:ascii="宋体" w:hAnsi="宋体" w:cs="Times New Roman"/>
                <w:szCs w:val="21"/>
                <w:lang w:val="en-US" w:eastAsia="zh-CN"/>
              </w:rPr>
              <w:t>5</w:t>
            </w:r>
            <w:r>
              <w:rPr>
                <w:rFonts w:hint="eastAsia" w:ascii="宋体" w:hAnsi="宋体" w:eastAsia="宋体" w:cs="Times New Roman"/>
                <w:szCs w:val="21"/>
              </w:rPr>
              <w:t>.以上资料均要求提供扫描件（或官方网站截图，截图应包含网址栏）。评分中出现无证明资料或专家无法凭所提供资料判断是否得分的情况，一律作不得分处理。</w:t>
            </w:r>
          </w:p>
        </w:tc>
      </w:tr>
      <w:tr w14:paraId="79F1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cantSplit/>
          <w:trHeight w:val="10833" w:hRule="atLeast"/>
          <w:tblCellSpacing w:w="0" w:type="dxa"/>
        </w:trPr>
        <w:tc>
          <w:tcPr>
            <w:tcW w:w="446" w:type="dxa"/>
            <w:vMerge w:val="continue"/>
            <w:tcBorders>
              <w:left w:val="single" w:color="auto" w:sz="4" w:space="0"/>
              <w:right w:val="single" w:color="auto" w:sz="4" w:space="0"/>
            </w:tcBorders>
            <w:vAlign w:val="center"/>
          </w:tcPr>
          <w:p w14:paraId="6B2667B1">
            <w:pPr>
              <w:keepNext w:val="0"/>
              <w:keepLines w:val="0"/>
              <w:widowControl/>
              <w:suppressLineNumbers w:val="0"/>
              <w:spacing w:before="0" w:beforeAutospacing="0" w:after="0" w:afterAutospacing="0"/>
              <w:ind w:left="0" w:right="0"/>
              <w:jc w:val="left"/>
              <w:rPr>
                <w:rFonts w:hint="eastAsia" w:ascii="宋体" w:hAnsi="宋体"/>
                <w:szCs w:val="21"/>
              </w:rPr>
            </w:pPr>
          </w:p>
        </w:tc>
        <w:tc>
          <w:tcPr>
            <w:tcW w:w="547" w:type="dxa"/>
            <w:tcBorders>
              <w:top w:val="single" w:color="auto" w:sz="4" w:space="0"/>
              <w:left w:val="single" w:color="auto" w:sz="4" w:space="0"/>
              <w:right w:val="single" w:color="auto" w:sz="4" w:space="0"/>
            </w:tcBorders>
            <w:vAlign w:val="center"/>
          </w:tcPr>
          <w:p w14:paraId="246B40EB">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2</w:t>
            </w:r>
          </w:p>
        </w:tc>
        <w:tc>
          <w:tcPr>
            <w:tcW w:w="1782" w:type="dxa"/>
            <w:tcBorders>
              <w:top w:val="single" w:color="auto" w:sz="4" w:space="0"/>
              <w:left w:val="single" w:color="auto" w:sz="4" w:space="0"/>
              <w:right w:val="single" w:color="auto" w:sz="4" w:space="0"/>
            </w:tcBorders>
            <w:vAlign w:val="center"/>
          </w:tcPr>
          <w:p w14:paraId="29A17412">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项目导师情况（不含项目负责人）</w:t>
            </w:r>
          </w:p>
        </w:tc>
        <w:tc>
          <w:tcPr>
            <w:tcW w:w="982" w:type="dxa"/>
            <w:tcBorders>
              <w:top w:val="single" w:color="auto" w:sz="4" w:space="0"/>
              <w:left w:val="single" w:color="auto" w:sz="4" w:space="0"/>
              <w:right w:val="single" w:color="auto" w:sz="4" w:space="0"/>
            </w:tcBorders>
            <w:vAlign w:val="center"/>
          </w:tcPr>
          <w:p w14:paraId="6F75FBC2">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20</w:t>
            </w:r>
          </w:p>
        </w:tc>
        <w:tc>
          <w:tcPr>
            <w:tcW w:w="5291" w:type="dxa"/>
            <w:tcBorders>
              <w:top w:val="single" w:color="auto" w:sz="4" w:space="0"/>
              <w:left w:val="single" w:color="auto" w:sz="4" w:space="0"/>
              <w:right w:val="single" w:color="auto" w:sz="4" w:space="0"/>
            </w:tcBorders>
          </w:tcPr>
          <w:p w14:paraId="168A9E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szCs w:val="21"/>
              </w:rPr>
            </w:pPr>
            <w:r>
              <w:rPr>
                <w:rFonts w:hint="eastAsia" w:ascii="宋体" w:hAnsi="宋体"/>
                <w:szCs w:val="21"/>
              </w:rPr>
              <w:t>（一）</w:t>
            </w:r>
            <w:r>
              <w:rPr>
                <w:rFonts w:hint="eastAsia" w:ascii="宋体" w:hAnsi="宋体"/>
                <w:szCs w:val="21"/>
                <w:lang w:val="en-US" w:eastAsia="zh-CN"/>
              </w:rPr>
              <w:t>投标人须拥有项目导师的合作关系</w:t>
            </w:r>
            <w:r>
              <w:rPr>
                <w:rFonts w:hint="eastAsia" w:ascii="宋体" w:hAnsi="宋体"/>
                <w:szCs w:val="21"/>
              </w:rPr>
              <w:t>。在此基础上，评分内容：</w:t>
            </w:r>
          </w:p>
          <w:p w14:paraId="1DD72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szCs w:val="21"/>
                <w:lang w:eastAsia="zh-CN"/>
              </w:rPr>
            </w:pPr>
            <w:r>
              <w:rPr>
                <w:rFonts w:hint="eastAsia" w:ascii="宋体" w:hAnsi="宋体"/>
                <w:szCs w:val="21"/>
              </w:rPr>
              <w:t>1.培训导师</w:t>
            </w:r>
            <w:r>
              <w:rPr>
                <w:rFonts w:hint="eastAsia" w:ascii="宋体" w:hAnsi="宋体"/>
                <w:szCs w:val="21"/>
                <w:lang w:eastAsia="zh-CN"/>
              </w:rPr>
              <w:t>：</w:t>
            </w:r>
          </w:p>
          <w:p w14:paraId="11080B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拟投入本项目的培训导师</w:t>
            </w:r>
            <w:r>
              <w:rPr>
                <w:rFonts w:hint="eastAsia" w:ascii="宋体" w:hAnsi="宋体"/>
                <w:szCs w:val="21"/>
                <w:lang w:val="en-US" w:eastAsia="zh-CN"/>
              </w:rPr>
              <w:t>具有理学、或管理学、或经济学博士研究生</w:t>
            </w:r>
            <w:r>
              <w:rPr>
                <w:rFonts w:hint="eastAsia" w:ascii="宋体" w:hAnsi="宋体"/>
                <w:szCs w:val="21"/>
              </w:rPr>
              <w:t>学历</w:t>
            </w:r>
            <w:r>
              <w:rPr>
                <w:rFonts w:hint="eastAsia" w:ascii="宋体" w:hAnsi="宋体" w:eastAsia="宋体" w:cs="宋体"/>
                <w:sz w:val="21"/>
                <w:szCs w:val="21"/>
              </w:rPr>
              <w:t>或副高级职称</w:t>
            </w:r>
            <w:r>
              <w:rPr>
                <w:rFonts w:hint="eastAsia" w:ascii="宋体" w:hAnsi="宋体"/>
                <w:szCs w:val="21"/>
              </w:rPr>
              <w:t>的，</w:t>
            </w:r>
            <w:r>
              <w:rPr>
                <w:rFonts w:hint="eastAsia" w:ascii="宋体" w:hAnsi="宋体"/>
                <w:szCs w:val="21"/>
                <w:lang w:val="en-US" w:eastAsia="zh-CN"/>
              </w:rPr>
              <w:t>每提供一人，</w:t>
            </w:r>
            <w:r>
              <w:rPr>
                <w:rFonts w:hint="eastAsia" w:ascii="宋体" w:hAnsi="宋体"/>
                <w:szCs w:val="21"/>
              </w:rPr>
              <w:t>得</w:t>
            </w:r>
            <w:r>
              <w:rPr>
                <w:rFonts w:hint="eastAsia" w:ascii="宋体" w:hAnsi="宋体"/>
                <w:szCs w:val="21"/>
                <w:lang w:val="en-US" w:eastAsia="zh-CN"/>
              </w:rPr>
              <w:t>15</w:t>
            </w:r>
            <w:r>
              <w:rPr>
                <w:rFonts w:hint="eastAsia" w:ascii="宋体" w:hAnsi="宋体"/>
                <w:szCs w:val="21"/>
              </w:rPr>
              <w:t>分</w:t>
            </w:r>
            <w:r>
              <w:rPr>
                <w:rFonts w:hint="eastAsia" w:ascii="宋体" w:hAnsi="宋体"/>
                <w:szCs w:val="21"/>
                <w:lang w:eastAsia="zh-CN"/>
              </w:rPr>
              <w:t>，</w:t>
            </w:r>
            <w:r>
              <w:rPr>
                <w:rFonts w:hint="eastAsia" w:ascii="宋体" w:hAnsi="宋体"/>
                <w:szCs w:val="21"/>
                <w:lang w:val="en-US" w:eastAsia="zh-CN"/>
              </w:rPr>
              <w:t>本项最高30分</w:t>
            </w:r>
            <w:r>
              <w:rPr>
                <w:rFonts w:hint="eastAsia" w:ascii="宋体" w:hAnsi="宋体"/>
                <w:szCs w:val="21"/>
              </w:rPr>
              <w:t>；</w:t>
            </w:r>
          </w:p>
          <w:p w14:paraId="1733E0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拟投入本项目的培训导师</w:t>
            </w:r>
            <w:r>
              <w:rPr>
                <w:rFonts w:hint="eastAsia" w:ascii="宋体" w:hAnsi="宋体"/>
                <w:szCs w:val="21"/>
                <w:lang w:val="en-US" w:eastAsia="zh-CN"/>
              </w:rPr>
              <w:t>具有</w:t>
            </w:r>
            <w:r>
              <w:rPr>
                <w:rFonts w:hint="eastAsia" w:ascii="宋体" w:hAnsi="宋体" w:cs="宋体"/>
                <w:sz w:val="21"/>
                <w:szCs w:val="21"/>
                <w:lang w:val="en-US" w:eastAsia="zh-CN"/>
              </w:rPr>
              <w:t>理学、或管理学、或</w:t>
            </w:r>
            <w:r>
              <w:rPr>
                <w:rFonts w:hint="eastAsia" w:ascii="宋体" w:hAnsi="宋体"/>
                <w:szCs w:val="21"/>
                <w:lang w:val="en-US" w:eastAsia="zh-CN"/>
              </w:rPr>
              <w:t>经济学</w:t>
            </w:r>
            <w:r>
              <w:rPr>
                <w:rFonts w:hint="eastAsia" w:ascii="宋体" w:hAnsi="宋体" w:eastAsia="宋体" w:cs="宋体"/>
                <w:sz w:val="21"/>
                <w:szCs w:val="21"/>
              </w:rPr>
              <w:t>领域研究或从业经验</w:t>
            </w:r>
            <w:r>
              <w:rPr>
                <w:rFonts w:hint="eastAsia" w:ascii="宋体" w:hAnsi="宋体" w:cs="宋体"/>
                <w:sz w:val="21"/>
                <w:szCs w:val="21"/>
                <w:lang w:val="en-US" w:eastAsia="zh-CN"/>
              </w:rPr>
              <w:t>的</w:t>
            </w:r>
            <w:r>
              <w:rPr>
                <w:rFonts w:hint="eastAsia" w:ascii="宋体" w:hAnsi="宋体" w:cs="宋体"/>
                <w:sz w:val="21"/>
                <w:szCs w:val="21"/>
                <w:lang w:eastAsia="zh-CN"/>
              </w:rPr>
              <w:t>，</w:t>
            </w:r>
            <w:r>
              <w:rPr>
                <w:rFonts w:hint="eastAsia" w:ascii="宋体" w:hAnsi="宋体"/>
                <w:szCs w:val="21"/>
                <w:lang w:val="en-US" w:eastAsia="zh-CN"/>
              </w:rPr>
              <w:t>每提供一人，</w:t>
            </w:r>
            <w:r>
              <w:rPr>
                <w:rFonts w:hint="eastAsia" w:ascii="宋体" w:hAnsi="宋体"/>
                <w:szCs w:val="21"/>
              </w:rPr>
              <w:t>得</w:t>
            </w:r>
            <w:r>
              <w:rPr>
                <w:rFonts w:hint="eastAsia" w:ascii="宋体" w:hAnsi="宋体"/>
                <w:szCs w:val="21"/>
                <w:lang w:val="en-US" w:eastAsia="zh-CN"/>
              </w:rPr>
              <w:t>10</w:t>
            </w:r>
            <w:r>
              <w:rPr>
                <w:rFonts w:hint="eastAsia" w:ascii="宋体" w:hAnsi="宋体"/>
                <w:szCs w:val="21"/>
              </w:rPr>
              <w:t>分</w:t>
            </w:r>
            <w:r>
              <w:rPr>
                <w:rFonts w:hint="eastAsia" w:ascii="宋体" w:hAnsi="宋体"/>
                <w:szCs w:val="21"/>
                <w:lang w:eastAsia="zh-CN"/>
              </w:rPr>
              <w:t>，</w:t>
            </w:r>
            <w:r>
              <w:rPr>
                <w:rFonts w:hint="eastAsia" w:ascii="宋体" w:hAnsi="宋体"/>
                <w:szCs w:val="21"/>
                <w:lang w:val="en-US" w:eastAsia="zh-CN"/>
              </w:rPr>
              <w:t>本项最高20分。</w:t>
            </w:r>
          </w:p>
          <w:p w14:paraId="1A0AA3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szCs w:val="21"/>
                <w:lang w:eastAsia="zh-CN"/>
              </w:rPr>
            </w:pPr>
            <w:r>
              <w:rPr>
                <w:rFonts w:hint="eastAsia" w:ascii="宋体" w:hAnsi="宋体"/>
                <w:szCs w:val="21"/>
              </w:rPr>
              <w:t>2.</w:t>
            </w:r>
            <w:r>
              <w:rPr>
                <w:rFonts w:hint="eastAsia" w:ascii="宋体" w:hAnsi="宋体" w:eastAsia="宋体" w:cs="宋体"/>
                <w:sz w:val="21"/>
                <w:szCs w:val="21"/>
              </w:rPr>
              <w:t>指导教练（与培训导师不可重复）</w:t>
            </w:r>
            <w:r>
              <w:rPr>
                <w:rFonts w:hint="eastAsia" w:ascii="宋体" w:hAnsi="宋体" w:cs="宋体"/>
                <w:sz w:val="21"/>
                <w:szCs w:val="21"/>
                <w:lang w:eastAsia="zh-CN"/>
              </w:rPr>
              <w:t>：</w:t>
            </w:r>
          </w:p>
          <w:p w14:paraId="120D54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拟投入本项目的</w:t>
            </w:r>
            <w:r>
              <w:rPr>
                <w:rFonts w:hint="eastAsia" w:ascii="宋体" w:hAnsi="宋体" w:eastAsia="宋体" w:cs="宋体"/>
                <w:sz w:val="21"/>
                <w:szCs w:val="21"/>
              </w:rPr>
              <w:t>指导教练</w:t>
            </w:r>
            <w:r>
              <w:rPr>
                <w:rFonts w:hint="eastAsia" w:ascii="宋体" w:hAnsi="宋体"/>
                <w:szCs w:val="21"/>
                <w:lang w:val="en-US" w:eastAsia="zh-CN"/>
              </w:rPr>
              <w:t>具有理学、或管理学、或经济学博士研究生</w:t>
            </w:r>
            <w:r>
              <w:rPr>
                <w:rFonts w:hint="eastAsia" w:ascii="宋体" w:hAnsi="宋体"/>
                <w:szCs w:val="21"/>
              </w:rPr>
              <w:t>学历</w:t>
            </w:r>
            <w:r>
              <w:rPr>
                <w:rFonts w:hint="eastAsia" w:ascii="宋体" w:hAnsi="宋体" w:eastAsia="宋体" w:cs="宋体"/>
                <w:sz w:val="21"/>
                <w:szCs w:val="21"/>
              </w:rPr>
              <w:t>或副教授以上职称</w:t>
            </w:r>
            <w:r>
              <w:rPr>
                <w:rFonts w:hint="eastAsia" w:ascii="宋体" w:hAnsi="宋体"/>
                <w:szCs w:val="21"/>
              </w:rPr>
              <w:t>的，</w:t>
            </w:r>
            <w:r>
              <w:rPr>
                <w:rFonts w:hint="eastAsia" w:ascii="宋体" w:hAnsi="宋体"/>
                <w:szCs w:val="21"/>
                <w:lang w:val="en-US" w:eastAsia="zh-CN"/>
              </w:rPr>
              <w:t>每提供一人，</w:t>
            </w:r>
            <w:r>
              <w:rPr>
                <w:rFonts w:hint="eastAsia" w:ascii="宋体" w:hAnsi="宋体"/>
                <w:szCs w:val="21"/>
              </w:rPr>
              <w:t>得</w:t>
            </w:r>
            <w:r>
              <w:rPr>
                <w:rFonts w:hint="eastAsia" w:ascii="宋体" w:hAnsi="宋体"/>
                <w:szCs w:val="21"/>
                <w:lang w:val="en-US" w:eastAsia="zh-CN"/>
              </w:rPr>
              <w:t>15</w:t>
            </w:r>
            <w:r>
              <w:rPr>
                <w:rFonts w:hint="eastAsia" w:ascii="宋体" w:hAnsi="宋体"/>
                <w:szCs w:val="21"/>
              </w:rPr>
              <w:t>分</w:t>
            </w:r>
            <w:r>
              <w:rPr>
                <w:rFonts w:hint="eastAsia" w:ascii="宋体" w:hAnsi="宋体"/>
                <w:szCs w:val="21"/>
                <w:lang w:eastAsia="zh-CN"/>
              </w:rPr>
              <w:t>，</w:t>
            </w:r>
            <w:r>
              <w:rPr>
                <w:rFonts w:hint="eastAsia" w:ascii="宋体" w:hAnsi="宋体"/>
                <w:szCs w:val="21"/>
                <w:lang w:val="en-US" w:eastAsia="zh-CN"/>
              </w:rPr>
              <w:t>本项最高30分</w:t>
            </w:r>
            <w:r>
              <w:rPr>
                <w:rFonts w:hint="eastAsia" w:ascii="宋体" w:hAnsi="宋体"/>
                <w:szCs w:val="21"/>
              </w:rPr>
              <w:t>；</w:t>
            </w:r>
          </w:p>
          <w:p w14:paraId="7F99A0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拟投入本项目的</w:t>
            </w:r>
            <w:r>
              <w:rPr>
                <w:rFonts w:hint="eastAsia" w:ascii="宋体" w:hAnsi="宋体" w:eastAsia="宋体" w:cs="宋体"/>
                <w:sz w:val="21"/>
                <w:szCs w:val="21"/>
              </w:rPr>
              <w:t>指导教练</w:t>
            </w:r>
            <w:r>
              <w:rPr>
                <w:rFonts w:hint="eastAsia" w:ascii="宋体" w:hAnsi="宋体"/>
                <w:szCs w:val="21"/>
                <w:lang w:val="en-US" w:eastAsia="zh-CN"/>
              </w:rPr>
              <w:t>具有</w:t>
            </w:r>
            <w:r>
              <w:rPr>
                <w:rFonts w:hint="eastAsia" w:ascii="宋体" w:hAnsi="宋体" w:eastAsia="宋体" w:cs="宋体"/>
                <w:sz w:val="21"/>
                <w:szCs w:val="21"/>
              </w:rPr>
              <w:t>创业辅导或投资孵化经验</w:t>
            </w:r>
            <w:r>
              <w:rPr>
                <w:rFonts w:hint="eastAsia" w:ascii="宋体" w:hAnsi="宋体" w:cs="宋体"/>
                <w:sz w:val="21"/>
                <w:szCs w:val="21"/>
                <w:lang w:val="en-US" w:eastAsia="zh-CN"/>
              </w:rPr>
              <w:t>的</w:t>
            </w:r>
            <w:r>
              <w:rPr>
                <w:rFonts w:hint="eastAsia" w:ascii="宋体" w:hAnsi="宋体" w:cs="宋体"/>
                <w:sz w:val="21"/>
                <w:szCs w:val="21"/>
                <w:lang w:eastAsia="zh-CN"/>
              </w:rPr>
              <w:t>，</w:t>
            </w:r>
            <w:r>
              <w:rPr>
                <w:rFonts w:hint="eastAsia" w:ascii="宋体" w:hAnsi="宋体"/>
                <w:szCs w:val="21"/>
                <w:lang w:val="en-US" w:eastAsia="zh-CN"/>
              </w:rPr>
              <w:t>每提供一人，</w:t>
            </w:r>
            <w:r>
              <w:rPr>
                <w:rFonts w:hint="eastAsia" w:ascii="宋体" w:hAnsi="宋体"/>
                <w:szCs w:val="21"/>
              </w:rPr>
              <w:t>得</w:t>
            </w:r>
            <w:r>
              <w:rPr>
                <w:rFonts w:hint="eastAsia" w:ascii="宋体" w:hAnsi="宋体"/>
                <w:szCs w:val="21"/>
                <w:lang w:val="en-US" w:eastAsia="zh-CN"/>
              </w:rPr>
              <w:t>10</w:t>
            </w:r>
            <w:r>
              <w:rPr>
                <w:rFonts w:hint="eastAsia" w:ascii="宋体" w:hAnsi="宋体"/>
                <w:szCs w:val="21"/>
              </w:rPr>
              <w:t>分</w:t>
            </w:r>
            <w:r>
              <w:rPr>
                <w:rFonts w:hint="eastAsia" w:ascii="宋体" w:hAnsi="宋体"/>
                <w:szCs w:val="21"/>
                <w:lang w:eastAsia="zh-CN"/>
              </w:rPr>
              <w:t>，</w:t>
            </w:r>
            <w:r>
              <w:rPr>
                <w:rFonts w:hint="eastAsia" w:ascii="宋体" w:hAnsi="宋体"/>
                <w:szCs w:val="21"/>
                <w:lang w:val="en-US" w:eastAsia="zh-CN"/>
              </w:rPr>
              <w:t>本项最高20分。</w:t>
            </w:r>
          </w:p>
          <w:p w14:paraId="6724B4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szCs w:val="21"/>
                <w:lang w:eastAsia="zh-CN"/>
              </w:rPr>
            </w:pPr>
            <w:r>
              <w:rPr>
                <w:rFonts w:hint="eastAsia" w:ascii="宋体" w:hAnsi="宋体"/>
                <w:szCs w:val="21"/>
              </w:rPr>
              <w:t>2.</w:t>
            </w:r>
            <w:r>
              <w:rPr>
                <w:rFonts w:hint="eastAsia" w:ascii="宋体" w:hAnsi="宋体" w:eastAsia="宋体" w:cs="宋体"/>
                <w:sz w:val="21"/>
                <w:szCs w:val="21"/>
              </w:rPr>
              <w:t>指导教练（与培训导师不可重复）</w:t>
            </w:r>
            <w:r>
              <w:rPr>
                <w:rFonts w:hint="eastAsia" w:ascii="宋体" w:hAnsi="宋体" w:cs="宋体"/>
                <w:sz w:val="21"/>
                <w:szCs w:val="21"/>
                <w:lang w:eastAsia="zh-CN"/>
              </w:rPr>
              <w:t>：</w:t>
            </w:r>
          </w:p>
          <w:p w14:paraId="338CF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szCs w:val="21"/>
              </w:rPr>
            </w:pPr>
            <w:r>
              <w:rPr>
                <w:rFonts w:hint="eastAsia" w:ascii="宋体" w:hAnsi="宋体"/>
                <w:szCs w:val="21"/>
              </w:rPr>
              <w:t>以上项累计最高得100分。</w:t>
            </w:r>
          </w:p>
          <w:p w14:paraId="1D8B74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szCs w:val="21"/>
              </w:rPr>
            </w:pPr>
            <w:r>
              <w:rPr>
                <w:rFonts w:hint="eastAsia" w:ascii="宋体" w:hAnsi="宋体"/>
                <w:szCs w:val="21"/>
              </w:rPr>
              <w:t>（二）评分依据：</w:t>
            </w:r>
          </w:p>
          <w:p w14:paraId="3A3601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szCs w:val="21"/>
              </w:rPr>
            </w:pPr>
            <w:r>
              <w:rPr>
                <w:rFonts w:hint="eastAsia" w:ascii="宋体" w:hAnsi="宋体"/>
                <w:szCs w:val="21"/>
              </w:rPr>
              <w:t>1.要求提供投标人相关证明资料作为得分依据。</w:t>
            </w:r>
          </w:p>
          <w:p w14:paraId="0C616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提供学历证书扫描件以及学历信息在学信网查询结果截图（https://www.chsi.com.cn/xlcx/index.jsp）查询截图，由于日期较早无法查询的，需提供毕业院校或者人社部门出具的证明，国外学历证书提供教育部留学服务中心出具的国外学历学位认证书以及教育部留学服务中心官网查询截图（查询网址：http://zwfw.cscse.edu.cn/）。</w:t>
            </w:r>
          </w:p>
          <w:p w14:paraId="2D042C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Times New Roman"/>
                <w:szCs w:val="21"/>
                <w:lang w:val="en-US" w:eastAsia="zh-CN"/>
              </w:rPr>
            </w:pPr>
            <w:r>
              <w:rPr>
                <w:rFonts w:hint="eastAsia" w:ascii="宋体" w:hAnsi="宋体" w:cs="Times New Roman"/>
                <w:szCs w:val="21"/>
                <w:lang w:val="en-US" w:eastAsia="zh-CN"/>
              </w:rPr>
              <w:t>3.</w:t>
            </w:r>
            <w:r>
              <w:rPr>
                <w:rFonts w:hint="eastAsia" w:ascii="宋体" w:hAnsi="宋体" w:eastAsia="宋体" w:cs="Times New Roman"/>
                <w:szCs w:val="21"/>
                <w:lang w:val="en-US" w:eastAsia="zh-CN"/>
              </w:rPr>
              <w:t>涉及职称，需同时提供证书在全国人力资源和社会保障政务服务平台（https://www.12333.gov.cn/）的查询截图，该网站不能查询的，需提供人社部门或发证部门官网查询截图或出具的证明文件，否则不得分</w:t>
            </w:r>
            <w:r>
              <w:rPr>
                <w:rFonts w:hint="eastAsia" w:ascii="宋体" w:hAnsi="宋体" w:cs="Times New Roman"/>
                <w:szCs w:val="21"/>
                <w:lang w:val="en-US" w:eastAsia="zh-CN"/>
              </w:rPr>
              <w:t>。</w:t>
            </w:r>
          </w:p>
          <w:p w14:paraId="7607A1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Times New Roman"/>
                <w:szCs w:val="21"/>
              </w:rPr>
            </w:pPr>
            <w:r>
              <w:rPr>
                <w:rFonts w:hint="eastAsia" w:ascii="宋体" w:hAnsi="宋体" w:cs="Times New Roman"/>
                <w:szCs w:val="21"/>
                <w:lang w:val="en-US" w:eastAsia="zh-CN"/>
              </w:rPr>
              <w:t>4</w:t>
            </w:r>
            <w:r>
              <w:rPr>
                <w:rFonts w:hint="eastAsia" w:ascii="宋体" w:hAnsi="宋体" w:eastAsia="宋体" w:cs="Times New Roman"/>
                <w:szCs w:val="21"/>
              </w:rPr>
              <w:t>.投标人</w:t>
            </w:r>
            <w:r>
              <w:rPr>
                <w:rFonts w:hint="eastAsia" w:ascii="宋体" w:hAnsi="宋体" w:cs="Times New Roman"/>
                <w:szCs w:val="21"/>
                <w:lang w:val="en-US" w:eastAsia="zh-CN"/>
              </w:rPr>
              <w:t>与导师的合作证明（聘书或合作授权等可证明双方合作关系的材料）</w:t>
            </w:r>
            <w:r>
              <w:rPr>
                <w:rFonts w:hint="eastAsia" w:ascii="宋体" w:hAnsi="宋体" w:eastAsia="宋体" w:cs="Times New Roman"/>
                <w:szCs w:val="21"/>
              </w:rPr>
              <w:t>。</w:t>
            </w:r>
          </w:p>
          <w:p w14:paraId="30FFDC05">
            <w:pPr>
              <w:keepNext w:val="0"/>
              <w:keepLines w:val="0"/>
              <w:suppressLineNumbers w:val="0"/>
              <w:spacing w:before="0" w:beforeAutospacing="0" w:after="0" w:afterAutospacing="0"/>
              <w:ind w:left="0" w:right="0"/>
              <w:rPr>
                <w:rFonts w:hint="default"/>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.以上资料均要求提供扫描件（或官方网站截图，截图应包含网址栏）。评分中出现无证明资料或专家无法凭所提供资料判断是否得分的情况，一律作不得分处理。</w:t>
            </w:r>
          </w:p>
        </w:tc>
      </w:tr>
      <w:tr w14:paraId="0BE9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cantSplit/>
          <w:trHeight w:val="3551" w:hRule="atLeast"/>
          <w:tblCellSpacing w:w="0" w:type="dxa"/>
        </w:trPr>
        <w:tc>
          <w:tcPr>
            <w:tcW w:w="446" w:type="dxa"/>
            <w:tcBorders>
              <w:left w:val="single" w:color="auto" w:sz="4" w:space="0"/>
              <w:right w:val="single" w:color="auto" w:sz="4" w:space="0"/>
            </w:tcBorders>
            <w:vAlign w:val="center"/>
          </w:tcPr>
          <w:p w14:paraId="33E38F85">
            <w:pPr>
              <w:keepNext w:val="0"/>
              <w:keepLines w:val="0"/>
              <w:widowControl/>
              <w:suppressLineNumbers w:val="0"/>
              <w:spacing w:before="0" w:beforeAutospacing="0" w:after="0" w:afterAutospacing="0"/>
              <w:ind w:left="0" w:right="0"/>
              <w:jc w:val="left"/>
              <w:rPr>
                <w:rFonts w:hint="eastAsia" w:ascii="宋体" w:hAnsi="宋体"/>
                <w:szCs w:val="21"/>
              </w:rPr>
            </w:pPr>
          </w:p>
        </w:tc>
        <w:tc>
          <w:tcPr>
            <w:tcW w:w="547" w:type="dxa"/>
            <w:tcBorders>
              <w:top w:val="single" w:color="auto" w:sz="4" w:space="0"/>
              <w:left w:val="single" w:color="auto" w:sz="4" w:space="0"/>
              <w:right w:val="single" w:color="auto" w:sz="4" w:space="0"/>
            </w:tcBorders>
            <w:vAlign w:val="center"/>
          </w:tcPr>
          <w:p w14:paraId="5573094D">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3</w:t>
            </w:r>
          </w:p>
        </w:tc>
        <w:tc>
          <w:tcPr>
            <w:tcW w:w="1782" w:type="dxa"/>
            <w:tcBorders>
              <w:top w:val="single" w:color="auto" w:sz="4" w:space="0"/>
              <w:left w:val="single" w:color="auto" w:sz="4" w:space="0"/>
              <w:right w:val="single" w:color="auto" w:sz="4" w:space="0"/>
            </w:tcBorders>
            <w:vAlign w:val="center"/>
          </w:tcPr>
          <w:p w14:paraId="21BCE646">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同类业绩</w:t>
            </w:r>
          </w:p>
        </w:tc>
        <w:tc>
          <w:tcPr>
            <w:tcW w:w="982" w:type="dxa"/>
            <w:tcBorders>
              <w:top w:val="single" w:color="auto" w:sz="4" w:space="0"/>
              <w:left w:val="single" w:color="auto" w:sz="4" w:space="0"/>
              <w:right w:val="single" w:color="auto" w:sz="4" w:space="0"/>
            </w:tcBorders>
            <w:vAlign w:val="center"/>
          </w:tcPr>
          <w:p w14:paraId="62F0244D">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val="en-US" w:eastAsia="zh-CN"/>
              </w:rPr>
              <w:t>5</w:t>
            </w:r>
          </w:p>
        </w:tc>
        <w:tc>
          <w:tcPr>
            <w:tcW w:w="5291" w:type="dxa"/>
            <w:tcBorders>
              <w:top w:val="single" w:color="auto" w:sz="4" w:space="0"/>
              <w:left w:val="single" w:color="auto" w:sz="4" w:space="0"/>
              <w:right w:val="single" w:color="auto" w:sz="4" w:space="0"/>
            </w:tcBorders>
          </w:tcPr>
          <w:p w14:paraId="7F56AC4D">
            <w:pPr>
              <w:keepNext w:val="0"/>
              <w:keepLines w:val="0"/>
              <w:suppressLineNumbers w:val="0"/>
              <w:spacing w:before="0" w:beforeAutospacing="0" w:after="160" w:afterAutospacing="0" w:line="240" w:lineRule="exact"/>
              <w:ind w:left="0" w:right="0"/>
              <w:jc w:val="left"/>
              <w:rPr>
                <w:rFonts w:hint="eastAsia" w:ascii="宋体" w:hAnsi="宋体" w:eastAsia="宋体" w:cs="Times New Roman"/>
                <w:szCs w:val="21"/>
                <w:highlight w:val="none"/>
              </w:rPr>
            </w:pPr>
            <w:r>
              <w:rPr>
                <w:rFonts w:hint="eastAsia" w:ascii="宋体" w:hAnsi="宋体" w:eastAsia="宋体" w:cs="Times New Roman"/>
                <w:szCs w:val="21"/>
                <w:highlight w:val="none"/>
              </w:rPr>
              <w:t>（一）评分内容：</w:t>
            </w:r>
          </w:p>
          <w:p w14:paraId="66BBC97D">
            <w:pPr>
              <w:keepNext w:val="0"/>
              <w:keepLines w:val="0"/>
              <w:suppressLineNumbers w:val="0"/>
              <w:spacing w:before="0" w:beforeAutospacing="0" w:after="160" w:afterAutospacing="0" w:line="240" w:lineRule="exact"/>
              <w:ind w:left="0" w:right="0"/>
              <w:jc w:val="left"/>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投标人自2022年1月1日至本项目投标截止之日（以合同签订时间为准），具有</w:t>
            </w:r>
            <w:r>
              <w:rPr>
                <w:rFonts w:hint="eastAsia" w:ascii="宋体" w:hAnsi="宋体" w:eastAsia="宋体" w:cs="宋体"/>
                <w:sz w:val="21"/>
                <w:szCs w:val="21"/>
              </w:rPr>
              <w:t>国际</w:t>
            </w:r>
            <w:r>
              <w:rPr>
                <w:rFonts w:hint="eastAsia" w:ascii="宋体" w:hAnsi="宋体" w:cs="宋体"/>
                <w:sz w:val="21"/>
                <w:szCs w:val="21"/>
                <w:lang w:eastAsia="zh-CN"/>
              </w:rPr>
              <w:t>（</w:t>
            </w:r>
            <w:r>
              <w:rPr>
                <w:rFonts w:hint="eastAsia" w:ascii="宋体" w:hAnsi="宋体" w:cs="Times New Roman"/>
                <w:szCs w:val="21"/>
                <w:highlight w:val="none"/>
                <w:lang w:val="en-US" w:eastAsia="zh-CN"/>
              </w:rPr>
              <w:t>跨境）商务服务同类业绩，每提供一项得50分，满分100分。</w:t>
            </w:r>
          </w:p>
          <w:p w14:paraId="3BB6ACE8">
            <w:pPr>
              <w:keepNext w:val="0"/>
              <w:keepLines w:val="0"/>
              <w:suppressLineNumbers w:val="0"/>
              <w:spacing w:before="0" w:beforeAutospacing="0" w:after="160" w:afterAutospacing="0" w:line="240" w:lineRule="exact"/>
              <w:ind w:left="0" w:right="0"/>
              <w:jc w:val="left"/>
              <w:rPr>
                <w:rFonts w:hint="default" w:ascii="宋体" w:hAnsi="宋体" w:eastAsia="宋体" w:cs="Times New Roman"/>
                <w:szCs w:val="21"/>
                <w:highlight w:val="none"/>
              </w:rPr>
            </w:pPr>
            <w:r>
              <w:rPr>
                <w:rFonts w:hint="eastAsia" w:ascii="宋体" w:hAnsi="宋体" w:eastAsia="宋体" w:cs="Times New Roman"/>
                <w:szCs w:val="21"/>
                <w:highlight w:val="none"/>
              </w:rPr>
              <w:t>（二）评分依据：</w:t>
            </w:r>
          </w:p>
          <w:p w14:paraId="09B8846E">
            <w:pPr>
              <w:keepNext w:val="0"/>
              <w:keepLines w:val="0"/>
              <w:suppressLineNumbers w:val="0"/>
              <w:spacing w:before="0" w:beforeAutospacing="0" w:after="160" w:afterAutospacing="0" w:line="240" w:lineRule="exact"/>
              <w:ind w:left="0" w:right="0"/>
              <w:jc w:val="left"/>
              <w:rPr>
                <w:rFonts w:hint="default" w:ascii="宋体" w:hAnsi="宋体" w:eastAsia="宋体" w:cs="Times New Roman"/>
                <w:szCs w:val="21"/>
                <w:highlight w:val="none"/>
              </w:rPr>
            </w:pPr>
            <w:r>
              <w:rPr>
                <w:rFonts w:hint="eastAsia" w:ascii="宋体" w:hAnsi="宋体" w:eastAsia="宋体" w:cs="Times New Roman"/>
                <w:szCs w:val="21"/>
                <w:highlight w:val="none"/>
              </w:rPr>
              <w:t>1.要求同时提供合同关键信息，且履约评价合格或者验收合格证明文件作为得分依据，履约评价合格或者验收合格证明文件需加盖合同甲方公章（或甲方业务章）。</w:t>
            </w:r>
          </w:p>
          <w:p w14:paraId="5BD2B3EB">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highlight w:val="none"/>
              </w:rPr>
              <w:t>2.以上资料均要求提供扫描件。</w:t>
            </w:r>
            <w:r>
              <w:rPr>
                <w:rFonts w:hint="default" w:ascii="Times New Roman" w:hAnsi="Times New Roman" w:eastAsia="宋体" w:cs="Times New Roman"/>
                <w:szCs w:val="21"/>
                <w:highlight w:val="none"/>
              </w:rPr>
              <w:t>评分中出现无证明资料或专家无法凭所提供资料判断是否得分的情况，一律作不得分处理。</w:t>
            </w:r>
          </w:p>
        </w:tc>
      </w:tr>
      <w:tr w14:paraId="183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cantSplit/>
          <w:trHeight w:val="78" w:hRule="atLeast"/>
          <w:tblCellSpacing w:w="0" w:type="dxa"/>
        </w:trPr>
        <w:tc>
          <w:tcPr>
            <w:tcW w:w="446" w:type="dxa"/>
            <w:tcBorders>
              <w:top w:val="single" w:color="auto" w:sz="4" w:space="0"/>
              <w:left w:val="single" w:color="auto" w:sz="4" w:space="0"/>
              <w:bottom w:val="single" w:color="auto" w:sz="4" w:space="0"/>
              <w:right w:val="single" w:color="auto" w:sz="4" w:space="0"/>
            </w:tcBorders>
          </w:tcPr>
          <w:p w14:paraId="40BE6567">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4</w:t>
            </w:r>
          </w:p>
        </w:tc>
        <w:tc>
          <w:tcPr>
            <w:tcW w:w="3311" w:type="dxa"/>
            <w:gridSpan w:val="3"/>
            <w:tcBorders>
              <w:top w:val="single" w:color="auto" w:sz="4" w:space="0"/>
              <w:left w:val="single" w:color="auto" w:sz="4" w:space="0"/>
              <w:bottom w:val="single" w:color="auto" w:sz="4" w:space="0"/>
              <w:right w:val="single" w:color="auto" w:sz="4" w:space="0"/>
            </w:tcBorders>
          </w:tcPr>
          <w:p w14:paraId="0912E4C5">
            <w:pPr>
              <w:keepNext w:val="0"/>
              <w:keepLines w:val="0"/>
              <w:suppressLineNumbers w:val="0"/>
              <w:wordWrap w:val="0"/>
              <w:spacing w:before="0" w:beforeAutospacing="0" w:after="0" w:afterAutospacing="0"/>
              <w:ind w:left="0" w:right="0"/>
              <w:jc w:val="center"/>
              <w:rPr>
                <w:rFonts w:hint="eastAsia" w:ascii="宋体" w:hAnsi="宋体"/>
                <w:szCs w:val="21"/>
              </w:rPr>
            </w:pPr>
            <w:r>
              <w:rPr>
                <w:rFonts w:hint="eastAsia" w:ascii="宋体" w:hAnsi="宋体"/>
                <w:szCs w:val="21"/>
              </w:rPr>
              <w:t>诚信情况</w:t>
            </w:r>
          </w:p>
        </w:tc>
        <w:tc>
          <w:tcPr>
            <w:tcW w:w="5291" w:type="dxa"/>
            <w:tcBorders>
              <w:top w:val="single" w:color="auto" w:sz="4" w:space="0"/>
              <w:left w:val="single" w:color="auto" w:sz="4" w:space="0"/>
              <w:bottom w:val="single" w:color="auto" w:sz="4" w:space="0"/>
              <w:right w:val="single" w:color="auto" w:sz="4" w:space="0"/>
            </w:tcBorders>
          </w:tcPr>
          <w:p w14:paraId="26309547">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5</w:t>
            </w:r>
          </w:p>
        </w:tc>
      </w:tr>
      <w:tr w14:paraId="023C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cantSplit/>
          <w:trHeight w:val="78" w:hRule="atLeast"/>
          <w:tblCellSpacing w:w="0" w:type="dxa"/>
        </w:trPr>
        <w:tc>
          <w:tcPr>
            <w:tcW w:w="446" w:type="dxa"/>
            <w:vMerge w:val="restart"/>
            <w:tcBorders>
              <w:top w:val="single" w:color="auto" w:sz="4" w:space="0"/>
              <w:left w:val="single" w:color="auto" w:sz="4" w:space="0"/>
              <w:right w:val="single" w:color="auto" w:sz="4" w:space="0"/>
            </w:tcBorders>
          </w:tcPr>
          <w:p w14:paraId="42DEEF56">
            <w:pPr>
              <w:keepNext w:val="0"/>
              <w:keepLines w:val="0"/>
              <w:suppressLineNumbers w:val="0"/>
              <w:spacing w:before="0" w:beforeAutospacing="0" w:after="0" w:afterAutospacing="0"/>
              <w:ind w:left="0" w:right="0"/>
              <w:jc w:val="center"/>
              <w:rPr>
                <w:rFonts w:hint="eastAsia" w:ascii="宋体" w:hAnsi="宋体"/>
                <w:szCs w:val="21"/>
              </w:rPr>
            </w:pPr>
          </w:p>
        </w:tc>
        <w:tc>
          <w:tcPr>
            <w:tcW w:w="547" w:type="dxa"/>
            <w:tcBorders>
              <w:top w:val="single" w:color="auto" w:sz="4" w:space="0"/>
              <w:left w:val="single" w:color="auto" w:sz="4" w:space="0"/>
              <w:bottom w:val="single" w:color="auto" w:sz="4" w:space="0"/>
              <w:right w:val="single" w:color="auto" w:sz="4" w:space="0"/>
            </w:tcBorders>
            <w:vAlign w:val="center"/>
          </w:tcPr>
          <w:p w14:paraId="3CBE4469">
            <w:pPr>
              <w:keepNext w:val="0"/>
              <w:keepLines w:val="0"/>
              <w:suppressLineNumbers w:val="0"/>
              <w:wordWrap w:val="0"/>
              <w:spacing w:before="0" w:beforeAutospacing="0" w:after="0" w:afterAutospacing="0"/>
              <w:ind w:left="0" w:right="0"/>
              <w:jc w:val="center"/>
              <w:rPr>
                <w:rFonts w:hint="eastAsia" w:ascii="宋体" w:hAnsi="宋体" w:cs="宋体"/>
                <w:szCs w:val="21"/>
              </w:rPr>
            </w:pPr>
            <w:r>
              <w:rPr>
                <w:rFonts w:hint="default" w:ascii="宋体" w:hAnsi="宋体"/>
                <w:szCs w:val="21"/>
              </w:rPr>
              <w:t>序号</w:t>
            </w:r>
          </w:p>
        </w:tc>
        <w:tc>
          <w:tcPr>
            <w:tcW w:w="1782" w:type="dxa"/>
            <w:tcBorders>
              <w:top w:val="single" w:color="auto" w:sz="4" w:space="0"/>
              <w:left w:val="single" w:color="auto" w:sz="4" w:space="0"/>
              <w:bottom w:val="single" w:color="auto" w:sz="4" w:space="0"/>
              <w:right w:val="single" w:color="auto" w:sz="4" w:space="0"/>
            </w:tcBorders>
            <w:vAlign w:val="center"/>
          </w:tcPr>
          <w:p w14:paraId="67FB86D5">
            <w:pPr>
              <w:keepNext w:val="0"/>
              <w:keepLines w:val="0"/>
              <w:suppressLineNumbers w:val="0"/>
              <w:wordWrap w:val="0"/>
              <w:spacing w:before="0" w:beforeAutospacing="0" w:after="0" w:afterAutospacing="0"/>
              <w:ind w:left="0" w:right="0"/>
              <w:jc w:val="center"/>
              <w:rPr>
                <w:rFonts w:hint="eastAsia" w:ascii="宋体" w:hAnsi="宋体" w:cs="宋体"/>
                <w:szCs w:val="21"/>
              </w:rPr>
            </w:pPr>
            <w:r>
              <w:rPr>
                <w:rFonts w:hint="default" w:ascii="宋体" w:hAnsi="宋体"/>
                <w:szCs w:val="21"/>
              </w:rPr>
              <w:t>评分因素</w:t>
            </w:r>
          </w:p>
        </w:tc>
        <w:tc>
          <w:tcPr>
            <w:tcW w:w="982" w:type="dxa"/>
            <w:tcBorders>
              <w:top w:val="single" w:color="auto" w:sz="4" w:space="0"/>
              <w:left w:val="single" w:color="auto" w:sz="4" w:space="0"/>
              <w:bottom w:val="single" w:color="auto" w:sz="4" w:space="0"/>
              <w:right w:val="single" w:color="auto" w:sz="4" w:space="0"/>
            </w:tcBorders>
            <w:vAlign w:val="center"/>
          </w:tcPr>
          <w:p w14:paraId="01A005F0">
            <w:pPr>
              <w:keepNext w:val="0"/>
              <w:keepLines w:val="0"/>
              <w:suppressLineNumbers w:val="0"/>
              <w:wordWrap w:val="0"/>
              <w:spacing w:before="0" w:beforeAutospacing="0" w:after="0" w:afterAutospacing="0"/>
              <w:ind w:left="0" w:right="0"/>
              <w:jc w:val="center"/>
              <w:rPr>
                <w:rFonts w:hint="eastAsia" w:ascii="宋体" w:hAnsi="宋体"/>
                <w:szCs w:val="21"/>
              </w:rPr>
            </w:pPr>
            <w:r>
              <w:rPr>
                <w:rFonts w:hint="default" w:ascii="宋体" w:hAnsi="宋体"/>
                <w:szCs w:val="21"/>
              </w:rPr>
              <w:t>权重</w:t>
            </w:r>
          </w:p>
          <w:p w14:paraId="73052A3D">
            <w:pPr>
              <w:keepNext w:val="0"/>
              <w:keepLines w:val="0"/>
              <w:suppressLineNumbers w:val="0"/>
              <w:wordWrap w:val="0"/>
              <w:spacing w:before="0" w:beforeAutospacing="0" w:after="0" w:afterAutospacing="0"/>
              <w:ind w:left="0" w:right="0"/>
              <w:jc w:val="center"/>
              <w:rPr>
                <w:rFonts w:hint="eastAsia" w:ascii="宋体" w:hAnsi="宋体" w:cs="宋体"/>
                <w:szCs w:val="21"/>
              </w:rPr>
            </w:pPr>
            <w:r>
              <w:rPr>
                <w:rFonts w:hint="eastAsia" w:ascii="宋体" w:hAnsi="宋体"/>
                <w:szCs w:val="21"/>
              </w:rPr>
              <w:t>（%）</w:t>
            </w:r>
          </w:p>
        </w:tc>
        <w:tc>
          <w:tcPr>
            <w:tcW w:w="5291" w:type="dxa"/>
            <w:tcBorders>
              <w:top w:val="single" w:color="auto" w:sz="4" w:space="0"/>
              <w:left w:val="single" w:color="auto" w:sz="4" w:space="0"/>
              <w:bottom w:val="single" w:color="auto" w:sz="4" w:space="0"/>
              <w:right w:val="single" w:color="auto" w:sz="4" w:space="0"/>
            </w:tcBorders>
            <w:vAlign w:val="center"/>
          </w:tcPr>
          <w:p w14:paraId="45344FDC">
            <w:pPr>
              <w:keepNext w:val="0"/>
              <w:keepLines w:val="0"/>
              <w:suppressLineNumbers w:val="0"/>
              <w:wordWrap w:val="0"/>
              <w:spacing w:before="0" w:beforeAutospacing="0" w:after="0" w:afterAutospacing="0"/>
              <w:ind w:left="0" w:right="0"/>
              <w:jc w:val="center"/>
              <w:rPr>
                <w:rFonts w:hint="eastAsia" w:ascii="宋体" w:hAnsi="宋体" w:cs="宋体"/>
                <w:szCs w:val="21"/>
              </w:rPr>
            </w:pPr>
            <w:r>
              <w:rPr>
                <w:rFonts w:hint="default" w:ascii="宋体" w:hAnsi="宋体"/>
                <w:szCs w:val="21"/>
              </w:rPr>
              <w:t>评分准则</w:t>
            </w:r>
          </w:p>
        </w:tc>
      </w:tr>
      <w:tr w14:paraId="43A6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cantSplit/>
          <w:trHeight w:val="78" w:hRule="atLeast"/>
          <w:tblCellSpacing w:w="0" w:type="dxa"/>
        </w:trPr>
        <w:tc>
          <w:tcPr>
            <w:tcW w:w="446" w:type="dxa"/>
            <w:vMerge w:val="continue"/>
            <w:tcBorders>
              <w:left w:val="single" w:color="auto" w:sz="4" w:space="0"/>
              <w:right w:val="single" w:color="auto" w:sz="4" w:space="0"/>
            </w:tcBorders>
          </w:tcPr>
          <w:p w14:paraId="4A0F0E1F">
            <w:pPr>
              <w:keepNext w:val="0"/>
              <w:keepLines w:val="0"/>
              <w:suppressLineNumbers w:val="0"/>
              <w:spacing w:before="0" w:beforeAutospacing="0" w:after="0" w:afterAutospacing="0"/>
              <w:ind w:left="0" w:right="0"/>
              <w:jc w:val="center"/>
              <w:rPr>
                <w:rFonts w:hint="eastAsia" w:ascii="宋体" w:hAnsi="宋体"/>
                <w:szCs w:val="21"/>
              </w:rPr>
            </w:pPr>
          </w:p>
        </w:tc>
        <w:tc>
          <w:tcPr>
            <w:tcW w:w="547" w:type="dxa"/>
            <w:tcBorders>
              <w:top w:val="single" w:color="auto" w:sz="4" w:space="0"/>
              <w:left w:val="single" w:color="auto" w:sz="4" w:space="0"/>
              <w:bottom w:val="single" w:color="auto" w:sz="4" w:space="0"/>
              <w:right w:val="single" w:color="auto" w:sz="4" w:space="0"/>
            </w:tcBorders>
            <w:vAlign w:val="center"/>
          </w:tcPr>
          <w:p w14:paraId="626BE44F">
            <w:pPr>
              <w:keepNext w:val="0"/>
              <w:keepLines w:val="0"/>
              <w:suppressLineNumbers w:val="0"/>
              <w:wordWrap w:val="0"/>
              <w:spacing w:before="0" w:beforeAutospacing="0" w:after="0" w:afterAutospacing="0"/>
              <w:ind w:left="0" w:right="0"/>
              <w:jc w:val="center"/>
              <w:rPr>
                <w:rFonts w:hint="eastAsia" w:ascii="宋体" w:hAnsi="宋体" w:cs="宋体"/>
                <w:szCs w:val="21"/>
              </w:rPr>
            </w:pPr>
            <w:r>
              <w:rPr>
                <w:rFonts w:hint="default" w:ascii="宋体" w:hAnsi="宋体"/>
                <w:szCs w:val="21"/>
              </w:rPr>
              <w:t>1</w:t>
            </w:r>
          </w:p>
        </w:tc>
        <w:tc>
          <w:tcPr>
            <w:tcW w:w="1782" w:type="dxa"/>
            <w:tcBorders>
              <w:top w:val="single" w:color="auto" w:sz="4" w:space="0"/>
              <w:left w:val="single" w:color="auto" w:sz="4" w:space="0"/>
              <w:bottom w:val="single" w:color="auto" w:sz="4" w:space="0"/>
              <w:right w:val="single" w:color="auto" w:sz="4" w:space="0"/>
            </w:tcBorders>
            <w:vAlign w:val="center"/>
          </w:tcPr>
          <w:p w14:paraId="64C04F06">
            <w:pPr>
              <w:keepNext w:val="0"/>
              <w:keepLines w:val="0"/>
              <w:suppressLineNumbers w:val="0"/>
              <w:spacing w:before="0" w:beforeAutospacing="0" w:after="0" w:afterAutospacing="0"/>
              <w:ind w:left="0" w:right="0"/>
              <w:jc w:val="center"/>
              <w:rPr>
                <w:rFonts w:hint="eastAsia" w:ascii="宋体" w:hAnsi="宋体"/>
                <w:szCs w:val="21"/>
              </w:rPr>
            </w:pPr>
            <w:r>
              <w:rPr>
                <w:rFonts w:hint="default" w:ascii="宋体" w:hAnsi="宋体"/>
                <w:szCs w:val="21"/>
              </w:rPr>
              <w:t>诚信情况</w:t>
            </w:r>
          </w:p>
        </w:tc>
        <w:tc>
          <w:tcPr>
            <w:tcW w:w="982" w:type="dxa"/>
            <w:tcBorders>
              <w:top w:val="single" w:color="auto" w:sz="4" w:space="0"/>
              <w:left w:val="single" w:color="auto" w:sz="4" w:space="0"/>
              <w:bottom w:val="single" w:color="auto" w:sz="4" w:space="0"/>
              <w:right w:val="single" w:color="auto" w:sz="4" w:space="0"/>
            </w:tcBorders>
            <w:vAlign w:val="center"/>
          </w:tcPr>
          <w:p w14:paraId="2EAC6A17">
            <w:pPr>
              <w:keepNext w:val="0"/>
              <w:keepLines w:val="0"/>
              <w:suppressLineNumbers w:val="0"/>
              <w:wordWrap w:val="0"/>
              <w:spacing w:before="0" w:beforeAutospacing="0" w:after="0" w:afterAutospacing="0"/>
              <w:ind w:left="0" w:right="0"/>
              <w:jc w:val="center"/>
              <w:rPr>
                <w:rFonts w:hint="eastAsia" w:ascii="宋体" w:hAnsi="宋体" w:cs="宋体"/>
                <w:szCs w:val="21"/>
              </w:rPr>
            </w:pPr>
            <w:r>
              <w:rPr>
                <w:rFonts w:hint="eastAsia" w:ascii="宋体" w:hAnsi="宋体"/>
                <w:szCs w:val="21"/>
              </w:rPr>
              <w:t>5</w:t>
            </w:r>
          </w:p>
        </w:tc>
        <w:tc>
          <w:tcPr>
            <w:tcW w:w="5291" w:type="dxa"/>
            <w:tcBorders>
              <w:top w:val="single" w:color="auto" w:sz="4" w:space="0"/>
              <w:left w:val="single" w:color="auto" w:sz="4" w:space="0"/>
              <w:bottom w:val="single" w:color="auto" w:sz="4" w:space="0"/>
              <w:right w:val="single" w:color="auto" w:sz="4" w:space="0"/>
            </w:tcBorders>
          </w:tcPr>
          <w:p w14:paraId="254A5674">
            <w:pPr>
              <w:keepNext w:val="0"/>
              <w:keepLines w:val="0"/>
              <w:suppressLineNumbers w:val="0"/>
              <w:wordWrap w:val="0"/>
              <w:spacing w:before="0" w:beforeAutospacing="0" w:after="0" w:afterAutospacing="0"/>
              <w:ind w:left="0" w:right="0"/>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（一）评分内容：</w:t>
            </w:r>
          </w:p>
          <w:p w14:paraId="0EFE63BD">
            <w:pPr>
              <w:keepNext w:val="0"/>
              <w:keepLines w:val="0"/>
              <w:suppressLineNumbers w:val="0"/>
              <w:wordWrap w:val="0"/>
              <w:spacing w:before="0" w:beforeAutospacing="0" w:after="0" w:afterAutospacing="0"/>
              <w:ind w:left="0" w:right="0"/>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67C9681B">
            <w:pPr>
              <w:keepNext w:val="0"/>
              <w:keepLines w:val="0"/>
              <w:suppressLineNumbers w:val="0"/>
              <w:wordWrap w:val="0"/>
              <w:spacing w:before="0" w:beforeAutospacing="0" w:after="0" w:afterAutospacing="0"/>
              <w:ind w:left="0" w:right="0"/>
              <w:rPr>
                <w:rFonts w:hint="default" w:asciiTheme="majorEastAsia" w:hAnsiTheme="majorEastAsia" w:eastAsiaTheme="majorEastAsia" w:cstheme="majorEastAsia"/>
                <w:szCs w:val="21"/>
              </w:rPr>
            </w:pPr>
            <w:r>
              <w:rPr>
                <w:rFonts w:hint="eastAsia" w:asciiTheme="majorEastAsia" w:hAnsiTheme="majorEastAsia" w:eastAsiaTheme="majorEastAsia" w:cstheme="majorEastAsia"/>
                <w:szCs w:val="21"/>
              </w:rPr>
              <w:t>（二）评分依据：</w:t>
            </w:r>
          </w:p>
          <w:p w14:paraId="62F7DE45">
            <w:pPr>
              <w:keepNext w:val="0"/>
              <w:keepLines w:val="0"/>
              <w:suppressLineNumbers w:val="0"/>
              <w:spacing w:before="0" w:beforeAutospacing="0" w:after="0" w:afterAutospacing="0"/>
              <w:ind w:left="0" w:right="0"/>
              <w:rPr>
                <w:rFonts w:hint="eastAsia" w:ascii="宋体" w:hAnsi="宋体" w:cs="宋体"/>
                <w:szCs w:val="21"/>
              </w:rPr>
            </w:pPr>
            <w:r>
              <w:rPr>
                <w:rFonts w:hint="eastAsia" w:asciiTheme="majorEastAsia" w:hAnsiTheme="majorEastAsia" w:eastAsiaTheme="majorEastAsia" w:cstheme="majorEastAsia"/>
                <w:szCs w:val="21"/>
              </w:rPr>
              <w:t>查询渠道：通过“信用中国”（www.creditchina.gov.cn，下载信用信息报告）、“中国政府采购网”（www.ccgp.gov.cn）、“深圳市政府采购监管网”（http://zfcg.sz.gov.cn）查询供应商信用信息，信用信息以开标当日的查询结果为准。</w:t>
            </w:r>
          </w:p>
        </w:tc>
      </w:tr>
    </w:tbl>
    <w:p w14:paraId="3A13AA32">
      <w:pPr>
        <w:jc w:val="left"/>
        <w:rPr>
          <w:b/>
          <w:sz w:val="120"/>
          <w:szCs w:val="120"/>
        </w:rPr>
      </w:pPr>
    </w:p>
    <w:p w14:paraId="2396A74A">
      <w:pPr>
        <w:jc w:val="center"/>
        <w:rPr>
          <w:b/>
          <w:sz w:val="120"/>
          <w:szCs w:val="120"/>
        </w:rPr>
      </w:pPr>
    </w:p>
    <w:p w14:paraId="11C33B92">
      <w:pPr>
        <w:widowControl/>
        <w:jc w:val="left"/>
        <w:rPr>
          <w:b/>
          <w:sz w:val="120"/>
          <w:szCs w:val="120"/>
        </w:rPr>
      </w:pPr>
      <w:r>
        <w:rPr>
          <w:rFonts w:hint="eastAsia"/>
          <w:b/>
          <w:sz w:val="120"/>
          <w:szCs w:val="120"/>
        </w:rPr>
        <w:br w:type="page"/>
      </w:r>
    </w:p>
    <w:p w14:paraId="1DD5C0D9">
      <w:pPr>
        <w:jc w:val="center"/>
        <w:rPr>
          <w:rFonts w:hint="eastAsia"/>
          <w:b/>
          <w:sz w:val="120"/>
          <w:szCs w:val="120"/>
        </w:rPr>
      </w:pPr>
    </w:p>
    <w:p w14:paraId="77597387">
      <w:pPr>
        <w:jc w:val="center"/>
        <w:rPr>
          <w:rFonts w:hint="eastAsia"/>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rPr>
      </w:pPr>
      <w:r>
        <w:rPr>
          <w:rFonts w:hint="eastAsia"/>
          <w:b/>
          <w:sz w:val="52"/>
          <w:szCs w:val="52"/>
        </w:rPr>
        <w:t>（服务类）</w:t>
      </w:r>
    </w:p>
    <w:p w14:paraId="624A3FF8">
      <w:pPr>
        <w:jc w:val="center"/>
      </w:pPr>
    </w:p>
    <w:p w14:paraId="2EA9DBD4">
      <w:pPr>
        <w:jc w:val="center"/>
      </w:pPr>
    </w:p>
    <w:p w14:paraId="785222B2">
      <w:pPr>
        <w:jc w:val="center"/>
      </w:pPr>
    </w:p>
    <w:p w14:paraId="454B17D7">
      <w:pPr>
        <w:jc w:val="center"/>
      </w:pPr>
    </w:p>
    <w:p w14:paraId="15CDE25B">
      <w:pPr>
        <w:pStyle w:val="19"/>
      </w:pPr>
    </w:p>
    <w:p w14:paraId="462C60FC">
      <w:pPr>
        <w:pStyle w:val="19"/>
      </w:pPr>
    </w:p>
    <w:p w14:paraId="39F2936B">
      <w:pPr>
        <w:pStyle w:val="19"/>
      </w:pPr>
    </w:p>
    <w:p w14:paraId="1D81D587">
      <w:pPr>
        <w:pStyle w:val="19"/>
      </w:pPr>
    </w:p>
    <w:p w14:paraId="5344C81E">
      <w:pPr>
        <w:pStyle w:val="19"/>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2DC135A">
      <w:pPr>
        <w:pStyle w:val="2"/>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3"/>
        <w:spacing w:before="0" w:after="0"/>
        <w:rPr>
          <w:rFonts w:hint="eastAsia"/>
          <w:sz w:val="28"/>
          <w:szCs w:val="28"/>
        </w:rPr>
      </w:pPr>
      <w:r>
        <w:rPr>
          <w:rFonts w:hint="eastAsia"/>
          <w:sz w:val="28"/>
          <w:szCs w:val="28"/>
        </w:rPr>
        <w:t>第一册</w:t>
      </w:r>
      <w:r>
        <w:rPr>
          <w:rFonts w:hint="eastAsia"/>
          <w:sz w:val="28"/>
          <w:szCs w:val="28"/>
          <w:lang w:val="en-US" w:eastAsia="zh-CN"/>
        </w:rPr>
        <w:t xml:space="preserve">  </w:t>
      </w:r>
      <w:r>
        <w:rPr>
          <w:rFonts w:hint="eastAsia"/>
          <w:sz w:val="28"/>
          <w:szCs w:val="28"/>
        </w:rPr>
        <w:t>专用条款</w:t>
      </w:r>
    </w:p>
    <w:p w14:paraId="3BF4023F">
      <w:pPr>
        <w:pStyle w:val="3"/>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ascii="宋体" w:hAnsi="宋体" w:cs="宋体"/>
          <w:b w:val="0"/>
          <w:bCs w:val="0"/>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w:t>
      </w:r>
      <w:r>
        <w:rPr>
          <w:rFonts w:hint="eastAsia" w:ascii="宋体" w:hAnsi="宋体" w:eastAsia="宋体" w:cs="宋体"/>
          <w:b w:val="0"/>
          <w:bCs w:val="0"/>
          <w:color w:val="FF0000"/>
          <w:kern w:val="0"/>
          <w:sz w:val="21"/>
          <w:szCs w:val="21"/>
          <w:lang w:val="en-US" w:eastAsia="zh-CN" w:bidi="ar-SA"/>
        </w:rPr>
        <w:t>采购活动</w:t>
      </w:r>
      <w:r>
        <w:rPr>
          <w:rFonts w:hint="eastAsia" w:ascii="宋体" w:hAnsi="宋体" w:cs="宋体"/>
          <w:b w:val="0"/>
          <w:bCs w:val="0"/>
          <w:color w:val="FF0000"/>
          <w:kern w:val="0"/>
          <w:szCs w:val="21"/>
        </w:rPr>
        <w:t>（由供应商提供《供应商基本情况表》相关信息）</w:t>
      </w:r>
      <w:r>
        <w:rPr>
          <w:rFonts w:hint="eastAsia" w:ascii="宋体" w:hAnsi="宋体" w:cs="宋体"/>
          <w:b w:val="0"/>
          <w:bCs w:val="0"/>
          <w:color w:val="FF0000"/>
          <w:kern w:val="0"/>
          <w:szCs w:val="21"/>
          <w:lang w:eastAsia="zh-CN"/>
        </w:rPr>
        <w:t>。</w:t>
      </w:r>
    </w:p>
    <w:p w14:paraId="073137CB">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14B60BC5">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18"/>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3" w:name="bt合同条款及格式"/>
      <w:bookmarkEnd w:id="3"/>
      <w:bookmarkStart w:id="4" w:name="bt开标一览表"/>
      <w:bookmarkEnd w:id="4"/>
      <w:bookmarkStart w:id="5" w:name="bt商务标投标文件格式"/>
      <w:bookmarkEnd w:id="5"/>
      <w:bookmarkStart w:id="6" w:name="bt其他资料由投标人自定"/>
      <w:bookmarkEnd w:id="6"/>
      <w:bookmarkStart w:id="7" w:name="bt合同条款"/>
      <w:bookmarkEnd w:id="7"/>
      <w:bookmarkStart w:id="8" w:name="bt投标函"/>
      <w:bookmarkEnd w:id="8"/>
      <w:bookmarkStart w:id="9" w:name="bt说明"/>
      <w:bookmarkEnd w:id="9"/>
      <w:bookmarkStart w:id="10" w:name="bt本工程承诺书"/>
      <w:bookmarkEnd w:id="10"/>
      <w:bookmarkStart w:id="11" w:name="bt投标人须知"/>
      <w:bookmarkEnd w:id="11"/>
      <w:bookmarkStart w:id="12" w:name="bt投标报价汇总表"/>
      <w:bookmarkEnd w:id="12"/>
      <w:bookmarkStart w:id="13" w:name="合同格式"/>
      <w:bookmarkEnd w:id="13"/>
      <w:bookmarkStart w:id="14" w:name="bt技术标投标文件格式"/>
      <w:bookmarkEnd w:id="14"/>
      <w:bookmarkStart w:id="15" w:name="bt其他资料2"/>
      <w:bookmarkEnd w:id="15"/>
      <w:bookmarkStart w:id="16" w:name="bt合同格式"/>
      <w:bookmarkEnd w:id="16"/>
      <w:bookmarkStart w:id="17" w:name="bt投标文件签署授权委托书"/>
      <w:bookmarkEnd w:id="17"/>
      <w:bookmarkStart w:id="18" w:name="bt投标人情况介绍"/>
      <w:bookmarkEnd w:id="18"/>
      <w:bookmarkStart w:id="19" w:name="bt项目管理班子配备情况"/>
      <w:bookmarkEnd w:id="19"/>
      <w:r>
        <w:rPr>
          <w:rFonts w:hint="eastAsia"/>
          <w:sz w:val="28"/>
          <w:szCs w:val="28"/>
        </w:rPr>
        <w:br w:type="page"/>
      </w:r>
    </w:p>
    <w:p w14:paraId="1BDAF229">
      <w:pPr>
        <w:pStyle w:val="3"/>
        <w:jc w:val="center"/>
        <w:rPr>
          <w:sz w:val="28"/>
          <w:szCs w:val="28"/>
        </w:rPr>
      </w:pPr>
      <w:r>
        <w:rPr>
          <w:rFonts w:hint="eastAsia"/>
          <w:sz w:val="28"/>
          <w:szCs w:val="28"/>
        </w:rPr>
        <w:t>第二章 对通用条款的补充内容及其他关键信息</w:t>
      </w:r>
    </w:p>
    <w:p w14:paraId="28867BEE">
      <w:pPr>
        <w:pStyle w:val="3"/>
        <w:spacing w:before="156" w:beforeLines="50" w:after="156" w:afterLines="50"/>
        <w:rPr>
          <w:sz w:val="28"/>
          <w:szCs w:val="28"/>
        </w:rPr>
      </w:pPr>
      <w:bookmarkStart w:id="20" w:name="_Toc100052364"/>
      <w:bookmarkStart w:id="21" w:name="_Toc60560625"/>
      <w:bookmarkStart w:id="22" w:name="_Toc73518117"/>
      <w:bookmarkStart w:id="23" w:name="_Toc73517639"/>
      <w:bookmarkStart w:id="24" w:name="_Toc73521635"/>
      <w:bookmarkStart w:id="25" w:name="_Toc73521547"/>
      <w:bookmarkStart w:id="26" w:name="_Toc60631620"/>
      <w:bookmarkStart w:id="27" w:name="_Toc101074876"/>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eastAsia" w:asciiTheme="minorEastAsia" w:hAnsiTheme="minorEastAsia" w:eastAsiaTheme="minorEastAsia"/>
                <w:lang w:eastAsia="zh-CN"/>
              </w:rPr>
            </w:pPr>
            <w:r>
              <w:rPr>
                <w:rFonts w:hint="eastAsia" w:asciiTheme="minorEastAsia" w:hAnsiTheme="minorEastAsia" w:eastAsiaTheme="minorEastAsia"/>
                <w:lang w:eastAsia="zh-CN"/>
              </w:rPr>
              <w:t>深圳清华大学研究院河套分院（粤港澳大湾区（广东）国创中心国际总部）</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keepNext w:val="0"/>
              <w:keepLines w:val="0"/>
              <w:suppressLineNumbers w:val="0"/>
              <w:spacing w:before="0" w:beforeAutospacing="0" w:after="0" w:afterAutospacing="0"/>
              <w:ind w:left="0" w:right="0"/>
              <w:jc w:val="left"/>
              <w:rPr>
                <w:rFonts w:hint="eastAsia" w:asciiTheme="minorEastAsia" w:hAnsiTheme="minorEastAsia" w:eastAsiaTheme="minorEastAsia"/>
              </w:rPr>
            </w:pPr>
            <w:r>
              <w:rPr>
                <w:rFonts w:hint="eastAsia" w:asciiTheme="minorEastAsia" w:hAnsiTheme="minorEastAsia" w:eastAsiaTheme="minorEastAsia"/>
              </w:rPr>
              <w:t>评定分离</w:t>
            </w:r>
          </w:p>
          <w:p w14:paraId="3E445F40">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default" w:asciiTheme="minorEastAsia" w:hAnsiTheme="minorEastAsia" w:eastAsiaTheme="minorEastAsia"/>
              </w:rPr>
              <w:t>本项目推荐的候选中标供应商不进行排名，且中标（成交）结果信息公示内容仅公示候选中标供应商名单，不公示得分和排名。</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不需要</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w:t>
            </w:r>
            <w:r>
              <w:rPr>
                <w:rFonts w:hint="eastAsia" w:asciiTheme="minorEastAsia" w:hAnsiTheme="minorEastAsia" w:eastAsiaTheme="minorEastAsia"/>
                <w:lang w:val="en-US" w:eastAsia="zh-CN"/>
              </w:rPr>
              <w:t>采购人预算主管部门</w:t>
            </w:r>
            <w:r>
              <w:rPr>
                <w:rFonts w:hint="eastAsia" w:asciiTheme="minorEastAsia" w:hAnsiTheme="minorEastAsia" w:eastAsiaTheme="minorEastAsia"/>
              </w:rPr>
              <w:t>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3"/>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w:t>
      </w:r>
      <w:r>
        <w:rPr>
          <w:rFonts w:hint="eastAsia" w:asciiTheme="minorEastAsia" w:hAnsiTheme="minorEastAsia" w:eastAsiaTheme="minorEastAsia"/>
          <w:b/>
          <w:kern w:val="0"/>
          <w:szCs w:val="20"/>
          <w:lang w:val="en-US" w:eastAsia="zh-CN"/>
        </w:rPr>
        <w:t>.</w:t>
      </w:r>
      <w:r>
        <w:rPr>
          <w:rFonts w:hint="eastAsia" w:asciiTheme="minorEastAsia" w:hAnsiTheme="minorEastAsia" w:eastAsiaTheme="minorEastAsia"/>
          <w:b/>
          <w:kern w:val="0"/>
          <w:szCs w:val="20"/>
        </w:rPr>
        <w:t>评标定标信息</w:t>
      </w:r>
    </w:p>
    <w:bookmarkEnd w:id="29"/>
    <w:p w14:paraId="536B0733">
      <w:pPr>
        <w:jc w:val="center"/>
        <w:rPr>
          <w:b/>
        </w:rPr>
      </w:pPr>
      <w:r>
        <w:rPr>
          <w:rFonts w:hint="eastAsia"/>
          <w:b/>
        </w:rPr>
        <w:t>评定分离项目</w:t>
      </w:r>
    </w:p>
    <w:tbl>
      <w:tblPr>
        <w:tblStyle w:val="4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397" w:type="dxa"/>
          </w:tcPr>
          <w:p w14:paraId="0E4A7CF6">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keepNext w:val="0"/>
              <w:keepLines w:val="0"/>
              <w:suppressLineNumbers w:val="0"/>
              <w:spacing w:before="0" w:beforeAutospacing="0" w:after="0" w:afterAutospacing="0"/>
              <w:ind w:left="0" w:right="0"/>
              <w:jc w:val="center"/>
              <w:rPr>
                <w:rFonts w:hint="default"/>
              </w:rPr>
            </w:pPr>
            <w:r>
              <w:rPr>
                <w:rFonts w:hint="eastAsia"/>
              </w:rPr>
              <w:t>定标方法</w:t>
            </w:r>
          </w:p>
        </w:tc>
        <w:tc>
          <w:tcPr>
            <w:tcW w:w="4397" w:type="dxa"/>
          </w:tcPr>
          <w:p w14:paraId="40CD472C">
            <w:pPr>
              <w:keepNext w:val="0"/>
              <w:keepLines w:val="0"/>
              <w:suppressLineNumbers w:val="0"/>
              <w:spacing w:before="0" w:beforeAutospacing="0" w:after="0" w:afterAutospacing="0"/>
              <w:ind w:left="0" w:right="0"/>
              <w:jc w:val="center"/>
              <w:rPr>
                <w:rFonts w:hint="default"/>
              </w:rP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keepNext w:val="0"/>
              <w:keepLines w:val="0"/>
              <w:suppressLineNumbers w:val="0"/>
              <w:spacing w:before="0" w:beforeAutospacing="0" w:after="0" w:afterAutospacing="0"/>
              <w:ind w:left="0" w:right="0"/>
              <w:jc w:val="center"/>
              <w:rPr>
                <w:rFonts w:hint="default"/>
              </w:rPr>
            </w:pPr>
            <w:r>
              <w:rPr>
                <w:rFonts w:hint="eastAsia"/>
              </w:rPr>
              <w:t>推荐候选中标供应商家数</w:t>
            </w:r>
          </w:p>
        </w:tc>
        <w:tc>
          <w:tcPr>
            <w:tcW w:w="4397" w:type="dxa"/>
          </w:tcPr>
          <w:p w14:paraId="00ABD1C2">
            <w:pPr>
              <w:keepNext w:val="0"/>
              <w:keepLines w:val="0"/>
              <w:suppressLineNumbers w:val="0"/>
              <w:spacing w:before="0" w:beforeAutospacing="0" w:after="0" w:afterAutospacing="0"/>
              <w:ind w:left="0" w:right="0"/>
              <w:jc w:val="center"/>
              <w:rPr>
                <w:rFonts w:hint="default"/>
              </w:rP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397" w:type="dxa"/>
          </w:tcPr>
          <w:p w14:paraId="55D8713C">
            <w:pPr>
              <w:keepNext w:val="0"/>
              <w:keepLines w:val="0"/>
              <w:suppressLineNumbers w:val="0"/>
              <w:spacing w:before="0" w:beforeAutospacing="0" w:after="0" w:afterAutospacing="0"/>
              <w:ind w:left="0" w:right="0"/>
              <w:jc w:val="center"/>
              <w:rPr>
                <w:rFonts w:hint="default"/>
              </w:rPr>
            </w:pPr>
            <w:r>
              <w:rPr>
                <w:rFonts w:hint="eastAsia"/>
              </w:rPr>
              <w:t>1</w:t>
            </w:r>
          </w:p>
        </w:tc>
      </w:tr>
    </w:tbl>
    <w:p w14:paraId="73FC98EC">
      <w:pPr>
        <w:ind w:firstLine="422" w:firstLineChars="200"/>
        <w:rPr>
          <w:rFonts w:hint="eastAsia"/>
          <w:b/>
        </w:rPr>
      </w:pPr>
    </w:p>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lang w:val="en-US" w:eastAsia="zh-CN"/>
        </w:rPr>
        <w:t>.</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096453D9">
      <w:pPr>
        <w:ind w:firstLine="422" w:firstLineChars="200"/>
        <w:rPr>
          <w:b/>
        </w:rPr>
      </w:pPr>
      <w:r>
        <w:rPr>
          <w:rFonts w:hint="eastAsia"/>
          <w:b/>
        </w:rPr>
        <w:t>2</w:t>
      </w:r>
      <w:bookmarkStart w:id="30" w:name="_Hlk72594729"/>
      <w:bookmarkStart w:id="31" w:name="_Hlk76855768"/>
      <w:r>
        <w:rPr>
          <w:rFonts w:hint="eastAsia"/>
          <w:b/>
        </w:rPr>
        <w:t>.本项目为代理服务项目，将向中标（成交）供应商收取代理服务费。</w:t>
      </w:r>
    </w:p>
    <w:bookmarkEnd w:id="30"/>
    <w:bookmarkEnd w:id="31"/>
    <w:p w14:paraId="43F36EA0">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w:t>
      </w:r>
      <w:r>
        <w:rPr>
          <w:rFonts w:hint="eastAsia"/>
          <w:b/>
          <w:color w:val="FF0000"/>
          <w:lang w:val="en-US" w:eastAsia="zh-CN"/>
        </w:rPr>
        <w:t>服务</w:t>
      </w:r>
      <w:r>
        <w:rPr>
          <w:rFonts w:hint="eastAsia"/>
          <w:b/>
          <w:color w:val="FF0000"/>
        </w:rPr>
        <w:t>采购：</w:t>
      </w:r>
    </w:p>
    <w:p w14:paraId="5CC46343">
      <w:pPr>
        <w:ind w:firstLine="420" w:firstLineChars="200"/>
      </w:pPr>
      <w:r>
        <w:rPr>
          <w:rFonts w:hint="eastAsia"/>
        </w:rPr>
        <w:t>（1）代理服务费以《中标（成交）通知书》确定的中标（成交）金额作为计算基数，按差额定率累进法计算。</w:t>
      </w:r>
    </w:p>
    <w:p w14:paraId="021B10FC">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27FB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0512081">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75707123">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08EC91D5">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52FCBB4E">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3545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901C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4379EA65">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54FCD4EC">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5FB5BBEE">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135A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875373">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4671B546">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4C9C561C">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254F48F3">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1D51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BE6EEA">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42486231">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2C68977B">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1BBAD162">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154A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B67C30">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472DE307">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F577FCF">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3B6DB918">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5ACA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06A7262">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515D9B7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7B4D418B">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77A8B5D2">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401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A77D49C">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3669A8B5">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286D03A">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E5863E8">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3AC1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5B4B70">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7142A56B">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78878815">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5063C8B9">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3ACE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6CBAA357">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3591CD1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4FC3235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78BA4D6E">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0B82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53D88A1">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DBA2C3E">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5A82C848">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3D9D3A5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6C15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B627DC">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12AD8CF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5C442B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173AAB5F">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58B2397">
      <w:pPr>
        <w:ind w:firstLine="420" w:firstLineChars="200"/>
      </w:pPr>
      <w:r>
        <w:rPr>
          <w:rFonts w:hint="eastAsia"/>
        </w:rPr>
        <w:t>备注：1.</w:t>
      </w:r>
      <w:r>
        <w:rPr>
          <w:rFonts w:hint="eastAsia" w:ascii="宋体" w:hAnsi="宋体" w:cs="宋体"/>
          <w:color w:val="0000FF"/>
          <w:szCs w:val="21"/>
        </w:rPr>
        <w:t>当代理服务费计算后小于5000元，按5000元收取</w:t>
      </w:r>
      <w:r>
        <w:rPr>
          <w:rFonts w:hint="eastAsia"/>
        </w:rPr>
        <w:t>；</w:t>
      </w:r>
    </w:p>
    <w:p w14:paraId="4A64322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325B4AD0">
      <w:pPr>
        <w:ind w:firstLine="420" w:firstLineChars="200"/>
      </w:pPr>
      <w:r>
        <w:rPr>
          <w:rFonts w:hint="eastAsia"/>
        </w:rPr>
        <w:t>如某货物采购项目，中标（成交）金额为600万元，总共交纳的代理服务费的具体计算过程如下：</w:t>
      </w:r>
    </w:p>
    <w:p w14:paraId="0F4C8000">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E94AA62">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714DFA2B">
      <w:pPr>
        <w:ind w:firstLine="422" w:firstLineChars="200"/>
        <w:rPr>
          <w:rFonts w:hint="eastAsia" w:ascii="宋体" w:hAnsi="宋体" w:cs="宋体"/>
          <w:bCs/>
          <w:color w:val="FF0000"/>
          <w:szCs w:val="21"/>
          <w:highlight w:val="yellow"/>
        </w:rPr>
      </w:pPr>
      <w:r>
        <w:rPr>
          <w:rFonts w:hint="eastAsia" w:ascii="宋体" w:hAnsi="宋体" w:cs="宋体"/>
          <w:b/>
          <w:bCs/>
          <w:color w:val="FF0000"/>
          <w:szCs w:val="21"/>
          <w:highlight w:val="yellow"/>
        </w:rPr>
        <w:t>转账备注：</w:t>
      </w:r>
    </w:p>
    <w:p w14:paraId="07CCFFB8">
      <w:pPr>
        <w:ind w:firstLine="420" w:firstLineChars="200"/>
        <w:rPr>
          <w:rFonts w:hint="eastAsia" w:ascii="宋体" w:hAnsi="宋体" w:cs="宋体"/>
          <w:bCs/>
          <w:color w:val="FF0000"/>
          <w:szCs w:val="21"/>
          <w:highlight w:val="yellow"/>
        </w:rPr>
      </w:pPr>
      <w:r>
        <w:rPr>
          <w:rFonts w:hint="eastAsia" w:ascii="宋体" w:hAnsi="宋体" w:cs="宋体"/>
          <w:bCs/>
          <w:color w:val="FF0000"/>
          <w:szCs w:val="21"/>
          <w:highlight w:val="yellow"/>
        </w:rPr>
        <w:t>项目编号+项目名称</w:t>
      </w:r>
    </w:p>
    <w:p w14:paraId="099F1A30">
      <w:pPr>
        <w:ind w:firstLine="420" w:firstLineChars="200"/>
        <w:jc w:val="left"/>
      </w:pPr>
    </w:p>
    <w:p w14:paraId="1EDBFDE1">
      <w:pPr>
        <w:ind w:firstLine="420" w:firstLineChars="200"/>
        <w:jc w:val="left"/>
      </w:pPr>
    </w:p>
    <w:p w14:paraId="53D45526">
      <w:pPr>
        <w:rPr>
          <w:rFonts w:hint="eastAsia"/>
          <w:sz w:val="28"/>
          <w:szCs w:val="28"/>
        </w:rPr>
      </w:pPr>
      <w:bookmarkStart w:id="32" w:name="_Toc128884461"/>
      <w:r>
        <w:rPr>
          <w:rFonts w:hint="eastAsia"/>
          <w:sz w:val="28"/>
          <w:szCs w:val="28"/>
        </w:rPr>
        <w:br w:type="page"/>
      </w:r>
    </w:p>
    <w:p w14:paraId="35162155">
      <w:pPr>
        <w:pStyle w:val="3"/>
        <w:rPr>
          <w:sz w:val="28"/>
          <w:szCs w:val="28"/>
        </w:rPr>
      </w:pPr>
      <w:r>
        <w:rPr>
          <w:rFonts w:hint="eastAsia"/>
          <w:sz w:val="28"/>
          <w:szCs w:val="28"/>
        </w:rPr>
        <w:t>第三章 用户需求书</w:t>
      </w:r>
    </w:p>
    <w:p w14:paraId="1984CB1D">
      <w:pPr>
        <w:pStyle w:val="3"/>
        <w:spacing w:before="156" w:beforeLines="50" w:after="156" w:afterLines="50"/>
        <w:rPr>
          <w:szCs w:val="24"/>
        </w:rPr>
      </w:pPr>
      <w:r>
        <w:rPr>
          <w:rFonts w:hint="eastAsia"/>
          <w:szCs w:val="24"/>
        </w:rPr>
        <w:t>一、项目基本信息</w:t>
      </w:r>
    </w:p>
    <w:tbl>
      <w:tblPr>
        <w:tblStyle w:val="43"/>
        <w:tblW w:w="92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3128"/>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3128"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14:paraId="5C9F6EB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eastAsia="zh-CN"/>
              </w:rPr>
              <w:t>深圳清华大学研究院河套分院（粤港澳大湾区（广东）国创中心国际总部）跨境加速项目服务</w:t>
            </w:r>
          </w:p>
        </w:tc>
        <w:tc>
          <w:tcPr>
            <w:tcW w:w="3128" w:type="dxa"/>
            <w:vAlign w:val="center"/>
          </w:tcPr>
          <w:p w14:paraId="48F93B54">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bookmarkStart w:id="110" w:name="_GoBack"/>
            <w:r>
              <w:rPr>
                <w:rFonts w:hint="eastAsia"/>
                <w:bCs/>
                <w:color w:val="FF0000"/>
                <w:szCs w:val="21"/>
                <w:lang w:val="en-US" w:eastAsia="zh-CN"/>
              </w:rPr>
              <w:t>700000.00</w:t>
            </w:r>
            <w:bookmarkEnd w:id="110"/>
          </w:p>
        </w:tc>
      </w:tr>
    </w:tbl>
    <w:p w14:paraId="44EB8E18">
      <w:pPr>
        <w:pStyle w:val="3"/>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3903002B">
      <w:pPr>
        <w:pStyle w:val="3"/>
        <w:spacing w:before="156" w:beforeLines="50" w:after="156" w:afterLines="50"/>
        <w:ind w:firstLine="420" w:firstLineChars="200"/>
        <w:jc w:val="left"/>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粤港澳大湾区国家技术创新中心国际总部（简称“国际总部”），注册名为“深圳清华大学研究院河套分院（粤港澳大湾区（广东）国创中心国际总部）”，是粤港澳大湾区国家技术创新中心的有机组成部分。国际总部依托深圳清华大学研究院，在河套深港科技创新合作区深圳园区建设，联通香港，面向国际，致力于打造具备全球视野、国际领先的重大技术创新及产业化平台。</w:t>
      </w:r>
    </w:p>
    <w:p w14:paraId="3283CF6A">
      <w:pPr>
        <w:pStyle w:val="3"/>
        <w:spacing w:before="156" w:beforeLines="50" w:after="156" w:afterLines="50"/>
        <w:ind w:firstLine="420" w:firstLineChars="200"/>
        <w:jc w:val="left"/>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为加速沙特优质科技成果在中国落地与商业化合作，国际总部拟开展“跨境加速项目”，面向沙特科技创新项目团队提供定制化、沉浸式的在华学习、交流与资源对接服务。项目采用“2天沙特 + 5天深圳”的双阶段模式，聚焦项目前期诊断、中国市场认知、商业模式优化与资源精准匹配，全面提升项目产业化的准备度与成功率。</w:t>
      </w:r>
    </w:p>
    <w:p w14:paraId="799CC787">
      <w:pPr>
        <w:pStyle w:val="3"/>
        <w:spacing w:before="156" w:beforeLines="50" w:after="156" w:afterLines="50"/>
        <w:ind w:firstLine="420" w:firstLineChars="200"/>
        <w:jc w:val="left"/>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国际总部（以下简称“采购方”）现就该项目的部分实施内容进行服务外包，公开征集具备国际项目运营经验的专业服务机构（以下简称“投标方”）。采购方将与中标单位（以下简称“中标方”）协同组织实施，涵盖学员招募支持、全流程行程管理、专题培训、企业参访、资源对接、文化体验及闭门研讨等活动，助力沙特科技项目深度融入大湾区创新生态。</w:t>
      </w:r>
    </w:p>
    <w:p w14:paraId="27ACA9FB">
      <w:pPr>
        <w:pStyle w:val="3"/>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3"/>
        <w:tblpPr w:leftFromText="180" w:rightFromText="180" w:vertAnchor="text" w:horzAnchor="margin" w:tblpX="139" w:tblpY="173"/>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1270"/>
        <w:gridCol w:w="1789"/>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1270" w:type="dxa"/>
            <w:vAlign w:val="center"/>
          </w:tcPr>
          <w:p w14:paraId="4C821A03">
            <w:pPr>
              <w:keepNext w:val="0"/>
              <w:keepLines w:val="0"/>
              <w:suppressLineNumbers w:val="0"/>
              <w:spacing w:before="0" w:beforeAutospacing="0" w:after="0" w:afterAutospacing="0"/>
              <w:ind w:left="0" w:right="0"/>
              <w:jc w:val="center"/>
              <w:rPr>
                <w:rFonts w:hint="eastAsia"/>
                <w:bCs/>
                <w:szCs w:val="21"/>
              </w:rPr>
            </w:pPr>
            <w:r>
              <w:rPr>
                <w:rFonts w:hint="eastAsia"/>
                <w:b/>
                <w:bCs/>
                <w:color w:val="FF0000"/>
                <w:szCs w:val="21"/>
                <w:lang w:val="en-US" w:eastAsia="zh-CN"/>
              </w:rPr>
              <w:t>是否专门面向中小企业</w:t>
            </w:r>
          </w:p>
        </w:tc>
        <w:tc>
          <w:tcPr>
            <w:tcW w:w="1789"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深圳清华大学研究院河套分院（粤港澳大湾区（广东）国创中心国际总部）跨境加速项目服务</w:t>
            </w:r>
          </w:p>
        </w:tc>
        <w:tc>
          <w:tcPr>
            <w:tcW w:w="837"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1270" w:type="dxa"/>
            <w:vAlign w:val="center"/>
          </w:tcPr>
          <w:p w14:paraId="1830F223">
            <w:pPr>
              <w:keepNext w:val="0"/>
              <w:keepLines w:val="0"/>
              <w:suppressLineNumbers w:val="0"/>
              <w:spacing w:before="0" w:beforeAutospacing="0" w:after="0" w:afterAutospacing="0"/>
              <w:ind w:left="0" w:right="0"/>
              <w:jc w:val="center"/>
              <w:rPr>
                <w:rFonts w:hint="default"/>
                <w:bCs/>
                <w:szCs w:val="21"/>
                <w:lang w:val="en-US" w:eastAsia="zh-CN"/>
              </w:rPr>
            </w:pPr>
            <w:r>
              <w:rPr>
                <w:rFonts w:hint="eastAsia"/>
                <w:bCs/>
                <w:szCs w:val="21"/>
                <w:lang w:val="en-US" w:eastAsia="zh-CN"/>
              </w:rPr>
              <w:t>否</w:t>
            </w:r>
          </w:p>
        </w:tc>
        <w:tc>
          <w:tcPr>
            <w:tcW w:w="1789"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eastAsia"/>
              </w:rPr>
              <w:t>其他未列明行业</w:t>
            </w:r>
          </w:p>
        </w:tc>
      </w:tr>
    </w:tbl>
    <w:p w14:paraId="3A297A53">
      <w:pPr>
        <w:rPr>
          <w:rFonts w:ascii="宋体" w:hAnsi="宋体"/>
          <w:b/>
          <w:color w:val="FF0000"/>
          <w:szCs w:val="21"/>
        </w:rPr>
      </w:pPr>
    </w:p>
    <w:p w14:paraId="58FFE2FE">
      <w:pPr>
        <w:pStyle w:val="3"/>
        <w:spacing w:before="156" w:beforeLines="50" w:after="156" w:afterLines="50"/>
        <w:rPr>
          <w:szCs w:val="24"/>
        </w:rPr>
      </w:pPr>
      <w:r>
        <w:rPr>
          <w:rFonts w:hint="eastAsia"/>
          <w:szCs w:val="24"/>
        </w:rPr>
        <w:t>四、实质性条款</w:t>
      </w:r>
    </w:p>
    <w:tbl>
      <w:tblPr>
        <w:tblStyle w:val="43"/>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8D0063F">
      <w:pPr>
        <w:rPr>
          <w:szCs w:val="24"/>
        </w:rPr>
      </w:pPr>
      <w:r>
        <w:rPr>
          <w:szCs w:val="24"/>
        </w:rPr>
        <w:br w:type="page"/>
      </w:r>
    </w:p>
    <w:p w14:paraId="4C5E6D09">
      <w:pPr>
        <w:pStyle w:val="3"/>
        <w:widowControl/>
        <w:spacing w:before="156" w:beforeLines="50" w:after="156" w:afterLines="50"/>
        <w:rPr>
          <w:szCs w:val="24"/>
        </w:rPr>
      </w:pPr>
      <w:r>
        <w:rPr>
          <w:szCs w:val="24"/>
        </w:rPr>
        <w:t>五、技术要求</w:t>
      </w:r>
    </w:p>
    <w:p w14:paraId="7669CA25">
      <w:pPr>
        <w:ind w:firstLine="422" w:firstLineChars="200"/>
        <w:rPr>
          <w:b/>
        </w:rPr>
      </w:pPr>
      <w:r>
        <w:rPr>
          <w:rFonts w:hint="eastAsia"/>
          <w:b/>
          <w:szCs w:val="21"/>
        </w:rPr>
        <w:t>说明：</w:t>
      </w:r>
      <w:r>
        <w:rPr>
          <w:b/>
          <w:szCs w:val="21"/>
        </w:rPr>
        <w:t xml:space="preserve"> </w:t>
      </w:r>
      <w:r>
        <w:rPr>
          <w:b/>
        </w:rPr>
        <w:t>1</w:t>
      </w:r>
      <w:r>
        <w:rPr>
          <w:rFonts w:hint="eastAsia"/>
          <w:b/>
          <w:lang w:val="en-US" w:eastAsia="zh-CN"/>
        </w:rPr>
        <w:t>.</w:t>
      </w:r>
      <w:r>
        <w:rPr>
          <w:rFonts w:hint="eastAsia"/>
          <w:b/>
        </w:rPr>
        <w:t>评分时，如对一项招标技术要求（以</w:t>
      </w:r>
      <w:r>
        <w:rPr>
          <w:rFonts w:hint="eastAsia"/>
          <w:b/>
          <w:lang w:val="en-US" w:eastAsia="zh-CN"/>
        </w:rPr>
        <w:t>技术要求偏离表</w:t>
      </w:r>
      <w:r>
        <w:rPr>
          <w:rFonts w:hint="eastAsia"/>
          <w:b/>
        </w:rPr>
        <w:t>划分框为准）中的内容存在两处（或以上）负偏离的，在评分时只作一项负偏离扣分。</w:t>
      </w:r>
    </w:p>
    <w:p w14:paraId="7912BC71">
      <w:pPr>
        <w:ind w:firstLine="422" w:firstLineChars="200"/>
        <w:rPr>
          <w:b/>
          <w:szCs w:val="21"/>
        </w:rPr>
      </w:pPr>
      <w:r>
        <w:rPr>
          <w:b/>
          <w:szCs w:val="21"/>
        </w:rPr>
        <w:t>2</w:t>
      </w:r>
      <w:r>
        <w:rPr>
          <w:rFonts w:hint="eastAsia"/>
          <w:b/>
          <w:szCs w:val="21"/>
          <w:lang w:val="en-US" w:eastAsia="zh-CN"/>
        </w:rPr>
        <w:t>.</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6C701C4F">
      <w:pPr>
        <w:ind w:firstLine="422" w:firstLineChars="200"/>
        <w:rPr>
          <w:rFonts w:hint="eastAsia"/>
          <w:b/>
          <w:szCs w:val="21"/>
        </w:rPr>
      </w:pPr>
      <w:r>
        <w:rPr>
          <w:b/>
          <w:szCs w:val="21"/>
        </w:rPr>
        <w:t>3</w:t>
      </w:r>
      <w:r>
        <w:rPr>
          <w:rFonts w:hint="eastAsia"/>
          <w:b/>
          <w:szCs w:val="21"/>
          <w:lang w:val="en-US" w:eastAsia="zh-CN"/>
        </w:rPr>
        <w:t>.</w:t>
      </w:r>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5BEC22ED">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b/>
          <w:bCs w:val="0"/>
          <w:color w:val="FF0000"/>
          <w:kern w:val="2"/>
          <w:sz w:val="21"/>
          <w:szCs w:val="21"/>
          <w:lang w:val="en-US" w:eastAsia="zh-CN" w:bidi="ar"/>
        </w:rPr>
      </w:pPr>
    </w:p>
    <w:p w14:paraId="1BF31251">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b w:val="0"/>
          <w:bCs/>
          <w:color w:val="auto"/>
          <w:kern w:val="2"/>
          <w:sz w:val="21"/>
          <w:szCs w:val="21"/>
          <w:lang w:val="en-US" w:eastAsia="zh-CN" w:bidi="ar"/>
        </w:rPr>
        <w:t>（一）</w:t>
      </w:r>
      <w:r>
        <w:rPr>
          <w:rFonts w:hint="eastAsia" w:ascii="宋体" w:hAnsi="宋体" w:eastAsia="宋体" w:cs="宋体"/>
          <w:b w:val="0"/>
          <w:bCs/>
          <w:color w:val="auto"/>
          <w:sz w:val="21"/>
          <w:szCs w:val="21"/>
        </w:rPr>
        <w:t>中标</w:t>
      </w:r>
      <w:r>
        <w:rPr>
          <w:rFonts w:hint="eastAsia" w:ascii="宋体" w:hAnsi="宋体" w:eastAsia="宋体" w:cs="宋体"/>
          <w:sz w:val="21"/>
          <w:szCs w:val="21"/>
        </w:rPr>
        <w:t>方需根据采购方设定的标准，为来访人员提供以下服务</w:t>
      </w:r>
      <w:r>
        <w:rPr>
          <w:rFonts w:hint="eastAsia" w:ascii="宋体" w:hAnsi="宋体" w:cs="宋体"/>
          <w:sz w:val="21"/>
          <w:szCs w:val="21"/>
          <w:lang w:val="en-US" w:eastAsia="zh-CN"/>
        </w:rPr>
        <w:t>并承担实施费用</w:t>
      </w:r>
      <w:r>
        <w:rPr>
          <w:rFonts w:hint="eastAsia" w:ascii="宋体" w:hAnsi="宋体" w:eastAsia="宋体" w:cs="宋体"/>
          <w:sz w:val="21"/>
          <w:szCs w:val="21"/>
        </w:rPr>
        <w:t>：</w:t>
      </w:r>
    </w:p>
    <w:p w14:paraId="43871D6E">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1.商务对接：协助提供办理签证所需邀请函等材料、国际差旅协调等前期准备工作；</w:t>
      </w:r>
    </w:p>
    <w:p w14:paraId="5925353E">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2.全流程行程设计与协调：涵盖沙特与深圳两地的日程安排、交通、住宿、餐饮等；</w:t>
      </w:r>
    </w:p>
    <w:p w14:paraId="3247C246">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3.学习、交流、研讨、辅导活动设计：包括课程、工作坊、闭门对话、一对一辅导等；</w:t>
      </w:r>
    </w:p>
    <w:p w14:paraId="2D838106">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4.专家、讲师、导师及研讨嘉宾邀请与对接：遴选并组织高水平专业人士参与项目；</w:t>
      </w:r>
    </w:p>
    <w:p w14:paraId="0F8287C8">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5.大湾区科技企业、机构、高校的参访及高管交流对接；</w:t>
      </w:r>
    </w:p>
    <w:p w14:paraId="2A56DF73">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6.开营仪式与闭幕路演活动设计及执行；</w:t>
      </w:r>
    </w:p>
    <w:p w14:paraId="0BC2034D">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7.投资人见面会与资源对接服务；</w:t>
      </w:r>
    </w:p>
    <w:p w14:paraId="04997881">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8.配套中国文化体验与代表性参访活动。</w:t>
      </w:r>
    </w:p>
    <w:p w14:paraId="191E5642">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p>
    <w:p w14:paraId="5B994094">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845" w:leftChars="0" w:hanging="425"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（二）</w:t>
      </w:r>
      <w:r>
        <w:rPr>
          <w:rFonts w:hint="eastAsia" w:ascii="宋体" w:hAnsi="宋体" w:eastAsia="宋体" w:cs="宋体"/>
          <w:sz w:val="21"/>
          <w:szCs w:val="21"/>
        </w:rPr>
        <w:t>商务对接及接待安排</w:t>
      </w:r>
    </w:p>
    <w:p w14:paraId="45A3DBDC">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服务对象：由采购方指定的15–25名沙特科技创新项目代表；</w:t>
      </w:r>
    </w:p>
    <w:p w14:paraId="184C039A">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语言：英文；</w:t>
      </w:r>
    </w:p>
    <w:p w14:paraId="29D11473">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翻译人员：中标方须配备至少1名英文翻译人员；</w:t>
      </w:r>
    </w:p>
    <w:p w14:paraId="7B8C627D">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服务内容：</w:t>
      </w:r>
    </w:p>
    <w:p w14:paraId="38E678E3">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协助撰写官方邀请函并指导签证办理；</w:t>
      </w:r>
    </w:p>
    <w:p w14:paraId="0D22E60C">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提供全程安全、专业的交通接驳服务；</w:t>
      </w:r>
    </w:p>
    <w:p w14:paraId="3BA552D6">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eastAsia="zh-CN"/>
        </w:rPr>
        <w:t>安排高性价比且符合国际标准的舒适住宿；</w:t>
      </w:r>
    </w:p>
    <w:p w14:paraId="2DB9E7CB">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lang w:eastAsia="zh-CN"/>
        </w:rPr>
        <w:t>提供符合多国文化与宗教信仰的餐饮服务，确保清真饮食供应；</w:t>
      </w:r>
    </w:p>
    <w:p w14:paraId="3C2235A8">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lang w:eastAsia="zh-CN"/>
        </w:rPr>
        <w:t>为所有来访人员购买在中国期间的商业意外险（保额不低于人民币100万元）；</w:t>
      </w:r>
    </w:p>
    <w:p w14:paraId="30211DBE">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lang w:eastAsia="zh-CN"/>
        </w:rPr>
      </w:pPr>
      <w:r>
        <w:rPr>
          <w:rFonts w:hint="eastAsia" w:ascii="微软雅黑" w:hAnsi="微软雅黑" w:eastAsia="微软雅黑" w:cs="微软雅黑"/>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eastAsia="zh-CN"/>
        </w:rPr>
        <w:t>响应机制：具备高效沟通与应急响应能力，确保在采购方提出需求后2小时内给予初步反馈，24小时内落实解决方案</w:t>
      </w:r>
      <w:r>
        <w:rPr>
          <w:rFonts w:hint="eastAsia" w:ascii="宋体" w:hAnsi="宋体" w:cs="宋体"/>
          <w:sz w:val="21"/>
          <w:szCs w:val="21"/>
          <w:lang w:eastAsia="zh-CN"/>
        </w:rPr>
        <w:t>；</w:t>
      </w:r>
    </w:p>
    <w:p w14:paraId="0E9B64C2">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6.中标方须承担开展以上服务内容的实施费用。</w:t>
      </w:r>
    </w:p>
    <w:p w14:paraId="4EA0CE81">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p>
    <w:p w14:paraId="4E68124F">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845" w:leftChars="0" w:hanging="425"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rPr>
        <w:t>培训学习活动</w:t>
      </w:r>
    </w:p>
    <w:p w14:paraId="10815F45">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课程目标：提升学员对中国科技创新环境、技术商业化路径、融资机制与法律政策的理解；</w:t>
      </w:r>
    </w:p>
    <w:p w14:paraId="597FCCD3">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课程语言：全英文</w:t>
      </w:r>
      <w:r>
        <w:rPr>
          <w:rFonts w:hint="eastAsia" w:ascii="宋体" w:hAnsi="宋体" w:cs="宋体"/>
          <w:sz w:val="21"/>
          <w:szCs w:val="21"/>
          <w:lang w:eastAsia="zh-CN"/>
        </w:rPr>
        <w:t>，</w:t>
      </w:r>
      <w:r>
        <w:rPr>
          <w:rFonts w:hint="eastAsia" w:ascii="宋体" w:hAnsi="宋体" w:cs="宋体"/>
          <w:sz w:val="21"/>
          <w:szCs w:val="21"/>
          <w:lang w:val="en-US" w:eastAsia="zh-CN"/>
        </w:rPr>
        <w:t>不得配备翻译</w:t>
      </w:r>
      <w:r>
        <w:rPr>
          <w:rFonts w:hint="eastAsia" w:ascii="宋体" w:hAnsi="宋体" w:eastAsia="宋体" w:cs="宋体"/>
          <w:sz w:val="21"/>
          <w:szCs w:val="21"/>
        </w:rPr>
        <w:t>；</w:t>
      </w:r>
    </w:p>
    <w:p w14:paraId="4229D9B2">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课程模块（不少于4个独立主题，总时长不少于8小时或根据采购方要求调整）：</w:t>
      </w:r>
    </w:p>
    <w:p w14:paraId="5260CE9C">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中国及大湾区科技创新生态系统（政策、产业、载体）；</w:t>
      </w:r>
    </w:p>
    <w:p w14:paraId="47782C45">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技术商业化路径与典型时间周期（从实验室到量产）；</w:t>
      </w:r>
    </w:p>
    <w:p w14:paraId="39443339">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科技企业融资路径与中国投资机构偏好（VC/PE、政府基金）；</w:t>
      </w:r>
    </w:p>
    <w:p w14:paraId="7E551C80">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知识产权保护与相关法律法规（专利、合规、跨境风险）；</w:t>
      </w:r>
    </w:p>
    <w:p w14:paraId="70AC0894">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跨境创业常见挑战与本地化策略。</w:t>
      </w:r>
    </w:p>
    <w:p w14:paraId="67182236">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教学形式：鼓励采用案例教学、小组讨论、模拟演练等互动方式；</w:t>
      </w:r>
    </w:p>
    <w:p w14:paraId="6F3727C3">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场地安排：中标方负责培训场地的预订、布置与技术支持；</w:t>
      </w:r>
    </w:p>
    <w:p w14:paraId="03DF7C7B">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投资人见面会（Investor Meetup）：</w:t>
      </w:r>
    </w:p>
    <w:p w14:paraId="533FD2F7">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组织至少1场闭门路演或圆桌对话（邀请不少于8家关注早期科技项目的投资机构代表）；</w:t>
      </w:r>
    </w:p>
    <w:p w14:paraId="05F3DDB5">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内容包括项目展示、趋势分享、问答互动等。</w:t>
      </w:r>
    </w:p>
    <w:p w14:paraId="6F935BE0">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9.中标方须承担开展以上服务内容的实施费用。</w:t>
      </w:r>
    </w:p>
    <w:p w14:paraId="30C16956">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p>
    <w:p w14:paraId="4542F363">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845" w:leftChars="0" w:hanging="425"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（四）</w:t>
      </w:r>
      <w:r>
        <w:rPr>
          <w:rFonts w:hint="eastAsia" w:ascii="宋体" w:hAnsi="宋体" w:eastAsia="宋体" w:cs="宋体"/>
          <w:sz w:val="21"/>
          <w:szCs w:val="21"/>
        </w:rPr>
        <w:t>参访交流</w:t>
      </w:r>
    </w:p>
    <w:p w14:paraId="2B4DDBA7">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参访单位：2–3家大湾区代表性科技创新机构（高新技术企业、新型研发机构、国家级实验室、高校创新平台等）；</w:t>
      </w:r>
    </w:p>
    <w:p w14:paraId="39C5CE8B">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交流内容：聚焦技术创新、成果转化、产业应用等方向；</w:t>
      </w:r>
    </w:p>
    <w:p w14:paraId="76D2970E">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参访要求：</w:t>
      </w:r>
    </w:p>
    <w:p w14:paraId="01F46CC6">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提前提交参访单位名单，经采购方书面确认；</w:t>
      </w:r>
    </w:p>
    <w:p w14:paraId="5596A112">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安排负责人或高管进行深度交流；</w:t>
      </w:r>
    </w:p>
    <w:p w14:paraId="4ED69A32">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rPr>
        <w:t>配备中英同声传译；</w:t>
      </w:r>
    </w:p>
    <w:p w14:paraId="77BD81AF">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rPr>
        <w:t>行程紧凑，餐饮符合学员宗教与文化习俗。</w:t>
      </w:r>
    </w:p>
    <w:p w14:paraId="0C419962">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4.中标方须承担开展以上服务内容的实施费用。</w:t>
      </w:r>
    </w:p>
    <w:p w14:paraId="147B414B">
      <w:pPr>
        <w:keepNext w:val="0"/>
        <w:keepLines w:val="0"/>
        <w:pageBreakBefore w:val="0"/>
        <w:widowControl w:val="0"/>
        <w:kinsoku/>
        <w:wordWrap/>
        <w:overflowPunct/>
        <w:topLinePunct w:val="0"/>
        <w:autoSpaceDE/>
        <w:autoSpaceDN/>
        <w:bidi w:val="0"/>
        <w:adjustRightInd/>
        <w:snapToGrid/>
        <w:spacing w:after="93" w:line="240" w:lineRule="auto"/>
        <w:ind w:left="420" w:firstLine="0" w:firstLineChars="0"/>
        <w:textAlignment w:val="auto"/>
        <w:rPr>
          <w:rFonts w:hint="eastAsia" w:ascii="宋体" w:hAnsi="宋体" w:eastAsia="宋体" w:cs="宋体"/>
          <w:sz w:val="21"/>
          <w:szCs w:val="21"/>
        </w:rPr>
      </w:pPr>
    </w:p>
    <w:p w14:paraId="784D63BF">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845" w:leftChars="0" w:hanging="425"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（五）</w:t>
      </w:r>
      <w:r>
        <w:rPr>
          <w:rFonts w:hint="eastAsia" w:ascii="宋体" w:hAnsi="宋体" w:eastAsia="宋体" w:cs="宋体"/>
          <w:sz w:val="21"/>
          <w:szCs w:val="21"/>
        </w:rPr>
        <w:t>开营与路演闭幕活动</w:t>
      </w:r>
    </w:p>
    <w:p w14:paraId="6ED6749D">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开营仪式：</w:t>
      </w:r>
    </w:p>
    <w:p w14:paraId="04DEE974">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时间：全体学员抵达当天或次日；</w:t>
      </w:r>
    </w:p>
    <w:p w14:paraId="58C58C89">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内容：项目说明、团队破冰、导师介绍、目标设定；</w:t>
      </w:r>
    </w:p>
    <w:p w14:paraId="762F6FD4">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要求：配备专业主持人，设计互动环节促进链接；</w:t>
      </w:r>
    </w:p>
    <w:p w14:paraId="59DE6306">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方案须提前10个工作日提交采购方审核；</w:t>
      </w:r>
    </w:p>
    <w:p w14:paraId="7DA142C7">
      <w:pPr>
        <w:keepNext w:val="0"/>
        <w:keepLines w:val="0"/>
        <w:pageBreakBefore w:val="0"/>
        <w:widowControl w:val="0"/>
        <w:kinsoku/>
        <w:wordWrap/>
        <w:overflowPunct/>
        <w:topLinePunct w:val="0"/>
        <w:autoSpaceDE/>
        <w:autoSpaceDN/>
        <w:bidi w:val="0"/>
        <w:adjustRightInd/>
        <w:snapToGrid/>
        <w:spacing w:after="93" w:line="24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闭幕路演活动（Pitch Event）：</w:t>
      </w:r>
    </w:p>
    <w:p w14:paraId="77BAB33D">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时间：项目结束当天或次日；</w:t>
      </w:r>
    </w:p>
    <w:p w14:paraId="5A0FDA15">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rPr>
        <w:t>内容：所有学员项目进行正式英文路演；</w:t>
      </w:r>
    </w:p>
    <w:p w14:paraId="314C5CC9">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中标方须安排专业导师对各项目进行一对一辅导；</w:t>
      </w:r>
    </w:p>
    <w:p w14:paraId="06B09413">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rPr>
        <w:t>邀请不少于10家机构参与（投资机构、产业方、潜在合作伙伴）；</w:t>
      </w:r>
    </w:p>
    <w:p w14:paraId="2A6FA85E">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rPr>
        <w:t>配备中英同声传译；</w:t>
      </w:r>
    </w:p>
    <w:p w14:paraId="69E79230">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（6）</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所有对外公开信息须事先取得沙特方同意。</w:t>
      </w:r>
    </w:p>
    <w:p w14:paraId="269D1A2B">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630" w:firstLineChars="3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3.中标方须承担开展以上服务内容的实施费用。</w:t>
      </w:r>
    </w:p>
    <w:p w14:paraId="3A6C7C7B">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p>
    <w:p w14:paraId="32663DA5">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六</w:t>
      </w:r>
      <w:r>
        <w:rPr>
          <w:rFonts w:hint="eastAsia" w:ascii="宋体" w:hAnsi="宋体" w:eastAsia="宋体" w:cs="宋体"/>
          <w:sz w:val="21"/>
          <w:szCs w:val="21"/>
          <w:lang w:eastAsia="zh-CN"/>
        </w:rPr>
        <w:t>）</w:t>
      </w:r>
      <w:r>
        <w:rPr>
          <w:rFonts w:hint="eastAsia" w:ascii="宋体" w:hAnsi="宋体" w:eastAsia="宋体" w:cs="宋体"/>
          <w:sz w:val="21"/>
          <w:szCs w:val="21"/>
        </w:rPr>
        <w:t>中国文化体验活动</w:t>
      </w:r>
    </w:p>
    <w:p w14:paraId="5A59AC82">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活动目标：帮助学员了解中国文化与深圳科创成就；</w:t>
      </w:r>
    </w:p>
    <w:p w14:paraId="516EE0E4">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活动形式：参观具有代表性的科技企业展厅、创新街区、文化地标等（如华强北博物馆、前海合作区等）；</w:t>
      </w:r>
    </w:p>
    <w:p w14:paraId="55044243">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方案要求：提前10个工作日提交策划方案，经采购方审核；</w:t>
      </w:r>
    </w:p>
    <w:p w14:paraId="15470072">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安全与文化：充分考虑安全、风俗与信仰问题。</w:t>
      </w:r>
    </w:p>
    <w:p w14:paraId="09751931">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5.中标方须承担开展以上服务内容的实施费用。</w:t>
      </w:r>
    </w:p>
    <w:p w14:paraId="76F30B12">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p>
    <w:p w14:paraId="49A125ED">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七</w:t>
      </w:r>
      <w:r>
        <w:rPr>
          <w:rFonts w:hint="eastAsia" w:ascii="宋体" w:hAnsi="宋体" w:eastAsia="宋体" w:cs="宋体"/>
          <w:sz w:val="21"/>
          <w:szCs w:val="21"/>
          <w:lang w:eastAsia="zh-CN"/>
        </w:rPr>
        <w:t>）</w:t>
      </w:r>
      <w:r>
        <w:rPr>
          <w:rFonts w:hint="eastAsia" w:ascii="宋体" w:hAnsi="宋体" w:eastAsia="宋体" w:cs="宋体"/>
          <w:sz w:val="21"/>
          <w:szCs w:val="21"/>
        </w:rPr>
        <w:t>沙特阶段工作坊专项安排</w:t>
      </w:r>
    </w:p>
    <w:p w14:paraId="06DF7AA5">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目标：安排专业导师赴沙特进行为期2天的工作坊，帮助沙特科技创新项目团队明确产业化策略，提升深圳阶段对接效率；</w:t>
      </w:r>
    </w:p>
    <w:p w14:paraId="64B606AA">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课程语言：全英文</w:t>
      </w:r>
      <w:r>
        <w:rPr>
          <w:rFonts w:hint="eastAsia" w:ascii="宋体" w:hAnsi="宋体" w:cs="宋体"/>
          <w:sz w:val="21"/>
          <w:szCs w:val="21"/>
          <w:lang w:eastAsia="zh-CN"/>
        </w:rPr>
        <w:t>，</w:t>
      </w:r>
      <w:r>
        <w:rPr>
          <w:rFonts w:hint="eastAsia" w:ascii="宋体" w:hAnsi="宋体" w:cs="宋体"/>
          <w:sz w:val="21"/>
          <w:szCs w:val="21"/>
          <w:lang w:val="en-US" w:eastAsia="zh-CN"/>
        </w:rPr>
        <w:t>不得配备翻译</w:t>
      </w:r>
      <w:r>
        <w:rPr>
          <w:rFonts w:hint="eastAsia" w:ascii="宋体" w:hAnsi="宋体" w:eastAsia="宋体" w:cs="宋体"/>
          <w:sz w:val="21"/>
          <w:szCs w:val="21"/>
        </w:rPr>
        <w:t>；</w:t>
      </w:r>
    </w:p>
    <w:p w14:paraId="58BD9CF2">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rPr>
        <w:t>内容模块：</w:t>
      </w:r>
    </w:p>
    <w:p w14:paraId="110E5306">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商业模式设计培训：讲授科技项目商业模式画布、价值主张设计等；</w:t>
      </w:r>
    </w:p>
    <w:p w14:paraId="69E46848">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一对一产业化辅导：每项目30–60分钟，梳理：</w:t>
      </w:r>
    </w:p>
    <w:p w14:paraId="20C2D94D">
      <w:pPr>
        <w:keepNext w:val="0"/>
        <w:keepLines w:val="0"/>
        <w:pageBreakBefore w:val="0"/>
        <w:widowControl w:val="0"/>
        <w:kinsoku/>
        <w:wordWrap/>
        <w:overflowPunct/>
        <w:topLinePunct w:val="0"/>
        <w:autoSpaceDE/>
        <w:autoSpaceDN/>
        <w:bidi w:val="0"/>
        <w:adjustRightInd/>
        <w:snapToGrid/>
        <w:spacing w:after="93" w:line="240" w:lineRule="auto"/>
        <w:ind w:left="840" w:leftChars="400"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 技术优势与壁垒；</w:t>
      </w:r>
    </w:p>
    <w:p w14:paraId="37FCC509">
      <w:pPr>
        <w:keepNext w:val="0"/>
        <w:keepLines w:val="0"/>
        <w:pageBreakBefore w:val="0"/>
        <w:widowControl w:val="0"/>
        <w:kinsoku/>
        <w:wordWrap/>
        <w:overflowPunct/>
        <w:topLinePunct w:val="0"/>
        <w:autoSpaceDE/>
        <w:autoSpaceDN/>
        <w:bidi w:val="0"/>
        <w:adjustRightInd/>
        <w:snapToGrid/>
        <w:spacing w:after="93" w:line="240" w:lineRule="auto"/>
        <w:ind w:left="840" w:leftChars="400"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 中国同类技术发展水平；</w:t>
      </w:r>
    </w:p>
    <w:p w14:paraId="27F0BFB9">
      <w:pPr>
        <w:keepNext w:val="0"/>
        <w:keepLines w:val="0"/>
        <w:pageBreakBefore w:val="0"/>
        <w:widowControl w:val="0"/>
        <w:kinsoku/>
        <w:wordWrap/>
        <w:overflowPunct/>
        <w:topLinePunct w:val="0"/>
        <w:autoSpaceDE/>
        <w:autoSpaceDN/>
        <w:bidi w:val="0"/>
        <w:adjustRightInd/>
        <w:snapToGrid/>
        <w:spacing w:after="93" w:line="240" w:lineRule="auto"/>
        <w:ind w:left="840" w:leftChars="400"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 产业化面临的问题及核心诉求；</w:t>
      </w:r>
    </w:p>
    <w:p w14:paraId="29F3A6B4">
      <w:pPr>
        <w:keepNext w:val="0"/>
        <w:keepLines w:val="0"/>
        <w:pageBreakBefore w:val="0"/>
        <w:widowControl w:val="0"/>
        <w:kinsoku/>
        <w:wordWrap/>
        <w:overflowPunct/>
        <w:topLinePunct w:val="0"/>
        <w:autoSpaceDE/>
        <w:autoSpaceDN/>
        <w:bidi w:val="0"/>
        <w:adjustRightInd/>
        <w:snapToGrid/>
        <w:spacing w:after="93" w:line="240" w:lineRule="auto"/>
        <w:ind w:left="840" w:leftChars="400"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 与粤港澳大湾区合作目标、所需资源（技术合作、产业合作、供应链等）；</w:t>
      </w:r>
    </w:p>
    <w:p w14:paraId="10B757B3">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首次项目路演与点评：5–8分钟路演 + 导师团书面反馈；</w:t>
      </w:r>
    </w:p>
    <w:p w14:paraId="0A97F3E4">
      <w:pPr>
        <w:keepNext w:val="0"/>
        <w:keepLines w:val="0"/>
        <w:pageBreakBefore w:val="0"/>
        <w:widowControl w:val="0"/>
        <w:kinsoku/>
        <w:wordWrap/>
        <w:overflowPunct/>
        <w:topLinePunct w:val="0"/>
        <w:autoSpaceDE/>
        <w:autoSpaceDN/>
        <w:bidi w:val="0"/>
        <w:adjustRightInd/>
        <w:snapToGrid/>
        <w:spacing w:after="93"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 成果交付：整理《项目资源需求清单》供深圳阶段使用；</w:t>
      </w:r>
    </w:p>
    <w:p w14:paraId="47E3AA2C">
      <w:pPr>
        <w:keepNext w:val="0"/>
        <w:keepLines w:val="0"/>
        <w:pageBreakBefore w:val="0"/>
        <w:widowControl w:val="0"/>
        <w:kinsoku/>
        <w:wordWrap/>
        <w:overflowPunct/>
        <w:topLinePunct w:val="0"/>
        <w:autoSpaceDE/>
        <w:autoSpaceDN/>
        <w:bidi w:val="0"/>
        <w:adjustRightInd/>
        <w:snapToGrid/>
        <w:spacing w:after="93"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 导师要求：至少2名具备跨境辅导经验的导师，具备海外背景者优先。</w:t>
      </w:r>
    </w:p>
    <w:p w14:paraId="6962A4A6">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4.中标方须承担开展以上服务内容的实施费用。</w:t>
      </w:r>
    </w:p>
    <w:p w14:paraId="1DA9492C">
      <w:pPr>
        <w:keepNext w:val="0"/>
        <w:keepLines w:val="0"/>
        <w:pageBreakBefore w:val="0"/>
        <w:widowControl w:val="0"/>
        <w:kinsoku/>
        <w:wordWrap/>
        <w:overflowPunct/>
        <w:topLinePunct w:val="0"/>
        <w:autoSpaceDE/>
        <w:autoSpaceDN/>
        <w:bidi w:val="0"/>
        <w:adjustRightInd/>
        <w:snapToGrid/>
        <w:spacing w:after="93" w:line="240" w:lineRule="auto"/>
        <w:ind w:firstLine="0" w:firstLineChars="0"/>
        <w:textAlignment w:val="auto"/>
        <w:rPr>
          <w:rFonts w:hint="eastAsia" w:ascii="宋体" w:hAnsi="宋体" w:eastAsia="宋体" w:cs="宋体"/>
          <w:sz w:val="21"/>
          <w:szCs w:val="21"/>
        </w:rPr>
      </w:pPr>
    </w:p>
    <w:p w14:paraId="4AADE150">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八</w:t>
      </w:r>
      <w:r>
        <w:rPr>
          <w:rFonts w:hint="eastAsia" w:ascii="宋体" w:hAnsi="宋体" w:eastAsia="宋体" w:cs="宋体"/>
          <w:sz w:val="21"/>
          <w:szCs w:val="21"/>
          <w:lang w:eastAsia="zh-CN"/>
        </w:rPr>
        <w:t>）</w:t>
      </w:r>
      <w:r>
        <w:rPr>
          <w:rFonts w:hint="eastAsia" w:ascii="宋体" w:hAnsi="宋体" w:eastAsia="宋体" w:cs="宋体"/>
          <w:sz w:val="21"/>
          <w:szCs w:val="21"/>
        </w:rPr>
        <w:t>资源精准对接服务</w:t>
      </w:r>
    </w:p>
    <w:p w14:paraId="1C969182">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目标：推动项目与大湾区创新资源真实链接；</w:t>
      </w:r>
    </w:p>
    <w:p w14:paraId="02E960E6">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对接范围（为每个沙特科技创新项目至少匹配1类）：</w:t>
      </w:r>
    </w:p>
    <w:p w14:paraId="740FE48B">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产业合作伙伴（技术应用方、制造企业）；</w:t>
      </w:r>
    </w:p>
    <w:p w14:paraId="7A0B0A15">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供应链资源（代工、材料、设备）；</w:t>
      </w:r>
    </w:p>
    <w:p w14:paraId="6A20BA18">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科研机构或高校（联合研发）；</w:t>
      </w:r>
    </w:p>
    <w:p w14:paraId="056C3E77">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投资机构（VC/PE/产业资本）；</w:t>
      </w:r>
    </w:p>
    <w:p w14:paraId="386EDF68">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对接要求：</w:t>
      </w:r>
    </w:p>
    <w:p w14:paraId="0E225FC3">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基于沙特阶段《项目资源需求清单》为每个沙特科技创新项目定制化开展资源对接服务；</w:t>
      </w:r>
    </w:p>
    <w:p w14:paraId="1A60B7E0">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 xml:space="preserve">① </w:t>
      </w:r>
      <w:r>
        <w:rPr>
          <w:rFonts w:hint="eastAsia" w:ascii="宋体" w:hAnsi="宋体" w:eastAsia="宋体" w:cs="宋体"/>
          <w:sz w:val="21"/>
          <w:szCs w:val="21"/>
        </w:rPr>
        <w:t>完成沙特阶段后，根据《项目资源需求清单》，在沙特科技创新项目来深开展深圳阶段前搜寻匹配的对接资源，并在此过程中不断与采购方、沙特科技创新项目沟通资源匹配情况，最终确认深圳阶段对接的资源清单。</w:t>
      </w:r>
    </w:p>
    <w:p w14:paraId="7ED77BAB">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 xml:space="preserve">② </w:t>
      </w:r>
      <w:r>
        <w:rPr>
          <w:rFonts w:hint="eastAsia" w:ascii="宋体" w:hAnsi="宋体" w:eastAsia="宋体" w:cs="宋体"/>
          <w:sz w:val="21"/>
          <w:szCs w:val="21"/>
        </w:rPr>
        <w:t>在深圳阶段为每个沙特科技创新项目与对接资源方安排正式会议或交流；</w:t>
      </w:r>
    </w:p>
    <w:p w14:paraId="54E6521F">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 xml:space="preserve">③ </w:t>
      </w:r>
      <w:r>
        <w:rPr>
          <w:rFonts w:hint="eastAsia" w:ascii="宋体" w:hAnsi="宋体" w:eastAsia="宋体" w:cs="宋体"/>
          <w:sz w:val="21"/>
          <w:szCs w:val="21"/>
        </w:rPr>
        <w:t>记录对接过程与初步意向；</w:t>
      </w:r>
    </w:p>
    <w:p w14:paraId="31F67FED">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2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 xml:space="preserve">④ </w:t>
      </w:r>
      <w:r>
        <w:rPr>
          <w:rFonts w:hint="eastAsia" w:ascii="宋体" w:hAnsi="宋体" w:eastAsia="宋体" w:cs="宋体"/>
          <w:sz w:val="21"/>
          <w:szCs w:val="21"/>
        </w:rPr>
        <w:t>对接过程有专人提供协助。</w:t>
      </w:r>
    </w:p>
    <w:p w14:paraId="0082ED0C">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 成果交付：</w:t>
      </w:r>
    </w:p>
    <w:p w14:paraId="4CC18958">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①</w:t>
      </w:r>
      <w:r>
        <w:rPr>
          <w:rFonts w:hint="eastAsia" w:ascii="宋体" w:hAnsi="宋体" w:eastAsia="宋体" w:cs="宋体"/>
          <w:sz w:val="21"/>
          <w:szCs w:val="21"/>
        </w:rPr>
        <w:t>《项目资源对接成果清单》；</w:t>
      </w:r>
    </w:p>
    <w:p w14:paraId="00D48F62">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②</w:t>
      </w:r>
      <w:r>
        <w:rPr>
          <w:rFonts w:hint="eastAsia" w:ascii="宋体" w:hAnsi="宋体" w:eastAsia="宋体" w:cs="宋体"/>
          <w:sz w:val="21"/>
          <w:szCs w:val="21"/>
        </w:rPr>
        <w:t>对接现场照片或会议纪要；</w:t>
      </w:r>
    </w:p>
    <w:p w14:paraId="4C79AAF1">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③</w:t>
      </w:r>
      <w:r>
        <w:rPr>
          <w:rFonts w:hint="eastAsia" w:ascii="宋体" w:hAnsi="宋体" w:eastAsia="宋体" w:cs="宋体"/>
          <w:sz w:val="21"/>
          <w:szCs w:val="21"/>
        </w:rPr>
        <w:t>总结报告中单列“资源对接成效”章节。</w:t>
      </w:r>
    </w:p>
    <w:p w14:paraId="5EC8E736">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0" w:leftChars="0" w:firstLine="630" w:firstLineChars="3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4.中标方须承担开展以上服务内容的实施费用。</w:t>
      </w:r>
    </w:p>
    <w:p w14:paraId="377488B7">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p>
    <w:p w14:paraId="04416DDA">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九</w:t>
      </w:r>
      <w:r>
        <w:rPr>
          <w:rFonts w:hint="eastAsia" w:ascii="宋体" w:hAnsi="宋体" w:eastAsia="宋体" w:cs="宋体"/>
          <w:sz w:val="21"/>
          <w:szCs w:val="21"/>
          <w:lang w:eastAsia="zh-CN"/>
        </w:rPr>
        <w:t>）</w:t>
      </w:r>
      <w:r>
        <w:rPr>
          <w:rFonts w:hint="eastAsia" w:ascii="宋体" w:hAnsi="宋体" w:eastAsia="宋体" w:cs="宋体"/>
          <w:sz w:val="21"/>
          <w:szCs w:val="21"/>
        </w:rPr>
        <w:t>媒体与宣传</w:t>
      </w:r>
    </w:p>
    <w:p w14:paraId="10B9C433">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素材拍摄：安排专人对该跨境加速项目全程拍摄照片及视频；</w:t>
      </w:r>
    </w:p>
    <w:p w14:paraId="0BA17B0B">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宣传视频制作：制作不少于3分钟宣传视频并配有中英文字幕；</w:t>
      </w:r>
    </w:p>
    <w:p w14:paraId="089E86C8">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宣传稿件：根据采购方要求准备中英文宣传稿件。</w:t>
      </w:r>
    </w:p>
    <w:p w14:paraId="30399998">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4.中标方须承担开展以上服务内容的实施费用。</w:t>
      </w:r>
    </w:p>
    <w:p w14:paraId="152C2C44">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p>
    <w:p w14:paraId="44C56E3C">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十</w:t>
      </w:r>
      <w:r>
        <w:rPr>
          <w:rFonts w:hint="eastAsia" w:ascii="宋体" w:hAnsi="宋体" w:eastAsia="宋体" w:cs="宋体"/>
          <w:sz w:val="21"/>
          <w:szCs w:val="21"/>
          <w:lang w:eastAsia="zh-CN"/>
        </w:rPr>
        <w:t>）</w:t>
      </w:r>
      <w:r>
        <w:rPr>
          <w:rFonts w:hint="eastAsia" w:ascii="宋体" w:hAnsi="宋体" w:eastAsia="宋体" w:cs="宋体"/>
          <w:sz w:val="21"/>
          <w:szCs w:val="21"/>
        </w:rPr>
        <w:t>项目执行团队要求</w:t>
      </w:r>
    </w:p>
    <w:p w14:paraId="352C9A3B">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1. 团队构成</w:t>
      </w:r>
    </w:p>
    <w:p w14:paraId="19CDDC95">
      <w:pPr>
        <w:keepNext w:val="0"/>
        <w:keepLines w:val="0"/>
        <w:pageBreakBefore w:val="0"/>
        <w:widowControl w:val="0"/>
        <w:kinsoku/>
        <w:wordWrap/>
        <w:overflowPunct/>
        <w:topLinePunct w:val="0"/>
        <w:autoSpaceDE/>
        <w:autoSpaceDN/>
        <w:bidi w:val="0"/>
        <w:adjustRightInd/>
        <w:snapToGrid/>
        <w:spacing w:after="93" w:line="240" w:lineRule="auto"/>
        <w:ind w:left="42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项目经理：1名（全面协调）；</w:t>
      </w:r>
    </w:p>
    <w:p w14:paraId="7EE2E910">
      <w:pPr>
        <w:keepNext w:val="0"/>
        <w:keepLines w:val="0"/>
        <w:pageBreakBefore w:val="0"/>
        <w:widowControl w:val="0"/>
        <w:kinsoku/>
        <w:wordWrap/>
        <w:overflowPunct/>
        <w:topLinePunct w:val="0"/>
        <w:autoSpaceDE/>
        <w:autoSpaceDN/>
        <w:bidi w:val="0"/>
        <w:adjustRightInd/>
        <w:snapToGrid/>
        <w:spacing w:after="93" w:line="240" w:lineRule="auto"/>
        <w:ind w:left="42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培训导师：不少于4名（主题授课）；</w:t>
      </w:r>
    </w:p>
    <w:p w14:paraId="294F9F24">
      <w:pPr>
        <w:keepNext w:val="0"/>
        <w:keepLines w:val="0"/>
        <w:pageBreakBefore w:val="0"/>
        <w:widowControl w:val="0"/>
        <w:kinsoku/>
        <w:wordWrap/>
        <w:overflowPunct/>
        <w:topLinePunct w:val="0"/>
        <w:autoSpaceDE/>
        <w:autoSpaceDN/>
        <w:bidi w:val="0"/>
        <w:adjustRightInd/>
        <w:snapToGrid/>
        <w:spacing w:after="93" w:line="240" w:lineRule="auto"/>
        <w:ind w:left="42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指导教练：不少于4名（一对一辅导、路演打磨）；</w:t>
      </w:r>
    </w:p>
    <w:p w14:paraId="5BFFB2E5">
      <w:pPr>
        <w:keepNext w:val="0"/>
        <w:keepLines w:val="0"/>
        <w:pageBreakBefore w:val="0"/>
        <w:widowControl w:val="0"/>
        <w:kinsoku/>
        <w:wordWrap/>
        <w:overflowPunct/>
        <w:topLinePunct w:val="0"/>
        <w:autoSpaceDE/>
        <w:autoSpaceDN/>
        <w:bidi w:val="0"/>
        <w:adjustRightInd/>
        <w:snapToGrid/>
        <w:spacing w:after="93" w:line="240" w:lineRule="auto"/>
        <w:ind w:left="42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其他后勤人员：若干；</w:t>
      </w:r>
    </w:p>
    <w:p w14:paraId="39F84567">
      <w:pPr>
        <w:keepNext w:val="0"/>
        <w:keepLines w:val="0"/>
        <w:pageBreakBefore w:val="0"/>
        <w:widowControl w:val="0"/>
        <w:kinsoku/>
        <w:wordWrap/>
        <w:overflowPunct/>
        <w:topLinePunct w:val="0"/>
        <w:autoSpaceDE/>
        <w:autoSpaceDN/>
        <w:bidi w:val="0"/>
        <w:adjustRightInd/>
        <w:snapToGrid/>
        <w:spacing w:after="93" w:line="240" w:lineRule="auto"/>
        <w:ind w:left="42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赴沙特工作人员：不少于2人。</w:t>
      </w:r>
    </w:p>
    <w:p w14:paraId="4BD43048">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2. 资质要求</w:t>
      </w:r>
    </w:p>
    <w:p w14:paraId="57344E1B">
      <w:pPr>
        <w:keepNext w:val="0"/>
        <w:keepLines w:val="0"/>
        <w:pageBreakBefore w:val="0"/>
        <w:widowControl w:val="0"/>
        <w:kinsoku/>
        <w:wordWrap/>
        <w:overflowPunct/>
        <w:topLinePunct w:val="0"/>
        <w:autoSpaceDE/>
        <w:autoSpaceDN/>
        <w:bidi w:val="0"/>
        <w:adjustRightInd/>
        <w:snapToGrid/>
        <w:spacing w:after="93" w:line="240" w:lineRule="auto"/>
        <w:ind w:left="42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项目经理：</w:t>
      </w:r>
    </w:p>
    <w:p w14:paraId="7A3BB4BB">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①　</w:t>
      </w:r>
      <w:r>
        <w:rPr>
          <w:rFonts w:hint="eastAsia" w:ascii="宋体" w:hAnsi="宋体" w:eastAsia="宋体" w:cs="宋体"/>
          <w:sz w:val="21"/>
          <w:szCs w:val="21"/>
        </w:rPr>
        <w:t>理工科硕士及以上学历；</w:t>
      </w:r>
    </w:p>
    <w:p w14:paraId="5A1F28DD">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②　</w:t>
      </w:r>
      <w:r>
        <w:rPr>
          <w:rFonts w:hint="eastAsia" w:ascii="宋体" w:hAnsi="宋体" w:eastAsia="宋体" w:cs="宋体"/>
          <w:sz w:val="21"/>
          <w:szCs w:val="21"/>
        </w:rPr>
        <w:t>5年以上国际商务活动组织经验；</w:t>
      </w:r>
    </w:p>
    <w:p w14:paraId="6A177F59">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③　</w:t>
      </w:r>
      <w:r>
        <w:rPr>
          <w:rFonts w:hint="eastAsia" w:ascii="宋体" w:hAnsi="宋体" w:eastAsia="宋体" w:cs="宋体"/>
          <w:sz w:val="21"/>
          <w:szCs w:val="21"/>
        </w:rPr>
        <w:t>5年以上科技创新及成果转化项目服务经验；</w:t>
      </w:r>
    </w:p>
    <w:p w14:paraId="119BC174">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④　</w:t>
      </w:r>
      <w:r>
        <w:rPr>
          <w:rFonts w:hint="eastAsia" w:ascii="宋体" w:hAnsi="宋体" w:eastAsia="宋体" w:cs="宋体"/>
          <w:sz w:val="21"/>
          <w:szCs w:val="21"/>
        </w:rPr>
        <w:t>熟练使用英语；</w:t>
      </w:r>
    </w:p>
    <w:p w14:paraId="122D7809">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⑤　</w:t>
      </w:r>
      <w:r>
        <w:rPr>
          <w:rFonts w:hint="eastAsia" w:ascii="宋体" w:hAnsi="宋体" w:eastAsia="宋体" w:cs="宋体"/>
          <w:sz w:val="21"/>
          <w:szCs w:val="21"/>
        </w:rPr>
        <w:t>每周提交进度报告并参加例会。</w:t>
      </w:r>
    </w:p>
    <w:p w14:paraId="091A5969">
      <w:pPr>
        <w:keepNext w:val="0"/>
        <w:keepLines w:val="0"/>
        <w:pageBreakBefore w:val="0"/>
        <w:widowControl w:val="0"/>
        <w:kinsoku/>
        <w:wordWrap/>
        <w:overflowPunct/>
        <w:topLinePunct w:val="0"/>
        <w:autoSpaceDE/>
        <w:autoSpaceDN/>
        <w:bidi w:val="0"/>
        <w:adjustRightInd/>
        <w:snapToGrid/>
        <w:spacing w:after="93" w:line="240" w:lineRule="auto"/>
        <w:ind w:left="42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培训导师：</w:t>
      </w:r>
    </w:p>
    <w:p w14:paraId="4F740523">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①　</w:t>
      </w:r>
      <w:r>
        <w:rPr>
          <w:rFonts w:hint="eastAsia" w:ascii="宋体" w:hAnsi="宋体" w:eastAsia="宋体" w:cs="宋体"/>
          <w:sz w:val="21"/>
          <w:szCs w:val="21"/>
        </w:rPr>
        <w:t>至少2名拥有博士学位或副高级职称；</w:t>
      </w:r>
    </w:p>
    <w:p w14:paraId="234E3049">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②　</w:t>
      </w:r>
      <w:r>
        <w:rPr>
          <w:rFonts w:hint="eastAsia" w:ascii="宋体" w:hAnsi="宋体" w:eastAsia="宋体" w:cs="宋体"/>
          <w:sz w:val="21"/>
          <w:szCs w:val="21"/>
        </w:rPr>
        <w:t>3年以上相关领域研究或从业经验；</w:t>
      </w:r>
    </w:p>
    <w:p w14:paraId="490916AE">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③　</w:t>
      </w:r>
      <w:r>
        <w:rPr>
          <w:rFonts w:hint="eastAsia" w:ascii="宋体" w:hAnsi="宋体" w:eastAsia="宋体" w:cs="宋体"/>
          <w:sz w:val="21"/>
          <w:szCs w:val="21"/>
        </w:rPr>
        <w:t>至少2名拥有高校从业经验；</w:t>
      </w:r>
    </w:p>
    <w:p w14:paraId="1A084B94">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2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④　</w:t>
      </w:r>
      <w:r>
        <w:rPr>
          <w:rFonts w:hint="eastAsia" w:ascii="宋体" w:hAnsi="宋体" w:eastAsia="宋体" w:cs="宋体"/>
          <w:sz w:val="21"/>
          <w:szCs w:val="21"/>
        </w:rPr>
        <w:t>具备全英文授课能力，能提供课程大纲并接受内容调整。</w:t>
      </w:r>
    </w:p>
    <w:p w14:paraId="0A9FC2F6">
      <w:pPr>
        <w:keepNext w:val="0"/>
        <w:keepLines w:val="0"/>
        <w:pageBreakBefore w:val="0"/>
        <w:widowControl w:val="0"/>
        <w:kinsoku/>
        <w:wordWrap/>
        <w:overflowPunct/>
        <w:topLinePunct w:val="0"/>
        <w:autoSpaceDE/>
        <w:autoSpaceDN/>
        <w:bidi w:val="0"/>
        <w:adjustRightInd/>
        <w:snapToGrid/>
        <w:spacing w:after="93" w:line="240" w:lineRule="auto"/>
        <w:ind w:left="42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指导教练（与培训导师不可重复）：</w:t>
      </w:r>
    </w:p>
    <w:p w14:paraId="5221E46E">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4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①　</w:t>
      </w:r>
      <w:r>
        <w:rPr>
          <w:rFonts w:hint="eastAsia" w:ascii="宋体" w:hAnsi="宋体" w:eastAsia="宋体" w:cs="宋体"/>
          <w:sz w:val="21"/>
          <w:szCs w:val="21"/>
        </w:rPr>
        <w:t>理工科背景，至少2名拥有博士学位或副教授以上职称；</w:t>
      </w:r>
    </w:p>
    <w:p w14:paraId="75CBAE07">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4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②　</w:t>
      </w:r>
      <w:r>
        <w:rPr>
          <w:rFonts w:hint="eastAsia" w:ascii="宋体" w:hAnsi="宋体" w:eastAsia="宋体" w:cs="宋体"/>
          <w:sz w:val="21"/>
          <w:szCs w:val="21"/>
        </w:rPr>
        <w:t>3年以上创业辅导或投资孵化经验；</w:t>
      </w:r>
    </w:p>
    <w:p w14:paraId="0246A5D2">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4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③　</w:t>
      </w:r>
      <w:r>
        <w:rPr>
          <w:rFonts w:hint="eastAsia" w:ascii="宋体" w:hAnsi="宋体" w:eastAsia="宋体" w:cs="宋体"/>
          <w:sz w:val="21"/>
          <w:szCs w:val="21"/>
        </w:rPr>
        <w:t>至少1名曾在海外科技企业担任高级管理职位；</w:t>
      </w:r>
    </w:p>
    <w:p w14:paraId="2810C24A">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40" w:leftChars="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④　</w:t>
      </w:r>
      <w:r>
        <w:rPr>
          <w:rFonts w:hint="eastAsia" w:ascii="宋体" w:hAnsi="宋体" w:eastAsia="宋体" w:cs="宋体"/>
          <w:sz w:val="21"/>
          <w:szCs w:val="21"/>
        </w:rPr>
        <w:t>具备流利英文沟通能力。</w:t>
      </w:r>
    </w:p>
    <w:p w14:paraId="23B4B64A">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p>
    <w:p w14:paraId="07E010E7">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3. 团队变更与保密</w:t>
      </w:r>
    </w:p>
    <w:p w14:paraId="70E65358">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未经采购方同意，不得更换项目经理或核心导师；</w:t>
      </w:r>
    </w:p>
    <w:p w14:paraId="6F223718">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更换人员须提前10个工作日提交简历并获批准；</w:t>
      </w:r>
    </w:p>
    <w:p w14:paraId="3587B592">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所有成员须签署《信息安全保密协议》，保密期不少于1年。</w:t>
      </w:r>
    </w:p>
    <w:p w14:paraId="3716590E">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p>
    <w:p w14:paraId="4F6AFFD2">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4. 安全生产责任</w:t>
      </w:r>
    </w:p>
    <w:p w14:paraId="2E90DDB7">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 中标方须为所有外派人员购买境外人身意外险（保额≥100万元）；</w:t>
      </w:r>
    </w:p>
    <w:p w14:paraId="0A083F6D">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 服务期间发生意外，由中标方自行承担责任。</w:t>
      </w:r>
    </w:p>
    <w:p w14:paraId="4DC00E2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FF0000"/>
          <w:kern w:val="2"/>
          <w:sz w:val="21"/>
          <w:szCs w:val="21"/>
        </w:rPr>
      </w:pPr>
    </w:p>
    <w:p w14:paraId="0F32C86D">
      <w:pPr>
        <w:pStyle w:val="3"/>
        <w:spacing w:before="156" w:beforeLines="50" w:after="156" w:afterLines="50"/>
        <w:rPr>
          <w:szCs w:val="24"/>
        </w:rPr>
      </w:pPr>
      <w:r>
        <w:rPr>
          <w:rFonts w:hint="eastAsia"/>
          <w:szCs w:val="24"/>
        </w:rPr>
        <w:t>六、商务要求</w:t>
      </w:r>
    </w:p>
    <w:p w14:paraId="6555E4FB">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845" w:leftChars="0" w:hanging="425" w:firstLineChars="0"/>
        <w:textAlignment w:val="auto"/>
        <w:rPr>
          <w:rFonts w:hint="eastAsia"/>
        </w:rPr>
      </w:pPr>
      <w:r>
        <w:rPr>
          <w:rFonts w:hint="eastAsia"/>
        </w:rPr>
        <w:t xml:space="preserve"> </w:t>
      </w:r>
      <w:r>
        <w:rPr>
          <w:rFonts w:hint="eastAsia" w:cs="Times New Roman"/>
          <w:kern w:val="2"/>
          <w:sz w:val="21"/>
          <w:szCs w:val="24"/>
          <w:lang w:val="en-US" w:eastAsia="zh-CN" w:bidi="ar-SA"/>
        </w:rPr>
        <w:t>（一）</w:t>
      </w:r>
      <w:r>
        <w:rPr>
          <w:rFonts w:hint="eastAsia" w:ascii="微软雅黑" w:hAnsi="微软雅黑" w:eastAsia="微软雅黑" w:cs="微软雅黑"/>
          <w:sz w:val="21"/>
          <w:szCs w:val="21"/>
          <w:lang w:val="en-US" w:eastAsia="zh-CN"/>
        </w:rPr>
        <w:t>★</w:t>
      </w:r>
      <w:r>
        <w:rPr>
          <w:rFonts w:hint="eastAsia"/>
        </w:rPr>
        <w:t>项目服务时间与实施期</w:t>
      </w:r>
    </w:p>
    <w:p w14:paraId="45DCCEC1">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rPr>
      </w:pPr>
      <w:r>
        <w:rPr>
          <w:rFonts w:hint="eastAsia"/>
        </w:rPr>
        <w:t xml:space="preserve"> </w:t>
      </w:r>
      <w:r>
        <w:rPr>
          <w:rFonts w:hint="eastAsia"/>
          <w:lang w:val="en-US" w:eastAsia="zh-CN"/>
        </w:rPr>
        <w:t>1.</w:t>
      </w:r>
      <w:r>
        <w:rPr>
          <w:rFonts w:hint="eastAsia"/>
        </w:rPr>
        <w:t>项目服务时间：合同签约日起至2025年12月30日；</w:t>
      </w:r>
    </w:p>
    <w:p w14:paraId="1D6BB457">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rPr>
      </w:pPr>
      <w:r>
        <w:rPr>
          <w:rFonts w:hint="eastAsia"/>
        </w:rPr>
        <w:t xml:space="preserve"> </w:t>
      </w:r>
      <w:r>
        <w:rPr>
          <w:rFonts w:hint="eastAsia"/>
          <w:lang w:val="en-US" w:eastAsia="zh-CN"/>
        </w:rPr>
        <w:t>2.</w:t>
      </w:r>
      <w:r>
        <w:rPr>
          <w:rFonts w:hint="eastAsia"/>
        </w:rPr>
        <w:t>项目实施期：共7天，分为两个阶段：</w:t>
      </w:r>
    </w:p>
    <w:p w14:paraId="431FF0BA">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rPr>
      </w:pPr>
      <w:r>
        <w:rPr>
          <w:rFonts w:hint="eastAsia"/>
        </w:rPr>
        <w:t xml:space="preserve">  </w:t>
      </w:r>
      <w:r>
        <w:rPr>
          <w:rFonts w:hint="eastAsia"/>
          <w:lang w:eastAsia="zh-CN"/>
        </w:rPr>
        <w:t>（</w:t>
      </w:r>
      <w:r>
        <w:rPr>
          <w:rFonts w:hint="eastAsia"/>
          <w:lang w:val="en-US" w:eastAsia="zh-CN"/>
        </w:rPr>
        <w:t>1</w:t>
      </w:r>
      <w:r>
        <w:rPr>
          <w:rFonts w:hint="eastAsia"/>
          <w:lang w:eastAsia="zh-CN"/>
        </w:rPr>
        <w:t>）</w:t>
      </w:r>
      <w:r>
        <w:rPr>
          <w:rFonts w:hint="eastAsia"/>
        </w:rPr>
        <w:t>沙特阶段：2天，在沙特当地交付；</w:t>
      </w:r>
    </w:p>
    <w:p w14:paraId="1DC01FDD">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rPr>
      </w:pPr>
      <w:r>
        <w:rPr>
          <w:rFonts w:hint="eastAsia"/>
        </w:rPr>
        <w:t xml:space="preserve">  </w:t>
      </w:r>
      <w:r>
        <w:rPr>
          <w:rFonts w:hint="eastAsia"/>
          <w:lang w:eastAsia="zh-CN"/>
        </w:rPr>
        <w:t>（</w:t>
      </w:r>
      <w:r>
        <w:rPr>
          <w:rFonts w:hint="eastAsia"/>
          <w:lang w:val="en-US" w:eastAsia="zh-CN"/>
        </w:rPr>
        <w:t>2</w:t>
      </w:r>
      <w:r>
        <w:rPr>
          <w:rFonts w:hint="eastAsia"/>
          <w:lang w:eastAsia="zh-CN"/>
        </w:rPr>
        <w:t>）</w:t>
      </w:r>
      <w:r>
        <w:rPr>
          <w:rFonts w:hint="eastAsia"/>
        </w:rPr>
        <w:t>深圳阶段：5天，在中国粤港澳大湾区交付；</w:t>
      </w:r>
    </w:p>
    <w:p w14:paraId="7483B3D5">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具体实施日期将根据项目招募情况由采购方决定；</w:t>
      </w:r>
    </w:p>
    <w:p w14:paraId="01DAF988">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中标方须在合同签署后5日内提交详细执行计划表，包括每日行程草案、人员分工、物资准备清单等。</w:t>
      </w:r>
    </w:p>
    <w:p w14:paraId="08366ABF">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rPr>
      </w:pPr>
      <w:r>
        <w:rPr>
          <w:rFonts w:hint="eastAsia"/>
          <w:lang w:eastAsia="zh-CN"/>
        </w:rPr>
        <w:t>（</w:t>
      </w:r>
      <w:r>
        <w:rPr>
          <w:rFonts w:hint="eastAsia"/>
          <w:lang w:val="en-US" w:eastAsia="zh-CN"/>
        </w:rPr>
        <w:t>二</w:t>
      </w:r>
      <w:r>
        <w:rPr>
          <w:rFonts w:hint="eastAsia"/>
          <w:lang w:eastAsia="zh-CN"/>
        </w:rPr>
        <w:t>）</w:t>
      </w:r>
      <w:r>
        <w:rPr>
          <w:rFonts w:hint="eastAsia"/>
        </w:rPr>
        <w:t>专项报告</w:t>
      </w:r>
    </w:p>
    <w:p w14:paraId="6A7265B4">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val="en-US" w:eastAsia="zh-CN"/>
        </w:rPr>
        <w:t>1.</w:t>
      </w:r>
      <w:r>
        <w:rPr>
          <w:rFonts w:hint="eastAsia"/>
        </w:rPr>
        <w:t>签约前：提交整体执行方案；</w:t>
      </w:r>
    </w:p>
    <w:p w14:paraId="732F6FE0">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val="en-US" w:eastAsia="zh-CN"/>
        </w:rPr>
        <w:t>2.</w:t>
      </w:r>
      <w:r>
        <w:rPr>
          <w:rFonts w:hint="eastAsia"/>
        </w:rPr>
        <w:t>开营前：提交学员基本情况与项目分析报告；</w:t>
      </w:r>
    </w:p>
    <w:p w14:paraId="5B2695A8">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val="en-US" w:eastAsia="zh-CN"/>
        </w:rPr>
        <w:t>3.</w:t>
      </w:r>
      <w:r>
        <w:rPr>
          <w:rFonts w:hint="eastAsia"/>
        </w:rPr>
        <w:t>过程中：整理关键问答、建议与学员成果；</w:t>
      </w:r>
    </w:p>
    <w:p w14:paraId="61DD7ECE">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val="en-US" w:eastAsia="zh-CN"/>
        </w:rPr>
        <w:t>4.</w:t>
      </w:r>
      <w:r>
        <w:rPr>
          <w:rFonts w:hint="eastAsia"/>
        </w:rPr>
        <w:t>项目结束后2周内：提交英文版项目总结与评估报告。</w:t>
      </w:r>
    </w:p>
    <w:p w14:paraId="796FA623">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rPr>
      </w:pPr>
      <w:r>
        <w:rPr>
          <w:rFonts w:hint="eastAsia"/>
        </w:rPr>
        <w:t xml:space="preserve"> </w:t>
      </w:r>
      <w:r>
        <w:rPr>
          <w:rFonts w:hint="eastAsia"/>
          <w:lang w:eastAsia="zh-CN"/>
        </w:rPr>
        <w:t>（</w:t>
      </w:r>
      <w:r>
        <w:rPr>
          <w:rFonts w:hint="eastAsia"/>
          <w:lang w:val="en-US" w:eastAsia="zh-CN"/>
        </w:rPr>
        <w:t>三</w:t>
      </w:r>
      <w:r>
        <w:rPr>
          <w:rFonts w:hint="eastAsia"/>
          <w:lang w:eastAsia="zh-CN"/>
        </w:rPr>
        <w:t>）</w:t>
      </w:r>
      <w:r>
        <w:rPr>
          <w:rFonts w:hint="eastAsia" w:ascii="微软雅黑" w:hAnsi="微软雅黑" w:eastAsia="微软雅黑" w:cs="微软雅黑"/>
          <w:sz w:val="21"/>
          <w:szCs w:val="21"/>
          <w:lang w:val="en-US" w:eastAsia="zh-CN"/>
        </w:rPr>
        <w:t>★</w:t>
      </w:r>
      <w:r>
        <w:rPr>
          <w:rFonts w:hint="eastAsia"/>
        </w:rPr>
        <w:t>项目验收</w:t>
      </w:r>
    </w:p>
    <w:p w14:paraId="3B66F2BC">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val="en-US" w:eastAsia="zh-CN"/>
        </w:rPr>
        <w:t>1.</w:t>
      </w:r>
      <w:r>
        <w:rPr>
          <w:rFonts w:hint="eastAsia"/>
        </w:rPr>
        <w:t>合同期满后1个月内，由采购方组织验收；</w:t>
      </w:r>
    </w:p>
    <w:p w14:paraId="1B445C8D">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val="en-US" w:eastAsia="zh-CN"/>
        </w:rPr>
        <w:t>2.</w:t>
      </w:r>
      <w:r>
        <w:rPr>
          <w:rFonts w:hint="eastAsia"/>
        </w:rPr>
        <w:t>验收材料包括：</w:t>
      </w:r>
    </w:p>
    <w:p w14:paraId="6C660EB1">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40" w:leftChars="0" w:firstLine="400" w:firstLineChars="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项目总结与评估报告（英文）；</w:t>
      </w:r>
    </w:p>
    <w:p w14:paraId="689E7EAA">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40" w:leftChars="0" w:firstLine="400" w:firstLineChars="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全过程影像资料；</w:t>
      </w:r>
    </w:p>
    <w:p w14:paraId="68EF0D4E">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40" w:leftChars="0" w:firstLine="400" w:firstLineChars="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课程讲义、研讨纪要、学员成果；</w:t>
      </w:r>
    </w:p>
    <w:p w14:paraId="6A6E5F90">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40" w:leftChars="0" w:firstLine="400" w:firstLineChars="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资源对接清单与反馈；</w:t>
      </w:r>
    </w:p>
    <w:p w14:paraId="0047EE23">
      <w:pPr>
        <w:keepNext w:val="0"/>
        <w:keepLines w:val="0"/>
        <w:pageBreakBefore w:val="0"/>
        <w:widowControl w:val="0"/>
        <w:numPr>
          <w:ilvl w:val="0"/>
          <w:numId w:val="0"/>
        </w:numPr>
        <w:kinsoku/>
        <w:wordWrap/>
        <w:overflowPunct/>
        <w:topLinePunct w:val="0"/>
        <w:autoSpaceDE/>
        <w:autoSpaceDN/>
        <w:bidi w:val="0"/>
        <w:adjustRightInd/>
        <w:snapToGrid/>
        <w:spacing w:after="93" w:line="240" w:lineRule="auto"/>
        <w:ind w:left="440" w:leftChars="0" w:firstLine="400" w:firstLineChars="0"/>
        <w:textAlignment w:val="auto"/>
        <w:rPr>
          <w:rFonts w:hint="eastAsia"/>
        </w:rPr>
      </w:pPr>
      <w:r>
        <w:rPr>
          <w:rFonts w:hint="eastAsia"/>
          <w:lang w:eastAsia="zh-CN"/>
        </w:rPr>
        <w:t>（</w:t>
      </w:r>
      <w:r>
        <w:rPr>
          <w:rFonts w:hint="eastAsia"/>
          <w:lang w:val="en-US" w:eastAsia="zh-CN"/>
        </w:rPr>
        <w:t>5</w:t>
      </w:r>
      <w:r>
        <w:rPr>
          <w:rFonts w:hint="eastAsia"/>
          <w:lang w:eastAsia="zh-CN"/>
        </w:rPr>
        <w:t>）</w:t>
      </w:r>
      <w:r>
        <w:rPr>
          <w:rFonts w:hint="eastAsia"/>
        </w:rPr>
        <w:t>学员满意度调查结果。</w:t>
      </w:r>
    </w:p>
    <w:p w14:paraId="2C425949">
      <w:pPr>
        <w:keepNext w:val="0"/>
        <w:keepLines w:val="0"/>
        <w:pageBreakBefore w:val="0"/>
        <w:widowControl w:val="0"/>
        <w:kinsoku/>
        <w:wordWrap/>
        <w:overflowPunct/>
        <w:topLinePunct w:val="0"/>
        <w:autoSpaceDE/>
        <w:autoSpaceDN/>
        <w:bidi w:val="0"/>
        <w:adjustRightInd/>
        <w:snapToGrid/>
        <w:spacing w:after="93" w:line="240" w:lineRule="auto"/>
        <w:ind w:firstLine="420"/>
        <w:textAlignment w:val="auto"/>
        <w:rPr>
          <w:rFonts w:hint="eastAsia"/>
        </w:rPr>
      </w:pPr>
      <w:r>
        <w:rPr>
          <w:rFonts w:hint="eastAsia"/>
        </w:rPr>
        <w:t xml:space="preserve"> </w:t>
      </w:r>
      <w:r>
        <w:rPr>
          <w:rFonts w:hint="eastAsia"/>
          <w:lang w:eastAsia="zh-CN"/>
        </w:rPr>
        <w:t>（</w:t>
      </w:r>
      <w:r>
        <w:rPr>
          <w:rFonts w:hint="eastAsia"/>
          <w:lang w:val="en-US" w:eastAsia="zh-CN"/>
        </w:rPr>
        <w:t>四</w:t>
      </w:r>
      <w:r>
        <w:rPr>
          <w:rFonts w:hint="eastAsia"/>
          <w:lang w:eastAsia="zh-CN"/>
        </w:rPr>
        <w:t>）</w:t>
      </w:r>
      <w:r>
        <w:rPr>
          <w:rFonts w:hint="eastAsia"/>
        </w:rPr>
        <w:t>售后服务</w:t>
      </w:r>
    </w:p>
    <w:p w14:paraId="250DC699">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val="en-US" w:eastAsia="zh-CN"/>
        </w:rPr>
        <w:t>1.</w:t>
      </w:r>
      <w:r>
        <w:rPr>
          <w:rFonts w:hint="eastAsia"/>
        </w:rPr>
        <w:t>分阶段提交培训、辅导、路演的阶段性报告与资料；</w:t>
      </w:r>
    </w:p>
    <w:p w14:paraId="4C3104A5">
      <w:pPr>
        <w:keepNext w:val="0"/>
        <w:keepLines w:val="0"/>
        <w:pageBreakBefore w:val="0"/>
        <w:widowControl w:val="0"/>
        <w:kinsoku/>
        <w:wordWrap/>
        <w:overflowPunct/>
        <w:topLinePunct w:val="0"/>
        <w:autoSpaceDE/>
        <w:autoSpaceDN/>
        <w:bidi w:val="0"/>
        <w:adjustRightInd/>
        <w:snapToGrid/>
        <w:spacing w:after="93" w:line="240" w:lineRule="auto"/>
        <w:ind w:firstLine="630" w:firstLineChars="300"/>
        <w:textAlignment w:val="auto"/>
        <w:rPr>
          <w:rFonts w:hint="eastAsia"/>
        </w:rPr>
      </w:pPr>
      <w:r>
        <w:rPr>
          <w:rFonts w:hint="eastAsia"/>
          <w:lang w:val="en-US" w:eastAsia="zh-CN"/>
        </w:rPr>
        <w:t>2.</w:t>
      </w:r>
      <w:r>
        <w:rPr>
          <w:rFonts w:hint="eastAsia"/>
        </w:rPr>
        <w:t>配合采购方完成宣传、归档与后续跟踪工作。</w:t>
      </w:r>
    </w:p>
    <w:p w14:paraId="59C8715B">
      <w:pPr>
        <w:spacing w:after="93" w:line="360" w:lineRule="auto"/>
        <w:ind w:firstLine="0" w:firstLineChars="0"/>
        <w:rPr>
          <w:rFonts w:hint="eastAsia"/>
          <w:lang w:val="en-US" w:eastAsia="zh-CN"/>
        </w:rPr>
      </w:pPr>
      <w:r>
        <w:rPr>
          <w:rFonts w:hint="eastAsia"/>
          <w:lang w:val="en-US" w:eastAsia="zh-CN"/>
        </w:rPr>
        <w:t xml:space="preserve">    ★</w:t>
      </w:r>
      <w:r>
        <w:rPr>
          <w:rFonts w:hint="eastAsia"/>
          <w:lang w:eastAsia="zh-CN"/>
        </w:rPr>
        <w:t>（</w:t>
      </w:r>
      <w:r>
        <w:rPr>
          <w:rFonts w:hint="eastAsia"/>
          <w:lang w:val="en-US" w:eastAsia="zh-CN"/>
        </w:rPr>
        <w:t>五</w:t>
      </w:r>
      <w:r>
        <w:rPr>
          <w:rFonts w:hint="eastAsia"/>
          <w:lang w:eastAsia="zh-CN"/>
        </w:rPr>
        <w:t>）</w:t>
      </w:r>
      <w:r>
        <w:rPr>
          <w:rFonts w:hint="eastAsia"/>
          <w:lang w:val="en-US" w:eastAsia="zh-CN"/>
        </w:rPr>
        <w:t>付款方式</w:t>
      </w:r>
    </w:p>
    <w:p w14:paraId="74679D2A">
      <w:pPr>
        <w:spacing w:after="93" w:line="360" w:lineRule="auto"/>
        <w:ind w:firstLine="630" w:firstLineChars="300"/>
        <w:rPr>
          <w:rFonts w:hint="default"/>
          <w:lang w:val="en-US" w:eastAsia="zh-CN"/>
        </w:rPr>
      </w:pPr>
      <w:r>
        <w:rPr>
          <w:rFonts w:hint="eastAsia"/>
          <w:lang w:val="en-US" w:eastAsia="zh-CN"/>
        </w:rPr>
        <w:t>合约签订后10个工作日内支付30%，项目验收后10个工作日内支付剩余70%。</w:t>
      </w:r>
    </w:p>
    <w:p w14:paraId="2097F2FD">
      <w:pPr>
        <w:pStyle w:val="3"/>
        <w:spacing w:before="156" w:beforeLines="50" w:after="156" w:afterLines="50"/>
        <w:rPr>
          <w:rFonts w:hint="eastAsia"/>
          <w:szCs w:val="24"/>
          <w:lang w:val="en-US" w:eastAsia="zh-CN"/>
        </w:rPr>
      </w:pPr>
    </w:p>
    <w:p w14:paraId="2095C2B7">
      <w:pPr>
        <w:pStyle w:val="3"/>
        <w:spacing w:before="156" w:beforeLines="50" w:after="156" w:afterLines="50"/>
        <w:rPr>
          <w:szCs w:val="24"/>
        </w:rPr>
      </w:pPr>
      <w:r>
        <w:rPr>
          <w:rFonts w:hint="eastAsia"/>
          <w:szCs w:val="24"/>
          <w:lang w:val="en-US" w:eastAsia="zh-CN"/>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w:t>
      </w:r>
      <w:r>
        <w:rPr>
          <w:rFonts w:hint="eastAsia" w:cs="宋体"/>
          <w:bCs/>
          <w:szCs w:val="21"/>
          <w:lang w:eastAsia="zh-CN" w:bidi="ar"/>
        </w:rPr>
        <w:t>，</w:t>
      </w:r>
      <w:r>
        <w:rPr>
          <w:rFonts w:hint="eastAsia" w:cs="宋体"/>
          <w:bCs/>
          <w:szCs w:val="21"/>
          <w:lang w:val="en-US" w:eastAsia="zh-CN" w:bidi="ar"/>
        </w:rPr>
        <w:t>包括课程费、人力资源费（人员费、劳务费、专家费）、差旅费（含食宿）、场地费及其他为实施该项目而产生的一切费用</w:t>
      </w:r>
      <w:r>
        <w:rPr>
          <w:rFonts w:hint="eastAsia" w:cs="宋体"/>
          <w:bCs/>
          <w:szCs w:val="21"/>
          <w:lang w:bidi="ar"/>
        </w:rPr>
        <w:t>。由投标人根据招标需求自行测算投标报价；一经中标，投标报价即作为中标单位与采购人签订的合同金额。</w:t>
      </w:r>
    </w:p>
    <w:p w14:paraId="4A276258">
      <w:pPr>
        <w:pStyle w:val="39"/>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3"/>
        <w:rPr>
          <w:sz w:val="28"/>
          <w:szCs w:val="28"/>
        </w:rPr>
      </w:pPr>
      <w:r>
        <w:rPr>
          <w:rFonts w:hint="eastAsia"/>
          <w:sz w:val="28"/>
          <w:szCs w:val="28"/>
        </w:rPr>
        <w:t>第四章 投标文件组成要求及格式</w:t>
      </w:r>
    </w:p>
    <w:p w14:paraId="5338D64C">
      <w:pPr>
        <w:rPr>
          <w:rStyle w:val="65"/>
          <w:sz w:val="24"/>
        </w:rPr>
      </w:pPr>
      <w:r>
        <w:rPr>
          <w:rStyle w:val="65"/>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none"/>
        </w:rPr>
      </w:pPr>
      <w:r>
        <w:rPr>
          <w:rFonts w:hint="eastAsia" w:ascii="宋体" w:hAnsi="宋体" w:cs="宋体"/>
          <w:b/>
          <w:color w:val="FF0000"/>
          <w:sz w:val="24"/>
          <w:highlight w:val="none"/>
        </w:rPr>
        <w:t>1</w:t>
      </w:r>
      <w:r>
        <w:rPr>
          <w:rFonts w:hint="eastAsia" w:ascii="宋体" w:hAnsi="宋体" w:cs="宋体"/>
          <w:b/>
          <w:color w:val="FF0000"/>
          <w:sz w:val="24"/>
          <w:highlight w:val="none"/>
          <w:lang w:val="en-US" w:eastAsia="zh-CN"/>
        </w:rPr>
        <w:t>.</w:t>
      </w:r>
      <w:r>
        <w:rPr>
          <w:rFonts w:hint="eastAsia" w:ascii="宋体" w:hAnsi="宋体" w:cs="宋体"/>
          <w:b/>
          <w:color w:val="FF0000"/>
          <w:sz w:val="24"/>
          <w:highlight w:val="none"/>
        </w:rPr>
        <w:t>投标人在编辑投标文件时，在投标文件目录中属于本节点内容的</w:t>
      </w:r>
      <w:r>
        <w:rPr>
          <w:rFonts w:hint="eastAsia" w:ascii="宋体" w:hAnsi="宋体" w:cs="宋体"/>
          <w:b/>
          <w:color w:val="FF0000"/>
          <w:sz w:val="24"/>
          <w:highlight w:val="none"/>
          <w:lang w:val="en-US" w:eastAsia="zh-CN"/>
        </w:rPr>
        <w:t>需</w:t>
      </w:r>
      <w:r>
        <w:rPr>
          <w:rFonts w:hint="eastAsia" w:ascii="宋体" w:hAnsi="宋体" w:cs="宋体"/>
          <w:b/>
          <w:color w:val="FF0000"/>
          <w:sz w:val="24"/>
          <w:highlight w:val="none"/>
        </w:rPr>
        <w:t>在</w:t>
      </w:r>
      <w:r>
        <w:rPr>
          <w:rFonts w:hint="eastAsia" w:ascii="宋体" w:hAnsi="宋体" w:cs="宋体"/>
          <w:b/>
          <w:color w:val="FF0000"/>
          <w:sz w:val="24"/>
          <w:highlight w:val="none"/>
          <w:lang w:val="en-US" w:eastAsia="zh-CN"/>
        </w:rPr>
        <w:t>对应</w:t>
      </w:r>
      <w:r>
        <w:rPr>
          <w:rFonts w:hint="eastAsia" w:ascii="宋体" w:hAnsi="宋体" w:cs="宋体"/>
          <w:b/>
          <w:color w:val="FF0000"/>
          <w:sz w:val="24"/>
          <w:highlight w:val="none"/>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none"/>
          <w:lang w:val="en-US" w:eastAsia="zh-CN"/>
        </w:rPr>
      </w:pPr>
      <w:r>
        <w:rPr>
          <w:rFonts w:hint="eastAsia" w:ascii="宋体" w:hAnsi="宋体" w:cs="宋体"/>
          <w:b/>
          <w:color w:val="FF0000"/>
          <w:sz w:val="24"/>
          <w:highlight w:val="none"/>
        </w:rPr>
        <w:t>2</w:t>
      </w:r>
      <w:r>
        <w:rPr>
          <w:rFonts w:hint="eastAsia" w:ascii="宋体" w:hAnsi="宋体" w:cs="宋体"/>
          <w:b/>
          <w:color w:val="FF0000"/>
          <w:sz w:val="24"/>
          <w:highlight w:val="none"/>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4" w:name="_Hlk72070784"/>
      <w:r>
        <w:rPr>
          <w:rFonts w:hint="eastAsia"/>
          <w:szCs w:val="21"/>
        </w:rPr>
        <w:t>投标函</w:t>
      </w:r>
      <w:bookmarkEnd w:id="34"/>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47E72E93">
      <w:pPr>
        <w:ind w:firstLine="840" w:firstLineChars="400"/>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5</w:t>
      </w:r>
      <w:r>
        <w:rPr>
          <w:rFonts w:hint="eastAsia"/>
          <w:szCs w:val="21"/>
          <w:highlight w:val="none"/>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rFonts w:hint="eastAsia"/>
          <w:szCs w:val="21"/>
        </w:rPr>
      </w:pPr>
      <w:r>
        <w:rPr>
          <w:rFonts w:hint="eastAsia"/>
          <w:szCs w:val="21"/>
        </w:rPr>
        <w:t>（</w:t>
      </w:r>
      <w:r>
        <w:rPr>
          <w:rFonts w:hint="eastAsia"/>
          <w:szCs w:val="21"/>
          <w:lang w:val="en-US" w:eastAsia="zh-CN"/>
        </w:rPr>
        <w:t>8</w:t>
      </w:r>
      <w:r>
        <w:rPr>
          <w:rFonts w:hint="eastAsia"/>
          <w:szCs w:val="21"/>
        </w:rPr>
        <w:t>）实质性条款响应情况表</w:t>
      </w:r>
    </w:p>
    <w:p w14:paraId="3CE46D48">
      <w:pPr>
        <w:ind w:firstLine="840" w:firstLineChars="400"/>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技术要求偏离表</w:t>
      </w:r>
    </w:p>
    <w:p w14:paraId="1F57BDD0">
      <w:pPr>
        <w:ind w:firstLine="840" w:firstLineChars="400"/>
        <w:rPr>
          <w:rFonts w:hint="eastAsia"/>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商务要求偏离表</w:t>
      </w:r>
    </w:p>
    <w:p w14:paraId="35341591">
      <w:pPr>
        <w:ind w:firstLine="840" w:firstLineChars="400"/>
        <w:rPr>
          <w:szCs w:val="21"/>
        </w:rPr>
      </w:pPr>
      <w:r>
        <w:rPr>
          <w:rFonts w:hint="eastAsia"/>
          <w:szCs w:val="21"/>
        </w:rPr>
        <w:t>（</w:t>
      </w:r>
      <w:r>
        <w:rPr>
          <w:rFonts w:hint="eastAsia"/>
          <w:szCs w:val="21"/>
          <w:lang w:val="en-US" w:eastAsia="zh-CN"/>
        </w:rPr>
        <w:t>11</w:t>
      </w:r>
      <w:r>
        <w:rPr>
          <w:rFonts w:hint="eastAsia"/>
          <w:szCs w:val="21"/>
        </w:rPr>
        <w:t>）实施方案（格式自定）</w:t>
      </w:r>
    </w:p>
    <w:p w14:paraId="4E2B762C">
      <w:pPr>
        <w:ind w:firstLine="840" w:firstLineChars="400"/>
        <w:rPr>
          <w:szCs w:val="21"/>
        </w:rPr>
      </w:pPr>
      <w:r>
        <w:rPr>
          <w:rFonts w:hint="eastAsia"/>
          <w:szCs w:val="21"/>
        </w:rPr>
        <w:t>（</w:t>
      </w:r>
      <w:r>
        <w:rPr>
          <w:rFonts w:hint="eastAsia"/>
          <w:szCs w:val="21"/>
          <w:lang w:val="en-US" w:eastAsia="zh-CN"/>
        </w:rPr>
        <w:t>12</w:t>
      </w:r>
      <w:r>
        <w:rPr>
          <w:rFonts w:hint="eastAsia"/>
          <w:szCs w:val="21"/>
        </w:rPr>
        <w:t>）项目重点难点分析、应对措施及相关的合理化建议（格式自定）</w:t>
      </w:r>
    </w:p>
    <w:p w14:paraId="08F517E5">
      <w:pPr>
        <w:ind w:firstLine="840" w:firstLineChars="400"/>
        <w:rPr>
          <w:szCs w:val="21"/>
        </w:rPr>
      </w:pPr>
      <w:r>
        <w:rPr>
          <w:rFonts w:hint="eastAsia"/>
          <w:szCs w:val="21"/>
        </w:rPr>
        <w:t>（</w:t>
      </w:r>
      <w:r>
        <w:rPr>
          <w:rFonts w:hint="eastAsia"/>
          <w:szCs w:val="21"/>
          <w:lang w:val="en-US" w:eastAsia="zh-CN"/>
        </w:rPr>
        <w:t>13</w:t>
      </w:r>
      <w:r>
        <w:rPr>
          <w:rFonts w:hint="eastAsia"/>
          <w:szCs w:val="21"/>
        </w:rPr>
        <w:t>）质量（完成时间、安全、环保）保障措施及方案（格式自定）</w:t>
      </w:r>
    </w:p>
    <w:p w14:paraId="1D33DE54">
      <w:pPr>
        <w:ind w:firstLine="840" w:firstLineChars="400"/>
        <w:rPr>
          <w:szCs w:val="21"/>
        </w:rPr>
      </w:pPr>
      <w:r>
        <w:rPr>
          <w:rFonts w:hint="eastAsia"/>
          <w:szCs w:val="21"/>
        </w:rPr>
        <w:t>（</w:t>
      </w:r>
      <w:r>
        <w:rPr>
          <w:rFonts w:hint="eastAsia"/>
          <w:szCs w:val="21"/>
          <w:lang w:val="en-US" w:eastAsia="zh-CN"/>
        </w:rPr>
        <w:t>14</w:t>
      </w:r>
      <w:r>
        <w:rPr>
          <w:rFonts w:hint="eastAsia"/>
          <w:szCs w:val="21"/>
        </w:rPr>
        <w:t>）拟安排的项目负责人情况（仅限一人）（格式自定）</w:t>
      </w:r>
    </w:p>
    <w:p w14:paraId="4F4310DE">
      <w:pPr>
        <w:ind w:firstLine="840" w:firstLineChars="400"/>
        <w:rPr>
          <w:szCs w:val="21"/>
        </w:rPr>
      </w:pPr>
      <w:r>
        <w:rPr>
          <w:rFonts w:hint="eastAsia"/>
          <w:szCs w:val="21"/>
        </w:rPr>
        <w:t>（</w:t>
      </w:r>
      <w:r>
        <w:rPr>
          <w:rFonts w:hint="eastAsia"/>
          <w:szCs w:val="21"/>
          <w:lang w:val="en-US" w:eastAsia="zh-CN"/>
        </w:rPr>
        <w:t>15</w:t>
      </w:r>
      <w:r>
        <w:rPr>
          <w:rFonts w:hint="eastAsia"/>
          <w:szCs w:val="21"/>
        </w:rPr>
        <w:t>）</w:t>
      </w:r>
      <w:r>
        <w:rPr>
          <w:rFonts w:hint="eastAsia" w:ascii="宋体" w:hAnsi="宋体"/>
          <w:szCs w:val="21"/>
          <w:lang w:val="en-US" w:eastAsia="zh-CN"/>
        </w:rPr>
        <w:t>项目导师情况（不含项目负责人）</w:t>
      </w:r>
      <w:r>
        <w:rPr>
          <w:rFonts w:hint="eastAsia"/>
          <w:szCs w:val="21"/>
        </w:rPr>
        <w:t>（格式自定）</w:t>
      </w:r>
    </w:p>
    <w:p w14:paraId="6659CDBE">
      <w:pPr>
        <w:ind w:firstLine="840" w:firstLineChars="400"/>
        <w:rPr>
          <w:szCs w:val="21"/>
        </w:rPr>
      </w:pPr>
      <w:r>
        <w:rPr>
          <w:rFonts w:hint="eastAsia"/>
          <w:szCs w:val="21"/>
        </w:rPr>
        <w:t>（</w:t>
      </w:r>
      <w:r>
        <w:rPr>
          <w:rFonts w:hint="eastAsia"/>
          <w:szCs w:val="21"/>
          <w:lang w:val="en-US" w:eastAsia="zh-CN"/>
        </w:rPr>
        <w:t>16</w:t>
      </w:r>
      <w:r>
        <w:rPr>
          <w:rFonts w:hint="eastAsia"/>
          <w:szCs w:val="21"/>
        </w:rPr>
        <w:t>）同类业绩（格式自定）</w:t>
      </w:r>
    </w:p>
    <w:p w14:paraId="2351948A">
      <w:pPr>
        <w:ind w:firstLine="840" w:firstLineChars="400"/>
        <w:rPr>
          <w:rFonts w:ascii="仿宋_GB2312" w:eastAsia="仿宋_GB2312"/>
          <w:sz w:val="24"/>
        </w:rPr>
      </w:pPr>
      <w:r>
        <w:rPr>
          <w:rFonts w:hint="eastAsia"/>
          <w:szCs w:val="21"/>
        </w:rPr>
        <w:t>（</w:t>
      </w:r>
      <w:r>
        <w:rPr>
          <w:rFonts w:hint="eastAsia"/>
          <w:szCs w:val="21"/>
          <w:lang w:val="en-US" w:eastAsia="zh-CN"/>
        </w:rPr>
        <w:t>17</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4"/>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color w:val="000000" w:themeColor="text1"/>
          <w:szCs w:val="21"/>
          <w:highlight w:val="none"/>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6"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18"/>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4"/>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highlight w:val="none"/>
        </w:rPr>
      </w:pPr>
      <w:r>
        <w:rPr>
          <w:rFonts w:hint="eastAsia" w:ascii="宋体" w:hAnsi="宋体" w:cs="宋体"/>
          <w:color w:val="FF0000"/>
          <w:szCs w:val="21"/>
          <w:highlight w:val="none"/>
          <w:lang w:bidi="ar"/>
        </w:rPr>
        <w:t>致：深圳公共资源交易中心（深圳交易集团有限公司政府采购业务分公司）</w:t>
      </w:r>
    </w:p>
    <w:p w14:paraId="6F840A70">
      <w:pPr>
        <w:ind w:right="-815" w:firstLine="420" w:firstLineChars="200"/>
        <w:rPr>
          <w:rFonts w:ascii="宋体" w:hAnsi="宋体" w:cs="宋体"/>
          <w:szCs w:val="21"/>
          <w:highlight w:val="none"/>
        </w:rPr>
      </w:pPr>
      <w:r>
        <w:rPr>
          <w:rFonts w:hint="eastAsia" w:ascii="宋体" w:hAnsi="宋体" w:cs="宋体"/>
          <w:szCs w:val="21"/>
          <w:highlight w:val="none"/>
          <w:lang w:bidi="ar"/>
        </w:rPr>
        <w:t>我单位承诺：</w:t>
      </w:r>
    </w:p>
    <w:p w14:paraId="5C2773A7">
      <w:pPr>
        <w:ind w:firstLine="420" w:firstLineChars="200"/>
        <w:rPr>
          <w:rFonts w:ascii="宋体" w:hAnsi="宋体" w:cs="宋体"/>
          <w:szCs w:val="21"/>
          <w:highlight w:val="none"/>
        </w:rPr>
      </w:pPr>
      <w:r>
        <w:rPr>
          <w:rFonts w:hint="eastAsia" w:ascii="宋体" w:hAnsi="宋体" w:cs="宋体"/>
          <w:szCs w:val="21"/>
          <w:highlight w:val="none"/>
          <w:lang w:bidi="ar"/>
        </w:rPr>
        <w:t>1.我单位参与本项目</w:t>
      </w:r>
      <w:r>
        <w:rPr>
          <w:rFonts w:hint="eastAsia" w:ascii="宋体" w:hAnsi="宋体" w:cs="宋体"/>
          <w:highlight w:val="none"/>
          <w:lang w:bidi="ar"/>
        </w:rPr>
        <w:t>所投标（响应）的货物、工程或服务，不存在侵犯知识产权的情况。</w:t>
      </w:r>
    </w:p>
    <w:p w14:paraId="7FF623BE">
      <w:pPr>
        <w:ind w:firstLine="420" w:firstLineChars="200"/>
        <w:rPr>
          <w:rFonts w:ascii="宋体" w:hAnsi="宋体" w:cs="宋体"/>
          <w:szCs w:val="21"/>
          <w:highlight w:val="none"/>
        </w:rPr>
      </w:pPr>
      <w:r>
        <w:rPr>
          <w:rFonts w:hint="eastAsia" w:ascii="宋体" w:hAnsi="宋体" w:cs="宋体"/>
          <w:szCs w:val="21"/>
          <w:highlight w:val="none"/>
          <w:lang w:bidi="ar"/>
        </w:rPr>
        <w:t>2.我单位</w:t>
      </w:r>
      <w:r>
        <w:rPr>
          <w:rFonts w:hint="eastAsia" w:ascii="宋体" w:hAnsi="宋体" w:cs="宋体"/>
          <w:kern w:val="0"/>
          <w:szCs w:val="21"/>
          <w:highlight w:val="none"/>
        </w:rPr>
        <w:t>参与本项目采购活动时</w:t>
      </w:r>
      <w:r>
        <w:rPr>
          <w:rFonts w:hint="eastAsia" w:cs="宋体"/>
          <w:highlight w:val="none"/>
          <w:lang w:bidi="ar"/>
        </w:rPr>
        <w:t>不存在被有关部门禁止参与政府采购活动且在有效期内的情况。</w:t>
      </w:r>
      <w:r>
        <w:rPr>
          <w:rFonts w:hint="eastAsia"/>
          <w:highlight w:val="none"/>
        </w:rPr>
        <w:t>符合招标文件关于联合体及进口产品的相关资格要求。</w:t>
      </w:r>
    </w:p>
    <w:p w14:paraId="556D22B9">
      <w:pPr>
        <w:ind w:firstLine="420" w:firstLineChars="200"/>
        <w:rPr>
          <w:rFonts w:ascii="宋体" w:hAnsi="宋体" w:cs="宋体"/>
          <w:szCs w:val="21"/>
          <w:highlight w:val="none"/>
        </w:rPr>
      </w:pPr>
      <w:r>
        <w:rPr>
          <w:rFonts w:hint="eastAsia" w:ascii="宋体" w:hAnsi="宋体" w:cs="宋体"/>
          <w:szCs w:val="21"/>
          <w:highlight w:val="none"/>
          <w:lang w:bidi="ar"/>
        </w:rPr>
        <w:t>3.我单位具备《中华人民共和国政府采购法》第二十二条第一款规定的六项条件。</w:t>
      </w:r>
    </w:p>
    <w:p w14:paraId="51FA628E">
      <w:pPr>
        <w:ind w:firstLine="420" w:firstLineChars="200"/>
      </w:pPr>
      <w:r>
        <w:rPr>
          <w:rFonts w:hint="eastAsia" w:ascii="宋体" w:hAnsi="宋体" w:cs="宋体"/>
          <w:szCs w:val="21"/>
          <w:highlight w:val="none"/>
          <w:lang w:bidi="ar"/>
        </w:rPr>
        <w:t>4.我单位</w:t>
      </w:r>
      <w:r>
        <w:rPr>
          <w:rFonts w:hint="eastAsia" w:cs="宋体"/>
          <w:highlight w:val="none"/>
          <w:lang w:bidi="ar"/>
        </w:rPr>
        <w:t>未被列入失信被执行人、重大税收违法案件当事人名单</w:t>
      </w:r>
      <w:r>
        <w:rPr>
          <w:rFonts w:hint="eastAsia" w:cs="宋体"/>
          <w:lang w:bidi="ar"/>
        </w:rPr>
        <w:t>、政府采购严重违法失信行为记录名单。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w:t>
      </w:r>
      <w:r>
        <w:rPr>
          <w:rFonts w:hint="eastAsia" w:ascii="宋体" w:hAnsi="宋体" w:cs="宋体"/>
          <w:lang w:val="en-US" w:eastAsia="zh-CN" w:bidi="ar"/>
        </w:rPr>
        <w:t>发展改革委</w:t>
      </w:r>
      <w:r>
        <w:rPr>
          <w:rFonts w:hint="eastAsia" w:ascii="宋体" w:hAnsi="宋体" w:cs="宋体"/>
          <w:lang w:bidi="ar"/>
        </w:rPr>
        <w:t>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5"/>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18"/>
      </w:pPr>
    </w:p>
    <w:p w14:paraId="0D365046">
      <w:pPr>
        <w:numPr>
          <w:ilvl w:val="0"/>
          <w:numId w:val="8"/>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01F1B4EF">
      <w:pPr>
        <w:pStyle w:val="18"/>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4"/>
        <w:jc w:val="center"/>
        <w:rPr>
          <w:rFonts w:ascii="黑体" w:eastAsia="黑体"/>
          <w:b w:val="0"/>
          <w:sz w:val="24"/>
          <w:szCs w:val="24"/>
        </w:rPr>
      </w:pPr>
      <w:r>
        <w:rPr>
          <w:rFonts w:hint="eastAsia" w:ascii="黑体" w:eastAsia="黑体"/>
          <w:b w:val="0"/>
          <w:sz w:val="24"/>
          <w:szCs w:val="24"/>
        </w:rPr>
        <w:t>四、项目详细报价</w:t>
      </w:r>
    </w:p>
    <w:p w14:paraId="7050D764">
      <w:pPr>
        <w:tabs>
          <w:tab w:val="left" w:pos="720"/>
        </w:tabs>
        <w:jc w:val="center"/>
        <w:rPr>
          <w:b/>
          <w:sz w:val="24"/>
        </w:rPr>
      </w:pPr>
      <w:r>
        <w:rPr>
          <w:rFonts w:hint="eastAsia"/>
          <w:b/>
          <w:sz w:val="24"/>
        </w:rPr>
        <w:t>（一）分项报价表</w:t>
      </w:r>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482A43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42B62F1F">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5D9D5BBB">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569E1B88">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053EBD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DDD2454">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30EFFC97">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snapToGrid w:val="0"/>
                <w:kern w:val="0"/>
                <w:sz w:val="24"/>
                <w:szCs w:val="21"/>
              </w:rPr>
            </w:pPr>
            <w:r>
              <w:rPr>
                <w:rFonts w:hint="eastAsia" w:ascii="宋体" w:hAnsi="宋体"/>
                <w:snapToGrid w:val="0"/>
                <w:kern w:val="0"/>
                <w:sz w:val="24"/>
                <w:szCs w:val="21"/>
              </w:rPr>
              <w:t>大写：</w:t>
            </w:r>
          </w:p>
          <w:p w14:paraId="7F8B65C5">
            <w:pPr>
              <w:keepNext w:val="0"/>
              <w:keepLines w:val="0"/>
              <w:widowControl/>
              <w:suppressLineNumbers w:val="0"/>
              <w:adjustRightInd w:val="0"/>
              <w:snapToGrid w:val="0"/>
              <w:spacing w:before="0" w:beforeAutospacing="0" w:after="0" w:afterAutospacing="0" w:line="300" w:lineRule="auto"/>
              <w:ind w:left="0" w:right="0"/>
              <w:jc w:val="left"/>
              <w:rPr>
                <w:rFonts w:hint="default"/>
              </w:rPr>
            </w:pPr>
            <w:r>
              <w:rPr>
                <w:rFonts w:hint="eastAsia" w:ascii="宋体" w:hAnsi="宋体"/>
                <w:snapToGrid w:val="0"/>
                <w:kern w:val="0"/>
                <w:sz w:val="24"/>
                <w:szCs w:val="21"/>
              </w:rPr>
              <w:t>小写：</w:t>
            </w:r>
          </w:p>
        </w:tc>
        <w:tc>
          <w:tcPr>
            <w:tcW w:w="2034" w:type="dxa"/>
            <w:tcBorders>
              <w:top w:val="single" w:color="auto" w:sz="4" w:space="0"/>
            </w:tcBorders>
            <w:vAlign w:val="center"/>
          </w:tcPr>
          <w:p w14:paraId="689EA106">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3CF6FA1B">
      <w:pPr>
        <w:tabs>
          <w:tab w:val="left" w:pos="720"/>
        </w:tabs>
        <w:jc w:val="center"/>
        <w:rPr>
          <w:b/>
          <w:sz w:val="24"/>
        </w:rPr>
      </w:pPr>
      <w:r>
        <w:rPr>
          <w:rFonts w:hint="eastAsia"/>
          <w:b/>
          <w:color w:val="0000FF"/>
          <w:szCs w:val="21"/>
        </w:rPr>
        <w:t>注：</w:t>
      </w:r>
      <w:r>
        <w:rPr>
          <w:rFonts w:hint="eastAsia" w:ascii="宋体" w:hAnsi="宋体"/>
          <w:color w:val="0000FF"/>
          <w:kern w:val="0"/>
          <w:szCs w:val="21"/>
        </w:rPr>
        <w:t>1、投标人的投标报价不得超过预算金额，否则将导致投标</w:t>
      </w:r>
      <w:r>
        <w:rPr>
          <w:rFonts w:hint="eastAsia" w:ascii="宋体" w:hAnsi="宋体"/>
          <w:color w:val="0000FF"/>
          <w:kern w:val="0"/>
          <w:szCs w:val="21"/>
          <w:lang w:val="en-US" w:eastAsia="zh-CN"/>
        </w:rPr>
        <w:t>无效</w:t>
      </w:r>
    </w:p>
    <w:p w14:paraId="6C0BA023">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E036B0E">
      <w:pPr>
        <w:rPr>
          <w:b/>
          <w:bCs/>
        </w:rPr>
      </w:pPr>
      <w:r>
        <w:rPr>
          <w:b/>
          <w:bCs/>
        </w:rPr>
        <w:br w:type="page"/>
      </w:r>
    </w:p>
    <w:p w14:paraId="4D9B1379">
      <w:pPr>
        <w:pStyle w:val="4"/>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w:t>
      </w:r>
      <w:r>
        <w:rPr>
          <w:rFonts w:hint="eastAsia" w:ascii="宋体" w:hAnsi="宋体" w:cs="宋体"/>
          <w:sz w:val="24"/>
          <w:lang w:val="en-US" w:eastAsia="zh-CN"/>
        </w:rPr>
        <w:t xml:space="preserve">                     </w:t>
      </w:r>
      <w:r>
        <w:rPr>
          <w:rFonts w:hint="eastAsia" w:ascii="宋体" w:hAnsi="宋体" w:cs="宋体"/>
          <w:sz w:val="24"/>
        </w:rPr>
        <w:t xml:space="preserve">                  填表日期：    年   月   日</w:t>
      </w:r>
    </w:p>
    <w:tbl>
      <w:tblPr>
        <w:tblStyle w:val="4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7"/>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4"/>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9"/>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9"/>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9"/>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9"/>
              <w:keepNext w:val="0"/>
              <w:keepLines w:val="0"/>
              <w:suppressLineNumbers w:val="0"/>
              <w:spacing w:before="0" w:beforeAutospacing="0" w:after="120" w:afterAutospacing="0"/>
              <w:ind w:left="0" w:right="0"/>
              <w:rPr>
                <w:rFonts w:hint="default"/>
              </w:rPr>
            </w:pPr>
          </w:p>
          <w:p w14:paraId="54DBB052">
            <w:pPr>
              <w:pStyle w:val="39"/>
              <w:keepNext w:val="0"/>
              <w:keepLines w:val="0"/>
              <w:suppressLineNumbers w:val="0"/>
              <w:spacing w:before="0" w:beforeAutospacing="0" w:after="0" w:afterAutospacing="0" w:line="360" w:lineRule="auto"/>
              <w:ind w:left="0" w:right="0"/>
              <w:rPr>
                <w:rFonts w:hint="default"/>
              </w:rPr>
            </w:pPr>
          </w:p>
          <w:p w14:paraId="3045A053">
            <w:pPr>
              <w:pStyle w:val="39"/>
              <w:keepNext w:val="0"/>
              <w:keepLines w:val="0"/>
              <w:suppressLineNumbers w:val="0"/>
              <w:spacing w:before="0" w:beforeAutospacing="0" w:after="0" w:afterAutospacing="0" w:line="360" w:lineRule="auto"/>
              <w:ind w:left="0" w:right="0"/>
              <w:rPr>
                <w:rFonts w:hint="default"/>
              </w:rPr>
            </w:pPr>
          </w:p>
          <w:p w14:paraId="52EA0CDE">
            <w:pPr>
              <w:pStyle w:val="39"/>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9"/>
              <w:keepNext w:val="0"/>
              <w:keepLines w:val="0"/>
              <w:suppressLineNumbers w:val="0"/>
              <w:spacing w:before="0" w:beforeAutospacing="0" w:after="120" w:afterAutospacing="0"/>
              <w:ind w:left="0" w:right="0"/>
              <w:jc w:val="center"/>
              <w:rPr>
                <w:rFonts w:hint="default"/>
              </w:rPr>
            </w:pPr>
          </w:p>
          <w:p w14:paraId="54187B82">
            <w:pPr>
              <w:pStyle w:val="39"/>
              <w:keepNext w:val="0"/>
              <w:keepLines w:val="0"/>
              <w:suppressLineNumbers w:val="0"/>
              <w:spacing w:before="0" w:beforeAutospacing="0" w:after="0" w:afterAutospacing="0" w:line="360" w:lineRule="auto"/>
              <w:ind w:left="0" w:right="0"/>
              <w:jc w:val="center"/>
              <w:rPr>
                <w:rFonts w:hint="default"/>
              </w:rPr>
            </w:pPr>
          </w:p>
        </w:tc>
      </w:tr>
    </w:tbl>
    <w:p w14:paraId="7641D277">
      <w:pPr>
        <w:pStyle w:val="39"/>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4"/>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9"/>
              <w:keepNext w:val="0"/>
              <w:keepLines w:val="0"/>
              <w:suppressLineNumbers w:val="0"/>
              <w:spacing w:before="0" w:beforeAutospacing="0" w:after="120" w:afterAutospacing="0"/>
              <w:ind w:left="0" w:right="0"/>
              <w:rPr>
                <w:rFonts w:hint="default"/>
              </w:rPr>
            </w:pPr>
          </w:p>
          <w:p w14:paraId="6BFAD977">
            <w:pPr>
              <w:pStyle w:val="39"/>
              <w:keepNext w:val="0"/>
              <w:keepLines w:val="0"/>
              <w:suppressLineNumbers w:val="0"/>
              <w:spacing w:before="0" w:beforeAutospacing="0" w:after="0" w:afterAutospacing="0" w:line="360" w:lineRule="auto"/>
              <w:ind w:left="0" w:right="0"/>
              <w:rPr>
                <w:rFonts w:hint="default"/>
              </w:rPr>
            </w:pPr>
          </w:p>
          <w:p w14:paraId="7AE18302">
            <w:pPr>
              <w:pStyle w:val="39"/>
              <w:keepNext w:val="0"/>
              <w:keepLines w:val="0"/>
              <w:suppressLineNumbers w:val="0"/>
              <w:spacing w:before="0" w:beforeAutospacing="0" w:after="0" w:afterAutospacing="0" w:line="360" w:lineRule="auto"/>
              <w:ind w:left="0" w:right="0"/>
              <w:rPr>
                <w:rFonts w:hint="default"/>
              </w:rPr>
            </w:pPr>
          </w:p>
          <w:p w14:paraId="58C5ABD0">
            <w:pPr>
              <w:pStyle w:val="39"/>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9"/>
              <w:keepNext w:val="0"/>
              <w:keepLines w:val="0"/>
              <w:suppressLineNumbers w:val="0"/>
              <w:spacing w:before="0" w:beforeAutospacing="0" w:after="120" w:afterAutospacing="0"/>
              <w:ind w:left="0" w:right="0"/>
              <w:jc w:val="center"/>
              <w:rPr>
                <w:rFonts w:hint="default"/>
              </w:rPr>
            </w:pPr>
          </w:p>
          <w:p w14:paraId="489C5E1B">
            <w:pPr>
              <w:pStyle w:val="39"/>
              <w:keepNext w:val="0"/>
              <w:keepLines w:val="0"/>
              <w:suppressLineNumbers w:val="0"/>
              <w:spacing w:before="0" w:beforeAutospacing="0" w:after="0" w:afterAutospacing="0" w:line="360" w:lineRule="auto"/>
              <w:ind w:left="0" w:right="0"/>
              <w:jc w:val="center"/>
              <w:rPr>
                <w:rFonts w:hint="default"/>
              </w:rPr>
            </w:pPr>
          </w:p>
        </w:tc>
      </w:tr>
    </w:tbl>
    <w:p w14:paraId="7A1F4E20">
      <w:pPr>
        <w:pStyle w:val="39"/>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18"/>
        <w:rPr>
          <w:rFonts w:hAnsi="宋体"/>
        </w:rPr>
      </w:pPr>
      <w:r>
        <w:br w:type="page"/>
      </w:r>
    </w:p>
    <w:p w14:paraId="1E7EED05">
      <w:pPr>
        <w:pStyle w:val="4"/>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3"/>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top"/>
          </w:tcPr>
          <w:p w14:paraId="1A3ABB7D">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52BDB8C3">
      <w:pPr>
        <w:pStyle w:val="36"/>
        <w:rPr>
          <w:rFonts w:hint="eastAsia"/>
        </w:rPr>
      </w:pPr>
    </w:p>
    <w:p w14:paraId="53C3F342">
      <w:pPr>
        <w:rPr>
          <w:rFonts w:hint="eastAsia" w:cs="宋体"/>
          <w:b/>
          <w:sz w:val="24"/>
          <w:szCs w:val="22"/>
          <w:lang w:bidi="ar"/>
        </w:rPr>
      </w:pPr>
    </w:p>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07A69FB6">
      <w:pPr>
        <w:pStyle w:val="4"/>
        <w:jc w:val="center"/>
        <w:rPr>
          <w:szCs w:val="21"/>
        </w:rPr>
      </w:pPr>
      <w:r>
        <w:rPr>
          <w:rFonts w:hint="eastAsia" w:ascii="黑体" w:eastAsia="黑体"/>
          <w:b w:val="0"/>
          <w:sz w:val="24"/>
          <w:szCs w:val="24"/>
          <w:lang w:val="en-US" w:eastAsia="zh-CN"/>
        </w:rPr>
        <w:t>九</w:t>
      </w:r>
      <w:r>
        <w:rPr>
          <w:rFonts w:hint="eastAsia" w:ascii="黑体" w:eastAsia="黑体"/>
          <w:b w:val="0"/>
          <w:sz w:val="24"/>
          <w:szCs w:val="24"/>
        </w:rPr>
        <w:t>、技术要求偏离表</w:t>
      </w:r>
      <w:bookmarkStart w:id="44" w:name="_Hlk72095977"/>
    </w:p>
    <w:tbl>
      <w:tblPr>
        <w:tblStyle w:val="43"/>
        <w:tblW w:w="8127" w:type="dxa"/>
        <w:tblInd w:w="293" w:type="dxa"/>
        <w:tblLayout w:type="fixed"/>
        <w:tblCellMar>
          <w:top w:w="0" w:type="dxa"/>
          <w:left w:w="108" w:type="dxa"/>
          <w:bottom w:w="0" w:type="dxa"/>
          <w:right w:w="108" w:type="dxa"/>
        </w:tblCellMar>
      </w:tblPr>
      <w:tblGrid>
        <w:gridCol w:w="3111"/>
        <w:gridCol w:w="2976"/>
        <w:gridCol w:w="1200"/>
        <w:gridCol w:w="840"/>
      </w:tblGrid>
      <w:tr w14:paraId="53A4CE38">
        <w:tblPrEx>
          <w:tblCellMar>
            <w:top w:w="0" w:type="dxa"/>
            <w:left w:w="108" w:type="dxa"/>
            <w:bottom w:w="0" w:type="dxa"/>
            <w:right w:w="108" w:type="dxa"/>
          </w:tblCellMar>
        </w:tblPrEx>
        <w:trPr>
          <w:trHeight w:val="300" w:hRule="atLeast"/>
        </w:trPr>
        <w:tc>
          <w:tcPr>
            <w:tcW w:w="3111" w:type="dxa"/>
            <w:tcBorders>
              <w:top w:val="single" w:color="000000" w:sz="4" w:space="0"/>
              <w:left w:val="single" w:color="000000" w:sz="4" w:space="0"/>
              <w:bottom w:val="single" w:color="auto" w:sz="4" w:space="0"/>
              <w:right w:val="single" w:color="000000" w:sz="4" w:space="0"/>
            </w:tcBorders>
            <w:noWrap/>
            <w:vAlign w:val="center"/>
          </w:tcPr>
          <w:p w14:paraId="720F6970">
            <w:pPr>
              <w:keepNext w:val="0"/>
              <w:keepLines w:val="0"/>
              <w:suppressLineNumbers w:val="0"/>
              <w:spacing w:before="0" w:beforeAutospacing="0" w:after="0" w:afterAutospacing="0"/>
              <w:ind w:left="0" w:right="0"/>
              <w:jc w:val="center"/>
              <w:rPr>
                <w:rFonts w:hint="default" w:ascii="宋体" w:hAnsi="宋体" w:cs="宋体"/>
                <w:color w:val="000000"/>
                <w:szCs w:val="21"/>
              </w:rPr>
            </w:pPr>
            <w:r>
              <w:rPr>
                <w:rFonts w:hint="eastAsia"/>
                <w:color w:val="000000" w:themeColor="text1"/>
                <w:szCs w:val="21"/>
                <w14:textFill>
                  <w14:solidFill>
                    <w14:schemeClr w14:val="tx1"/>
                  </w14:solidFill>
                </w14:textFill>
              </w:rPr>
              <w:t>招标</w:t>
            </w:r>
            <w:r>
              <w:rPr>
                <w:rFonts w:hint="default"/>
                <w:color w:val="000000" w:themeColor="text1"/>
                <w:szCs w:val="21"/>
                <w14:textFill>
                  <w14:solidFill>
                    <w14:schemeClr w14:val="tx1"/>
                  </w14:solidFill>
                </w14:textFill>
              </w:rPr>
              <w:t>技术要求</w:t>
            </w:r>
          </w:p>
        </w:tc>
        <w:tc>
          <w:tcPr>
            <w:tcW w:w="2976" w:type="dxa"/>
            <w:tcBorders>
              <w:top w:val="single" w:color="000000" w:sz="4" w:space="0"/>
              <w:left w:val="single" w:color="000000" w:sz="4" w:space="0"/>
              <w:bottom w:val="single" w:color="auto" w:sz="4" w:space="0"/>
              <w:right w:val="single" w:color="000000" w:sz="4" w:space="0"/>
            </w:tcBorders>
            <w:noWrap/>
            <w:vAlign w:val="center"/>
          </w:tcPr>
          <w:p w14:paraId="31B8A2B5">
            <w:pPr>
              <w:keepNext w:val="0"/>
              <w:keepLines w:val="0"/>
              <w:suppressLineNumbers w:val="0"/>
              <w:spacing w:before="0" w:beforeAutospacing="0" w:after="0" w:afterAutospacing="0"/>
              <w:ind w:left="0" w:right="0"/>
              <w:jc w:val="center"/>
              <w:rPr>
                <w:rFonts w:hint="default" w:ascii="宋体" w:hAnsi="宋体" w:cs="宋体"/>
                <w:color w:val="000000"/>
                <w:kern w:val="0"/>
                <w:szCs w:val="21"/>
                <w:lang w:bidi="ar"/>
              </w:rPr>
            </w:pPr>
            <w:r>
              <w:rPr>
                <w:rFonts w:hint="eastAsia"/>
                <w:color w:val="000000" w:themeColor="text1"/>
                <w:szCs w:val="21"/>
                <w14:textFill>
                  <w14:solidFill>
                    <w14:schemeClr w14:val="tx1"/>
                  </w14:solidFill>
                </w14:textFill>
              </w:rPr>
              <w:t>投标技术响应</w:t>
            </w:r>
          </w:p>
        </w:tc>
        <w:tc>
          <w:tcPr>
            <w:tcW w:w="1200" w:type="dxa"/>
            <w:tcBorders>
              <w:top w:val="single" w:color="000000" w:sz="4" w:space="0"/>
              <w:left w:val="single" w:color="000000" w:sz="4" w:space="0"/>
              <w:bottom w:val="single" w:color="auto" w:sz="4" w:space="0"/>
              <w:right w:val="single" w:color="000000" w:sz="4" w:space="0"/>
            </w:tcBorders>
            <w:noWrap/>
            <w:vAlign w:val="center"/>
          </w:tcPr>
          <w:p w14:paraId="59217151">
            <w:pPr>
              <w:keepNext w:val="0"/>
              <w:keepLines w:val="0"/>
              <w:suppressLineNumbers w:val="0"/>
              <w:spacing w:before="0" w:beforeAutospacing="0" w:after="0" w:afterAutospacing="0"/>
              <w:ind w:left="0" w:right="0"/>
              <w:jc w:val="center"/>
              <w:rPr>
                <w:rFonts w:hint="default" w:ascii="宋体" w:hAnsi="宋体" w:cs="宋体"/>
                <w:color w:val="000000"/>
                <w:kern w:val="0"/>
                <w:szCs w:val="21"/>
                <w:lang w:bidi="ar"/>
              </w:rPr>
            </w:pPr>
            <w:r>
              <w:rPr>
                <w:rFonts w:hint="eastAsia"/>
                <w:color w:val="000000" w:themeColor="text1"/>
                <w:szCs w:val="21"/>
                <w14:textFill>
                  <w14:solidFill>
                    <w14:schemeClr w14:val="tx1"/>
                  </w14:solidFill>
                </w14:textFill>
              </w:rPr>
              <w:t>偏离情况</w:t>
            </w:r>
          </w:p>
        </w:tc>
        <w:tc>
          <w:tcPr>
            <w:tcW w:w="840" w:type="dxa"/>
            <w:tcBorders>
              <w:top w:val="single" w:color="000000" w:sz="4" w:space="0"/>
              <w:left w:val="single" w:color="000000" w:sz="4" w:space="0"/>
              <w:bottom w:val="single" w:color="auto" w:sz="4" w:space="0"/>
              <w:right w:val="single" w:color="000000" w:sz="4" w:space="0"/>
            </w:tcBorders>
            <w:noWrap/>
            <w:vAlign w:val="center"/>
          </w:tcPr>
          <w:p w14:paraId="17F429A8">
            <w:pPr>
              <w:keepNext w:val="0"/>
              <w:keepLines w:val="0"/>
              <w:suppressLineNumbers w:val="0"/>
              <w:spacing w:before="0" w:beforeAutospacing="0" w:after="0" w:afterAutospacing="0"/>
              <w:ind w:left="0" w:right="0"/>
              <w:jc w:val="center"/>
              <w:rPr>
                <w:rFonts w:hint="default" w:ascii="宋体" w:hAnsi="宋体" w:cs="宋体"/>
                <w:color w:val="000000"/>
                <w:kern w:val="0"/>
                <w:szCs w:val="21"/>
                <w:lang w:bidi="ar"/>
              </w:rPr>
            </w:pPr>
            <w:r>
              <w:rPr>
                <w:rFonts w:hint="eastAsia"/>
                <w:color w:val="000000" w:themeColor="text1"/>
                <w:szCs w:val="21"/>
                <w14:textFill>
                  <w14:solidFill>
                    <w14:schemeClr w14:val="tx1"/>
                  </w14:solidFill>
                </w14:textFill>
              </w:rPr>
              <w:t>说明</w:t>
            </w:r>
          </w:p>
        </w:tc>
      </w:tr>
      <w:tr w14:paraId="08C6C346">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41B2AF0A">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b w:val="0"/>
                <w:bCs/>
                <w:color w:val="auto"/>
                <w:kern w:val="2"/>
                <w:sz w:val="21"/>
                <w:szCs w:val="21"/>
                <w:lang w:val="en-US" w:eastAsia="zh-CN" w:bidi="ar"/>
              </w:rPr>
              <w:t>（一）</w:t>
            </w:r>
            <w:r>
              <w:rPr>
                <w:rFonts w:hint="eastAsia" w:ascii="宋体" w:hAnsi="宋体" w:eastAsia="宋体" w:cs="宋体"/>
                <w:b w:val="0"/>
                <w:bCs/>
                <w:color w:val="auto"/>
                <w:sz w:val="21"/>
                <w:szCs w:val="21"/>
              </w:rPr>
              <w:t>中标</w:t>
            </w:r>
            <w:r>
              <w:rPr>
                <w:rFonts w:hint="eastAsia" w:ascii="宋体" w:hAnsi="宋体" w:eastAsia="宋体" w:cs="宋体"/>
                <w:sz w:val="21"/>
                <w:szCs w:val="21"/>
              </w:rPr>
              <w:t>方需根据采购方设定的标准，为来访人员提供以下服务</w:t>
            </w:r>
            <w:r>
              <w:rPr>
                <w:rFonts w:hint="eastAsia" w:ascii="宋体" w:hAnsi="宋体" w:cs="宋体"/>
                <w:sz w:val="21"/>
                <w:szCs w:val="21"/>
                <w:lang w:val="en-US" w:eastAsia="zh-CN"/>
              </w:rPr>
              <w:t>并承担实施费用</w:t>
            </w:r>
            <w:r>
              <w:rPr>
                <w:rFonts w:hint="eastAsia" w:ascii="宋体" w:hAnsi="宋体" w:eastAsia="宋体" w:cs="宋体"/>
                <w:sz w:val="21"/>
                <w:szCs w:val="21"/>
              </w:rPr>
              <w:t>：</w:t>
            </w:r>
          </w:p>
          <w:p w14:paraId="5A7940A6">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1.商务对接：协助提供办理签证所需邀请函等材料、国际差旅协调等前期准备工作；</w:t>
            </w:r>
          </w:p>
          <w:p w14:paraId="4B609006">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2.全流程行程设计与协调：涵盖沙特与深圳两地的日程安排、交通、住宿、餐饮等；</w:t>
            </w:r>
          </w:p>
          <w:p w14:paraId="4ED2FB2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3.学习、交流、研讨、辅导活动设计：包括课程、工作坊、闭门对话、一对一辅导等；</w:t>
            </w:r>
          </w:p>
          <w:p w14:paraId="1714E4E1">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4.专家、讲师、导师及研讨嘉宾邀请与对接：遴选并组织高水平专业人士参与项目；</w:t>
            </w:r>
          </w:p>
          <w:p w14:paraId="3CEBA137">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5.大湾区科技企业、机构、高校的参访及高管交流对接；</w:t>
            </w:r>
          </w:p>
          <w:p w14:paraId="6243D4D2">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6.开营仪式与闭幕路演活动设计及执行；</w:t>
            </w:r>
          </w:p>
          <w:p w14:paraId="6DB7971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7.投资人见面会与资源对接服务；</w:t>
            </w:r>
          </w:p>
          <w:p w14:paraId="749EF6FD">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default" w:ascii="宋体" w:hAnsi="宋体" w:cs="宋体"/>
                <w:color w:val="000000"/>
                <w:szCs w:val="21"/>
              </w:rPr>
            </w:pPr>
            <w:r>
              <w:rPr>
                <w:rFonts w:hint="eastAsia" w:ascii="宋体" w:hAnsi="宋体" w:eastAsia="宋体" w:cs="宋体"/>
                <w:sz w:val="21"/>
                <w:szCs w:val="21"/>
              </w:rPr>
              <w:t>8.配套中国文化体验与代表性参访活动。</w:t>
            </w:r>
          </w:p>
        </w:tc>
        <w:tc>
          <w:tcPr>
            <w:tcW w:w="2976" w:type="dxa"/>
            <w:tcBorders>
              <w:top w:val="single" w:color="auto" w:sz="4" w:space="0"/>
              <w:left w:val="single" w:color="auto" w:sz="4" w:space="0"/>
              <w:bottom w:val="single" w:color="auto" w:sz="4" w:space="0"/>
              <w:right w:val="single" w:color="auto" w:sz="4" w:space="0"/>
            </w:tcBorders>
            <w:vAlign w:val="center"/>
          </w:tcPr>
          <w:p w14:paraId="1A573F4E">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3E6B05DF">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1F1BB10C">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6D09A649">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4A8684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845" w:leftChars="0" w:right="0" w:hanging="425"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（二）</w:t>
            </w:r>
            <w:r>
              <w:rPr>
                <w:rFonts w:hint="eastAsia" w:ascii="宋体" w:hAnsi="宋体" w:eastAsia="宋体" w:cs="宋体"/>
                <w:sz w:val="21"/>
                <w:szCs w:val="21"/>
              </w:rPr>
              <w:t>商务对接及接待安排</w:t>
            </w:r>
          </w:p>
          <w:p w14:paraId="37F6259C">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服务对象：由采购方指定的15–25名沙特科技创新项目代表；</w:t>
            </w:r>
          </w:p>
          <w:p w14:paraId="259EDCE7">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语言：英文；</w:t>
            </w:r>
          </w:p>
          <w:p w14:paraId="0C9AFD20">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翻译人员：中标方须配备至少1名英文翻译人员；</w:t>
            </w:r>
          </w:p>
          <w:p w14:paraId="4C626E24">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服务内容：</w:t>
            </w:r>
          </w:p>
          <w:p w14:paraId="4488F8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协助撰写官方邀请函并指导签证办理；</w:t>
            </w:r>
          </w:p>
          <w:p w14:paraId="433F12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提供全程安全、专业的交通接驳服务；</w:t>
            </w:r>
          </w:p>
          <w:p w14:paraId="15589E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eastAsia="zh-CN"/>
              </w:rPr>
              <w:t>安排高性价比且符合国际标准的舒适住宿；</w:t>
            </w:r>
          </w:p>
          <w:p w14:paraId="5DFD45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lang w:eastAsia="zh-CN"/>
              </w:rPr>
              <w:t>提供符合多国文化与宗教信仰的餐饮服务，确保清真饮食供应；</w:t>
            </w:r>
          </w:p>
          <w:p w14:paraId="3CDE6C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lang w:eastAsia="zh-CN"/>
              </w:rPr>
              <w:t>为所有来访人员购买在中国期间的商业意外险（保额不低于人民币100万元）；</w:t>
            </w:r>
          </w:p>
          <w:p w14:paraId="3ECB59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lang w:eastAsia="zh-CN"/>
              </w:rPr>
            </w:pPr>
            <w:r>
              <w:rPr>
                <w:rFonts w:hint="eastAsia" w:ascii="微软雅黑" w:hAnsi="微软雅黑" w:eastAsia="微软雅黑" w:cs="微软雅黑"/>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eastAsia="zh-CN"/>
              </w:rPr>
              <w:t>响应机制：具备高效沟通与应急响应能力，确保在采购方提出需求后2小时内给予初步反馈，24小时内落实解决方案</w:t>
            </w:r>
            <w:r>
              <w:rPr>
                <w:rFonts w:hint="eastAsia" w:ascii="宋体" w:hAnsi="宋体" w:cs="宋体"/>
                <w:sz w:val="21"/>
                <w:szCs w:val="21"/>
                <w:lang w:eastAsia="zh-CN"/>
              </w:rPr>
              <w:t>；</w:t>
            </w:r>
          </w:p>
          <w:p w14:paraId="7B0C6F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default" w:ascii="宋体" w:hAnsi="宋体" w:cs="宋体"/>
                <w:color w:val="000000"/>
                <w:szCs w:val="21"/>
              </w:rPr>
            </w:pPr>
            <w:r>
              <w:rPr>
                <w:rFonts w:hint="eastAsia" w:ascii="宋体" w:hAnsi="宋体" w:cs="宋体"/>
                <w:sz w:val="21"/>
                <w:szCs w:val="21"/>
                <w:lang w:val="en-US" w:eastAsia="zh-CN"/>
              </w:rPr>
              <w:t>6.中标方须承担开展以上服务内容的实施费用。</w:t>
            </w:r>
          </w:p>
        </w:tc>
        <w:tc>
          <w:tcPr>
            <w:tcW w:w="2976" w:type="dxa"/>
            <w:tcBorders>
              <w:top w:val="single" w:color="auto" w:sz="4" w:space="0"/>
              <w:left w:val="single" w:color="auto" w:sz="4" w:space="0"/>
              <w:bottom w:val="single" w:color="auto" w:sz="4" w:space="0"/>
              <w:right w:val="single" w:color="auto" w:sz="4" w:space="0"/>
            </w:tcBorders>
            <w:vAlign w:val="center"/>
          </w:tcPr>
          <w:p w14:paraId="66C4C7EA">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530761B1">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5156B7B9">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15A91542">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7B63A6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845" w:leftChars="0" w:right="0" w:hanging="425"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（三）</w:t>
            </w:r>
            <w:r>
              <w:rPr>
                <w:rFonts w:hint="eastAsia" w:ascii="宋体" w:hAnsi="宋体" w:eastAsia="宋体" w:cs="宋体"/>
                <w:sz w:val="21"/>
                <w:szCs w:val="21"/>
              </w:rPr>
              <w:t>培训学习活动</w:t>
            </w:r>
          </w:p>
          <w:p w14:paraId="5E66C8BE">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课程目标：提升学员对中国科技创新环境、技术商业化路径、融资机制与法律政策的理解；</w:t>
            </w:r>
          </w:p>
          <w:p w14:paraId="57B38237">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课程语言：全英文</w:t>
            </w:r>
            <w:r>
              <w:rPr>
                <w:rFonts w:hint="eastAsia" w:ascii="宋体" w:hAnsi="宋体" w:cs="宋体"/>
                <w:sz w:val="21"/>
                <w:szCs w:val="21"/>
                <w:lang w:eastAsia="zh-CN"/>
              </w:rPr>
              <w:t>，</w:t>
            </w:r>
            <w:r>
              <w:rPr>
                <w:rFonts w:hint="eastAsia" w:ascii="宋体" w:hAnsi="宋体" w:cs="宋体"/>
                <w:sz w:val="21"/>
                <w:szCs w:val="21"/>
                <w:lang w:val="en-US" w:eastAsia="zh-CN"/>
              </w:rPr>
              <w:t>不得配备翻译</w:t>
            </w:r>
            <w:r>
              <w:rPr>
                <w:rFonts w:hint="eastAsia" w:ascii="宋体" w:hAnsi="宋体" w:eastAsia="宋体" w:cs="宋体"/>
                <w:sz w:val="21"/>
                <w:szCs w:val="21"/>
              </w:rPr>
              <w:t>；</w:t>
            </w:r>
          </w:p>
          <w:p w14:paraId="31BFD020">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课程模块（不少于4个独立主题，总时长不少于8小时或根据采购方要求调整）：</w:t>
            </w:r>
          </w:p>
          <w:p w14:paraId="1329AD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中国及大湾区科技创新生态系统（政策、产业、载体）；</w:t>
            </w:r>
          </w:p>
          <w:p w14:paraId="549CC7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技术商业化路径与典型时间周期（从实验室到量产）；</w:t>
            </w:r>
          </w:p>
          <w:p w14:paraId="08D6AD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科技企业融资路径与中国投资机构偏好（VC/PE、政府基金）；</w:t>
            </w:r>
          </w:p>
          <w:p w14:paraId="416C08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知识产权保护与相关法律法规（专利、合规、跨境风险）；</w:t>
            </w:r>
          </w:p>
          <w:p w14:paraId="7DBFAE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跨境创业常见挑战与本地化策略。</w:t>
            </w:r>
          </w:p>
          <w:p w14:paraId="1481B38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教学形式：鼓励采用案例教学、小组讨论、模拟演练等互动方式；</w:t>
            </w:r>
          </w:p>
          <w:p w14:paraId="0607E8AA">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场地安排：中标方负责培训场地的预订、布置与技术支持；</w:t>
            </w:r>
          </w:p>
          <w:p w14:paraId="400B352D">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投资人见面会（Investor Meetup）：</w:t>
            </w:r>
          </w:p>
          <w:p w14:paraId="3911D55F">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组织至少1场闭门路演或圆桌对话（邀请不少于8家关注早期科技项目的投资机构代表）；</w:t>
            </w:r>
          </w:p>
          <w:p w14:paraId="69E7BA85">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内容包括项目展示、趋势分享、问答互动等。</w:t>
            </w:r>
          </w:p>
          <w:p w14:paraId="130DB906">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default" w:ascii="宋体" w:hAnsi="宋体" w:cs="宋体"/>
                <w:color w:val="000000"/>
                <w:szCs w:val="21"/>
              </w:rPr>
            </w:pPr>
            <w:r>
              <w:rPr>
                <w:rFonts w:hint="eastAsia" w:ascii="宋体" w:hAnsi="宋体" w:cs="宋体"/>
                <w:sz w:val="21"/>
                <w:szCs w:val="21"/>
                <w:lang w:val="en-US" w:eastAsia="zh-CN"/>
              </w:rPr>
              <w:t>9.中标方须承担开展以上服务内容的实施费用。</w:t>
            </w:r>
          </w:p>
        </w:tc>
        <w:tc>
          <w:tcPr>
            <w:tcW w:w="2976" w:type="dxa"/>
            <w:tcBorders>
              <w:top w:val="single" w:color="auto" w:sz="4" w:space="0"/>
              <w:left w:val="single" w:color="auto" w:sz="4" w:space="0"/>
              <w:bottom w:val="single" w:color="auto" w:sz="4" w:space="0"/>
              <w:right w:val="single" w:color="auto" w:sz="4" w:space="0"/>
            </w:tcBorders>
            <w:vAlign w:val="center"/>
          </w:tcPr>
          <w:p w14:paraId="68581632">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528F5689">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6E180408">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18541294">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6C8462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845" w:leftChars="0" w:right="0" w:hanging="425"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（四）</w:t>
            </w:r>
            <w:r>
              <w:rPr>
                <w:rFonts w:hint="eastAsia" w:ascii="宋体" w:hAnsi="宋体" w:eastAsia="宋体" w:cs="宋体"/>
                <w:sz w:val="21"/>
                <w:szCs w:val="21"/>
              </w:rPr>
              <w:t>参访交流</w:t>
            </w:r>
          </w:p>
          <w:p w14:paraId="22B85187">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参访单位：2–3家大湾区代表性科技创新机构（高新技术企业、新型研发机构、国家级实验室、高校创新平台等）；</w:t>
            </w:r>
          </w:p>
          <w:p w14:paraId="284C5444">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交流内容：聚焦技术创新、成果转化、产业应用等方向；</w:t>
            </w:r>
          </w:p>
          <w:p w14:paraId="596CFAFA">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参访要求：</w:t>
            </w:r>
          </w:p>
          <w:p w14:paraId="3AF8DC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提前提交参访单位名单，经采购方书面确认；</w:t>
            </w:r>
          </w:p>
          <w:p w14:paraId="6040FC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安排负责人或高管进行深度交流；</w:t>
            </w:r>
          </w:p>
          <w:p w14:paraId="6D4EE3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rPr>
              <w:t>配备中英同声传译；</w:t>
            </w:r>
          </w:p>
          <w:p w14:paraId="6EC015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rPr>
              <w:t>行程紧凑，餐饮符合学员宗教与文化习俗。</w:t>
            </w:r>
          </w:p>
          <w:p w14:paraId="51D4E2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default" w:ascii="宋体" w:hAnsi="宋体" w:cs="宋体"/>
                <w:color w:val="000000"/>
                <w:szCs w:val="21"/>
              </w:rPr>
            </w:pPr>
            <w:r>
              <w:rPr>
                <w:rFonts w:hint="eastAsia" w:ascii="宋体" w:hAnsi="宋体" w:cs="宋体"/>
                <w:sz w:val="21"/>
                <w:szCs w:val="21"/>
                <w:lang w:val="en-US" w:eastAsia="zh-CN"/>
              </w:rPr>
              <w:t>4.中标方须承担开展以上服务内容的实施费用。</w:t>
            </w:r>
          </w:p>
        </w:tc>
        <w:tc>
          <w:tcPr>
            <w:tcW w:w="2976" w:type="dxa"/>
            <w:tcBorders>
              <w:top w:val="single" w:color="auto" w:sz="4" w:space="0"/>
              <w:left w:val="single" w:color="auto" w:sz="4" w:space="0"/>
              <w:bottom w:val="single" w:color="auto" w:sz="4" w:space="0"/>
              <w:right w:val="single" w:color="auto" w:sz="4" w:space="0"/>
            </w:tcBorders>
            <w:vAlign w:val="center"/>
          </w:tcPr>
          <w:p w14:paraId="56FAD495">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74F811E8">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7B8CEA5F">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4632D222">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421B24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845" w:leftChars="0" w:right="0" w:hanging="425"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（五）</w:t>
            </w:r>
            <w:r>
              <w:rPr>
                <w:rFonts w:hint="eastAsia" w:ascii="宋体" w:hAnsi="宋体" w:eastAsia="宋体" w:cs="宋体"/>
                <w:sz w:val="21"/>
                <w:szCs w:val="21"/>
              </w:rPr>
              <w:t>开营与路演闭幕活动</w:t>
            </w:r>
          </w:p>
          <w:p w14:paraId="0919F558">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开营仪式：</w:t>
            </w:r>
          </w:p>
          <w:p w14:paraId="03BE8A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时间：全体学员抵达当天或次日；</w:t>
            </w:r>
          </w:p>
          <w:p w14:paraId="65D8F3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内容：项目说明、团队破冰、导师介绍、目标设定；</w:t>
            </w:r>
          </w:p>
          <w:p w14:paraId="4E4186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要求：配备专业主持人，设计互动环节促进链接；</w:t>
            </w:r>
          </w:p>
          <w:p w14:paraId="58FA64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方案须提前10个工作日提交采购方审核；</w:t>
            </w:r>
          </w:p>
          <w:p w14:paraId="5826E316">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闭幕路演活动（Pitch Event）：</w:t>
            </w:r>
          </w:p>
          <w:p w14:paraId="19D7DF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时间：项目结束当天或次日；</w:t>
            </w:r>
          </w:p>
          <w:p w14:paraId="0D5E5B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rPr>
              <w:t>内容：所有学员项目进行正式英文路演；</w:t>
            </w:r>
          </w:p>
          <w:p w14:paraId="6C6025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中标方须安排专业导师对各项目进行一对一辅导；</w:t>
            </w:r>
          </w:p>
          <w:p w14:paraId="4D1AB4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eastAsia="宋体" w:cs="宋体"/>
                <w:sz w:val="21"/>
                <w:szCs w:val="21"/>
              </w:rPr>
              <w:t>邀请不少于10家机构参与（投资机构、产业方、潜在合作伙伴）；</w:t>
            </w:r>
          </w:p>
          <w:p w14:paraId="5BB68D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rPr>
              <w:t>配备中英同声传译；</w:t>
            </w:r>
          </w:p>
          <w:p w14:paraId="37B189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（6）</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所有对外公开信息须事先取得沙特方同意。</w:t>
            </w:r>
          </w:p>
          <w:p w14:paraId="4AAE61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default" w:ascii="宋体" w:hAnsi="宋体" w:cs="宋体"/>
                <w:color w:val="000000"/>
                <w:szCs w:val="21"/>
              </w:rPr>
            </w:pPr>
            <w:r>
              <w:rPr>
                <w:rFonts w:hint="eastAsia" w:ascii="宋体" w:hAnsi="宋体" w:cs="宋体"/>
                <w:sz w:val="21"/>
                <w:szCs w:val="21"/>
                <w:lang w:val="en-US" w:eastAsia="zh-CN"/>
              </w:rPr>
              <w:t>3.中标方须承担开展以上服务内容的实施费用。</w:t>
            </w:r>
          </w:p>
        </w:tc>
        <w:tc>
          <w:tcPr>
            <w:tcW w:w="2976" w:type="dxa"/>
            <w:tcBorders>
              <w:top w:val="single" w:color="auto" w:sz="4" w:space="0"/>
              <w:left w:val="single" w:color="auto" w:sz="4" w:space="0"/>
              <w:bottom w:val="single" w:color="auto" w:sz="4" w:space="0"/>
              <w:right w:val="single" w:color="auto" w:sz="4" w:space="0"/>
            </w:tcBorders>
            <w:vAlign w:val="center"/>
          </w:tcPr>
          <w:p w14:paraId="0D0F8BE1">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580142FB">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230E0E72">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0290BDCA">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6C9517A3">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六</w:t>
            </w:r>
            <w:r>
              <w:rPr>
                <w:rFonts w:hint="eastAsia" w:ascii="宋体" w:hAnsi="宋体" w:eastAsia="宋体" w:cs="宋体"/>
                <w:sz w:val="21"/>
                <w:szCs w:val="21"/>
                <w:lang w:eastAsia="zh-CN"/>
              </w:rPr>
              <w:t>）</w:t>
            </w:r>
            <w:r>
              <w:rPr>
                <w:rFonts w:hint="eastAsia" w:ascii="宋体" w:hAnsi="宋体" w:eastAsia="宋体" w:cs="宋体"/>
                <w:sz w:val="21"/>
                <w:szCs w:val="21"/>
              </w:rPr>
              <w:t>中国文化体验活动</w:t>
            </w:r>
          </w:p>
          <w:p w14:paraId="3B3D98FA">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活动目标：帮助学员了解中国文化与深圳科创成就；</w:t>
            </w:r>
          </w:p>
          <w:p w14:paraId="08F0378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活动形式：参观具有代表性的科技企业展厅、创新街区、文化地标等（如华强北博物馆、前海合作区等）；</w:t>
            </w:r>
          </w:p>
          <w:p w14:paraId="3250536C">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方案要求：提前10个工作日提交策划方案，经采购方审核；</w:t>
            </w:r>
          </w:p>
          <w:p w14:paraId="3C5F17E1">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安全与文化：充分考虑安全、风俗与信仰问题。</w:t>
            </w:r>
          </w:p>
          <w:p w14:paraId="40D4BAD9">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default" w:ascii="宋体" w:hAnsi="宋体" w:cs="宋体"/>
                <w:color w:val="000000"/>
                <w:szCs w:val="21"/>
              </w:rPr>
            </w:pPr>
            <w:r>
              <w:rPr>
                <w:rFonts w:hint="eastAsia" w:ascii="宋体" w:hAnsi="宋体" w:cs="宋体"/>
                <w:sz w:val="21"/>
                <w:szCs w:val="21"/>
                <w:lang w:val="en-US" w:eastAsia="zh-CN"/>
              </w:rPr>
              <w:t>5.中标方须承担开展以上服务内容的实施费用。</w:t>
            </w:r>
          </w:p>
        </w:tc>
        <w:tc>
          <w:tcPr>
            <w:tcW w:w="2976" w:type="dxa"/>
            <w:tcBorders>
              <w:top w:val="single" w:color="auto" w:sz="4" w:space="0"/>
              <w:left w:val="single" w:color="auto" w:sz="4" w:space="0"/>
              <w:bottom w:val="single" w:color="auto" w:sz="4" w:space="0"/>
              <w:right w:val="single" w:color="auto" w:sz="4" w:space="0"/>
            </w:tcBorders>
            <w:vAlign w:val="center"/>
          </w:tcPr>
          <w:p w14:paraId="09B19C74">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2D5EBA8E">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17E4C0F6">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4E3E732A">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41BE1085">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七</w:t>
            </w:r>
            <w:r>
              <w:rPr>
                <w:rFonts w:hint="eastAsia" w:ascii="宋体" w:hAnsi="宋体" w:eastAsia="宋体" w:cs="宋体"/>
                <w:sz w:val="21"/>
                <w:szCs w:val="21"/>
                <w:lang w:eastAsia="zh-CN"/>
              </w:rPr>
              <w:t>）</w:t>
            </w:r>
            <w:r>
              <w:rPr>
                <w:rFonts w:hint="eastAsia" w:ascii="宋体" w:hAnsi="宋体" w:eastAsia="宋体" w:cs="宋体"/>
                <w:sz w:val="21"/>
                <w:szCs w:val="21"/>
              </w:rPr>
              <w:t>沙特阶段工作坊专项安排</w:t>
            </w:r>
          </w:p>
          <w:p w14:paraId="449B9278">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目标：安排专业导师赴沙特进行为期2天的工作坊，帮助沙特科技创新项目团队明确产业化策略，提升深圳阶段对接效率；</w:t>
            </w:r>
          </w:p>
          <w:p w14:paraId="180CBF30">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微软雅黑" w:hAnsi="微软雅黑" w:eastAsia="微软雅黑" w:cs="微软雅黑"/>
                <w:sz w:val="21"/>
                <w:szCs w:val="21"/>
                <w:lang w:val="en-US" w:eastAsia="zh-CN"/>
              </w:rPr>
              <w:t>★</w:t>
            </w:r>
            <w:r>
              <w:rPr>
                <w:rFonts w:hint="eastAsia" w:ascii="宋体" w:hAnsi="宋体" w:eastAsia="宋体" w:cs="宋体"/>
                <w:sz w:val="21"/>
                <w:szCs w:val="21"/>
              </w:rPr>
              <w:t>课程语言：全英文</w:t>
            </w:r>
            <w:r>
              <w:rPr>
                <w:rFonts w:hint="eastAsia" w:ascii="宋体" w:hAnsi="宋体" w:cs="宋体"/>
                <w:sz w:val="21"/>
                <w:szCs w:val="21"/>
                <w:lang w:eastAsia="zh-CN"/>
              </w:rPr>
              <w:t>，</w:t>
            </w:r>
            <w:r>
              <w:rPr>
                <w:rFonts w:hint="eastAsia" w:ascii="宋体" w:hAnsi="宋体" w:cs="宋体"/>
                <w:sz w:val="21"/>
                <w:szCs w:val="21"/>
                <w:lang w:val="en-US" w:eastAsia="zh-CN"/>
              </w:rPr>
              <w:t>不得配备翻译</w:t>
            </w:r>
            <w:r>
              <w:rPr>
                <w:rFonts w:hint="eastAsia" w:ascii="宋体" w:hAnsi="宋体" w:eastAsia="宋体" w:cs="宋体"/>
                <w:sz w:val="21"/>
                <w:szCs w:val="21"/>
              </w:rPr>
              <w:t>；</w:t>
            </w:r>
          </w:p>
          <w:p w14:paraId="756DE788">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rPr>
              <w:t>内容模块：</w:t>
            </w:r>
          </w:p>
          <w:p w14:paraId="1226FD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商业模式设计培训：讲授科技项目商业模式画布、价值主张设计等；</w:t>
            </w:r>
          </w:p>
          <w:p w14:paraId="7C4939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一对一产业化辅导：每项目30–60分钟，梳理：</w:t>
            </w:r>
          </w:p>
          <w:p w14:paraId="4875C769">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840" w:leftChars="40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 技术优势与壁垒；</w:t>
            </w:r>
          </w:p>
          <w:p w14:paraId="1C459FB4">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840" w:leftChars="40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 中国同类技术发展水平；</w:t>
            </w:r>
          </w:p>
          <w:p w14:paraId="47BD7285">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840" w:leftChars="40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 产业化面临的问题及核心诉求；</w:t>
            </w:r>
          </w:p>
          <w:p w14:paraId="0EB443D7">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840" w:leftChars="40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 与粤港澳大湾区合作目标、所需资源（技术合作、产业合作、供应链等）；</w:t>
            </w:r>
          </w:p>
          <w:p w14:paraId="676B42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right="0" w:firstLine="1050" w:firstLineChars="5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首次项目路演与点评：5–8分钟路演 + 导师团书面反馈；</w:t>
            </w:r>
          </w:p>
          <w:p w14:paraId="577BF6DA">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 成果交付：整理《项目资源需求清单》供深圳阶段使用；</w:t>
            </w:r>
          </w:p>
          <w:p w14:paraId="099E480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 导师要求：至少2名具备跨境辅导经验的导师，具备海外背景者优先。</w:t>
            </w:r>
          </w:p>
          <w:p w14:paraId="687CBB0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default" w:ascii="宋体" w:hAnsi="宋体" w:cs="宋体"/>
                <w:color w:val="000000"/>
                <w:szCs w:val="21"/>
              </w:rPr>
            </w:pPr>
            <w:r>
              <w:rPr>
                <w:rFonts w:hint="eastAsia" w:ascii="宋体" w:hAnsi="宋体" w:cs="宋体"/>
                <w:sz w:val="21"/>
                <w:szCs w:val="21"/>
                <w:lang w:val="en-US" w:eastAsia="zh-CN"/>
              </w:rPr>
              <w:t>4.中标方须承担开展以上服务内容的实施费用。</w:t>
            </w:r>
          </w:p>
        </w:tc>
        <w:tc>
          <w:tcPr>
            <w:tcW w:w="2976" w:type="dxa"/>
            <w:tcBorders>
              <w:top w:val="single" w:color="auto" w:sz="4" w:space="0"/>
              <w:left w:val="single" w:color="auto" w:sz="4" w:space="0"/>
              <w:bottom w:val="single" w:color="auto" w:sz="4" w:space="0"/>
              <w:right w:val="single" w:color="auto" w:sz="4" w:space="0"/>
            </w:tcBorders>
            <w:vAlign w:val="center"/>
          </w:tcPr>
          <w:p w14:paraId="7FA705A2">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3BE84A2D">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4C3683E9">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699D5CCD">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455A081A">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八</w:t>
            </w:r>
            <w:r>
              <w:rPr>
                <w:rFonts w:hint="eastAsia" w:ascii="宋体" w:hAnsi="宋体" w:eastAsia="宋体" w:cs="宋体"/>
                <w:sz w:val="21"/>
                <w:szCs w:val="21"/>
                <w:lang w:eastAsia="zh-CN"/>
              </w:rPr>
              <w:t>）</w:t>
            </w:r>
            <w:r>
              <w:rPr>
                <w:rFonts w:hint="eastAsia" w:ascii="宋体" w:hAnsi="宋体" w:eastAsia="宋体" w:cs="宋体"/>
                <w:sz w:val="21"/>
                <w:szCs w:val="21"/>
              </w:rPr>
              <w:t>资源精准对接服务</w:t>
            </w:r>
          </w:p>
          <w:p w14:paraId="5FE4FCB8">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目标：推动项目与大湾区创新资源真实链接；</w:t>
            </w:r>
          </w:p>
          <w:p w14:paraId="23FD0D32">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对接范围（为每个沙特科技创新项目至少匹配1类）：</w:t>
            </w:r>
          </w:p>
          <w:p w14:paraId="62FCDA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产业合作伙伴（技术应用方、制造企业）；</w:t>
            </w:r>
          </w:p>
          <w:p w14:paraId="147DE5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供应链资源（代工、材料、设备）；</w:t>
            </w:r>
          </w:p>
          <w:p w14:paraId="4EB17F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科研机构或高校（联合研发）；</w:t>
            </w:r>
          </w:p>
          <w:p w14:paraId="27D9E8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投资机构（VC/PE/产业资本）；</w:t>
            </w:r>
          </w:p>
          <w:p w14:paraId="2F3265B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对接要求：</w:t>
            </w:r>
          </w:p>
          <w:p w14:paraId="1D1832AA">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基于沙特阶段《项目资源需求清单》为每个沙特科技创新项目定制化开展资源对接服务；</w:t>
            </w:r>
          </w:p>
          <w:p w14:paraId="62E42E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 xml:space="preserve">① </w:t>
            </w:r>
            <w:r>
              <w:rPr>
                <w:rFonts w:hint="eastAsia" w:ascii="宋体" w:hAnsi="宋体" w:eastAsia="宋体" w:cs="宋体"/>
                <w:sz w:val="21"/>
                <w:szCs w:val="21"/>
              </w:rPr>
              <w:t>完成沙特阶段后，根据《项目资源需求清单》，在沙特科技创新项目来深开展深圳阶段前搜寻匹配的对接资源，并在此过程中不断与采购方、沙特科技创新项目沟通资源匹配情况，最终确认深圳阶段对接的资源清单。</w:t>
            </w:r>
          </w:p>
          <w:p w14:paraId="125295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 xml:space="preserve">② </w:t>
            </w:r>
            <w:r>
              <w:rPr>
                <w:rFonts w:hint="eastAsia" w:ascii="宋体" w:hAnsi="宋体" w:eastAsia="宋体" w:cs="宋体"/>
                <w:sz w:val="21"/>
                <w:szCs w:val="21"/>
              </w:rPr>
              <w:t>在深圳阶段为每个沙特科技创新项目与对接资源方安排正式会议或交流；</w:t>
            </w:r>
          </w:p>
          <w:p w14:paraId="0C406D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 xml:space="preserve">③ </w:t>
            </w:r>
            <w:r>
              <w:rPr>
                <w:rFonts w:hint="eastAsia" w:ascii="宋体" w:hAnsi="宋体" w:eastAsia="宋体" w:cs="宋体"/>
                <w:sz w:val="21"/>
                <w:szCs w:val="21"/>
              </w:rPr>
              <w:t>记录对接过程与初步意向；</w:t>
            </w:r>
          </w:p>
          <w:p w14:paraId="179473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2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 xml:space="preserve">④ </w:t>
            </w:r>
            <w:r>
              <w:rPr>
                <w:rFonts w:hint="eastAsia" w:ascii="宋体" w:hAnsi="宋体" w:eastAsia="宋体" w:cs="宋体"/>
                <w:sz w:val="21"/>
                <w:szCs w:val="21"/>
              </w:rPr>
              <w:t>对接过程有专人提供协助。</w:t>
            </w:r>
          </w:p>
          <w:p w14:paraId="173530CD">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 成果交付：</w:t>
            </w:r>
          </w:p>
          <w:p w14:paraId="61BAEC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①</w:t>
            </w:r>
            <w:r>
              <w:rPr>
                <w:rFonts w:hint="eastAsia" w:ascii="宋体" w:hAnsi="宋体" w:eastAsia="宋体" w:cs="宋体"/>
                <w:sz w:val="21"/>
                <w:szCs w:val="21"/>
              </w:rPr>
              <w:t>《项目资源对接成果清单》；</w:t>
            </w:r>
          </w:p>
          <w:p w14:paraId="5800A4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②</w:t>
            </w:r>
            <w:r>
              <w:rPr>
                <w:rFonts w:hint="eastAsia" w:ascii="宋体" w:hAnsi="宋体" w:eastAsia="宋体" w:cs="宋体"/>
                <w:sz w:val="21"/>
                <w:szCs w:val="21"/>
              </w:rPr>
              <w:t>对接现场照片或会议纪要；</w:t>
            </w:r>
          </w:p>
          <w:p w14:paraId="7F255E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③</w:t>
            </w:r>
            <w:r>
              <w:rPr>
                <w:rFonts w:hint="eastAsia" w:ascii="宋体" w:hAnsi="宋体" w:eastAsia="宋体" w:cs="宋体"/>
                <w:sz w:val="21"/>
                <w:szCs w:val="21"/>
              </w:rPr>
              <w:t>总结报告中单列“资源对接成效”章节。</w:t>
            </w:r>
          </w:p>
          <w:p w14:paraId="0F514F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0" w:leftChars="0" w:right="0" w:firstLine="630" w:firstLineChars="300"/>
              <w:textAlignment w:val="auto"/>
              <w:rPr>
                <w:rFonts w:hint="default" w:ascii="宋体" w:hAnsi="宋体" w:cs="宋体"/>
                <w:color w:val="000000"/>
                <w:szCs w:val="21"/>
              </w:rPr>
            </w:pPr>
            <w:r>
              <w:rPr>
                <w:rFonts w:hint="eastAsia" w:ascii="宋体" w:hAnsi="宋体" w:cs="宋体"/>
                <w:sz w:val="21"/>
                <w:szCs w:val="21"/>
                <w:lang w:val="en-US" w:eastAsia="zh-CN"/>
              </w:rPr>
              <w:t>4.中标方须承担开展以上服务内容的实施费用。</w:t>
            </w:r>
          </w:p>
        </w:tc>
        <w:tc>
          <w:tcPr>
            <w:tcW w:w="2976" w:type="dxa"/>
            <w:tcBorders>
              <w:top w:val="single" w:color="auto" w:sz="4" w:space="0"/>
              <w:left w:val="single" w:color="auto" w:sz="4" w:space="0"/>
              <w:bottom w:val="single" w:color="auto" w:sz="4" w:space="0"/>
              <w:right w:val="single" w:color="auto" w:sz="4" w:space="0"/>
            </w:tcBorders>
            <w:vAlign w:val="center"/>
          </w:tcPr>
          <w:p w14:paraId="4CEA7593">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3192FF55">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3643AFBB">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6B597D48">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7185A3D8">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九</w:t>
            </w:r>
            <w:r>
              <w:rPr>
                <w:rFonts w:hint="eastAsia" w:ascii="宋体" w:hAnsi="宋体" w:eastAsia="宋体" w:cs="宋体"/>
                <w:sz w:val="21"/>
                <w:szCs w:val="21"/>
                <w:lang w:eastAsia="zh-CN"/>
              </w:rPr>
              <w:t>）</w:t>
            </w:r>
            <w:r>
              <w:rPr>
                <w:rFonts w:hint="eastAsia" w:ascii="宋体" w:hAnsi="宋体" w:eastAsia="宋体" w:cs="宋体"/>
                <w:sz w:val="21"/>
                <w:szCs w:val="21"/>
              </w:rPr>
              <w:t>媒体与宣传</w:t>
            </w:r>
          </w:p>
          <w:p w14:paraId="793DB3DC">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素材拍摄：安排专人对该跨境加速项目全程拍摄照片及视频；</w:t>
            </w:r>
          </w:p>
          <w:p w14:paraId="176D1D7D">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宣传视频制作：制作不少于3分钟宣传视频并配有中英文字幕；</w:t>
            </w:r>
          </w:p>
          <w:p w14:paraId="6C5ACAC8">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宣传稿件：根据采购方要求准备中英文宣传稿件。</w:t>
            </w:r>
          </w:p>
          <w:p w14:paraId="39B6EACD">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default" w:ascii="宋体" w:hAnsi="宋体" w:cs="宋体"/>
                <w:color w:val="000000"/>
                <w:szCs w:val="21"/>
              </w:rPr>
            </w:pPr>
            <w:r>
              <w:rPr>
                <w:rFonts w:hint="eastAsia" w:ascii="宋体" w:hAnsi="宋体" w:cs="宋体"/>
                <w:sz w:val="21"/>
                <w:szCs w:val="21"/>
                <w:lang w:val="en-US" w:eastAsia="zh-CN"/>
              </w:rPr>
              <w:t>4.中标方须承担开展以上服务内容的实施费用。</w:t>
            </w:r>
          </w:p>
        </w:tc>
        <w:tc>
          <w:tcPr>
            <w:tcW w:w="2976" w:type="dxa"/>
            <w:tcBorders>
              <w:top w:val="single" w:color="auto" w:sz="4" w:space="0"/>
              <w:left w:val="single" w:color="auto" w:sz="4" w:space="0"/>
              <w:bottom w:val="single" w:color="auto" w:sz="4" w:space="0"/>
              <w:right w:val="single" w:color="auto" w:sz="4" w:space="0"/>
            </w:tcBorders>
            <w:vAlign w:val="center"/>
          </w:tcPr>
          <w:p w14:paraId="49128224">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91E9CDB">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5DCDB5E3">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r w14:paraId="0E276A8E">
        <w:tblPrEx>
          <w:tblCellMar>
            <w:top w:w="0" w:type="dxa"/>
            <w:left w:w="108" w:type="dxa"/>
            <w:bottom w:w="0" w:type="dxa"/>
            <w:right w:w="108" w:type="dxa"/>
          </w:tblCellMar>
        </w:tblPrEx>
        <w:trPr>
          <w:trHeight w:val="404" w:hRule="atLeast"/>
        </w:trPr>
        <w:tc>
          <w:tcPr>
            <w:tcW w:w="3111" w:type="dxa"/>
            <w:tcBorders>
              <w:top w:val="single" w:color="auto" w:sz="4" w:space="0"/>
              <w:left w:val="single" w:color="auto" w:sz="4" w:space="0"/>
              <w:bottom w:val="single" w:color="auto" w:sz="4" w:space="0"/>
              <w:right w:val="single" w:color="auto" w:sz="4" w:space="0"/>
            </w:tcBorders>
            <w:vAlign w:val="center"/>
          </w:tcPr>
          <w:p w14:paraId="2E2448EF">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十</w:t>
            </w:r>
            <w:r>
              <w:rPr>
                <w:rFonts w:hint="eastAsia" w:ascii="宋体" w:hAnsi="宋体" w:eastAsia="宋体" w:cs="宋体"/>
                <w:sz w:val="21"/>
                <w:szCs w:val="21"/>
                <w:lang w:eastAsia="zh-CN"/>
              </w:rPr>
              <w:t>）</w:t>
            </w:r>
            <w:r>
              <w:rPr>
                <w:rFonts w:hint="eastAsia" w:ascii="宋体" w:hAnsi="宋体" w:eastAsia="宋体" w:cs="宋体"/>
                <w:sz w:val="21"/>
                <w:szCs w:val="21"/>
              </w:rPr>
              <w:t>项目执行团队要求</w:t>
            </w:r>
          </w:p>
          <w:p w14:paraId="20319F33">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1. 团队构成</w:t>
            </w:r>
          </w:p>
          <w:p w14:paraId="3B0C1A4C">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42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项目经理：1名（全面协调）；</w:t>
            </w:r>
          </w:p>
          <w:p w14:paraId="107A81FE">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42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培训导师：不少于4名（主题授课）；</w:t>
            </w:r>
          </w:p>
          <w:p w14:paraId="536BC441">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42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指导教练：不少于4名（一对一辅导、路演打磨）；</w:t>
            </w:r>
          </w:p>
          <w:p w14:paraId="0A842C5A">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42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其他后勤人员：若干；</w:t>
            </w:r>
          </w:p>
          <w:p w14:paraId="1F25EF74">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42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赴沙特工作人员：不少于2人。</w:t>
            </w:r>
          </w:p>
          <w:p w14:paraId="4546B0C8">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2. 资质要求</w:t>
            </w:r>
          </w:p>
          <w:p w14:paraId="76EB9BF2">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42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项目经理：</w:t>
            </w:r>
          </w:p>
          <w:p w14:paraId="18808C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①　</w:t>
            </w:r>
            <w:r>
              <w:rPr>
                <w:rFonts w:hint="eastAsia" w:ascii="宋体" w:hAnsi="宋体" w:eastAsia="宋体" w:cs="宋体"/>
                <w:sz w:val="21"/>
                <w:szCs w:val="21"/>
              </w:rPr>
              <w:t>理工科硕士及以上学历；</w:t>
            </w:r>
          </w:p>
          <w:p w14:paraId="5711E9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②　</w:t>
            </w:r>
            <w:r>
              <w:rPr>
                <w:rFonts w:hint="eastAsia" w:ascii="宋体" w:hAnsi="宋体" w:eastAsia="宋体" w:cs="宋体"/>
                <w:sz w:val="21"/>
                <w:szCs w:val="21"/>
              </w:rPr>
              <w:t>5年以上国际商务活动组织经验；</w:t>
            </w:r>
          </w:p>
          <w:p w14:paraId="5D73B6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③　</w:t>
            </w:r>
            <w:r>
              <w:rPr>
                <w:rFonts w:hint="eastAsia" w:ascii="宋体" w:hAnsi="宋体" w:eastAsia="宋体" w:cs="宋体"/>
                <w:sz w:val="21"/>
                <w:szCs w:val="21"/>
              </w:rPr>
              <w:t>5年以上科技创新及成果转化项目服务经验；</w:t>
            </w:r>
          </w:p>
          <w:p w14:paraId="35E837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④　</w:t>
            </w:r>
            <w:r>
              <w:rPr>
                <w:rFonts w:hint="eastAsia" w:ascii="宋体" w:hAnsi="宋体" w:eastAsia="宋体" w:cs="宋体"/>
                <w:sz w:val="21"/>
                <w:szCs w:val="21"/>
              </w:rPr>
              <w:t>熟练使用英语；</w:t>
            </w:r>
          </w:p>
          <w:p w14:paraId="1A9394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⑤　</w:t>
            </w:r>
            <w:r>
              <w:rPr>
                <w:rFonts w:hint="eastAsia" w:ascii="宋体" w:hAnsi="宋体" w:eastAsia="宋体" w:cs="宋体"/>
                <w:sz w:val="21"/>
                <w:szCs w:val="21"/>
              </w:rPr>
              <w:t>每周提交进度报告并参加例会。</w:t>
            </w:r>
          </w:p>
          <w:p w14:paraId="7494CC81">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42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培训导师：</w:t>
            </w:r>
          </w:p>
          <w:p w14:paraId="1FFDD5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①　</w:t>
            </w:r>
            <w:r>
              <w:rPr>
                <w:rFonts w:hint="eastAsia" w:ascii="宋体" w:hAnsi="宋体" w:eastAsia="宋体" w:cs="宋体"/>
                <w:sz w:val="21"/>
                <w:szCs w:val="21"/>
              </w:rPr>
              <w:t>至少2名拥有博士学位或副高级职称；</w:t>
            </w:r>
          </w:p>
          <w:p w14:paraId="2F41E0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②　</w:t>
            </w:r>
            <w:r>
              <w:rPr>
                <w:rFonts w:hint="eastAsia" w:ascii="宋体" w:hAnsi="宋体" w:eastAsia="宋体" w:cs="宋体"/>
                <w:sz w:val="21"/>
                <w:szCs w:val="21"/>
              </w:rPr>
              <w:t>3年以上相关领域研究或从业经验；</w:t>
            </w:r>
          </w:p>
          <w:p w14:paraId="575E37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③　</w:t>
            </w:r>
            <w:r>
              <w:rPr>
                <w:rFonts w:hint="eastAsia" w:ascii="宋体" w:hAnsi="宋体" w:eastAsia="宋体" w:cs="宋体"/>
                <w:sz w:val="21"/>
                <w:szCs w:val="21"/>
              </w:rPr>
              <w:t>至少2名拥有高校从业经验；</w:t>
            </w:r>
          </w:p>
          <w:p w14:paraId="38C77F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2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④　</w:t>
            </w:r>
            <w:r>
              <w:rPr>
                <w:rFonts w:hint="eastAsia" w:ascii="宋体" w:hAnsi="宋体" w:eastAsia="宋体" w:cs="宋体"/>
                <w:sz w:val="21"/>
                <w:szCs w:val="21"/>
              </w:rPr>
              <w:t>具备全英文授课能力，能提供课程大纲并接受内容调整。</w:t>
            </w:r>
          </w:p>
          <w:p w14:paraId="6EE2D4B3">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420" w:right="0"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指导教练（与培训导师不可重复）：</w:t>
            </w:r>
          </w:p>
          <w:p w14:paraId="21A016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4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①　</w:t>
            </w:r>
            <w:r>
              <w:rPr>
                <w:rFonts w:hint="eastAsia" w:ascii="宋体" w:hAnsi="宋体" w:eastAsia="宋体" w:cs="宋体"/>
                <w:sz w:val="21"/>
                <w:szCs w:val="21"/>
              </w:rPr>
              <w:t>理工科背景，至少2名拥有博士学位或副教授以上职称；</w:t>
            </w:r>
          </w:p>
          <w:p w14:paraId="60557A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4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②　</w:t>
            </w:r>
            <w:r>
              <w:rPr>
                <w:rFonts w:hint="eastAsia" w:ascii="宋体" w:hAnsi="宋体" w:eastAsia="宋体" w:cs="宋体"/>
                <w:sz w:val="21"/>
                <w:szCs w:val="21"/>
              </w:rPr>
              <w:t>3年以上创业辅导或投资孵化经验；</w:t>
            </w:r>
          </w:p>
          <w:p w14:paraId="0F88C4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4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③　</w:t>
            </w:r>
            <w:r>
              <w:rPr>
                <w:rFonts w:hint="eastAsia" w:ascii="宋体" w:hAnsi="宋体" w:eastAsia="宋体" w:cs="宋体"/>
                <w:sz w:val="21"/>
                <w:szCs w:val="21"/>
              </w:rPr>
              <w:t>至少1名曾在海外科技企业担任高级管理职位；</w:t>
            </w:r>
          </w:p>
          <w:p w14:paraId="62F2CD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40" w:leftChars="0" w:right="0" w:firstLine="40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④　</w:t>
            </w:r>
            <w:r>
              <w:rPr>
                <w:rFonts w:hint="eastAsia" w:ascii="宋体" w:hAnsi="宋体" w:eastAsia="宋体" w:cs="宋体"/>
                <w:sz w:val="21"/>
                <w:szCs w:val="21"/>
              </w:rPr>
              <w:t>具备流利英文沟通能力。</w:t>
            </w:r>
          </w:p>
          <w:p w14:paraId="29355FB7">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p>
          <w:p w14:paraId="738EB6E3">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3. 团队变更与保密</w:t>
            </w:r>
          </w:p>
          <w:p w14:paraId="43330CE7">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未经采购方同意，不得更换项目经理或核心导师；</w:t>
            </w:r>
          </w:p>
          <w:p w14:paraId="4AA31920">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更换人员须提前10个工作日提交简历并获批准；</w:t>
            </w:r>
          </w:p>
          <w:p w14:paraId="459D8D00">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所有成员须签署《信息安全保密协议》，保密期不少于1年。</w:t>
            </w:r>
          </w:p>
          <w:p w14:paraId="1AFDB49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p>
          <w:p w14:paraId="522E38CC">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 4. 安全生产责任</w:t>
            </w:r>
          </w:p>
          <w:p w14:paraId="55B9005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 中标方须为所有外派人员购买境外人身意外险（保额≥100万元）；</w:t>
            </w:r>
          </w:p>
          <w:p w14:paraId="0E4EDA13">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ascii="宋体" w:hAnsi="宋体" w:eastAsia="宋体" w:cs="宋体"/>
                <w:color w:val="000000"/>
                <w:szCs w:val="21"/>
                <w:lang w:eastAsia="zh-CN"/>
              </w:rPr>
            </w:pPr>
            <w:r>
              <w:rPr>
                <w:rFonts w:hint="eastAsia" w:ascii="宋体" w:hAnsi="宋体" w:eastAsia="宋体" w:cs="宋体"/>
                <w:sz w:val="21"/>
                <w:szCs w:val="21"/>
              </w:rPr>
              <w:t>- 服务期间发生意外，由中标方自行承担责任</w:t>
            </w:r>
            <w:r>
              <w:rPr>
                <w:rFonts w:hint="eastAsia" w:ascii="宋体" w:hAnsi="宋体" w:cs="宋体"/>
                <w:sz w:val="21"/>
                <w:szCs w:val="21"/>
                <w:lang w:eastAsia="zh-CN"/>
              </w:rPr>
              <w:t>。</w:t>
            </w:r>
          </w:p>
        </w:tc>
        <w:tc>
          <w:tcPr>
            <w:tcW w:w="2976" w:type="dxa"/>
            <w:tcBorders>
              <w:top w:val="single" w:color="auto" w:sz="4" w:space="0"/>
              <w:left w:val="single" w:color="auto" w:sz="4" w:space="0"/>
              <w:bottom w:val="single" w:color="auto" w:sz="4" w:space="0"/>
              <w:right w:val="single" w:color="auto" w:sz="4" w:space="0"/>
            </w:tcBorders>
            <w:vAlign w:val="center"/>
          </w:tcPr>
          <w:p w14:paraId="536CAB56">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68D9FAA2">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c>
          <w:tcPr>
            <w:tcW w:w="840" w:type="dxa"/>
            <w:tcBorders>
              <w:top w:val="single" w:color="auto" w:sz="4" w:space="0"/>
              <w:left w:val="single" w:color="auto" w:sz="4" w:space="0"/>
              <w:bottom w:val="single" w:color="auto" w:sz="4" w:space="0"/>
              <w:right w:val="single" w:color="auto" w:sz="4" w:space="0"/>
            </w:tcBorders>
            <w:vAlign w:val="center"/>
          </w:tcPr>
          <w:p w14:paraId="3C1DF5DA">
            <w:pPr>
              <w:keepNext w:val="0"/>
              <w:keepLines w:val="0"/>
              <w:widowControl/>
              <w:suppressLineNumbers w:val="0"/>
              <w:spacing w:before="0" w:beforeAutospacing="0" w:after="0" w:afterAutospacing="0" w:line="360" w:lineRule="auto"/>
              <w:ind w:left="0" w:right="0"/>
              <w:jc w:val="left"/>
              <w:rPr>
                <w:rFonts w:hint="default" w:ascii="宋体" w:hAnsi="宋体" w:cs="宋体"/>
                <w:color w:val="000000"/>
                <w:kern w:val="0"/>
                <w:szCs w:val="21"/>
                <w:lang w:bidi="ar"/>
              </w:rPr>
            </w:pPr>
          </w:p>
        </w:tc>
      </w:tr>
    </w:tbl>
    <w:p w14:paraId="6CE4E10C">
      <w:pPr>
        <w:rPr>
          <w:szCs w:val="21"/>
        </w:rPr>
      </w:pPr>
      <w:r>
        <w:rPr>
          <w:rFonts w:hint="eastAsia"/>
          <w:szCs w:val="21"/>
        </w:rPr>
        <w:t>证明资料【如有的话，提供的证明资料应统一编号（排序），格式自定】</w:t>
      </w:r>
      <w:bookmarkEnd w:id="44"/>
      <w:r>
        <w:rPr>
          <w:rFonts w:hint="eastAsia"/>
          <w:szCs w:val="21"/>
        </w:rPr>
        <w:t>：</w:t>
      </w:r>
    </w:p>
    <w:p w14:paraId="3CAC1558">
      <w:pPr>
        <w:ind w:firstLine="422" w:firstLineChars="200"/>
        <w:rPr>
          <w:b/>
          <w:szCs w:val="21"/>
        </w:rPr>
      </w:pPr>
    </w:p>
    <w:p w14:paraId="71F14011">
      <w:pPr>
        <w:ind w:firstLine="420" w:firstLineChars="200"/>
        <w:rPr>
          <w:bCs/>
          <w:szCs w:val="21"/>
        </w:rPr>
      </w:pPr>
      <w:r>
        <w:rPr>
          <w:rFonts w:hint="eastAsia"/>
          <w:bCs/>
          <w:szCs w:val="21"/>
        </w:rPr>
        <w:t>《技术要求偏离表》编制指引：</w:t>
      </w:r>
    </w:p>
    <w:p w14:paraId="3ED0D8F1">
      <w:pPr>
        <w:ind w:firstLine="420" w:firstLineChars="200"/>
        <w:rPr>
          <w:bCs/>
          <w:szCs w:val="21"/>
        </w:rPr>
      </w:pPr>
      <w:r>
        <w:rPr>
          <w:rFonts w:hint="eastAsia"/>
          <w:bCs/>
          <w:szCs w:val="21"/>
        </w:rPr>
        <w:t>1、技术要求偏离表的招标技术要求等栏目</w:t>
      </w:r>
      <w:bookmarkStart w:id="45" w:name="_Hlk72094407"/>
      <w:r>
        <w:rPr>
          <w:rFonts w:hint="eastAsia"/>
          <w:bCs/>
          <w:szCs w:val="21"/>
        </w:rPr>
        <w:t>对应“用户需求书”中的“技术要求”章节</w:t>
      </w:r>
      <w:bookmarkEnd w:id="45"/>
      <w:r>
        <w:rPr>
          <w:rFonts w:hint="eastAsia"/>
          <w:bCs/>
          <w:szCs w:val="21"/>
        </w:rPr>
        <w:t>相关内容。</w:t>
      </w:r>
    </w:p>
    <w:p w14:paraId="07DEABB4">
      <w:pPr>
        <w:pStyle w:val="39"/>
        <w:widowControl/>
        <w:spacing w:beforeAutospacing="0" w:afterAutospacing="0"/>
        <w:ind w:firstLine="420" w:firstLineChars="200"/>
        <w:jc w:val="both"/>
        <w:outlineLvl w:val="1"/>
        <w:rPr>
          <w:bCs/>
          <w:color w:val="FF0000"/>
          <w:kern w:val="2"/>
          <w:sz w:val="21"/>
          <w:szCs w:val="21"/>
        </w:rPr>
      </w:pPr>
      <w:r>
        <w:rPr>
          <w:bCs/>
          <w:sz w:val="21"/>
          <w:szCs w:val="21"/>
        </w:rPr>
        <w:t>2</w:t>
      </w:r>
      <w:r>
        <w:rPr>
          <w:rFonts w:hint="eastAsia"/>
          <w:bCs/>
          <w:sz w:val="21"/>
          <w:szCs w:val="21"/>
        </w:rPr>
        <w:t>、“投标技术响应”一栏必须一一对照“招标技术要求”，详细填写投标人自身投标的具体参数，而不能不合理照搬照抄招标文件的技术要求，以体现具体响应情况。</w:t>
      </w:r>
      <w:r>
        <w:rPr>
          <w:rFonts w:hint="eastAsia"/>
          <w:bCs/>
          <w:color w:val="FF0000"/>
          <w:kern w:val="2"/>
          <w:sz w:val="21"/>
          <w:szCs w:val="21"/>
        </w:rPr>
        <w:t>“投标技术响应”必须与所投产品客观实际保持一致，响应不实且情节严重的，经查实，将依法记入供应商诚信档案或受到行政处罚。</w:t>
      </w:r>
    </w:p>
    <w:p w14:paraId="5A065C53">
      <w:pPr>
        <w:ind w:firstLine="420" w:firstLineChars="200"/>
        <w:rPr>
          <w:bCs/>
          <w:color w:val="FF0000"/>
          <w:szCs w:val="21"/>
        </w:rPr>
      </w:pPr>
      <w:r>
        <w:rPr>
          <w:bCs/>
          <w:szCs w:val="21"/>
        </w:rPr>
        <w:t>3</w:t>
      </w:r>
      <w:r>
        <w:rPr>
          <w:rFonts w:hint="eastAsia"/>
          <w:bCs/>
          <w:szCs w:val="21"/>
        </w:rPr>
        <w:t>、</w:t>
      </w:r>
      <w:bookmarkStart w:id="46" w:name="_Hlk72158270"/>
      <w:r>
        <w:rPr>
          <w:rFonts w:hint="eastAsia"/>
          <w:bCs/>
          <w:szCs w:val="21"/>
        </w:rPr>
        <w:t>“偏离情况”</w:t>
      </w:r>
      <w:bookmarkEnd w:id="46"/>
      <w:r>
        <w:rPr>
          <w:rFonts w:hint="eastAsia"/>
          <w:bCs/>
          <w:szCs w:val="21"/>
        </w:rPr>
        <w:t>一栏填写如实填写“正偏离”、“负偏离”或“无偏离”，其中：</w:t>
      </w:r>
      <w:bookmarkStart w:id="47" w:name="_Hlk72093866"/>
      <w:r>
        <w:rPr>
          <w:rFonts w:hint="eastAsia"/>
          <w:bCs/>
          <w:szCs w:val="21"/>
        </w:rPr>
        <w:t>“正偏离”表示“投标响应优于招标技术要求”，“负偏离”表示“投标响应不满足招标技术要求”，“无偏离”表示“投标响应与招标技术要求一致”</w:t>
      </w:r>
      <w:bookmarkEnd w:id="47"/>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2E2D1E9A">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CC8FACE">
      <w:pPr>
        <w:ind w:firstLine="420" w:firstLineChars="200"/>
        <w:rPr>
          <w:bCs/>
          <w:szCs w:val="21"/>
        </w:rPr>
      </w:pPr>
      <w:r>
        <w:rPr>
          <w:rFonts w:hint="eastAsia"/>
          <w:bCs/>
          <w:szCs w:val="21"/>
        </w:rPr>
        <w:t>5、</w:t>
      </w:r>
      <w:bookmarkStart w:id="48" w:name="_Hlk72096106"/>
      <w:r>
        <w:rPr>
          <w:rFonts w:hint="eastAsia"/>
          <w:bCs/>
          <w:szCs w:val="21"/>
        </w:rPr>
        <w:t>证明资料条款响应要求</w:t>
      </w:r>
      <w:bookmarkEnd w:id="48"/>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9"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0" w:name="_Hlk73558164"/>
      <w:r>
        <w:rPr>
          <w:rFonts w:hint="eastAsia"/>
          <w:bCs/>
          <w:szCs w:val="21"/>
        </w:rPr>
        <w:t>且投标人在“偏离情况”一栏响应为“正偏离”或“无偏离”的，经评审委员会认定，将判定为负偏离。</w:t>
      </w:r>
      <w:bookmarkEnd w:id="49"/>
      <w:bookmarkEnd w:id="50"/>
    </w:p>
    <w:p w14:paraId="5D714BB3">
      <w:pPr>
        <w:ind w:firstLine="420" w:firstLineChars="200"/>
        <w:rPr>
          <w:bCs/>
          <w:szCs w:val="21"/>
        </w:rPr>
      </w:pPr>
      <w:r>
        <w:rPr>
          <w:rFonts w:hint="eastAsia"/>
          <w:bCs/>
          <w:szCs w:val="21"/>
        </w:rPr>
        <w:t>6、</w:t>
      </w:r>
      <w:bookmarkStart w:id="51" w:name="_Hlk72096137"/>
      <w:r>
        <w:rPr>
          <w:rFonts w:hint="eastAsia"/>
          <w:bCs/>
          <w:szCs w:val="21"/>
        </w:rPr>
        <w:t>表后“证明资料”部分内容的编制</w:t>
      </w:r>
      <w:bookmarkEnd w:id="51"/>
      <w:r>
        <w:rPr>
          <w:rFonts w:hint="eastAsia"/>
          <w:bCs/>
          <w:szCs w:val="21"/>
        </w:rPr>
        <w:t>：提供的所有证明资料应当统一编号（排序），且证明资料的编号（顺序）、数量和名称（形式）均应与“说明”一栏所填内容保持一致（一一对应），以便评审委员会查看。</w:t>
      </w:r>
      <w:bookmarkStart w:id="52" w:name="_Hlk73558180"/>
      <w:r>
        <w:rPr>
          <w:rFonts w:hint="eastAsia"/>
          <w:bCs/>
          <w:szCs w:val="21"/>
        </w:rPr>
        <w:t>未按照招标文件要求在表后放置证明材料的供应商将承担不利后果，经评审委员会认定，相关技术要求将判定为负偏离。</w:t>
      </w:r>
      <w:bookmarkEnd w:id="52"/>
    </w:p>
    <w:p w14:paraId="53B5CDBD">
      <w:pPr>
        <w:ind w:firstLine="420" w:firstLineChars="200"/>
        <w:rPr>
          <w:bCs/>
          <w:szCs w:val="21"/>
        </w:rPr>
      </w:pPr>
      <w:r>
        <w:rPr>
          <w:rFonts w:hint="eastAsia"/>
          <w:bCs/>
          <w:szCs w:val="21"/>
        </w:rPr>
        <w:t>7、</w:t>
      </w:r>
      <w:bookmarkStart w:id="53" w:name="_Hlk72096176"/>
      <w:r>
        <w:rPr>
          <w:rFonts w:hint="eastAsia"/>
          <w:bCs/>
          <w:szCs w:val="21"/>
        </w:rPr>
        <w:t>证明资料的形式及其它具体要求</w:t>
      </w:r>
      <w:bookmarkEnd w:id="53"/>
      <w:r>
        <w:rPr>
          <w:rFonts w:hint="eastAsia"/>
          <w:bCs/>
          <w:szCs w:val="21"/>
        </w:rPr>
        <w:t>：</w:t>
      </w:r>
    </w:p>
    <w:p w14:paraId="1DB4EB47">
      <w:pPr>
        <w:ind w:firstLine="420" w:firstLineChars="200"/>
        <w:rPr>
          <w:bCs/>
          <w:szCs w:val="21"/>
        </w:rPr>
      </w:pPr>
      <w:r>
        <w:rPr>
          <w:rFonts w:hint="eastAsia"/>
          <w:bCs/>
          <w:szCs w:val="21"/>
        </w:rPr>
        <w:t>（1）除照片、图片（截图）及不需加盖公章的文字说明（技术说明）外，其它证明资料均要求为原件扫描件；</w:t>
      </w:r>
    </w:p>
    <w:p w14:paraId="25303DA9">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51881226">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7267887">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542841E5">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B50A3DB">
      <w:pPr>
        <w:ind w:firstLine="420" w:firstLineChars="200"/>
        <w:rPr>
          <w:bCs/>
          <w:szCs w:val="21"/>
        </w:rPr>
      </w:pPr>
      <w:r>
        <w:rPr>
          <w:rFonts w:hint="eastAsia"/>
          <w:bCs/>
          <w:szCs w:val="21"/>
        </w:rPr>
        <w:t>其它证明资料的形式要求参照以上要求执行；</w:t>
      </w:r>
    </w:p>
    <w:p w14:paraId="1C813AE7">
      <w:pPr>
        <w:ind w:firstLine="420" w:firstLineChars="200"/>
        <w:rPr>
          <w:bCs/>
          <w:szCs w:val="21"/>
        </w:rPr>
      </w:pPr>
      <w:r>
        <w:rPr>
          <w:rFonts w:hint="eastAsia"/>
          <w:bCs/>
          <w:szCs w:val="21"/>
        </w:rPr>
        <w:t>8、其它注意事项：</w:t>
      </w:r>
    </w:p>
    <w:p w14:paraId="3E44A92F">
      <w:pPr>
        <w:ind w:firstLine="420" w:firstLineChars="200"/>
        <w:rPr>
          <w:bCs/>
          <w:szCs w:val="21"/>
        </w:rPr>
      </w:pPr>
      <w:r>
        <w:rPr>
          <w:rFonts w:hint="eastAsia"/>
          <w:bCs/>
          <w:szCs w:val="21"/>
        </w:rPr>
        <w:t>（1）评审委员会有权对投标人的响应情况作出判断（评审结论）；</w:t>
      </w:r>
    </w:p>
    <w:p w14:paraId="5DC50586">
      <w:pPr>
        <w:ind w:firstLine="420" w:firstLineChars="200"/>
        <w:rPr>
          <w:rFonts w:hint="eastAsia" w:ascii="黑体" w:hAnsi="黑体" w:eastAsia="黑体" w:cs="黑体"/>
          <w:b w:val="0"/>
          <w:bCs w:val="0"/>
          <w:sz w:val="24"/>
          <w:szCs w:val="28"/>
          <w:lang w:val="en-US" w:eastAsia="zh-CN"/>
        </w:rPr>
      </w:pPr>
      <w:r>
        <w:rPr>
          <w:rFonts w:hint="eastAsia"/>
          <w:bCs/>
          <w:szCs w:val="21"/>
        </w:rPr>
        <w:t>（2）</w:t>
      </w:r>
      <w:bookmarkStart w:id="54"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54"/>
    </w:p>
    <w:p w14:paraId="2D4DACD3">
      <w:pPr>
        <w:pStyle w:val="4"/>
        <w:jc w:val="center"/>
        <w:rPr>
          <w:sz w:val="24"/>
        </w:rPr>
      </w:pPr>
      <w:r>
        <w:rPr>
          <w:rFonts w:hint="eastAsia" w:ascii="黑体" w:eastAsia="黑体"/>
          <w:b w:val="0"/>
          <w:bCs w:val="0"/>
          <w:sz w:val="24"/>
          <w:szCs w:val="20"/>
          <w:lang w:val="en-US" w:eastAsia="zh-CN"/>
        </w:rPr>
        <w:t>十</w:t>
      </w:r>
      <w:r>
        <w:rPr>
          <w:rFonts w:hint="eastAsia" w:ascii="黑体" w:eastAsia="黑体"/>
          <w:b w:val="0"/>
          <w:bCs w:val="0"/>
          <w:sz w:val="24"/>
          <w:szCs w:val="20"/>
        </w:rPr>
        <w:t>、商务要求偏离表</w:t>
      </w:r>
    </w:p>
    <w:tbl>
      <w:tblPr>
        <w:tblStyle w:val="43"/>
        <w:tblW w:w="8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2"/>
        <w:gridCol w:w="3012"/>
        <w:gridCol w:w="1150"/>
        <w:gridCol w:w="689"/>
      </w:tblGrid>
      <w:tr w14:paraId="3478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2" w:type="dxa"/>
            <w:vAlign w:val="center"/>
          </w:tcPr>
          <w:p w14:paraId="54DE0DA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招标商务需求</w:t>
            </w:r>
          </w:p>
        </w:tc>
        <w:tc>
          <w:tcPr>
            <w:tcW w:w="3012" w:type="dxa"/>
            <w:vAlign w:val="center"/>
          </w:tcPr>
          <w:p w14:paraId="27483B43">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投标商务响应</w:t>
            </w:r>
          </w:p>
        </w:tc>
        <w:tc>
          <w:tcPr>
            <w:tcW w:w="1150" w:type="dxa"/>
            <w:vAlign w:val="center"/>
          </w:tcPr>
          <w:p w14:paraId="2A01137D">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偏离情况</w:t>
            </w:r>
          </w:p>
        </w:tc>
        <w:tc>
          <w:tcPr>
            <w:tcW w:w="689" w:type="dxa"/>
            <w:vAlign w:val="center"/>
          </w:tcPr>
          <w:p w14:paraId="3D17D69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说明</w:t>
            </w:r>
          </w:p>
        </w:tc>
      </w:tr>
      <w:tr w14:paraId="27C6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191F68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845" w:leftChars="0" w:right="0" w:hanging="425" w:firstLineChars="0"/>
              <w:textAlignment w:val="auto"/>
              <w:rPr>
                <w:rFonts w:hint="eastAsia"/>
              </w:rPr>
            </w:pPr>
            <w:r>
              <w:rPr>
                <w:rFonts w:hint="eastAsia"/>
              </w:rPr>
              <w:t xml:space="preserve"> </w:t>
            </w:r>
            <w:r>
              <w:rPr>
                <w:rFonts w:hint="eastAsia" w:cs="Times New Roman"/>
                <w:kern w:val="2"/>
                <w:sz w:val="21"/>
                <w:szCs w:val="24"/>
                <w:lang w:val="en-US" w:eastAsia="zh-CN" w:bidi="ar-SA"/>
              </w:rPr>
              <w:t>（一）</w:t>
            </w:r>
            <w:r>
              <w:rPr>
                <w:rFonts w:hint="eastAsia" w:ascii="微软雅黑" w:hAnsi="微软雅黑" w:eastAsia="微软雅黑" w:cs="微软雅黑"/>
                <w:sz w:val="21"/>
                <w:szCs w:val="21"/>
                <w:lang w:val="en-US" w:eastAsia="zh-CN"/>
              </w:rPr>
              <w:t>★</w:t>
            </w:r>
            <w:r>
              <w:rPr>
                <w:rFonts w:hint="eastAsia"/>
              </w:rPr>
              <w:t>项目服务时间与实施期</w:t>
            </w:r>
          </w:p>
          <w:p w14:paraId="68FC2C6B">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rPr>
            </w:pPr>
            <w:r>
              <w:rPr>
                <w:rFonts w:hint="eastAsia"/>
              </w:rPr>
              <w:t xml:space="preserve"> </w:t>
            </w:r>
            <w:r>
              <w:rPr>
                <w:rFonts w:hint="eastAsia"/>
                <w:lang w:val="en-US" w:eastAsia="zh-CN"/>
              </w:rPr>
              <w:t>1.</w:t>
            </w:r>
            <w:r>
              <w:rPr>
                <w:rFonts w:hint="eastAsia"/>
              </w:rPr>
              <w:t>项目服务时间：合同签约日起至2025年12月30日；</w:t>
            </w:r>
          </w:p>
          <w:p w14:paraId="32FA2A73">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rPr>
            </w:pPr>
            <w:r>
              <w:rPr>
                <w:rFonts w:hint="eastAsia"/>
              </w:rPr>
              <w:t xml:space="preserve"> </w:t>
            </w:r>
            <w:r>
              <w:rPr>
                <w:rFonts w:hint="eastAsia"/>
                <w:lang w:val="en-US" w:eastAsia="zh-CN"/>
              </w:rPr>
              <w:t>2.</w:t>
            </w:r>
            <w:r>
              <w:rPr>
                <w:rFonts w:hint="eastAsia"/>
              </w:rPr>
              <w:t>项目实施期：共7天，分为两个阶段：</w:t>
            </w:r>
          </w:p>
          <w:p w14:paraId="69C4FC5E">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rPr>
            </w:pPr>
            <w:r>
              <w:rPr>
                <w:rFonts w:hint="eastAsia"/>
              </w:rPr>
              <w:t xml:space="preserve">  </w:t>
            </w:r>
            <w:r>
              <w:rPr>
                <w:rFonts w:hint="eastAsia"/>
                <w:lang w:eastAsia="zh-CN"/>
              </w:rPr>
              <w:t>（</w:t>
            </w:r>
            <w:r>
              <w:rPr>
                <w:rFonts w:hint="eastAsia"/>
                <w:lang w:val="en-US" w:eastAsia="zh-CN"/>
              </w:rPr>
              <w:t>1</w:t>
            </w:r>
            <w:r>
              <w:rPr>
                <w:rFonts w:hint="eastAsia"/>
                <w:lang w:eastAsia="zh-CN"/>
              </w:rPr>
              <w:t>）</w:t>
            </w:r>
            <w:r>
              <w:rPr>
                <w:rFonts w:hint="eastAsia"/>
              </w:rPr>
              <w:t>沙特阶段：2天，在沙特当地交付；</w:t>
            </w:r>
          </w:p>
          <w:p w14:paraId="0209C354">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rPr>
            </w:pPr>
            <w:r>
              <w:rPr>
                <w:rFonts w:hint="eastAsia"/>
              </w:rPr>
              <w:t xml:space="preserve">  </w:t>
            </w:r>
            <w:r>
              <w:rPr>
                <w:rFonts w:hint="eastAsia"/>
                <w:lang w:eastAsia="zh-CN"/>
              </w:rPr>
              <w:t>（</w:t>
            </w:r>
            <w:r>
              <w:rPr>
                <w:rFonts w:hint="eastAsia"/>
                <w:lang w:val="en-US" w:eastAsia="zh-CN"/>
              </w:rPr>
              <w:t>2</w:t>
            </w:r>
            <w:r>
              <w:rPr>
                <w:rFonts w:hint="eastAsia"/>
                <w:lang w:eastAsia="zh-CN"/>
              </w:rPr>
              <w:t>）</w:t>
            </w:r>
            <w:r>
              <w:rPr>
                <w:rFonts w:hint="eastAsia"/>
              </w:rPr>
              <w:t>深圳阶段：5天，在中国粤港澳大湾区交付；</w:t>
            </w:r>
          </w:p>
          <w:p w14:paraId="22AC232C">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具体实施日期将根据项目招募情况由采购方决定；</w:t>
            </w:r>
          </w:p>
          <w:p w14:paraId="262578AC">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default" w:ascii="宋体" w:hAnsi="宋体" w:cs="宋体"/>
                <w:szCs w:val="21"/>
              </w:rPr>
            </w:pPr>
            <w:r>
              <w:rPr>
                <w:rFonts w:hint="eastAsia"/>
                <w:lang w:eastAsia="zh-CN"/>
              </w:rPr>
              <w:t>（</w:t>
            </w:r>
            <w:r>
              <w:rPr>
                <w:rFonts w:hint="eastAsia"/>
                <w:lang w:val="en-US" w:eastAsia="zh-CN"/>
              </w:rPr>
              <w:t>4</w:t>
            </w:r>
            <w:r>
              <w:rPr>
                <w:rFonts w:hint="eastAsia"/>
                <w:lang w:eastAsia="zh-CN"/>
              </w:rPr>
              <w:t>）</w:t>
            </w:r>
            <w:r>
              <w:rPr>
                <w:rFonts w:hint="eastAsia"/>
              </w:rPr>
              <w:t>中标方须在合同签署后5日内提交详细执行计划表，包括每日行程草案、人员分工、物资准备清单等。</w:t>
            </w:r>
          </w:p>
        </w:tc>
        <w:tc>
          <w:tcPr>
            <w:tcW w:w="3012" w:type="dxa"/>
          </w:tcPr>
          <w:p w14:paraId="0C41F3C9">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5BB9D6C7">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306C220">
            <w:pPr>
              <w:keepNext w:val="0"/>
              <w:keepLines w:val="0"/>
              <w:suppressLineNumbers w:val="0"/>
              <w:spacing w:before="0" w:beforeAutospacing="0" w:after="0" w:afterAutospacing="0"/>
              <w:ind w:left="0" w:right="0"/>
              <w:rPr>
                <w:rFonts w:hint="default" w:ascii="宋体" w:hAnsi="宋体" w:cs="宋体"/>
                <w:szCs w:val="21"/>
              </w:rPr>
            </w:pPr>
          </w:p>
        </w:tc>
      </w:tr>
      <w:tr w14:paraId="3D11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0ED2EF5D">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rPr>
            </w:pPr>
            <w:r>
              <w:rPr>
                <w:rFonts w:hint="eastAsia"/>
                <w:lang w:eastAsia="zh-CN"/>
              </w:rPr>
              <w:t>（</w:t>
            </w:r>
            <w:r>
              <w:rPr>
                <w:rFonts w:hint="eastAsia"/>
                <w:lang w:val="en-US" w:eastAsia="zh-CN"/>
              </w:rPr>
              <w:t>二</w:t>
            </w:r>
            <w:r>
              <w:rPr>
                <w:rFonts w:hint="eastAsia"/>
                <w:lang w:eastAsia="zh-CN"/>
              </w:rPr>
              <w:t>）</w:t>
            </w:r>
            <w:r>
              <w:rPr>
                <w:rFonts w:hint="eastAsia"/>
              </w:rPr>
              <w:t>专项报告</w:t>
            </w:r>
          </w:p>
          <w:p w14:paraId="129EF1D5">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rPr>
            </w:pPr>
            <w:r>
              <w:rPr>
                <w:rFonts w:hint="eastAsia"/>
                <w:lang w:val="en-US" w:eastAsia="zh-CN"/>
              </w:rPr>
              <w:t>1.</w:t>
            </w:r>
            <w:r>
              <w:rPr>
                <w:rFonts w:hint="eastAsia"/>
              </w:rPr>
              <w:t>签约前：提交整体执行方案；</w:t>
            </w:r>
          </w:p>
          <w:p w14:paraId="153A6B7C">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rPr>
            </w:pPr>
            <w:r>
              <w:rPr>
                <w:rFonts w:hint="eastAsia"/>
                <w:lang w:val="en-US" w:eastAsia="zh-CN"/>
              </w:rPr>
              <w:t>2.</w:t>
            </w:r>
            <w:r>
              <w:rPr>
                <w:rFonts w:hint="eastAsia"/>
              </w:rPr>
              <w:t>开营前：提交学员基本情况与项目分析报告；</w:t>
            </w:r>
          </w:p>
          <w:p w14:paraId="0B07E078">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rPr>
            </w:pPr>
            <w:r>
              <w:rPr>
                <w:rFonts w:hint="eastAsia"/>
                <w:lang w:val="en-US" w:eastAsia="zh-CN"/>
              </w:rPr>
              <w:t>3.</w:t>
            </w:r>
            <w:r>
              <w:rPr>
                <w:rFonts w:hint="eastAsia"/>
              </w:rPr>
              <w:t>过程中：整理关键问答、建议与学员成果；</w:t>
            </w:r>
          </w:p>
          <w:p w14:paraId="66B6EED5">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default" w:ascii="宋体" w:hAnsi="宋体" w:cs="宋体"/>
                <w:szCs w:val="21"/>
              </w:rPr>
            </w:pPr>
            <w:r>
              <w:rPr>
                <w:rFonts w:hint="eastAsia"/>
                <w:lang w:val="en-US" w:eastAsia="zh-CN"/>
              </w:rPr>
              <w:t>4.</w:t>
            </w:r>
            <w:r>
              <w:rPr>
                <w:rFonts w:hint="eastAsia"/>
              </w:rPr>
              <w:t>项目结束后2周内：提交英文版项目总结与评估报告。</w:t>
            </w:r>
          </w:p>
        </w:tc>
        <w:tc>
          <w:tcPr>
            <w:tcW w:w="3012" w:type="dxa"/>
          </w:tcPr>
          <w:p w14:paraId="40B50849">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6018C0E1">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68CD1BCC">
            <w:pPr>
              <w:keepNext w:val="0"/>
              <w:keepLines w:val="0"/>
              <w:suppressLineNumbers w:val="0"/>
              <w:spacing w:before="0" w:beforeAutospacing="0" w:after="0" w:afterAutospacing="0"/>
              <w:ind w:left="0" w:right="0"/>
              <w:rPr>
                <w:rFonts w:hint="default" w:ascii="宋体" w:hAnsi="宋体" w:cs="宋体"/>
                <w:szCs w:val="21"/>
              </w:rPr>
            </w:pPr>
          </w:p>
        </w:tc>
      </w:tr>
      <w:tr w14:paraId="253C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117E389F">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rPr>
            </w:pPr>
            <w:r>
              <w:rPr>
                <w:rFonts w:hint="eastAsia"/>
              </w:rPr>
              <w:t xml:space="preserve"> </w:t>
            </w:r>
            <w:r>
              <w:rPr>
                <w:rFonts w:hint="eastAsia"/>
                <w:lang w:eastAsia="zh-CN"/>
              </w:rPr>
              <w:t>（</w:t>
            </w:r>
            <w:r>
              <w:rPr>
                <w:rFonts w:hint="eastAsia"/>
                <w:lang w:val="en-US" w:eastAsia="zh-CN"/>
              </w:rPr>
              <w:t>三</w:t>
            </w:r>
            <w:r>
              <w:rPr>
                <w:rFonts w:hint="eastAsia"/>
                <w:lang w:eastAsia="zh-CN"/>
              </w:rPr>
              <w:t>）</w:t>
            </w:r>
            <w:r>
              <w:rPr>
                <w:rFonts w:hint="eastAsia" w:ascii="微软雅黑" w:hAnsi="微软雅黑" w:eastAsia="微软雅黑" w:cs="微软雅黑"/>
                <w:sz w:val="21"/>
                <w:szCs w:val="21"/>
                <w:lang w:val="en-US" w:eastAsia="zh-CN"/>
              </w:rPr>
              <w:t>★</w:t>
            </w:r>
            <w:r>
              <w:rPr>
                <w:rFonts w:hint="eastAsia"/>
              </w:rPr>
              <w:t>项目验收</w:t>
            </w:r>
          </w:p>
          <w:p w14:paraId="59AA2D8C">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rPr>
            </w:pPr>
            <w:r>
              <w:rPr>
                <w:rFonts w:hint="eastAsia"/>
                <w:lang w:val="en-US" w:eastAsia="zh-CN"/>
              </w:rPr>
              <w:t>1.</w:t>
            </w:r>
            <w:r>
              <w:rPr>
                <w:rFonts w:hint="eastAsia"/>
              </w:rPr>
              <w:t>合同期满后1个月内，由采购方组织验收；</w:t>
            </w:r>
          </w:p>
          <w:p w14:paraId="24822BFE">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rPr>
            </w:pPr>
            <w:r>
              <w:rPr>
                <w:rFonts w:hint="eastAsia"/>
                <w:lang w:val="en-US" w:eastAsia="zh-CN"/>
              </w:rPr>
              <w:t>2.</w:t>
            </w:r>
            <w:r>
              <w:rPr>
                <w:rFonts w:hint="eastAsia"/>
              </w:rPr>
              <w:t>验收材料包括：</w:t>
            </w:r>
          </w:p>
          <w:p w14:paraId="00B628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40" w:leftChars="0" w:right="0" w:firstLine="400" w:firstLineChars="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项目总结与评估报告（英文）；</w:t>
            </w:r>
          </w:p>
          <w:p w14:paraId="012801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40" w:leftChars="0" w:right="0" w:firstLine="400" w:firstLineChars="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全过程影像资料；</w:t>
            </w:r>
          </w:p>
          <w:p w14:paraId="402C11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40" w:leftChars="0" w:right="0" w:firstLine="400" w:firstLineChars="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课程讲义、研讨纪要、学员成果；</w:t>
            </w:r>
          </w:p>
          <w:p w14:paraId="157482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40" w:leftChars="0" w:right="0" w:firstLine="400" w:firstLineChars="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资源对接清单与反馈；</w:t>
            </w:r>
          </w:p>
          <w:p w14:paraId="171A7E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93" w:afterAutospacing="0" w:line="240" w:lineRule="auto"/>
              <w:ind w:left="440" w:leftChars="0" w:right="0" w:firstLine="400" w:firstLineChars="0"/>
              <w:textAlignment w:val="auto"/>
              <w:rPr>
                <w:rFonts w:hint="default" w:ascii="宋体" w:hAnsi="宋体" w:cs="宋体"/>
                <w:szCs w:val="21"/>
              </w:rPr>
            </w:pPr>
            <w:r>
              <w:rPr>
                <w:rFonts w:hint="eastAsia"/>
                <w:lang w:eastAsia="zh-CN"/>
              </w:rPr>
              <w:t>（</w:t>
            </w:r>
            <w:r>
              <w:rPr>
                <w:rFonts w:hint="eastAsia"/>
                <w:lang w:val="en-US" w:eastAsia="zh-CN"/>
              </w:rPr>
              <w:t>5</w:t>
            </w:r>
            <w:r>
              <w:rPr>
                <w:rFonts w:hint="eastAsia"/>
                <w:lang w:eastAsia="zh-CN"/>
              </w:rPr>
              <w:t>）</w:t>
            </w:r>
            <w:r>
              <w:rPr>
                <w:rFonts w:hint="eastAsia"/>
              </w:rPr>
              <w:t>学员满意度调查结果。</w:t>
            </w:r>
          </w:p>
        </w:tc>
        <w:tc>
          <w:tcPr>
            <w:tcW w:w="3012" w:type="dxa"/>
          </w:tcPr>
          <w:p w14:paraId="5F559FED">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02F8C0FA">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DEE403B">
            <w:pPr>
              <w:keepNext w:val="0"/>
              <w:keepLines w:val="0"/>
              <w:suppressLineNumbers w:val="0"/>
              <w:spacing w:before="0" w:beforeAutospacing="0" w:after="0" w:afterAutospacing="0"/>
              <w:ind w:left="0" w:right="0"/>
              <w:rPr>
                <w:rFonts w:hint="default" w:ascii="宋体" w:hAnsi="宋体" w:cs="宋体"/>
                <w:szCs w:val="21"/>
              </w:rPr>
            </w:pPr>
          </w:p>
        </w:tc>
      </w:tr>
      <w:tr w14:paraId="7908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15B83A73">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420"/>
              <w:textAlignment w:val="auto"/>
              <w:rPr>
                <w:rFonts w:hint="eastAsia"/>
              </w:rPr>
            </w:pPr>
            <w:r>
              <w:rPr>
                <w:rFonts w:hint="eastAsia"/>
                <w:lang w:eastAsia="zh-CN"/>
              </w:rPr>
              <w:t>（</w:t>
            </w:r>
            <w:r>
              <w:rPr>
                <w:rFonts w:hint="eastAsia"/>
                <w:lang w:val="en-US" w:eastAsia="zh-CN"/>
              </w:rPr>
              <w:t>四</w:t>
            </w:r>
            <w:r>
              <w:rPr>
                <w:rFonts w:hint="eastAsia"/>
                <w:lang w:eastAsia="zh-CN"/>
              </w:rPr>
              <w:t>）</w:t>
            </w:r>
            <w:r>
              <w:rPr>
                <w:rFonts w:hint="eastAsia"/>
              </w:rPr>
              <w:t>售后服务</w:t>
            </w:r>
          </w:p>
          <w:p w14:paraId="55CE361E">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eastAsia"/>
              </w:rPr>
            </w:pPr>
            <w:r>
              <w:rPr>
                <w:rFonts w:hint="eastAsia"/>
                <w:lang w:val="en-US" w:eastAsia="zh-CN"/>
              </w:rPr>
              <w:t>1.</w:t>
            </w:r>
            <w:r>
              <w:rPr>
                <w:rFonts w:hint="eastAsia"/>
              </w:rPr>
              <w:t>分阶段提交培训、辅导、路演的阶段性报告与资料；</w:t>
            </w:r>
          </w:p>
          <w:p w14:paraId="7DE44BE4">
            <w:pPr>
              <w:keepNext w:val="0"/>
              <w:keepLines w:val="0"/>
              <w:pageBreakBefore w:val="0"/>
              <w:widowControl w:val="0"/>
              <w:suppressLineNumbers w:val="0"/>
              <w:kinsoku/>
              <w:wordWrap/>
              <w:overflowPunct/>
              <w:topLinePunct w:val="0"/>
              <w:autoSpaceDE/>
              <w:autoSpaceDN/>
              <w:bidi w:val="0"/>
              <w:adjustRightInd/>
              <w:snapToGrid/>
              <w:spacing w:before="0" w:beforeAutospacing="0" w:after="93" w:afterAutospacing="0" w:line="240" w:lineRule="auto"/>
              <w:ind w:left="0" w:right="0" w:firstLine="630" w:firstLineChars="300"/>
              <w:textAlignment w:val="auto"/>
              <w:rPr>
                <w:rFonts w:hint="default" w:ascii="宋体" w:hAnsi="宋体" w:cs="宋体"/>
                <w:szCs w:val="21"/>
              </w:rPr>
            </w:pPr>
            <w:r>
              <w:rPr>
                <w:rFonts w:hint="eastAsia"/>
                <w:lang w:val="en-US" w:eastAsia="zh-CN"/>
              </w:rPr>
              <w:t>2.</w:t>
            </w:r>
            <w:r>
              <w:rPr>
                <w:rFonts w:hint="eastAsia"/>
              </w:rPr>
              <w:t>配合采购方完成宣传、归档与后续跟踪工作。</w:t>
            </w:r>
          </w:p>
        </w:tc>
        <w:tc>
          <w:tcPr>
            <w:tcW w:w="3012" w:type="dxa"/>
          </w:tcPr>
          <w:p w14:paraId="2DF209A8">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6D7B0224">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31E2F93D">
            <w:pPr>
              <w:keepNext w:val="0"/>
              <w:keepLines w:val="0"/>
              <w:suppressLineNumbers w:val="0"/>
              <w:spacing w:before="0" w:beforeAutospacing="0" w:after="0" w:afterAutospacing="0"/>
              <w:ind w:left="0" w:right="0"/>
              <w:rPr>
                <w:rFonts w:hint="default" w:ascii="宋体" w:hAnsi="宋体" w:cs="宋体"/>
                <w:szCs w:val="21"/>
              </w:rPr>
            </w:pPr>
          </w:p>
        </w:tc>
      </w:tr>
      <w:tr w14:paraId="0554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92" w:type="dxa"/>
          </w:tcPr>
          <w:p w14:paraId="4B66C46D">
            <w:pPr>
              <w:keepNext w:val="0"/>
              <w:keepLines w:val="0"/>
              <w:suppressLineNumbers w:val="0"/>
              <w:spacing w:before="0" w:beforeAutospacing="0" w:after="93" w:afterAutospacing="0" w:line="360" w:lineRule="auto"/>
              <w:ind w:left="0" w:right="0" w:firstLine="0" w:firstLineChars="0"/>
              <w:rPr>
                <w:rFonts w:hint="eastAsia"/>
                <w:lang w:val="en-US" w:eastAsia="zh-CN"/>
              </w:rPr>
            </w:pPr>
            <w:r>
              <w:rPr>
                <w:rFonts w:hint="eastAsia"/>
                <w:lang w:val="en-US" w:eastAsia="zh-CN"/>
              </w:rPr>
              <w:t xml:space="preserve"> ★</w:t>
            </w:r>
            <w:r>
              <w:rPr>
                <w:rFonts w:hint="eastAsia"/>
                <w:lang w:eastAsia="zh-CN"/>
              </w:rPr>
              <w:t>（</w:t>
            </w:r>
            <w:r>
              <w:rPr>
                <w:rFonts w:hint="eastAsia"/>
                <w:lang w:val="en-US" w:eastAsia="zh-CN"/>
              </w:rPr>
              <w:t>五</w:t>
            </w:r>
            <w:r>
              <w:rPr>
                <w:rFonts w:hint="eastAsia"/>
                <w:lang w:eastAsia="zh-CN"/>
              </w:rPr>
              <w:t>）</w:t>
            </w:r>
            <w:r>
              <w:rPr>
                <w:rFonts w:hint="eastAsia"/>
                <w:lang w:val="en-US" w:eastAsia="zh-CN"/>
              </w:rPr>
              <w:t>付款方式</w:t>
            </w:r>
          </w:p>
          <w:p w14:paraId="33C9FEDC">
            <w:pPr>
              <w:keepNext w:val="0"/>
              <w:keepLines w:val="0"/>
              <w:suppressLineNumbers w:val="0"/>
              <w:spacing w:before="0" w:beforeAutospacing="0" w:after="93" w:afterAutospacing="0" w:line="360" w:lineRule="auto"/>
              <w:ind w:left="0" w:right="0" w:firstLine="630" w:firstLineChars="300"/>
              <w:rPr>
                <w:rFonts w:hint="default" w:ascii="宋体" w:hAnsi="宋体" w:cs="宋体"/>
                <w:szCs w:val="21"/>
              </w:rPr>
            </w:pPr>
            <w:r>
              <w:rPr>
                <w:rFonts w:hint="eastAsia"/>
                <w:lang w:val="en-US" w:eastAsia="zh-CN"/>
              </w:rPr>
              <w:t>合约签订后10个工作日内支付30%，项目验收后10个工作日内支付剩余70%。</w:t>
            </w:r>
          </w:p>
        </w:tc>
        <w:tc>
          <w:tcPr>
            <w:tcW w:w="3012" w:type="dxa"/>
          </w:tcPr>
          <w:p w14:paraId="2BAE9EB5">
            <w:pPr>
              <w:keepNext w:val="0"/>
              <w:keepLines w:val="0"/>
              <w:suppressLineNumbers w:val="0"/>
              <w:spacing w:before="0" w:beforeAutospacing="0" w:after="0" w:afterAutospacing="0"/>
              <w:ind w:left="0" w:right="0"/>
              <w:rPr>
                <w:rFonts w:hint="default" w:ascii="宋体" w:hAnsi="宋体" w:cs="宋体"/>
                <w:szCs w:val="21"/>
              </w:rPr>
            </w:pPr>
          </w:p>
        </w:tc>
        <w:tc>
          <w:tcPr>
            <w:tcW w:w="1150" w:type="dxa"/>
          </w:tcPr>
          <w:p w14:paraId="0EB6299C">
            <w:pPr>
              <w:keepNext w:val="0"/>
              <w:keepLines w:val="0"/>
              <w:suppressLineNumbers w:val="0"/>
              <w:spacing w:before="0" w:beforeAutospacing="0" w:after="0" w:afterAutospacing="0"/>
              <w:ind w:left="0" w:right="0"/>
              <w:rPr>
                <w:rFonts w:hint="default" w:ascii="宋体" w:hAnsi="宋体" w:cs="宋体"/>
                <w:szCs w:val="21"/>
              </w:rPr>
            </w:pPr>
          </w:p>
        </w:tc>
        <w:tc>
          <w:tcPr>
            <w:tcW w:w="689" w:type="dxa"/>
          </w:tcPr>
          <w:p w14:paraId="0ABAA124">
            <w:pPr>
              <w:keepNext w:val="0"/>
              <w:keepLines w:val="0"/>
              <w:suppressLineNumbers w:val="0"/>
              <w:spacing w:before="0" w:beforeAutospacing="0" w:after="0" w:afterAutospacing="0"/>
              <w:ind w:left="0" w:right="0"/>
              <w:rPr>
                <w:rFonts w:hint="default" w:ascii="宋体" w:hAnsi="宋体" w:cs="宋体"/>
                <w:szCs w:val="21"/>
              </w:rPr>
            </w:pPr>
          </w:p>
        </w:tc>
      </w:tr>
    </w:tbl>
    <w:p w14:paraId="511EBBEE">
      <w:pPr>
        <w:ind w:firstLine="420" w:firstLineChars="200"/>
        <w:rPr>
          <w:bCs/>
          <w:szCs w:val="21"/>
        </w:rPr>
      </w:pPr>
      <w:r>
        <w:rPr>
          <w:rFonts w:hint="eastAsia"/>
          <w:bCs/>
          <w:szCs w:val="21"/>
        </w:rPr>
        <w:t>《商务要求偏离表》编制指引：</w:t>
      </w:r>
    </w:p>
    <w:p w14:paraId="2C5B71AE">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6172C2FD">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10F902A4">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23D182A5">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63E7A620">
      <w:pPr>
        <w:ind w:firstLine="420" w:firstLineChars="200"/>
        <w:rPr>
          <w:bCs/>
          <w:szCs w:val="21"/>
        </w:rPr>
      </w:pPr>
      <w:r>
        <w:rPr>
          <w:rFonts w:hint="eastAsia"/>
          <w:bCs/>
          <w:szCs w:val="21"/>
        </w:rPr>
        <w:t>4、带★号条款为不可偏离条款，如未响应或出现负偏离的，将作投标无效处理。</w:t>
      </w:r>
    </w:p>
    <w:p w14:paraId="19D12074">
      <w:pPr>
        <w:rPr>
          <w:rFonts w:hint="eastAsia" w:ascii="黑体" w:hAnsi="黑体" w:eastAsia="黑体" w:cs="黑体"/>
          <w:b w:val="0"/>
          <w:bCs w:val="0"/>
          <w:sz w:val="24"/>
          <w:szCs w:val="28"/>
          <w:lang w:val="en-US" w:eastAsia="zh-CN"/>
        </w:rPr>
      </w:pPr>
      <w:r>
        <w:rPr>
          <w:rFonts w:hint="eastAsia" w:ascii="黑体" w:hAnsi="黑体" w:eastAsia="黑体" w:cs="黑体"/>
          <w:b w:val="0"/>
          <w:bCs w:val="0"/>
          <w:sz w:val="24"/>
          <w:szCs w:val="28"/>
          <w:lang w:val="en-US" w:eastAsia="zh-CN"/>
        </w:rPr>
        <w:br w:type="page"/>
      </w:r>
    </w:p>
    <w:p w14:paraId="0CF2F121">
      <w:pPr>
        <w:pStyle w:val="4"/>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、实施方案（格式自定）</w:t>
      </w:r>
    </w:p>
    <w:p w14:paraId="245AAF99">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DF58723">
      <w:pPr>
        <w:pStyle w:val="4"/>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、项目重点难点分析、应对措施及相关的合理化建议（格式自定）</w:t>
      </w:r>
    </w:p>
    <w:p w14:paraId="4AC0FF41">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CF72D35">
      <w:pPr>
        <w:pStyle w:val="7"/>
        <w:ind w:firstLine="0"/>
        <w:rPr>
          <w:rFonts w:asciiTheme="minorEastAsia" w:hAnsiTheme="minorEastAsia" w:eastAsiaTheme="minorEastAsia" w:cstheme="minorEastAsia"/>
          <w:sz w:val="24"/>
          <w:highlight w:val="yellow"/>
        </w:rPr>
      </w:pPr>
    </w:p>
    <w:p w14:paraId="2CF4A53F">
      <w:pPr>
        <w:pStyle w:val="4"/>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、质量（完成时间、安全、环保）保障措施及方案（格式自定）</w:t>
      </w:r>
    </w:p>
    <w:p w14:paraId="6EDE64E1">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4B6CE2B">
      <w:pPr>
        <w:pStyle w:val="7"/>
        <w:ind w:firstLine="0"/>
        <w:rPr>
          <w:rFonts w:asciiTheme="minorEastAsia" w:hAnsiTheme="minorEastAsia" w:eastAsiaTheme="minorEastAsia" w:cstheme="minorEastAsia"/>
          <w:sz w:val="24"/>
          <w:highlight w:val="yellow"/>
        </w:rPr>
      </w:pPr>
    </w:p>
    <w:p w14:paraId="73F2B77E">
      <w:pPr>
        <w:pStyle w:val="4"/>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、拟安排的项目负责人情况（仅限一人）（格式自定）</w:t>
      </w:r>
    </w:p>
    <w:p w14:paraId="568B8CE3">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AD3E0D8">
      <w:pPr>
        <w:pStyle w:val="7"/>
        <w:ind w:firstLine="0"/>
        <w:rPr>
          <w:rFonts w:asciiTheme="minorEastAsia" w:hAnsiTheme="minorEastAsia" w:eastAsiaTheme="minorEastAsia" w:cstheme="minorEastAsia"/>
          <w:sz w:val="24"/>
          <w:highlight w:val="yellow"/>
        </w:rPr>
      </w:pPr>
    </w:p>
    <w:p w14:paraId="6214CD37">
      <w:pPr>
        <w:pStyle w:val="4"/>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、项目导师情况（不含项目负责人）（格式自定）</w:t>
      </w:r>
    </w:p>
    <w:p w14:paraId="17BD2499">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14644A48">
      <w:pPr>
        <w:pStyle w:val="7"/>
        <w:spacing w:before="60" w:beforeLines="25" w:after="60" w:afterLines="25"/>
        <w:ind w:firstLine="0"/>
        <w:rPr>
          <w:rFonts w:asciiTheme="minorEastAsia" w:hAnsiTheme="minorEastAsia" w:eastAsiaTheme="minorEastAsia" w:cstheme="minorEastAsia"/>
          <w:sz w:val="24"/>
          <w:highlight w:val="yellow"/>
        </w:rPr>
      </w:pPr>
    </w:p>
    <w:p w14:paraId="766A5D3D">
      <w:pPr>
        <w:pStyle w:val="4"/>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、同类业绩（格式自定）</w:t>
      </w:r>
    </w:p>
    <w:p w14:paraId="7F9AF9D5">
      <w:pPr>
        <w:pStyle w:val="7"/>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B44EB09">
      <w:pPr>
        <w:pStyle w:val="7"/>
        <w:spacing w:before="60" w:beforeLines="25" w:after="60" w:afterLines="25"/>
        <w:ind w:firstLine="0"/>
        <w:rPr>
          <w:rFonts w:asciiTheme="minorEastAsia" w:hAnsiTheme="minorEastAsia" w:eastAsiaTheme="minorEastAsia" w:cstheme="minorEastAsia"/>
          <w:sz w:val="24"/>
          <w:highlight w:val="yellow"/>
        </w:rPr>
      </w:pPr>
    </w:p>
    <w:p w14:paraId="0B0DEA9A">
      <w:pPr>
        <w:pStyle w:val="7"/>
        <w:spacing w:before="60" w:beforeLines="25" w:after="60" w:afterLines="25"/>
        <w:ind w:firstLine="0"/>
        <w:rPr>
          <w:rFonts w:asciiTheme="minorEastAsia" w:hAnsiTheme="minorEastAsia" w:eastAsiaTheme="minorEastAsia" w:cstheme="minorEastAsia"/>
          <w:sz w:val="24"/>
          <w:highlight w:val="yellow"/>
        </w:rPr>
      </w:pPr>
    </w:p>
    <w:p w14:paraId="35E8BA1E">
      <w:pPr>
        <w:pStyle w:val="4"/>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3"/>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9"/>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9"/>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3"/>
      </w:pPr>
      <w:r>
        <w:rPr>
          <w:rFonts w:hint="eastAsia"/>
        </w:rPr>
        <w:t>第五章  合同条款及格式</w:t>
      </w:r>
    </w:p>
    <w:p w14:paraId="196C3A10">
      <w:pPr>
        <w:ind w:firstLine="411" w:firstLineChars="196"/>
      </w:pPr>
    </w:p>
    <w:p w14:paraId="69B4F903">
      <w:pPr>
        <w:jc w:val="center"/>
        <w:outlineLvl w:val="0"/>
        <w:rPr>
          <w:rFonts w:ascii="宋体" w:hAnsi="宋体" w:cs="宋体"/>
        </w:rPr>
      </w:pPr>
      <w:r>
        <w:rPr>
          <w:rFonts w:hint="eastAsia" w:ascii="宋体" w:hAnsi="宋体" w:cs="宋体"/>
          <w:b/>
          <w:sz w:val="24"/>
        </w:rPr>
        <w:t>（仅供参考，具体以项目需求及采购结果为准）</w:t>
      </w:r>
    </w:p>
    <w:p w14:paraId="5A68055F">
      <w:pPr>
        <w:ind w:firstLine="411" w:firstLineChars="196"/>
      </w:pPr>
    </w:p>
    <w:p w14:paraId="71C5841B">
      <w:pPr>
        <w:rPr>
          <w:rFonts w:ascii="宋体" w:hAnsi="宋体"/>
          <w:b/>
          <w:bCs/>
          <w:szCs w:val="21"/>
        </w:rPr>
      </w:pPr>
      <w:r>
        <w:rPr>
          <w:rFonts w:hint="eastAsia" w:ascii="宋体" w:hAnsi="宋体"/>
          <w:b/>
          <w:bCs/>
          <w:szCs w:val="21"/>
        </w:rPr>
        <w:t>甲方：</w:t>
      </w:r>
    </w:p>
    <w:p w14:paraId="70BE7856">
      <w:pPr>
        <w:rPr>
          <w:rFonts w:ascii="宋体" w:hAnsi="宋体"/>
          <w:szCs w:val="21"/>
        </w:rPr>
      </w:pPr>
      <w:r>
        <w:rPr>
          <w:rFonts w:hint="eastAsia" w:ascii="宋体" w:hAnsi="宋体"/>
          <w:szCs w:val="21"/>
        </w:rPr>
        <w:t>地址：</w:t>
      </w:r>
    </w:p>
    <w:p w14:paraId="23949263">
      <w:pPr>
        <w:rPr>
          <w:rFonts w:ascii="宋体" w:hAnsi="宋体"/>
          <w:szCs w:val="21"/>
        </w:rPr>
      </w:pPr>
      <w:r>
        <w:rPr>
          <w:rFonts w:hint="eastAsia" w:ascii="宋体" w:hAnsi="宋体"/>
          <w:szCs w:val="21"/>
        </w:rPr>
        <w:t>联系人：</w:t>
      </w:r>
      <w:r>
        <w:rPr>
          <w:rFonts w:ascii="宋体" w:hAnsi="宋体"/>
          <w:szCs w:val="21"/>
        </w:rPr>
        <w:t xml:space="preserve">                          </w:t>
      </w:r>
    </w:p>
    <w:p w14:paraId="3A3B88C7">
      <w:pPr>
        <w:rPr>
          <w:rFonts w:ascii="宋体" w:hAnsi="宋体"/>
          <w:b/>
          <w:bCs/>
          <w:szCs w:val="21"/>
        </w:rPr>
      </w:pPr>
      <w:r>
        <w:rPr>
          <w:rFonts w:hint="eastAsia" w:ascii="宋体" w:hAnsi="宋体"/>
          <w:szCs w:val="21"/>
        </w:rPr>
        <w:t>联系电话：</w:t>
      </w:r>
    </w:p>
    <w:p w14:paraId="7E04287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14FFE730">
      <w:pPr>
        <w:rPr>
          <w:rFonts w:ascii="宋体" w:hAnsi="宋体"/>
          <w:b/>
          <w:bCs/>
          <w:szCs w:val="21"/>
        </w:rPr>
      </w:pPr>
      <w:r>
        <w:rPr>
          <w:rFonts w:hint="eastAsia" w:ascii="宋体" w:hAnsi="宋体"/>
          <w:b/>
          <w:bCs/>
          <w:szCs w:val="21"/>
        </w:rPr>
        <w:t>乙方：</w:t>
      </w:r>
    </w:p>
    <w:p w14:paraId="233CCE11">
      <w:pPr>
        <w:rPr>
          <w:rFonts w:ascii="宋体" w:hAnsi="宋体"/>
          <w:szCs w:val="21"/>
        </w:rPr>
      </w:pPr>
      <w:r>
        <w:rPr>
          <w:rFonts w:hint="eastAsia" w:ascii="宋体" w:hAnsi="宋体"/>
          <w:szCs w:val="21"/>
        </w:rPr>
        <w:t>地址：</w:t>
      </w:r>
    </w:p>
    <w:p w14:paraId="1F5AEF0E">
      <w:pPr>
        <w:rPr>
          <w:rFonts w:ascii="宋体" w:hAnsi="宋体"/>
          <w:szCs w:val="21"/>
        </w:rPr>
      </w:pPr>
      <w:r>
        <w:rPr>
          <w:rFonts w:hint="eastAsia" w:ascii="宋体" w:hAnsi="宋体"/>
          <w:szCs w:val="21"/>
        </w:rPr>
        <w:t>联系人：</w:t>
      </w:r>
      <w:r>
        <w:rPr>
          <w:rFonts w:ascii="宋体" w:hAnsi="宋体"/>
          <w:szCs w:val="21"/>
        </w:rPr>
        <w:t xml:space="preserve">                          </w:t>
      </w:r>
    </w:p>
    <w:p w14:paraId="65C28401">
      <w:pPr>
        <w:rPr>
          <w:rFonts w:ascii="宋体" w:hAnsi="宋体"/>
          <w:b/>
          <w:bCs/>
          <w:szCs w:val="21"/>
        </w:rPr>
      </w:pPr>
      <w:r>
        <w:rPr>
          <w:rFonts w:hint="eastAsia" w:ascii="宋体" w:hAnsi="宋体"/>
          <w:szCs w:val="21"/>
        </w:rPr>
        <w:t>联系电话：</w:t>
      </w:r>
    </w:p>
    <w:p w14:paraId="3070FF3A">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B271C0B">
      <w:pPr>
        <w:rPr>
          <w:rFonts w:ascii="宋体" w:hAnsi="宋体"/>
          <w:szCs w:val="21"/>
        </w:rPr>
      </w:pPr>
    </w:p>
    <w:p w14:paraId="70D9CFB1">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066F4E89">
      <w:pPr>
        <w:ind w:firstLine="422" w:firstLineChars="200"/>
        <w:rPr>
          <w:rFonts w:ascii="宋体" w:hAnsi="宋体"/>
          <w:b/>
          <w:bCs/>
          <w:szCs w:val="21"/>
        </w:rPr>
      </w:pPr>
      <w:r>
        <w:rPr>
          <w:rFonts w:hint="eastAsia" w:ascii="宋体" w:hAnsi="宋体"/>
          <w:b/>
          <w:bCs/>
          <w:szCs w:val="21"/>
        </w:rPr>
        <w:t>第一条　项目概况</w:t>
      </w:r>
    </w:p>
    <w:p w14:paraId="3BE6FBC2">
      <w:pPr>
        <w:ind w:firstLine="420" w:firstLineChars="200"/>
        <w:rPr>
          <w:rFonts w:ascii="宋体" w:hAnsi="宋体"/>
          <w:szCs w:val="21"/>
        </w:rPr>
      </w:pPr>
      <w:r>
        <w:rPr>
          <w:rFonts w:hint="eastAsia" w:ascii="宋体" w:hAnsi="宋体"/>
          <w:szCs w:val="21"/>
        </w:rPr>
        <w:t xml:space="preserve">项目名称： </w:t>
      </w:r>
    </w:p>
    <w:p w14:paraId="63BBEC4D">
      <w:pPr>
        <w:ind w:firstLine="420" w:firstLineChars="200"/>
        <w:rPr>
          <w:rFonts w:ascii="宋体" w:hAnsi="宋体"/>
          <w:szCs w:val="21"/>
        </w:rPr>
      </w:pPr>
      <w:r>
        <w:rPr>
          <w:rFonts w:hint="eastAsia" w:ascii="宋体" w:hAnsi="宋体"/>
          <w:szCs w:val="21"/>
        </w:rPr>
        <w:t xml:space="preserve">项目内容： </w:t>
      </w:r>
    </w:p>
    <w:p w14:paraId="369DD245">
      <w:pPr>
        <w:ind w:firstLine="420" w:firstLineChars="200"/>
        <w:rPr>
          <w:rFonts w:ascii="宋体" w:hAnsi="宋体"/>
          <w:szCs w:val="21"/>
        </w:rPr>
      </w:pPr>
      <w:r>
        <w:rPr>
          <w:rFonts w:hint="eastAsia" w:ascii="宋体" w:hAnsi="宋体"/>
          <w:szCs w:val="21"/>
        </w:rPr>
        <w:t xml:space="preserve">服务时间： </w:t>
      </w:r>
    </w:p>
    <w:p w14:paraId="27632041">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09967B3E">
      <w:pPr>
        <w:pStyle w:val="7"/>
        <w:rPr>
          <w:rFonts w:ascii="宋体" w:hAnsi="宋体"/>
          <w:szCs w:val="21"/>
        </w:rPr>
      </w:pPr>
      <w:r>
        <w:rPr>
          <w:rFonts w:hint="eastAsia" w:ascii="宋体" w:hAnsi="宋体"/>
          <w:szCs w:val="21"/>
        </w:rPr>
        <w:t>支付方式：分期支付。</w:t>
      </w:r>
    </w:p>
    <w:p w14:paraId="0C144A93">
      <w:pPr>
        <w:ind w:firstLine="422" w:firstLineChars="200"/>
        <w:rPr>
          <w:rFonts w:ascii="宋体" w:hAnsi="宋体"/>
          <w:b/>
          <w:bCs/>
          <w:szCs w:val="21"/>
        </w:rPr>
      </w:pPr>
      <w:r>
        <w:rPr>
          <w:rFonts w:hint="eastAsia" w:ascii="宋体" w:hAnsi="宋体"/>
          <w:b/>
          <w:bCs/>
          <w:szCs w:val="21"/>
        </w:rPr>
        <w:t>第二条  服务范围</w:t>
      </w:r>
    </w:p>
    <w:p w14:paraId="3285BA78">
      <w:pPr>
        <w:ind w:firstLine="420" w:firstLineChars="200"/>
        <w:rPr>
          <w:rFonts w:ascii="宋体" w:hAnsi="宋体"/>
          <w:szCs w:val="21"/>
        </w:rPr>
      </w:pPr>
      <w:r>
        <w:rPr>
          <w:rFonts w:hint="eastAsia" w:ascii="宋体" w:hAnsi="宋体"/>
          <w:szCs w:val="21"/>
        </w:rPr>
        <w:t xml:space="preserve">1、  </w:t>
      </w:r>
    </w:p>
    <w:p w14:paraId="3A437412">
      <w:pPr>
        <w:ind w:firstLine="420" w:firstLineChars="200"/>
        <w:rPr>
          <w:rFonts w:ascii="宋体" w:hAnsi="宋体"/>
          <w:szCs w:val="21"/>
        </w:rPr>
      </w:pPr>
      <w:r>
        <w:rPr>
          <w:rFonts w:hint="eastAsia" w:ascii="宋体" w:hAnsi="宋体"/>
          <w:szCs w:val="21"/>
        </w:rPr>
        <w:t xml:space="preserve">2、  </w:t>
      </w:r>
    </w:p>
    <w:p w14:paraId="3DC5BF8E">
      <w:pPr>
        <w:ind w:firstLine="420" w:firstLineChars="200"/>
        <w:rPr>
          <w:rFonts w:ascii="宋体" w:hAnsi="宋体"/>
          <w:szCs w:val="21"/>
        </w:rPr>
      </w:pPr>
      <w:r>
        <w:rPr>
          <w:rFonts w:hint="eastAsia" w:ascii="宋体" w:hAnsi="宋体"/>
          <w:szCs w:val="21"/>
        </w:rPr>
        <w:t>3、其他合同未明示的相关工作。</w:t>
      </w:r>
    </w:p>
    <w:p w14:paraId="4CA5EDBB">
      <w:pPr>
        <w:ind w:firstLine="422" w:firstLineChars="200"/>
        <w:rPr>
          <w:rFonts w:ascii="宋体" w:hAnsi="宋体"/>
          <w:b/>
          <w:bCs/>
          <w:szCs w:val="21"/>
        </w:rPr>
      </w:pPr>
      <w:r>
        <w:rPr>
          <w:rFonts w:hint="eastAsia" w:ascii="宋体" w:hAnsi="宋体"/>
          <w:b/>
          <w:bCs/>
          <w:szCs w:val="21"/>
        </w:rPr>
        <w:t>第三条  时间要求及阶段成果</w:t>
      </w:r>
    </w:p>
    <w:p w14:paraId="0C458DBF">
      <w:pPr>
        <w:ind w:firstLine="420" w:firstLineChars="200"/>
        <w:rPr>
          <w:rFonts w:ascii="宋体" w:hAnsi="宋体"/>
          <w:szCs w:val="21"/>
        </w:rPr>
      </w:pPr>
      <w:r>
        <w:rPr>
          <w:rFonts w:hint="eastAsia" w:ascii="宋体" w:hAnsi="宋体"/>
          <w:szCs w:val="21"/>
        </w:rPr>
        <w:t>1、合同签订天内完成项目实施的准备工作，包括工作大纲和细则的编制；</w:t>
      </w:r>
    </w:p>
    <w:p w14:paraId="7CC2B4C5">
      <w:pPr>
        <w:ind w:firstLine="420" w:firstLineChars="200"/>
        <w:rPr>
          <w:rFonts w:ascii="宋体" w:hAnsi="宋体"/>
          <w:szCs w:val="21"/>
        </w:rPr>
      </w:pPr>
      <w:r>
        <w:rPr>
          <w:rFonts w:hint="eastAsia" w:ascii="宋体" w:hAnsi="宋体"/>
          <w:szCs w:val="21"/>
        </w:rPr>
        <w:t xml:space="preserve">2、 </w:t>
      </w:r>
    </w:p>
    <w:p w14:paraId="514EA085">
      <w:pPr>
        <w:ind w:firstLine="420" w:firstLineChars="200"/>
        <w:rPr>
          <w:rFonts w:ascii="宋体" w:hAnsi="宋体"/>
          <w:szCs w:val="21"/>
        </w:rPr>
      </w:pPr>
      <w:r>
        <w:rPr>
          <w:rFonts w:hint="eastAsia" w:ascii="宋体" w:hAnsi="宋体"/>
          <w:szCs w:val="21"/>
        </w:rPr>
        <w:t>...</w:t>
      </w:r>
    </w:p>
    <w:p w14:paraId="61FD1687">
      <w:pPr>
        <w:ind w:firstLine="422" w:firstLineChars="200"/>
        <w:rPr>
          <w:rFonts w:ascii="宋体" w:hAnsi="宋体"/>
          <w:b/>
          <w:bCs/>
          <w:szCs w:val="21"/>
        </w:rPr>
      </w:pPr>
      <w:r>
        <w:rPr>
          <w:rFonts w:hint="eastAsia" w:ascii="宋体" w:hAnsi="宋体"/>
          <w:b/>
          <w:bCs/>
          <w:szCs w:val="21"/>
        </w:rPr>
        <w:t>第四条  咨询服务资料归属</w:t>
      </w:r>
    </w:p>
    <w:p w14:paraId="5359104F">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3C5945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5A147175">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D29AE85">
      <w:pPr>
        <w:ind w:firstLine="422" w:firstLineChars="200"/>
        <w:rPr>
          <w:rFonts w:ascii="宋体" w:hAnsi="宋体"/>
          <w:b/>
          <w:bCs/>
          <w:szCs w:val="21"/>
        </w:rPr>
      </w:pPr>
      <w:r>
        <w:rPr>
          <w:rFonts w:hint="eastAsia" w:ascii="宋体" w:hAnsi="宋体"/>
          <w:b/>
          <w:bCs/>
          <w:szCs w:val="21"/>
        </w:rPr>
        <w:t>第五条  甲方的义务</w:t>
      </w:r>
    </w:p>
    <w:p w14:paraId="5E4901B2">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2EA64985">
      <w:pPr>
        <w:ind w:firstLine="420" w:firstLineChars="200"/>
        <w:rPr>
          <w:rFonts w:ascii="宋体" w:hAnsi="宋体"/>
          <w:szCs w:val="21"/>
        </w:rPr>
      </w:pPr>
      <w:r>
        <w:rPr>
          <w:rFonts w:hint="eastAsia" w:ascii="宋体" w:hAnsi="宋体"/>
          <w:szCs w:val="21"/>
        </w:rPr>
        <w:t>2、向乙方提供与本项目服务工作有关的资料。</w:t>
      </w:r>
    </w:p>
    <w:p w14:paraId="58CC3BC0">
      <w:pPr>
        <w:ind w:firstLine="420" w:firstLineChars="200"/>
        <w:rPr>
          <w:rFonts w:ascii="宋体" w:hAnsi="宋体"/>
          <w:szCs w:val="21"/>
        </w:rPr>
      </w:pPr>
      <w:r>
        <w:rPr>
          <w:rFonts w:hint="eastAsia" w:ascii="宋体" w:hAnsi="宋体"/>
          <w:szCs w:val="21"/>
        </w:rPr>
        <w:t>3、负责组织有关专家对项目成果报告的评审。</w:t>
      </w:r>
    </w:p>
    <w:p w14:paraId="53271678">
      <w:pPr>
        <w:ind w:firstLine="422" w:firstLineChars="200"/>
        <w:rPr>
          <w:rFonts w:ascii="宋体" w:hAnsi="宋体"/>
          <w:b/>
          <w:bCs/>
          <w:szCs w:val="21"/>
        </w:rPr>
      </w:pPr>
      <w:r>
        <w:rPr>
          <w:rFonts w:hint="eastAsia" w:ascii="宋体" w:hAnsi="宋体"/>
          <w:b/>
          <w:bCs/>
          <w:szCs w:val="21"/>
        </w:rPr>
        <w:t>第七条　乙方的义务</w:t>
      </w:r>
    </w:p>
    <w:p w14:paraId="15329B33">
      <w:pPr>
        <w:ind w:firstLine="420" w:firstLineChars="200"/>
        <w:rPr>
          <w:rFonts w:ascii="宋体" w:hAnsi="宋体"/>
          <w:szCs w:val="21"/>
        </w:rPr>
      </w:pPr>
      <w:r>
        <w:rPr>
          <w:rFonts w:hint="eastAsia" w:ascii="宋体" w:hAnsi="宋体"/>
          <w:szCs w:val="21"/>
        </w:rPr>
        <w:t>１、应按照招标文件、投标文件要求按期完成本项目服务工作。</w:t>
      </w:r>
    </w:p>
    <w:p w14:paraId="7DD72009">
      <w:pPr>
        <w:ind w:firstLine="420" w:firstLineChars="200"/>
        <w:rPr>
          <w:rFonts w:ascii="宋体" w:hAnsi="宋体"/>
          <w:szCs w:val="21"/>
        </w:rPr>
      </w:pPr>
      <w:r>
        <w:rPr>
          <w:rFonts w:hint="eastAsia" w:ascii="宋体" w:hAnsi="宋体"/>
          <w:szCs w:val="21"/>
        </w:rPr>
        <w:t>2、负责组织项目的实施，保证进度和工作质量，并满足验收相关标准。</w:t>
      </w:r>
    </w:p>
    <w:p w14:paraId="0EFDA88F">
      <w:pPr>
        <w:ind w:firstLine="420" w:firstLineChars="200"/>
        <w:rPr>
          <w:rFonts w:ascii="宋体" w:hAnsi="宋体"/>
          <w:szCs w:val="21"/>
        </w:rPr>
      </w:pPr>
      <w:r>
        <w:rPr>
          <w:rFonts w:hint="eastAsia" w:ascii="宋体" w:hAnsi="宋体"/>
          <w:szCs w:val="21"/>
        </w:rPr>
        <w:t>3、</w:t>
      </w:r>
      <w:r>
        <w:rPr>
          <w:rFonts w:hint="eastAsia" w:ascii="宋体" w:hAnsi="宋体"/>
        </w:rPr>
        <w:t>向甲方提交资料等各套，一套电子版文件。</w:t>
      </w:r>
    </w:p>
    <w:p w14:paraId="30A2B5E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4ACA959">
      <w:pPr>
        <w:ind w:firstLine="422" w:firstLineChars="200"/>
        <w:rPr>
          <w:rFonts w:ascii="宋体" w:hAnsi="宋体"/>
          <w:b/>
          <w:bCs/>
          <w:szCs w:val="21"/>
        </w:rPr>
      </w:pPr>
      <w:r>
        <w:rPr>
          <w:rFonts w:hint="eastAsia" w:ascii="宋体" w:hAnsi="宋体"/>
          <w:b/>
          <w:bCs/>
          <w:szCs w:val="21"/>
        </w:rPr>
        <w:t>第八条  甲方的权利</w:t>
      </w:r>
    </w:p>
    <w:p w14:paraId="05EB2F09">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73E433CF">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48FEA596">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BADC23D">
      <w:pPr>
        <w:ind w:firstLine="422" w:firstLineChars="200"/>
        <w:rPr>
          <w:rFonts w:ascii="宋体" w:hAnsi="宋体"/>
          <w:b/>
          <w:bCs/>
          <w:szCs w:val="21"/>
        </w:rPr>
      </w:pPr>
      <w:r>
        <w:rPr>
          <w:rFonts w:hint="eastAsia" w:ascii="宋体" w:hAnsi="宋体"/>
          <w:b/>
          <w:bCs/>
          <w:szCs w:val="21"/>
        </w:rPr>
        <w:t>第九条  乙方的权利</w:t>
      </w:r>
    </w:p>
    <w:p w14:paraId="0D1AA6C7">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C3AC8C4">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237593BF">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、乙方在本项目服务过程中，有到现场勘察的权利。</w:t>
      </w:r>
    </w:p>
    <w:p w14:paraId="014F6113">
      <w:pPr>
        <w:ind w:firstLine="422" w:firstLineChars="200"/>
        <w:rPr>
          <w:rFonts w:ascii="宋体" w:hAnsi="宋体"/>
          <w:b/>
          <w:bCs/>
          <w:szCs w:val="21"/>
        </w:rPr>
      </w:pPr>
      <w:r>
        <w:rPr>
          <w:rFonts w:hint="eastAsia" w:ascii="宋体" w:hAnsi="宋体"/>
          <w:b/>
          <w:bCs/>
          <w:szCs w:val="21"/>
        </w:rPr>
        <w:t>第十条  甲方的责任</w:t>
      </w:r>
    </w:p>
    <w:p w14:paraId="5A086CBB">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5A0E68BE">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364B1DCA">
      <w:pPr>
        <w:ind w:firstLine="422" w:firstLineChars="200"/>
        <w:rPr>
          <w:rFonts w:ascii="宋体" w:hAnsi="宋体"/>
          <w:b/>
          <w:bCs/>
          <w:szCs w:val="21"/>
        </w:rPr>
      </w:pPr>
      <w:r>
        <w:rPr>
          <w:rFonts w:hint="eastAsia" w:ascii="宋体" w:hAnsi="宋体"/>
          <w:b/>
          <w:bCs/>
          <w:szCs w:val="21"/>
        </w:rPr>
        <w:t>第十一条  乙方的责任</w:t>
      </w:r>
    </w:p>
    <w:p w14:paraId="72C520A8">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3E3DFB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37B2E04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67BAFDEC">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09923A6E">
      <w:pPr>
        <w:ind w:firstLine="422" w:firstLineChars="200"/>
        <w:rPr>
          <w:rFonts w:ascii="宋体" w:hAnsi="宋体"/>
          <w:b/>
          <w:bCs/>
          <w:szCs w:val="21"/>
        </w:rPr>
      </w:pPr>
      <w:r>
        <w:rPr>
          <w:rFonts w:hint="eastAsia" w:ascii="宋体" w:hAnsi="宋体"/>
          <w:b/>
          <w:bCs/>
          <w:szCs w:val="21"/>
        </w:rPr>
        <w:t>第十二条  人员要求</w:t>
      </w:r>
    </w:p>
    <w:p w14:paraId="5628E486">
      <w:pPr>
        <w:ind w:firstLine="420" w:firstLineChars="200"/>
        <w:rPr>
          <w:rFonts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19E4B842">
      <w:pPr>
        <w:ind w:firstLine="420" w:firstLineChars="200"/>
        <w:rPr>
          <w:rFonts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1AE7E246">
      <w:pPr>
        <w:ind w:firstLine="420" w:firstLineChars="200"/>
        <w:rPr>
          <w:rFonts w:ascii="宋体" w:hAnsi="宋体" w:cs="宋体"/>
          <w:szCs w:val="21"/>
        </w:rPr>
      </w:pPr>
      <w:r>
        <w:rPr>
          <w:rFonts w:hint="eastAsia" w:ascii="宋体" w:hAnsi="宋体" w:cs="宋体"/>
          <w:szCs w:val="21"/>
        </w:rPr>
        <w:t>3.执行项目的档案整理员政治历史和社会关系清楚，无犯罪记录。</w:t>
      </w:r>
    </w:p>
    <w:p w14:paraId="60430593">
      <w:pPr>
        <w:ind w:firstLine="420" w:firstLineChars="200"/>
        <w:rPr>
          <w:rFonts w:ascii="宋体" w:hAnsi="宋体" w:cs="宋体"/>
          <w:szCs w:val="21"/>
        </w:rPr>
      </w:pPr>
      <w:r>
        <w:rPr>
          <w:rFonts w:hint="eastAsia" w:ascii="宋体" w:hAnsi="宋体" w:cs="宋体"/>
          <w:szCs w:val="21"/>
        </w:rPr>
        <w:t>4.执行项目的档案整理员应当遵守甲方相关工作纪律，接受甲方的管理。</w:t>
      </w:r>
    </w:p>
    <w:p w14:paraId="61520983">
      <w:pPr>
        <w:ind w:firstLine="420" w:firstLineChars="200"/>
        <w:rPr>
          <w:rFonts w:ascii="宋体" w:hAnsi="宋体" w:cs="宋体"/>
          <w:szCs w:val="21"/>
        </w:rPr>
      </w:pPr>
      <w:r>
        <w:rPr>
          <w:rFonts w:hint="eastAsia" w:ascii="宋体" w:hAnsi="宋体" w:cs="宋体"/>
          <w:szCs w:val="21"/>
        </w:rPr>
        <w:t>5.如遇特殊情况需要加班或增加工作人员的，乙方需无条件进行保障。</w:t>
      </w:r>
    </w:p>
    <w:p w14:paraId="0E14A1DB">
      <w:pPr>
        <w:ind w:firstLine="422" w:firstLineChars="200"/>
        <w:rPr>
          <w:rFonts w:ascii="宋体" w:hAnsi="宋体"/>
          <w:b/>
          <w:bCs/>
          <w:szCs w:val="21"/>
        </w:rPr>
      </w:pPr>
      <w:r>
        <w:rPr>
          <w:rFonts w:hint="eastAsia" w:ascii="宋体" w:hAnsi="宋体"/>
          <w:b/>
          <w:bCs/>
          <w:szCs w:val="21"/>
        </w:rPr>
        <w:t>第十三条  乙方服务工具要求</w:t>
      </w:r>
    </w:p>
    <w:p w14:paraId="1F1B6FE9">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DE15A88">
      <w:pPr>
        <w:ind w:firstLine="420" w:firstLineChars="200"/>
        <w:rPr>
          <w:rFonts w:ascii="宋体" w:hAnsi="宋体"/>
          <w:szCs w:val="21"/>
        </w:rPr>
      </w:pPr>
      <w:r>
        <w:rPr>
          <w:rFonts w:hint="eastAsia" w:ascii="宋体" w:hAnsi="宋体"/>
          <w:szCs w:val="21"/>
        </w:rPr>
        <w:t>2、乙方在提供服务过程中应自备车辆。</w:t>
      </w:r>
    </w:p>
    <w:p w14:paraId="4FEE20B9">
      <w:pPr>
        <w:ind w:firstLine="422" w:firstLineChars="200"/>
        <w:rPr>
          <w:rFonts w:ascii="宋体" w:hAnsi="宋体"/>
          <w:b/>
          <w:bCs/>
          <w:szCs w:val="21"/>
        </w:rPr>
      </w:pPr>
      <w:r>
        <w:rPr>
          <w:rFonts w:hint="eastAsia" w:ascii="宋体" w:hAnsi="宋体"/>
          <w:b/>
          <w:bCs/>
          <w:szCs w:val="21"/>
        </w:rPr>
        <w:t>第十四条  保密要求</w:t>
      </w:r>
    </w:p>
    <w:p w14:paraId="4A46C56B">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640151C">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3B4FB1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FACFD34">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56BE96A">
      <w:pPr>
        <w:ind w:firstLine="422" w:firstLineChars="200"/>
        <w:rPr>
          <w:rFonts w:ascii="宋体" w:hAnsi="宋体"/>
          <w:b/>
          <w:bCs/>
          <w:szCs w:val="21"/>
        </w:rPr>
      </w:pPr>
      <w:r>
        <w:rPr>
          <w:rFonts w:hint="eastAsia" w:ascii="宋体" w:hAnsi="宋体"/>
          <w:b/>
          <w:bCs/>
          <w:szCs w:val="21"/>
        </w:rPr>
        <w:t xml:space="preserve">第十五条  验收     </w:t>
      </w:r>
    </w:p>
    <w:p w14:paraId="4049EC63">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326539A1">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59EC090F">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180B787E">
      <w:pPr>
        <w:ind w:firstLine="422" w:firstLineChars="200"/>
        <w:rPr>
          <w:rFonts w:ascii="宋体" w:hAnsi="宋体"/>
          <w:b/>
          <w:bCs/>
          <w:szCs w:val="21"/>
        </w:rPr>
      </w:pPr>
      <w:r>
        <w:rPr>
          <w:rFonts w:hint="eastAsia" w:ascii="宋体" w:hAnsi="宋体"/>
          <w:b/>
          <w:bCs/>
          <w:szCs w:val="21"/>
        </w:rPr>
        <w:t>第十六条  付款方式</w:t>
      </w:r>
    </w:p>
    <w:p w14:paraId="27944783">
      <w:pPr>
        <w:ind w:firstLine="420" w:firstLineChars="200"/>
        <w:rPr>
          <w:rFonts w:ascii="宋体" w:hAnsi="宋体"/>
          <w:szCs w:val="21"/>
        </w:rPr>
      </w:pPr>
      <w:r>
        <w:rPr>
          <w:rFonts w:hint="eastAsia" w:ascii="宋体" w:hAnsi="宋体"/>
          <w:szCs w:val="21"/>
        </w:rPr>
        <w:t>1.该项目以人民币结算，合同签定后，甲方收到乙方提供的等额税务发票后15日内，支付合同总价款50%的款项；</w:t>
      </w:r>
    </w:p>
    <w:p w14:paraId="75911A6F">
      <w:pPr>
        <w:ind w:firstLine="420" w:firstLineChars="200"/>
        <w:rPr>
          <w:rFonts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31741EBB">
      <w:pPr>
        <w:ind w:firstLine="420" w:firstLineChars="200"/>
        <w:rPr>
          <w:rFonts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123B8580">
      <w:pPr>
        <w:ind w:firstLine="422" w:firstLineChars="200"/>
        <w:rPr>
          <w:rFonts w:ascii="宋体" w:hAnsi="宋体"/>
          <w:b/>
          <w:bCs/>
          <w:szCs w:val="21"/>
        </w:rPr>
      </w:pPr>
      <w:r>
        <w:rPr>
          <w:rFonts w:hint="eastAsia" w:ascii="宋体" w:hAnsi="宋体"/>
          <w:b/>
          <w:bCs/>
          <w:szCs w:val="21"/>
        </w:rPr>
        <w:t>第十七条  争议解决办法</w:t>
      </w:r>
    </w:p>
    <w:p w14:paraId="2ADC96BF">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665C7F9">
      <w:pPr>
        <w:ind w:firstLine="422" w:firstLineChars="200"/>
        <w:rPr>
          <w:rFonts w:ascii="宋体" w:hAnsi="宋体"/>
          <w:b/>
          <w:bCs/>
          <w:szCs w:val="21"/>
        </w:rPr>
      </w:pPr>
      <w:r>
        <w:rPr>
          <w:rFonts w:hint="eastAsia" w:ascii="宋体" w:hAnsi="宋体"/>
          <w:b/>
          <w:bCs/>
          <w:szCs w:val="21"/>
        </w:rPr>
        <w:t>第十八条  风险责任</w:t>
      </w:r>
    </w:p>
    <w:p w14:paraId="45347416">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74D02B10">
      <w:pPr>
        <w:ind w:firstLine="420" w:firstLineChars="200"/>
        <w:rPr>
          <w:rFonts w:ascii="宋体" w:hAnsi="宋体"/>
          <w:szCs w:val="21"/>
        </w:rPr>
      </w:pPr>
      <w:r>
        <w:rPr>
          <w:rFonts w:hint="eastAsia" w:ascii="宋体" w:hAnsi="宋体"/>
          <w:szCs w:val="21"/>
        </w:rPr>
        <w:t>2、乙方在实施过程中应对自身的安全生产负责，若非因甲方原因发生的各种事故甲方不承担任何责任。</w:t>
      </w:r>
    </w:p>
    <w:p w14:paraId="10E12C26">
      <w:pPr>
        <w:ind w:firstLine="422" w:firstLineChars="200"/>
        <w:rPr>
          <w:rFonts w:ascii="宋体" w:hAnsi="宋体"/>
          <w:b/>
          <w:bCs/>
          <w:szCs w:val="21"/>
        </w:rPr>
      </w:pPr>
      <w:r>
        <w:rPr>
          <w:rFonts w:hint="eastAsia" w:ascii="宋体" w:hAnsi="宋体"/>
          <w:b/>
          <w:bCs/>
          <w:szCs w:val="21"/>
        </w:rPr>
        <w:t>第十九条  违约责任</w:t>
      </w:r>
    </w:p>
    <w:p w14:paraId="4F9FA2E9">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39671321">
      <w:pPr>
        <w:ind w:firstLine="420" w:firstLineChars="200"/>
        <w:rPr>
          <w:rFonts w:ascii="宋体" w:hAnsi="宋体"/>
          <w:szCs w:val="21"/>
        </w:rPr>
      </w:pPr>
      <w:r>
        <w:rPr>
          <w:rFonts w:hint="eastAsia" w:ascii="宋体" w:hAnsi="宋体"/>
          <w:szCs w:val="21"/>
        </w:rPr>
        <w:t>2、由于乙方原因造成成果质量低劣，不能满足要求时，应继续完善工作，其费用由乙方承担。</w:t>
      </w:r>
    </w:p>
    <w:p w14:paraId="7D5FAA90">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BF41D56">
      <w:pPr>
        <w:ind w:firstLine="420" w:firstLineChars="200"/>
        <w:rPr>
          <w:rFonts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5F502DAC">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3113A265">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26AF93AC">
      <w:pPr>
        <w:ind w:firstLine="422" w:firstLineChars="200"/>
        <w:rPr>
          <w:rFonts w:ascii="宋体" w:hAnsi="宋体"/>
          <w:b/>
          <w:bCs/>
          <w:szCs w:val="21"/>
        </w:rPr>
      </w:pPr>
      <w:r>
        <w:rPr>
          <w:rFonts w:hint="eastAsia" w:ascii="宋体" w:hAnsi="宋体"/>
          <w:b/>
          <w:bCs/>
          <w:szCs w:val="21"/>
        </w:rPr>
        <w:t>第二十条  其他</w:t>
      </w:r>
    </w:p>
    <w:p w14:paraId="46DB5B5B">
      <w:pPr>
        <w:ind w:firstLine="420" w:firstLineChars="200"/>
        <w:rPr>
          <w:rFonts w:ascii="宋体" w:hAnsi="宋体"/>
          <w:szCs w:val="21"/>
        </w:rPr>
      </w:pPr>
      <w:r>
        <w:rPr>
          <w:rFonts w:hint="eastAsia" w:ascii="宋体" w:hAnsi="宋体"/>
          <w:szCs w:val="21"/>
        </w:rPr>
        <w:t>1、本合同与招标文件、乙方投标文件如有抵触之处，以本合同条款为准。</w:t>
      </w:r>
    </w:p>
    <w:p w14:paraId="1B4D0A77">
      <w:pPr>
        <w:ind w:firstLine="420" w:firstLineChars="200"/>
        <w:rPr>
          <w:rFonts w:ascii="宋体" w:hAnsi="宋体"/>
          <w:szCs w:val="21"/>
        </w:rPr>
      </w:pPr>
      <w:r>
        <w:rPr>
          <w:rFonts w:hint="eastAsia" w:ascii="宋体" w:hAnsi="宋体"/>
          <w:szCs w:val="21"/>
        </w:rPr>
        <w:t>2、下列文件均为本合同的组成部分：</w:t>
      </w:r>
    </w:p>
    <w:p w14:paraId="30E53B3B">
      <w:pPr>
        <w:ind w:firstLine="420" w:firstLineChars="200"/>
        <w:rPr>
          <w:rFonts w:ascii="宋体" w:hAnsi="宋体"/>
          <w:szCs w:val="21"/>
        </w:rPr>
      </w:pPr>
      <w:r>
        <w:rPr>
          <w:rFonts w:hint="eastAsia" w:ascii="宋体" w:hAnsi="宋体"/>
          <w:szCs w:val="21"/>
        </w:rPr>
        <w:t>（1）号招标文件、答疑及补充通知；</w:t>
      </w:r>
    </w:p>
    <w:p w14:paraId="616311B8">
      <w:pPr>
        <w:ind w:firstLine="420" w:firstLineChars="200"/>
        <w:rPr>
          <w:rFonts w:ascii="宋体" w:hAnsi="宋体"/>
          <w:szCs w:val="21"/>
        </w:rPr>
      </w:pPr>
      <w:r>
        <w:rPr>
          <w:rFonts w:hint="eastAsia" w:ascii="宋体" w:hAnsi="宋体"/>
          <w:szCs w:val="21"/>
        </w:rPr>
        <w:t>（2）投标文件；</w:t>
      </w:r>
    </w:p>
    <w:p w14:paraId="7482C7CF">
      <w:pPr>
        <w:ind w:firstLine="420" w:firstLineChars="200"/>
        <w:rPr>
          <w:rFonts w:ascii="宋体" w:hAnsi="宋体"/>
          <w:szCs w:val="21"/>
        </w:rPr>
      </w:pPr>
      <w:r>
        <w:rPr>
          <w:rFonts w:hint="eastAsia" w:ascii="宋体" w:hAnsi="宋体"/>
          <w:szCs w:val="21"/>
        </w:rPr>
        <w:t>（3）本合同执行中共同签署的补充与修正文件。</w:t>
      </w:r>
    </w:p>
    <w:p w14:paraId="30131285">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545571A7">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6AB7754B">
      <w:pPr>
        <w:ind w:firstLine="420" w:firstLineChars="200"/>
        <w:rPr>
          <w:rFonts w:ascii="宋体" w:hAnsi="宋体"/>
          <w:szCs w:val="21"/>
        </w:rPr>
      </w:pPr>
    </w:p>
    <w:p w14:paraId="0EC61D9D">
      <w:pPr>
        <w:spacing w:line="360" w:lineRule="auto"/>
        <w:ind w:firstLine="560"/>
        <w:jc w:val="left"/>
        <w:rPr>
          <w:rFonts w:ascii="宋体" w:hAnsi="宋体"/>
          <w:szCs w:val="21"/>
        </w:rPr>
      </w:pPr>
      <w:r>
        <w:rPr>
          <w:rFonts w:hint="eastAsia" w:ascii="宋体" w:hAnsi="宋体"/>
          <w:szCs w:val="21"/>
        </w:rPr>
        <w:t>甲方（采购人）：   （盖章）       乙方（供应商）：    （盖章）</w:t>
      </w:r>
    </w:p>
    <w:p w14:paraId="54512367">
      <w:pPr>
        <w:spacing w:line="360" w:lineRule="auto"/>
        <w:ind w:firstLine="560"/>
        <w:jc w:val="left"/>
        <w:rPr>
          <w:rFonts w:ascii="宋体" w:hAnsi="宋体"/>
          <w:szCs w:val="21"/>
        </w:rPr>
      </w:pPr>
      <w:r>
        <w:rPr>
          <w:rFonts w:hint="eastAsia" w:ascii="宋体" w:hAnsi="宋体"/>
          <w:szCs w:val="21"/>
        </w:rPr>
        <w:t xml:space="preserve">法定代表人：                     法定代表人： </w:t>
      </w:r>
    </w:p>
    <w:p w14:paraId="215DCFFF">
      <w:pPr>
        <w:spacing w:line="360" w:lineRule="auto"/>
        <w:ind w:firstLine="560"/>
        <w:jc w:val="left"/>
        <w:rPr>
          <w:rFonts w:ascii="宋体" w:hAnsi="宋体"/>
          <w:szCs w:val="21"/>
        </w:rPr>
      </w:pPr>
      <w:r>
        <w:rPr>
          <w:rFonts w:hint="eastAsia" w:ascii="宋体" w:hAnsi="宋体"/>
          <w:szCs w:val="21"/>
        </w:rPr>
        <w:t>委托代理人：                     委托代理人：</w:t>
      </w:r>
    </w:p>
    <w:p w14:paraId="4765E9E1">
      <w:pPr>
        <w:rPr>
          <w:rFonts w:ascii="宋体" w:hAnsi="宋体" w:cs="宋体"/>
          <w:b/>
          <w:bCs/>
          <w:szCs w:val="21"/>
        </w:rPr>
      </w:pPr>
    </w:p>
    <w:p w14:paraId="36C81B2B">
      <w:pPr>
        <w:rPr>
          <w:rFonts w:hint="eastAsia"/>
          <w:sz w:val="28"/>
          <w:szCs w:val="28"/>
        </w:rPr>
      </w:pPr>
      <w:r>
        <w:rPr>
          <w:rFonts w:hint="eastAsia"/>
          <w:sz w:val="28"/>
          <w:szCs w:val="28"/>
        </w:rPr>
        <w:br w:type="page"/>
      </w:r>
    </w:p>
    <w:p w14:paraId="00266395">
      <w:pPr>
        <w:pStyle w:val="3"/>
        <w:spacing w:before="120" w:beforeLines="50" w:after="120" w:afterLines="50"/>
        <w:ind w:left="562"/>
        <w:rPr>
          <w:sz w:val="28"/>
          <w:szCs w:val="28"/>
        </w:rPr>
      </w:pPr>
      <w:r>
        <w:rPr>
          <w:rFonts w:hint="eastAsia"/>
          <w:sz w:val="28"/>
          <w:szCs w:val="28"/>
        </w:rPr>
        <w:t>第二册  通用条款（公开招标）</w:t>
      </w:r>
    </w:p>
    <w:p w14:paraId="6F24FA3B">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55" w:name="_Hlk72399513"/>
      <w:bookmarkStart w:id="56" w:name="_Hlk72439706"/>
      <w:r>
        <w:rPr>
          <w:rFonts w:hint="eastAsia" w:ascii="Cambria" w:hAnsi="Cambria" w:cs="宋体"/>
          <w:b/>
          <w:bCs/>
          <w:sz w:val="28"/>
          <w:szCs w:val="28"/>
        </w:rPr>
        <w:t>总则</w:t>
      </w:r>
    </w:p>
    <w:bookmarkEnd w:id="55"/>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57"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57"/>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58"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5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9"/>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58"/>
    <w:p w14:paraId="4C23D099">
      <w:pPr>
        <w:ind w:firstLine="411" w:firstLineChars="196"/>
        <w:rPr>
          <w:rFonts w:ascii="宋体" w:hAnsi="宋体"/>
          <w:highlight w:val="none"/>
        </w:rPr>
      </w:pPr>
    </w:p>
    <w:p w14:paraId="42703A2D">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60"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none"/>
          <w:lang w:val="en-US" w:eastAsia="zh-CN"/>
        </w:rPr>
        <w:t>在</w:t>
      </w:r>
      <w:r>
        <w:rPr>
          <w:rFonts w:hint="eastAsia" w:ascii="宋体" w:hAnsi="宋体"/>
          <w:szCs w:val="21"/>
          <w:highlight w:val="none"/>
        </w:rPr>
        <w:t>项目产生质疑、投诉等阶段，主管部门、采购人、代理机构、评审委员会等可以要求供应商提供原件进行核查。</w:t>
      </w:r>
    </w:p>
    <w:p w14:paraId="3B1F9072">
      <w:pPr>
        <w:ind w:firstLine="420" w:firstLineChars="200"/>
        <w:rPr>
          <w:rFonts w:ascii="黑体" w:hAnsi="宋体" w:eastAsia="黑体"/>
          <w:szCs w:val="21"/>
          <w:highlight w:val="none"/>
        </w:rPr>
      </w:pPr>
      <w:r>
        <w:rPr>
          <w:rFonts w:hint="eastAsia" w:ascii="黑体" w:hAnsi="宋体" w:eastAsia="黑体"/>
          <w:szCs w:val="21"/>
          <w:highlight w:val="none"/>
        </w:rPr>
        <w:t>12．招标文件的澄清</w:t>
      </w:r>
    </w:p>
    <w:p w14:paraId="0F699287">
      <w:pPr>
        <w:ind w:firstLine="420" w:firstLineChars="200"/>
        <w:rPr>
          <w:rFonts w:ascii="宋体" w:hAnsi="宋体"/>
          <w:szCs w:val="21"/>
          <w:highlight w:val="none"/>
        </w:rPr>
      </w:pPr>
      <w:r>
        <w:rPr>
          <w:rFonts w:hint="eastAsia" w:ascii="宋体" w:hAnsi="宋体"/>
          <w:szCs w:val="21"/>
          <w:highlight w:val="none"/>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none"/>
        </w:rPr>
      </w:pPr>
      <w:r>
        <w:rPr>
          <w:rFonts w:hint="eastAsia" w:ascii="宋体" w:hAnsi="宋体"/>
          <w:color w:val="FF0000"/>
          <w:szCs w:val="21"/>
          <w:highlight w:val="none"/>
        </w:rPr>
        <w:t>12.2投标人如对招标文件内容有疑问，应当在招标公告规定的澄清（提问）截止时间前将疑问内容加盖公章书面提交至</w:t>
      </w:r>
      <w:r>
        <w:rPr>
          <w:rFonts w:hint="eastAsia" w:ascii="宋体" w:hAnsi="宋体"/>
          <w:color w:val="FF0000"/>
          <w:szCs w:val="21"/>
          <w:highlight w:val="none"/>
          <w:lang w:val="en-US" w:eastAsia="zh-CN"/>
        </w:rPr>
        <w:t>采购代理机构</w:t>
      </w:r>
      <w:r>
        <w:rPr>
          <w:rFonts w:hint="eastAsia" w:ascii="宋体" w:hAnsi="宋体"/>
          <w:color w:val="FF0000"/>
          <w:szCs w:val="21"/>
          <w:highlight w:val="none"/>
        </w:rPr>
        <w:t>。</w:t>
      </w:r>
    </w:p>
    <w:p w14:paraId="0BE51A3B">
      <w:pPr>
        <w:ind w:firstLine="420" w:firstLineChars="200"/>
        <w:rPr>
          <w:rFonts w:ascii="宋体" w:hAnsi="宋体"/>
          <w:szCs w:val="21"/>
          <w:highlight w:val="none"/>
        </w:rPr>
      </w:pPr>
      <w:r>
        <w:rPr>
          <w:rFonts w:hint="eastAsia" w:ascii="宋体" w:hAnsi="宋体"/>
          <w:szCs w:val="21"/>
          <w:highlight w:val="none"/>
        </w:rPr>
        <w:t>12.3不论是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60"/>
    </w:p>
    <w:p w14:paraId="517EADA2">
      <w:pPr>
        <w:rPr>
          <w:rFonts w:ascii="宋体" w:hAnsi="宋体"/>
          <w:szCs w:val="21"/>
          <w:highlight w:val="none"/>
        </w:rPr>
      </w:pPr>
    </w:p>
    <w:p w14:paraId="1E7E8B43">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投标文件的编制</w:t>
      </w:r>
    </w:p>
    <w:p w14:paraId="72DDC19D">
      <w:pPr>
        <w:ind w:firstLine="420" w:firstLineChars="200"/>
        <w:rPr>
          <w:rFonts w:ascii="黑体" w:hAnsi="宋体" w:eastAsia="黑体"/>
          <w:szCs w:val="21"/>
          <w:highlight w:val="none"/>
        </w:rPr>
      </w:pPr>
      <w:r>
        <w:rPr>
          <w:rFonts w:hint="eastAsia" w:ascii="黑体" w:hAnsi="宋体" w:eastAsia="黑体"/>
          <w:szCs w:val="21"/>
          <w:highlight w:val="none"/>
        </w:rPr>
        <w:t>14．</w:t>
      </w:r>
      <w:bookmarkStart w:id="61" w:name="_Hlk72400236"/>
      <w:r>
        <w:rPr>
          <w:rFonts w:hint="eastAsia" w:ascii="黑体" w:hAnsi="宋体" w:eastAsia="黑体"/>
          <w:szCs w:val="21"/>
          <w:highlight w:val="none"/>
        </w:rPr>
        <w:t>投标文件的语言及度量单位</w:t>
      </w:r>
    </w:p>
    <w:p w14:paraId="1E03760E">
      <w:pPr>
        <w:ind w:firstLine="420" w:firstLineChars="200"/>
        <w:rPr>
          <w:rFonts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val="en-US" w:eastAsia="zh-CN"/>
        </w:rPr>
        <w:t>采购代理机构</w:t>
      </w:r>
      <w:r>
        <w:rPr>
          <w:rFonts w:hint="eastAsia" w:ascii="宋体" w:hAnsi="宋体"/>
          <w:szCs w:val="21"/>
          <w:highlight w:val="none"/>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61"/>
    <w:p w14:paraId="1D924F40">
      <w:pPr>
        <w:ind w:firstLine="420" w:firstLineChars="200"/>
        <w:rPr>
          <w:rFonts w:ascii="黑体" w:hAnsi="宋体" w:eastAsia="黑体"/>
          <w:szCs w:val="21"/>
          <w:highlight w:val="none"/>
        </w:rPr>
      </w:pPr>
      <w:r>
        <w:rPr>
          <w:rFonts w:hint="eastAsia" w:ascii="黑体" w:hAnsi="宋体" w:eastAsia="黑体"/>
          <w:szCs w:val="21"/>
          <w:highlight w:val="none"/>
        </w:rPr>
        <w:t>15．</w:t>
      </w:r>
      <w:bookmarkStart w:id="62" w:name="_Hlk72401567"/>
      <w:r>
        <w:rPr>
          <w:rFonts w:hint="eastAsia" w:ascii="黑体" w:hAnsi="宋体" w:eastAsia="黑体"/>
          <w:szCs w:val="21"/>
          <w:highlight w:val="none"/>
        </w:rPr>
        <w:t>投标文件的组成</w:t>
      </w:r>
    </w:p>
    <w:p w14:paraId="46F704D4">
      <w:pPr>
        <w:ind w:firstLine="420" w:firstLineChars="200"/>
        <w:rPr>
          <w:rFonts w:ascii="宋体" w:hAnsi="宋体"/>
          <w:szCs w:val="21"/>
          <w:highlight w:val="none"/>
        </w:rPr>
      </w:pPr>
      <w:r>
        <w:rPr>
          <w:rFonts w:hint="eastAsia" w:ascii="宋体" w:hAnsi="宋体"/>
          <w:szCs w:val="21"/>
          <w:highlight w:val="none"/>
        </w:rPr>
        <w:t>具体内容在招标文件专用条款中进行规定。</w:t>
      </w:r>
    </w:p>
    <w:p w14:paraId="13B4D4C1">
      <w:pPr>
        <w:ind w:firstLine="420" w:firstLineChars="200"/>
        <w:rPr>
          <w:rFonts w:ascii="黑体" w:hAnsi="宋体" w:eastAsia="黑体"/>
          <w:szCs w:val="21"/>
          <w:highlight w:val="none"/>
        </w:rPr>
      </w:pPr>
      <w:r>
        <w:rPr>
          <w:rFonts w:hint="eastAsia" w:ascii="黑体" w:hAnsi="宋体" w:eastAsia="黑体"/>
          <w:szCs w:val="21"/>
          <w:highlight w:val="none"/>
        </w:rPr>
        <w:t>16．投标文件格式</w:t>
      </w:r>
    </w:p>
    <w:p w14:paraId="71E9D954">
      <w:pPr>
        <w:ind w:firstLine="420" w:firstLineChars="200"/>
        <w:rPr>
          <w:rFonts w:ascii="宋体" w:hAnsi="宋体"/>
          <w:szCs w:val="21"/>
          <w:highlight w:val="none"/>
        </w:rPr>
      </w:pPr>
      <w:r>
        <w:rPr>
          <w:rFonts w:hint="eastAsia" w:ascii="宋体" w:hAnsi="宋体"/>
          <w:szCs w:val="21"/>
          <w:highlight w:val="none"/>
        </w:rPr>
        <w:t>投标文件包括本通用条款第15条中规定的内容。如招标文件提供了投标文件格式，则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69FCFF1E">
      <w:pPr>
        <w:ind w:firstLine="420" w:firstLineChars="200"/>
        <w:rPr>
          <w:rFonts w:ascii="黑体" w:hAnsi="宋体" w:eastAsia="黑体"/>
          <w:szCs w:val="21"/>
          <w:highlight w:val="none"/>
        </w:rPr>
      </w:pPr>
      <w:r>
        <w:rPr>
          <w:rFonts w:hint="eastAsia" w:ascii="黑体" w:hAnsi="宋体" w:eastAsia="黑体"/>
          <w:szCs w:val="21"/>
          <w:highlight w:val="none"/>
        </w:rPr>
        <w:t>17．投标货币</w:t>
      </w:r>
    </w:p>
    <w:p w14:paraId="6D2311EC">
      <w:pPr>
        <w:ind w:firstLine="420" w:firstLineChars="200"/>
        <w:rPr>
          <w:rFonts w:ascii="宋体" w:hAnsi="宋体"/>
          <w:szCs w:val="21"/>
          <w:highlight w:val="none"/>
        </w:rPr>
      </w:pPr>
      <w:r>
        <w:rPr>
          <w:rFonts w:hint="eastAsia" w:ascii="宋体" w:hAnsi="宋体"/>
          <w:szCs w:val="21"/>
          <w:highlight w:val="none"/>
        </w:rPr>
        <w:t>本项目的投标报价应以人民币计。</w:t>
      </w:r>
    </w:p>
    <w:bookmarkEnd w:id="62"/>
    <w:p w14:paraId="7D524030">
      <w:pPr>
        <w:ind w:firstLine="420" w:firstLineChars="200"/>
        <w:rPr>
          <w:rFonts w:ascii="黑体" w:hAnsi="宋体" w:eastAsia="黑体"/>
          <w:szCs w:val="21"/>
          <w:highlight w:val="none"/>
        </w:rPr>
      </w:pPr>
      <w:r>
        <w:rPr>
          <w:rFonts w:hint="eastAsia" w:ascii="黑体" w:hAnsi="宋体" w:eastAsia="黑体"/>
          <w:szCs w:val="21"/>
          <w:highlight w:val="none"/>
        </w:rPr>
        <w:t>18．</w:t>
      </w:r>
      <w:bookmarkStart w:id="63" w:name="_Hlk72401735"/>
      <w:r>
        <w:rPr>
          <w:rFonts w:hint="eastAsia" w:ascii="黑体" w:hAnsi="宋体" w:eastAsia="黑体"/>
          <w:szCs w:val="21"/>
          <w:highlight w:val="none"/>
        </w:rPr>
        <w:t>证明投标文件投标技术方案的合格性和符合招标文件规定的文件要求</w:t>
      </w:r>
    </w:p>
    <w:p w14:paraId="23022A57">
      <w:pPr>
        <w:ind w:firstLine="420" w:firstLineChars="200"/>
        <w:rPr>
          <w:rFonts w:ascii="宋体" w:hAnsi="宋体"/>
          <w:szCs w:val="21"/>
          <w:highlight w:val="none"/>
        </w:rPr>
      </w:pPr>
      <w:r>
        <w:rPr>
          <w:rFonts w:hint="eastAsia" w:ascii="宋体" w:hAnsi="宋体"/>
          <w:szCs w:val="21"/>
          <w:highlight w:val="none"/>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highlight w:val="none"/>
        </w:rPr>
      </w:pPr>
      <w:r>
        <w:rPr>
          <w:rFonts w:hint="eastAsia" w:ascii="宋体" w:hAnsi="宋体"/>
          <w:szCs w:val="21"/>
          <w:highlight w:val="none"/>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highlight w:val="none"/>
        </w:rPr>
      </w:pPr>
      <w:r>
        <w:rPr>
          <w:rFonts w:hint="eastAsia" w:ascii="宋体" w:hAnsi="宋体"/>
          <w:szCs w:val="21"/>
          <w:highlight w:val="none"/>
        </w:rPr>
        <w:t>18.2.1主要技术指标和性能的详细说明。</w:t>
      </w:r>
    </w:p>
    <w:p w14:paraId="4748C4CB">
      <w:pPr>
        <w:ind w:firstLine="420" w:firstLineChars="200"/>
        <w:rPr>
          <w:rFonts w:ascii="宋体" w:hAnsi="宋体"/>
          <w:szCs w:val="21"/>
          <w:highlight w:val="none"/>
        </w:rPr>
      </w:pPr>
      <w:r>
        <w:rPr>
          <w:rFonts w:hint="eastAsia" w:ascii="宋体" w:hAnsi="宋体"/>
          <w:szCs w:val="21"/>
          <w:highlight w:val="none"/>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highlight w:val="none"/>
        </w:rPr>
      </w:pPr>
      <w:r>
        <w:rPr>
          <w:rFonts w:hint="eastAsia" w:ascii="宋体" w:hAnsi="宋体"/>
          <w:szCs w:val="21"/>
          <w:highlight w:val="none"/>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50DCD720">
      <w:pPr>
        <w:ind w:firstLine="420" w:firstLineChars="200"/>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highlight w:val="none"/>
        </w:rPr>
      </w:pPr>
      <w:r>
        <w:rPr>
          <w:rFonts w:hint="eastAsia" w:ascii="宋体" w:hAnsi="宋体"/>
          <w:szCs w:val="21"/>
          <w:highlight w:val="none"/>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49A96342">
      <w:pPr>
        <w:ind w:firstLine="420" w:firstLineChars="200"/>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63"/>
    <w:p w14:paraId="26D8C009">
      <w:pPr>
        <w:ind w:firstLine="420" w:firstLineChars="200"/>
        <w:rPr>
          <w:rFonts w:ascii="黑体" w:hAnsi="宋体" w:eastAsia="黑体"/>
          <w:szCs w:val="21"/>
          <w:highlight w:val="none"/>
        </w:rPr>
      </w:pPr>
      <w:r>
        <w:rPr>
          <w:rFonts w:hint="eastAsia" w:ascii="黑体" w:hAnsi="宋体" w:eastAsia="黑体"/>
          <w:szCs w:val="21"/>
          <w:highlight w:val="none"/>
        </w:rPr>
        <w:t>19．</w:t>
      </w:r>
      <w:bookmarkStart w:id="64" w:name="_Hlk72402034"/>
      <w:r>
        <w:rPr>
          <w:rFonts w:hint="eastAsia" w:ascii="黑体" w:hAnsi="宋体" w:eastAsia="黑体"/>
          <w:szCs w:val="21"/>
          <w:highlight w:val="none"/>
        </w:rPr>
        <w:t>投标文件其他证明文件的要求</w:t>
      </w:r>
    </w:p>
    <w:p w14:paraId="17D70B8D">
      <w:pPr>
        <w:ind w:firstLine="420" w:firstLineChars="200"/>
        <w:rPr>
          <w:rFonts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5" w:name="_Hlk71407299"/>
    </w:p>
    <w:bookmarkEnd w:id="65"/>
    <w:p w14:paraId="24DF53D7">
      <w:pPr>
        <w:ind w:firstLine="420" w:firstLineChars="200"/>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highlight w:val="none"/>
        </w:rPr>
      </w:pPr>
      <w:r>
        <w:rPr>
          <w:rFonts w:hint="eastAsia" w:ascii="黑体" w:hAnsi="宋体" w:eastAsia="黑体"/>
          <w:szCs w:val="21"/>
          <w:highlight w:val="none"/>
        </w:rPr>
        <w:t>20．投标有效期</w:t>
      </w:r>
    </w:p>
    <w:bookmarkEnd w:id="64"/>
    <w:p w14:paraId="0CBD9DD7">
      <w:pPr>
        <w:ind w:firstLine="420" w:firstLineChars="200"/>
        <w:rPr>
          <w:rFonts w:ascii="宋体" w:hAnsi="宋体"/>
          <w:szCs w:val="21"/>
          <w:highlight w:val="none"/>
        </w:rPr>
      </w:pPr>
      <w:bookmarkStart w:id="66"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196CA5FD">
      <w:pPr>
        <w:ind w:firstLine="420" w:firstLineChars="200"/>
        <w:rPr>
          <w:rFonts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此项要求，其投标在原投标有效期满后不再有效。同意延长投标有效期的投标人不能要求也不允许修改其投标文件。</w:t>
      </w:r>
    </w:p>
    <w:p w14:paraId="0BACA056">
      <w:pPr>
        <w:ind w:firstLine="420" w:firstLineChars="200"/>
        <w:rPr>
          <w:rFonts w:ascii="宋体" w:hAnsi="宋体"/>
          <w:szCs w:val="21"/>
          <w:highlight w:val="none"/>
        </w:rPr>
      </w:pPr>
      <w:r>
        <w:rPr>
          <w:rFonts w:hint="eastAsia" w:ascii="宋体" w:hAnsi="宋体"/>
          <w:szCs w:val="21"/>
          <w:highlight w:val="none"/>
        </w:rPr>
        <w:t>20.3 中标供应商的投标文件有效期，截止于完成本招标文件规定的全部项目内容，并通过竣工验收及保修期结束。</w:t>
      </w:r>
    </w:p>
    <w:bookmarkEnd w:id="66"/>
    <w:p w14:paraId="48BC4936">
      <w:pPr>
        <w:ind w:firstLine="420" w:firstLineChars="200"/>
        <w:rPr>
          <w:rFonts w:ascii="黑体" w:hAnsi="宋体" w:eastAsia="黑体"/>
          <w:szCs w:val="21"/>
          <w:highlight w:val="none"/>
        </w:rPr>
      </w:pPr>
      <w:r>
        <w:rPr>
          <w:rFonts w:hint="eastAsia" w:ascii="黑体" w:hAnsi="宋体" w:eastAsia="黑体"/>
          <w:szCs w:val="21"/>
          <w:highlight w:val="none"/>
        </w:rPr>
        <w:t>21．</w:t>
      </w:r>
      <w:bookmarkStart w:id="67" w:name="_Hlk72402325"/>
      <w:r>
        <w:rPr>
          <w:rFonts w:hint="eastAsia" w:ascii="黑体" w:hAnsi="宋体" w:eastAsia="黑体"/>
          <w:szCs w:val="21"/>
          <w:highlight w:val="none"/>
        </w:rPr>
        <w:t xml:space="preserve">关于投标保证金 </w:t>
      </w:r>
    </w:p>
    <w:p w14:paraId="5C09E316">
      <w:pPr>
        <w:ind w:firstLine="420" w:firstLineChars="200"/>
        <w:rPr>
          <w:rFonts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w:t>
      </w:r>
      <w:r>
        <w:rPr>
          <w:szCs w:val="21"/>
          <w:highlight w:val="none"/>
        </w:rPr>
        <w:t>2021</w:t>
      </w:r>
      <w:r>
        <w:rPr>
          <w:rFonts w:hint="eastAsia"/>
          <w:szCs w:val="21"/>
          <w:highlight w:val="none"/>
        </w:rPr>
        <w:t>〕</w:t>
      </w:r>
      <w:r>
        <w:rPr>
          <w:szCs w:val="21"/>
          <w:highlight w:val="none"/>
        </w:rPr>
        <w:t>51</w:t>
      </w:r>
      <w:r>
        <w:rPr>
          <w:rFonts w:hint="eastAsia"/>
          <w:szCs w:val="21"/>
          <w:highlight w:val="none"/>
        </w:rPr>
        <w:t>号）文的规定，本项目不收取投标保证金。</w:t>
      </w:r>
    </w:p>
    <w:p w14:paraId="41563514">
      <w:pPr>
        <w:ind w:firstLine="420" w:firstLineChars="200"/>
        <w:rPr>
          <w:rFonts w:ascii="黑体" w:hAnsi="宋体" w:eastAsia="黑体"/>
          <w:szCs w:val="21"/>
          <w:highlight w:val="none"/>
        </w:rPr>
      </w:pPr>
      <w:r>
        <w:rPr>
          <w:rFonts w:hint="eastAsia" w:ascii="黑体" w:hAnsi="宋体" w:eastAsia="黑体"/>
          <w:szCs w:val="21"/>
          <w:highlight w:val="none"/>
        </w:rPr>
        <w:t>22．投标人的替代方案</w:t>
      </w:r>
    </w:p>
    <w:p w14:paraId="47740AF4">
      <w:pPr>
        <w:ind w:firstLine="420" w:firstLineChars="200"/>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7"/>
    <w:p w14:paraId="27E553FE">
      <w:pPr>
        <w:ind w:firstLine="420" w:firstLineChars="200"/>
        <w:rPr>
          <w:rFonts w:ascii="黑体" w:hAnsi="宋体" w:eastAsia="黑体"/>
          <w:szCs w:val="21"/>
          <w:highlight w:val="none"/>
        </w:rPr>
      </w:pPr>
      <w:r>
        <w:rPr>
          <w:rFonts w:hint="eastAsia" w:ascii="黑体" w:hAnsi="宋体" w:eastAsia="黑体"/>
          <w:szCs w:val="21"/>
          <w:highlight w:val="none"/>
        </w:rPr>
        <w:t>23．</w:t>
      </w:r>
      <w:bookmarkStart w:id="68" w:name="_Hlk72402860"/>
      <w:r>
        <w:rPr>
          <w:rFonts w:hint="eastAsia" w:ascii="黑体" w:hAnsi="宋体" w:eastAsia="黑体"/>
          <w:szCs w:val="21"/>
          <w:highlight w:val="none"/>
        </w:rPr>
        <w:t>投标文件的制作要求</w:t>
      </w:r>
    </w:p>
    <w:p w14:paraId="574DBD56">
      <w:pPr>
        <w:ind w:firstLine="420" w:firstLineChars="200"/>
        <w:rPr>
          <w:rFonts w:ascii="宋体" w:hAnsi="宋体"/>
          <w:szCs w:val="21"/>
          <w:highlight w:val="none"/>
        </w:rPr>
      </w:pPr>
      <w:r>
        <w:rPr>
          <w:rFonts w:hint="eastAsia" w:ascii="宋体" w:hAnsi="宋体"/>
          <w:szCs w:val="21"/>
          <w:highlight w:val="none"/>
        </w:rPr>
        <w:t>23.1投标人应准备所投项目的电子投标文件一份。</w:t>
      </w:r>
    </w:p>
    <w:p w14:paraId="4A31275C">
      <w:pPr>
        <w:ind w:firstLine="420" w:firstLineChars="200"/>
        <w:rPr>
          <w:rFonts w:ascii="宋体" w:hAnsi="宋体"/>
          <w:szCs w:val="21"/>
          <w:highlight w:val="none"/>
        </w:rPr>
      </w:pPr>
      <w:r>
        <w:rPr>
          <w:rFonts w:hint="eastAsia" w:ascii="宋体" w:hAnsi="宋体"/>
          <w:szCs w:val="21"/>
          <w:highlight w:val="none"/>
        </w:rPr>
        <w:t>23.2投标人在使用《投标书编制软件》编制投标书时须注意：</w:t>
      </w:r>
    </w:p>
    <w:p w14:paraId="33725182">
      <w:pPr>
        <w:ind w:firstLine="420" w:firstLineChars="200"/>
        <w:rPr>
          <w:rFonts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highlight w:val="none"/>
        </w:rPr>
      </w:pPr>
      <w:r>
        <w:rPr>
          <w:rFonts w:hint="eastAsia" w:ascii="宋体" w:hAnsi="宋体"/>
          <w:szCs w:val="21"/>
          <w:highlight w:val="none"/>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highlight w:val="none"/>
        </w:rPr>
        <w:t>23.2.3要求用《投标书编制软件》编制投标书的包，不能用其它方式编制投标书。编制投标文件时，电脑须连通互联网。</w:t>
      </w:r>
    </w:p>
    <w:p w14:paraId="5D34E6A2">
      <w:pPr>
        <w:ind w:firstLine="420" w:firstLineChars="200"/>
        <w:rPr>
          <w:rFonts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认为该投标文件带病毒。</w:t>
      </w:r>
    </w:p>
    <w:p w14:paraId="4C93F4CF">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5投标人在编辑投标文件时，在投标文件目录中属于本节点内容的需在对应节点中填写，填写到其他节点后果由供应商自行承担。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概不负责。建议于开标前一个工作日完成投标文件的制作与上传，如上传确有困难，请及时咨询。</w:t>
      </w:r>
    </w:p>
    <w:p w14:paraId="5C28A3CE">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有权采取措施如延期、接受无法从网上上传的投标书等，以保障采购活动的公开、公平和公正。</w:t>
      </w:r>
    </w:p>
    <w:p w14:paraId="2CE33BA5">
      <w:pPr>
        <w:ind w:firstLine="420" w:firstLineChars="200"/>
        <w:rPr>
          <w:rFonts w:ascii="宋体" w:hAnsi="宋体"/>
          <w:szCs w:val="21"/>
          <w:highlight w:val="none"/>
        </w:rPr>
      </w:pPr>
      <w:r>
        <w:rPr>
          <w:rFonts w:hint="eastAsia" w:ascii="宋体" w:hAnsi="宋体"/>
          <w:szCs w:val="21"/>
          <w:highlight w:val="none"/>
        </w:rPr>
        <w:t>23.3电报、电话、传真形式的投标概不接受。</w:t>
      </w:r>
    </w:p>
    <w:p w14:paraId="3C83C8CE">
      <w:pPr>
        <w:ind w:firstLine="422" w:firstLineChars="200"/>
        <w:rPr>
          <w:rFonts w:ascii="宋体" w:hAnsi="宋体"/>
          <w:b/>
          <w:szCs w:val="21"/>
          <w:highlight w:val="none"/>
        </w:rPr>
      </w:pPr>
      <w:r>
        <w:rPr>
          <w:rFonts w:hint="eastAsia" w:ascii="宋体" w:hAnsi="宋体"/>
          <w:b/>
          <w:szCs w:val="21"/>
          <w:highlight w:val="none"/>
        </w:rPr>
        <w:t>23.4经投标人电子密钥加密的投标文件无须盖章或签字，</w:t>
      </w:r>
      <w:r>
        <w:rPr>
          <w:rFonts w:hint="eastAsia" w:ascii="宋体" w:hAnsi="宋体"/>
          <w:szCs w:val="21"/>
          <w:highlight w:val="none"/>
        </w:rPr>
        <w:t>专用条款另有要求的除外。</w:t>
      </w:r>
    </w:p>
    <w:p w14:paraId="6D04643A">
      <w:pPr>
        <w:ind w:firstLine="422" w:firstLineChars="200"/>
        <w:rPr>
          <w:rFonts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68"/>
    </w:p>
    <w:p w14:paraId="630CD496">
      <w:pPr>
        <w:ind w:firstLine="411" w:firstLineChars="196"/>
        <w:rPr>
          <w:rFonts w:ascii="宋体" w:hAnsi="宋体"/>
          <w:szCs w:val="21"/>
          <w:highlight w:val="none"/>
        </w:rPr>
      </w:pPr>
    </w:p>
    <w:p w14:paraId="20C24F93">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投标文件的递交</w:t>
      </w:r>
    </w:p>
    <w:p w14:paraId="5D954150">
      <w:pPr>
        <w:ind w:firstLine="420" w:firstLineChars="200"/>
        <w:rPr>
          <w:rFonts w:ascii="黑体" w:hAnsi="宋体" w:eastAsia="黑体"/>
          <w:szCs w:val="21"/>
          <w:highlight w:val="none"/>
        </w:rPr>
      </w:pPr>
      <w:bookmarkStart w:id="69" w:name="_Hlk72405459"/>
      <w:r>
        <w:rPr>
          <w:rFonts w:hint="eastAsia" w:ascii="黑体" w:hAnsi="宋体" w:eastAsia="黑体"/>
          <w:szCs w:val="21"/>
          <w:highlight w:val="none"/>
        </w:rPr>
        <w:t>24．投标文件的保密</w:t>
      </w:r>
    </w:p>
    <w:p w14:paraId="5DCB48E4">
      <w:pPr>
        <w:ind w:firstLine="420" w:firstLineChars="200"/>
        <w:rPr>
          <w:rFonts w:ascii="宋体" w:hAnsi="宋体"/>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w:t>
      </w:r>
      <w:r>
        <w:rPr>
          <w:rFonts w:hint="eastAsia" w:ascii="宋体" w:hAnsi="宋体"/>
          <w:szCs w:val="21"/>
          <w:highlight w:val="none"/>
          <w:lang w:val="en-US" w:eastAsia="zh-CN"/>
        </w:rPr>
        <w:t>如对投标文件加密的，则投标人必</w:t>
      </w:r>
      <w:r>
        <w:rPr>
          <w:rFonts w:hint="eastAsia" w:ascii="宋体" w:hAnsi="宋体"/>
          <w:szCs w:val="21"/>
          <w:highlight w:val="none"/>
        </w:rPr>
        <w:t>须</w:t>
      </w:r>
      <w:r>
        <w:rPr>
          <w:rFonts w:hint="eastAsia" w:ascii="宋体" w:hAnsi="宋体"/>
          <w:szCs w:val="21"/>
          <w:highlight w:val="none"/>
          <w:lang w:val="en-US" w:eastAsia="zh-CN"/>
        </w:rPr>
        <w:t>在开标当日</w:t>
      </w:r>
      <w:r>
        <w:rPr>
          <w:rFonts w:hint="eastAsia" w:ascii="宋体" w:hAnsi="宋体"/>
          <w:szCs w:val="21"/>
          <w:highlight w:val="none"/>
        </w:rPr>
        <w:t>用加密文件时使用的锁在项目规定时间内解密！逾期未解密的作投标无效处理。)</w:t>
      </w:r>
    </w:p>
    <w:p w14:paraId="054F21CB">
      <w:pPr>
        <w:ind w:firstLine="422" w:firstLineChars="200"/>
        <w:rPr>
          <w:rFonts w:ascii="宋体" w:hAnsi="宋体"/>
          <w:b/>
          <w:szCs w:val="21"/>
          <w:highlight w:val="none"/>
        </w:rPr>
      </w:pPr>
      <w:r>
        <w:rPr>
          <w:rFonts w:hint="eastAsia" w:ascii="宋体" w:hAnsi="宋体"/>
          <w:b/>
          <w:szCs w:val="21"/>
          <w:highlight w:val="none"/>
        </w:rPr>
        <w:t>24.2若采购项目出现延期情况：</w:t>
      </w:r>
    </w:p>
    <w:p w14:paraId="0D1FEF4B">
      <w:pPr>
        <w:ind w:firstLine="422" w:firstLineChars="200"/>
        <w:rPr>
          <w:rFonts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如果供下载的招标文件有更新，投标人必须重新下载招标文件、重新制作投标文件、重新上传投标文件。</w:t>
      </w:r>
    </w:p>
    <w:p w14:paraId="7E52D8F9">
      <w:pPr>
        <w:ind w:firstLine="420" w:firstLineChars="200"/>
        <w:rPr>
          <w:rFonts w:ascii="黑体" w:hAnsi="宋体" w:eastAsia="黑体"/>
          <w:szCs w:val="21"/>
          <w:highlight w:val="none"/>
        </w:rPr>
      </w:pPr>
      <w:r>
        <w:rPr>
          <w:rFonts w:hint="eastAsia" w:ascii="黑体" w:hAnsi="宋体" w:eastAsia="黑体"/>
          <w:szCs w:val="21"/>
          <w:highlight w:val="none"/>
        </w:rPr>
        <w:t>25．上传投标文件及投标截止日期</w:t>
      </w:r>
    </w:p>
    <w:p w14:paraId="62F95C89">
      <w:pPr>
        <w:ind w:firstLine="420" w:firstLineChars="200"/>
        <w:rPr>
          <w:rFonts w:ascii="宋体" w:hAnsi="宋体"/>
          <w:szCs w:val="21"/>
          <w:highlight w:val="none"/>
        </w:rPr>
      </w:pPr>
      <w:r>
        <w:rPr>
          <w:rFonts w:hint="eastAsia" w:ascii="宋体" w:hAnsi="宋体"/>
          <w:szCs w:val="21"/>
          <w:highlight w:val="none"/>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highlight w:val="none"/>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highlight w:val="none"/>
        </w:rPr>
        <w:t>。</w:t>
      </w:r>
    </w:p>
    <w:p w14:paraId="7A38216C">
      <w:pPr>
        <w:ind w:firstLine="420" w:firstLineChars="200"/>
        <w:rPr>
          <w:rFonts w:ascii="宋体" w:hAnsi="宋体"/>
          <w:szCs w:val="21"/>
          <w:highlight w:val="none"/>
        </w:rPr>
      </w:pPr>
      <w:r>
        <w:rPr>
          <w:rFonts w:hint="eastAsia" w:ascii="宋体" w:hAnsi="宋体"/>
          <w:szCs w:val="21"/>
          <w:highlight w:val="none"/>
        </w:rPr>
        <w:t>25.2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、采购人和投标人受投标截止期制约的所有权利和义务均应延长至新的截止期。</w:t>
      </w:r>
    </w:p>
    <w:p w14:paraId="312EA070">
      <w:pPr>
        <w:ind w:firstLine="420" w:firstLineChars="200"/>
        <w:rPr>
          <w:rFonts w:ascii="宋体" w:hAnsi="宋体"/>
          <w:szCs w:val="21"/>
          <w:highlight w:val="none"/>
        </w:rPr>
      </w:pPr>
      <w:r>
        <w:rPr>
          <w:rFonts w:hint="eastAsia" w:ascii="宋体" w:hAnsi="宋体"/>
          <w:szCs w:val="21"/>
          <w:highlight w:val="none"/>
        </w:rPr>
        <w:t>25.3投标截止时间以后不得上传投标文件。</w:t>
      </w:r>
    </w:p>
    <w:bookmarkEnd w:id="69"/>
    <w:p w14:paraId="3D77DC94">
      <w:pPr>
        <w:ind w:firstLine="420" w:firstLineChars="200"/>
        <w:rPr>
          <w:rFonts w:ascii="黑体" w:hAnsi="宋体" w:eastAsia="黑体"/>
          <w:szCs w:val="21"/>
          <w:highlight w:val="none"/>
        </w:rPr>
      </w:pPr>
      <w:r>
        <w:rPr>
          <w:rFonts w:hint="eastAsia" w:ascii="黑体" w:hAnsi="宋体" w:eastAsia="黑体"/>
          <w:szCs w:val="21"/>
          <w:highlight w:val="none"/>
        </w:rPr>
        <w:t>26. 样品、现场演示、方案讲解</w:t>
      </w:r>
    </w:p>
    <w:p w14:paraId="1E5432D4">
      <w:pPr>
        <w:ind w:firstLine="420" w:firstLineChars="200"/>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0619CFD8">
      <w:pPr>
        <w:ind w:firstLine="420" w:firstLineChars="200"/>
        <w:rPr>
          <w:rFonts w:ascii="黑体" w:hAnsi="宋体" w:eastAsia="黑体"/>
          <w:szCs w:val="21"/>
          <w:highlight w:val="none"/>
        </w:rPr>
      </w:pPr>
      <w:bookmarkStart w:id="70" w:name="_Hlk72428346"/>
      <w:r>
        <w:rPr>
          <w:rFonts w:hint="eastAsia" w:ascii="黑体" w:hAnsi="宋体" w:eastAsia="黑体"/>
          <w:szCs w:val="21"/>
          <w:highlight w:val="none"/>
        </w:rPr>
        <w:t>27．投标文件的修改和撤销</w:t>
      </w:r>
    </w:p>
    <w:p w14:paraId="45C1FEF5">
      <w:pPr>
        <w:ind w:firstLine="420" w:firstLineChars="200"/>
        <w:rPr>
          <w:rFonts w:ascii="宋体" w:hAnsi="宋体"/>
          <w:szCs w:val="21"/>
          <w:highlight w:val="none"/>
        </w:rPr>
      </w:pPr>
      <w:r>
        <w:rPr>
          <w:rFonts w:hint="eastAsia" w:ascii="宋体" w:hAnsi="宋体"/>
          <w:szCs w:val="21"/>
          <w:highlight w:val="none"/>
        </w:rPr>
        <w:t>27.1投标方在提交投标文件后可对其投标文件进行修改并重新上传投标文件或在网上进行撤销投标的操作。</w:t>
      </w:r>
    </w:p>
    <w:p w14:paraId="285A1FE9">
      <w:pPr>
        <w:ind w:firstLine="420" w:firstLineChars="200"/>
        <w:rPr>
          <w:rFonts w:ascii="宋体" w:hAnsi="宋体"/>
          <w:szCs w:val="21"/>
          <w:highlight w:val="none"/>
        </w:rPr>
      </w:pPr>
      <w:r>
        <w:rPr>
          <w:rFonts w:hint="eastAsia" w:ascii="宋体" w:hAnsi="宋体"/>
          <w:szCs w:val="21"/>
          <w:highlight w:val="none"/>
        </w:rPr>
        <w:t>27.2投标截止时间以后不得修改投标文件。</w:t>
      </w:r>
    </w:p>
    <w:p w14:paraId="2FA78AB7">
      <w:pPr>
        <w:ind w:firstLine="420" w:firstLineChars="200"/>
        <w:rPr>
          <w:rFonts w:ascii="宋体" w:hAnsi="宋体"/>
          <w:szCs w:val="21"/>
          <w:highlight w:val="none"/>
        </w:rPr>
      </w:pPr>
      <w:r>
        <w:rPr>
          <w:rFonts w:hint="eastAsia" w:ascii="宋体" w:hAnsi="宋体"/>
          <w:szCs w:val="21"/>
          <w:highlight w:val="none"/>
        </w:rPr>
        <w:t>27.3从投标截止期至投标人在投标文件中确定的投标有效期之间的这段时间内，投标人不得撤回其投标。</w:t>
      </w:r>
    </w:p>
    <w:p w14:paraId="299C5200">
      <w:pPr>
        <w:ind w:firstLine="420" w:firstLineChars="200"/>
        <w:rPr>
          <w:rFonts w:ascii="宋体" w:hAnsi="宋体"/>
          <w:szCs w:val="21"/>
          <w:highlight w:val="none"/>
        </w:rPr>
      </w:pPr>
      <w:r>
        <w:rPr>
          <w:rFonts w:hint="eastAsia" w:ascii="宋体" w:hAnsi="宋体"/>
          <w:szCs w:val="21"/>
          <w:highlight w:val="none"/>
        </w:rPr>
        <w:t>27.4</w:t>
      </w:r>
      <w:r>
        <w:rPr>
          <w:rFonts w:hint="eastAsia" w:ascii="宋体" w:hAnsi="宋体"/>
          <w:szCs w:val="21"/>
          <w:highlight w:val="none"/>
          <w:lang w:val="en-US" w:eastAsia="zh-CN"/>
        </w:rPr>
        <w:t>采购代理机构</w:t>
      </w:r>
      <w:r>
        <w:rPr>
          <w:rFonts w:hint="eastAsia" w:ascii="宋体" w:hAnsi="宋体"/>
          <w:szCs w:val="21"/>
          <w:highlight w:val="none"/>
        </w:rPr>
        <w:t>不退还投标文件，专用条款另有规定的除外。</w:t>
      </w:r>
    </w:p>
    <w:bookmarkEnd w:id="70"/>
    <w:p w14:paraId="61FA3273">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开标</w:t>
      </w:r>
    </w:p>
    <w:p w14:paraId="2884268A">
      <w:pPr>
        <w:ind w:firstLine="420" w:firstLineChars="200"/>
        <w:rPr>
          <w:rFonts w:ascii="黑体" w:hAnsi="宋体" w:eastAsia="黑体"/>
          <w:szCs w:val="21"/>
          <w:highlight w:val="none"/>
        </w:rPr>
      </w:pPr>
      <w:r>
        <w:rPr>
          <w:rFonts w:hint="eastAsia" w:ascii="黑体" w:hAnsi="宋体" w:eastAsia="黑体"/>
          <w:szCs w:val="21"/>
          <w:highlight w:val="none"/>
        </w:rPr>
        <w:t>28．开标</w:t>
      </w:r>
    </w:p>
    <w:p w14:paraId="5C81C73B">
      <w:pPr>
        <w:ind w:firstLine="420" w:firstLineChars="200"/>
        <w:rPr>
          <w:rFonts w:ascii="宋体" w:hAnsi="宋体"/>
          <w:szCs w:val="21"/>
          <w:highlight w:val="none"/>
        </w:rPr>
      </w:pPr>
      <w:r>
        <w:rPr>
          <w:rFonts w:hint="eastAsia" w:ascii="宋体" w:hAnsi="宋体"/>
          <w:szCs w:val="21"/>
          <w:highlight w:val="none"/>
        </w:rPr>
        <w:t>28.1如</w:t>
      </w:r>
      <w:r>
        <w:rPr>
          <w:rFonts w:hint="eastAsia" w:ascii="宋体" w:hAnsi="宋体"/>
          <w:szCs w:val="21"/>
          <w:highlight w:val="none"/>
          <w:lang w:val="en-US" w:eastAsia="zh-CN"/>
        </w:rPr>
        <w:t>对</w:t>
      </w:r>
      <w:r>
        <w:rPr>
          <w:rFonts w:hint="eastAsia" w:ascii="宋体" w:hAnsi="宋体"/>
          <w:szCs w:val="21"/>
          <w:highlight w:val="none"/>
        </w:rPr>
        <w:t>投标文件加密的，则投标人须在开标当日的开标时间至解密截止时间内进行解密，逾期未解密的作</w:t>
      </w:r>
      <w:r>
        <w:rPr>
          <w:rFonts w:hint="eastAsia" w:ascii="宋体" w:hAnsi="宋体"/>
          <w:szCs w:val="21"/>
          <w:highlight w:val="none"/>
          <w:lang w:val="en-US" w:eastAsia="zh-CN"/>
        </w:rPr>
        <w:t>投标</w:t>
      </w:r>
      <w:r>
        <w:rPr>
          <w:rFonts w:hint="eastAsia" w:ascii="宋体" w:hAnsi="宋体"/>
          <w:szCs w:val="21"/>
          <w:highlight w:val="none"/>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highlight w:val="none"/>
        </w:rPr>
      </w:pPr>
      <w:r>
        <w:rPr>
          <w:rFonts w:hint="eastAsia" w:ascii="宋体" w:hAnsi="宋体"/>
          <w:szCs w:val="21"/>
          <w:highlight w:val="none"/>
        </w:rPr>
        <w:t>28.2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none"/>
          <w:lang w:eastAsia="zh-CN"/>
        </w:rPr>
        <w:t>【</w:t>
      </w:r>
      <w:r>
        <w:rPr>
          <w:rFonts w:hint="eastAsia" w:ascii="宋体" w:hAnsi="宋体"/>
          <w:szCs w:val="21"/>
          <w:highlight w:val="none"/>
        </w:rPr>
        <w:t>解密时间结束，</w:t>
      </w:r>
      <w:r>
        <w:rPr>
          <w:rFonts w:hint="eastAsia" w:ascii="宋体" w:hAnsi="宋体"/>
          <w:szCs w:val="21"/>
          <w:highlight w:val="none"/>
          <w:lang w:val="en-US" w:eastAsia="zh-CN"/>
        </w:rPr>
        <w:t>未对投标文件加密的供应商（未加密的投标文件无需解密）及对投标文件加密并在</w:t>
      </w:r>
      <w:r>
        <w:rPr>
          <w:rFonts w:hint="eastAsia" w:ascii="宋体" w:hAnsi="宋体"/>
          <w:szCs w:val="21"/>
          <w:highlight w:val="none"/>
        </w:rPr>
        <w:t>解密时间结束前</w:t>
      </w:r>
      <w:r>
        <w:rPr>
          <w:rFonts w:hint="eastAsia" w:ascii="宋体" w:hAnsi="宋体"/>
          <w:szCs w:val="21"/>
          <w:highlight w:val="none"/>
          <w:lang w:val="en-US" w:eastAsia="zh-CN"/>
        </w:rPr>
        <w:t>成功解密的</w:t>
      </w:r>
      <w:r>
        <w:rPr>
          <w:rFonts w:hint="eastAsia" w:ascii="宋体" w:hAnsi="宋体"/>
          <w:szCs w:val="21"/>
          <w:highlight w:val="none"/>
        </w:rPr>
        <w:t>投标供应商数量</w:t>
      </w:r>
      <w:r>
        <w:rPr>
          <w:rFonts w:hint="eastAsia" w:ascii="宋体" w:hAnsi="宋体"/>
          <w:szCs w:val="21"/>
          <w:highlight w:val="none"/>
          <w:lang w:val="en-US" w:eastAsia="zh-CN"/>
        </w:rPr>
        <w:t>满足开标条件</w:t>
      </w:r>
      <w:r>
        <w:rPr>
          <w:rFonts w:hint="eastAsia" w:ascii="宋体" w:hAnsi="宋体"/>
          <w:szCs w:val="21"/>
          <w:highlight w:val="none"/>
        </w:rPr>
        <w:t>后</w:t>
      </w:r>
      <w:r>
        <w:rPr>
          <w:rFonts w:hint="eastAsia" w:ascii="宋体" w:hAnsi="宋体"/>
          <w:szCs w:val="21"/>
          <w:highlight w:val="none"/>
          <w:lang w:eastAsia="zh-CN"/>
        </w:rPr>
        <w:t>】</w:t>
      </w:r>
      <w:r>
        <w:rPr>
          <w:rFonts w:hint="eastAsia" w:ascii="宋体" w:hAnsi="宋体"/>
          <w:szCs w:val="21"/>
          <w:highlight w:val="none"/>
        </w:rPr>
        <w:t>对投标文件进行开标，并在网上公布开标结果。</w:t>
      </w:r>
    </w:p>
    <w:p w14:paraId="7288956C">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评审要求</w:t>
      </w:r>
    </w:p>
    <w:p w14:paraId="25F55BF3">
      <w:pPr>
        <w:ind w:firstLine="420" w:firstLineChars="200"/>
        <w:rPr>
          <w:rFonts w:ascii="黑体" w:hAnsi="宋体" w:eastAsia="黑体"/>
          <w:szCs w:val="21"/>
          <w:highlight w:val="none"/>
        </w:rPr>
      </w:pPr>
      <w:r>
        <w:rPr>
          <w:rFonts w:hint="eastAsia" w:ascii="黑体" w:hAnsi="宋体" w:eastAsia="黑体"/>
          <w:szCs w:val="21"/>
          <w:highlight w:val="none"/>
        </w:rPr>
        <w:t>29．评审委员会组成</w:t>
      </w:r>
    </w:p>
    <w:p w14:paraId="5A1ADA62">
      <w:pPr>
        <w:ind w:firstLine="420" w:firstLineChars="200"/>
        <w:rPr>
          <w:rFonts w:ascii="宋体" w:hAnsi="宋体"/>
          <w:szCs w:val="21"/>
          <w:highlight w:val="none"/>
        </w:rPr>
      </w:pPr>
      <w:r>
        <w:rPr>
          <w:rFonts w:hint="eastAsia" w:ascii="宋体" w:hAnsi="宋体"/>
          <w:szCs w:val="21"/>
          <w:highlight w:val="none"/>
        </w:rPr>
        <w:t>29.1网上开标结束后召开评审会议，评审委员会由采购代理机构依法组建，负责评审活动。</w:t>
      </w:r>
    </w:p>
    <w:p w14:paraId="32642735">
      <w:pPr>
        <w:ind w:firstLine="420" w:firstLineChars="200"/>
        <w:rPr>
          <w:rFonts w:ascii="宋体" w:hAnsi="宋体"/>
          <w:color w:val="FF0000"/>
          <w:szCs w:val="21"/>
          <w:highlight w:val="none"/>
        </w:rPr>
      </w:pPr>
      <w:bookmarkStart w:id="71"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1"/>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28FA697C">
      <w:pPr>
        <w:ind w:firstLine="420" w:firstLineChars="200"/>
        <w:rPr>
          <w:rFonts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22670CEB">
      <w:pPr>
        <w:ind w:firstLine="420" w:firstLineChars="200"/>
        <w:rPr>
          <w:rFonts w:ascii="黑体" w:hAnsi="宋体" w:eastAsia="黑体"/>
          <w:szCs w:val="21"/>
          <w:highlight w:val="none"/>
        </w:rPr>
      </w:pPr>
      <w:r>
        <w:rPr>
          <w:rFonts w:hint="eastAsia" w:ascii="黑体" w:hAnsi="宋体" w:eastAsia="黑体"/>
          <w:szCs w:val="21"/>
          <w:highlight w:val="none"/>
        </w:rPr>
        <w:t>30．向评审委员会提供的资料</w:t>
      </w:r>
    </w:p>
    <w:p w14:paraId="32887156">
      <w:pPr>
        <w:ind w:firstLine="420" w:firstLineChars="200"/>
        <w:rPr>
          <w:rFonts w:ascii="宋体" w:hAnsi="宋体"/>
          <w:szCs w:val="21"/>
          <w:highlight w:val="none"/>
        </w:rPr>
      </w:pPr>
      <w:r>
        <w:rPr>
          <w:rFonts w:hint="eastAsia" w:ascii="宋体" w:hAnsi="宋体"/>
          <w:szCs w:val="21"/>
          <w:highlight w:val="none"/>
        </w:rPr>
        <w:t>30.1公开发布的招标文件，包括图纸、服务清单、答疑文件等；</w:t>
      </w:r>
    </w:p>
    <w:p w14:paraId="0DC2D6F4">
      <w:pPr>
        <w:ind w:firstLine="420" w:firstLineChars="200"/>
        <w:rPr>
          <w:rFonts w:ascii="宋体" w:hAnsi="宋体"/>
          <w:szCs w:val="21"/>
          <w:highlight w:val="none"/>
        </w:rPr>
      </w:pPr>
      <w:r>
        <w:rPr>
          <w:rFonts w:hint="eastAsia" w:ascii="宋体" w:hAnsi="宋体"/>
          <w:szCs w:val="21"/>
          <w:highlight w:val="none"/>
        </w:rPr>
        <w:t>30.2其他评标必须的资料。</w:t>
      </w:r>
    </w:p>
    <w:p w14:paraId="465C19BF">
      <w:pPr>
        <w:ind w:firstLine="420" w:firstLineChars="200"/>
        <w:rPr>
          <w:rFonts w:ascii="宋体" w:hAnsi="宋体"/>
          <w:szCs w:val="21"/>
          <w:highlight w:val="none"/>
        </w:rPr>
      </w:pPr>
      <w:r>
        <w:rPr>
          <w:rFonts w:hint="eastAsia" w:ascii="宋体" w:hAnsi="宋体"/>
          <w:szCs w:val="21"/>
          <w:highlight w:val="none"/>
        </w:rPr>
        <w:t>30.3评审委员会应当认真研究招标文件，至少应了解熟悉以下内容：</w:t>
      </w:r>
    </w:p>
    <w:p w14:paraId="0AA9A345">
      <w:pPr>
        <w:ind w:firstLine="420" w:firstLineChars="200"/>
        <w:rPr>
          <w:rFonts w:ascii="宋体" w:hAnsi="宋体"/>
          <w:szCs w:val="21"/>
          <w:highlight w:val="none"/>
        </w:rPr>
      </w:pPr>
      <w:r>
        <w:rPr>
          <w:rFonts w:hint="eastAsia" w:ascii="宋体" w:hAnsi="宋体"/>
          <w:szCs w:val="21"/>
          <w:highlight w:val="none"/>
        </w:rPr>
        <w:t>（1）招标的目的；</w:t>
      </w:r>
    </w:p>
    <w:p w14:paraId="43295F18">
      <w:pPr>
        <w:ind w:firstLine="420" w:firstLineChars="200"/>
        <w:rPr>
          <w:rFonts w:ascii="宋体" w:hAnsi="宋体"/>
          <w:szCs w:val="21"/>
          <w:highlight w:val="none"/>
        </w:rPr>
      </w:pPr>
      <w:r>
        <w:rPr>
          <w:rFonts w:hint="eastAsia" w:ascii="宋体" w:hAnsi="宋体"/>
          <w:szCs w:val="21"/>
          <w:highlight w:val="none"/>
        </w:rPr>
        <w:t>（2）招标项目需求的范围和性质；</w:t>
      </w:r>
    </w:p>
    <w:p w14:paraId="381BABC5">
      <w:pPr>
        <w:ind w:firstLine="420" w:firstLineChars="200"/>
        <w:rPr>
          <w:rFonts w:ascii="宋体" w:hAnsi="宋体"/>
          <w:szCs w:val="21"/>
          <w:highlight w:val="none"/>
        </w:rPr>
      </w:pPr>
      <w:r>
        <w:rPr>
          <w:rFonts w:hint="eastAsia" w:ascii="宋体" w:hAnsi="宋体"/>
          <w:szCs w:val="21"/>
          <w:highlight w:val="none"/>
        </w:rPr>
        <w:t>（3）招标文件规定的投标人的资格、财政预算限额、商务条款；</w:t>
      </w:r>
    </w:p>
    <w:p w14:paraId="5962B252">
      <w:pPr>
        <w:ind w:firstLine="420" w:firstLineChars="200"/>
        <w:rPr>
          <w:rFonts w:ascii="宋体" w:hAnsi="宋体"/>
          <w:szCs w:val="21"/>
          <w:highlight w:val="none"/>
        </w:rPr>
      </w:pPr>
      <w:r>
        <w:rPr>
          <w:rFonts w:hint="eastAsia" w:ascii="宋体" w:hAnsi="宋体"/>
          <w:szCs w:val="21"/>
          <w:highlight w:val="none"/>
        </w:rPr>
        <w:t>（4）招标文件规定的评标程序、评标方法和评标因素；</w:t>
      </w:r>
    </w:p>
    <w:p w14:paraId="047F53B2">
      <w:pPr>
        <w:ind w:firstLine="420" w:firstLineChars="200"/>
        <w:rPr>
          <w:rFonts w:ascii="宋体" w:hAnsi="宋体"/>
          <w:szCs w:val="21"/>
          <w:highlight w:val="none"/>
        </w:rPr>
      </w:pPr>
      <w:r>
        <w:rPr>
          <w:rFonts w:hint="eastAsia" w:ascii="宋体" w:hAnsi="宋体"/>
          <w:szCs w:val="21"/>
          <w:highlight w:val="none"/>
        </w:rPr>
        <w:t>（5）招标文件所列示的资格性审查表及符合性审查表。</w:t>
      </w:r>
    </w:p>
    <w:p w14:paraId="01A0B098">
      <w:pPr>
        <w:ind w:firstLine="420" w:firstLineChars="200"/>
        <w:rPr>
          <w:rFonts w:ascii="黑体" w:hAnsi="宋体" w:eastAsia="黑体"/>
          <w:szCs w:val="21"/>
          <w:highlight w:val="none"/>
        </w:rPr>
      </w:pPr>
      <w:r>
        <w:rPr>
          <w:rFonts w:hint="eastAsia" w:ascii="黑体" w:hAnsi="宋体" w:eastAsia="黑体"/>
          <w:szCs w:val="21"/>
          <w:highlight w:val="none"/>
        </w:rPr>
        <w:t>31．独立评审</w:t>
      </w:r>
    </w:p>
    <w:p w14:paraId="63181C27">
      <w:pPr>
        <w:ind w:firstLine="420" w:firstLineChars="200"/>
        <w:rPr>
          <w:rFonts w:ascii="宋体" w:hAnsi="宋体"/>
          <w:bCs/>
          <w:szCs w:val="21"/>
          <w:highlight w:val="none"/>
        </w:rPr>
      </w:pPr>
      <w:r>
        <w:rPr>
          <w:rFonts w:hint="eastAsia" w:ascii="宋体" w:hAnsi="宋体"/>
          <w:bCs/>
          <w:szCs w:val="21"/>
          <w:highlight w:val="none"/>
        </w:rPr>
        <w:t>31.1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highlight w:val="none"/>
        </w:rPr>
      </w:pPr>
    </w:p>
    <w:p w14:paraId="0A5424CC">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评审程序及评审方法</w:t>
      </w:r>
    </w:p>
    <w:p w14:paraId="734FBE81">
      <w:pPr>
        <w:ind w:firstLine="420" w:firstLineChars="200"/>
        <w:rPr>
          <w:rFonts w:ascii="黑体" w:hAnsi="宋体" w:eastAsia="黑体"/>
          <w:szCs w:val="21"/>
          <w:highlight w:val="none"/>
        </w:rPr>
      </w:pPr>
      <w:r>
        <w:rPr>
          <w:rFonts w:hint="eastAsia" w:ascii="黑体" w:hAnsi="宋体" w:eastAsia="黑体"/>
          <w:szCs w:val="21"/>
          <w:highlight w:val="none"/>
        </w:rPr>
        <w:t>32．投标文件初审</w:t>
      </w:r>
    </w:p>
    <w:p w14:paraId="68C92805">
      <w:pPr>
        <w:ind w:firstLine="420" w:firstLineChars="200"/>
        <w:rPr>
          <w:rFonts w:ascii="宋体" w:hAnsi="宋体"/>
          <w:szCs w:val="21"/>
          <w:highlight w:val="none"/>
        </w:rPr>
      </w:pPr>
      <w:r>
        <w:rPr>
          <w:rFonts w:hint="eastAsia" w:ascii="宋体" w:hAnsi="宋体"/>
          <w:szCs w:val="21"/>
          <w:highlight w:val="none"/>
        </w:rPr>
        <w:t>32.1投标文件初审包括资格性审查和符合性审查。</w:t>
      </w:r>
    </w:p>
    <w:p w14:paraId="40750F2B">
      <w:pPr>
        <w:ind w:firstLine="420" w:firstLineChars="200"/>
        <w:rPr>
          <w:rFonts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highlight w:val="none"/>
        </w:rPr>
      </w:pPr>
      <w:r>
        <w:rPr>
          <w:rFonts w:hint="eastAsia" w:ascii="宋体" w:hAnsi="宋体"/>
          <w:bCs/>
          <w:szCs w:val="21"/>
          <w:highlight w:val="none"/>
        </w:rPr>
        <w:t>32.3 投标文件初审中关于供应商家数的计算:</w:t>
      </w:r>
    </w:p>
    <w:p w14:paraId="23631F55">
      <w:pPr>
        <w:ind w:firstLine="420" w:firstLineChars="200"/>
        <w:rPr>
          <w:rFonts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highlight w:val="none"/>
        </w:rPr>
      </w:pPr>
      <w:r>
        <w:rPr>
          <w:rFonts w:hint="eastAsia" w:ascii="宋体" w:hAnsi="宋体"/>
          <w:szCs w:val="21"/>
          <w:highlight w:val="none"/>
        </w:rPr>
        <w:t>32.4投标人投标文件作无效处理的情形，具体包括但不限于以下：</w:t>
      </w:r>
    </w:p>
    <w:p w14:paraId="57E0ED71">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1610656A">
      <w:pPr>
        <w:ind w:firstLine="420" w:firstLineChars="200"/>
        <w:rPr>
          <w:szCs w:val="21"/>
          <w:highlight w:val="none"/>
        </w:rPr>
      </w:pPr>
      <w:r>
        <w:rPr>
          <w:rFonts w:hint="eastAsia" w:ascii="宋体" w:hAnsi="宋体"/>
          <w:szCs w:val="21"/>
          <w:highlight w:val="none"/>
        </w:rPr>
        <w:t>32.4.2</w:t>
      </w:r>
      <w:r>
        <w:rPr>
          <w:rFonts w:hint="eastAsia"/>
          <w:szCs w:val="21"/>
          <w:highlight w:val="none"/>
        </w:rPr>
        <w:t>不同投标人委托同一单位或者个人办理投标事宜；</w:t>
      </w:r>
    </w:p>
    <w:p w14:paraId="1CEE4F46">
      <w:pPr>
        <w:ind w:firstLine="420" w:firstLineChars="200"/>
        <w:rPr>
          <w:rFonts w:ascii="宋体" w:hAnsi="宋体"/>
          <w:szCs w:val="21"/>
          <w:highlight w:val="none"/>
        </w:rPr>
      </w:pPr>
      <w:r>
        <w:rPr>
          <w:rFonts w:hint="eastAsia" w:ascii="宋体" w:hAnsi="宋体"/>
          <w:szCs w:val="21"/>
          <w:highlight w:val="none"/>
        </w:rPr>
        <w:t>32.4.3不同投标人的投标文件载明的项目管理成员或者联系人员为同一人；</w:t>
      </w:r>
    </w:p>
    <w:p w14:paraId="303F8347">
      <w:pPr>
        <w:ind w:firstLine="420" w:firstLineChars="200"/>
        <w:rPr>
          <w:rFonts w:ascii="宋体" w:hAnsi="宋体"/>
          <w:szCs w:val="21"/>
          <w:highlight w:val="none"/>
        </w:rPr>
      </w:pPr>
      <w:r>
        <w:rPr>
          <w:rFonts w:hint="eastAsia" w:ascii="宋体" w:hAnsi="宋体"/>
          <w:szCs w:val="21"/>
          <w:highlight w:val="none"/>
        </w:rPr>
        <w:t>32.4.4不同投标人的投标文件异常一致或者投标报价呈规律性差异；</w:t>
      </w:r>
    </w:p>
    <w:p w14:paraId="016BB846">
      <w:pPr>
        <w:ind w:firstLine="420" w:firstLineChars="200"/>
        <w:rPr>
          <w:rFonts w:ascii="宋体" w:hAnsi="宋体"/>
          <w:szCs w:val="21"/>
          <w:highlight w:val="none"/>
        </w:rPr>
      </w:pPr>
      <w:r>
        <w:rPr>
          <w:rFonts w:hint="eastAsia" w:ascii="宋体" w:hAnsi="宋体"/>
          <w:szCs w:val="21"/>
          <w:highlight w:val="none"/>
        </w:rPr>
        <w:t>32.4.5不同投标供应商的投标文件或部分投标文件相互混装；</w:t>
      </w:r>
    </w:p>
    <w:p w14:paraId="6F046183">
      <w:pPr>
        <w:ind w:firstLine="420" w:firstLineChars="200"/>
        <w:rPr>
          <w:rFonts w:ascii="宋体" w:hAnsi="宋体"/>
          <w:szCs w:val="21"/>
          <w:highlight w:val="none"/>
        </w:rPr>
      </w:pPr>
      <w:r>
        <w:rPr>
          <w:rFonts w:hint="eastAsia" w:ascii="宋体" w:hAnsi="宋体"/>
          <w:szCs w:val="21"/>
          <w:highlight w:val="none"/>
        </w:rPr>
        <w:t>32.4.6投标供应商之间相互约定给予未中标的供应商利益补偿；</w:t>
      </w:r>
    </w:p>
    <w:p w14:paraId="231D8E6C">
      <w:pPr>
        <w:ind w:firstLine="420" w:firstLineChars="200"/>
        <w:rPr>
          <w:rFonts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highlight w:val="none"/>
        </w:rPr>
      </w:pPr>
      <w:r>
        <w:rPr>
          <w:rFonts w:hint="eastAsia" w:ascii="宋体" w:hAnsi="宋体"/>
          <w:szCs w:val="21"/>
          <w:highlight w:val="none"/>
        </w:rPr>
        <w:t>32.4.8不同投标供应商的投标文件内容存在非正常一致；</w:t>
      </w:r>
    </w:p>
    <w:p w14:paraId="4F92679E">
      <w:pPr>
        <w:ind w:firstLine="420" w:firstLineChars="200"/>
        <w:rPr>
          <w:rFonts w:ascii="宋体" w:hAnsi="宋体"/>
          <w:szCs w:val="21"/>
          <w:highlight w:val="none"/>
        </w:rPr>
      </w:pPr>
      <w:r>
        <w:rPr>
          <w:rFonts w:hint="eastAsia" w:ascii="宋体" w:hAnsi="宋体"/>
          <w:szCs w:val="21"/>
          <w:highlight w:val="none"/>
        </w:rPr>
        <w:t>32.4.9在同一单位工作人员为两家以上（含两家）供应商进行同一项投标活动；</w:t>
      </w:r>
    </w:p>
    <w:p w14:paraId="4E7B59EE">
      <w:pPr>
        <w:ind w:firstLine="420" w:firstLineChars="200"/>
        <w:rPr>
          <w:rFonts w:ascii="宋体" w:hAnsi="宋体"/>
          <w:szCs w:val="21"/>
          <w:highlight w:val="none"/>
        </w:rPr>
      </w:pPr>
      <w:r>
        <w:rPr>
          <w:rFonts w:hint="eastAsia" w:ascii="宋体" w:hAnsi="宋体"/>
          <w:szCs w:val="21"/>
          <w:highlight w:val="none"/>
        </w:rPr>
        <w:t>32.4.10主管部门依照法律、法规认定的其他情形。</w:t>
      </w:r>
    </w:p>
    <w:p w14:paraId="651101F7">
      <w:pPr>
        <w:ind w:firstLine="420" w:firstLineChars="200"/>
        <w:rPr>
          <w:rFonts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highlight w:val="none"/>
        </w:rPr>
      </w:pPr>
      <w:r>
        <w:rPr>
          <w:rFonts w:hint="eastAsia" w:ascii="黑体" w:hAnsi="宋体" w:eastAsia="黑体"/>
          <w:szCs w:val="21"/>
          <w:highlight w:val="none"/>
        </w:rPr>
        <w:t>33．澄清有关问题</w:t>
      </w:r>
    </w:p>
    <w:p w14:paraId="32C27FE1">
      <w:pPr>
        <w:ind w:firstLine="420" w:firstLineChars="200"/>
        <w:rPr>
          <w:rFonts w:ascii="宋体" w:hAnsi="宋体"/>
          <w:szCs w:val="21"/>
          <w:highlight w:val="none"/>
        </w:rPr>
      </w:pPr>
      <w:bookmarkStart w:id="72" w:name="_Hlk71407321"/>
      <w:r>
        <w:rPr>
          <w:rFonts w:hint="eastAsia" w:ascii="宋体" w:hAnsi="宋体"/>
          <w:szCs w:val="21"/>
          <w:highlight w:val="none"/>
        </w:rPr>
        <w:t>33.1对招标文件中描述有歧义或前后不一致的地方（不含</w:t>
      </w:r>
      <w:r>
        <w:rPr>
          <w:rFonts w:hint="eastAsia"/>
          <w:szCs w:val="21"/>
          <w:highlight w:val="none"/>
        </w:rPr>
        <w:t>招标文件存在歧义、重大缺陷导致评审工作无法进行的情况）</w:t>
      </w:r>
      <w:r>
        <w:rPr>
          <w:rFonts w:hint="eastAsia" w:ascii="宋体" w:hAnsi="宋体"/>
          <w:szCs w:val="21"/>
          <w:highlight w:val="none"/>
        </w:rPr>
        <w:t>，评审委员会有权进行评判，但对同一条款的评判应适用于每个投标人。</w:t>
      </w:r>
      <w:bookmarkEnd w:id="72"/>
    </w:p>
    <w:p w14:paraId="53C04815">
      <w:pPr>
        <w:ind w:firstLine="420" w:firstLineChars="200"/>
        <w:rPr>
          <w:rFonts w:ascii="宋体" w:hAnsi="宋体"/>
          <w:szCs w:val="21"/>
          <w:highlight w:val="none"/>
        </w:rPr>
      </w:pPr>
      <w:r>
        <w:rPr>
          <w:rFonts w:hint="eastAsia" w:ascii="宋体" w:hAnsi="宋体"/>
          <w:szCs w:val="21"/>
          <w:highlight w:val="none"/>
        </w:rPr>
        <w:t>33.2</w:t>
      </w:r>
      <w:r>
        <w:rPr>
          <w:rFonts w:hint="eastAsia"/>
          <w:szCs w:val="21"/>
          <w:highlight w:val="none"/>
        </w:rPr>
        <w:t>评审委员会发现招标文件存在歧义、重大缺陷导致评审工作无法进行，或者招标文件内容违反国家有关强制性规定的，应当停止评审工作，与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沟通并作书面记录。经确认后，项目应当修改招标文件，重新组织采购活动。</w:t>
      </w:r>
    </w:p>
    <w:p w14:paraId="4AEC0EB5">
      <w:pPr>
        <w:ind w:firstLine="420" w:firstLineChars="200"/>
        <w:rPr>
          <w:rFonts w:ascii="宋体" w:hAnsi="宋体"/>
          <w:szCs w:val="21"/>
          <w:highlight w:val="none"/>
        </w:rPr>
      </w:pPr>
      <w:r>
        <w:rPr>
          <w:rFonts w:hint="eastAsia" w:ascii="宋体" w:hAnsi="宋体"/>
          <w:szCs w:val="21"/>
          <w:highlight w:val="none"/>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20FB6A48">
      <w:pPr>
        <w:ind w:firstLine="420" w:firstLineChars="200"/>
        <w:rPr>
          <w:rFonts w:ascii="黑体" w:hAnsi="宋体" w:eastAsia="黑体"/>
          <w:szCs w:val="21"/>
          <w:highlight w:val="none"/>
        </w:rPr>
      </w:pPr>
      <w:bookmarkStart w:id="73" w:name="_Toc100052400"/>
      <w:bookmarkStart w:id="74" w:name="_Toc73517673"/>
      <w:bookmarkStart w:id="75" w:name="_Toc73521669"/>
      <w:bookmarkStart w:id="76" w:name="_Toc73521581"/>
      <w:bookmarkStart w:id="77" w:name="_Toc73518151"/>
      <w:r>
        <w:rPr>
          <w:rFonts w:hint="eastAsia" w:ascii="黑体" w:hAnsi="宋体" w:eastAsia="黑体"/>
          <w:szCs w:val="21"/>
          <w:highlight w:val="none"/>
        </w:rPr>
        <w:t>34．错误的修正</w:t>
      </w:r>
      <w:bookmarkEnd w:id="73"/>
      <w:bookmarkEnd w:id="74"/>
      <w:bookmarkEnd w:id="75"/>
      <w:bookmarkEnd w:id="76"/>
      <w:bookmarkEnd w:id="77"/>
    </w:p>
    <w:p w14:paraId="59911861">
      <w:pPr>
        <w:ind w:firstLine="420" w:firstLineChars="200"/>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63BA480E">
      <w:pPr>
        <w:ind w:firstLine="420" w:firstLineChars="200"/>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505A9F2D">
      <w:pPr>
        <w:ind w:firstLine="420" w:firstLineChars="200"/>
        <w:rPr>
          <w:rFonts w:ascii="宋体" w:hAnsi="宋体"/>
          <w:szCs w:val="21"/>
          <w:highlight w:val="none"/>
        </w:rPr>
      </w:pPr>
      <w:r>
        <w:rPr>
          <w:rFonts w:hint="eastAsia" w:ascii="宋体" w:hAnsi="宋体"/>
          <w:szCs w:val="21"/>
          <w:highlight w:val="none"/>
        </w:rPr>
        <w:t>34.2大写金额和小写金额不一致的，以大写金额为准；</w:t>
      </w:r>
    </w:p>
    <w:p w14:paraId="1BA8E5CE">
      <w:pPr>
        <w:ind w:firstLine="420" w:firstLineChars="200"/>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3194654">
      <w:pPr>
        <w:ind w:firstLine="420" w:firstLineChars="200"/>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73936734">
      <w:pPr>
        <w:ind w:firstLine="420" w:firstLineChars="200"/>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highlight w:val="none"/>
        </w:rPr>
      </w:pPr>
      <w:r>
        <w:rPr>
          <w:rFonts w:hint="eastAsia" w:ascii="黑体" w:hAnsi="宋体" w:eastAsia="黑体"/>
          <w:szCs w:val="21"/>
          <w:highlight w:val="none"/>
        </w:rPr>
        <w:t>35．投标文件的比较与评价</w:t>
      </w:r>
    </w:p>
    <w:p w14:paraId="33276DF9">
      <w:pPr>
        <w:ind w:firstLine="420" w:firstLineChars="200"/>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highlight w:val="none"/>
        </w:rPr>
      </w:pPr>
      <w:r>
        <w:rPr>
          <w:rFonts w:hint="eastAsia" w:ascii="黑体" w:hAnsi="宋体" w:eastAsia="黑体"/>
          <w:szCs w:val="21"/>
          <w:highlight w:val="none"/>
        </w:rPr>
        <w:t>36. 实地考察或资料查验</w:t>
      </w:r>
    </w:p>
    <w:p w14:paraId="19D5FBC9">
      <w:pPr>
        <w:ind w:firstLine="420" w:firstLineChars="200"/>
        <w:rPr>
          <w:rFonts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highlight w:val="none"/>
        </w:rPr>
      </w:pPr>
      <w:r>
        <w:rPr>
          <w:rFonts w:hint="eastAsia" w:ascii="黑体" w:hAnsi="宋体" w:eastAsia="黑体"/>
          <w:szCs w:val="21"/>
          <w:highlight w:val="none"/>
        </w:rPr>
        <w:t>37．评审方法</w:t>
      </w:r>
    </w:p>
    <w:p w14:paraId="4D7CD8D2">
      <w:pPr>
        <w:ind w:firstLine="422" w:firstLineChars="200"/>
        <w:rPr>
          <w:rFonts w:ascii="宋体" w:hAnsi="宋体"/>
          <w:b/>
          <w:bCs/>
          <w:szCs w:val="21"/>
          <w:highlight w:val="none"/>
        </w:rPr>
      </w:pPr>
      <w:r>
        <w:rPr>
          <w:rFonts w:hint="eastAsia" w:ascii="宋体" w:hAnsi="宋体"/>
          <w:b/>
          <w:bCs/>
          <w:szCs w:val="21"/>
          <w:highlight w:val="none"/>
        </w:rPr>
        <w:t>37.1.1最低价法</w:t>
      </w:r>
    </w:p>
    <w:p w14:paraId="6FCA93BF">
      <w:pPr>
        <w:ind w:firstLine="420" w:firstLineChars="200"/>
        <w:rPr>
          <w:rFonts w:ascii="ˎ̥" w:hAnsi="ˎ̥"/>
          <w:szCs w:val="21"/>
          <w:highlight w:val="none"/>
        </w:rPr>
      </w:pPr>
      <w:bookmarkStart w:id="78" w:name="_Hlk72438142"/>
      <w:r>
        <w:rPr>
          <w:rFonts w:hint="eastAsia" w:ascii="ˎ̥" w:hAnsi="ˎ̥"/>
          <w:szCs w:val="21"/>
          <w:highlight w:val="none"/>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highlight w:val="none"/>
        </w:rPr>
      </w:pPr>
      <w:r>
        <w:rPr>
          <w:rFonts w:hint="eastAsia" w:ascii="宋体" w:hAnsi="宋体"/>
          <w:b/>
          <w:bCs/>
          <w:szCs w:val="21"/>
          <w:highlight w:val="none"/>
        </w:rPr>
        <w:t>37.1.2综合评分法</w:t>
      </w:r>
    </w:p>
    <w:p w14:paraId="1ED1B96B">
      <w:pPr>
        <w:ind w:firstLine="420" w:firstLineChars="200"/>
        <w:rPr>
          <w:rFonts w:ascii="ˎ̥" w:hAnsi="ˎ̥"/>
          <w:szCs w:val="21"/>
          <w:highlight w:val="none"/>
        </w:rPr>
      </w:pPr>
      <w:r>
        <w:rPr>
          <w:rFonts w:hint="eastAsia" w:ascii="ˎ̥" w:hAnsi="ˎ̥"/>
          <w:szCs w:val="21"/>
          <w:highlight w:val="none"/>
        </w:rPr>
        <w:t>综合评分法，是指在满足招标文件全部实质性要求的前提下，按照招标文件中规定的各项因素进行综合评审，评审总得分排名前列的投标人，作为推荐的候选中标供应商。</w:t>
      </w:r>
      <w:bookmarkEnd w:id="78"/>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58457656">
      <w:pPr>
        <w:ind w:firstLine="422" w:firstLineChars="200"/>
        <w:rPr>
          <w:rFonts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562AA51A">
      <w:pPr>
        <w:ind w:firstLine="422" w:firstLineChars="200"/>
        <w:rPr>
          <w:rFonts w:ascii="宋体" w:hAnsi="宋体"/>
          <w:b/>
          <w:bCs/>
          <w:szCs w:val="21"/>
          <w:highlight w:val="none"/>
        </w:rPr>
      </w:pPr>
      <w:r>
        <w:rPr>
          <w:rFonts w:hint="eastAsia" w:ascii="宋体" w:hAnsi="宋体"/>
          <w:b/>
          <w:bCs/>
          <w:szCs w:val="21"/>
          <w:highlight w:val="none"/>
        </w:rPr>
        <w:t>37.3重新评审的情形</w:t>
      </w:r>
    </w:p>
    <w:p w14:paraId="3A326CB4">
      <w:pPr>
        <w:ind w:firstLine="420" w:firstLineChars="200"/>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09CEA4C7">
      <w:pPr>
        <w:ind w:firstLine="420" w:firstLineChars="200"/>
        <w:rPr>
          <w:rFonts w:ascii="宋体" w:hAnsi="宋体" w:cs="宋体"/>
          <w:kern w:val="0"/>
          <w:szCs w:val="21"/>
          <w:highlight w:val="none"/>
        </w:rPr>
      </w:pPr>
      <w:r>
        <w:rPr>
          <w:rFonts w:hint="eastAsia" w:ascii="宋体" w:hAnsi="宋体" w:cs="宋体"/>
          <w:kern w:val="0"/>
          <w:szCs w:val="21"/>
          <w:highlight w:val="none"/>
        </w:rPr>
        <w:t>37.3.1分值汇总计算错误的；</w:t>
      </w:r>
    </w:p>
    <w:p w14:paraId="5EB30320">
      <w:pPr>
        <w:ind w:firstLine="420" w:firstLineChars="200"/>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0B875394">
      <w:pPr>
        <w:ind w:firstLine="420" w:firstLineChars="200"/>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3F2C1782">
      <w:pPr>
        <w:ind w:firstLine="420" w:firstLineChars="200"/>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77F2BCAA">
      <w:pPr>
        <w:ind w:firstLine="420" w:firstLineChars="200"/>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highlight w:val="none"/>
        </w:rPr>
      </w:pPr>
      <w:r>
        <w:rPr>
          <w:rFonts w:hint="eastAsia" w:ascii="宋体" w:hAnsi="宋体"/>
          <w:b/>
          <w:bCs/>
          <w:szCs w:val="21"/>
          <w:highlight w:val="none"/>
        </w:rPr>
        <w:t xml:space="preserve"> 37.4重新组建评审委员会的情形</w:t>
      </w:r>
    </w:p>
    <w:p w14:paraId="1BACD0BD">
      <w:pPr>
        <w:ind w:firstLine="420" w:firstLineChars="200"/>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159BA5E5">
      <w:pPr>
        <w:ind w:firstLine="420" w:firstLineChars="200"/>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6113335B">
      <w:pPr>
        <w:ind w:firstLine="420" w:firstLineChars="200"/>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4A5867C1">
      <w:pPr>
        <w:ind w:firstLine="420" w:firstLineChars="200"/>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69DE2828">
      <w:pPr>
        <w:ind w:firstLine="420" w:firstLineChars="200"/>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884269E">
      <w:pPr>
        <w:ind w:firstLine="411" w:firstLineChars="196"/>
        <w:rPr>
          <w:rFonts w:ascii="宋体" w:hAnsi="宋体"/>
          <w:szCs w:val="21"/>
          <w:highlight w:val="none"/>
        </w:rPr>
      </w:pPr>
    </w:p>
    <w:p w14:paraId="3CE7BB83">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定标及公示</w:t>
      </w:r>
    </w:p>
    <w:p w14:paraId="29C025A5">
      <w:pPr>
        <w:ind w:firstLine="420" w:firstLineChars="200"/>
        <w:rPr>
          <w:rFonts w:ascii="黑体" w:hAnsi="宋体" w:eastAsia="黑体"/>
          <w:szCs w:val="21"/>
          <w:highlight w:val="none"/>
        </w:rPr>
      </w:pPr>
      <w:r>
        <w:rPr>
          <w:rFonts w:hint="eastAsia" w:ascii="黑体" w:hAnsi="宋体" w:eastAsia="黑体"/>
          <w:szCs w:val="21"/>
          <w:highlight w:val="none"/>
        </w:rPr>
        <w:t>38．定标方法</w:t>
      </w:r>
    </w:p>
    <w:p w14:paraId="6F18CEE4">
      <w:pPr>
        <w:ind w:firstLine="420" w:firstLineChars="200"/>
        <w:rPr>
          <w:rFonts w:ascii="宋体" w:hAnsi="宋体"/>
          <w:szCs w:val="21"/>
          <w:highlight w:val="none"/>
        </w:rPr>
      </w:pPr>
      <w:bookmarkStart w:id="79" w:name="_Hlk73782795"/>
      <w:r>
        <w:rPr>
          <w:rFonts w:hint="eastAsia" w:ascii="宋体" w:hAnsi="宋体"/>
          <w:szCs w:val="21"/>
          <w:highlight w:val="none"/>
        </w:rPr>
        <w:t>38.1非评定分离项目定标方法</w:t>
      </w:r>
    </w:p>
    <w:p w14:paraId="45D4151C">
      <w:pPr>
        <w:ind w:firstLine="420" w:firstLineChars="200"/>
        <w:rPr>
          <w:rFonts w:ascii="宋体" w:hAnsi="宋体"/>
          <w:szCs w:val="21"/>
          <w:highlight w:val="none"/>
        </w:rPr>
      </w:pPr>
      <w:r>
        <w:rPr>
          <w:rFonts w:hint="eastAsia" w:ascii="宋体" w:hAnsi="宋体"/>
          <w:szCs w:val="21"/>
          <w:highlight w:val="none"/>
        </w:rPr>
        <w:t>38.1.1评审委员会依据本项目招标文件所约定的评审方法进行评审和比较，向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highlight w:val="none"/>
        </w:rPr>
      </w:pPr>
      <w:r>
        <w:rPr>
          <w:rFonts w:hint="eastAsia" w:ascii="宋体" w:hAnsi="宋体"/>
          <w:szCs w:val="21"/>
          <w:highlight w:val="none"/>
        </w:rPr>
        <w:t>38.1.2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hint="eastAsia" w:ascii="ˎ̥" w:hAnsi="ˎ̥"/>
          <w:szCs w:val="21"/>
          <w:highlight w:val="none"/>
        </w:rPr>
        <w:t>。</w:t>
      </w:r>
    </w:p>
    <w:p w14:paraId="7856B531">
      <w:pPr>
        <w:ind w:firstLine="420" w:firstLineChars="200"/>
        <w:rPr>
          <w:rFonts w:hint="eastAsia" w:ascii="ˎ̥" w:hAnsi="ˎ̥"/>
          <w:szCs w:val="21"/>
          <w:highlight w:val="none"/>
        </w:rPr>
      </w:pPr>
      <w:r>
        <w:rPr>
          <w:rFonts w:hint="eastAsia" w:ascii="宋体" w:hAnsi="宋体"/>
          <w:szCs w:val="21"/>
          <w:highlight w:val="none"/>
        </w:rPr>
        <w:t>38.1.3采</w:t>
      </w:r>
      <w:r>
        <w:rPr>
          <w:rFonts w:hint="eastAsia" w:ascii="ˎ̥" w:hAnsi="ˎ̥"/>
          <w:szCs w:val="21"/>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highlight w:val="none"/>
        </w:rPr>
      </w:pPr>
      <w:r>
        <w:rPr>
          <w:rFonts w:hint="eastAsia" w:ascii="宋体" w:hAnsi="宋体"/>
          <w:szCs w:val="21"/>
          <w:highlight w:val="none"/>
        </w:rPr>
        <w:t>38.2评定分离项目定标方法</w:t>
      </w:r>
    </w:p>
    <w:p w14:paraId="3D3384C7">
      <w:pPr>
        <w:ind w:firstLine="420" w:firstLineChars="200"/>
        <w:rPr>
          <w:rFonts w:ascii="宋体" w:hAnsi="宋体"/>
          <w:szCs w:val="21"/>
          <w:highlight w:val="none"/>
        </w:rPr>
      </w:pPr>
      <w:r>
        <w:rPr>
          <w:rFonts w:hint="eastAsia" w:ascii="宋体" w:hAnsi="宋体"/>
          <w:szCs w:val="21"/>
          <w:highlight w:val="none"/>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highlight w:val="none"/>
        </w:rPr>
      </w:pPr>
      <w:r>
        <w:rPr>
          <w:rFonts w:hint="eastAsia" w:ascii="宋体" w:hAnsi="宋体"/>
          <w:szCs w:val="21"/>
          <w:highlight w:val="none"/>
        </w:rPr>
        <w:t xml:space="preserve">38.2.2 </w:t>
      </w:r>
      <w:bookmarkStart w:id="80" w:name="_Hlk71469733"/>
      <w:r>
        <w:rPr>
          <w:rFonts w:hint="eastAsia"/>
          <w:szCs w:val="21"/>
          <w:highlight w:val="none"/>
        </w:rPr>
        <w:t>适用评定分离的采购项目，采用综合评分法评审。</w:t>
      </w:r>
      <w:r>
        <w:rPr>
          <w:rFonts w:hint="eastAsia" w:ascii="宋体" w:hAnsi="宋体"/>
          <w:szCs w:val="21"/>
          <w:highlight w:val="none"/>
        </w:rPr>
        <w:t>评审委员会按照评审结果，推荐</w:t>
      </w:r>
      <w:r>
        <w:rPr>
          <w:rFonts w:hint="eastAsia"/>
          <w:szCs w:val="21"/>
          <w:highlight w:val="none"/>
        </w:rPr>
        <w:t>三个合格的候选中标供应商。</w:t>
      </w:r>
    </w:p>
    <w:p w14:paraId="05774380">
      <w:pPr>
        <w:ind w:firstLine="420" w:firstLineChars="200"/>
        <w:rPr>
          <w:rFonts w:ascii="宋体" w:hAnsi="宋体"/>
          <w:szCs w:val="21"/>
          <w:highlight w:val="none"/>
        </w:rPr>
      </w:pPr>
      <w:r>
        <w:rPr>
          <w:rFonts w:hint="eastAsia" w:ascii="宋体" w:hAnsi="宋体"/>
          <w:szCs w:val="21"/>
          <w:highlight w:val="none"/>
        </w:rPr>
        <w:t>38.2.3</w:t>
      </w:r>
      <w:bookmarkStart w:id="81"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0"/>
      <w:bookmarkEnd w:id="81"/>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highlight w:val="none"/>
        </w:rPr>
      </w:pPr>
      <w:r>
        <w:rPr>
          <w:rFonts w:hint="eastAsia" w:ascii="宋体" w:hAnsi="宋体"/>
          <w:szCs w:val="21"/>
          <w:highlight w:val="none"/>
        </w:rPr>
        <w:t>说明：采购人及投标供应商应按照上述方法提前做好相关准备。</w:t>
      </w:r>
    </w:p>
    <w:p w14:paraId="6E5F6493">
      <w:pPr>
        <w:ind w:firstLine="420" w:firstLineChars="200"/>
        <w:rPr>
          <w:rFonts w:ascii="宋体" w:hAnsi="宋体"/>
          <w:szCs w:val="21"/>
          <w:highlight w:val="none"/>
        </w:rPr>
      </w:pPr>
      <w:r>
        <w:rPr>
          <w:rFonts w:hint="eastAsia" w:ascii="宋体" w:hAnsi="宋体"/>
          <w:szCs w:val="21"/>
          <w:highlight w:val="none"/>
        </w:rPr>
        <w:t>38.3专用条款另有规定的，按专用条款相关要求定标。</w:t>
      </w:r>
      <w:bookmarkEnd w:id="79"/>
    </w:p>
    <w:p w14:paraId="393405A1">
      <w:pPr>
        <w:ind w:firstLine="420" w:firstLineChars="200"/>
        <w:rPr>
          <w:rFonts w:ascii="黑体" w:hAnsi="宋体" w:eastAsia="黑体"/>
          <w:szCs w:val="21"/>
          <w:highlight w:val="none"/>
        </w:rPr>
      </w:pPr>
      <w:r>
        <w:rPr>
          <w:rFonts w:hint="eastAsia" w:ascii="黑体" w:hAnsi="宋体" w:eastAsia="黑体"/>
          <w:szCs w:val="21"/>
          <w:highlight w:val="none"/>
        </w:rPr>
        <w:t>39．编写评审报告</w:t>
      </w:r>
    </w:p>
    <w:p w14:paraId="2494371A">
      <w:pPr>
        <w:ind w:firstLine="420" w:firstLineChars="200"/>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highlight w:val="none"/>
        </w:rPr>
      </w:pPr>
      <w:r>
        <w:rPr>
          <w:rFonts w:hint="eastAsia" w:ascii="黑体" w:hAnsi="宋体" w:eastAsia="黑体"/>
          <w:szCs w:val="21"/>
          <w:highlight w:val="none"/>
        </w:rPr>
        <w:t>40．中标公告</w:t>
      </w:r>
    </w:p>
    <w:p w14:paraId="6A25805B">
      <w:pPr>
        <w:ind w:firstLine="420" w:firstLineChars="200"/>
        <w:rPr>
          <w:rFonts w:ascii="宋体" w:hAnsi="宋体"/>
          <w:szCs w:val="21"/>
          <w:highlight w:val="none"/>
        </w:rPr>
      </w:pPr>
      <w:r>
        <w:rPr>
          <w:rFonts w:hint="eastAsia" w:ascii="宋体" w:hAnsi="宋体"/>
          <w:szCs w:val="21"/>
          <w:highlight w:val="none"/>
        </w:rPr>
        <w:t>40.1</w:t>
      </w:r>
      <w:bookmarkStart w:id="82" w:name="_Hlk72438709"/>
      <w:r>
        <w:rPr>
          <w:rFonts w:hint="eastAsia" w:ascii="宋体" w:hAnsi="宋体"/>
          <w:szCs w:val="21"/>
          <w:highlight w:val="none"/>
        </w:rPr>
        <w:t>为体现“公开、公平、公正”的原则，评审结束后经采购人确认（确定）评审结果，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2"/>
      <w:bookmarkStart w:id="83"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83"/>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84"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84"/>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highlight w:val="none"/>
        </w:rPr>
      </w:pPr>
      <w:bookmarkStart w:id="85"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有权吊销中标通知书。</w:t>
      </w:r>
      <w:bookmarkEnd w:id="85"/>
    </w:p>
    <w:p w14:paraId="60F1418B">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公开招标失败的后续处理</w:t>
      </w:r>
    </w:p>
    <w:p w14:paraId="46EAB3AF">
      <w:pPr>
        <w:ind w:firstLine="420" w:firstLineChars="200"/>
        <w:rPr>
          <w:rFonts w:ascii="黑体" w:hAnsi="宋体" w:eastAsia="黑体"/>
          <w:szCs w:val="21"/>
          <w:highlight w:val="none"/>
        </w:rPr>
      </w:pPr>
      <w:r>
        <w:rPr>
          <w:rFonts w:hint="eastAsia" w:ascii="黑体" w:hAnsi="宋体" w:eastAsia="黑体"/>
          <w:szCs w:val="21"/>
          <w:highlight w:val="none"/>
        </w:rPr>
        <w:t>42．公开招标失败的处理</w:t>
      </w:r>
    </w:p>
    <w:p w14:paraId="3841A5C3">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none"/>
        </w:rPr>
        <w:t>（2）</w:t>
      </w:r>
      <w:r>
        <w:rPr>
          <w:rFonts w:hint="eastAsia" w:ascii="宋体" w:hAnsi="宋体"/>
          <w:highlight w:val="none"/>
          <w:lang w:val="en-US" w:eastAsia="zh-CN"/>
        </w:rPr>
        <w:t>如需要</w:t>
      </w:r>
      <w:r>
        <w:rPr>
          <w:rFonts w:hint="eastAsia" w:ascii="宋体" w:hAnsi="宋体"/>
          <w:highlight w:val="none"/>
        </w:rPr>
        <w:t>根据实际情况向采购人主管部门提出非公开招标方式申请</w:t>
      </w:r>
      <w:r>
        <w:rPr>
          <w:rFonts w:hint="eastAsia" w:ascii="宋体" w:hAnsi="宋体"/>
          <w:highlight w:val="none"/>
          <w:lang w:val="en-US" w:eastAsia="zh-CN"/>
        </w:rPr>
        <w:t>的</w:t>
      </w:r>
      <w:r>
        <w:rPr>
          <w:rFonts w:hint="eastAsia" w:ascii="宋体" w:hAnsi="宋体"/>
          <w:highlight w:val="none"/>
        </w:rPr>
        <w:t>，经采购人主管部门批准，公开招标失败采购项目可转为竞争性谈判或单一来源谈判方式采购。</w:t>
      </w:r>
    </w:p>
    <w:p w14:paraId="5E8988E3">
      <w:pPr>
        <w:ind w:firstLine="411" w:firstLineChars="196"/>
        <w:rPr>
          <w:rFonts w:ascii="宋体" w:hAnsi="宋体"/>
          <w:highlight w:val="none"/>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重新按公开招标流程组织采购活动。</w:t>
      </w:r>
    </w:p>
    <w:p w14:paraId="50B3A951">
      <w:pPr>
        <w:ind w:firstLine="420" w:firstLineChars="200"/>
        <w:rPr>
          <w:rFonts w:ascii="黑体" w:hAnsi="宋体" w:eastAsia="黑体"/>
          <w:sz w:val="24"/>
          <w:highlight w:val="none"/>
        </w:rPr>
      </w:pPr>
      <w:r>
        <w:rPr>
          <w:rFonts w:hint="eastAsia" w:ascii="宋体" w:hAnsi="宋体"/>
          <w:highlight w:val="none"/>
        </w:rPr>
        <w:t>42.5公开招标失败的采购项目转为竞争性谈判或单一来源谈判方式采购的，按规定要求组织自行采购工作。</w:t>
      </w:r>
    </w:p>
    <w:p w14:paraId="39428B19">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bookmarkStart w:id="86" w:name="_Hlk72439043"/>
      <w:r>
        <w:rPr>
          <w:rFonts w:hint="eastAsia" w:ascii="Cambria" w:hAnsi="Cambria" w:cs="宋体"/>
          <w:b/>
          <w:bCs/>
          <w:sz w:val="28"/>
          <w:szCs w:val="28"/>
          <w:highlight w:val="none"/>
        </w:rPr>
        <w:t>合同的授予与备案</w:t>
      </w:r>
      <w:bookmarkEnd w:id="86"/>
    </w:p>
    <w:p w14:paraId="1274F88B">
      <w:pPr>
        <w:ind w:firstLine="420" w:firstLineChars="200"/>
        <w:rPr>
          <w:rFonts w:ascii="黑体" w:hAnsi="宋体" w:eastAsia="黑体"/>
          <w:szCs w:val="21"/>
          <w:highlight w:val="none"/>
        </w:rPr>
      </w:pPr>
      <w:bookmarkStart w:id="87" w:name="_Toc73517679"/>
      <w:bookmarkStart w:id="88" w:name="_Toc73521674"/>
      <w:bookmarkStart w:id="89" w:name="_Toc100052408"/>
      <w:bookmarkStart w:id="90" w:name="_Toc73521586"/>
      <w:bookmarkStart w:id="91" w:name="_Toc73518157"/>
      <w:bookmarkStart w:id="92" w:name="_Hlk72439088"/>
      <w:r>
        <w:rPr>
          <w:rFonts w:hint="eastAsia" w:ascii="黑体" w:hAnsi="宋体" w:eastAsia="黑体"/>
          <w:szCs w:val="21"/>
          <w:highlight w:val="none"/>
        </w:rPr>
        <w:t>43．合同授予标准</w:t>
      </w:r>
      <w:bookmarkEnd w:id="87"/>
      <w:bookmarkEnd w:id="88"/>
      <w:bookmarkEnd w:id="89"/>
      <w:bookmarkEnd w:id="90"/>
      <w:bookmarkEnd w:id="91"/>
    </w:p>
    <w:p w14:paraId="7BE04C4D">
      <w:pPr>
        <w:ind w:firstLine="420" w:firstLineChars="200"/>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21E8898C">
      <w:pPr>
        <w:ind w:firstLine="420" w:firstLineChars="200"/>
        <w:rPr>
          <w:rFonts w:ascii="黑体" w:hAnsi="宋体" w:eastAsia="黑体"/>
          <w:szCs w:val="21"/>
          <w:highlight w:val="none"/>
        </w:rPr>
      </w:pPr>
      <w:bookmarkStart w:id="93" w:name="_Toc73517680"/>
      <w:bookmarkStart w:id="94" w:name="_Toc73521587"/>
      <w:bookmarkStart w:id="95" w:name="_Toc73518158"/>
      <w:bookmarkStart w:id="96" w:name="_Toc73521675"/>
      <w:bookmarkStart w:id="97" w:name="_Toc100052409"/>
      <w:r>
        <w:rPr>
          <w:rFonts w:hint="eastAsia" w:ascii="黑体" w:hAnsi="宋体" w:eastAsia="黑体"/>
          <w:szCs w:val="21"/>
          <w:highlight w:val="none"/>
        </w:rPr>
        <w:t>44．</w:t>
      </w:r>
      <w:bookmarkEnd w:id="93"/>
      <w:bookmarkEnd w:id="94"/>
      <w:bookmarkEnd w:id="95"/>
      <w:bookmarkEnd w:id="96"/>
      <w:bookmarkEnd w:id="97"/>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highlight w:val="none"/>
        </w:rPr>
      </w:pPr>
      <w:bookmarkStart w:id="98" w:name="_Toc73521589"/>
      <w:bookmarkStart w:id="99" w:name="_Toc100052410"/>
      <w:bookmarkStart w:id="100" w:name="_Toc73518160"/>
      <w:bookmarkStart w:id="101" w:name="_Toc73517682"/>
      <w:bookmarkStart w:id="102" w:name="_Toc73521677"/>
      <w:r>
        <w:rPr>
          <w:rFonts w:hint="eastAsia" w:ascii="黑体" w:hAnsi="宋体" w:eastAsia="黑体"/>
          <w:szCs w:val="21"/>
          <w:highlight w:val="none"/>
        </w:rPr>
        <w:t>45．合同的签订</w:t>
      </w:r>
      <w:bookmarkEnd w:id="98"/>
      <w:bookmarkEnd w:id="99"/>
      <w:bookmarkEnd w:id="100"/>
      <w:bookmarkEnd w:id="101"/>
      <w:bookmarkEnd w:id="102"/>
    </w:p>
    <w:p w14:paraId="2F3A67C9">
      <w:pPr>
        <w:ind w:firstLine="420" w:firstLineChars="200"/>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highlight w:val="none"/>
        </w:rPr>
      </w:pPr>
      <w:r>
        <w:rPr>
          <w:rFonts w:hint="eastAsia" w:ascii="宋体" w:hAnsi="宋体"/>
          <w:szCs w:val="21"/>
          <w:highlight w:val="none"/>
        </w:rPr>
        <w:t>45.2中标人如不按本通用条款第45.1款的规定与采购人签订合同，</w:t>
      </w:r>
      <w:r>
        <w:rPr>
          <w:rFonts w:hint="eastAsia" w:ascii="宋体" w:hAnsi="宋体" w:cs="宋体"/>
          <w:kern w:val="0"/>
          <w:szCs w:val="21"/>
          <w:highlight w:val="none"/>
        </w:rPr>
        <w:t>情节严重的，由同级财政部门记入供应商诚信档案，予以通报</w:t>
      </w:r>
      <w:r>
        <w:rPr>
          <w:rFonts w:hint="eastAsia" w:ascii="宋体" w:hAnsi="宋体"/>
          <w:szCs w:val="21"/>
          <w:highlight w:val="none"/>
        </w:rPr>
        <w:t>；</w:t>
      </w:r>
    </w:p>
    <w:p w14:paraId="321B4B00">
      <w:pPr>
        <w:ind w:firstLine="420" w:firstLineChars="200"/>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66BB9485">
      <w:pPr>
        <w:ind w:firstLine="420" w:firstLineChars="200"/>
        <w:rPr>
          <w:rFonts w:ascii="黑体" w:hAnsi="宋体" w:eastAsia="黑体"/>
          <w:szCs w:val="21"/>
          <w:highlight w:val="none"/>
        </w:rPr>
      </w:pPr>
      <w:bookmarkStart w:id="103" w:name="_Toc100052411"/>
      <w:bookmarkStart w:id="104" w:name="_Toc73517683"/>
      <w:bookmarkStart w:id="105" w:name="_Toc73521590"/>
      <w:bookmarkStart w:id="106" w:name="_Toc73518161"/>
      <w:bookmarkStart w:id="107" w:name="_Toc73521678"/>
      <w:r>
        <w:rPr>
          <w:rFonts w:hint="eastAsia" w:ascii="黑体" w:hAnsi="宋体" w:eastAsia="黑体"/>
          <w:szCs w:val="21"/>
          <w:highlight w:val="none"/>
        </w:rPr>
        <w:t>46．履约担保</w:t>
      </w:r>
      <w:bookmarkEnd w:id="103"/>
      <w:bookmarkEnd w:id="104"/>
      <w:bookmarkEnd w:id="105"/>
      <w:bookmarkEnd w:id="106"/>
      <w:bookmarkEnd w:id="107"/>
    </w:p>
    <w:p w14:paraId="2D12CE29">
      <w:pPr>
        <w:ind w:firstLine="420" w:firstLineChars="200"/>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50DFD030">
      <w:pPr>
        <w:ind w:firstLine="420" w:firstLineChars="200"/>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rFonts w:hint="eastAsia"/>
          <w:szCs w:val="21"/>
          <w:highlight w:val="none"/>
        </w:rPr>
        <w:t>中标人提交履约担保不是合同签订的前提条件，不要求中标人提供除法律、法规明确规定外的其他担保。</w:t>
      </w:r>
    </w:p>
    <w:p w14:paraId="0FA6E07A">
      <w:pPr>
        <w:ind w:firstLine="420" w:firstLineChars="200"/>
        <w:rPr>
          <w:rFonts w:ascii="黑体" w:hAnsi="宋体" w:eastAsia="黑体"/>
          <w:szCs w:val="21"/>
          <w:highlight w:val="none"/>
        </w:rPr>
      </w:pPr>
      <w:r>
        <w:rPr>
          <w:rFonts w:hint="eastAsia" w:ascii="黑体" w:hAnsi="宋体" w:eastAsia="黑体"/>
          <w:szCs w:val="21"/>
          <w:highlight w:val="none"/>
        </w:rPr>
        <w:t>47. 合同备案</w:t>
      </w:r>
    </w:p>
    <w:p w14:paraId="13C3184B">
      <w:pPr>
        <w:ind w:firstLine="420" w:firstLineChars="200"/>
        <w:rPr>
          <w:rFonts w:hint="eastAsia" w:ascii="黑体" w:hAnsi="宋体" w:eastAsia="黑体"/>
          <w:szCs w:val="21"/>
          <w:highlight w:val="none"/>
          <w:lang w:eastAsia="zh-CN"/>
        </w:rPr>
      </w:pPr>
      <w:r>
        <w:rPr>
          <w:rFonts w:hint="eastAsia" w:ascii="黑体" w:hAnsi="宋体" w:eastAsia="黑体"/>
          <w:szCs w:val="21"/>
          <w:highlight w:val="none"/>
        </w:rPr>
        <w:t>自行采购项目，无需办理政府采购合同备案</w:t>
      </w:r>
      <w:r>
        <w:rPr>
          <w:rFonts w:hint="eastAsia" w:ascii="黑体" w:hAnsi="宋体" w:eastAsia="黑体"/>
          <w:szCs w:val="21"/>
          <w:highlight w:val="none"/>
          <w:lang w:eastAsia="zh-CN"/>
        </w:rPr>
        <w:t>。</w:t>
      </w:r>
    </w:p>
    <w:p w14:paraId="085E37F2">
      <w:pPr>
        <w:ind w:firstLine="420" w:firstLineChars="200"/>
        <w:rPr>
          <w:rFonts w:ascii="黑体" w:hAnsi="宋体" w:eastAsia="黑体"/>
          <w:szCs w:val="21"/>
          <w:highlight w:val="none"/>
        </w:rPr>
      </w:pPr>
      <w:r>
        <w:rPr>
          <w:rFonts w:hint="eastAsia" w:ascii="黑体" w:hAnsi="宋体" w:eastAsia="黑体"/>
          <w:szCs w:val="21"/>
          <w:highlight w:val="none"/>
        </w:rPr>
        <w:t>48. 合同变更</w:t>
      </w:r>
    </w:p>
    <w:p w14:paraId="0492B479">
      <w:pPr>
        <w:ind w:firstLine="420" w:firstLineChars="200"/>
        <w:rPr>
          <w:rFonts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highlight w:val="none"/>
        </w:rPr>
      </w:pPr>
      <w:r>
        <w:rPr>
          <w:rFonts w:hint="eastAsia" w:ascii="黑体" w:hAnsi="宋体" w:eastAsia="黑体"/>
          <w:szCs w:val="21"/>
          <w:highlight w:val="none"/>
        </w:rPr>
        <w:t>49. 项目验收</w:t>
      </w:r>
    </w:p>
    <w:p w14:paraId="2385E70E">
      <w:pPr>
        <w:widowControl/>
        <w:ind w:firstLine="420" w:firstLineChars="200"/>
        <w:jc w:val="left"/>
        <w:rPr>
          <w:rFonts w:ascii="宋体" w:hAnsi="宋体"/>
          <w:szCs w:val="21"/>
          <w:highlight w:val="none"/>
        </w:rPr>
      </w:pPr>
      <w:r>
        <w:rPr>
          <w:rFonts w:hint="eastAsia" w:ascii="宋体" w:hAnsi="宋体"/>
          <w:szCs w:val="21"/>
          <w:highlight w:val="none"/>
        </w:rPr>
        <w:t xml:space="preserve">49.1采购人应当按照招标文件和合同规定的标准和方法，及时组织验收。 </w:t>
      </w:r>
    </w:p>
    <w:p w14:paraId="78E699EA">
      <w:pPr>
        <w:ind w:firstLine="420" w:firstLineChars="200"/>
        <w:rPr>
          <w:rFonts w:ascii="黑体" w:hAnsi="宋体" w:eastAsia="黑体"/>
          <w:szCs w:val="21"/>
          <w:highlight w:val="none"/>
        </w:rPr>
      </w:pPr>
      <w:r>
        <w:rPr>
          <w:rFonts w:hint="eastAsia" w:ascii="黑体" w:hAnsi="宋体" w:eastAsia="黑体"/>
          <w:szCs w:val="21"/>
          <w:highlight w:val="none"/>
        </w:rPr>
        <w:t>50. 宣传</w:t>
      </w:r>
    </w:p>
    <w:p w14:paraId="02116F47">
      <w:pPr>
        <w:ind w:firstLine="420" w:firstLineChars="200"/>
        <w:rPr>
          <w:rFonts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highlight w:val="none"/>
        </w:rPr>
      </w:pPr>
      <w:r>
        <w:rPr>
          <w:rFonts w:hint="eastAsia" w:ascii="宋体" w:hAnsi="宋体"/>
          <w:szCs w:val="21"/>
          <w:highlight w:val="none"/>
        </w:rPr>
        <w:t>a.名片、宣传册、广告标语等；</w:t>
      </w:r>
    </w:p>
    <w:p w14:paraId="3A319AE5">
      <w:pPr>
        <w:ind w:firstLine="420" w:firstLineChars="200"/>
        <w:rPr>
          <w:rFonts w:ascii="宋体" w:hAnsi="宋体"/>
          <w:szCs w:val="21"/>
          <w:highlight w:val="none"/>
        </w:rPr>
      </w:pPr>
      <w:r>
        <w:rPr>
          <w:rFonts w:hint="eastAsia" w:ascii="宋体" w:hAnsi="宋体"/>
          <w:szCs w:val="21"/>
          <w:highlight w:val="none"/>
        </w:rPr>
        <w:t>b.案例介绍、推广等；</w:t>
      </w:r>
    </w:p>
    <w:p w14:paraId="0A9B9230">
      <w:pPr>
        <w:ind w:firstLine="420" w:firstLineChars="200"/>
        <w:rPr>
          <w:rFonts w:ascii="宋体" w:hAnsi="宋体"/>
          <w:szCs w:val="21"/>
          <w:highlight w:val="none"/>
        </w:rPr>
      </w:pPr>
      <w:r>
        <w:rPr>
          <w:rFonts w:hint="eastAsia" w:ascii="宋体" w:hAnsi="宋体"/>
          <w:szCs w:val="21"/>
          <w:highlight w:val="none"/>
        </w:rPr>
        <w:t>c.工作人员向其他消费群体宣传。</w:t>
      </w:r>
    </w:p>
    <w:p w14:paraId="56ACCD48">
      <w:pPr>
        <w:ind w:firstLine="420" w:firstLineChars="200"/>
        <w:rPr>
          <w:rFonts w:ascii="黑体" w:hAnsi="宋体" w:eastAsia="黑体"/>
          <w:szCs w:val="21"/>
          <w:highlight w:val="none"/>
        </w:rPr>
      </w:pPr>
      <w:r>
        <w:rPr>
          <w:rFonts w:hint="eastAsia" w:ascii="黑体" w:hAnsi="宋体" w:eastAsia="黑体"/>
          <w:szCs w:val="21"/>
          <w:highlight w:val="none"/>
        </w:rPr>
        <w:t>51. 供应商违法责任</w:t>
      </w:r>
    </w:p>
    <w:p w14:paraId="0EE5CB4D">
      <w:pPr>
        <w:ind w:firstLine="420" w:firstLineChars="200"/>
        <w:rPr>
          <w:rFonts w:ascii="宋体" w:hAnsi="宋体"/>
          <w:szCs w:val="21"/>
          <w:highlight w:val="none"/>
        </w:rPr>
      </w:pPr>
      <w:r>
        <w:rPr>
          <w:rFonts w:hint="eastAsia" w:ascii="宋体" w:hAnsi="宋体"/>
          <w:szCs w:val="21"/>
          <w:highlight w:val="none"/>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highlight w:val="none"/>
        </w:rPr>
      </w:pPr>
      <w:r>
        <w:rPr>
          <w:rFonts w:hint="eastAsia" w:ascii="宋体" w:hAnsi="宋体"/>
          <w:szCs w:val="21"/>
          <w:highlight w:val="none"/>
        </w:rPr>
        <w:t>（1）在采购活动中应当回避而未回避的；</w:t>
      </w:r>
    </w:p>
    <w:p w14:paraId="3D0F7AB2">
      <w:pPr>
        <w:ind w:firstLine="420" w:firstLineChars="200"/>
        <w:rPr>
          <w:rFonts w:ascii="宋体" w:hAnsi="宋体"/>
          <w:szCs w:val="21"/>
          <w:highlight w:val="none"/>
        </w:rPr>
      </w:pPr>
      <w:r>
        <w:rPr>
          <w:rFonts w:hint="eastAsia" w:ascii="宋体" w:hAnsi="宋体"/>
          <w:szCs w:val="21"/>
          <w:highlight w:val="none"/>
        </w:rPr>
        <w:t>（2）未按本条例规定签订、履行采购合同，造成严重后果的；</w:t>
      </w:r>
    </w:p>
    <w:p w14:paraId="5B756255">
      <w:pPr>
        <w:ind w:firstLine="420" w:firstLineChars="200"/>
        <w:rPr>
          <w:rFonts w:ascii="宋体" w:hAnsi="宋体"/>
          <w:szCs w:val="21"/>
          <w:highlight w:val="none"/>
        </w:rPr>
      </w:pPr>
      <w:r>
        <w:rPr>
          <w:rFonts w:hint="eastAsia" w:ascii="宋体" w:hAnsi="宋体"/>
          <w:szCs w:val="21"/>
          <w:highlight w:val="none"/>
        </w:rPr>
        <w:t>（3）隐瞒真实情况，提供虚假资料的；</w:t>
      </w:r>
    </w:p>
    <w:p w14:paraId="5BFFB02F">
      <w:pPr>
        <w:ind w:firstLine="420" w:firstLineChars="200"/>
        <w:rPr>
          <w:rFonts w:ascii="宋体" w:hAnsi="宋体"/>
          <w:szCs w:val="21"/>
          <w:highlight w:val="none"/>
        </w:rPr>
      </w:pPr>
      <w:r>
        <w:rPr>
          <w:rFonts w:hint="eastAsia" w:ascii="宋体" w:hAnsi="宋体"/>
          <w:szCs w:val="21"/>
          <w:highlight w:val="none"/>
        </w:rPr>
        <w:t>（4）以非法手段排斥其他供应商参与竞争的；</w:t>
      </w:r>
    </w:p>
    <w:p w14:paraId="46741D26">
      <w:pPr>
        <w:ind w:firstLine="420" w:firstLineChars="200"/>
        <w:rPr>
          <w:rFonts w:ascii="宋体" w:hAnsi="宋体"/>
          <w:szCs w:val="21"/>
          <w:highlight w:val="none"/>
        </w:rPr>
      </w:pPr>
      <w:r>
        <w:rPr>
          <w:rFonts w:hint="eastAsia" w:ascii="宋体" w:hAnsi="宋体"/>
          <w:szCs w:val="21"/>
          <w:highlight w:val="none"/>
        </w:rPr>
        <w:t>（5）与其他采购参加人串通投标的；</w:t>
      </w:r>
    </w:p>
    <w:p w14:paraId="39BE07BE">
      <w:pPr>
        <w:ind w:firstLine="420" w:firstLineChars="200"/>
        <w:rPr>
          <w:rFonts w:ascii="宋体" w:hAnsi="宋体"/>
          <w:szCs w:val="21"/>
          <w:highlight w:val="none"/>
        </w:rPr>
      </w:pPr>
      <w:r>
        <w:rPr>
          <w:rFonts w:hint="eastAsia" w:ascii="宋体" w:hAnsi="宋体"/>
          <w:szCs w:val="21"/>
          <w:highlight w:val="none"/>
        </w:rPr>
        <w:t>（6）恶意投诉的；</w:t>
      </w:r>
    </w:p>
    <w:p w14:paraId="043E282F">
      <w:pPr>
        <w:ind w:firstLine="420" w:firstLineChars="200"/>
        <w:rPr>
          <w:rFonts w:ascii="宋体" w:hAnsi="宋体"/>
          <w:szCs w:val="21"/>
          <w:highlight w:val="none"/>
        </w:rPr>
      </w:pPr>
      <w:r>
        <w:rPr>
          <w:rFonts w:hint="eastAsia" w:ascii="宋体" w:hAnsi="宋体"/>
          <w:szCs w:val="21"/>
          <w:highlight w:val="none"/>
        </w:rPr>
        <w:t>（7）向采购项目相关人行贿或者提供其他不当利益的；</w:t>
      </w:r>
    </w:p>
    <w:p w14:paraId="0CB3D9BA">
      <w:pPr>
        <w:ind w:firstLine="420" w:firstLineChars="200"/>
        <w:rPr>
          <w:rFonts w:ascii="宋体" w:hAnsi="宋体"/>
          <w:szCs w:val="21"/>
          <w:highlight w:val="none"/>
        </w:rPr>
      </w:pPr>
      <w:r>
        <w:rPr>
          <w:rFonts w:hint="eastAsia" w:ascii="宋体" w:hAnsi="宋体"/>
          <w:szCs w:val="21"/>
          <w:highlight w:val="none"/>
        </w:rPr>
        <w:t>（8）阻碍、抗拒主管部门监督检查的；</w:t>
      </w:r>
    </w:p>
    <w:p w14:paraId="64DB64D8">
      <w:pPr>
        <w:ind w:firstLine="420" w:firstLineChars="200"/>
        <w:rPr>
          <w:rFonts w:ascii="宋体" w:hAnsi="宋体"/>
          <w:szCs w:val="21"/>
          <w:highlight w:val="none"/>
        </w:rPr>
      </w:pPr>
      <w:r>
        <w:rPr>
          <w:rFonts w:hint="eastAsia" w:ascii="宋体" w:hAnsi="宋体"/>
          <w:szCs w:val="21"/>
          <w:highlight w:val="none"/>
        </w:rPr>
        <w:t>（9）其他违反本条例规定的行为。</w:t>
      </w:r>
    </w:p>
    <w:p w14:paraId="17A3AC9C">
      <w:pPr>
        <w:ind w:firstLine="420" w:firstLineChars="200"/>
        <w:rPr>
          <w:rFonts w:ascii="宋体" w:hAnsi="宋体"/>
          <w:szCs w:val="21"/>
          <w:highlight w:val="none"/>
        </w:rPr>
      </w:pPr>
      <w:r>
        <w:rPr>
          <w:rFonts w:hint="eastAsia" w:ascii="宋体" w:hAnsi="宋体"/>
          <w:szCs w:val="21"/>
          <w:highlight w:val="none"/>
        </w:rPr>
        <w:t>51.2 根据《深圳市财政局关于调整政府采购投标（响应）保证金管理政策的通知 》（深财购〔2021〕51 号）的要求，供应商在采购活动中出现《深圳经济特区政府采购条例实施细则》第八十条所列情形的，</w:t>
      </w:r>
      <w:bookmarkStart w:id="108"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108"/>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92"/>
    <w:p w14:paraId="78DF6493">
      <w:pPr>
        <w:pStyle w:val="80"/>
        <w:keepNext/>
        <w:keepLines/>
        <w:numPr>
          <w:ilvl w:val="0"/>
          <w:numId w:val="10"/>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质疑处理</w:t>
      </w:r>
    </w:p>
    <w:p w14:paraId="6C695CC3">
      <w:pPr>
        <w:ind w:firstLine="420" w:firstLineChars="200"/>
        <w:rPr>
          <w:rFonts w:ascii="黑体" w:hAnsi="宋体" w:eastAsia="黑体"/>
          <w:szCs w:val="21"/>
          <w:highlight w:val="none"/>
        </w:rPr>
      </w:pPr>
      <w:r>
        <w:rPr>
          <w:rFonts w:hint="eastAsia" w:ascii="黑体" w:hAnsi="宋体" w:eastAsia="黑体"/>
          <w:szCs w:val="21"/>
          <w:highlight w:val="none"/>
        </w:rPr>
        <w:t>52.质疑提出与答复</w:t>
      </w:r>
    </w:p>
    <w:p w14:paraId="7CEE3FC0">
      <w:pPr>
        <w:ind w:firstLine="420" w:firstLineChars="200"/>
        <w:rPr>
          <w:rFonts w:ascii="宋体" w:hAnsi="宋体"/>
          <w:szCs w:val="21"/>
          <w:highlight w:val="none"/>
        </w:rPr>
      </w:pPr>
      <w:r>
        <w:rPr>
          <w:rFonts w:hint="eastAsia" w:ascii="宋体" w:hAnsi="宋体"/>
          <w:szCs w:val="21"/>
          <w:highlight w:val="none"/>
        </w:rPr>
        <w:t>52.1提出质疑</w:t>
      </w:r>
    </w:p>
    <w:p w14:paraId="63F933CD">
      <w:pPr>
        <w:ind w:firstLine="420" w:firstLineChars="200"/>
        <w:rPr>
          <w:rFonts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w:t>
      </w:r>
      <w:r>
        <w:rPr>
          <w:rFonts w:hint="eastAsia" w:ascii="宋体" w:hAnsi="宋体"/>
          <w:szCs w:val="21"/>
          <w:highlight w:val="none"/>
          <w:lang w:val="en-US" w:eastAsia="zh-CN"/>
        </w:rPr>
        <w:t>采购代理机构</w:t>
      </w:r>
      <w:r>
        <w:rPr>
          <w:rFonts w:hint="eastAsia" w:ascii="宋体" w:hAnsi="宋体"/>
          <w:szCs w:val="21"/>
          <w:highlight w:val="none"/>
        </w:rPr>
        <w:t>以书面形式提出质疑。</w:t>
      </w:r>
    </w:p>
    <w:p w14:paraId="687A1FC9">
      <w:pPr>
        <w:ind w:firstLine="420" w:firstLineChars="200"/>
        <w:rPr>
          <w:rFonts w:ascii="宋体" w:hAnsi="宋体"/>
          <w:szCs w:val="21"/>
          <w:highlight w:val="none"/>
        </w:rPr>
      </w:pPr>
      <w:r>
        <w:rPr>
          <w:rFonts w:hint="eastAsia" w:ascii="宋体" w:hAnsi="宋体"/>
          <w:szCs w:val="21"/>
          <w:highlight w:val="none"/>
        </w:rPr>
        <w:t>52.2法律依据</w:t>
      </w:r>
    </w:p>
    <w:p w14:paraId="12BDB7FA">
      <w:pPr>
        <w:ind w:firstLine="420" w:firstLineChars="200"/>
        <w:rPr>
          <w:rFonts w:ascii="宋体" w:hAnsi="宋体"/>
          <w:szCs w:val="21"/>
          <w:highlight w:val="none"/>
        </w:rPr>
      </w:pPr>
      <w:r>
        <w:rPr>
          <w:rFonts w:hint="eastAsia" w:ascii="宋体" w:hAnsi="宋体"/>
          <w:szCs w:val="21"/>
          <w:highlight w:val="none"/>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highlight w:val="none"/>
        </w:rPr>
      </w:pPr>
      <w:r>
        <w:rPr>
          <w:rFonts w:hint="eastAsia" w:ascii="宋体" w:hAnsi="宋体"/>
          <w:szCs w:val="21"/>
          <w:highlight w:val="none"/>
        </w:rPr>
        <w:t>52.3质疑条件</w:t>
      </w:r>
    </w:p>
    <w:p w14:paraId="6F716D76">
      <w:pPr>
        <w:ind w:firstLine="420" w:firstLineChars="200"/>
        <w:rPr>
          <w:rFonts w:ascii="宋体" w:hAnsi="宋体"/>
          <w:szCs w:val="21"/>
          <w:highlight w:val="none"/>
        </w:rPr>
      </w:pPr>
      <w:r>
        <w:rPr>
          <w:rFonts w:hint="eastAsia" w:ascii="宋体" w:hAnsi="宋体"/>
          <w:szCs w:val="21"/>
          <w:highlight w:val="none"/>
        </w:rPr>
        <w:t>52.3.1提出质疑的供应商应当是参与所质疑项目采购活动的供应商；</w:t>
      </w:r>
      <w:bookmarkStart w:id="109" w:name="_Hlk75374941"/>
      <w:r>
        <w:rPr>
          <w:rFonts w:hint="eastAsia" w:ascii="宋体" w:hAnsi="宋体"/>
          <w:szCs w:val="21"/>
          <w:highlight w:val="none"/>
        </w:rPr>
        <w:t>以联合体形式参与的，质疑应当由组成联合体的所有成员共同提出</w:t>
      </w:r>
      <w:bookmarkEnd w:id="109"/>
      <w:r>
        <w:rPr>
          <w:rFonts w:hint="eastAsia" w:ascii="宋体" w:hAnsi="宋体"/>
          <w:szCs w:val="21"/>
          <w:highlight w:val="none"/>
        </w:rPr>
        <w:t>；</w:t>
      </w:r>
    </w:p>
    <w:p w14:paraId="54FD36BE">
      <w:pPr>
        <w:ind w:firstLine="420" w:firstLineChars="200"/>
        <w:rPr>
          <w:rFonts w:hint="eastAsia"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highlight w:val="none"/>
        </w:rPr>
      </w:pPr>
      <w:r>
        <w:rPr>
          <w:rFonts w:hint="eastAsia" w:ascii="宋体" w:hAnsi="宋体"/>
          <w:szCs w:val="21"/>
          <w:highlight w:val="none"/>
        </w:rPr>
        <w:t xml:space="preserve">52.3.3应提交书面质疑函，质疑函应当包括以下内容： </w:t>
      </w:r>
    </w:p>
    <w:p w14:paraId="0081909A">
      <w:pPr>
        <w:ind w:firstLine="420" w:firstLineChars="200"/>
        <w:rPr>
          <w:rFonts w:ascii="宋体" w:hAnsi="宋体"/>
          <w:szCs w:val="21"/>
          <w:highlight w:val="none"/>
        </w:rPr>
      </w:pPr>
      <w:r>
        <w:rPr>
          <w:rFonts w:hint="eastAsia" w:ascii="宋体" w:hAnsi="宋体"/>
          <w:szCs w:val="21"/>
          <w:highlight w:val="none"/>
        </w:rPr>
        <w:t>（1）供应商的名称（或者姓名）、地址、邮编、邮箱、联系人及联系电话；</w:t>
      </w:r>
    </w:p>
    <w:p w14:paraId="4D5330B0">
      <w:pPr>
        <w:ind w:firstLine="420" w:firstLineChars="200"/>
        <w:rPr>
          <w:rFonts w:ascii="宋体" w:hAnsi="宋体"/>
          <w:szCs w:val="21"/>
          <w:highlight w:val="none"/>
        </w:rPr>
      </w:pPr>
      <w:r>
        <w:rPr>
          <w:rFonts w:hint="eastAsia" w:ascii="宋体" w:hAnsi="宋体"/>
          <w:szCs w:val="21"/>
          <w:highlight w:val="none"/>
        </w:rPr>
        <w:t>（2）质疑项目的名称、编号；</w:t>
      </w:r>
    </w:p>
    <w:p w14:paraId="2910450D">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6F658E92">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08C40EF0">
      <w:pPr>
        <w:ind w:firstLine="420" w:firstLineChars="200"/>
        <w:rPr>
          <w:rFonts w:ascii="宋体" w:hAnsi="宋体"/>
          <w:szCs w:val="21"/>
          <w:highlight w:val="none"/>
        </w:rPr>
      </w:pPr>
      <w:r>
        <w:rPr>
          <w:rFonts w:hint="eastAsia" w:ascii="宋体" w:hAnsi="宋体"/>
          <w:szCs w:val="21"/>
          <w:highlight w:val="none"/>
        </w:rPr>
        <w:t>（5）事实依据；</w:t>
      </w:r>
    </w:p>
    <w:p w14:paraId="52DC0263">
      <w:pPr>
        <w:ind w:firstLine="420" w:firstLineChars="200"/>
        <w:rPr>
          <w:rFonts w:ascii="宋体" w:hAnsi="宋体"/>
          <w:szCs w:val="21"/>
          <w:highlight w:val="none"/>
        </w:rPr>
      </w:pPr>
      <w:r>
        <w:rPr>
          <w:rFonts w:hint="eastAsia" w:ascii="宋体" w:hAnsi="宋体"/>
          <w:szCs w:val="21"/>
          <w:highlight w:val="none"/>
        </w:rPr>
        <w:t>（6）必要的法律依据；</w:t>
      </w:r>
    </w:p>
    <w:p w14:paraId="51A823CA">
      <w:pPr>
        <w:ind w:firstLine="420" w:firstLineChars="200"/>
        <w:rPr>
          <w:rFonts w:ascii="宋体" w:hAnsi="宋体"/>
          <w:szCs w:val="21"/>
          <w:highlight w:val="none"/>
        </w:rPr>
      </w:pPr>
      <w:r>
        <w:rPr>
          <w:rFonts w:hint="eastAsia" w:ascii="宋体" w:hAnsi="宋体"/>
          <w:szCs w:val="21"/>
          <w:highlight w:val="none"/>
        </w:rPr>
        <w:t>（7）提出质疑的日期。</w:t>
      </w:r>
    </w:p>
    <w:p w14:paraId="0D579B3C">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highlight w:val="none"/>
        </w:rPr>
      </w:pPr>
      <w:r>
        <w:rPr>
          <w:rFonts w:hint="eastAsia" w:ascii="宋体" w:hAnsi="宋体"/>
          <w:szCs w:val="21"/>
          <w:highlight w:val="none"/>
        </w:rPr>
        <w:t>52.4提交材料</w:t>
      </w:r>
    </w:p>
    <w:p w14:paraId="1574C593">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highlight w:val="none"/>
        </w:rPr>
      </w:pPr>
      <w:r>
        <w:rPr>
          <w:rFonts w:hint="eastAsia" w:ascii="宋体" w:hAnsi="宋体"/>
          <w:szCs w:val="21"/>
          <w:highlight w:val="none"/>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highlight w:val="none"/>
        </w:rPr>
      </w:pPr>
      <w:r>
        <w:rPr>
          <w:rFonts w:hint="eastAsia" w:ascii="宋体" w:hAnsi="宋体"/>
          <w:szCs w:val="21"/>
          <w:highlight w:val="none"/>
        </w:rPr>
        <w:t>52.5收文地点</w:t>
      </w:r>
    </w:p>
    <w:p w14:paraId="477A5A6F">
      <w:pPr>
        <w:ind w:firstLine="422" w:firstLineChars="200"/>
        <w:rPr>
          <w:rFonts w:ascii="宋体" w:hAnsi="宋体"/>
          <w:b/>
          <w:bCs/>
          <w:szCs w:val="21"/>
          <w:highlight w:val="none"/>
        </w:rPr>
      </w:pPr>
      <w:r>
        <w:rPr>
          <w:rFonts w:hint="eastAsia" w:ascii="宋体" w:hAnsi="宋体"/>
          <w:b/>
          <w:bCs/>
          <w:szCs w:val="21"/>
          <w:highlight w:val="none"/>
        </w:rPr>
        <w:t>地址：深圳公共资源交易中心（深圳交易集团有限公司政府采购业务分公司）深圳市南山区沙河西路3185号南山智谷A座（深圳交易集团总部大楼）27楼，质疑咨询电话：0755-</w:t>
      </w:r>
      <w:r>
        <w:rPr>
          <w:rFonts w:hint="eastAsia" w:ascii="宋体" w:hAnsi="宋体"/>
          <w:b/>
          <w:highlight w:val="none"/>
        </w:rPr>
        <w:t>86500050</w:t>
      </w:r>
      <w:r>
        <w:rPr>
          <w:rFonts w:hint="eastAsia" w:ascii="宋体" w:hAnsi="宋体"/>
          <w:b/>
          <w:bCs/>
          <w:szCs w:val="21"/>
          <w:highlight w:val="none"/>
        </w:rPr>
        <w:t>。</w:t>
      </w:r>
    </w:p>
    <w:p w14:paraId="21CA6E54">
      <w:pPr>
        <w:ind w:firstLine="420" w:firstLineChars="200"/>
        <w:rPr>
          <w:rFonts w:ascii="宋体" w:hAnsi="宋体"/>
          <w:szCs w:val="21"/>
          <w:highlight w:val="none"/>
        </w:rPr>
      </w:pPr>
      <w:r>
        <w:rPr>
          <w:rFonts w:hint="eastAsia" w:ascii="宋体" w:hAnsi="宋体"/>
          <w:szCs w:val="21"/>
          <w:highlight w:val="none"/>
        </w:rPr>
        <w:t>52.6收文办理程序</w:t>
      </w:r>
    </w:p>
    <w:p w14:paraId="66641C8A">
      <w:pPr>
        <w:ind w:firstLine="420" w:firstLineChars="200"/>
        <w:rPr>
          <w:rFonts w:ascii="宋体" w:hAnsi="宋体"/>
          <w:szCs w:val="21"/>
          <w:highlight w:val="none"/>
        </w:rPr>
      </w:pPr>
      <w:r>
        <w:rPr>
          <w:rFonts w:hint="eastAsia" w:ascii="宋体" w:hAnsi="宋体"/>
          <w:szCs w:val="21"/>
          <w:highlight w:val="none"/>
        </w:rPr>
        <w:t>52.6.1供应商提交的质疑符合受理条件的，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highlight w:val="none"/>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应当向供应商出具不符合质疑条件告知书。</w:t>
      </w:r>
    </w:p>
    <w:p w14:paraId="0C80C2EE">
      <w:pPr>
        <w:ind w:firstLine="420" w:firstLineChars="200"/>
        <w:rPr>
          <w:rFonts w:ascii="宋体" w:hAnsi="宋体"/>
          <w:szCs w:val="21"/>
          <w:highlight w:val="none"/>
        </w:rPr>
      </w:pPr>
      <w:r>
        <w:rPr>
          <w:rFonts w:hint="eastAsia" w:ascii="宋体" w:hAnsi="宋体"/>
          <w:szCs w:val="21"/>
          <w:highlight w:val="none"/>
        </w:rPr>
        <w:t>52.7质疑答复时限</w:t>
      </w:r>
    </w:p>
    <w:p w14:paraId="6AF13B61">
      <w:pPr>
        <w:ind w:firstLine="420" w:firstLineChars="200"/>
        <w:rPr>
          <w:rFonts w:ascii="宋体" w:hAnsi="宋体"/>
          <w:szCs w:val="21"/>
          <w:highlight w:val="none"/>
        </w:rPr>
      </w:pPr>
      <w:r>
        <w:rPr>
          <w:rFonts w:hint="eastAsia" w:ascii="宋体" w:hAnsi="宋体"/>
          <w:szCs w:val="21"/>
          <w:highlight w:val="none"/>
        </w:rPr>
        <w:t>自收文之日起七个工作日内。</w:t>
      </w:r>
    </w:p>
    <w:p w14:paraId="050EDB88">
      <w:pPr>
        <w:ind w:firstLine="420" w:firstLineChars="200"/>
        <w:rPr>
          <w:rFonts w:ascii="宋体" w:hAnsi="宋体"/>
          <w:szCs w:val="21"/>
          <w:highlight w:val="none"/>
        </w:rPr>
      </w:pPr>
      <w:r>
        <w:rPr>
          <w:rFonts w:hint="eastAsia" w:ascii="宋体" w:hAnsi="宋体"/>
          <w:szCs w:val="21"/>
          <w:highlight w:val="none"/>
        </w:rPr>
        <w:t>52.8投诉</w:t>
      </w:r>
    </w:p>
    <w:p w14:paraId="7A133F28">
      <w:pPr>
        <w:ind w:firstLine="420" w:firstLineChars="200"/>
        <w:rPr>
          <w:rFonts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w:t>
      </w:r>
      <w:r>
        <w:rPr>
          <w:rFonts w:hint="eastAsia" w:ascii="宋体" w:hAnsi="宋体"/>
          <w:szCs w:val="21"/>
          <w:highlight w:val="none"/>
          <w:lang w:eastAsia="zh-CN"/>
        </w:rPr>
        <w:t>采购文件第一册专用条款，第二章 对通用条款的补充内容及其他关键信息，一、对通用条款的补充内容中规定的单位</w:t>
      </w:r>
      <w:r>
        <w:rPr>
          <w:rFonts w:hint="eastAsia" w:ascii="宋体" w:hAnsi="宋体"/>
          <w:szCs w:val="21"/>
          <w:highlight w:val="none"/>
        </w:rPr>
        <w:t>投诉。</w:t>
      </w:r>
    </w:p>
    <w:p w14:paraId="17ABBEDD">
      <w:pPr>
        <w:ind w:firstLine="420" w:firstLineChars="200"/>
        <w:rPr>
          <w:rFonts w:ascii="黑体" w:hAnsi="宋体" w:eastAsia="黑体"/>
          <w:szCs w:val="21"/>
          <w:highlight w:val="none"/>
        </w:rPr>
      </w:pPr>
      <w:r>
        <w:rPr>
          <w:rFonts w:hint="eastAsia" w:ascii="黑体" w:hAnsi="宋体" w:eastAsia="黑体"/>
          <w:szCs w:val="21"/>
          <w:highlight w:val="none"/>
        </w:rPr>
        <w:t>53.质疑后续处理</w:t>
      </w:r>
    </w:p>
    <w:p w14:paraId="3494A2D8">
      <w:pPr>
        <w:ind w:firstLine="420" w:firstLineChars="200"/>
        <w:rPr>
          <w:rFonts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27E5E111">
      <w:pPr>
        <w:ind w:firstLine="420" w:firstLineChars="200"/>
        <w:jc w:val="left"/>
        <w:rPr>
          <w:rFonts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highlight w:val="none"/>
        </w:rPr>
      </w:pPr>
      <w:r>
        <w:rPr>
          <w:rFonts w:hint="eastAsia" w:ascii="宋体" w:hAnsi="宋体"/>
          <w:szCs w:val="21"/>
          <w:highlight w:val="none"/>
        </w:rPr>
        <w:t>53.3被质疑供应商应配合提供质疑答辩意见,并提供相关证据材料,逾期不作书面答辩的,视同放弃答辩权利,依法承担由此可能产生的不利法律后果。</w:t>
      </w:r>
    </w:p>
    <w:p w14:paraId="5CB02891">
      <w:pPr>
        <w:jc w:val="center"/>
        <w:rPr>
          <w:highlight w:val="none"/>
        </w:rPr>
      </w:pPr>
      <w:r>
        <w:rPr>
          <w:highlight w:val="none"/>
        </w:rPr>
        <w:t>---- END ----</w:t>
      </w:r>
      <w:bookmarkEnd w:id="56"/>
    </w:p>
    <w:p w14:paraId="400B384B">
      <w:pPr>
        <w:rPr>
          <w:rFonts w:ascii="宋体" w:hAnsi="宋体"/>
          <w:szCs w:val="21"/>
          <w:highlight w:val="none"/>
        </w:rPr>
      </w:pPr>
    </w:p>
    <w:p w14:paraId="175252E0">
      <w:pPr>
        <w:pStyle w:val="3"/>
        <w:rPr>
          <w:szCs w:val="21"/>
          <w:highlight w:val="none"/>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94704E-4BFB-44A1-9F7D-17CABA4E187E}"/>
  </w:font>
  <w:font w:name="黑体">
    <w:panose1 w:val="02010609060101010101"/>
    <w:charset w:val="86"/>
    <w:family w:val="auto"/>
    <w:pitch w:val="default"/>
    <w:sig w:usb0="800002BF" w:usb1="38CF7CFA" w:usb2="00000016" w:usb3="00000000" w:csb0="00040001" w:csb1="00000000"/>
    <w:embedRegular r:id="rId2" w:fontKey="{787273F9-9B2D-4E8B-8A95-0FF6DEF606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20D13B37-6B2A-4F5F-90B3-0CF19704801D}"/>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D5FA699E-A27E-4BD2-B1AF-A6702E9C7BC1}"/>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5" w:fontKey="{978A899F-893C-41A7-AB9C-E36B92E354D0}"/>
  </w:font>
  <w:font w:name="ˎ̥">
    <w:altName w:val="Times New Roman"/>
    <w:panose1 w:val="00000000000000000000"/>
    <w:charset w:val="00"/>
    <w:family w:val="roman"/>
    <w:pitch w:val="default"/>
    <w:sig w:usb0="00000000" w:usb1="00000000" w:usb2="00000000" w:usb3="00000000" w:csb0="00040001" w:csb1="00000000"/>
    <w:embedRegular r:id="rId6" w:fontKey="{E08E1B4F-25D2-4D31-AAB2-F80EC75A6D3E}"/>
  </w:font>
  <w:font w:name="??">
    <w:altName w:val="Times New Roman"/>
    <w:panose1 w:val="00000000000000000000"/>
    <w:charset w:val="01"/>
    <w:family w:val="auto"/>
    <w:pitch w:val="default"/>
    <w:sig w:usb0="00000000" w:usb1="00000000" w:usb2="00000000" w:usb3="00000000" w:csb0="00040001" w:csb1="00000000"/>
  </w:font>
  <w:font w:name="汉仪细等线简">
    <w:panose1 w:val="00020600040101010101"/>
    <w:charset w:val="86"/>
    <w:family w:val="modern"/>
    <w:pitch w:val="default"/>
    <w:sig w:usb0="800002BF" w:usb1="1A4F6CF8"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7" w:fontKey="{45BC94A9-5096-4048-B3E8-EEF804144DD2}"/>
  </w:font>
  <w:font w:name="微软雅黑">
    <w:panose1 w:val="020B0503020204020204"/>
    <w:charset w:val="86"/>
    <w:family w:val="auto"/>
    <w:pitch w:val="default"/>
    <w:sig w:usb0="80000287" w:usb1="2ACF3C50" w:usb2="00000016" w:usb3="00000000" w:csb0="0004001F" w:csb1="00000000"/>
    <w:embedRegular r:id="rId8" w:fontKey="{42E79C6F-0348-4047-8E9C-0078C69B7C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7"/>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8"/>
  </w:num>
  <w:num w:numId="6">
    <w:abstractNumId w:val="7"/>
  </w:num>
  <w:num w:numId="7">
    <w:abstractNumId w:val="1"/>
  </w:num>
  <w:num w:numId="8">
    <w:abstractNumId w:val="9"/>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793"/>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22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1533D3"/>
    <w:rsid w:val="01415CD2"/>
    <w:rsid w:val="01453A14"/>
    <w:rsid w:val="014D28C9"/>
    <w:rsid w:val="01687703"/>
    <w:rsid w:val="017D31AE"/>
    <w:rsid w:val="01826A17"/>
    <w:rsid w:val="018C1643"/>
    <w:rsid w:val="01AF0E8E"/>
    <w:rsid w:val="01B70F10"/>
    <w:rsid w:val="01CB731E"/>
    <w:rsid w:val="021967E1"/>
    <w:rsid w:val="021B4775"/>
    <w:rsid w:val="025E7EF2"/>
    <w:rsid w:val="02671768"/>
    <w:rsid w:val="02A12F56"/>
    <w:rsid w:val="02C62D99"/>
    <w:rsid w:val="02DA783B"/>
    <w:rsid w:val="03062D2F"/>
    <w:rsid w:val="030D7E3E"/>
    <w:rsid w:val="03192A63"/>
    <w:rsid w:val="03231B33"/>
    <w:rsid w:val="03321D76"/>
    <w:rsid w:val="0334205E"/>
    <w:rsid w:val="033755DF"/>
    <w:rsid w:val="034321D6"/>
    <w:rsid w:val="034856A5"/>
    <w:rsid w:val="037E320E"/>
    <w:rsid w:val="039B791C"/>
    <w:rsid w:val="03A964DC"/>
    <w:rsid w:val="03BE7AAE"/>
    <w:rsid w:val="03D07714"/>
    <w:rsid w:val="03D80B70"/>
    <w:rsid w:val="03F236B0"/>
    <w:rsid w:val="03F3534A"/>
    <w:rsid w:val="04041910"/>
    <w:rsid w:val="041B280B"/>
    <w:rsid w:val="041F679F"/>
    <w:rsid w:val="04212517"/>
    <w:rsid w:val="045F4DED"/>
    <w:rsid w:val="045F7637"/>
    <w:rsid w:val="046248DD"/>
    <w:rsid w:val="04891E6A"/>
    <w:rsid w:val="04A86794"/>
    <w:rsid w:val="04AB5476"/>
    <w:rsid w:val="04B0613C"/>
    <w:rsid w:val="04C74740"/>
    <w:rsid w:val="04D550AF"/>
    <w:rsid w:val="04D85410"/>
    <w:rsid w:val="04E470A0"/>
    <w:rsid w:val="05031C1C"/>
    <w:rsid w:val="05074187"/>
    <w:rsid w:val="05157BA2"/>
    <w:rsid w:val="05237BC9"/>
    <w:rsid w:val="056C7B74"/>
    <w:rsid w:val="05793607"/>
    <w:rsid w:val="05834B0B"/>
    <w:rsid w:val="05D11D1B"/>
    <w:rsid w:val="05D435B9"/>
    <w:rsid w:val="05E27A84"/>
    <w:rsid w:val="05EB2641"/>
    <w:rsid w:val="05EF21A1"/>
    <w:rsid w:val="05FA7789"/>
    <w:rsid w:val="05FE0636"/>
    <w:rsid w:val="060774EA"/>
    <w:rsid w:val="060A2B37"/>
    <w:rsid w:val="060C4B01"/>
    <w:rsid w:val="06141C07"/>
    <w:rsid w:val="06224324"/>
    <w:rsid w:val="062C51A3"/>
    <w:rsid w:val="062E2CC9"/>
    <w:rsid w:val="063858F6"/>
    <w:rsid w:val="067D4F9E"/>
    <w:rsid w:val="06801C3B"/>
    <w:rsid w:val="06A72A7B"/>
    <w:rsid w:val="06D53145"/>
    <w:rsid w:val="06FC4B75"/>
    <w:rsid w:val="070B300A"/>
    <w:rsid w:val="07230354"/>
    <w:rsid w:val="075229E7"/>
    <w:rsid w:val="0757624F"/>
    <w:rsid w:val="078608E3"/>
    <w:rsid w:val="079E5C2C"/>
    <w:rsid w:val="07AF301F"/>
    <w:rsid w:val="07C5140B"/>
    <w:rsid w:val="07C66F31"/>
    <w:rsid w:val="07D93108"/>
    <w:rsid w:val="07FB6BDB"/>
    <w:rsid w:val="080B2B96"/>
    <w:rsid w:val="080D690E"/>
    <w:rsid w:val="08204893"/>
    <w:rsid w:val="08444A26"/>
    <w:rsid w:val="086F7E62"/>
    <w:rsid w:val="089A4646"/>
    <w:rsid w:val="08A059D4"/>
    <w:rsid w:val="08A34DB8"/>
    <w:rsid w:val="08C07E24"/>
    <w:rsid w:val="08C276F9"/>
    <w:rsid w:val="08CB2A51"/>
    <w:rsid w:val="08E27D9B"/>
    <w:rsid w:val="091153EC"/>
    <w:rsid w:val="09170399"/>
    <w:rsid w:val="092D1499"/>
    <w:rsid w:val="09300B06"/>
    <w:rsid w:val="093A1D5C"/>
    <w:rsid w:val="09483348"/>
    <w:rsid w:val="09905A49"/>
    <w:rsid w:val="0992531D"/>
    <w:rsid w:val="099512B1"/>
    <w:rsid w:val="09AB2883"/>
    <w:rsid w:val="09AD65FB"/>
    <w:rsid w:val="09B01C47"/>
    <w:rsid w:val="09B5725D"/>
    <w:rsid w:val="09E55D95"/>
    <w:rsid w:val="09EA6F07"/>
    <w:rsid w:val="09F07824"/>
    <w:rsid w:val="0A256191"/>
    <w:rsid w:val="0A287A2F"/>
    <w:rsid w:val="0A375EC4"/>
    <w:rsid w:val="0A40746F"/>
    <w:rsid w:val="0A5371A2"/>
    <w:rsid w:val="0A5B1BB3"/>
    <w:rsid w:val="0A6D18E6"/>
    <w:rsid w:val="0A786C09"/>
    <w:rsid w:val="0A894FD9"/>
    <w:rsid w:val="0A9926DB"/>
    <w:rsid w:val="0AAC0660"/>
    <w:rsid w:val="0AC57974"/>
    <w:rsid w:val="0AE147AE"/>
    <w:rsid w:val="0AE778EA"/>
    <w:rsid w:val="0AFD2C6A"/>
    <w:rsid w:val="0B0104DC"/>
    <w:rsid w:val="0B065FC2"/>
    <w:rsid w:val="0B093D05"/>
    <w:rsid w:val="0B316DB7"/>
    <w:rsid w:val="0B350656"/>
    <w:rsid w:val="0B362BF0"/>
    <w:rsid w:val="0B5C3E34"/>
    <w:rsid w:val="0B60651B"/>
    <w:rsid w:val="0B835865"/>
    <w:rsid w:val="0B9340C0"/>
    <w:rsid w:val="0BA94BA0"/>
    <w:rsid w:val="0BB26C18"/>
    <w:rsid w:val="0BB43C70"/>
    <w:rsid w:val="0BBF2615"/>
    <w:rsid w:val="0BDE0CED"/>
    <w:rsid w:val="0BDF6813"/>
    <w:rsid w:val="0C060244"/>
    <w:rsid w:val="0C1C1816"/>
    <w:rsid w:val="0C2801BA"/>
    <w:rsid w:val="0C394176"/>
    <w:rsid w:val="0C4607B2"/>
    <w:rsid w:val="0C743400"/>
    <w:rsid w:val="0C7B7987"/>
    <w:rsid w:val="0C8925FB"/>
    <w:rsid w:val="0C8C699B"/>
    <w:rsid w:val="0CB87790"/>
    <w:rsid w:val="0CBA3508"/>
    <w:rsid w:val="0CC779D3"/>
    <w:rsid w:val="0CDD41A8"/>
    <w:rsid w:val="0CF31BCF"/>
    <w:rsid w:val="0D054058"/>
    <w:rsid w:val="0D1077DD"/>
    <w:rsid w:val="0D32334D"/>
    <w:rsid w:val="0D470B14"/>
    <w:rsid w:val="0D4B4161"/>
    <w:rsid w:val="0D4F196D"/>
    <w:rsid w:val="0D646E2A"/>
    <w:rsid w:val="0D7F3E0A"/>
    <w:rsid w:val="0DAD6BC9"/>
    <w:rsid w:val="0DB00467"/>
    <w:rsid w:val="0DDB664A"/>
    <w:rsid w:val="0DE16873"/>
    <w:rsid w:val="0DE46363"/>
    <w:rsid w:val="0DEE2D3E"/>
    <w:rsid w:val="0DF04D08"/>
    <w:rsid w:val="0E106210"/>
    <w:rsid w:val="0E146C48"/>
    <w:rsid w:val="0E3966AF"/>
    <w:rsid w:val="0E455054"/>
    <w:rsid w:val="0E4A266A"/>
    <w:rsid w:val="0E4D3F08"/>
    <w:rsid w:val="0E567261"/>
    <w:rsid w:val="0E937FF7"/>
    <w:rsid w:val="0EA868D9"/>
    <w:rsid w:val="0EAA135B"/>
    <w:rsid w:val="0EB36461"/>
    <w:rsid w:val="0EBB5316"/>
    <w:rsid w:val="0ECD6BB9"/>
    <w:rsid w:val="0F1113DA"/>
    <w:rsid w:val="0F113188"/>
    <w:rsid w:val="0F1D7D7F"/>
    <w:rsid w:val="0F3F1AA3"/>
    <w:rsid w:val="0F474DFC"/>
    <w:rsid w:val="0F5170F1"/>
    <w:rsid w:val="0F56503F"/>
    <w:rsid w:val="0F7F6343"/>
    <w:rsid w:val="0F8C280E"/>
    <w:rsid w:val="0FB029A1"/>
    <w:rsid w:val="0FD7617F"/>
    <w:rsid w:val="0FDF64A1"/>
    <w:rsid w:val="0FE34B24"/>
    <w:rsid w:val="0FF756C0"/>
    <w:rsid w:val="0FF860F6"/>
    <w:rsid w:val="10042CED"/>
    <w:rsid w:val="10156CA8"/>
    <w:rsid w:val="10247488"/>
    <w:rsid w:val="10294501"/>
    <w:rsid w:val="102A1CBB"/>
    <w:rsid w:val="10345380"/>
    <w:rsid w:val="103510F8"/>
    <w:rsid w:val="10581217"/>
    <w:rsid w:val="106043C7"/>
    <w:rsid w:val="107C061C"/>
    <w:rsid w:val="10944070"/>
    <w:rsid w:val="10973B61"/>
    <w:rsid w:val="109C2F25"/>
    <w:rsid w:val="10BF7A6B"/>
    <w:rsid w:val="10CD30DE"/>
    <w:rsid w:val="10E2302E"/>
    <w:rsid w:val="10E5667A"/>
    <w:rsid w:val="10E87F18"/>
    <w:rsid w:val="10EC4CD3"/>
    <w:rsid w:val="10ED3781"/>
    <w:rsid w:val="10F863AD"/>
    <w:rsid w:val="110A60E1"/>
    <w:rsid w:val="111451B1"/>
    <w:rsid w:val="11205904"/>
    <w:rsid w:val="113676AF"/>
    <w:rsid w:val="114415F3"/>
    <w:rsid w:val="114A0BD3"/>
    <w:rsid w:val="114A387E"/>
    <w:rsid w:val="11543BAC"/>
    <w:rsid w:val="115630D4"/>
    <w:rsid w:val="117417AC"/>
    <w:rsid w:val="117D2D56"/>
    <w:rsid w:val="11A5684D"/>
    <w:rsid w:val="11C4082F"/>
    <w:rsid w:val="11C95F9C"/>
    <w:rsid w:val="11D32976"/>
    <w:rsid w:val="11D861DF"/>
    <w:rsid w:val="11DC5CCF"/>
    <w:rsid w:val="12042B30"/>
    <w:rsid w:val="120D5E88"/>
    <w:rsid w:val="120E7E09"/>
    <w:rsid w:val="1212349F"/>
    <w:rsid w:val="121534BC"/>
    <w:rsid w:val="1218482D"/>
    <w:rsid w:val="122B630F"/>
    <w:rsid w:val="123478B9"/>
    <w:rsid w:val="123D4E07"/>
    <w:rsid w:val="12443874"/>
    <w:rsid w:val="124949E7"/>
    <w:rsid w:val="124B075F"/>
    <w:rsid w:val="12541464"/>
    <w:rsid w:val="125735A8"/>
    <w:rsid w:val="126A5144"/>
    <w:rsid w:val="126E2D03"/>
    <w:rsid w:val="12957C2C"/>
    <w:rsid w:val="12C329EB"/>
    <w:rsid w:val="12D60970"/>
    <w:rsid w:val="12DC3AAD"/>
    <w:rsid w:val="13201BEB"/>
    <w:rsid w:val="132E6FE9"/>
    <w:rsid w:val="13765CAF"/>
    <w:rsid w:val="138C6520"/>
    <w:rsid w:val="13BF1404"/>
    <w:rsid w:val="13CC58CF"/>
    <w:rsid w:val="13F74556"/>
    <w:rsid w:val="13FB7F63"/>
    <w:rsid w:val="140040F4"/>
    <w:rsid w:val="140E7C96"/>
    <w:rsid w:val="1424570B"/>
    <w:rsid w:val="143F2545"/>
    <w:rsid w:val="144B713C"/>
    <w:rsid w:val="145C4EA5"/>
    <w:rsid w:val="148461AA"/>
    <w:rsid w:val="148A7C64"/>
    <w:rsid w:val="14A16D5C"/>
    <w:rsid w:val="14AF76CB"/>
    <w:rsid w:val="14B85A81"/>
    <w:rsid w:val="14BF71E2"/>
    <w:rsid w:val="14D07641"/>
    <w:rsid w:val="14D94748"/>
    <w:rsid w:val="14D964F6"/>
    <w:rsid w:val="14DA3C44"/>
    <w:rsid w:val="14EC0E8D"/>
    <w:rsid w:val="14ED3D4F"/>
    <w:rsid w:val="14F72E20"/>
    <w:rsid w:val="14F75F2A"/>
    <w:rsid w:val="14F90946"/>
    <w:rsid w:val="151469B7"/>
    <w:rsid w:val="152850C5"/>
    <w:rsid w:val="1556100F"/>
    <w:rsid w:val="155618F4"/>
    <w:rsid w:val="156D4E90"/>
    <w:rsid w:val="15956C4F"/>
    <w:rsid w:val="159F2DAC"/>
    <w:rsid w:val="15CE1DD3"/>
    <w:rsid w:val="16014137"/>
    <w:rsid w:val="1609105D"/>
    <w:rsid w:val="160F623F"/>
    <w:rsid w:val="161B669A"/>
    <w:rsid w:val="16331C36"/>
    <w:rsid w:val="163360DA"/>
    <w:rsid w:val="1635775C"/>
    <w:rsid w:val="16443E43"/>
    <w:rsid w:val="16493207"/>
    <w:rsid w:val="168C1346"/>
    <w:rsid w:val="16A668AC"/>
    <w:rsid w:val="16B25250"/>
    <w:rsid w:val="16B94475"/>
    <w:rsid w:val="16BF34C9"/>
    <w:rsid w:val="16CF5E02"/>
    <w:rsid w:val="16D01B7A"/>
    <w:rsid w:val="16D8458B"/>
    <w:rsid w:val="16E15B36"/>
    <w:rsid w:val="16F74B8C"/>
    <w:rsid w:val="1706559C"/>
    <w:rsid w:val="17123F41"/>
    <w:rsid w:val="171C091C"/>
    <w:rsid w:val="17375756"/>
    <w:rsid w:val="174C1F50"/>
    <w:rsid w:val="178070FD"/>
    <w:rsid w:val="17853B61"/>
    <w:rsid w:val="17936E30"/>
    <w:rsid w:val="179606CE"/>
    <w:rsid w:val="17BE3B06"/>
    <w:rsid w:val="17CA481C"/>
    <w:rsid w:val="17DB4333"/>
    <w:rsid w:val="17E21B65"/>
    <w:rsid w:val="17E70F2A"/>
    <w:rsid w:val="18381785"/>
    <w:rsid w:val="186500A0"/>
    <w:rsid w:val="186B1B5B"/>
    <w:rsid w:val="186E51A7"/>
    <w:rsid w:val="18722EE9"/>
    <w:rsid w:val="189015C1"/>
    <w:rsid w:val="1890336F"/>
    <w:rsid w:val="189A41EE"/>
    <w:rsid w:val="18B76B4E"/>
    <w:rsid w:val="18BD7EDC"/>
    <w:rsid w:val="18E40145"/>
    <w:rsid w:val="18EE0096"/>
    <w:rsid w:val="19006747"/>
    <w:rsid w:val="190B6E9A"/>
    <w:rsid w:val="19212219"/>
    <w:rsid w:val="19297756"/>
    <w:rsid w:val="192B12EA"/>
    <w:rsid w:val="19341F4D"/>
    <w:rsid w:val="19404D95"/>
    <w:rsid w:val="195048A6"/>
    <w:rsid w:val="19662322"/>
    <w:rsid w:val="19866520"/>
    <w:rsid w:val="199930AE"/>
    <w:rsid w:val="19B17A41"/>
    <w:rsid w:val="19BD0194"/>
    <w:rsid w:val="19CF1C75"/>
    <w:rsid w:val="19E35721"/>
    <w:rsid w:val="19EA2F53"/>
    <w:rsid w:val="19EA6260"/>
    <w:rsid w:val="1A136006"/>
    <w:rsid w:val="1A1D5A65"/>
    <w:rsid w:val="1A1E34E6"/>
    <w:rsid w:val="1A3A7A37"/>
    <w:rsid w:val="1A4474E8"/>
    <w:rsid w:val="1A5A3C35"/>
    <w:rsid w:val="1A710D72"/>
    <w:rsid w:val="1A7F369B"/>
    <w:rsid w:val="1A8E1B30"/>
    <w:rsid w:val="1A96278C"/>
    <w:rsid w:val="1AAB26E2"/>
    <w:rsid w:val="1AD339E7"/>
    <w:rsid w:val="1AFB05F2"/>
    <w:rsid w:val="1AFC4CEC"/>
    <w:rsid w:val="1B0B72D0"/>
    <w:rsid w:val="1B100797"/>
    <w:rsid w:val="1B2304CB"/>
    <w:rsid w:val="1B245FF1"/>
    <w:rsid w:val="1B3426D8"/>
    <w:rsid w:val="1B472E09"/>
    <w:rsid w:val="1B47424D"/>
    <w:rsid w:val="1B642891"/>
    <w:rsid w:val="1B770817"/>
    <w:rsid w:val="1B9E5DA3"/>
    <w:rsid w:val="1BB90E2F"/>
    <w:rsid w:val="1BCE272A"/>
    <w:rsid w:val="1BCF2401"/>
    <w:rsid w:val="1C13053F"/>
    <w:rsid w:val="1C24274C"/>
    <w:rsid w:val="1C2A3ADB"/>
    <w:rsid w:val="1C3B1844"/>
    <w:rsid w:val="1C3B7A96"/>
    <w:rsid w:val="1C4E34A4"/>
    <w:rsid w:val="1C672639"/>
    <w:rsid w:val="1C6F7740"/>
    <w:rsid w:val="1C7B7E93"/>
    <w:rsid w:val="1C850D11"/>
    <w:rsid w:val="1CA7512B"/>
    <w:rsid w:val="1CA92C52"/>
    <w:rsid w:val="1CB533A4"/>
    <w:rsid w:val="1CC17F9B"/>
    <w:rsid w:val="1CC528B8"/>
    <w:rsid w:val="1CD22DC8"/>
    <w:rsid w:val="1CD81789"/>
    <w:rsid w:val="1CFA34AD"/>
    <w:rsid w:val="1CFF2872"/>
    <w:rsid w:val="1D083E1C"/>
    <w:rsid w:val="1D1327C1"/>
    <w:rsid w:val="1D216C8C"/>
    <w:rsid w:val="1D293D92"/>
    <w:rsid w:val="1D2B1804"/>
    <w:rsid w:val="1D752B34"/>
    <w:rsid w:val="1D905BC0"/>
    <w:rsid w:val="1DAD49C3"/>
    <w:rsid w:val="1DBC69B5"/>
    <w:rsid w:val="1DDE692B"/>
    <w:rsid w:val="1DE008F5"/>
    <w:rsid w:val="1DEF28E6"/>
    <w:rsid w:val="1E0068A1"/>
    <w:rsid w:val="1E15696A"/>
    <w:rsid w:val="1E2F53D8"/>
    <w:rsid w:val="1E3173A3"/>
    <w:rsid w:val="1E334EC9"/>
    <w:rsid w:val="1E3950C5"/>
    <w:rsid w:val="1E4808ED"/>
    <w:rsid w:val="1E674B72"/>
    <w:rsid w:val="1E766B63"/>
    <w:rsid w:val="1E8A0861"/>
    <w:rsid w:val="1E984D2C"/>
    <w:rsid w:val="1E9B3AFC"/>
    <w:rsid w:val="1EAC6A29"/>
    <w:rsid w:val="1EB53B30"/>
    <w:rsid w:val="1EB85091"/>
    <w:rsid w:val="1ED55F80"/>
    <w:rsid w:val="1F182311"/>
    <w:rsid w:val="1F356A1F"/>
    <w:rsid w:val="1F43738D"/>
    <w:rsid w:val="1F4924CA"/>
    <w:rsid w:val="1F4E7AE0"/>
    <w:rsid w:val="1F536EA5"/>
    <w:rsid w:val="1F5A597C"/>
    <w:rsid w:val="1F6D3CAF"/>
    <w:rsid w:val="1F7237CF"/>
    <w:rsid w:val="1F7E03C6"/>
    <w:rsid w:val="1F8E612F"/>
    <w:rsid w:val="1F9000F9"/>
    <w:rsid w:val="1FAB6CE1"/>
    <w:rsid w:val="1FC72313"/>
    <w:rsid w:val="1FE46AA9"/>
    <w:rsid w:val="1FF468DA"/>
    <w:rsid w:val="1FF70178"/>
    <w:rsid w:val="1FFC753C"/>
    <w:rsid w:val="201A79C2"/>
    <w:rsid w:val="20322F5E"/>
    <w:rsid w:val="20476A09"/>
    <w:rsid w:val="2063580D"/>
    <w:rsid w:val="207B2B57"/>
    <w:rsid w:val="20AE1B47"/>
    <w:rsid w:val="20B9542D"/>
    <w:rsid w:val="20C55B80"/>
    <w:rsid w:val="20C75D9C"/>
    <w:rsid w:val="20DD736E"/>
    <w:rsid w:val="20EA55E7"/>
    <w:rsid w:val="210B3EDB"/>
    <w:rsid w:val="210E39CB"/>
    <w:rsid w:val="21132D8F"/>
    <w:rsid w:val="211F1734"/>
    <w:rsid w:val="212E1977"/>
    <w:rsid w:val="21696E53"/>
    <w:rsid w:val="217001E2"/>
    <w:rsid w:val="218E68BA"/>
    <w:rsid w:val="21A1493D"/>
    <w:rsid w:val="21A67760"/>
    <w:rsid w:val="21F77FBB"/>
    <w:rsid w:val="21F91F85"/>
    <w:rsid w:val="21FC7CC7"/>
    <w:rsid w:val="220646A2"/>
    <w:rsid w:val="22123047"/>
    <w:rsid w:val="22146DBF"/>
    <w:rsid w:val="222F59A7"/>
    <w:rsid w:val="22396826"/>
    <w:rsid w:val="225C42C2"/>
    <w:rsid w:val="229A4B54"/>
    <w:rsid w:val="22A31EF1"/>
    <w:rsid w:val="22DD3655"/>
    <w:rsid w:val="22E26EBD"/>
    <w:rsid w:val="22E67766"/>
    <w:rsid w:val="22F4099F"/>
    <w:rsid w:val="22FB1D2D"/>
    <w:rsid w:val="23030D01"/>
    <w:rsid w:val="23286980"/>
    <w:rsid w:val="2342795C"/>
    <w:rsid w:val="23486984"/>
    <w:rsid w:val="234C07DB"/>
    <w:rsid w:val="23621DAC"/>
    <w:rsid w:val="23651C9F"/>
    <w:rsid w:val="237F295E"/>
    <w:rsid w:val="23AA1DA8"/>
    <w:rsid w:val="23E7405F"/>
    <w:rsid w:val="23ED1676"/>
    <w:rsid w:val="23F30C56"/>
    <w:rsid w:val="23F41E93"/>
    <w:rsid w:val="23FF13A9"/>
    <w:rsid w:val="2403533D"/>
    <w:rsid w:val="24172B97"/>
    <w:rsid w:val="242751B3"/>
    <w:rsid w:val="242E1C8E"/>
    <w:rsid w:val="24305A06"/>
    <w:rsid w:val="244D480A"/>
    <w:rsid w:val="245E4A59"/>
    <w:rsid w:val="246833F2"/>
    <w:rsid w:val="24771887"/>
    <w:rsid w:val="25184241"/>
    <w:rsid w:val="25292B82"/>
    <w:rsid w:val="253432D4"/>
    <w:rsid w:val="253909CD"/>
    <w:rsid w:val="25457290"/>
    <w:rsid w:val="25682007"/>
    <w:rsid w:val="256C2A6E"/>
    <w:rsid w:val="257638ED"/>
    <w:rsid w:val="25B54415"/>
    <w:rsid w:val="25C428AA"/>
    <w:rsid w:val="25CD5C03"/>
    <w:rsid w:val="25E22D55"/>
    <w:rsid w:val="260333D3"/>
    <w:rsid w:val="260920E2"/>
    <w:rsid w:val="260E1D77"/>
    <w:rsid w:val="260E7FC9"/>
    <w:rsid w:val="26284DDB"/>
    <w:rsid w:val="262D48F3"/>
    <w:rsid w:val="26384FC0"/>
    <w:rsid w:val="268B33C8"/>
    <w:rsid w:val="269B7AAF"/>
    <w:rsid w:val="26BE554B"/>
    <w:rsid w:val="26E825C8"/>
    <w:rsid w:val="26EA4592"/>
    <w:rsid w:val="26F23447"/>
    <w:rsid w:val="27127645"/>
    <w:rsid w:val="2714160F"/>
    <w:rsid w:val="272F01F7"/>
    <w:rsid w:val="27BA5D13"/>
    <w:rsid w:val="27BD1CA7"/>
    <w:rsid w:val="27BF3329"/>
    <w:rsid w:val="27D03788"/>
    <w:rsid w:val="27D72D69"/>
    <w:rsid w:val="27E45486"/>
    <w:rsid w:val="28186EDD"/>
    <w:rsid w:val="284321AC"/>
    <w:rsid w:val="28771E56"/>
    <w:rsid w:val="28A16ED3"/>
    <w:rsid w:val="28C768EF"/>
    <w:rsid w:val="28DD6E23"/>
    <w:rsid w:val="28F90ABD"/>
    <w:rsid w:val="2903193C"/>
    <w:rsid w:val="292F5389"/>
    <w:rsid w:val="29422464"/>
    <w:rsid w:val="29564161"/>
    <w:rsid w:val="29714AF7"/>
    <w:rsid w:val="29785E86"/>
    <w:rsid w:val="29995DFC"/>
    <w:rsid w:val="29B017DF"/>
    <w:rsid w:val="29C70BBB"/>
    <w:rsid w:val="2A082782"/>
    <w:rsid w:val="2A31206B"/>
    <w:rsid w:val="2A36061B"/>
    <w:rsid w:val="2A614B6C"/>
    <w:rsid w:val="2A720B27"/>
    <w:rsid w:val="2A830F86"/>
    <w:rsid w:val="2AA35184"/>
    <w:rsid w:val="2ACE1AD5"/>
    <w:rsid w:val="2AD11171"/>
    <w:rsid w:val="2AD4533E"/>
    <w:rsid w:val="2AD52E64"/>
    <w:rsid w:val="2B177920"/>
    <w:rsid w:val="2B193698"/>
    <w:rsid w:val="2B2D2CA0"/>
    <w:rsid w:val="2B3C2B7F"/>
    <w:rsid w:val="2B481888"/>
    <w:rsid w:val="2B9C7E34"/>
    <w:rsid w:val="2BA7222F"/>
    <w:rsid w:val="2BA96061"/>
    <w:rsid w:val="2BBF4052"/>
    <w:rsid w:val="2BC74EA2"/>
    <w:rsid w:val="2BC90C1A"/>
    <w:rsid w:val="2C29790B"/>
    <w:rsid w:val="2C8719E3"/>
    <w:rsid w:val="2CA174A1"/>
    <w:rsid w:val="2CD5279B"/>
    <w:rsid w:val="2CED6C3A"/>
    <w:rsid w:val="2CFC0B7C"/>
    <w:rsid w:val="2D0C788F"/>
    <w:rsid w:val="2D295F9A"/>
    <w:rsid w:val="2D314CC9"/>
    <w:rsid w:val="2D35408E"/>
    <w:rsid w:val="2D3E73E6"/>
    <w:rsid w:val="2D4D13D7"/>
    <w:rsid w:val="2D510EC7"/>
    <w:rsid w:val="2D614A83"/>
    <w:rsid w:val="2D8F19F0"/>
    <w:rsid w:val="2DA07DEB"/>
    <w:rsid w:val="2DA21723"/>
    <w:rsid w:val="2DA90D03"/>
    <w:rsid w:val="2DCF003E"/>
    <w:rsid w:val="2DDD275B"/>
    <w:rsid w:val="2DE03FF9"/>
    <w:rsid w:val="2E0866DA"/>
    <w:rsid w:val="2E0E0B66"/>
    <w:rsid w:val="2E2959A0"/>
    <w:rsid w:val="2E2B27AB"/>
    <w:rsid w:val="2E5F7614"/>
    <w:rsid w:val="2E627104"/>
    <w:rsid w:val="2E642E7C"/>
    <w:rsid w:val="2E903C71"/>
    <w:rsid w:val="2E921DA5"/>
    <w:rsid w:val="2E9372BE"/>
    <w:rsid w:val="2EA65243"/>
    <w:rsid w:val="2EB55486"/>
    <w:rsid w:val="2EB84F76"/>
    <w:rsid w:val="2EBB09DD"/>
    <w:rsid w:val="2EC97183"/>
    <w:rsid w:val="2EDF69A7"/>
    <w:rsid w:val="2F0B32F8"/>
    <w:rsid w:val="2F0D0E1E"/>
    <w:rsid w:val="2F0D6CBD"/>
    <w:rsid w:val="2F320885"/>
    <w:rsid w:val="2F34284F"/>
    <w:rsid w:val="2F603644"/>
    <w:rsid w:val="2F904782"/>
    <w:rsid w:val="2FCD4A51"/>
    <w:rsid w:val="2FE34275"/>
    <w:rsid w:val="2FF43D8C"/>
    <w:rsid w:val="30006A18"/>
    <w:rsid w:val="30045057"/>
    <w:rsid w:val="302C5C1C"/>
    <w:rsid w:val="302D729E"/>
    <w:rsid w:val="303A20E7"/>
    <w:rsid w:val="30667B76"/>
    <w:rsid w:val="307410C2"/>
    <w:rsid w:val="3095731D"/>
    <w:rsid w:val="30B26121"/>
    <w:rsid w:val="30B359F5"/>
    <w:rsid w:val="30D75B88"/>
    <w:rsid w:val="30E327D8"/>
    <w:rsid w:val="30EC388A"/>
    <w:rsid w:val="31102E48"/>
    <w:rsid w:val="311C359A"/>
    <w:rsid w:val="31376626"/>
    <w:rsid w:val="313C5E2A"/>
    <w:rsid w:val="316B4522"/>
    <w:rsid w:val="31701B38"/>
    <w:rsid w:val="31813D45"/>
    <w:rsid w:val="319A0963"/>
    <w:rsid w:val="31A812D2"/>
    <w:rsid w:val="31AD68E8"/>
    <w:rsid w:val="31C51434"/>
    <w:rsid w:val="31CB6BC1"/>
    <w:rsid w:val="31DB5204"/>
    <w:rsid w:val="31DE4CF4"/>
    <w:rsid w:val="32170BF7"/>
    <w:rsid w:val="322F72FD"/>
    <w:rsid w:val="323668DE"/>
    <w:rsid w:val="324E1E79"/>
    <w:rsid w:val="325B6344"/>
    <w:rsid w:val="327B56DF"/>
    <w:rsid w:val="32A1591F"/>
    <w:rsid w:val="32C043F9"/>
    <w:rsid w:val="32CA640C"/>
    <w:rsid w:val="32D3412D"/>
    <w:rsid w:val="32FF3174"/>
    <w:rsid w:val="33044C2E"/>
    <w:rsid w:val="33052E4F"/>
    <w:rsid w:val="33150BE9"/>
    <w:rsid w:val="331C3D26"/>
    <w:rsid w:val="33264BA4"/>
    <w:rsid w:val="33694A91"/>
    <w:rsid w:val="33707BCD"/>
    <w:rsid w:val="339E0BDF"/>
    <w:rsid w:val="339F04B3"/>
    <w:rsid w:val="33CB6B0C"/>
    <w:rsid w:val="33CD330B"/>
    <w:rsid w:val="33DE547F"/>
    <w:rsid w:val="34060532"/>
    <w:rsid w:val="340F5638"/>
    <w:rsid w:val="341D7D55"/>
    <w:rsid w:val="342D3D10"/>
    <w:rsid w:val="343B2752"/>
    <w:rsid w:val="343B642D"/>
    <w:rsid w:val="34480B4A"/>
    <w:rsid w:val="3474193F"/>
    <w:rsid w:val="347656B7"/>
    <w:rsid w:val="34871673"/>
    <w:rsid w:val="348E3839"/>
    <w:rsid w:val="34A43FD3"/>
    <w:rsid w:val="34CC3529"/>
    <w:rsid w:val="34CC52D7"/>
    <w:rsid w:val="34D523DE"/>
    <w:rsid w:val="34EE16F2"/>
    <w:rsid w:val="34F85A73"/>
    <w:rsid w:val="34FF745B"/>
    <w:rsid w:val="350E58F0"/>
    <w:rsid w:val="35373099"/>
    <w:rsid w:val="35417A73"/>
    <w:rsid w:val="354B08F2"/>
    <w:rsid w:val="35577297"/>
    <w:rsid w:val="35635C3C"/>
    <w:rsid w:val="3566572C"/>
    <w:rsid w:val="356660A7"/>
    <w:rsid w:val="35673B29"/>
    <w:rsid w:val="35831E3A"/>
    <w:rsid w:val="359A53D6"/>
    <w:rsid w:val="35AF558A"/>
    <w:rsid w:val="35B20971"/>
    <w:rsid w:val="35C46889"/>
    <w:rsid w:val="35CB1A33"/>
    <w:rsid w:val="36080591"/>
    <w:rsid w:val="364A5420"/>
    <w:rsid w:val="366175C4"/>
    <w:rsid w:val="3667175C"/>
    <w:rsid w:val="366C4FC4"/>
    <w:rsid w:val="366E68DA"/>
    <w:rsid w:val="36806379"/>
    <w:rsid w:val="36887154"/>
    <w:rsid w:val="37040D59"/>
    <w:rsid w:val="373D24BC"/>
    <w:rsid w:val="374B4BD9"/>
    <w:rsid w:val="376637C1"/>
    <w:rsid w:val="376712E7"/>
    <w:rsid w:val="377D6D5D"/>
    <w:rsid w:val="37B833F9"/>
    <w:rsid w:val="37D42E21"/>
    <w:rsid w:val="37F012DD"/>
    <w:rsid w:val="37FA3B07"/>
    <w:rsid w:val="37FC4126"/>
    <w:rsid w:val="3801173C"/>
    <w:rsid w:val="380D1E8F"/>
    <w:rsid w:val="38125841"/>
    <w:rsid w:val="384A6C3F"/>
    <w:rsid w:val="38606463"/>
    <w:rsid w:val="387719FE"/>
    <w:rsid w:val="38926838"/>
    <w:rsid w:val="38AA5930"/>
    <w:rsid w:val="38AC5B4C"/>
    <w:rsid w:val="38AD5420"/>
    <w:rsid w:val="38B844F1"/>
    <w:rsid w:val="38BD38B5"/>
    <w:rsid w:val="38C70290"/>
    <w:rsid w:val="38CA4224"/>
    <w:rsid w:val="38EC5F48"/>
    <w:rsid w:val="392E030F"/>
    <w:rsid w:val="393435C0"/>
    <w:rsid w:val="39534219"/>
    <w:rsid w:val="39561BA0"/>
    <w:rsid w:val="396E2E01"/>
    <w:rsid w:val="39A46823"/>
    <w:rsid w:val="39B76556"/>
    <w:rsid w:val="39BA7DF4"/>
    <w:rsid w:val="39BF365D"/>
    <w:rsid w:val="39C26CA9"/>
    <w:rsid w:val="39D0586A"/>
    <w:rsid w:val="39D233C3"/>
    <w:rsid w:val="39EB6200"/>
    <w:rsid w:val="3A0472C2"/>
    <w:rsid w:val="3A085004"/>
    <w:rsid w:val="3A17143A"/>
    <w:rsid w:val="3A1F5EA9"/>
    <w:rsid w:val="3A287454"/>
    <w:rsid w:val="3A2F2590"/>
    <w:rsid w:val="3A4B6C9E"/>
    <w:rsid w:val="3A5C0EAC"/>
    <w:rsid w:val="3A5F274A"/>
    <w:rsid w:val="3A660185"/>
    <w:rsid w:val="3AEE643E"/>
    <w:rsid w:val="3B247C1B"/>
    <w:rsid w:val="3B331C0C"/>
    <w:rsid w:val="3B5129DA"/>
    <w:rsid w:val="3B660234"/>
    <w:rsid w:val="3B762441"/>
    <w:rsid w:val="3BB05953"/>
    <w:rsid w:val="3BC1190E"/>
    <w:rsid w:val="3BDA477E"/>
    <w:rsid w:val="3BDD4E74"/>
    <w:rsid w:val="3BE92C13"/>
    <w:rsid w:val="3BF16943"/>
    <w:rsid w:val="3BF70E8C"/>
    <w:rsid w:val="3C254167"/>
    <w:rsid w:val="3C54617F"/>
    <w:rsid w:val="3CA01523"/>
    <w:rsid w:val="3CD613E9"/>
    <w:rsid w:val="3CDB69FF"/>
    <w:rsid w:val="3CE5162C"/>
    <w:rsid w:val="3CEA279F"/>
    <w:rsid w:val="3D171F98"/>
    <w:rsid w:val="3D4C3459"/>
    <w:rsid w:val="3D540560"/>
    <w:rsid w:val="3D5B369C"/>
    <w:rsid w:val="3D600CB3"/>
    <w:rsid w:val="3D673DEF"/>
    <w:rsid w:val="3D734E8A"/>
    <w:rsid w:val="3D9C10CD"/>
    <w:rsid w:val="3DB37034"/>
    <w:rsid w:val="3DC06FD4"/>
    <w:rsid w:val="3DC6005E"/>
    <w:rsid w:val="3DCE75E8"/>
    <w:rsid w:val="3DE6611C"/>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171A7"/>
    <w:rsid w:val="3F7D78FA"/>
    <w:rsid w:val="3F830C89"/>
    <w:rsid w:val="3F892743"/>
    <w:rsid w:val="3F8D7751"/>
    <w:rsid w:val="3F9F3D14"/>
    <w:rsid w:val="3FA34647"/>
    <w:rsid w:val="3FE23C01"/>
    <w:rsid w:val="400022D9"/>
    <w:rsid w:val="4013200C"/>
    <w:rsid w:val="403149DC"/>
    <w:rsid w:val="40532D51"/>
    <w:rsid w:val="40580367"/>
    <w:rsid w:val="4081341A"/>
    <w:rsid w:val="40BC26A4"/>
    <w:rsid w:val="40CA3013"/>
    <w:rsid w:val="40E340D5"/>
    <w:rsid w:val="40F2256A"/>
    <w:rsid w:val="40F63E08"/>
    <w:rsid w:val="40FC6F44"/>
    <w:rsid w:val="410127AD"/>
    <w:rsid w:val="411529FB"/>
    <w:rsid w:val="41272213"/>
    <w:rsid w:val="41362456"/>
    <w:rsid w:val="413B5CBF"/>
    <w:rsid w:val="415C79E3"/>
    <w:rsid w:val="41652D3C"/>
    <w:rsid w:val="41676AB4"/>
    <w:rsid w:val="41984EBF"/>
    <w:rsid w:val="41B11ADD"/>
    <w:rsid w:val="41CA2D0D"/>
    <w:rsid w:val="41CA7043"/>
    <w:rsid w:val="41CF23DC"/>
    <w:rsid w:val="41DB399D"/>
    <w:rsid w:val="41E41EB2"/>
    <w:rsid w:val="41E77BF5"/>
    <w:rsid w:val="41F61BE6"/>
    <w:rsid w:val="42073DF3"/>
    <w:rsid w:val="42075BA1"/>
    <w:rsid w:val="420E4020"/>
    <w:rsid w:val="4218267E"/>
    <w:rsid w:val="421E187C"/>
    <w:rsid w:val="4241669A"/>
    <w:rsid w:val="4246491B"/>
    <w:rsid w:val="4250579A"/>
    <w:rsid w:val="42707BEA"/>
    <w:rsid w:val="427B20EB"/>
    <w:rsid w:val="428611BC"/>
    <w:rsid w:val="42A11473"/>
    <w:rsid w:val="42B86E9B"/>
    <w:rsid w:val="42CD2946"/>
    <w:rsid w:val="42E45EE2"/>
    <w:rsid w:val="42F500EF"/>
    <w:rsid w:val="4315253F"/>
    <w:rsid w:val="432A7D99"/>
    <w:rsid w:val="433230F1"/>
    <w:rsid w:val="4353255E"/>
    <w:rsid w:val="43664B49"/>
    <w:rsid w:val="436A288B"/>
    <w:rsid w:val="436F1C50"/>
    <w:rsid w:val="438F22F2"/>
    <w:rsid w:val="43931DE2"/>
    <w:rsid w:val="439711A6"/>
    <w:rsid w:val="439B2A45"/>
    <w:rsid w:val="43B43B06"/>
    <w:rsid w:val="43B458B4"/>
    <w:rsid w:val="43B9736F"/>
    <w:rsid w:val="43C875B2"/>
    <w:rsid w:val="43F16B09"/>
    <w:rsid w:val="43FD54AD"/>
    <w:rsid w:val="44316195"/>
    <w:rsid w:val="443A04B0"/>
    <w:rsid w:val="446077EA"/>
    <w:rsid w:val="44676DCB"/>
    <w:rsid w:val="446C2633"/>
    <w:rsid w:val="446C43E1"/>
    <w:rsid w:val="44827761"/>
    <w:rsid w:val="448B4867"/>
    <w:rsid w:val="44915BF6"/>
    <w:rsid w:val="449F0313"/>
    <w:rsid w:val="44A26055"/>
    <w:rsid w:val="44AC2A30"/>
    <w:rsid w:val="44B02520"/>
    <w:rsid w:val="44CB1108"/>
    <w:rsid w:val="44CB735A"/>
    <w:rsid w:val="44D73F50"/>
    <w:rsid w:val="44F06DC0"/>
    <w:rsid w:val="45322F35"/>
    <w:rsid w:val="454315E6"/>
    <w:rsid w:val="454B2248"/>
    <w:rsid w:val="454C7069"/>
    <w:rsid w:val="455530C7"/>
    <w:rsid w:val="45596713"/>
    <w:rsid w:val="45773005"/>
    <w:rsid w:val="458614D2"/>
    <w:rsid w:val="45886FF9"/>
    <w:rsid w:val="458D51A8"/>
    <w:rsid w:val="458F0387"/>
    <w:rsid w:val="45905EAD"/>
    <w:rsid w:val="45D40490"/>
    <w:rsid w:val="45E17242"/>
    <w:rsid w:val="45E2495B"/>
    <w:rsid w:val="46030B23"/>
    <w:rsid w:val="462211FB"/>
    <w:rsid w:val="462F3918"/>
    <w:rsid w:val="4635213E"/>
    <w:rsid w:val="465313B5"/>
    <w:rsid w:val="465515D1"/>
    <w:rsid w:val="46583362"/>
    <w:rsid w:val="465E7D59"/>
    <w:rsid w:val="46634A89"/>
    <w:rsid w:val="466C2476"/>
    <w:rsid w:val="466E2692"/>
    <w:rsid w:val="469D0882"/>
    <w:rsid w:val="46A2058E"/>
    <w:rsid w:val="46B05036"/>
    <w:rsid w:val="46BE3798"/>
    <w:rsid w:val="46C95B1B"/>
    <w:rsid w:val="46F506BE"/>
    <w:rsid w:val="47022DDB"/>
    <w:rsid w:val="4707219F"/>
    <w:rsid w:val="471843AC"/>
    <w:rsid w:val="47462CC7"/>
    <w:rsid w:val="4764220C"/>
    <w:rsid w:val="4780267D"/>
    <w:rsid w:val="47833F1C"/>
    <w:rsid w:val="479223B1"/>
    <w:rsid w:val="479E48B1"/>
    <w:rsid w:val="47B6656B"/>
    <w:rsid w:val="47CF7161"/>
    <w:rsid w:val="48360F8E"/>
    <w:rsid w:val="483F42E6"/>
    <w:rsid w:val="488F68F0"/>
    <w:rsid w:val="48A00AFD"/>
    <w:rsid w:val="48CF4000"/>
    <w:rsid w:val="48DB38E3"/>
    <w:rsid w:val="48DF3CF4"/>
    <w:rsid w:val="48E1539E"/>
    <w:rsid w:val="48FF3A76"/>
    <w:rsid w:val="490E670B"/>
    <w:rsid w:val="490E7368"/>
    <w:rsid w:val="49155047"/>
    <w:rsid w:val="492C413F"/>
    <w:rsid w:val="492E7EB7"/>
    <w:rsid w:val="49303C2F"/>
    <w:rsid w:val="49380D36"/>
    <w:rsid w:val="49382AE4"/>
    <w:rsid w:val="494D47E1"/>
    <w:rsid w:val="49521DF7"/>
    <w:rsid w:val="4972249A"/>
    <w:rsid w:val="49867CF3"/>
    <w:rsid w:val="499F0E56"/>
    <w:rsid w:val="49A81A17"/>
    <w:rsid w:val="49B760FE"/>
    <w:rsid w:val="49D547D7"/>
    <w:rsid w:val="49E62540"/>
    <w:rsid w:val="49F76548"/>
    <w:rsid w:val="4A1E7F2C"/>
    <w:rsid w:val="4A2512BA"/>
    <w:rsid w:val="4A25750C"/>
    <w:rsid w:val="4A317C5F"/>
    <w:rsid w:val="4A325785"/>
    <w:rsid w:val="4A5B5E8E"/>
    <w:rsid w:val="4A6E0EB3"/>
    <w:rsid w:val="4A8907BB"/>
    <w:rsid w:val="4A8A3813"/>
    <w:rsid w:val="4A91694F"/>
    <w:rsid w:val="4A9500E9"/>
    <w:rsid w:val="4A9D52F4"/>
    <w:rsid w:val="4ABB1C1E"/>
    <w:rsid w:val="4AC40AD3"/>
    <w:rsid w:val="4AF34F14"/>
    <w:rsid w:val="4B110B90"/>
    <w:rsid w:val="4B1F21AD"/>
    <w:rsid w:val="4B2E05DC"/>
    <w:rsid w:val="4B3D2633"/>
    <w:rsid w:val="4B412124"/>
    <w:rsid w:val="4B50680B"/>
    <w:rsid w:val="4B63653E"/>
    <w:rsid w:val="4B7A7462"/>
    <w:rsid w:val="4B7D0C82"/>
    <w:rsid w:val="4B7F2937"/>
    <w:rsid w:val="4B9A1834"/>
    <w:rsid w:val="4BA12BC2"/>
    <w:rsid w:val="4BB24DCF"/>
    <w:rsid w:val="4BC44B03"/>
    <w:rsid w:val="4BF47196"/>
    <w:rsid w:val="4C123AC0"/>
    <w:rsid w:val="4C2149E6"/>
    <w:rsid w:val="4C251A45"/>
    <w:rsid w:val="4C2F4672"/>
    <w:rsid w:val="4C3103EA"/>
    <w:rsid w:val="4C43011D"/>
    <w:rsid w:val="4C650094"/>
    <w:rsid w:val="4C6A56AA"/>
    <w:rsid w:val="4C8C73CE"/>
    <w:rsid w:val="4CA961D2"/>
    <w:rsid w:val="4CB16E35"/>
    <w:rsid w:val="4CB44B77"/>
    <w:rsid w:val="4CBE77A4"/>
    <w:rsid w:val="4CD60F91"/>
    <w:rsid w:val="4CDA6125"/>
    <w:rsid w:val="4D043409"/>
    <w:rsid w:val="4D07739D"/>
    <w:rsid w:val="4D16138E"/>
    <w:rsid w:val="4D1F46E6"/>
    <w:rsid w:val="4D317F76"/>
    <w:rsid w:val="4D3637DE"/>
    <w:rsid w:val="4D3B2BA3"/>
    <w:rsid w:val="4D4C4DB0"/>
    <w:rsid w:val="4D64034B"/>
    <w:rsid w:val="4D6E5660"/>
    <w:rsid w:val="4D7A7B6F"/>
    <w:rsid w:val="4D7B7EAC"/>
    <w:rsid w:val="4D986247"/>
    <w:rsid w:val="4DAD0AEE"/>
    <w:rsid w:val="4DBC1F35"/>
    <w:rsid w:val="4DC96B69"/>
    <w:rsid w:val="4DE33966"/>
    <w:rsid w:val="4DEB6377"/>
    <w:rsid w:val="4DF711BF"/>
    <w:rsid w:val="4DFE60AA"/>
    <w:rsid w:val="4E067654"/>
    <w:rsid w:val="4E2A50F1"/>
    <w:rsid w:val="4E375A60"/>
    <w:rsid w:val="4E5008D0"/>
    <w:rsid w:val="4E524648"/>
    <w:rsid w:val="4E65437B"/>
    <w:rsid w:val="4E683E6B"/>
    <w:rsid w:val="4E8135B3"/>
    <w:rsid w:val="4E8D38D2"/>
    <w:rsid w:val="4E8F13F8"/>
    <w:rsid w:val="4E93713A"/>
    <w:rsid w:val="4EBE1CDD"/>
    <w:rsid w:val="4EC45545"/>
    <w:rsid w:val="4ED33CE1"/>
    <w:rsid w:val="4ED84B4D"/>
    <w:rsid w:val="4EF8069D"/>
    <w:rsid w:val="4F267444"/>
    <w:rsid w:val="4F4026F2"/>
    <w:rsid w:val="4F493920"/>
    <w:rsid w:val="4F652159"/>
    <w:rsid w:val="4F7A31F5"/>
    <w:rsid w:val="4F7A3E56"/>
    <w:rsid w:val="4F870321"/>
    <w:rsid w:val="4F8E7901"/>
    <w:rsid w:val="4F94365E"/>
    <w:rsid w:val="4F9D5D96"/>
    <w:rsid w:val="4FB530E0"/>
    <w:rsid w:val="4FBF7ABB"/>
    <w:rsid w:val="4FDD43E5"/>
    <w:rsid w:val="4FE13ED5"/>
    <w:rsid w:val="4FE65048"/>
    <w:rsid w:val="4FE85264"/>
    <w:rsid w:val="502A587C"/>
    <w:rsid w:val="50395ABF"/>
    <w:rsid w:val="503C40AD"/>
    <w:rsid w:val="5052092F"/>
    <w:rsid w:val="50834F8C"/>
    <w:rsid w:val="508D27A6"/>
    <w:rsid w:val="51165E00"/>
    <w:rsid w:val="5167040A"/>
    <w:rsid w:val="518D195B"/>
    <w:rsid w:val="51C15D6C"/>
    <w:rsid w:val="51C4760A"/>
    <w:rsid w:val="51E952C3"/>
    <w:rsid w:val="5268443A"/>
    <w:rsid w:val="527821A3"/>
    <w:rsid w:val="52AE52B6"/>
    <w:rsid w:val="52B4767F"/>
    <w:rsid w:val="52C8137C"/>
    <w:rsid w:val="52D23FA9"/>
    <w:rsid w:val="52E066C6"/>
    <w:rsid w:val="52E15F9A"/>
    <w:rsid w:val="52F263F9"/>
    <w:rsid w:val="53083749"/>
    <w:rsid w:val="5334431C"/>
    <w:rsid w:val="53373E0C"/>
    <w:rsid w:val="535B75CD"/>
    <w:rsid w:val="536410A5"/>
    <w:rsid w:val="53803A05"/>
    <w:rsid w:val="539179C0"/>
    <w:rsid w:val="53A235C5"/>
    <w:rsid w:val="53A94D0A"/>
    <w:rsid w:val="53B51901"/>
    <w:rsid w:val="53BA0C6B"/>
    <w:rsid w:val="53C733E2"/>
    <w:rsid w:val="53CC27A6"/>
    <w:rsid w:val="53CE29C2"/>
    <w:rsid w:val="53D0673A"/>
    <w:rsid w:val="53D578AD"/>
    <w:rsid w:val="53E144A4"/>
    <w:rsid w:val="53E53868"/>
    <w:rsid w:val="53EC4BF7"/>
    <w:rsid w:val="53F51CFD"/>
    <w:rsid w:val="540754E7"/>
    <w:rsid w:val="5415227F"/>
    <w:rsid w:val="542645AC"/>
    <w:rsid w:val="5427381E"/>
    <w:rsid w:val="54280D1A"/>
    <w:rsid w:val="54420CBA"/>
    <w:rsid w:val="544B5DC1"/>
    <w:rsid w:val="545C7FCE"/>
    <w:rsid w:val="5474356A"/>
    <w:rsid w:val="5486329D"/>
    <w:rsid w:val="548E5CAE"/>
    <w:rsid w:val="54971006"/>
    <w:rsid w:val="54A35BFD"/>
    <w:rsid w:val="54AF6350"/>
    <w:rsid w:val="54D9161F"/>
    <w:rsid w:val="54F46459"/>
    <w:rsid w:val="55173F13"/>
    <w:rsid w:val="552923C2"/>
    <w:rsid w:val="555869E7"/>
    <w:rsid w:val="556F1F83"/>
    <w:rsid w:val="55930452"/>
    <w:rsid w:val="55A35789"/>
    <w:rsid w:val="55B84EAE"/>
    <w:rsid w:val="55C776C9"/>
    <w:rsid w:val="55DD6EED"/>
    <w:rsid w:val="55F8151B"/>
    <w:rsid w:val="562C1C22"/>
    <w:rsid w:val="562E599A"/>
    <w:rsid w:val="56382C47"/>
    <w:rsid w:val="563C581B"/>
    <w:rsid w:val="56496330"/>
    <w:rsid w:val="567D5FDA"/>
    <w:rsid w:val="568048F7"/>
    <w:rsid w:val="56C02A96"/>
    <w:rsid w:val="56D67884"/>
    <w:rsid w:val="57014E5D"/>
    <w:rsid w:val="57623B4D"/>
    <w:rsid w:val="57633422"/>
    <w:rsid w:val="57723665"/>
    <w:rsid w:val="5778511F"/>
    <w:rsid w:val="57EF1159"/>
    <w:rsid w:val="57FD3876"/>
    <w:rsid w:val="58104109"/>
    <w:rsid w:val="581F1A3E"/>
    <w:rsid w:val="583D3C73"/>
    <w:rsid w:val="584B45E2"/>
    <w:rsid w:val="58615BB3"/>
    <w:rsid w:val="5862192B"/>
    <w:rsid w:val="588C0756"/>
    <w:rsid w:val="589715D5"/>
    <w:rsid w:val="58A67A6A"/>
    <w:rsid w:val="58B8779D"/>
    <w:rsid w:val="58C85C32"/>
    <w:rsid w:val="58E42340"/>
    <w:rsid w:val="58F76517"/>
    <w:rsid w:val="58FF717A"/>
    <w:rsid w:val="59012EF2"/>
    <w:rsid w:val="59142C25"/>
    <w:rsid w:val="59171178"/>
    <w:rsid w:val="595E20F3"/>
    <w:rsid w:val="597638E0"/>
    <w:rsid w:val="597933D0"/>
    <w:rsid w:val="597B2CA5"/>
    <w:rsid w:val="597B4491"/>
    <w:rsid w:val="59A57D21"/>
    <w:rsid w:val="59A9411B"/>
    <w:rsid w:val="59AF0332"/>
    <w:rsid w:val="59D16D68"/>
    <w:rsid w:val="59D92725"/>
    <w:rsid w:val="59EB4631"/>
    <w:rsid w:val="59F34F31"/>
    <w:rsid w:val="5A056A12"/>
    <w:rsid w:val="5A144EA7"/>
    <w:rsid w:val="5A1D1FAE"/>
    <w:rsid w:val="5A290952"/>
    <w:rsid w:val="5A470DD9"/>
    <w:rsid w:val="5A494B51"/>
    <w:rsid w:val="5A4E03B9"/>
    <w:rsid w:val="5A5D05FC"/>
    <w:rsid w:val="5A731BCE"/>
    <w:rsid w:val="5A9B6510"/>
    <w:rsid w:val="5AAE0E58"/>
    <w:rsid w:val="5ABF6998"/>
    <w:rsid w:val="5ACE14FA"/>
    <w:rsid w:val="5AD03C8C"/>
    <w:rsid w:val="5AD20FEA"/>
    <w:rsid w:val="5B0D2022"/>
    <w:rsid w:val="5B386973"/>
    <w:rsid w:val="5B411CCC"/>
    <w:rsid w:val="5B547C51"/>
    <w:rsid w:val="5B6F4A8F"/>
    <w:rsid w:val="5B7F36D0"/>
    <w:rsid w:val="5B8F47E5"/>
    <w:rsid w:val="5B9242D5"/>
    <w:rsid w:val="5BBC1352"/>
    <w:rsid w:val="5BC30933"/>
    <w:rsid w:val="5BD62414"/>
    <w:rsid w:val="5C1B17B8"/>
    <w:rsid w:val="5C1E3DBB"/>
    <w:rsid w:val="5C2C64D8"/>
    <w:rsid w:val="5C3A25B5"/>
    <w:rsid w:val="5C423F4D"/>
    <w:rsid w:val="5C6706D6"/>
    <w:rsid w:val="5C8A1451"/>
    <w:rsid w:val="5C983B6D"/>
    <w:rsid w:val="5CB84210"/>
    <w:rsid w:val="5CCB5CF1"/>
    <w:rsid w:val="5CE35E2B"/>
    <w:rsid w:val="5D0A42CB"/>
    <w:rsid w:val="5D2D075A"/>
    <w:rsid w:val="5D4810F0"/>
    <w:rsid w:val="5DB20C5F"/>
    <w:rsid w:val="5DB76275"/>
    <w:rsid w:val="5DB9023F"/>
    <w:rsid w:val="5DE057CC"/>
    <w:rsid w:val="5DED1C97"/>
    <w:rsid w:val="5DED7EE9"/>
    <w:rsid w:val="5DFB0858"/>
    <w:rsid w:val="5E0E058B"/>
    <w:rsid w:val="5E1D07CE"/>
    <w:rsid w:val="5E385608"/>
    <w:rsid w:val="5E40626B"/>
    <w:rsid w:val="5E4E4E2C"/>
    <w:rsid w:val="5E6A153A"/>
    <w:rsid w:val="5EA04F5B"/>
    <w:rsid w:val="5EAA5DDA"/>
    <w:rsid w:val="5EC155FD"/>
    <w:rsid w:val="5ED8763C"/>
    <w:rsid w:val="5EDD61AF"/>
    <w:rsid w:val="5EE035AA"/>
    <w:rsid w:val="5EF86B45"/>
    <w:rsid w:val="5EFF7ED4"/>
    <w:rsid w:val="5F0B6879"/>
    <w:rsid w:val="5F0E70B0"/>
    <w:rsid w:val="5F313E05"/>
    <w:rsid w:val="5F3D4E58"/>
    <w:rsid w:val="5F427DC1"/>
    <w:rsid w:val="5F6D308F"/>
    <w:rsid w:val="5F816B3B"/>
    <w:rsid w:val="5F881C77"/>
    <w:rsid w:val="5F9B12E6"/>
    <w:rsid w:val="5FB54A36"/>
    <w:rsid w:val="5FD50C35"/>
    <w:rsid w:val="5FD72BFF"/>
    <w:rsid w:val="5FFC7D0A"/>
    <w:rsid w:val="5FFE1F39"/>
    <w:rsid w:val="5FFE3589"/>
    <w:rsid w:val="60003F04"/>
    <w:rsid w:val="60200102"/>
    <w:rsid w:val="60365B77"/>
    <w:rsid w:val="60515EE8"/>
    <w:rsid w:val="606A75CF"/>
    <w:rsid w:val="60736193"/>
    <w:rsid w:val="60795A64"/>
    <w:rsid w:val="608B14A0"/>
    <w:rsid w:val="6098238E"/>
    <w:rsid w:val="60BE791B"/>
    <w:rsid w:val="60CC028A"/>
    <w:rsid w:val="60CC4EDB"/>
    <w:rsid w:val="60D64C64"/>
    <w:rsid w:val="60DD4245"/>
    <w:rsid w:val="61135EB8"/>
    <w:rsid w:val="611A0FF5"/>
    <w:rsid w:val="61250170"/>
    <w:rsid w:val="61475B62"/>
    <w:rsid w:val="614C3178"/>
    <w:rsid w:val="615564D1"/>
    <w:rsid w:val="615C785F"/>
    <w:rsid w:val="61603C1A"/>
    <w:rsid w:val="6166423A"/>
    <w:rsid w:val="6171498D"/>
    <w:rsid w:val="617701F5"/>
    <w:rsid w:val="617C1CB0"/>
    <w:rsid w:val="61880654"/>
    <w:rsid w:val="6189617B"/>
    <w:rsid w:val="61910E2C"/>
    <w:rsid w:val="61CD42B9"/>
    <w:rsid w:val="61E67129"/>
    <w:rsid w:val="61F07FA8"/>
    <w:rsid w:val="622D6B06"/>
    <w:rsid w:val="62324D67"/>
    <w:rsid w:val="623C4F9B"/>
    <w:rsid w:val="62467BC8"/>
    <w:rsid w:val="62487DE4"/>
    <w:rsid w:val="62801AF3"/>
    <w:rsid w:val="62854069"/>
    <w:rsid w:val="628E2F58"/>
    <w:rsid w:val="62946B85"/>
    <w:rsid w:val="62A241F2"/>
    <w:rsid w:val="62A3501A"/>
    <w:rsid w:val="62C0797A"/>
    <w:rsid w:val="62D13935"/>
    <w:rsid w:val="6300421A"/>
    <w:rsid w:val="63251ED3"/>
    <w:rsid w:val="63331D15"/>
    <w:rsid w:val="63676048"/>
    <w:rsid w:val="63892462"/>
    <w:rsid w:val="638D6D14"/>
    <w:rsid w:val="63984453"/>
    <w:rsid w:val="63B03E93"/>
    <w:rsid w:val="63BD3EBA"/>
    <w:rsid w:val="63C416EC"/>
    <w:rsid w:val="63D27752"/>
    <w:rsid w:val="63DD1366"/>
    <w:rsid w:val="63DF2082"/>
    <w:rsid w:val="63F0428F"/>
    <w:rsid w:val="63FD1B44"/>
    <w:rsid w:val="64047D3A"/>
    <w:rsid w:val="640A78AC"/>
    <w:rsid w:val="64220BB4"/>
    <w:rsid w:val="64267CB1"/>
    <w:rsid w:val="643D2685"/>
    <w:rsid w:val="64945292"/>
    <w:rsid w:val="64A864B1"/>
    <w:rsid w:val="64C25C2B"/>
    <w:rsid w:val="64C95594"/>
    <w:rsid w:val="64D8544F"/>
    <w:rsid w:val="64F40429"/>
    <w:rsid w:val="64F565B0"/>
    <w:rsid w:val="64F97173"/>
    <w:rsid w:val="651822E4"/>
    <w:rsid w:val="651D7306"/>
    <w:rsid w:val="651E6376"/>
    <w:rsid w:val="6530528B"/>
    <w:rsid w:val="656C3DE9"/>
    <w:rsid w:val="65842EE1"/>
    <w:rsid w:val="658A426F"/>
    <w:rsid w:val="65B0017A"/>
    <w:rsid w:val="65C15EE3"/>
    <w:rsid w:val="65D025CA"/>
    <w:rsid w:val="65DC2D1D"/>
    <w:rsid w:val="660D7080"/>
    <w:rsid w:val="661F0E5C"/>
    <w:rsid w:val="662621EA"/>
    <w:rsid w:val="66263F98"/>
    <w:rsid w:val="6658788B"/>
    <w:rsid w:val="667E2026"/>
    <w:rsid w:val="66886A01"/>
    <w:rsid w:val="66A852F5"/>
    <w:rsid w:val="66B21CD0"/>
    <w:rsid w:val="66D02156"/>
    <w:rsid w:val="66FD119D"/>
    <w:rsid w:val="6707201B"/>
    <w:rsid w:val="67281F92"/>
    <w:rsid w:val="67297071"/>
    <w:rsid w:val="672A3F5C"/>
    <w:rsid w:val="672E75A8"/>
    <w:rsid w:val="6739419F"/>
    <w:rsid w:val="675B2367"/>
    <w:rsid w:val="67694A84"/>
    <w:rsid w:val="67786A75"/>
    <w:rsid w:val="677F7E04"/>
    <w:rsid w:val="67BD6B7E"/>
    <w:rsid w:val="67C718D1"/>
    <w:rsid w:val="67D77C40"/>
    <w:rsid w:val="67E1648C"/>
    <w:rsid w:val="67EA0B8C"/>
    <w:rsid w:val="6808604B"/>
    <w:rsid w:val="681D761D"/>
    <w:rsid w:val="682B1D3A"/>
    <w:rsid w:val="68336E40"/>
    <w:rsid w:val="68492AD2"/>
    <w:rsid w:val="68500530"/>
    <w:rsid w:val="689A0C6D"/>
    <w:rsid w:val="68B83154"/>
    <w:rsid w:val="68C83A2C"/>
    <w:rsid w:val="68E5013A"/>
    <w:rsid w:val="68F0088D"/>
    <w:rsid w:val="68F71C1C"/>
    <w:rsid w:val="691722BE"/>
    <w:rsid w:val="692C7B17"/>
    <w:rsid w:val="694110E9"/>
    <w:rsid w:val="69431305"/>
    <w:rsid w:val="69581096"/>
    <w:rsid w:val="69584DB0"/>
    <w:rsid w:val="696E0130"/>
    <w:rsid w:val="6972293D"/>
    <w:rsid w:val="699613F5"/>
    <w:rsid w:val="69A9410F"/>
    <w:rsid w:val="69AD360D"/>
    <w:rsid w:val="69CF4947"/>
    <w:rsid w:val="6A0B0806"/>
    <w:rsid w:val="6A1F767C"/>
    <w:rsid w:val="6A217DF6"/>
    <w:rsid w:val="6A371DEF"/>
    <w:rsid w:val="6A3C1FDC"/>
    <w:rsid w:val="6A4E1D0F"/>
    <w:rsid w:val="6A5437CA"/>
    <w:rsid w:val="6A70612A"/>
    <w:rsid w:val="6A7C5642"/>
    <w:rsid w:val="6A9736B6"/>
    <w:rsid w:val="6A9811DC"/>
    <w:rsid w:val="6A9C0CCD"/>
    <w:rsid w:val="6AB44268"/>
    <w:rsid w:val="6AD06BC8"/>
    <w:rsid w:val="6B100175"/>
    <w:rsid w:val="6B122952"/>
    <w:rsid w:val="6B1F06CE"/>
    <w:rsid w:val="6B37721A"/>
    <w:rsid w:val="6B431148"/>
    <w:rsid w:val="6B6F1752"/>
    <w:rsid w:val="6B6F1F3D"/>
    <w:rsid w:val="6B96396E"/>
    <w:rsid w:val="6B9919CE"/>
    <w:rsid w:val="6BA75B7B"/>
    <w:rsid w:val="6BAF67DE"/>
    <w:rsid w:val="6BB42046"/>
    <w:rsid w:val="6BC73B27"/>
    <w:rsid w:val="6BDB6090"/>
    <w:rsid w:val="6BEB3CFE"/>
    <w:rsid w:val="6BEC17E0"/>
    <w:rsid w:val="6BF07522"/>
    <w:rsid w:val="6C044D7B"/>
    <w:rsid w:val="6C07661A"/>
    <w:rsid w:val="6C2E1DF8"/>
    <w:rsid w:val="6C515AE7"/>
    <w:rsid w:val="6C662F7C"/>
    <w:rsid w:val="6C6B4119"/>
    <w:rsid w:val="6C7A6DEC"/>
    <w:rsid w:val="6C804AB4"/>
    <w:rsid w:val="6C9F2CF6"/>
    <w:rsid w:val="6CB73B9C"/>
    <w:rsid w:val="6CBF6EF4"/>
    <w:rsid w:val="6CD43218"/>
    <w:rsid w:val="6CDC7AA6"/>
    <w:rsid w:val="6CE4695B"/>
    <w:rsid w:val="6CE55CB0"/>
    <w:rsid w:val="6CE81FA7"/>
    <w:rsid w:val="6D154D66"/>
    <w:rsid w:val="6D194857"/>
    <w:rsid w:val="6D4F64CA"/>
    <w:rsid w:val="6D5238C5"/>
    <w:rsid w:val="6D655CEE"/>
    <w:rsid w:val="6D9C0FE4"/>
    <w:rsid w:val="6DBD6A19"/>
    <w:rsid w:val="6DCA5B51"/>
    <w:rsid w:val="6DE55656"/>
    <w:rsid w:val="6DF77990"/>
    <w:rsid w:val="6DFB0400"/>
    <w:rsid w:val="6E261BA7"/>
    <w:rsid w:val="6E5A3E2A"/>
    <w:rsid w:val="6E5D69C5"/>
    <w:rsid w:val="6E657628"/>
    <w:rsid w:val="6E8B52E0"/>
    <w:rsid w:val="6EE82732"/>
    <w:rsid w:val="6EF74724"/>
    <w:rsid w:val="6F1218C9"/>
    <w:rsid w:val="6F176B74"/>
    <w:rsid w:val="6F35349E"/>
    <w:rsid w:val="6F5778B8"/>
    <w:rsid w:val="6F5E29F5"/>
    <w:rsid w:val="6F806E0F"/>
    <w:rsid w:val="6F9401C4"/>
    <w:rsid w:val="6FAF4FFE"/>
    <w:rsid w:val="6FB24AEE"/>
    <w:rsid w:val="6FB62831"/>
    <w:rsid w:val="6FBB1BF5"/>
    <w:rsid w:val="6FC54822"/>
    <w:rsid w:val="6FD902CD"/>
    <w:rsid w:val="6FE4739E"/>
    <w:rsid w:val="6FED5B27"/>
    <w:rsid w:val="700E441B"/>
    <w:rsid w:val="70691651"/>
    <w:rsid w:val="70903082"/>
    <w:rsid w:val="709D754D"/>
    <w:rsid w:val="70A00DEB"/>
    <w:rsid w:val="70AE175A"/>
    <w:rsid w:val="70BA3537"/>
    <w:rsid w:val="70BF3836"/>
    <w:rsid w:val="70C26FB3"/>
    <w:rsid w:val="70D07922"/>
    <w:rsid w:val="70F3716D"/>
    <w:rsid w:val="70FA674D"/>
    <w:rsid w:val="710D6480"/>
    <w:rsid w:val="712612F0"/>
    <w:rsid w:val="713C23EC"/>
    <w:rsid w:val="714B246D"/>
    <w:rsid w:val="71502811"/>
    <w:rsid w:val="716F0EE9"/>
    <w:rsid w:val="71844269"/>
    <w:rsid w:val="71900E5F"/>
    <w:rsid w:val="719C7804"/>
    <w:rsid w:val="719E357C"/>
    <w:rsid w:val="71A05546"/>
    <w:rsid w:val="71A5490B"/>
    <w:rsid w:val="71AB5C99"/>
    <w:rsid w:val="71CD20B4"/>
    <w:rsid w:val="71E202B2"/>
    <w:rsid w:val="71F15DA2"/>
    <w:rsid w:val="72007D93"/>
    <w:rsid w:val="72192C03"/>
    <w:rsid w:val="721D6DF3"/>
    <w:rsid w:val="722241AD"/>
    <w:rsid w:val="72536115"/>
    <w:rsid w:val="725E2D0C"/>
    <w:rsid w:val="72677E12"/>
    <w:rsid w:val="72734A09"/>
    <w:rsid w:val="727A7B45"/>
    <w:rsid w:val="72C963D7"/>
    <w:rsid w:val="72CC4119"/>
    <w:rsid w:val="72D51220"/>
    <w:rsid w:val="72FB055A"/>
    <w:rsid w:val="73245D03"/>
    <w:rsid w:val="732E2E41"/>
    <w:rsid w:val="73375A36"/>
    <w:rsid w:val="734B14E2"/>
    <w:rsid w:val="73552361"/>
    <w:rsid w:val="73571C35"/>
    <w:rsid w:val="735E1215"/>
    <w:rsid w:val="736F68EF"/>
    <w:rsid w:val="73762E92"/>
    <w:rsid w:val="737F118B"/>
    <w:rsid w:val="738467A2"/>
    <w:rsid w:val="73956AD4"/>
    <w:rsid w:val="73AF7CC3"/>
    <w:rsid w:val="73D03795"/>
    <w:rsid w:val="73D94D40"/>
    <w:rsid w:val="73DC65DE"/>
    <w:rsid w:val="73FE0302"/>
    <w:rsid w:val="7403605F"/>
    <w:rsid w:val="740873D3"/>
    <w:rsid w:val="743261FE"/>
    <w:rsid w:val="743326A2"/>
    <w:rsid w:val="743F6FC7"/>
    <w:rsid w:val="746565D3"/>
    <w:rsid w:val="746C1710"/>
    <w:rsid w:val="74827185"/>
    <w:rsid w:val="74992ED5"/>
    <w:rsid w:val="749F1AE5"/>
    <w:rsid w:val="74AD75FB"/>
    <w:rsid w:val="74B310ED"/>
    <w:rsid w:val="74B75416"/>
    <w:rsid w:val="74D6302D"/>
    <w:rsid w:val="74EE481B"/>
    <w:rsid w:val="74F636CF"/>
    <w:rsid w:val="74FA6D1C"/>
    <w:rsid w:val="7504000A"/>
    <w:rsid w:val="751050E8"/>
    <w:rsid w:val="75151DA7"/>
    <w:rsid w:val="75330480"/>
    <w:rsid w:val="75422471"/>
    <w:rsid w:val="75575F1C"/>
    <w:rsid w:val="7568637B"/>
    <w:rsid w:val="75DC28C5"/>
    <w:rsid w:val="75EF25F8"/>
    <w:rsid w:val="761558C9"/>
    <w:rsid w:val="763224E5"/>
    <w:rsid w:val="76326989"/>
    <w:rsid w:val="7657019E"/>
    <w:rsid w:val="766336E5"/>
    <w:rsid w:val="766905FD"/>
    <w:rsid w:val="766C1E9B"/>
    <w:rsid w:val="766C3C49"/>
    <w:rsid w:val="76796366"/>
    <w:rsid w:val="768865A9"/>
    <w:rsid w:val="768C6099"/>
    <w:rsid w:val="769510D8"/>
    <w:rsid w:val="76A96C4B"/>
    <w:rsid w:val="76BD26F7"/>
    <w:rsid w:val="76C30EE4"/>
    <w:rsid w:val="76C34768"/>
    <w:rsid w:val="76D35A76"/>
    <w:rsid w:val="76E47C83"/>
    <w:rsid w:val="772B5411"/>
    <w:rsid w:val="773D3837"/>
    <w:rsid w:val="774626EC"/>
    <w:rsid w:val="77736FF8"/>
    <w:rsid w:val="778E7BEF"/>
    <w:rsid w:val="77974CF6"/>
    <w:rsid w:val="779C67B0"/>
    <w:rsid w:val="779D7E32"/>
    <w:rsid w:val="77A318EC"/>
    <w:rsid w:val="77D01FB6"/>
    <w:rsid w:val="77F9150C"/>
    <w:rsid w:val="780103C1"/>
    <w:rsid w:val="780879A1"/>
    <w:rsid w:val="780B7492"/>
    <w:rsid w:val="78105060"/>
    <w:rsid w:val="781520BE"/>
    <w:rsid w:val="782567A5"/>
    <w:rsid w:val="784576F8"/>
    <w:rsid w:val="78564BB1"/>
    <w:rsid w:val="785901FD"/>
    <w:rsid w:val="78767A5E"/>
    <w:rsid w:val="787B63C5"/>
    <w:rsid w:val="788F3C1F"/>
    <w:rsid w:val="789254BD"/>
    <w:rsid w:val="78E0447A"/>
    <w:rsid w:val="78E75809"/>
    <w:rsid w:val="78F61EF0"/>
    <w:rsid w:val="79004B1D"/>
    <w:rsid w:val="79030169"/>
    <w:rsid w:val="794744F9"/>
    <w:rsid w:val="79515378"/>
    <w:rsid w:val="796926C2"/>
    <w:rsid w:val="798017B9"/>
    <w:rsid w:val="79960562"/>
    <w:rsid w:val="79FA5A10"/>
    <w:rsid w:val="7A1C14E2"/>
    <w:rsid w:val="7A2307C6"/>
    <w:rsid w:val="7A54626B"/>
    <w:rsid w:val="7AA00365"/>
    <w:rsid w:val="7AA240DD"/>
    <w:rsid w:val="7ABB6F4D"/>
    <w:rsid w:val="7AD85D51"/>
    <w:rsid w:val="7AE53FCA"/>
    <w:rsid w:val="7AE83ABA"/>
    <w:rsid w:val="7AFB1A3F"/>
    <w:rsid w:val="7B002BB2"/>
    <w:rsid w:val="7B0A3A31"/>
    <w:rsid w:val="7B18614D"/>
    <w:rsid w:val="7B533AD3"/>
    <w:rsid w:val="7B607AF4"/>
    <w:rsid w:val="7B65510B"/>
    <w:rsid w:val="7B705F89"/>
    <w:rsid w:val="7B821819"/>
    <w:rsid w:val="7BA23C69"/>
    <w:rsid w:val="7BAC2D3A"/>
    <w:rsid w:val="7BC10593"/>
    <w:rsid w:val="7BDF4EBD"/>
    <w:rsid w:val="7BF02C60"/>
    <w:rsid w:val="7BF5086D"/>
    <w:rsid w:val="7C050DEC"/>
    <w:rsid w:val="7C06244A"/>
    <w:rsid w:val="7C3A0345"/>
    <w:rsid w:val="7C411B8B"/>
    <w:rsid w:val="7C8B294F"/>
    <w:rsid w:val="7C8D66C7"/>
    <w:rsid w:val="7C923CDE"/>
    <w:rsid w:val="7CAF663E"/>
    <w:rsid w:val="7CE54755"/>
    <w:rsid w:val="7D0050EB"/>
    <w:rsid w:val="7D1868D9"/>
    <w:rsid w:val="7D39684F"/>
    <w:rsid w:val="7D586CD5"/>
    <w:rsid w:val="7D6C2781"/>
    <w:rsid w:val="7D6C452F"/>
    <w:rsid w:val="7D6E64F9"/>
    <w:rsid w:val="7D7D498E"/>
    <w:rsid w:val="7D890C83"/>
    <w:rsid w:val="7D8F021D"/>
    <w:rsid w:val="7D9341B1"/>
    <w:rsid w:val="7DA0242A"/>
    <w:rsid w:val="7DBF6D54"/>
    <w:rsid w:val="7DD345AE"/>
    <w:rsid w:val="7DDA593C"/>
    <w:rsid w:val="7DE642E1"/>
    <w:rsid w:val="7DF2702E"/>
    <w:rsid w:val="7DF3182D"/>
    <w:rsid w:val="7DFD76C5"/>
    <w:rsid w:val="7DFF53A3"/>
    <w:rsid w:val="7E0272C8"/>
    <w:rsid w:val="7E062BD5"/>
    <w:rsid w:val="7E065CCE"/>
    <w:rsid w:val="7E1A3F8B"/>
    <w:rsid w:val="7E413C0D"/>
    <w:rsid w:val="7E4159BB"/>
    <w:rsid w:val="7E53034C"/>
    <w:rsid w:val="7E5356EF"/>
    <w:rsid w:val="7E816BC7"/>
    <w:rsid w:val="7E9C0E44"/>
    <w:rsid w:val="7E9E4BBC"/>
    <w:rsid w:val="7E9F26E2"/>
    <w:rsid w:val="7ECA59B1"/>
    <w:rsid w:val="7EE60311"/>
    <w:rsid w:val="7EEC2AC9"/>
    <w:rsid w:val="7EED78F1"/>
    <w:rsid w:val="7F052E8D"/>
    <w:rsid w:val="7F0D7F93"/>
    <w:rsid w:val="7F1C1F84"/>
    <w:rsid w:val="7F54171E"/>
    <w:rsid w:val="7F587460"/>
    <w:rsid w:val="7F5B0CFF"/>
    <w:rsid w:val="7F6776A3"/>
    <w:rsid w:val="7F6C2EA6"/>
    <w:rsid w:val="7F7818B1"/>
    <w:rsid w:val="7F7E679B"/>
    <w:rsid w:val="7F8B6823"/>
    <w:rsid w:val="7FD52A46"/>
    <w:rsid w:val="7FD558D4"/>
    <w:rsid w:val="7FEC7BA9"/>
    <w:rsid w:val="7FFB298F"/>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spacing w:before="340" w:after="330" w:line="360" w:lineRule="auto"/>
      <w:jc w:val="center"/>
      <w:outlineLvl w:val="0"/>
    </w:pPr>
    <w:rPr>
      <w:rFonts w:eastAsia="黑体"/>
      <w:kern w:val="44"/>
      <w:szCs w:val="44"/>
    </w:rPr>
  </w:style>
  <w:style w:type="paragraph" w:styleId="3">
    <w:name w:val="heading 2"/>
    <w:basedOn w:val="4"/>
    <w:next w:val="5"/>
    <w:link w:val="78"/>
    <w:qFormat/>
    <w:uiPriority w:val="0"/>
    <w:pPr>
      <w:adjustRightInd w:val="0"/>
      <w:jc w:val="center"/>
      <w:textAlignment w:val="baseline"/>
      <w:outlineLvl w:val="1"/>
    </w:pPr>
    <w:rPr>
      <w:kern w:val="0"/>
      <w:sz w:val="24"/>
      <w:szCs w:val="20"/>
    </w:rPr>
  </w:style>
  <w:style w:type="paragraph" w:styleId="4">
    <w:name w:val="heading 3"/>
    <w:basedOn w:val="5"/>
    <w:next w:val="1"/>
    <w:link w:val="62"/>
    <w:qFormat/>
    <w:uiPriority w:val="9"/>
    <w:pPr>
      <w:spacing w:before="260" w:after="260" w:line="240" w:lineRule="auto"/>
      <w:outlineLvl w:val="2"/>
    </w:pPr>
    <w:rPr>
      <w:rFonts w:ascii="宋体" w:hAnsi="宋体" w:eastAsia="宋体"/>
      <w:szCs w:val="32"/>
    </w:rPr>
  </w:style>
  <w:style w:type="paragraph" w:styleId="5">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7"/>
    <w:qFormat/>
    <w:uiPriority w:val="0"/>
    <w:pPr>
      <w:keepNext/>
      <w:keepLines/>
      <w:spacing w:before="280" w:after="290" w:line="376" w:lineRule="auto"/>
      <w:outlineLvl w:val="4"/>
    </w:pPr>
    <w:rPr>
      <w:b/>
      <w:sz w:val="28"/>
      <w:szCs w:val="20"/>
    </w:rPr>
  </w:style>
  <w:style w:type="paragraph" w:styleId="8">
    <w:name w:val="heading 6"/>
    <w:basedOn w:val="1"/>
    <w:next w:val="7"/>
    <w:link w:val="9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1"/>
    <w:qFormat/>
    <w:uiPriority w:val="0"/>
    <w:pPr>
      <w:keepNext/>
      <w:keepLines/>
      <w:spacing w:before="240" w:after="64" w:line="320" w:lineRule="auto"/>
      <w:outlineLvl w:val="6"/>
    </w:pPr>
    <w:rPr>
      <w:b/>
      <w:sz w:val="24"/>
      <w:szCs w:val="20"/>
    </w:rPr>
  </w:style>
  <w:style w:type="paragraph" w:styleId="10">
    <w:name w:val="heading 8"/>
    <w:basedOn w:val="1"/>
    <w:next w:val="7"/>
    <w:link w:val="9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link w:val="6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1"/>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5"/>
    <w:qFormat/>
    <w:uiPriority w:val="0"/>
    <w:pPr>
      <w:spacing w:after="120"/>
    </w:pPr>
    <w:rPr>
      <w:sz w:val="16"/>
      <w:szCs w:val="16"/>
    </w:rPr>
  </w:style>
  <w:style w:type="paragraph" w:styleId="18">
    <w:name w:val="Body Text"/>
    <w:basedOn w:val="1"/>
    <w:next w:val="19"/>
    <w:link w:val="99"/>
    <w:qFormat/>
    <w:uiPriority w:val="0"/>
    <w:pPr>
      <w:spacing w:line="360" w:lineRule="auto"/>
    </w:pPr>
    <w:rPr>
      <w:b/>
      <w:bCs/>
      <w:sz w:val="24"/>
    </w:rPr>
  </w:style>
  <w:style w:type="paragraph" w:styleId="19">
    <w:name w:val="Body Text 2"/>
    <w:basedOn w:val="1"/>
    <w:link w:val="103"/>
    <w:qFormat/>
    <w:uiPriority w:val="0"/>
    <w:pPr>
      <w:spacing w:line="360" w:lineRule="auto"/>
    </w:pPr>
    <w:rPr>
      <w:sz w:val="24"/>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index heading"/>
    <w:basedOn w:val="1"/>
    <w:next w:val="33"/>
    <w:semiHidden/>
    <w:qFormat/>
    <w:uiPriority w:val="0"/>
    <w:pPr>
      <w:adjustRightInd w:val="0"/>
      <w:snapToGrid w:val="0"/>
      <w:spacing w:beforeLines="50" w:afterLines="50" w:line="288" w:lineRule="auto"/>
      <w:jc w:val="left"/>
    </w:pPr>
    <w:rPr>
      <w:sz w:val="24"/>
    </w:rPr>
  </w:style>
  <w:style w:type="paragraph" w:styleId="33">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102"/>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197"/>
    <w:qFormat/>
    <w:uiPriority w:val="99"/>
    <w:pPr>
      <w:spacing w:before="0" w:beforeAutospacing="1" w:after="0" w:afterAutospacing="1"/>
      <w:ind w:left="0" w:right="0"/>
      <w:jc w:val="left"/>
    </w:pPr>
    <w:rPr>
      <w:kern w:val="0"/>
      <w:sz w:val="24"/>
      <w:lang w:val="en-US" w:eastAsia="zh-CN" w:bidi="ar"/>
    </w:rPr>
  </w:style>
  <w:style w:type="paragraph" w:styleId="40">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192"/>
    <w:qFormat/>
    <w:uiPriority w:val="99"/>
    <w:pPr>
      <w:autoSpaceDE/>
      <w:autoSpaceDN/>
      <w:adjustRightInd/>
      <w:textAlignment w:val="auto"/>
    </w:pPr>
    <w:rPr>
      <w:rFonts w:ascii="Times New Roman"/>
      <w:b/>
      <w:bCs/>
      <w:kern w:val="2"/>
      <w:sz w:val="21"/>
      <w:szCs w:val="24"/>
    </w:rPr>
  </w:style>
  <w:style w:type="paragraph" w:styleId="42">
    <w:name w:val="Body Text First Indent"/>
    <w:basedOn w:val="18"/>
    <w:link w:val="137"/>
    <w:qFormat/>
    <w:uiPriority w:val="0"/>
    <w:pPr>
      <w:spacing w:after="120" w:line="240" w:lineRule="auto"/>
      <w:ind w:firstLine="420" w:firstLineChars="100"/>
    </w:pPr>
    <w:rPr>
      <w:sz w:val="21"/>
    </w:rPr>
  </w:style>
  <w:style w:type="table" w:styleId="44">
    <w:name w:val="Table Grid"/>
    <w:basedOn w:val="43"/>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character" w:customStyle="1" w:styleId="60">
    <w:name w:val="标题 4 Char"/>
    <w:link w:val="5"/>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Char1"/>
    <w:link w:val="4"/>
    <w:qFormat/>
    <w:uiPriority w:val="9"/>
    <w:rPr>
      <w:rFonts w:ascii="宋体" w:hAnsi="宋体" w:eastAsia="宋体"/>
      <w:b/>
      <w:bCs/>
      <w:kern w:val="2"/>
      <w:sz w:val="28"/>
      <w:szCs w:val="32"/>
      <w:lang w:val="en-US" w:eastAsia="zh-CN" w:bidi="ar-SA"/>
    </w:rPr>
  </w:style>
  <w:style w:type="character" w:customStyle="1" w:styleId="63">
    <w:name w:val="标题 1 Char"/>
    <w:link w:val="2"/>
    <w:qFormat/>
    <w:uiPriority w:val="0"/>
    <w:rPr>
      <w:rFonts w:ascii="宋体" w:hAnsi="宋体" w:eastAsia="黑体"/>
      <w:b/>
      <w:bCs/>
      <w:kern w:val="44"/>
      <w:sz w:val="28"/>
      <w:szCs w:val="44"/>
      <w:lang w:val="en-US" w:eastAsia="zh-CN" w:bidi="ar-SA"/>
    </w:rPr>
  </w:style>
  <w:style w:type="character" w:customStyle="1" w:styleId="64">
    <w:name w:val="正文缩进 Char"/>
    <w:link w:val="7"/>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Char"/>
    <w:link w:val="3"/>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3"/>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Char"/>
    <w:link w:val="20"/>
    <w:qFormat/>
    <w:uiPriority w:val="0"/>
    <w:rPr>
      <w:rFonts w:eastAsia="宋体"/>
      <w:kern w:val="2"/>
      <w:sz w:val="21"/>
      <w:szCs w:val="24"/>
      <w:lang w:val="en-US" w:eastAsia="zh-CN" w:bidi="ar-SA"/>
    </w:rPr>
  </w:style>
  <w:style w:type="character" w:customStyle="1" w:styleId="87">
    <w:name w:val="标题 5 Char"/>
    <w:link w:val="6"/>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Char"/>
    <w:link w:val="8"/>
    <w:qFormat/>
    <w:uiPriority w:val="0"/>
    <w:rPr>
      <w:rFonts w:ascii="Arial" w:hAnsi="Arial" w:eastAsia="黑体"/>
      <w:b/>
      <w:kern w:val="2"/>
      <w:sz w:val="24"/>
      <w:lang w:val="en-US" w:eastAsia="zh-CN" w:bidi="ar-SA"/>
    </w:rPr>
  </w:style>
  <w:style w:type="character" w:customStyle="1" w:styleId="91">
    <w:name w:val="标题 7 Char"/>
    <w:link w:val="9"/>
    <w:qFormat/>
    <w:uiPriority w:val="0"/>
    <w:rPr>
      <w:rFonts w:eastAsia="宋体"/>
      <w:b/>
      <w:kern w:val="2"/>
      <w:sz w:val="24"/>
      <w:lang w:val="en-US" w:eastAsia="zh-CN" w:bidi="ar-SA"/>
    </w:rPr>
  </w:style>
  <w:style w:type="character" w:customStyle="1" w:styleId="92">
    <w:name w:val="标题 8 Char"/>
    <w:link w:val="10"/>
    <w:qFormat/>
    <w:uiPriority w:val="0"/>
    <w:rPr>
      <w:rFonts w:ascii="Arial" w:hAnsi="Arial" w:eastAsia="黑体"/>
      <w:kern w:val="2"/>
      <w:sz w:val="24"/>
      <w:lang w:val="en-US" w:eastAsia="zh-CN" w:bidi="ar-SA"/>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Char"/>
    <w:link w:val="40"/>
    <w:qFormat/>
    <w:uiPriority w:val="0"/>
    <w:rPr>
      <w:rFonts w:ascii="Arial" w:hAnsi="Arial" w:eastAsia="隶书" w:cs="Arial"/>
      <w:b/>
      <w:bCs/>
      <w:kern w:val="2"/>
      <w:sz w:val="32"/>
      <w:szCs w:val="32"/>
      <w:lang w:val="en-US" w:eastAsia="zh-CN" w:bidi="ar-SA"/>
    </w:rPr>
  </w:style>
  <w:style w:type="character" w:customStyle="1" w:styleId="95">
    <w:name w:val="日期 Char"/>
    <w:link w:val="25"/>
    <w:qFormat/>
    <w:uiPriority w:val="0"/>
    <w:rPr>
      <w:rFonts w:ascii="宋体" w:hAnsi="Courier New" w:eastAsia="宋体"/>
      <w:kern w:val="2"/>
      <w:sz w:val="32"/>
      <w:lang w:val="en-US" w:eastAsia="zh-CN" w:bidi="ar-SA"/>
    </w:rPr>
  </w:style>
  <w:style w:type="character" w:customStyle="1" w:styleId="96">
    <w:name w:val="HTML 预设格式 Char"/>
    <w:link w:val="38"/>
    <w:qFormat/>
    <w:uiPriority w:val="0"/>
    <w:rPr>
      <w:rFonts w:ascii="Arial Unicode MS" w:hAnsi="Arial Unicode MS" w:eastAsia="Arial Unicode MS"/>
      <w:color w:val="000000"/>
      <w:lang w:val="en-US" w:eastAsia="zh-CN" w:bidi="ar-SA"/>
    </w:rPr>
  </w:style>
  <w:style w:type="character" w:customStyle="1" w:styleId="97">
    <w:name w:val="纯文本 Char"/>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Char"/>
    <w:link w:val="18"/>
    <w:qFormat/>
    <w:uiPriority w:val="0"/>
    <w:rPr>
      <w:rFonts w:eastAsia="宋体"/>
      <w:b/>
      <w:bCs/>
      <w:kern w:val="2"/>
      <w:sz w:val="24"/>
      <w:szCs w:val="24"/>
      <w:lang w:val="en-US" w:eastAsia="zh-CN" w:bidi="ar-SA"/>
    </w:rPr>
  </w:style>
  <w:style w:type="character" w:customStyle="1" w:styleId="100">
    <w:name w:val="正文文本缩进 2 Char"/>
    <w:link w:val="26"/>
    <w:qFormat/>
    <w:uiPriority w:val="0"/>
    <w:rPr>
      <w:rFonts w:ascii="宋体" w:hAnsi="宋体" w:eastAsia="宋体"/>
      <w:kern w:val="2"/>
      <w:sz w:val="21"/>
      <w:szCs w:val="24"/>
      <w:lang w:val="en-US" w:eastAsia="zh-CN" w:bidi="ar-SA"/>
    </w:rPr>
  </w:style>
  <w:style w:type="character" w:customStyle="1" w:styleId="101">
    <w:name w:val="页眉 Char"/>
    <w:link w:val="29"/>
    <w:qFormat/>
    <w:uiPriority w:val="99"/>
    <w:rPr>
      <w:rFonts w:eastAsia="宋体"/>
      <w:kern w:val="2"/>
      <w:sz w:val="18"/>
      <w:szCs w:val="18"/>
      <w:lang w:val="en-US" w:eastAsia="zh-CN" w:bidi="ar-SA"/>
    </w:rPr>
  </w:style>
  <w:style w:type="character" w:customStyle="1" w:styleId="102">
    <w:name w:val="正文文本缩进 3 Char"/>
    <w:link w:val="35"/>
    <w:qFormat/>
    <w:uiPriority w:val="0"/>
    <w:rPr>
      <w:rFonts w:ascii="宋体" w:eastAsia="宋体"/>
      <w:b/>
      <w:bCs/>
      <w:kern w:val="2"/>
      <w:sz w:val="24"/>
      <w:szCs w:val="24"/>
      <w:lang w:val="en-US" w:eastAsia="zh-CN" w:bidi="ar-SA"/>
    </w:rPr>
  </w:style>
  <w:style w:type="character" w:customStyle="1" w:styleId="103">
    <w:name w:val="正文文本 2 Char"/>
    <w:link w:val="19"/>
    <w:qFormat/>
    <w:uiPriority w:val="0"/>
    <w:rPr>
      <w:rFonts w:eastAsia="宋体"/>
      <w:kern w:val="2"/>
      <w:sz w:val="24"/>
      <w:szCs w:val="24"/>
      <w:lang w:val="en-US" w:eastAsia="zh-CN" w:bidi="ar-SA"/>
    </w:rPr>
  </w:style>
  <w:style w:type="character" w:customStyle="1" w:styleId="104">
    <w:name w:val="页脚 Char"/>
    <w:link w:val="28"/>
    <w:qFormat/>
    <w:uiPriority w:val="0"/>
    <w:rPr>
      <w:rFonts w:eastAsia="宋体"/>
      <w:kern w:val="2"/>
      <w:sz w:val="18"/>
      <w:szCs w:val="18"/>
      <w:lang w:val="en-US" w:eastAsia="zh-CN" w:bidi="ar-SA"/>
    </w:rPr>
  </w:style>
  <w:style w:type="character" w:customStyle="1" w:styleId="105">
    <w:name w:val="正文文本 3 Char"/>
    <w:link w:val="17"/>
    <w:qFormat/>
    <w:uiPriority w:val="0"/>
    <w:rPr>
      <w:rFonts w:eastAsia="宋体"/>
      <w:kern w:val="2"/>
      <w:sz w:val="16"/>
      <w:szCs w:val="16"/>
      <w:lang w:val="en-US" w:eastAsia="zh-CN" w:bidi="ar-SA"/>
    </w:rPr>
  </w:style>
  <w:style w:type="character" w:customStyle="1" w:styleId="106">
    <w:name w:val="批注框文本 Char"/>
    <w:link w:val="27"/>
    <w:semiHidden/>
    <w:qFormat/>
    <w:uiPriority w:val="99"/>
    <w:rPr>
      <w:rFonts w:eastAsia="宋体"/>
      <w:kern w:val="2"/>
      <w:sz w:val="18"/>
      <w:szCs w:val="18"/>
      <w:lang w:val="en-US" w:eastAsia="zh-CN" w:bidi="ar-SA"/>
    </w:rPr>
  </w:style>
  <w:style w:type="paragraph" w:customStyle="1" w:styleId="107">
    <w:name w:val="样式1"/>
    <w:basedOn w:val="40"/>
    <w:qFormat/>
    <w:uiPriority w:val="0"/>
    <w:pPr>
      <w:spacing w:before="120" w:after="120"/>
    </w:pPr>
    <w:rPr>
      <w:rFonts w:eastAsia="黑体"/>
      <w:b w:val="0"/>
      <w:sz w:val="30"/>
      <w:szCs w:val="21"/>
    </w:rPr>
  </w:style>
  <w:style w:type="paragraph" w:customStyle="1" w:styleId="108">
    <w:name w:val="样式2"/>
    <w:basedOn w:val="40"/>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首行缩进 Char"/>
    <w:link w:val="42"/>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5"/>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5"/>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5"/>
    <w:qFormat/>
    <w:uiPriority w:val="0"/>
  </w:style>
  <w:style w:type="character" w:customStyle="1" w:styleId="160">
    <w:name w:val="prodheadlines"/>
    <w:basedOn w:val="45"/>
    <w:qFormat/>
    <w:uiPriority w:val="0"/>
  </w:style>
  <w:style w:type="character" w:customStyle="1" w:styleId="161">
    <w:name w:val="text"/>
    <w:basedOn w:val="45"/>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5"/>
    <w:qFormat/>
    <w:uiPriority w:val="0"/>
  </w:style>
  <w:style w:type="character" w:customStyle="1" w:styleId="169">
    <w:name w:val="style9"/>
    <w:basedOn w:val="45"/>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5"/>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5"/>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Char"/>
    <w:basedOn w:val="45"/>
    <w:link w:val="16"/>
    <w:qFormat/>
    <w:uiPriority w:val="99"/>
    <w:rPr>
      <w:rFonts w:ascii="宋体"/>
      <w:sz w:val="34"/>
    </w:rPr>
  </w:style>
  <w:style w:type="character" w:customStyle="1" w:styleId="192">
    <w:name w:val="批注主题 Char"/>
    <w:basedOn w:val="191"/>
    <w:link w:val="41"/>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Char"/>
    <w:link w:val="39"/>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5"/>
    <w:qFormat/>
    <w:uiPriority w:val="0"/>
    <w:rPr>
      <w:bdr w:val="single" w:color="EEEEEE" w:sz="4" w:space="0"/>
      <w:shd w:val="clear" w:color="auto" w:fill="FFFFFF"/>
    </w:rPr>
  </w:style>
  <w:style w:type="character" w:customStyle="1" w:styleId="201">
    <w:name w:val="first-child"/>
    <w:basedOn w:val="45"/>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4">
    <w:name w:val="msonospacing"/>
    <w:basedOn w:val="1"/>
    <w:qFormat/>
    <w:uiPriority w:val="0"/>
    <w:rPr>
      <w:rFonts w:ascii="Calibri" w:hAnsi="Calibri"/>
      <w:szCs w:val="22"/>
    </w:rPr>
  </w:style>
  <w:style w:type="paragraph" w:styleId="20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6">
    <w:name w:val="NormalCharacter"/>
    <w:semiHidden/>
    <w:qFormat/>
    <w:uiPriority w:val="0"/>
    <w:rPr>
      <w:rFonts w:ascii="Times New Roman" w:hAnsi="Times New Roman" w:eastAsia="宋体" w:cs="Times New Roman"/>
      <w:kern w:val="2"/>
      <w:sz w:val="21"/>
      <w:lang w:val="en-US" w:eastAsia="zh-CN" w:bidi="ar-SA"/>
    </w:rPr>
  </w:style>
  <w:style w:type="paragraph" w:customStyle="1" w:styleId="207">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1940</Words>
  <Characters>1956</Characters>
  <Lines>1</Lines>
  <Paragraphs>1</Paragraphs>
  <TotalTime>44</TotalTime>
  <ScaleCrop>false</ScaleCrop>
  <LinksUpToDate>false</LinksUpToDate>
  <CharactersWithSpaces>1960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lxq</cp:lastModifiedBy>
  <cp:lastPrinted>2021-05-09T08:02:00Z</cp:lastPrinted>
  <dcterms:modified xsi:type="dcterms:W3CDTF">2025-09-19T12:13:51Z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1630D89F602F48ECB91775C8375C03D0_13</vt:lpwstr>
  </property>
  <property fmtid="{D5CDD505-2E9C-101B-9397-08002B2CF9AE}" pid="4" name="KSOTemplateDocerSaveRecord">
    <vt:lpwstr>eyJoZGlkIjoiZWZmMWVjYzI4YjQ5NTg4MTRmZGY4MWNkMmQzZWNmMzQiLCJ1c2VySWQiOiIxODk4MjY3NTAifQ==</vt:lpwstr>
  </property>
</Properties>
</file>